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66536" w14:textId="2714F0B9" w:rsidR="003C18D0" w:rsidRPr="00064185" w:rsidRDefault="005B20BE" w:rsidP="002E19EB">
      <w:pPr>
        <w:tabs>
          <w:tab w:val="left" w:pos="8505"/>
        </w:tabs>
        <w:spacing w:before="480"/>
        <w:ind w:left="-142" w:right="-45"/>
        <w:jc w:val="center"/>
        <w:rPr>
          <w:sz w:val="36"/>
          <w:szCs w:val="36"/>
        </w:rPr>
      </w:pPr>
      <w:r w:rsidRPr="00064185">
        <w:rPr>
          <w:noProof/>
          <w:sz w:val="36"/>
          <w:szCs w:val="36"/>
          <w:lang w:val="de-AT" w:eastAsia="de-AT"/>
        </w:rPr>
        <mc:AlternateContent>
          <mc:Choice Requires="wps">
            <w:drawing>
              <wp:anchor distT="0" distB="0" distL="114300" distR="114300" simplePos="0" relativeHeight="251658240" behindDoc="0" locked="0" layoutInCell="1" allowOverlap="1" wp14:anchorId="3F524850" wp14:editId="44A75378">
                <wp:simplePos x="0" y="0"/>
                <wp:positionH relativeFrom="column">
                  <wp:posOffset>-394335</wp:posOffset>
                </wp:positionH>
                <wp:positionV relativeFrom="paragraph">
                  <wp:posOffset>6985</wp:posOffset>
                </wp:positionV>
                <wp:extent cx="6528435" cy="8867775"/>
                <wp:effectExtent l="0" t="0" r="2476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TU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BCZjTUeQIAAPwEAAAO&#10;AAAAAAAAAAAAAAAAAC4CAABkcnMvZTJvRG9jLnhtbFBLAQItABQABgAIAAAAIQDPLSYq3gAAAAoB&#10;AAAPAAAAAAAAAAAAAAAAANMEAABkcnMvZG93bnJldi54bWxQSwUGAAAAAAQABADzAAAA3gUAAAAA&#10;" filled="f"/>
            </w:pict>
          </mc:Fallback>
        </mc:AlternateContent>
      </w:r>
      <w:r w:rsidR="00E017DD" w:rsidRPr="00064185">
        <w:rPr>
          <w:sz w:val="36"/>
          <w:szCs w:val="36"/>
        </w:rPr>
        <w:t xml:space="preserve">Regulation (EU) No 528/2012 </w:t>
      </w:r>
      <w:r w:rsidR="003C18D0" w:rsidRPr="00064185">
        <w:rPr>
          <w:sz w:val="36"/>
          <w:szCs w:val="36"/>
        </w:rPr>
        <w:t xml:space="preserve">concerning the </w:t>
      </w:r>
      <w:r w:rsidR="00E017DD" w:rsidRPr="00064185">
        <w:rPr>
          <w:sz w:val="36"/>
          <w:szCs w:val="36"/>
        </w:rPr>
        <w:t xml:space="preserve">making available on the market and use </w:t>
      </w:r>
      <w:r w:rsidR="003C18D0" w:rsidRPr="00064185">
        <w:rPr>
          <w:sz w:val="36"/>
          <w:szCs w:val="36"/>
        </w:rPr>
        <w:t>of biocidal products</w:t>
      </w:r>
    </w:p>
    <w:p w14:paraId="35459951" w14:textId="77777777" w:rsidR="003C18D0" w:rsidRPr="00064185" w:rsidRDefault="003C18D0" w:rsidP="00C86723">
      <w:pPr>
        <w:tabs>
          <w:tab w:val="left" w:pos="8505"/>
        </w:tabs>
        <w:ind w:left="-142" w:right="-45"/>
      </w:pPr>
    </w:p>
    <w:p w14:paraId="65DA9B4C" w14:textId="3580D25D" w:rsidR="00BC516B" w:rsidRPr="00064185" w:rsidRDefault="00B33000" w:rsidP="00BC516B">
      <w:pPr>
        <w:jc w:val="center"/>
        <w:rPr>
          <w:b/>
          <w:bCs/>
          <w:sz w:val="36"/>
          <w:szCs w:val="36"/>
        </w:rPr>
      </w:pPr>
      <w:r w:rsidRPr="00064185">
        <w:rPr>
          <w:b/>
          <w:bCs/>
          <w:sz w:val="36"/>
          <w:szCs w:val="36"/>
        </w:rPr>
        <w:t xml:space="preserve">Final </w:t>
      </w:r>
      <w:bookmarkStart w:id="0" w:name="_GoBack"/>
      <w:bookmarkEnd w:id="0"/>
      <w:r w:rsidR="00BC516B" w:rsidRPr="00064185">
        <w:rPr>
          <w:b/>
          <w:bCs/>
          <w:sz w:val="36"/>
          <w:szCs w:val="36"/>
        </w:rPr>
        <w:t>PRODUCT ASSESSMENT REPORT OF A BIOCIDAL PRODUCT FOR NATIONAL AUTHORISATION APPLICATIONS</w:t>
      </w:r>
    </w:p>
    <w:p w14:paraId="0E849944" w14:textId="77777777" w:rsidR="00BC516B" w:rsidRPr="00064185" w:rsidRDefault="00BC516B" w:rsidP="00BC516B">
      <w:pPr>
        <w:tabs>
          <w:tab w:val="left" w:pos="8505"/>
        </w:tabs>
        <w:ind w:left="-142" w:right="-45"/>
        <w:jc w:val="center"/>
        <w:rPr>
          <w:bCs/>
          <w:sz w:val="24"/>
          <w:szCs w:val="24"/>
        </w:rPr>
      </w:pPr>
      <w:r w:rsidRPr="00064185">
        <w:rPr>
          <w:bCs/>
          <w:sz w:val="24"/>
          <w:szCs w:val="24"/>
        </w:rPr>
        <w:t>(</w:t>
      </w:r>
      <w:proofErr w:type="gramStart"/>
      <w:r w:rsidRPr="00064185">
        <w:rPr>
          <w:bCs/>
          <w:sz w:val="24"/>
          <w:szCs w:val="24"/>
        </w:rPr>
        <w:t>submitted</w:t>
      </w:r>
      <w:proofErr w:type="gramEnd"/>
      <w:r w:rsidRPr="00064185">
        <w:rPr>
          <w:bCs/>
          <w:sz w:val="24"/>
          <w:szCs w:val="24"/>
        </w:rPr>
        <w:t xml:space="preserve"> by the evaluating Competent Authority)</w:t>
      </w:r>
    </w:p>
    <w:p w14:paraId="4C550228" w14:textId="754676FC" w:rsidR="00EC2280" w:rsidRPr="00064185" w:rsidRDefault="00EC2280" w:rsidP="00C86723">
      <w:pPr>
        <w:tabs>
          <w:tab w:val="left" w:pos="8505"/>
        </w:tabs>
        <w:ind w:left="-142" w:right="-45"/>
        <w:jc w:val="center"/>
        <w:rPr>
          <w:bCs/>
          <w:sz w:val="24"/>
          <w:szCs w:val="24"/>
        </w:rPr>
      </w:pPr>
    </w:p>
    <w:p w14:paraId="74408721" w14:textId="77777777" w:rsidR="003C18D0" w:rsidRPr="00064185" w:rsidRDefault="003C18D0" w:rsidP="00C86723">
      <w:pPr>
        <w:tabs>
          <w:tab w:val="left" w:pos="8505"/>
        </w:tabs>
        <w:ind w:left="-142" w:right="-45"/>
        <w:jc w:val="center"/>
        <w:rPr>
          <w:b/>
          <w:sz w:val="36"/>
          <w:lang w:val="en-US"/>
        </w:rPr>
      </w:pPr>
    </w:p>
    <w:p w14:paraId="6A8CEB95" w14:textId="5C4D4639" w:rsidR="003C18D0" w:rsidRPr="00064185" w:rsidRDefault="005B20BE" w:rsidP="00C86723">
      <w:pPr>
        <w:tabs>
          <w:tab w:val="left" w:pos="8505"/>
        </w:tabs>
        <w:ind w:left="-142" w:right="-45"/>
        <w:jc w:val="center"/>
        <w:rPr>
          <w:noProof/>
          <w:lang w:eastAsia="en-GB"/>
        </w:rPr>
      </w:pPr>
      <w:r w:rsidRPr="00064185">
        <w:rPr>
          <w:noProof/>
          <w:lang w:val="de-AT" w:eastAsia="de-AT"/>
        </w:rPr>
        <w:drawing>
          <wp:inline distT="0" distB="0" distL="0" distR="0" wp14:anchorId="52ACFF80" wp14:editId="01921571">
            <wp:extent cx="1200150" cy="12477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3B3690DD" w14:textId="77777777" w:rsidR="00735A0C" w:rsidRPr="00064185" w:rsidRDefault="00735A0C" w:rsidP="00C86723">
      <w:pPr>
        <w:tabs>
          <w:tab w:val="left" w:pos="8505"/>
        </w:tabs>
        <w:ind w:left="-142" w:right="-45"/>
        <w:jc w:val="center"/>
        <w:rPr>
          <w:b/>
          <w:sz w:val="36"/>
        </w:rPr>
      </w:pPr>
    </w:p>
    <w:p w14:paraId="3760510B" w14:textId="77777777" w:rsidR="00234984" w:rsidRPr="00064185" w:rsidRDefault="00234984" w:rsidP="0089632C">
      <w:pPr>
        <w:keepNext/>
        <w:widowControl w:val="0"/>
        <w:tabs>
          <w:tab w:val="left" w:pos="1304"/>
        </w:tabs>
        <w:suppressAutoHyphens/>
        <w:autoSpaceDE w:val="0"/>
        <w:autoSpaceDN w:val="0"/>
        <w:adjustRightInd w:val="0"/>
        <w:jc w:val="center"/>
        <w:rPr>
          <w:bCs/>
          <w:sz w:val="32"/>
          <w:szCs w:val="32"/>
          <w:lang w:val="it-IT"/>
        </w:rPr>
      </w:pPr>
      <w:r w:rsidRPr="00064185">
        <w:rPr>
          <w:bCs/>
          <w:sz w:val="32"/>
          <w:szCs w:val="32"/>
          <w:lang w:val="it-IT"/>
        </w:rPr>
        <w:t>COMPO Ameisen-Stop</w:t>
      </w:r>
    </w:p>
    <w:p w14:paraId="0511D5E9" w14:textId="77777777" w:rsidR="0074769D" w:rsidRPr="00064185" w:rsidRDefault="0089632C" w:rsidP="0089632C">
      <w:pPr>
        <w:keepNext/>
        <w:widowControl w:val="0"/>
        <w:tabs>
          <w:tab w:val="left" w:pos="1304"/>
        </w:tabs>
        <w:suppressAutoHyphens/>
        <w:autoSpaceDE w:val="0"/>
        <w:autoSpaceDN w:val="0"/>
        <w:adjustRightInd w:val="0"/>
        <w:jc w:val="center"/>
        <w:rPr>
          <w:bCs/>
          <w:sz w:val="32"/>
          <w:szCs w:val="32"/>
          <w:lang w:val="it-IT"/>
        </w:rPr>
      </w:pPr>
      <w:r w:rsidRPr="00064185">
        <w:rPr>
          <w:bCs/>
          <w:sz w:val="32"/>
          <w:szCs w:val="32"/>
          <w:lang w:val="it-IT"/>
        </w:rPr>
        <w:t>(COM 116 02 I AL)</w:t>
      </w:r>
    </w:p>
    <w:p w14:paraId="184806FE" w14:textId="77777777" w:rsidR="0074769D" w:rsidRPr="00064185" w:rsidRDefault="0074769D" w:rsidP="0074769D">
      <w:pPr>
        <w:rPr>
          <w:bCs/>
          <w:lang w:val="it-IT"/>
        </w:rPr>
      </w:pPr>
    </w:p>
    <w:p w14:paraId="1E40EC5B" w14:textId="77777777" w:rsidR="0074769D" w:rsidRPr="00064185" w:rsidRDefault="0089632C" w:rsidP="0074769D">
      <w:pPr>
        <w:tabs>
          <w:tab w:val="left" w:pos="8505"/>
        </w:tabs>
        <w:ind w:left="-142" w:right="-45"/>
        <w:jc w:val="center"/>
        <w:rPr>
          <w:bCs/>
          <w:sz w:val="32"/>
          <w:szCs w:val="32"/>
        </w:rPr>
      </w:pPr>
      <w:r w:rsidRPr="00064185">
        <w:rPr>
          <w:bCs/>
          <w:sz w:val="32"/>
          <w:szCs w:val="32"/>
        </w:rPr>
        <w:t xml:space="preserve">Product type </w:t>
      </w:r>
      <w:r w:rsidR="005A1673" w:rsidRPr="00064185">
        <w:rPr>
          <w:bCs/>
          <w:sz w:val="32"/>
          <w:szCs w:val="32"/>
        </w:rPr>
        <w:t>18</w:t>
      </w:r>
    </w:p>
    <w:p w14:paraId="3BB82DBC" w14:textId="77777777" w:rsidR="0074769D" w:rsidRPr="00064185" w:rsidRDefault="0074769D" w:rsidP="0074769D">
      <w:pPr>
        <w:tabs>
          <w:tab w:val="left" w:pos="8505"/>
        </w:tabs>
        <w:ind w:left="-142" w:right="-45"/>
        <w:jc w:val="center"/>
        <w:rPr>
          <w:bCs/>
          <w:sz w:val="32"/>
          <w:szCs w:val="32"/>
        </w:rPr>
      </w:pPr>
    </w:p>
    <w:p w14:paraId="23BF5480" w14:textId="77777777" w:rsidR="0074769D" w:rsidRPr="00064185" w:rsidRDefault="0089632C" w:rsidP="0074769D">
      <w:pPr>
        <w:tabs>
          <w:tab w:val="left" w:pos="8505"/>
        </w:tabs>
        <w:ind w:left="-142" w:right="-45"/>
        <w:jc w:val="center"/>
        <w:rPr>
          <w:bCs/>
          <w:sz w:val="32"/>
          <w:szCs w:val="32"/>
        </w:rPr>
      </w:pPr>
      <w:r w:rsidRPr="00064185">
        <w:rPr>
          <w:bCs/>
          <w:i/>
          <w:sz w:val="32"/>
          <w:szCs w:val="32"/>
        </w:rPr>
        <w:t>Lambda</w:t>
      </w:r>
      <w:r w:rsidRPr="00064185">
        <w:rPr>
          <w:bCs/>
          <w:sz w:val="32"/>
          <w:szCs w:val="32"/>
        </w:rPr>
        <w:t>-cyhalothrin</w:t>
      </w:r>
      <w:r w:rsidR="0074769D" w:rsidRPr="00064185">
        <w:rPr>
          <w:bCs/>
          <w:sz w:val="32"/>
          <w:szCs w:val="32"/>
        </w:rPr>
        <w:t xml:space="preserve"> as included in the Union lis</w:t>
      </w:r>
      <w:r w:rsidRPr="00064185">
        <w:rPr>
          <w:bCs/>
          <w:sz w:val="32"/>
          <w:szCs w:val="32"/>
        </w:rPr>
        <w:t>t of approved active substances</w:t>
      </w:r>
    </w:p>
    <w:p w14:paraId="7E1965BF" w14:textId="77777777" w:rsidR="0074769D" w:rsidRPr="00064185" w:rsidRDefault="0074769D" w:rsidP="0074769D">
      <w:pPr>
        <w:tabs>
          <w:tab w:val="left" w:pos="8505"/>
        </w:tabs>
        <w:ind w:right="-45"/>
        <w:rPr>
          <w:bCs/>
        </w:rPr>
      </w:pPr>
    </w:p>
    <w:p w14:paraId="2F6159E2" w14:textId="77777777" w:rsidR="0074769D" w:rsidRPr="00064185" w:rsidRDefault="0074769D" w:rsidP="0074769D">
      <w:pPr>
        <w:tabs>
          <w:tab w:val="left" w:pos="8505"/>
        </w:tabs>
        <w:ind w:right="-45"/>
        <w:jc w:val="center"/>
        <w:rPr>
          <w:bCs/>
          <w:sz w:val="32"/>
          <w:szCs w:val="32"/>
        </w:rPr>
      </w:pPr>
      <w:r w:rsidRPr="00064185">
        <w:rPr>
          <w:bCs/>
          <w:sz w:val="32"/>
          <w:szCs w:val="32"/>
        </w:rPr>
        <w:t xml:space="preserve">Case Number in R4BP: </w:t>
      </w:r>
      <w:r w:rsidR="00735A0C" w:rsidRPr="00064185">
        <w:rPr>
          <w:bCs/>
          <w:sz w:val="32"/>
          <w:szCs w:val="32"/>
        </w:rPr>
        <w:t>BC-ND000941-57</w:t>
      </w:r>
    </w:p>
    <w:p w14:paraId="44C1F291" w14:textId="77777777" w:rsidR="0074769D" w:rsidRPr="00064185" w:rsidRDefault="0074769D" w:rsidP="0074769D">
      <w:pPr>
        <w:tabs>
          <w:tab w:val="left" w:pos="8505"/>
        </w:tabs>
        <w:ind w:right="-45"/>
        <w:rPr>
          <w:bCs/>
        </w:rPr>
      </w:pPr>
    </w:p>
    <w:p w14:paraId="5F8378BE" w14:textId="77777777" w:rsidR="0074769D" w:rsidRPr="00064185" w:rsidRDefault="0074769D" w:rsidP="0074769D">
      <w:pPr>
        <w:tabs>
          <w:tab w:val="left" w:pos="8505"/>
        </w:tabs>
        <w:ind w:left="-142" w:right="-45"/>
        <w:jc w:val="center"/>
        <w:rPr>
          <w:bCs/>
          <w:sz w:val="32"/>
          <w:szCs w:val="32"/>
        </w:rPr>
      </w:pPr>
      <w:r w:rsidRPr="00064185">
        <w:rPr>
          <w:bCs/>
          <w:sz w:val="32"/>
          <w:szCs w:val="32"/>
        </w:rPr>
        <w:t>E</w:t>
      </w:r>
      <w:r w:rsidR="0089632C" w:rsidRPr="00064185">
        <w:rPr>
          <w:bCs/>
          <w:sz w:val="32"/>
          <w:szCs w:val="32"/>
        </w:rPr>
        <w:t xml:space="preserve">valuating Competent Authority: </w:t>
      </w:r>
      <w:r w:rsidR="00F558E6" w:rsidRPr="00064185">
        <w:rPr>
          <w:bCs/>
          <w:sz w:val="32"/>
          <w:szCs w:val="32"/>
        </w:rPr>
        <w:t>Austria</w:t>
      </w:r>
    </w:p>
    <w:p w14:paraId="51BC0995" w14:textId="77777777" w:rsidR="0074769D" w:rsidRPr="00064185" w:rsidRDefault="0074769D" w:rsidP="0074769D">
      <w:pPr>
        <w:tabs>
          <w:tab w:val="left" w:pos="8505"/>
        </w:tabs>
        <w:ind w:left="-142" w:right="-45"/>
        <w:jc w:val="center"/>
        <w:rPr>
          <w:highlight w:val="cyan"/>
        </w:rPr>
      </w:pPr>
    </w:p>
    <w:p w14:paraId="35C87CEF" w14:textId="77777777" w:rsidR="0074769D" w:rsidRPr="00064185" w:rsidRDefault="0074769D" w:rsidP="0074769D">
      <w:pPr>
        <w:tabs>
          <w:tab w:val="left" w:pos="8505"/>
        </w:tabs>
        <w:ind w:left="-142" w:right="-45"/>
        <w:jc w:val="center"/>
        <w:rPr>
          <w:highlight w:val="cyan"/>
        </w:rPr>
      </w:pPr>
    </w:p>
    <w:p w14:paraId="676DB490" w14:textId="728CAEC8" w:rsidR="0089632C" w:rsidRPr="00064185" w:rsidRDefault="007B7517" w:rsidP="00C86723">
      <w:pPr>
        <w:tabs>
          <w:tab w:val="left" w:pos="8505"/>
        </w:tabs>
        <w:ind w:left="-142" w:right="-45"/>
        <w:jc w:val="center"/>
        <w:rPr>
          <w:bCs/>
          <w:sz w:val="32"/>
          <w:szCs w:val="32"/>
        </w:rPr>
      </w:pPr>
      <w:r w:rsidRPr="00064185">
        <w:rPr>
          <w:bCs/>
          <w:sz w:val="32"/>
          <w:szCs w:val="32"/>
        </w:rPr>
        <w:t xml:space="preserve">Date: </w:t>
      </w:r>
      <w:r w:rsidR="00D5652F">
        <w:rPr>
          <w:bCs/>
          <w:sz w:val="32"/>
          <w:szCs w:val="32"/>
        </w:rPr>
        <w:t>14</w:t>
      </w:r>
      <w:r w:rsidR="0074769D" w:rsidRPr="00064185">
        <w:rPr>
          <w:bCs/>
          <w:sz w:val="32"/>
          <w:szCs w:val="32"/>
        </w:rPr>
        <w:t>/</w:t>
      </w:r>
      <w:r w:rsidR="00C77290" w:rsidRPr="00064185">
        <w:rPr>
          <w:bCs/>
          <w:sz w:val="32"/>
          <w:szCs w:val="32"/>
        </w:rPr>
        <w:t>03</w:t>
      </w:r>
      <w:r w:rsidR="0074769D" w:rsidRPr="00064185">
        <w:rPr>
          <w:bCs/>
          <w:sz w:val="32"/>
          <w:szCs w:val="32"/>
        </w:rPr>
        <w:t>/</w:t>
      </w:r>
      <w:r w:rsidR="00B67720" w:rsidRPr="00064185">
        <w:rPr>
          <w:bCs/>
          <w:sz w:val="32"/>
          <w:szCs w:val="32"/>
        </w:rPr>
        <w:t>201</w:t>
      </w:r>
      <w:r w:rsidR="00B33000" w:rsidRPr="00064185">
        <w:rPr>
          <w:bCs/>
          <w:sz w:val="32"/>
          <w:szCs w:val="32"/>
        </w:rPr>
        <w:t>9</w:t>
      </w:r>
    </w:p>
    <w:p w14:paraId="7BC7DFCC" w14:textId="77777777" w:rsidR="00B67720" w:rsidRPr="00064185" w:rsidRDefault="00B67720" w:rsidP="00C86723">
      <w:pPr>
        <w:tabs>
          <w:tab w:val="left" w:pos="8505"/>
        </w:tabs>
        <w:ind w:left="-142" w:right="-45"/>
        <w:jc w:val="center"/>
        <w:rPr>
          <w:bCs/>
          <w:sz w:val="32"/>
          <w:szCs w:val="32"/>
        </w:rPr>
      </w:pPr>
    </w:p>
    <w:p w14:paraId="76B4ED0C" w14:textId="555F17DE" w:rsidR="001C6DC4" w:rsidRPr="00064185" w:rsidRDefault="00491C79" w:rsidP="00C86723">
      <w:pPr>
        <w:tabs>
          <w:tab w:val="left" w:pos="8505"/>
        </w:tabs>
        <w:ind w:left="-142" w:right="-45"/>
        <w:jc w:val="center"/>
      </w:pPr>
      <w:r w:rsidRPr="00064185">
        <w:rPr>
          <w:rFonts w:ascii="Times New Roman" w:hAnsi="Times New Roman"/>
          <w:bCs/>
          <w:sz w:val="50"/>
          <w:szCs w:val="50"/>
        </w:rPr>
        <w:br w:type="page"/>
      </w:r>
    </w:p>
    <w:p w14:paraId="7B01318C" w14:textId="77777777" w:rsidR="00CF016A" w:rsidRPr="00064185" w:rsidRDefault="00CF016A" w:rsidP="00A53EE0">
      <w:pPr>
        <w:pStyle w:val="Inhaltsverzeichnisberschrift"/>
        <w:rPr>
          <w:rFonts w:ascii="Verdana" w:hAnsi="Verdana"/>
          <w:color w:val="auto"/>
          <w:u w:val="single"/>
        </w:rPr>
      </w:pPr>
    </w:p>
    <w:p w14:paraId="5FCF5A78" w14:textId="0025B1B6" w:rsidR="00A53EE0" w:rsidRPr="00064185" w:rsidRDefault="00A53EE0" w:rsidP="00A53EE0">
      <w:pPr>
        <w:pStyle w:val="Inhaltsverzeichnisberschrift"/>
        <w:rPr>
          <w:rFonts w:ascii="Verdana" w:hAnsi="Verdana"/>
          <w:color w:val="auto"/>
          <w:u w:val="single"/>
        </w:rPr>
      </w:pPr>
      <w:r w:rsidRPr="00064185">
        <w:rPr>
          <w:rFonts w:ascii="Verdana" w:hAnsi="Verdana"/>
          <w:color w:val="auto"/>
          <w:u w:val="single"/>
        </w:rPr>
        <w:t>Table of Contents</w:t>
      </w:r>
    </w:p>
    <w:p w14:paraId="30CE9B84" w14:textId="77777777" w:rsidR="00C94D3C" w:rsidRPr="00064185" w:rsidRDefault="00C94D3C" w:rsidP="00C94D3C">
      <w:pPr>
        <w:rPr>
          <w:lang w:val="en-US" w:eastAsia="ja-JP"/>
        </w:rPr>
      </w:pPr>
    </w:p>
    <w:p w14:paraId="0226399A" w14:textId="77777777" w:rsidR="00CA4809" w:rsidRPr="00064185" w:rsidRDefault="006D49C8">
      <w:pPr>
        <w:pStyle w:val="Verzeichnis1"/>
        <w:tabs>
          <w:tab w:val="left" w:pos="400"/>
          <w:tab w:val="right" w:leader="dot" w:pos="9204"/>
        </w:tabs>
        <w:rPr>
          <w:rFonts w:asciiTheme="minorHAnsi" w:eastAsiaTheme="minorEastAsia" w:hAnsiTheme="minorHAnsi" w:cstheme="minorBidi"/>
          <w:b w:val="0"/>
          <w:bCs w:val="0"/>
          <w:caps w:val="0"/>
          <w:noProof/>
          <w:sz w:val="22"/>
          <w:szCs w:val="22"/>
          <w:lang w:eastAsia="de-AT"/>
        </w:rPr>
      </w:pPr>
      <w:r w:rsidRPr="00064185">
        <w:rPr>
          <w:rFonts w:eastAsia="Calibri"/>
          <w:lang w:eastAsia="en-US"/>
        </w:rPr>
        <w:fldChar w:fldCharType="begin"/>
      </w:r>
      <w:r w:rsidRPr="00064185">
        <w:rPr>
          <w:rFonts w:eastAsia="Calibri"/>
          <w:lang w:eastAsia="en-US"/>
        </w:rPr>
        <w:instrText xml:space="preserve"> TOC \o "1-4" \u </w:instrText>
      </w:r>
      <w:r w:rsidRPr="00064185">
        <w:rPr>
          <w:rFonts w:eastAsia="Calibri"/>
          <w:lang w:eastAsia="en-US"/>
        </w:rPr>
        <w:fldChar w:fldCharType="separate"/>
      </w:r>
      <w:r w:rsidR="00CA4809" w:rsidRPr="00064185">
        <w:rPr>
          <w:rFonts w:eastAsia="Calibri"/>
          <w:noProof/>
          <w:lang w:eastAsia="en-US"/>
        </w:rPr>
        <w:t>1</w:t>
      </w:r>
      <w:r w:rsidR="00CA4809" w:rsidRPr="00064185">
        <w:rPr>
          <w:rFonts w:asciiTheme="minorHAnsi" w:eastAsiaTheme="minorEastAsia" w:hAnsiTheme="minorHAnsi" w:cstheme="minorBidi"/>
          <w:b w:val="0"/>
          <w:bCs w:val="0"/>
          <w:caps w:val="0"/>
          <w:noProof/>
          <w:sz w:val="22"/>
          <w:szCs w:val="22"/>
          <w:lang w:eastAsia="de-AT"/>
        </w:rPr>
        <w:tab/>
      </w:r>
      <w:r w:rsidR="00CA4809" w:rsidRPr="00064185">
        <w:rPr>
          <w:rFonts w:eastAsia="Calibri"/>
          <w:noProof/>
          <w:lang w:eastAsia="en-US"/>
        </w:rPr>
        <w:t>CONCLUSION</w:t>
      </w:r>
      <w:r w:rsidR="00CA4809" w:rsidRPr="00064185">
        <w:rPr>
          <w:noProof/>
        </w:rPr>
        <w:tab/>
      </w:r>
      <w:r w:rsidR="00CA4809" w:rsidRPr="00064185">
        <w:rPr>
          <w:noProof/>
        </w:rPr>
        <w:fldChar w:fldCharType="begin"/>
      </w:r>
      <w:r w:rsidR="00CA4809" w:rsidRPr="00064185">
        <w:rPr>
          <w:noProof/>
        </w:rPr>
        <w:instrText xml:space="preserve"> PAGEREF _Toc530563623 \h </w:instrText>
      </w:r>
      <w:r w:rsidR="00CA4809" w:rsidRPr="00064185">
        <w:rPr>
          <w:noProof/>
        </w:rPr>
      </w:r>
      <w:r w:rsidR="00CA4809" w:rsidRPr="00064185">
        <w:rPr>
          <w:noProof/>
        </w:rPr>
        <w:fldChar w:fldCharType="separate"/>
      </w:r>
      <w:r w:rsidR="00200C9F" w:rsidRPr="00064185">
        <w:rPr>
          <w:noProof/>
        </w:rPr>
        <w:t>4</w:t>
      </w:r>
      <w:r w:rsidR="00CA4809" w:rsidRPr="00064185">
        <w:rPr>
          <w:noProof/>
        </w:rPr>
        <w:fldChar w:fldCharType="end"/>
      </w:r>
    </w:p>
    <w:p w14:paraId="0F7C87BD" w14:textId="77777777" w:rsidR="00CA4809" w:rsidRPr="00064185" w:rsidRDefault="00CA4809">
      <w:pPr>
        <w:pStyle w:val="Verzeichnis1"/>
        <w:tabs>
          <w:tab w:val="left" w:pos="400"/>
          <w:tab w:val="right" w:leader="dot" w:pos="9204"/>
        </w:tabs>
        <w:rPr>
          <w:rFonts w:asciiTheme="minorHAnsi" w:eastAsiaTheme="minorEastAsia" w:hAnsiTheme="minorHAnsi" w:cstheme="minorBidi"/>
          <w:b w:val="0"/>
          <w:bCs w:val="0"/>
          <w:caps w:val="0"/>
          <w:noProof/>
          <w:sz w:val="22"/>
          <w:szCs w:val="22"/>
          <w:lang w:eastAsia="de-AT"/>
        </w:rPr>
      </w:pPr>
      <w:r w:rsidRPr="00064185">
        <w:rPr>
          <w:rFonts w:eastAsia="Calibri"/>
          <w:noProof/>
          <w:lang w:eastAsia="en-US"/>
        </w:rPr>
        <w:t>2</w:t>
      </w:r>
      <w:r w:rsidRPr="00064185">
        <w:rPr>
          <w:rFonts w:asciiTheme="minorHAnsi" w:eastAsiaTheme="minorEastAsia" w:hAnsiTheme="minorHAnsi" w:cstheme="minorBidi"/>
          <w:b w:val="0"/>
          <w:bCs w:val="0"/>
          <w:caps w:val="0"/>
          <w:noProof/>
          <w:sz w:val="22"/>
          <w:szCs w:val="22"/>
          <w:lang w:eastAsia="de-AT"/>
        </w:rPr>
        <w:tab/>
      </w:r>
      <w:r w:rsidRPr="00064185">
        <w:rPr>
          <w:rFonts w:eastAsia="Calibri"/>
          <w:noProof/>
          <w:lang w:eastAsia="en-US"/>
        </w:rPr>
        <w:t>ASSESSMENT REPORT</w:t>
      </w:r>
      <w:r w:rsidRPr="00064185">
        <w:rPr>
          <w:noProof/>
        </w:rPr>
        <w:tab/>
      </w:r>
      <w:r w:rsidRPr="00064185">
        <w:rPr>
          <w:noProof/>
        </w:rPr>
        <w:fldChar w:fldCharType="begin"/>
      </w:r>
      <w:r w:rsidRPr="00064185">
        <w:rPr>
          <w:noProof/>
        </w:rPr>
        <w:instrText xml:space="preserve"> PAGEREF _Toc530563624 \h </w:instrText>
      </w:r>
      <w:r w:rsidRPr="00064185">
        <w:rPr>
          <w:noProof/>
        </w:rPr>
      </w:r>
      <w:r w:rsidRPr="00064185">
        <w:rPr>
          <w:noProof/>
        </w:rPr>
        <w:fldChar w:fldCharType="separate"/>
      </w:r>
      <w:r w:rsidR="00200C9F" w:rsidRPr="00064185">
        <w:rPr>
          <w:noProof/>
        </w:rPr>
        <w:t>5</w:t>
      </w:r>
      <w:r w:rsidRPr="00064185">
        <w:rPr>
          <w:noProof/>
        </w:rPr>
        <w:fldChar w:fldCharType="end"/>
      </w:r>
    </w:p>
    <w:p w14:paraId="37701962" w14:textId="77777777" w:rsidR="00CA4809" w:rsidRPr="00064185" w:rsidRDefault="00CA4809">
      <w:pPr>
        <w:pStyle w:val="Verzeichnis2"/>
        <w:tabs>
          <w:tab w:val="left" w:pos="600"/>
          <w:tab w:val="right" w:leader="dot" w:pos="9204"/>
        </w:tabs>
        <w:rPr>
          <w:rFonts w:eastAsiaTheme="minorEastAsia" w:cstheme="minorBidi"/>
          <w:b w:val="0"/>
          <w:bCs w:val="0"/>
          <w:noProof/>
          <w:sz w:val="22"/>
          <w:szCs w:val="22"/>
          <w:lang w:eastAsia="de-AT"/>
        </w:rPr>
      </w:pPr>
      <w:r w:rsidRPr="00064185">
        <w:rPr>
          <w:noProof/>
        </w:rPr>
        <w:t>2.1</w:t>
      </w:r>
      <w:r w:rsidRPr="00064185">
        <w:rPr>
          <w:rFonts w:eastAsiaTheme="minorEastAsia" w:cstheme="minorBidi"/>
          <w:b w:val="0"/>
          <w:bCs w:val="0"/>
          <w:noProof/>
          <w:sz w:val="22"/>
          <w:szCs w:val="22"/>
          <w:lang w:eastAsia="de-AT"/>
        </w:rPr>
        <w:tab/>
      </w:r>
      <w:r w:rsidRPr="00064185">
        <w:rPr>
          <w:noProof/>
        </w:rPr>
        <w:t>Summary</w:t>
      </w:r>
      <w:r w:rsidRPr="00064185">
        <w:rPr>
          <w:noProof/>
        </w:rPr>
        <w:tab/>
      </w:r>
      <w:r w:rsidRPr="00064185">
        <w:rPr>
          <w:noProof/>
        </w:rPr>
        <w:fldChar w:fldCharType="begin"/>
      </w:r>
      <w:r w:rsidRPr="00064185">
        <w:rPr>
          <w:noProof/>
        </w:rPr>
        <w:instrText xml:space="preserve"> PAGEREF _Toc530563625 \h </w:instrText>
      </w:r>
      <w:r w:rsidRPr="00064185">
        <w:rPr>
          <w:noProof/>
        </w:rPr>
      </w:r>
      <w:r w:rsidRPr="00064185">
        <w:rPr>
          <w:noProof/>
        </w:rPr>
        <w:fldChar w:fldCharType="separate"/>
      </w:r>
      <w:r w:rsidR="00200C9F" w:rsidRPr="00064185">
        <w:rPr>
          <w:noProof/>
        </w:rPr>
        <w:t>5</w:t>
      </w:r>
      <w:r w:rsidRPr="00064185">
        <w:rPr>
          <w:noProof/>
        </w:rPr>
        <w:fldChar w:fldCharType="end"/>
      </w:r>
    </w:p>
    <w:p w14:paraId="628A8629"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noProof/>
        </w:rPr>
        <w:t>2.1.1</w:t>
      </w:r>
      <w:r w:rsidRPr="00064185">
        <w:rPr>
          <w:rFonts w:eastAsiaTheme="minorEastAsia" w:cstheme="minorBidi"/>
          <w:noProof/>
          <w:sz w:val="22"/>
          <w:szCs w:val="22"/>
          <w:lang w:val="en-US" w:eastAsia="de-AT"/>
        </w:rPr>
        <w:tab/>
      </w:r>
      <w:r w:rsidRPr="00064185">
        <w:rPr>
          <w:noProof/>
          <w:lang w:val="en-US"/>
        </w:rPr>
        <w:t>Presentation of the biocidal product</w:t>
      </w:r>
      <w:r w:rsidRPr="00064185">
        <w:rPr>
          <w:noProof/>
        </w:rPr>
        <w:tab/>
      </w:r>
      <w:r w:rsidRPr="00064185">
        <w:rPr>
          <w:noProof/>
        </w:rPr>
        <w:fldChar w:fldCharType="begin"/>
      </w:r>
      <w:r w:rsidRPr="00064185">
        <w:rPr>
          <w:noProof/>
        </w:rPr>
        <w:instrText xml:space="preserve"> PAGEREF _Toc530563626 \h </w:instrText>
      </w:r>
      <w:r w:rsidRPr="00064185">
        <w:rPr>
          <w:noProof/>
        </w:rPr>
      </w:r>
      <w:r w:rsidRPr="00064185">
        <w:rPr>
          <w:noProof/>
        </w:rPr>
        <w:fldChar w:fldCharType="separate"/>
      </w:r>
      <w:r w:rsidR="00200C9F" w:rsidRPr="00064185">
        <w:rPr>
          <w:noProof/>
        </w:rPr>
        <w:t>5</w:t>
      </w:r>
      <w:r w:rsidRPr="00064185">
        <w:rPr>
          <w:noProof/>
        </w:rPr>
        <w:fldChar w:fldCharType="end"/>
      </w:r>
    </w:p>
    <w:p w14:paraId="7749D09F"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A.</w:t>
      </w:r>
      <w:r w:rsidRPr="00064185">
        <w:rPr>
          <w:rFonts w:eastAsiaTheme="minorEastAsia" w:cstheme="minorBidi"/>
          <w:noProof/>
          <w:sz w:val="22"/>
          <w:szCs w:val="22"/>
          <w:lang w:val="en-US" w:eastAsia="de-AT"/>
        </w:rPr>
        <w:tab/>
      </w:r>
      <w:r w:rsidRPr="00064185">
        <w:rPr>
          <w:noProof/>
        </w:rPr>
        <w:t>Identity of the active substance</w:t>
      </w:r>
      <w:r w:rsidRPr="00064185">
        <w:rPr>
          <w:noProof/>
        </w:rPr>
        <w:tab/>
      </w:r>
      <w:r w:rsidRPr="00064185">
        <w:rPr>
          <w:noProof/>
        </w:rPr>
        <w:fldChar w:fldCharType="begin"/>
      </w:r>
      <w:r w:rsidRPr="00064185">
        <w:rPr>
          <w:noProof/>
        </w:rPr>
        <w:instrText xml:space="preserve"> PAGEREF _Toc530563627 \h </w:instrText>
      </w:r>
      <w:r w:rsidRPr="00064185">
        <w:rPr>
          <w:noProof/>
        </w:rPr>
      </w:r>
      <w:r w:rsidRPr="00064185">
        <w:rPr>
          <w:noProof/>
        </w:rPr>
        <w:fldChar w:fldCharType="separate"/>
      </w:r>
      <w:r w:rsidR="00200C9F" w:rsidRPr="00064185">
        <w:rPr>
          <w:noProof/>
        </w:rPr>
        <w:t>5</w:t>
      </w:r>
      <w:r w:rsidRPr="00064185">
        <w:rPr>
          <w:noProof/>
        </w:rPr>
        <w:fldChar w:fldCharType="end"/>
      </w:r>
    </w:p>
    <w:p w14:paraId="65D55C05"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B.</w:t>
      </w:r>
      <w:r w:rsidRPr="00064185">
        <w:rPr>
          <w:rFonts w:eastAsiaTheme="minorEastAsia" w:cstheme="minorBidi"/>
          <w:noProof/>
          <w:sz w:val="22"/>
          <w:szCs w:val="22"/>
          <w:lang w:val="en-US" w:eastAsia="de-AT"/>
        </w:rPr>
        <w:tab/>
      </w:r>
      <w:r w:rsidRPr="00064185">
        <w:rPr>
          <w:noProof/>
        </w:rPr>
        <w:t>Product composition and formulation</w:t>
      </w:r>
      <w:r w:rsidRPr="00064185">
        <w:rPr>
          <w:noProof/>
        </w:rPr>
        <w:tab/>
      </w:r>
      <w:r w:rsidRPr="00064185">
        <w:rPr>
          <w:noProof/>
        </w:rPr>
        <w:fldChar w:fldCharType="begin"/>
      </w:r>
      <w:r w:rsidRPr="00064185">
        <w:rPr>
          <w:noProof/>
        </w:rPr>
        <w:instrText xml:space="preserve"> PAGEREF _Toc530563628 \h </w:instrText>
      </w:r>
      <w:r w:rsidRPr="00064185">
        <w:rPr>
          <w:noProof/>
        </w:rPr>
      </w:r>
      <w:r w:rsidRPr="00064185">
        <w:rPr>
          <w:noProof/>
        </w:rPr>
        <w:fldChar w:fldCharType="separate"/>
      </w:r>
      <w:r w:rsidR="00200C9F" w:rsidRPr="00064185">
        <w:rPr>
          <w:noProof/>
        </w:rPr>
        <w:t>5</w:t>
      </w:r>
      <w:r w:rsidRPr="00064185">
        <w:rPr>
          <w:noProof/>
        </w:rPr>
        <w:fldChar w:fldCharType="end"/>
      </w:r>
    </w:p>
    <w:p w14:paraId="45381A30" w14:textId="77777777" w:rsidR="00CA4809" w:rsidRPr="00064185" w:rsidRDefault="00CA4809">
      <w:pPr>
        <w:pStyle w:val="Verzeichnis4"/>
        <w:tabs>
          <w:tab w:val="left" w:pos="800"/>
          <w:tab w:val="right" w:leader="dot" w:pos="9204"/>
        </w:tabs>
        <w:rPr>
          <w:rFonts w:eastAsiaTheme="minorEastAsia" w:cstheme="minorBidi"/>
          <w:noProof/>
          <w:sz w:val="22"/>
          <w:szCs w:val="22"/>
          <w:lang w:eastAsia="de-AT"/>
        </w:rPr>
      </w:pPr>
      <w:r w:rsidRPr="00064185">
        <w:rPr>
          <w:noProof/>
        </w:rPr>
        <w:t>C.</w:t>
      </w:r>
      <w:r w:rsidRPr="00064185">
        <w:rPr>
          <w:rFonts w:eastAsiaTheme="minorEastAsia" w:cstheme="minorBidi"/>
          <w:noProof/>
          <w:sz w:val="22"/>
          <w:szCs w:val="22"/>
          <w:lang w:eastAsia="de-AT"/>
        </w:rPr>
        <w:tab/>
      </w:r>
      <w:r w:rsidRPr="00064185">
        <w:rPr>
          <w:noProof/>
        </w:rPr>
        <w:t>Authorised use</w:t>
      </w:r>
      <w:r w:rsidRPr="00064185">
        <w:rPr>
          <w:noProof/>
        </w:rPr>
        <w:tab/>
      </w:r>
      <w:r w:rsidRPr="00064185">
        <w:rPr>
          <w:noProof/>
        </w:rPr>
        <w:fldChar w:fldCharType="begin"/>
      </w:r>
      <w:r w:rsidRPr="00064185">
        <w:rPr>
          <w:noProof/>
        </w:rPr>
        <w:instrText xml:space="preserve"> PAGEREF _Toc530563629 \h </w:instrText>
      </w:r>
      <w:r w:rsidRPr="00064185">
        <w:rPr>
          <w:noProof/>
        </w:rPr>
      </w:r>
      <w:r w:rsidRPr="00064185">
        <w:rPr>
          <w:noProof/>
        </w:rPr>
        <w:fldChar w:fldCharType="separate"/>
      </w:r>
      <w:r w:rsidR="00200C9F" w:rsidRPr="00064185">
        <w:rPr>
          <w:noProof/>
        </w:rPr>
        <w:t>6</w:t>
      </w:r>
      <w:r w:rsidRPr="00064185">
        <w:rPr>
          <w:noProof/>
        </w:rPr>
        <w:fldChar w:fldCharType="end"/>
      </w:r>
    </w:p>
    <w:p w14:paraId="14516C45"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D.</w:t>
      </w:r>
      <w:r w:rsidRPr="00064185">
        <w:rPr>
          <w:rFonts w:eastAsiaTheme="minorEastAsia" w:cstheme="minorBidi"/>
          <w:noProof/>
          <w:sz w:val="22"/>
          <w:szCs w:val="22"/>
          <w:lang w:val="en-US" w:eastAsia="de-AT"/>
        </w:rPr>
        <w:tab/>
      </w:r>
      <w:r w:rsidRPr="00064185">
        <w:rPr>
          <w:noProof/>
        </w:rPr>
        <w:t>Hazard and precautionary statements</w:t>
      </w:r>
      <w:r w:rsidRPr="00064185">
        <w:rPr>
          <w:noProof/>
        </w:rPr>
        <w:tab/>
      </w:r>
      <w:r w:rsidRPr="00064185">
        <w:rPr>
          <w:noProof/>
        </w:rPr>
        <w:fldChar w:fldCharType="begin"/>
      </w:r>
      <w:r w:rsidRPr="00064185">
        <w:rPr>
          <w:noProof/>
        </w:rPr>
        <w:instrText xml:space="preserve"> PAGEREF _Toc530563630 \h </w:instrText>
      </w:r>
      <w:r w:rsidRPr="00064185">
        <w:rPr>
          <w:noProof/>
        </w:rPr>
      </w:r>
      <w:r w:rsidRPr="00064185">
        <w:rPr>
          <w:noProof/>
        </w:rPr>
        <w:fldChar w:fldCharType="separate"/>
      </w:r>
      <w:r w:rsidR="00200C9F" w:rsidRPr="00064185">
        <w:rPr>
          <w:noProof/>
        </w:rPr>
        <w:t>8</w:t>
      </w:r>
      <w:r w:rsidRPr="00064185">
        <w:rPr>
          <w:noProof/>
        </w:rPr>
        <w:fldChar w:fldCharType="end"/>
      </w:r>
    </w:p>
    <w:p w14:paraId="12B35BD3"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E.</w:t>
      </w:r>
      <w:r w:rsidRPr="00064185">
        <w:rPr>
          <w:rFonts w:eastAsiaTheme="minorEastAsia" w:cstheme="minorBidi"/>
          <w:noProof/>
          <w:sz w:val="22"/>
          <w:szCs w:val="22"/>
          <w:lang w:val="en-US" w:eastAsia="de-AT"/>
        </w:rPr>
        <w:tab/>
      </w:r>
      <w:r w:rsidRPr="00064185">
        <w:rPr>
          <w:noProof/>
        </w:rPr>
        <w:t>Packaging of the biocidal product</w:t>
      </w:r>
      <w:r w:rsidRPr="00064185">
        <w:rPr>
          <w:noProof/>
        </w:rPr>
        <w:tab/>
      </w:r>
      <w:r w:rsidRPr="00064185">
        <w:rPr>
          <w:noProof/>
        </w:rPr>
        <w:fldChar w:fldCharType="begin"/>
      </w:r>
      <w:r w:rsidRPr="00064185">
        <w:rPr>
          <w:noProof/>
        </w:rPr>
        <w:instrText xml:space="preserve"> PAGEREF _Toc530563631 \h </w:instrText>
      </w:r>
      <w:r w:rsidRPr="00064185">
        <w:rPr>
          <w:noProof/>
        </w:rPr>
      </w:r>
      <w:r w:rsidRPr="00064185">
        <w:rPr>
          <w:noProof/>
        </w:rPr>
        <w:fldChar w:fldCharType="separate"/>
      </w:r>
      <w:r w:rsidR="00200C9F" w:rsidRPr="00064185">
        <w:rPr>
          <w:noProof/>
        </w:rPr>
        <w:t>9</w:t>
      </w:r>
      <w:r w:rsidRPr="00064185">
        <w:rPr>
          <w:noProof/>
        </w:rPr>
        <w:fldChar w:fldCharType="end"/>
      </w:r>
    </w:p>
    <w:p w14:paraId="05D66F71"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rFonts w:eastAsia="Calibri"/>
          <w:noProof/>
          <w:lang w:eastAsia="en-US"/>
        </w:rPr>
        <w:t>2.1.2</w:t>
      </w:r>
      <w:r w:rsidRPr="00064185">
        <w:rPr>
          <w:rFonts w:eastAsiaTheme="minorEastAsia" w:cstheme="minorBidi"/>
          <w:noProof/>
          <w:sz w:val="22"/>
          <w:szCs w:val="22"/>
          <w:lang w:val="en-US" w:eastAsia="de-AT"/>
        </w:rPr>
        <w:tab/>
      </w:r>
      <w:r w:rsidRPr="00064185">
        <w:rPr>
          <w:rFonts w:eastAsia="Calibri"/>
          <w:noProof/>
          <w:lang w:val="en-US" w:eastAsia="en-US"/>
        </w:rPr>
        <w:t>Summary of the physical, chemical and technical properties</w:t>
      </w:r>
      <w:r w:rsidRPr="00064185">
        <w:rPr>
          <w:noProof/>
        </w:rPr>
        <w:tab/>
      </w:r>
      <w:r w:rsidRPr="00064185">
        <w:rPr>
          <w:noProof/>
        </w:rPr>
        <w:fldChar w:fldCharType="begin"/>
      </w:r>
      <w:r w:rsidRPr="00064185">
        <w:rPr>
          <w:noProof/>
        </w:rPr>
        <w:instrText xml:space="preserve"> PAGEREF _Toc530563632 \h </w:instrText>
      </w:r>
      <w:r w:rsidRPr="00064185">
        <w:rPr>
          <w:noProof/>
        </w:rPr>
      </w:r>
      <w:r w:rsidRPr="00064185">
        <w:rPr>
          <w:noProof/>
        </w:rPr>
        <w:fldChar w:fldCharType="separate"/>
      </w:r>
      <w:r w:rsidR="00200C9F" w:rsidRPr="00064185">
        <w:rPr>
          <w:noProof/>
        </w:rPr>
        <w:t>9</w:t>
      </w:r>
      <w:r w:rsidRPr="00064185">
        <w:rPr>
          <w:noProof/>
        </w:rPr>
        <w:fldChar w:fldCharType="end"/>
      </w:r>
    </w:p>
    <w:p w14:paraId="0E7E07F6"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rFonts w:eastAsia="Calibri"/>
          <w:noProof/>
          <w:lang w:eastAsia="en-US"/>
        </w:rPr>
        <w:t>2.1.3</w:t>
      </w:r>
      <w:r w:rsidRPr="00064185">
        <w:rPr>
          <w:rFonts w:eastAsiaTheme="minorEastAsia" w:cstheme="minorBidi"/>
          <w:noProof/>
          <w:sz w:val="22"/>
          <w:szCs w:val="22"/>
          <w:lang w:val="en-US" w:eastAsia="de-AT"/>
        </w:rPr>
        <w:tab/>
      </w:r>
      <w:r w:rsidRPr="00064185">
        <w:rPr>
          <w:rFonts w:eastAsia="Calibri"/>
          <w:noProof/>
          <w:lang w:val="en-US" w:eastAsia="en-US"/>
        </w:rPr>
        <w:t>Summary of the Human Health Risk Assessment</w:t>
      </w:r>
      <w:r w:rsidRPr="00064185">
        <w:rPr>
          <w:noProof/>
        </w:rPr>
        <w:tab/>
      </w:r>
      <w:r w:rsidRPr="00064185">
        <w:rPr>
          <w:noProof/>
        </w:rPr>
        <w:fldChar w:fldCharType="begin"/>
      </w:r>
      <w:r w:rsidRPr="00064185">
        <w:rPr>
          <w:noProof/>
        </w:rPr>
        <w:instrText xml:space="preserve"> PAGEREF _Toc530563633 \h </w:instrText>
      </w:r>
      <w:r w:rsidRPr="00064185">
        <w:rPr>
          <w:noProof/>
        </w:rPr>
      </w:r>
      <w:r w:rsidRPr="00064185">
        <w:rPr>
          <w:noProof/>
        </w:rPr>
        <w:fldChar w:fldCharType="separate"/>
      </w:r>
      <w:r w:rsidR="00200C9F" w:rsidRPr="00064185">
        <w:rPr>
          <w:noProof/>
        </w:rPr>
        <w:t>9</w:t>
      </w:r>
      <w:r w:rsidRPr="00064185">
        <w:rPr>
          <w:noProof/>
        </w:rPr>
        <w:fldChar w:fldCharType="end"/>
      </w:r>
    </w:p>
    <w:p w14:paraId="14042DE7"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rFonts w:eastAsia="Calibri"/>
          <w:noProof/>
          <w:lang w:eastAsia="en-US"/>
        </w:rPr>
        <w:t>2.1.4</w:t>
      </w:r>
      <w:r w:rsidRPr="00064185">
        <w:rPr>
          <w:rFonts w:eastAsiaTheme="minorEastAsia" w:cstheme="minorBidi"/>
          <w:noProof/>
          <w:sz w:val="22"/>
          <w:szCs w:val="22"/>
          <w:lang w:val="en-US" w:eastAsia="de-AT"/>
        </w:rPr>
        <w:tab/>
      </w:r>
      <w:r w:rsidRPr="00064185">
        <w:rPr>
          <w:rFonts w:eastAsia="Calibri"/>
          <w:noProof/>
          <w:lang w:val="en-US" w:eastAsia="en-US"/>
        </w:rPr>
        <w:t>Summary of the Environmental Risk Assessment</w:t>
      </w:r>
      <w:r w:rsidRPr="00064185">
        <w:rPr>
          <w:noProof/>
        </w:rPr>
        <w:tab/>
      </w:r>
      <w:r w:rsidRPr="00064185">
        <w:rPr>
          <w:noProof/>
        </w:rPr>
        <w:fldChar w:fldCharType="begin"/>
      </w:r>
      <w:r w:rsidRPr="00064185">
        <w:rPr>
          <w:noProof/>
        </w:rPr>
        <w:instrText xml:space="preserve"> PAGEREF _Toc530563634 \h </w:instrText>
      </w:r>
      <w:r w:rsidRPr="00064185">
        <w:rPr>
          <w:noProof/>
        </w:rPr>
      </w:r>
      <w:r w:rsidRPr="00064185">
        <w:rPr>
          <w:noProof/>
        </w:rPr>
        <w:fldChar w:fldCharType="separate"/>
      </w:r>
      <w:r w:rsidR="00200C9F" w:rsidRPr="00064185">
        <w:rPr>
          <w:noProof/>
        </w:rPr>
        <w:t>14</w:t>
      </w:r>
      <w:r w:rsidRPr="00064185">
        <w:rPr>
          <w:noProof/>
        </w:rPr>
        <w:fldChar w:fldCharType="end"/>
      </w:r>
    </w:p>
    <w:p w14:paraId="7F61BFF8" w14:textId="77777777" w:rsidR="00CA4809" w:rsidRPr="00064185" w:rsidRDefault="00CA4809">
      <w:pPr>
        <w:pStyle w:val="Verzeichnis2"/>
        <w:tabs>
          <w:tab w:val="left" w:pos="600"/>
          <w:tab w:val="right" w:leader="dot" w:pos="9204"/>
        </w:tabs>
        <w:rPr>
          <w:rFonts w:eastAsiaTheme="minorEastAsia" w:cstheme="minorBidi"/>
          <w:b w:val="0"/>
          <w:bCs w:val="0"/>
          <w:noProof/>
          <w:sz w:val="22"/>
          <w:szCs w:val="22"/>
          <w:lang w:val="en-US" w:eastAsia="de-AT"/>
        </w:rPr>
      </w:pPr>
      <w:r w:rsidRPr="00064185">
        <w:rPr>
          <w:noProof/>
        </w:rPr>
        <w:t>2.2</w:t>
      </w:r>
      <w:r w:rsidRPr="00064185">
        <w:rPr>
          <w:rFonts w:eastAsiaTheme="minorEastAsia" w:cstheme="minorBidi"/>
          <w:b w:val="0"/>
          <w:bCs w:val="0"/>
          <w:noProof/>
          <w:sz w:val="22"/>
          <w:szCs w:val="22"/>
          <w:lang w:val="en-US" w:eastAsia="de-AT"/>
        </w:rPr>
        <w:tab/>
      </w:r>
      <w:r w:rsidRPr="00064185">
        <w:rPr>
          <w:noProof/>
        </w:rPr>
        <w:t>General information about the product application</w:t>
      </w:r>
      <w:r w:rsidRPr="00064185">
        <w:rPr>
          <w:noProof/>
        </w:rPr>
        <w:tab/>
      </w:r>
      <w:r w:rsidRPr="00064185">
        <w:rPr>
          <w:noProof/>
        </w:rPr>
        <w:fldChar w:fldCharType="begin"/>
      </w:r>
      <w:r w:rsidRPr="00064185">
        <w:rPr>
          <w:noProof/>
        </w:rPr>
        <w:instrText xml:space="preserve"> PAGEREF _Toc530563635 \h </w:instrText>
      </w:r>
      <w:r w:rsidRPr="00064185">
        <w:rPr>
          <w:noProof/>
        </w:rPr>
      </w:r>
      <w:r w:rsidRPr="00064185">
        <w:rPr>
          <w:noProof/>
        </w:rPr>
        <w:fldChar w:fldCharType="separate"/>
      </w:r>
      <w:r w:rsidR="00200C9F" w:rsidRPr="00064185">
        <w:rPr>
          <w:noProof/>
        </w:rPr>
        <w:t>20</w:t>
      </w:r>
      <w:r w:rsidRPr="00064185">
        <w:rPr>
          <w:noProof/>
        </w:rPr>
        <w:fldChar w:fldCharType="end"/>
      </w:r>
    </w:p>
    <w:p w14:paraId="640E911E"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rFonts w:eastAsia="Calibri"/>
          <w:noProof/>
          <w:lang w:eastAsia="en-US"/>
        </w:rPr>
        <w:t>2.2.1</w:t>
      </w:r>
      <w:r w:rsidRPr="00064185">
        <w:rPr>
          <w:rFonts w:eastAsiaTheme="minorEastAsia" w:cstheme="minorBidi"/>
          <w:noProof/>
          <w:sz w:val="22"/>
          <w:szCs w:val="22"/>
          <w:lang w:val="en-US" w:eastAsia="de-AT"/>
        </w:rPr>
        <w:tab/>
      </w:r>
      <w:r w:rsidRPr="00064185">
        <w:rPr>
          <w:rFonts w:eastAsia="Calibri"/>
          <w:noProof/>
          <w:lang w:eastAsia="en-US"/>
        </w:rPr>
        <w:t>Administrative information</w:t>
      </w:r>
      <w:r w:rsidRPr="00064185">
        <w:rPr>
          <w:noProof/>
        </w:rPr>
        <w:tab/>
      </w:r>
      <w:r w:rsidRPr="00064185">
        <w:rPr>
          <w:noProof/>
        </w:rPr>
        <w:fldChar w:fldCharType="begin"/>
      </w:r>
      <w:r w:rsidRPr="00064185">
        <w:rPr>
          <w:noProof/>
        </w:rPr>
        <w:instrText xml:space="preserve"> PAGEREF _Toc530563636 \h </w:instrText>
      </w:r>
      <w:r w:rsidRPr="00064185">
        <w:rPr>
          <w:noProof/>
        </w:rPr>
      </w:r>
      <w:r w:rsidRPr="00064185">
        <w:rPr>
          <w:noProof/>
        </w:rPr>
        <w:fldChar w:fldCharType="separate"/>
      </w:r>
      <w:r w:rsidR="00200C9F" w:rsidRPr="00064185">
        <w:rPr>
          <w:noProof/>
        </w:rPr>
        <w:t>20</w:t>
      </w:r>
      <w:r w:rsidRPr="00064185">
        <w:rPr>
          <w:noProof/>
        </w:rPr>
        <w:fldChar w:fldCharType="end"/>
      </w:r>
    </w:p>
    <w:p w14:paraId="1DE207B0"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rFonts w:cs="Arial"/>
          <w:bCs/>
          <w:iCs/>
          <w:noProof/>
        </w:rPr>
        <w:t>A.</w:t>
      </w:r>
      <w:r w:rsidRPr="00064185">
        <w:rPr>
          <w:rFonts w:eastAsiaTheme="minorEastAsia" w:cstheme="minorBidi"/>
          <w:noProof/>
          <w:sz w:val="22"/>
          <w:szCs w:val="22"/>
          <w:lang w:val="en-US" w:eastAsia="de-AT"/>
        </w:rPr>
        <w:tab/>
      </w:r>
      <w:r w:rsidRPr="00064185">
        <w:rPr>
          <w:noProof/>
        </w:rPr>
        <w:t>Trade name of the product</w:t>
      </w:r>
      <w:r w:rsidRPr="00064185">
        <w:rPr>
          <w:noProof/>
        </w:rPr>
        <w:tab/>
      </w:r>
      <w:r w:rsidRPr="00064185">
        <w:rPr>
          <w:noProof/>
        </w:rPr>
        <w:fldChar w:fldCharType="begin"/>
      </w:r>
      <w:r w:rsidRPr="00064185">
        <w:rPr>
          <w:noProof/>
        </w:rPr>
        <w:instrText xml:space="preserve"> PAGEREF _Toc530563637 \h </w:instrText>
      </w:r>
      <w:r w:rsidRPr="00064185">
        <w:rPr>
          <w:noProof/>
        </w:rPr>
      </w:r>
      <w:r w:rsidRPr="00064185">
        <w:rPr>
          <w:noProof/>
        </w:rPr>
        <w:fldChar w:fldCharType="separate"/>
      </w:r>
      <w:r w:rsidR="00200C9F" w:rsidRPr="00064185">
        <w:rPr>
          <w:noProof/>
        </w:rPr>
        <w:t>20</w:t>
      </w:r>
      <w:r w:rsidRPr="00064185">
        <w:rPr>
          <w:noProof/>
        </w:rPr>
        <w:fldChar w:fldCharType="end"/>
      </w:r>
    </w:p>
    <w:p w14:paraId="034DB1F9"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B.</w:t>
      </w:r>
      <w:r w:rsidRPr="00064185">
        <w:rPr>
          <w:rFonts w:eastAsiaTheme="minorEastAsia" w:cstheme="minorBidi"/>
          <w:noProof/>
          <w:sz w:val="22"/>
          <w:szCs w:val="22"/>
          <w:lang w:val="en-US" w:eastAsia="de-AT"/>
        </w:rPr>
        <w:tab/>
      </w:r>
      <w:r w:rsidRPr="00064185">
        <w:rPr>
          <w:noProof/>
        </w:rPr>
        <w:t>Authorisation holder</w:t>
      </w:r>
      <w:r w:rsidRPr="00064185">
        <w:rPr>
          <w:noProof/>
        </w:rPr>
        <w:tab/>
      </w:r>
      <w:r w:rsidRPr="00064185">
        <w:rPr>
          <w:noProof/>
        </w:rPr>
        <w:fldChar w:fldCharType="begin"/>
      </w:r>
      <w:r w:rsidRPr="00064185">
        <w:rPr>
          <w:noProof/>
        </w:rPr>
        <w:instrText xml:space="preserve"> PAGEREF _Toc530563638 \h </w:instrText>
      </w:r>
      <w:r w:rsidRPr="00064185">
        <w:rPr>
          <w:noProof/>
        </w:rPr>
      </w:r>
      <w:r w:rsidRPr="00064185">
        <w:rPr>
          <w:noProof/>
        </w:rPr>
        <w:fldChar w:fldCharType="separate"/>
      </w:r>
      <w:r w:rsidR="00200C9F" w:rsidRPr="00064185">
        <w:rPr>
          <w:noProof/>
        </w:rPr>
        <w:t>20</w:t>
      </w:r>
      <w:r w:rsidRPr="00064185">
        <w:rPr>
          <w:noProof/>
        </w:rPr>
        <w:fldChar w:fldCharType="end"/>
      </w:r>
    </w:p>
    <w:p w14:paraId="56B1586D"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C.</w:t>
      </w:r>
      <w:r w:rsidRPr="00064185">
        <w:rPr>
          <w:rFonts w:eastAsiaTheme="minorEastAsia" w:cstheme="minorBidi"/>
          <w:noProof/>
          <w:sz w:val="22"/>
          <w:szCs w:val="22"/>
          <w:lang w:val="en-US" w:eastAsia="de-AT"/>
        </w:rPr>
        <w:tab/>
      </w:r>
      <w:r w:rsidRPr="00064185">
        <w:rPr>
          <w:noProof/>
        </w:rPr>
        <w:t>Applicant (if different from authorisation holder)</w:t>
      </w:r>
      <w:r w:rsidRPr="00064185">
        <w:rPr>
          <w:noProof/>
        </w:rPr>
        <w:tab/>
      </w:r>
      <w:r w:rsidRPr="00064185">
        <w:rPr>
          <w:noProof/>
        </w:rPr>
        <w:fldChar w:fldCharType="begin"/>
      </w:r>
      <w:r w:rsidRPr="00064185">
        <w:rPr>
          <w:noProof/>
        </w:rPr>
        <w:instrText xml:space="preserve"> PAGEREF _Toc530563639 \h </w:instrText>
      </w:r>
      <w:r w:rsidRPr="00064185">
        <w:rPr>
          <w:noProof/>
        </w:rPr>
      </w:r>
      <w:r w:rsidRPr="00064185">
        <w:rPr>
          <w:noProof/>
        </w:rPr>
        <w:fldChar w:fldCharType="separate"/>
      </w:r>
      <w:r w:rsidR="00200C9F" w:rsidRPr="00064185">
        <w:rPr>
          <w:noProof/>
        </w:rPr>
        <w:t>20</w:t>
      </w:r>
      <w:r w:rsidRPr="00064185">
        <w:rPr>
          <w:noProof/>
        </w:rPr>
        <w:fldChar w:fldCharType="end"/>
      </w:r>
    </w:p>
    <w:p w14:paraId="6C9A2590"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D.</w:t>
      </w:r>
      <w:r w:rsidRPr="00064185">
        <w:rPr>
          <w:rFonts w:eastAsiaTheme="minorEastAsia" w:cstheme="minorBidi"/>
          <w:noProof/>
          <w:sz w:val="22"/>
          <w:szCs w:val="22"/>
          <w:lang w:val="en-US" w:eastAsia="de-AT"/>
        </w:rPr>
        <w:tab/>
      </w:r>
      <w:r w:rsidRPr="00064185">
        <w:rPr>
          <w:noProof/>
        </w:rPr>
        <w:t>Person authorised for communication on behalf of the applicant</w:t>
      </w:r>
      <w:r w:rsidRPr="00064185">
        <w:rPr>
          <w:noProof/>
        </w:rPr>
        <w:tab/>
      </w:r>
      <w:r w:rsidRPr="00064185">
        <w:rPr>
          <w:noProof/>
        </w:rPr>
        <w:fldChar w:fldCharType="begin"/>
      </w:r>
      <w:r w:rsidRPr="00064185">
        <w:rPr>
          <w:noProof/>
        </w:rPr>
        <w:instrText xml:space="preserve"> PAGEREF _Toc530563640 \h </w:instrText>
      </w:r>
      <w:r w:rsidRPr="00064185">
        <w:rPr>
          <w:noProof/>
        </w:rPr>
      </w:r>
      <w:r w:rsidRPr="00064185">
        <w:rPr>
          <w:noProof/>
        </w:rPr>
        <w:fldChar w:fldCharType="separate"/>
      </w:r>
      <w:r w:rsidR="00200C9F" w:rsidRPr="00064185">
        <w:rPr>
          <w:noProof/>
        </w:rPr>
        <w:t>21</w:t>
      </w:r>
      <w:r w:rsidRPr="00064185">
        <w:rPr>
          <w:noProof/>
        </w:rPr>
        <w:fldChar w:fldCharType="end"/>
      </w:r>
    </w:p>
    <w:p w14:paraId="709FFF98"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E.</w:t>
      </w:r>
      <w:r w:rsidRPr="00064185">
        <w:rPr>
          <w:rFonts w:eastAsiaTheme="minorEastAsia" w:cstheme="minorBidi"/>
          <w:noProof/>
          <w:sz w:val="22"/>
          <w:szCs w:val="22"/>
          <w:lang w:val="en-US" w:eastAsia="de-AT"/>
        </w:rPr>
        <w:tab/>
      </w:r>
      <w:r w:rsidRPr="00064185">
        <w:rPr>
          <w:noProof/>
        </w:rPr>
        <w:t>Manufacturer(s) of the product</w:t>
      </w:r>
      <w:r w:rsidRPr="00064185">
        <w:rPr>
          <w:noProof/>
        </w:rPr>
        <w:tab/>
      </w:r>
      <w:r w:rsidRPr="00064185">
        <w:rPr>
          <w:noProof/>
        </w:rPr>
        <w:fldChar w:fldCharType="begin"/>
      </w:r>
      <w:r w:rsidRPr="00064185">
        <w:rPr>
          <w:noProof/>
        </w:rPr>
        <w:instrText xml:space="preserve"> PAGEREF _Toc530563641 \h </w:instrText>
      </w:r>
      <w:r w:rsidRPr="00064185">
        <w:rPr>
          <w:noProof/>
        </w:rPr>
      </w:r>
      <w:r w:rsidRPr="00064185">
        <w:rPr>
          <w:noProof/>
        </w:rPr>
        <w:fldChar w:fldCharType="separate"/>
      </w:r>
      <w:r w:rsidR="00200C9F" w:rsidRPr="00064185">
        <w:rPr>
          <w:noProof/>
        </w:rPr>
        <w:t>21</w:t>
      </w:r>
      <w:r w:rsidRPr="00064185">
        <w:rPr>
          <w:noProof/>
        </w:rPr>
        <w:fldChar w:fldCharType="end"/>
      </w:r>
    </w:p>
    <w:p w14:paraId="451D54D7"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F.</w:t>
      </w:r>
      <w:r w:rsidRPr="00064185">
        <w:rPr>
          <w:rFonts w:eastAsiaTheme="minorEastAsia" w:cstheme="minorBidi"/>
          <w:noProof/>
          <w:sz w:val="22"/>
          <w:szCs w:val="22"/>
          <w:lang w:val="en-US" w:eastAsia="de-AT"/>
        </w:rPr>
        <w:tab/>
      </w:r>
      <w:r w:rsidRPr="00064185">
        <w:rPr>
          <w:noProof/>
        </w:rPr>
        <w:t>Candidate(s) for substitution</w:t>
      </w:r>
      <w:r w:rsidRPr="00064185">
        <w:rPr>
          <w:noProof/>
        </w:rPr>
        <w:tab/>
      </w:r>
      <w:r w:rsidRPr="00064185">
        <w:rPr>
          <w:noProof/>
        </w:rPr>
        <w:fldChar w:fldCharType="begin"/>
      </w:r>
      <w:r w:rsidRPr="00064185">
        <w:rPr>
          <w:noProof/>
        </w:rPr>
        <w:instrText xml:space="preserve"> PAGEREF _Toc530563642 \h </w:instrText>
      </w:r>
      <w:r w:rsidRPr="00064185">
        <w:rPr>
          <w:noProof/>
        </w:rPr>
      </w:r>
      <w:r w:rsidRPr="00064185">
        <w:rPr>
          <w:noProof/>
        </w:rPr>
        <w:fldChar w:fldCharType="separate"/>
      </w:r>
      <w:r w:rsidR="00200C9F" w:rsidRPr="00064185">
        <w:rPr>
          <w:noProof/>
        </w:rPr>
        <w:t>22</w:t>
      </w:r>
      <w:r w:rsidRPr="00064185">
        <w:rPr>
          <w:noProof/>
        </w:rPr>
        <w:fldChar w:fldCharType="end"/>
      </w:r>
    </w:p>
    <w:p w14:paraId="114CA83B" w14:textId="77777777" w:rsidR="00CA4809" w:rsidRPr="00064185" w:rsidRDefault="00CA4809">
      <w:pPr>
        <w:pStyle w:val="Verzeichnis3"/>
        <w:tabs>
          <w:tab w:val="left" w:pos="1000"/>
          <w:tab w:val="right" w:leader="dot" w:pos="9204"/>
        </w:tabs>
        <w:rPr>
          <w:rFonts w:eastAsiaTheme="minorEastAsia" w:cstheme="minorBidi"/>
          <w:noProof/>
          <w:sz w:val="22"/>
          <w:szCs w:val="22"/>
          <w:lang w:eastAsia="de-AT"/>
        </w:rPr>
      </w:pPr>
      <w:r w:rsidRPr="00064185">
        <w:rPr>
          <w:rFonts w:eastAsia="Calibri"/>
          <w:noProof/>
          <w:lang w:eastAsia="en-US"/>
        </w:rPr>
        <w:t>2.2.2</w:t>
      </w:r>
      <w:r w:rsidRPr="00064185">
        <w:rPr>
          <w:rFonts w:eastAsiaTheme="minorEastAsia" w:cstheme="minorBidi"/>
          <w:noProof/>
          <w:sz w:val="22"/>
          <w:szCs w:val="22"/>
          <w:lang w:eastAsia="de-AT"/>
        </w:rPr>
        <w:tab/>
      </w:r>
      <w:r w:rsidRPr="00064185">
        <w:rPr>
          <w:rFonts w:eastAsia="Calibri"/>
          <w:noProof/>
          <w:lang w:eastAsia="en-US"/>
        </w:rPr>
        <w:t>Product composition and formulation</w:t>
      </w:r>
      <w:r w:rsidRPr="00064185">
        <w:rPr>
          <w:noProof/>
        </w:rPr>
        <w:tab/>
      </w:r>
      <w:r w:rsidRPr="00064185">
        <w:rPr>
          <w:noProof/>
        </w:rPr>
        <w:fldChar w:fldCharType="begin"/>
      </w:r>
      <w:r w:rsidRPr="00064185">
        <w:rPr>
          <w:noProof/>
        </w:rPr>
        <w:instrText xml:space="preserve"> PAGEREF _Toc530563643 \h </w:instrText>
      </w:r>
      <w:r w:rsidRPr="00064185">
        <w:rPr>
          <w:noProof/>
        </w:rPr>
      </w:r>
      <w:r w:rsidRPr="00064185">
        <w:rPr>
          <w:noProof/>
        </w:rPr>
        <w:fldChar w:fldCharType="separate"/>
      </w:r>
      <w:r w:rsidR="00200C9F" w:rsidRPr="00064185">
        <w:rPr>
          <w:noProof/>
        </w:rPr>
        <w:t>22</w:t>
      </w:r>
      <w:r w:rsidRPr="00064185">
        <w:rPr>
          <w:noProof/>
        </w:rPr>
        <w:fldChar w:fldCharType="end"/>
      </w:r>
    </w:p>
    <w:p w14:paraId="44DE9708"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A.</w:t>
      </w:r>
      <w:r w:rsidRPr="00064185">
        <w:rPr>
          <w:rFonts w:eastAsiaTheme="minorEastAsia" w:cstheme="minorBidi"/>
          <w:noProof/>
          <w:sz w:val="22"/>
          <w:szCs w:val="22"/>
          <w:lang w:val="en-US" w:eastAsia="de-AT"/>
        </w:rPr>
        <w:tab/>
      </w:r>
      <w:r w:rsidRPr="00064185">
        <w:rPr>
          <w:noProof/>
        </w:rPr>
        <w:t>Identity of the active substance</w:t>
      </w:r>
      <w:r w:rsidRPr="00064185">
        <w:rPr>
          <w:noProof/>
        </w:rPr>
        <w:tab/>
      </w:r>
      <w:r w:rsidRPr="00064185">
        <w:rPr>
          <w:noProof/>
        </w:rPr>
        <w:fldChar w:fldCharType="begin"/>
      </w:r>
      <w:r w:rsidRPr="00064185">
        <w:rPr>
          <w:noProof/>
        </w:rPr>
        <w:instrText xml:space="preserve"> PAGEREF _Toc530563644 \h </w:instrText>
      </w:r>
      <w:r w:rsidRPr="00064185">
        <w:rPr>
          <w:noProof/>
        </w:rPr>
      </w:r>
      <w:r w:rsidRPr="00064185">
        <w:rPr>
          <w:noProof/>
        </w:rPr>
        <w:fldChar w:fldCharType="separate"/>
      </w:r>
      <w:r w:rsidR="00200C9F" w:rsidRPr="00064185">
        <w:rPr>
          <w:noProof/>
        </w:rPr>
        <w:t>22</w:t>
      </w:r>
      <w:r w:rsidRPr="00064185">
        <w:rPr>
          <w:noProof/>
        </w:rPr>
        <w:fldChar w:fldCharType="end"/>
      </w:r>
    </w:p>
    <w:p w14:paraId="2A54DF35"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B.</w:t>
      </w:r>
      <w:r w:rsidRPr="00064185">
        <w:rPr>
          <w:rFonts w:eastAsiaTheme="minorEastAsia" w:cstheme="minorBidi"/>
          <w:noProof/>
          <w:sz w:val="22"/>
          <w:szCs w:val="22"/>
          <w:lang w:val="en-US" w:eastAsia="de-AT"/>
        </w:rPr>
        <w:tab/>
      </w:r>
      <w:r w:rsidRPr="00064185">
        <w:rPr>
          <w:noProof/>
        </w:rPr>
        <w:t>Qualitative and quantitative information on the composition of the biocidal product</w:t>
      </w:r>
      <w:r w:rsidRPr="00064185">
        <w:rPr>
          <w:noProof/>
        </w:rPr>
        <w:tab/>
      </w:r>
      <w:r w:rsidRPr="00064185">
        <w:rPr>
          <w:noProof/>
        </w:rPr>
        <w:fldChar w:fldCharType="begin"/>
      </w:r>
      <w:r w:rsidRPr="00064185">
        <w:rPr>
          <w:noProof/>
        </w:rPr>
        <w:instrText xml:space="preserve"> PAGEREF _Toc530563645 \h </w:instrText>
      </w:r>
      <w:r w:rsidRPr="00064185">
        <w:rPr>
          <w:noProof/>
        </w:rPr>
      </w:r>
      <w:r w:rsidRPr="00064185">
        <w:rPr>
          <w:noProof/>
        </w:rPr>
        <w:fldChar w:fldCharType="separate"/>
      </w:r>
      <w:r w:rsidR="00200C9F" w:rsidRPr="00064185">
        <w:rPr>
          <w:noProof/>
        </w:rPr>
        <w:t>23</w:t>
      </w:r>
      <w:r w:rsidRPr="00064185">
        <w:rPr>
          <w:noProof/>
        </w:rPr>
        <w:fldChar w:fldCharType="end"/>
      </w:r>
    </w:p>
    <w:p w14:paraId="1503AACE"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C.</w:t>
      </w:r>
      <w:r w:rsidRPr="00064185">
        <w:rPr>
          <w:rFonts w:eastAsiaTheme="minorEastAsia" w:cstheme="minorBidi"/>
          <w:noProof/>
          <w:sz w:val="22"/>
          <w:szCs w:val="22"/>
          <w:lang w:val="en-US" w:eastAsia="de-AT"/>
        </w:rPr>
        <w:tab/>
      </w:r>
      <w:r w:rsidRPr="00064185">
        <w:rPr>
          <w:noProof/>
        </w:rPr>
        <w:t>Information on technical equivalence</w:t>
      </w:r>
      <w:r w:rsidRPr="00064185">
        <w:rPr>
          <w:noProof/>
        </w:rPr>
        <w:tab/>
      </w:r>
      <w:r w:rsidRPr="00064185">
        <w:rPr>
          <w:noProof/>
        </w:rPr>
        <w:fldChar w:fldCharType="begin"/>
      </w:r>
      <w:r w:rsidRPr="00064185">
        <w:rPr>
          <w:noProof/>
        </w:rPr>
        <w:instrText xml:space="preserve"> PAGEREF _Toc530563646 \h </w:instrText>
      </w:r>
      <w:r w:rsidRPr="00064185">
        <w:rPr>
          <w:noProof/>
        </w:rPr>
      </w:r>
      <w:r w:rsidRPr="00064185">
        <w:rPr>
          <w:noProof/>
        </w:rPr>
        <w:fldChar w:fldCharType="separate"/>
      </w:r>
      <w:r w:rsidR="00200C9F" w:rsidRPr="00064185">
        <w:rPr>
          <w:noProof/>
        </w:rPr>
        <w:t>23</w:t>
      </w:r>
      <w:r w:rsidRPr="00064185">
        <w:rPr>
          <w:noProof/>
        </w:rPr>
        <w:fldChar w:fldCharType="end"/>
      </w:r>
    </w:p>
    <w:p w14:paraId="48BC5D4E"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D.</w:t>
      </w:r>
      <w:r w:rsidRPr="00064185">
        <w:rPr>
          <w:rFonts w:eastAsiaTheme="minorEastAsia" w:cstheme="minorBidi"/>
          <w:noProof/>
          <w:sz w:val="22"/>
          <w:szCs w:val="22"/>
          <w:lang w:val="en-US" w:eastAsia="de-AT"/>
        </w:rPr>
        <w:tab/>
      </w:r>
      <w:r w:rsidRPr="00064185">
        <w:rPr>
          <w:noProof/>
        </w:rPr>
        <w:t>Information on the substance(s) of concern</w:t>
      </w:r>
      <w:r w:rsidRPr="00064185">
        <w:rPr>
          <w:noProof/>
        </w:rPr>
        <w:tab/>
      </w:r>
      <w:r w:rsidRPr="00064185">
        <w:rPr>
          <w:noProof/>
        </w:rPr>
        <w:fldChar w:fldCharType="begin"/>
      </w:r>
      <w:r w:rsidRPr="00064185">
        <w:rPr>
          <w:noProof/>
        </w:rPr>
        <w:instrText xml:space="preserve"> PAGEREF _Toc530563647 \h </w:instrText>
      </w:r>
      <w:r w:rsidRPr="00064185">
        <w:rPr>
          <w:noProof/>
        </w:rPr>
      </w:r>
      <w:r w:rsidRPr="00064185">
        <w:rPr>
          <w:noProof/>
        </w:rPr>
        <w:fldChar w:fldCharType="separate"/>
      </w:r>
      <w:r w:rsidR="00200C9F" w:rsidRPr="00064185">
        <w:rPr>
          <w:noProof/>
        </w:rPr>
        <w:t>23</w:t>
      </w:r>
      <w:r w:rsidRPr="00064185">
        <w:rPr>
          <w:noProof/>
        </w:rPr>
        <w:fldChar w:fldCharType="end"/>
      </w:r>
    </w:p>
    <w:p w14:paraId="7D544336"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E.</w:t>
      </w:r>
      <w:r w:rsidRPr="00064185">
        <w:rPr>
          <w:rFonts w:eastAsiaTheme="minorEastAsia" w:cstheme="minorBidi"/>
          <w:noProof/>
          <w:sz w:val="22"/>
          <w:szCs w:val="22"/>
          <w:lang w:val="en-US" w:eastAsia="de-AT"/>
        </w:rPr>
        <w:tab/>
      </w:r>
      <w:r w:rsidRPr="00064185">
        <w:rPr>
          <w:noProof/>
        </w:rPr>
        <w:t>Type of formulation</w:t>
      </w:r>
      <w:r w:rsidRPr="00064185">
        <w:rPr>
          <w:noProof/>
        </w:rPr>
        <w:tab/>
      </w:r>
      <w:r w:rsidRPr="00064185">
        <w:rPr>
          <w:noProof/>
        </w:rPr>
        <w:fldChar w:fldCharType="begin"/>
      </w:r>
      <w:r w:rsidRPr="00064185">
        <w:rPr>
          <w:noProof/>
        </w:rPr>
        <w:instrText xml:space="preserve"> PAGEREF _Toc530563648 \h </w:instrText>
      </w:r>
      <w:r w:rsidRPr="00064185">
        <w:rPr>
          <w:noProof/>
        </w:rPr>
      </w:r>
      <w:r w:rsidRPr="00064185">
        <w:rPr>
          <w:noProof/>
        </w:rPr>
        <w:fldChar w:fldCharType="separate"/>
      </w:r>
      <w:r w:rsidR="00200C9F" w:rsidRPr="00064185">
        <w:rPr>
          <w:noProof/>
        </w:rPr>
        <w:t>23</w:t>
      </w:r>
      <w:r w:rsidRPr="00064185">
        <w:rPr>
          <w:noProof/>
        </w:rPr>
        <w:fldChar w:fldCharType="end"/>
      </w:r>
    </w:p>
    <w:p w14:paraId="24A37291"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noProof/>
        </w:rPr>
        <w:t>2.2.3</w:t>
      </w:r>
      <w:r w:rsidRPr="00064185">
        <w:rPr>
          <w:rFonts w:eastAsiaTheme="minorEastAsia" w:cstheme="minorBidi"/>
          <w:noProof/>
          <w:sz w:val="22"/>
          <w:szCs w:val="22"/>
          <w:lang w:val="en-US" w:eastAsia="de-AT"/>
        </w:rPr>
        <w:tab/>
      </w:r>
      <w:r w:rsidRPr="00064185">
        <w:rPr>
          <w:noProof/>
        </w:rPr>
        <w:t>Intended use(s) as applied for by the applicant</w:t>
      </w:r>
      <w:r w:rsidRPr="00064185">
        <w:rPr>
          <w:noProof/>
        </w:rPr>
        <w:tab/>
      </w:r>
      <w:r w:rsidRPr="00064185">
        <w:rPr>
          <w:noProof/>
        </w:rPr>
        <w:fldChar w:fldCharType="begin"/>
      </w:r>
      <w:r w:rsidRPr="00064185">
        <w:rPr>
          <w:noProof/>
        </w:rPr>
        <w:instrText xml:space="preserve"> PAGEREF _Toc530563649 \h </w:instrText>
      </w:r>
      <w:r w:rsidRPr="00064185">
        <w:rPr>
          <w:noProof/>
        </w:rPr>
      </w:r>
      <w:r w:rsidRPr="00064185">
        <w:rPr>
          <w:noProof/>
        </w:rPr>
        <w:fldChar w:fldCharType="separate"/>
      </w:r>
      <w:r w:rsidR="00200C9F" w:rsidRPr="00064185">
        <w:rPr>
          <w:noProof/>
        </w:rPr>
        <w:t>23</w:t>
      </w:r>
      <w:r w:rsidRPr="00064185">
        <w:rPr>
          <w:noProof/>
        </w:rPr>
        <w:fldChar w:fldCharType="end"/>
      </w:r>
    </w:p>
    <w:p w14:paraId="2D6EF992"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noProof/>
        </w:rPr>
        <w:t>2.2.4</w:t>
      </w:r>
      <w:r w:rsidRPr="00064185">
        <w:rPr>
          <w:rFonts w:eastAsiaTheme="minorEastAsia" w:cstheme="minorBidi"/>
          <w:noProof/>
          <w:sz w:val="22"/>
          <w:szCs w:val="22"/>
          <w:lang w:val="en-US" w:eastAsia="de-AT"/>
        </w:rPr>
        <w:tab/>
      </w:r>
      <w:r w:rsidRPr="00064185">
        <w:rPr>
          <w:noProof/>
        </w:rPr>
        <w:t>Authorised use</w:t>
      </w:r>
      <w:r w:rsidRPr="00064185">
        <w:rPr>
          <w:noProof/>
        </w:rPr>
        <w:tab/>
      </w:r>
      <w:r w:rsidRPr="00064185">
        <w:rPr>
          <w:noProof/>
        </w:rPr>
        <w:fldChar w:fldCharType="begin"/>
      </w:r>
      <w:r w:rsidRPr="00064185">
        <w:rPr>
          <w:noProof/>
        </w:rPr>
        <w:instrText xml:space="preserve"> PAGEREF _Toc530563650 \h </w:instrText>
      </w:r>
      <w:r w:rsidRPr="00064185">
        <w:rPr>
          <w:noProof/>
        </w:rPr>
      </w:r>
      <w:r w:rsidRPr="00064185">
        <w:rPr>
          <w:noProof/>
        </w:rPr>
        <w:fldChar w:fldCharType="separate"/>
      </w:r>
      <w:r w:rsidR="00200C9F" w:rsidRPr="00064185">
        <w:rPr>
          <w:noProof/>
        </w:rPr>
        <w:t>26</w:t>
      </w:r>
      <w:r w:rsidRPr="00064185">
        <w:rPr>
          <w:noProof/>
        </w:rPr>
        <w:fldChar w:fldCharType="end"/>
      </w:r>
    </w:p>
    <w:p w14:paraId="1569282A" w14:textId="77777777" w:rsidR="00CA4809" w:rsidRPr="00064185" w:rsidRDefault="00CA4809">
      <w:pPr>
        <w:pStyle w:val="Verzeichnis4"/>
        <w:tabs>
          <w:tab w:val="left" w:pos="1400"/>
          <w:tab w:val="right" w:leader="dot" w:pos="9204"/>
        </w:tabs>
        <w:rPr>
          <w:rFonts w:eastAsiaTheme="minorEastAsia" w:cstheme="minorBidi"/>
          <w:noProof/>
          <w:sz w:val="22"/>
          <w:szCs w:val="22"/>
          <w:lang w:val="en-US" w:eastAsia="de-AT"/>
        </w:rPr>
      </w:pPr>
      <w:r w:rsidRPr="00064185">
        <w:rPr>
          <w:rFonts w:eastAsia="Calibri"/>
          <w:noProof/>
        </w:rPr>
        <w:t>2.2.4.11</w:t>
      </w:r>
      <w:r w:rsidRPr="00064185">
        <w:rPr>
          <w:rFonts w:eastAsiaTheme="minorEastAsia" w:cstheme="minorBidi"/>
          <w:noProof/>
          <w:sz w:val="22"/>
          <w:szCs w:val="22"/>
          <w:lang w:val="en-US" w:eastAsia="de-AT"/>
        </w:rPr>
        <w:tab/>
      </w:r>
      <w:r w:rsidRPr="00064185">
        <w:rPr>
          <w:rFonts w:eastAsia="Calibri"/>
          <w:noProof/>
        </w:rPr>
        <w:t xml:space="preserve"> Where specific to the use, the conditions of storage and shelf-life of the product under normal conditions of storage</w:t>
      </w:r>
      <w:r w:rsidRPr="00064185">
        <w:rPr>
          <w:noProof/>
        </w:rPr>
        <w:tab/>
      </w:r>
      <w:r w:rsidRPr="00064185">
        <w:rPr>
          <w:noProof/>
        </w:rPr>
        <w:fldChar w:fldCharType="begin"/>
      </w:r>
      <w:r w:rsidRPr="00064185">
        <w:rPr>
          <w:noProof/>
        </w:rPr>
        <w:instrText xml:space="preserve"> PAGEREF _Toc530563651 \h </w:instrText>
      </w:r>
      <w:r w:rsidRPr="00064185">
        <w:rPr>
          <w:noProof/>
        </w:rPr>
      </w:r>
      <w:r w:rsidRPr="00064185">
        <w:rPr>
          <w:noProof/>
        </w:rPr>
        <w:fldChar w:fldCharType="separate"/>
      </w:r>
      <w:r w:rsidR="00200C9F" w:rsidRPr="00064185">
        <w:rPr>
          <w:noProof/>
        </w:rPr>
        <w:t>30</w:t>
      </w:r>
      <w:r w:rsidRPr="00064185">
        <w:rPr>
          <w:noProof/>
        </w:rPr>
        <w:fldChar w:fldCharType="end"/>
      </w:r>
    </w:p>
    <w:p w14:paraId="7E3689BA"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rFonts w:eastAsia="Calibri"/>
          <w:noProof/>
          <w:lang w:eastAsia="en-US"/>
        </w:rPr>
        <w:t>2.2.5</w:t>
      </w:r>
      <w:r w:rsidRPr="00064185">
        <w:rPr>
          <w:rFonts w:eastAsiaTheme="minorEastAsia" w:cstheme="minorBidi"/>
          <w:noProof/>
          <w:sz w:val="22"/>
          <w:szCs w:val="22"/>
          <w:lang w:val="en-US" w:eastAsia="de-AT"/>
        </w:rPr>
        <w:tab/>
      </w:r>
      <w:r w:rsidRPr="00064185">
        <w:rPr>
          <w:rFonts w:eastAsia="Calibri"/>
          <w:noProof/>
          <w:lang w:eastAsia="en-US"/>
        </w:rPr>
        <w:t>Hazard and precautionary statements</w:t>
      </w:r>
      <w:r w:rsidRPr="00064185">
        <w:rPr>
          <w:noProof/>
        </w:rPr>
        <w:tab/>
      </w:r>
      <w:r w:rsidRPr="00064185">
        <w:rPr>
          <w:noProof/>
        </w:rPr>
        <w:fldChar w:fldCharType="begin"/>
      </w:r>
      <w:r w:rsidRPr="00064185">
        <w:rPr>
          <w:noProof/>
        </w:rPr>
        <w:instrText xml:space="preserve"> PAGEREF _Toc530563652 \h </w:instrText>
      </w:r>
      <w:r w:rsidRPr="00064185">
        <w:rPr>
          <w:noProof/>
        </w:rPr>
      </w:r>
      <w:r w:rsidRPr="00064185">
        <w:rPr>
          <w:noProof/>
        </w:rPr>
        <w:fldChar w:fldCharType="separate"/>
      </w:r>
      <w:r w:rsidR="00200C9F" w:rsidRPr="00064185">
        <w:rPr>
          <w:noProof/>
        </w:rPr>
        <w:t>31</w:t>
      </w:r>
      <w:r w:rsidRPr="00064185">
        <w:rPr>
          <w:noProof/>
        </w:rPr>
        <w:fldChar w:fldCharType="end"/>
      </w:r>
    </w:p>
    <w:p w14:paraId="0D4EA6CD"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A.</w:t>
      </w:r>
      <w:r w:rsidRPr="00064185">
        <w:rPr>
          <w:rFonts w:eastAsiaTheme="minorEastAsia" w:cstheme="minorBidi"/>
          <w:noProof/>
          <w:sz w:val="22"/>
          <w:szCs w:val="22"/>
          <w:lang w:val="en-US" w:eastAsia="de-AT"/>
        </w:rPr>
        <w:tab/>
      </w:r>
      <w:r w:rsidRPr="00064185">
        <w:rPr>
          <w:noProof/>
        </w:rPr>
        <w:t>Proposed classification and labelling of the biocidal product</w:t>
      </w:r>
      <w:r w:rsidRPr="00064185">
        <w:rPr>
          <w:noProof/>
        </w:rPr>
        <w:tab/>
      </w:r>
      <w:r w:rsidRPr="00064185">
        <w:rPr>
          <w:noProof/>
        </w:rPr>
        <w:fldChar w:fldCharType="begin"/>
      </w:r>
      <w:r w:rsidRPr="00064185">
        <w:rPr>
          <w:noProof/>
        </w:rPr>
        <w:instrText xml:space="preserve"> PAGEREF _Toc530563653 \h </w:instrText>
      </w:r>
      <w:r w:rsidRPr="00064185">
        <w:rPr>
          <w:noProof/>
        </w:rPr>
      </w:r>
      <w:r w:rsidRPr="00064185">
        <w:rPr>
          <w:noProof/>
        </w:rPr>
        <w:fldChar w:fldCharType="separate"/>
      </w:r>
      <w:r w:rsidR="00200C9F" w:rsidRPr="00064185">
        <w:rPr>
          <w:noProof/>
        </w:rPr>
        <w:t>31</w:t>
      </w:r>
      <w:r w:rsidRPr="00064185">
        <w:rPr>
          <w:noProof/>
        </w:rPr>
        <w:fldChar w:fldCharType="end"/>
      </w:r>
    </w:p>
    <w:p w14:paraId="1D61AE1D" w14:textId="1A7EC318"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B.</w:t>
      </w:r>
      <w:r w:rsidRPr="00064185">
        <w:rPr>
          <w:rFonts w:eastAsiaTheme="minorEastAsia" w:cstheme="minorBidi"/>
          <w:noProof/>
          <w:sz w:val="22"/>
          <w:szCs w:val="22"/>
          <w:lang w:val="en-US" w:eastAsia="de-AT"/>
        </w:rPr>
        <w:tab/>
      </w:r>
      <w:r w:rsidRPr="00064185">
        <w:rPr>
          <w:noProof/>
        </w:rPr>
        <w:t>Packaging of the biocidal product</w:t>
      </w:r>
      <w:r w:rsidRPr="00064185">
        <w:rPr>
          <w:noProof/>
        </w:rPr>
        <w:tab/>
      </w:r>
      <w:r w:rsidRPr="00064185">
        <w:rPr>
          <w:noProof/>
        </w:rPr>
        <w:fldChar w:fldCharType="begin"/>
      </w:r>
      <w:r w:rsidRPr="00064185">
        <w:rPr>
          <w:noProof/>
        </w:rPr>
        <w:instrText xml:space="preserve"> PAGEREF _Toc530563654 \h </w:instrText>
      </w:r>
      <w:r w:rsidRPr="00064185">
        <w:rPr>
          <w:noProof/>
        </w:rPr>
      </w:r>
      <w:r w:rsidRPr="00064185">
        <w:rPr>
          <w:noProof/>
        </w:rPr>
        <w:fldChar w:fldCharType="separate"/>
      </w:r>
      <w:r w:rsidR="00200C9F" w:rsidRPr="00064185">
        <w:rPr>
          <w:noProof/>
        </w:rPr>
        <w:t>31</w:t>
      </w:r>
      <w:r w:rsidRPr="00064185">
        <w:rPr>
          <w:noProof/>
        </w:rPr>
        <w:fldChar w:fldCharType="end"/>
      </w:r>
    </w:p>
    <w:p w14:paraId="47614562"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rFonts w:eastAsia="Calibri"/>
          <w:noProof/>
          <w:lang w:eastAsia="en-US"/>
        </w:rPr>
        <w:t>2.2.6</w:t>
      </w:r>
      <w:r w:rsidRPr="00064185">
        <w:rPr>
          <w:rFonts w:eastAsiaTheme="minorEastAsia" w:cstheme="minorBidi"/>
          <w:noProof/>
          <w:sz w:val="22"/>
          <w:szCs w:val="22"/>
          <w:lang w:val="en-US" w:eastAsia="de-AT"/>
        </w:rPr>
        <w:tab/>
      </w:r>
      <w:r w:rsidRPr="00064185">
        <w:rPr>
          <w:rFonts w:eastAsia="Calibri"/>
          <w:noProof/>
          <w:lang w:eastAsia="en-US"/>
        </w:rPr>
        <w:t>General directions for use</w:t>
      </w:r>
      <w:r w:rsidRPr="00064185">
        <w:rPr>
          <w:noProof/>
        </w:rPr>
        <w:tab/>
      </w:r>
      <w:r w:rsidRPr="00064185">
        <w:rPr>
          <w:noProof/>
        </w:rPr>
        <w:fldChar w:fldCharType="begin"/>
      </w:r>
      <w:r w:rsidRPr="00064185">
        <w:rPr>
          <w:noProof/>
        </w:rPr>
        <w:instrText xml:space="preserve"> PAGEREF _Toc530563655 \h </w:instrText>
      </w:r>
      <w:r w:rsidRPr="00064185">
        <w:rPr>
          <w:noProof/>
        </w:rPr>
      </w:r>
      <w:r w:rsidRPr="00064185">
        <w:rPr>
          <w:noProof/>
        </w:rPr>
        <w:fldChar w:fldCharType="separate"/>
      </w:r>
      <w:r w:rsidR="00200C9F" w:rsidRPr="00064185">
        <w:rPr>
          <w:noProof/>
        </w:rPr>
        <w:t>32</w:t>
      </w:r>
      <w:r w:rsidRPr="00064185">
        <w:rPr>
          <w:noProof/>
        </w:rPr>
        <w:fldChar w:fldCharType="end"/>
      </w:r>
    </w:p>
    <w:p w14:paraId="79AF98F0"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A.</w:t>
      </w:r>
      <w:r w:rsidRPr="00064185">
        <w:rPr>
          <w:rFonts w:eastAsiaTheme="minorEastAsia" w:cstheme="minorBidi"/>
          <w:noProof/>
          <w:sz w:val="22"/>
          <w:szCs w:val="22"/>
          <w:lang w:val="en-US" w:eastAsia="de-AT"/>
        </w:rPr>
        <w:tab/>
      </w:r>
      <w:r w:rsidRPr="00064185">
        <w:rPr>
          <w:noProof/>
        </w:rPr>
        <w:t>Instructions for use</w:t>
      </w:r>
      <w:r w:rsidRPr="00064185">
        <w:rPr>
          <w:noProof/>
        </w:rPr>
        <w:tab/>
      </w:r>
      <w:r w:rsidRPr="00064185">
        <w:rPr>
          <w:noProof/>
        </w:rPr>
        <w:fldChar w:fldCharType="begin"/>
      </w:r>
      <w:r w:rsidRPr="00064185">
        <w:rPr>
          <w:noProof/>
        </w:rPr>
        <w:instrText xml:space="preserve"> PAGEREF _Toc530563656 \h </w:instrText>
      </w:r>
      <w:r w:rsidRPr="00064185">
        <w:rPr>
          <w:noProof/>
        </w:rPr>
      </w:r>
      <w:r w:rsidRPr="00064185">
        <w:rPr>
          <w:noProof/>
        </w:rPr>
        <w:fldChar w:fldCharType="separate"/>
      </w:r>
      <w:r w:rsidR="00200C9F" w:rsidRPr="00064185">
        <w:rPr>
          <w:noProof/>
        </w:rPr>
        <w:t>32</w:t>
      </w:r>
      <w:r w:rsidRPr="00064185">
        <w:rPr>
          <w:noProof/>
        </w:rPr>
        <w:fldChar w:fldCharType="end"/>
      </w:r>
    </w:p>
    <w:p w14:paraId="608B354F" w14:textId="77777777" w:rsidR="00CA4809" w:rsidRPr="00064185" w:rsidRDefault="00CA4809">
      <w:pPr>
        <w:pStyle w:val="Verzeichnis4"/>
        <w:tabs>
          <w:tab w:val="left" w:pos="800"/>
          <w:tab w:val="right" w:leader="dot" w:pos="9204"/>
        </w:tabs>
        <w:rPr>
          <w:rFonts w:eastAsiaTheme="minorEastAsia" w:cstheme="minorBidi"/>
          <w:noProof/>
          <w:sz w:val="22"/>
          <w:szCs w:val="22"/>
          <w:lang w:eastAsia="de-AT"/>
        </w:rPr>
      </w:pPr>
      <w:r w:rsidRPr="00064185">
        <w:rPr>
          <w:noProof/>
        </w:rPr>
        <w:t>B.</w:t>
      </w:r>
      <w:r w:rsidRPr="00064185">
        <w:rPr>
          <w:rFonts w:eastAsiaTheme="minorEastAsia" w:cstheme="minorBidi"/>
          <w:noProof/>
          <w:sz w:val="22"/>
          <w:szCs w:val="22"/>
          <w:lang w:eastAsia="de-AT"/>
        </w:rPr>
        <w:tab/>
      </w:r>
      <w:r w:rsidRPr="00064185">
        <w:rPr>
          <w:noProof/>
        </w:rPr>
        <w:t>Risk mitigation measures</w:t>
      </w:r>
      <w:r w:rsidRPr="00064185">
        <w:rPr>
          <w:noProof/>
        </w:rPr>
        <w:tab/>
      </w:r>
      <w:r w:rsidRPr="00064185">
        <w:rPr>
          <w:noProof/>
        </w:rPr>
        <w:fldChar w:fldCharType="begin"/>
      </w:r>
      <w:r w:rsidRPr="00064185">
        <w:rPr>
          <w:noProof/>
        </w:rPr>
        <w:instrText xml:space="preserve"> PAGEREF _Toc530563657 \h </w:instrText>
      </w:r>
      <w:r w:rsidRPr="00064185">
        <w:rPr>
          <w:noProof/>
        </w:rPr>
      </w:r>
      <w:r w:rsidRPr="00064185">
        <w:rPr>
          <w:noProof/>
        </w:rPr>
        <w:fldChar w:fldCharType="separate"/>
      </w:r>
      <w:r w:rsidR="00200C9F" w:rsidRPr="00064185">
        <w:rPr>
          <w:noProof/>
        </w:rPr>
        <w:t>32</w:t>
      </w:r>
      <w:r w:rsidRPr="00064185">
        <w:rPr>
          <w:noProof/>
        </w:rPr>
        <w:fldChar w:fldCharType="end"/>
      </w:r>
    </w:p>
    <w:p w14:paraId="5788F6C8" w14:textId="3E1BEBF0"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C.</w:t>
      </w:r>
      <w:r w:rsidRPr="00064185">
        <w:rPr>
          <w:rFonts w:eastAsiaTheme="minorEastAsia" w:cstheme="minorBidi"/>
          <w:noProof/>
          <w:sz w:val="22"/>
          <w:szCs w:val="22"/>
          <w:lang w:val="en-US" w:eastAsia="de-AT"/>
        </w:rPr>
        <w:tab/>
      </w:r>
      <w:r w:rsidRPr="00064185">
        <w:rPr>
          <w:noProof/>
        </w:rPr>
        <w:t>Particulars of likely direct or indirect effects, first aid instructions and emergency measures to protect the environment</w:t>
      </w:r>
      <w:r w:rsidRPr="00064185">
        <w:rPr>
          <w:noProof/>
        </w:rPr>
        <w:tab/>
      </w:r>
      <w:r w:rsidRPr="00064185">
        <w:rPr>
          <w:noProof/>
        </w:rPr>
        <w:fldChar w:fldCharType="begin"/>
      </w:r>
      <w:r w:rsidRPr="00064185">
        <w:rPr>
          <w:noProof/>
        </w:rPr>
        <w:instrText xml:space="preserve"> PAGEREF _Toc530563658 \h </w:instrText>
      </w:r>
      <w:r w:rsidRPr="00064185">
        <w:rPr>
          <w:noProof/>
        </w:rPr>
      </w:r>
      <w:r w:rsidRPr="00064185">
        <w:rPr>
          <w:noProof/>
        </w:rPr>
        <w:fldChar w:fldCharType="separate"/>
      </w:r>
      <w:r w:rsidR="00200C9F" w:rsidRPr="00064185">
        <w:rPr>
          <w:noProof/>
        </w:rPr>
        <w:t>32</w:t>
      </w:r>
      <w:r w:rsidRPr="00064185">
        <w:rPr>
          <w:noProof/>
        </w:rPr>
        <w:fldChar w:fldCharType="end"/>
      </w:r>
    </w:p>
    <w:p w14:paraId="3C7043C1"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D.</w:t>
      </w:r>
      <w:r w:rsidRPr="00064185">
        <w:rPr>
          <w:rFonts w:eastAsiaTheme="minorEastAsia" w:cstheme="minorBidi"/>
          <w:noProof/>
          <w:sz w:val="22"/>
          <w:szCs w:val="22"/>
          <w:lang w:val="en-US" w:eastAsia="de-AT"/>
        </w:rPr>
        <w:tab/>
      </w:r>
      <w:r w:rsidRPr="00064185">
        <w:rPr>
          <w:noProof/>
        </w:rPr>
        <w:t>Instructions for safe disposal of the product and its packaging</w:t>
      </w:r>
      <w:r w:rsidRPr="00064185">
        <w:rPr>
          <w:noProof/>
        </w:rPr>
        <w:tab/>
      </w:r>
      <w:r w:rsidRPr="00064185">
        <w:rPr>
          <w:noProof/>
        </w:rPr>
        <w:fldChar w:fldCharType="begin"/>
      </w:r>
      <w:r w:rsidRPr="00064185">
        <w:rPr>
          <w:noProof/>
        </w:rPr>
        <w:instrText xml:space="preserve"> PAGEREF _Toc530563659 \h </w:instrText>
      </w:r>
      <w:r w:rsidRPr="00064185">
        <w:rPr>
          <w:noProof/>
        </w:rPr>
      </w:r>
      <w:r w:rsidRPr="00064185">
        <w:rPr>
          <w:noProof/>
        </w:rPr>
        <w:fldChar w:fldCharType="separate"/>
      </w:r>
      <w:r w:rsidR="00200C9F" w:rsidRPr="00064185">
        <w:rPr>
          <w:noProof/>
        </w:rPr>
        <w:t>33</w:t>
      </w:r>
      <w:r w:rsidRPr="00064185">
        <w:rPr>
          <w:noProof/>
        </w:rPr>
        <w:fldChar w:fldCharType="end"/>
      </w:r>
    </w:p>
    <w:p w14:paraId="39E40893"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E.</w:t>
      </w:r>
      <w:r w:rsidRPr="00064185">
        <w:rPr>
          <w:rFonts w:eastAsiaTheme="minorEastAsia" w:cstheme="minorBidi"/>
          <w:noProof/>
          <w:sz w:val="22"/>
          <w:szCs w:val="22"/>
          <w:lang w:val="en-US" w:eastAsia="de-AT"/>
        </w:rPr>
        <w:tab/>
      </w:r>
      <w:r w:rsidRPr="00064185">
        <w:rPr>
          <w:noProof/>
        </w:rPr>
        <w:t>Conditions of storage and shelf-life of the product under normal conditions of storage</w:t>
      </w:r>
      <w:r w:rsidRPr="00064185">
        <w:rPr>
          <w:noProof/>
        </w:rPr>
        <w:tab/>
      </w:r>
      <w:r w:rsidRPr="00064185">
        <w:rPr>
          <w:noProof/>
        </w:rPr>
        <w:fldChar w:fldCharType="begin"/>
      </w:r>
      <w:r w:rsidRPr="00064185">
        <w:rPr>
          <w:noProof/>
        </w:rPr>
        <w:instrText xml:space="preserve"> PAGEREF _Toc530563660 \h </w:instrText>
      </w:r>
      <w:r w:rsidRPr="00064185">
        <w:rPr>
          <w:noProof/>
        </w:rPr>
      </w:r>
      <w:r w:rsidRPr="00064185">
        <w:rPr>
          <w:noProof/>
        </w:rPr>
        <w:fldChar w:fldCharType="separate"/>
      </w:r>
      <w:r w:rsidR="00200C9F" w:rsidRPr="00064185">
        <w:rPr>
          <w:noProof/>
        </w:rPr>
        <w:t>33</w:t>
      </w:r>
      <w:r w:rsidRPr="00064185">
        <w:rPr>
          <w:noProof/>
        </w:rPr>
        <w:fldChar w:fldCharType="end"/>
      </w:r>
    </w:p>
    <w:p w14:paraId="7C29B17C" w14:textId="77777777" w:rsidR="00CA4809" w:rsidRPr="00064185" w:rsidRDefault="00CA4809">
      <w:pPr>
        <w:pStyle w:val="Verzeichnis3"/>
        <w:tabs>
          <w:tab w:val="left" w:pos="1000"/>
          <w:tab w:val="right" w:leader="dot" w:pos="9204"/>
        </w:tabs>
        <w:rPr>
          <w:rFonts w:eastAsiaTheme="minorEastAsia" w:cstheme="minorBidi"/>
          <w:noProof/>
          <w:sz w:val="22"/>
          <w:szCs w:val="22"/>
          <w:lang w:eastAsia="de-AT"/>
        </w:rPr>
      </w:pPr>
      <w:r w:rsidRPr="00064185">
        <w:rPr>
          <w:rFonts w:eastAsia="Calibri"/>
          <w:noProof/>
          <w:lang w:eastAsia="en-US"/>
        </w:rPr>
        <w:t>2.2.7</w:t>
      </w:r>
      <w:r w:rsidRPr="00064185">
        <w:rPr>
          <w:rFonts w:eastAsiaTheme="minorEastAsia" w:cstheme="minorBidi"/>
          <w:noProof/>
          <w:sz w:val="22"/>
          <w:szCs w:val="22"/>
          <w:lang w:eastAsia="de-AT"/>
        </w:rPr>
        <w:tab/>
      </w:r>
      <w:r w:rsidRPr="00064185">
        <w:rPr>
          <w:rFonts w:eastAsia="Calibri"/>
          <w:noProof/>
          <w:lang w:eastAsia="en-US"/>
        </w:rPr>
        <w:t>Documentation</w:t>
      </w:r>
      <w:r w:rsidRPr="00064185">
        <w:rPr>
          <w:noProof/>
        </w:rPr>
        <w:tab/>
      </w:r>
      <w:r w:rsidRPr="00064185">
        <w:rPr>
          <w:noProof/>
        </w:rPr>
        <w:fldChar w:fldCharType="begin"/>
      </w:r>
      <w:r w:rsidRPr="00064185">
        <w:rPr>
          <w:noProof/>
        </w:rPr>
        <w:instrText xml:space="preserve"> PAGEREF _Toc530563661 \h </w:instrText>
      </w:r>
      <w:r w:rsidRPr="00064185">
        <w:rPr>
          <w:noProof/>
        </w:rPr>
      </w:r>
      <w:r w:rsidRPr="00064185">
        <w:rPr>
          <w:noProof/>
        </w:rPr>
        <w:fldChar w:fldCharType="separate"/>
      </w:r>
      <w:r w:rsidR="00200C9F" w:rsidRPr="00064185">
        <w:rPr>
          <w:noProof/>
        </w:rPr>
        <w:t>33</w:t>
      </w:r>
      <w:r w:rsidRPr="00064185">
        <w:rPr>
          <w:noProof/>
        </w:rPr>
        <w:fldChar w:fldCharType="end"/>
      </w:r>
    </w:p>
    <w:p w14:paraId="668AEA31"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A.</w:t>
      </w:r>
      <w:r w:rsidRPr="00064185">
        <w:rPr>
          <w:rFonts w:eastAsiaTheme="minorEastAsia" w:cstheme="minorBidi"/>
          <w:noProof/>
          <w:sz w:val="22"/>
          <w:szCs w:val="22"/>
          <w:lang w:val="en-US" w:eastAsia="de-AT"/>
        </w:rPr>
        <w:tab/>
      </w:r>
      <w:r w:rsidRPr="00064185">
        <w:rPr>
          <w:noProof/>
        </w:rPr>
        <w:t>Data submitted in relation to product application</w:t>
      </w:r>
      <w:r w:rsidRPr="00064185">
        <w:rPr>
          <w:noProof/>
        </w:rPr>
        <w:tab/>
      </w:r>
      <w:r w:rsidRPr="00064185">
        <w:rPr>
          <w:noProof/>
        </w:rPr>
        <w:fldChar w:fldCharType="begin"/>
      </w:r>
      <w:r w:rsidRPr="00064185">
        <w:rPr>
          <w:noProof/>
        </w:rPr>
        <w:instrText xml:space="preserve"> PAGEREF _Toc530563662 \h </w:instrText>
      </w:r>
      <w:r w:rsidRPr="00064185">
        <w:rPr>
          <w:noProof/>
        </w:rPr>
      </w:r>
      <w:r w:rsidRPr="00064185">
        <w:rPr>
          <w:noProof/>
        </w:rPr>
        <w:fldChar w:fldCharType="separate"/>
      </w:r>
      <w:r w:rsidR="00200C9F" w:rsidRPr="00064185">
        <w:rPr>
          <w:noProof/>
        </w:rPr>
        <w:t>33</w:t>
      </w:r>
      <w:r w:rsidRPr="00064185">
        <w:rPr>
          <w:noProof/>
        </w:rPr>
        <w:fldChar w:fldCharType="end"/>
      </w:r>
    </w:p>
    <w:p w14:paraId="7A473549" w14:textId="6E2F25C0" w:rsidR="00CA4809" w:rsidRPr="00064185" w:rsidRDefault="00CA4809">
      <w:pPr>
        <w:pStyle w:val="Verzeichnis4"/>
        <w:tabs>
          <w:tab w:val="left" w:pos="800"/>
          <w:tab w:val="right" w:leader="dot" w:pos="9204"/>
        </w:tabs>
        <w:rPr>
          <w:rFonts w:eastAsiaTheme="minorEastAsia" w:cstheme="minorBidi"/>
          <w:noProof/>
          <w:sz w:val="22"/>
          <w:szCs w:val="22"/>
          <w:lang w:eastAsia="de-AT"/>
        </w:rPr>
      </w:pPr>
      <w:r w:rsidRPr="00064185">
        <w:rPr>
          <w:noProof/>
        </w:rPr>
        <w:t>B.</w:t>
      </w:r>
      <w:r w:rsidRPr="00064185">
        <w:rPr>
          <w:rFonts w:eastAsiaTheme="minorEastAsia" w:cstheme="minorBidi"/>
          <w:noProof/>
          <w:sz w:val="22"/>
          <w:szCs w:val="22"/>
          <w:lang w:eastAsia="de-AT"/>
        </w:rPr>
        <w:tab/>
      </w:r>
      <w:r w:rsidRPr="00064185">
        <w:rPr>
          <w:noProof/>
        </w:rPr>
        <w:t>Access to documentation</w:t>
      </w:r>
      <w:r w:rsidRPr="00064185">
        <w:rPr>
          <w:noProof/>
        </w:rPr>
        <w:tab/>
      </w:r>
      <w:r w:rsidRPr="00064185">
        <w:rPr>
          <w:noProof/>
        </w:rPr>
        <w:fldChar w:fldCharType="begin"/>
      </w:r>
      <w:r w:rsidRPr="00064185">
        <w:rPr>
          <w:noProof/>
        </w:rPr>
        <w:instrText xml:space="preserve"> PAGEREF _Toc530563663 \h </w:instrText>
      </w:r>
      <w:r w:rsidRPr="00064185">
        <w:rPr>
          <w:noProof/>
        </w:rPr>
      </w:r>
      <w:r w:rsidRPr="00064185">
        <w:rPr>
          <w:noProof/>
        </w:rPr>
        <w:fldChar w:fldCharType="separate"/>
      </w:r>
      <w:r w:rsidR="00200C9F" w:rsidRPr="00064185">
        <w:rPr>
          <w:noProof/>
        </w:rPr>
        <w:t>33</w:t>
      </w:r>
      <w:r w:rsidRPr="00064185">
        <w:rPr>
          <w:noProof/>
        </w:rPr>
        <w:fldChar w:fldCharType="end"/>
      </w:r>
    </w:p>
    <w:p w14:paraId="18D42968" w14:textId="164A9EE9" w:rsidR="00CA4809" w:rsidRPr="00064185" w:rsidRDefault="00CA4809">
      <w:pPr>
        <w:pStyle w:val="Verzeichnis3"/>
        <w:tabs>
          <w:tab w:val="left" w:pos="1000"/>
          <w:tab w:val="right" w:leader="dot" w:pos="9204"/>
        </w:tabs>
        <w:rPr>
          <w:rFonts w:eastAsiaTheme="minorEastAsia" w:cstheme="minorBidi"/>
          <w:noProof/>
          <w:sz w:val="22"/>
          <w:szCs w:val="22"/>
          <w:lang w:eastAsia="de-AT"/>
        </w:rPr>
      </w:pPr>
      <w:r w:rsidRPr="00064185">
        <w:rPr>
          <w:rFonts w:eastAsia="Calibri"/>
          <w:noProof/>
          <w:lang w:eastAsia="en-US"/>
        </w:rPr>
        <w:lastRenderedPageBreak/>
        <w:t>2.2.8</w:t>
      </w:r>
      <w:r w:rsidRPr="00064185">
        <w:rPr>
          <w:rFonts w:eastAsiaTheme="minorEastAsia" w:cstheme="minorBidi"/>
          <w:noProof/>
          <w:sz w:val="22"/>
          <w:szCs w:val="22"/>
          <w:lang w:eastAsia="de-AT"/>
        </w:rPr>
        <w:tab/>
      </w:r>
      <w:r w:rsidRPr="00064185">
        <w:rPr>
          <w:rFonts w:eastAsia="Calibri"/>
          <w:noProof/>
          <w:lang w:eastAsia="en-US"/>
        </w:rPr>
        <w:t>Other information</w:t>
      </w:r>
      <w:r w:rsidRPr="00064185">
        <w:rPr>
          <w:noProof/>
        </w:rPr>
        <w:tab/>
      </w:r>
      <w:r w:rsidRPr="00064185">
        <w:rPr>
          <w:noProof/>
        </w:rPr>
        <w:fldChar w:fldCharType="begin"/>
      </w:r>
      <w:r w:rsidRPr="00064185">
        <w:rPr>
          <w:noProof/>
        </w:rPr>
        <w:instrText xml:space="preserve"> PAGEREF _Toc530563664 \h </w:instrText>
      </w:r>
      <w:r w:rsidRPr="00064185">
        <w:rPr>
          <w:noProof/>
        </w:rPr>
      </w:r>
      <w:r w:rsidRPr="00064185">
        <w:rPr>
          <w:noProof/>
        </w:rPr>
        <w:fldChar w:fldCharType="separate"/>
      </w:r>
      <w:r w:rsidR="00200C9F" w:rsidRPr="00064185">
        <w:rPr>
          <w:noProof/>
        </w:rPr>
        <w:t>33</w:t>
      </w:r>
      <w:r w:rsidRPr="00064185">
        <w:rPr>
          <w:noProof/>
        </w:rPr>
        <w:fldChar w:fldCharType="end"/>
      </w:r>
    </w:p>
    <w:p w14:paraId="1E45463D" w14:textId="77777777" w:rsidR="00CA4809" w:rsidRPr="00064185" w:rsidRDefault="00CA4809">
      <w:pPr>
        <w:pStyle w:val="Verzeichnis2"/>
        <w:tabs>
          <w:tab w:val="left" w:pos="600"/>
          <w:tab w:val="right" w:leader="dot" w:pos="9204"/>
        </w:tabs>
        <w:rPr>
          <w:rFonts w:eastAsiaTheme="minorEastAsia" w:cstheme="minorBidi"/>
          <w:b w:val="0"/>
          <w:bCs w:val="0"/>
          <w:noProof/>
          <w:sz w:val="22"/>
          <w:szCs w:val="22"/>
          <w:lang w:val="en-US" w:eastAsia="de-AT"/>
        </w:rPr>
      </w:pPr>
      <w:r w:rsidRPr="00064185">
        <w:rPr>
          <w:noProof/>
        </w:rPr>
        <w:t>2.3</w:t>
      </w:r>
      <w:r w:rsidRPr="00064185">
        <w:rPr>
          <w:rFonts w:eastAsiaTheme="minorEastAsia" w:cstheme="minorBidi"/>
          <w:b w:val="0"/>
          <w:bCs w:val="0"/>
          <w:noProof/>
          <w:sz w:val="22"/>
          <w:szCs w:val="22"/>
          <w:lang w:val="en-US" w:eastAsia="de-AT"/>
        </w:rPr>
        <w:tab/>
      </w:r>
      <w:r w:rsidRPr="00064185">
        <w:rPr>
          <w:noProof/>
        </w:rPr>
        <w:t>Assessment of the biocidal product</w:t>
      </w:r>
      <w:r w:rsidRPr="00064185">
        <w:rPr>
          <w:noProof/>
        </w:rPr>
        <w:tab/>
      </w:r>
      <w:r w:rsidRPr="00064185">
        <w:rPr>
          <w:noProof/>
        </w:rPr>
        <w:fldChar w:fldCharType="begin"/>
      </w:r>
      <w:r w:rsidRPr="00064185">
        <w:rPr>
          <w:noProof/>
        </w:rPr>
        <w:instrText xml:space="preserve"> PAGEREF _Toc530563665 \h </w:instrText>
      </w:r>
      <w:r w:rsidRPr="00064185">
        <w:rPr>
          <w:noProof/>
        </w:rPr>
      </w:r>
      <w:r w:rsidRPr="00064185">
        <w:rPr>
          <w:noProof/>
        </w:rPr>
        <w:fldChar w:fldCharType="separate"/>
      </w:r>
      <w:r w:rsidR="00200C9F" w:rsidRPr="00064185">
        <w:rPr>
          <w:noProof/>
        </w:rPr>
        <w:t>36</w:t>
      </w:r>
      <w:r w:rsidRPr="00064185">
        <w:rPr>
          <w:noProof/>
        </w:rPr>
        <w:fldChar w:fldCharType="end"/>
      </w:r>
    </w:p>
    <w:p w14:paraId="62A44243"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rFonts w:eastAsia="Calibri"/>
          <w:noProof/>
        </w:rPr>
        <w:t>2.3.1</w:t>
      </w:r>
      <w:r w:rsidRPr="00064185">
        <w:rPr>
          <w:rFonts w:eastAsiaTheme="minorEastAsia" w:cstheme="minorBidi"/>
          <w:noProof/>
          <w:sz w:val="22"/>
          <w:szCs w:val="22"/>
          <w:lang w:val="en-US" w:eastAsia="de-AT"/>
        </w:rPr>
        <w:tab/>
      </w:r>
      <w:r w:rsidRPr="00064185">
        <w:rPr>
          <w:rFonts w:eastAsia="Calibri"/>
          <w:noProof/>
        </w:rPr>
        <w:t>Physical, chemical and technical properties</w:t>
      </w:r>
      <w:r w:rsidRPr="00064185">
        <w:rPr>
          <w:noProof/>
        </w:rPr>
        <w:tab/>
      </w:r>
      <w:r w:rsidRPr="00064185">
        <w:rPr>
          <w:noProof/>
        </w:rPr>
        <w:fldChar w:fldCharType="begin"/>
      </w:r>
      <w:r w:rsidRPr="00064185">
        <w:rPr>
          <w:noProof/>
        </w:rPr>
        <w:instrText xml:space="preserve"> PAGEREF _Toc530563666 \h </w:instrText>
      </w:r>
      <w:r w:rsidRPr="00064185">
        <w:rPr>
          <w:noProof/>
        </w:rPr>
      </w:r>
      <w:r w:rsidRPr="00064185">
        <w:rPr>
          <w:noProof/>
        </w:rPr>
        <w:fldChar w:fldCharType="separate"/>
      </w:r>
      <w:r w:rsidR="00200C9F" w:rsidRPr="00064185">
        <w:rPr>
          <w:noProof/>
        </w:rPr>
        <w:t>36</w:t>
      </w:r>
      <w:r w:rsidRPr="00064185">
        <w:rPr>
          <w:noProof/>
        </w:rPr>
        <w:fldChar w:fldCharType="end"/>
      </w:r>
    </w:p>
    <w:p w14:paraId="528EF5B5"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noProof/>
        </w:rPr>
        <w:t>2.3.2</w:t>
      </w:r>
      <w:r w:rsidRPr="00064185">
        <w:rPr>
          <w:rFonts w:eastAsiaTheme="minorEastAsia" w:cstheme="minorBidi"/>
          <w:noProof/>
          <w:sz w:val="22"/>
          <w:szCs w:val="22"/>
          <w:lang w:val="en-US" w:eastAsia="de-AT"/>
        </w:rPr>
        <w:tab/>
      </w:r>
      <w:r w:rsidRPr="00064185">
        <w:rPr>
          <w:rFonts w:eastAsia="Calibri"/>
          <w:noProof/>
          <w:lang w:val="en-US"/>
        </w:rPr>
        <w:t>Physical hazards and respective characteristics</w:t>
      </w:r>
      <w:r w:rsidRPr="00064185">
        <w:rPr>
          <w:noProof/>
        </w:rPr>
        <w:tab/>
      </w:r>
      <w:r w:rsidRPr="00064185">
        <w:rPr>
          <w:noProof/>
        </w:rPr>
        <w:fldChar w:fldCharType="begin"/>
      </w:r>
      <w:r w:rsidRPr="00064185">
        <w:rPr>
          <w:noProof/>
        </w:rPr>
        <w:instrText xml:space="preserve"> PAGEREF _Toc530563667 \h </w:instrText>
      </w:r>
      <w:r w:rsidRPr="00064185">
        <w:rPr>
          <w:noProof/>
        </w:rPr>
      </w:r>
      <w:r w:rsidRPr="00064185">
        <w:rPr>
          <w:noProof/>
        </w:rPr>
        <w:fldChar w:fldCharType="separate"/>
      </w:r>
      <w:r w:rsidR="00200C9F" w:rsidRPr="00064185">
        <w:rPr>
          <w:noProof/>
        </w:rPr>
        <w:t>49</w:t>
      </w:r>
      <w:r w:rsidRPr="00064185">
        <w:rPr>
          <w:noProof/>
        </w:rPr>
        <w:fldChar w:fldCharType="end"/>
      </w:r>
    </w:p>
    <w:p w14:paraId="5174F3C6"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rFonts w:eastAsia="Calibri"/>
          <w:noProof/>
        </w:rPr>
        <w:t>2.3.3</w:t>
      </w:r>
      <w:r w:rsidRPr="00064185">
        <w:rPr>
          <w:rFonts w:eastAsiaTheme="minorEastAsia" w:cstheme="minorBidi"/>
          <w:noProof/>
          <w:sz w:val="22"/>
          <w:szCs w:val="22"/>
          <w:lang w:val="en-US" w:eastAsia="de-AT"/>
        </w:rPr>
        <w:tab/>
      </w:r>
      <w:r w:rsidRPr="00064185">
        <w:rPr>
          <w:rFonts w:eastAsia="Calibri"/>
          <w:noProof/>
        </w:rPr>
        <w:t>Methods for detection and identification</w:t>
      </w:r>
      <w:r w:rsidRPr="00064185">
        <w:rPr>
          <w:noProof/>
        </w:rPr>
        <w:tab/>
      </w:r>
      <w:r w:rsidRPr="00064185">
        <w:rPr>
          <w:noProof/>
        </w:rPr>
        <w:fldChar w:fldCharType="begin"/>
      </w:r>
      <w:r w:rsidRPr="00064185">
        <w:rPr>
          <w:noProof/>
        </w:rPr>
        <w:instrText xml:space="preserve"> PAGEREF _Toc530563668 \h </w:instrText>
      </w:r>
      <w:r w:rsidRPr="00064185">
        <w:rPr>
          <w:noProof/>
        </w:rPr>
      </w:r>
      <w:r w:rsidRPr="00064185">
        <w:rPr>
          <w:noProof/>
        </w:rPr>
        <w:fldChar w:fldCharType="separate"/>
      </w:r>
      <w:r w:rsidR="00200C9F" w:rsidRPr="00064185">
        <w:rPr>
          <w:noProof/>
        </w:rPr>
        <w:t>53</w:t>
      </w:r>
      <w:r w:rsidRPr="00064185">
        <w:rPr>
          <w:noProof/>
        </w:rPr>
        <w:fldChar w:fldCharType="end"/>
      </w:r>
    </w:p>
    <w:p w14:paraId="0EB8D6AA"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rFonts w:eastAsia="Calibri"/>
          <w:noProof/>
          <w:lang w:eastAsia="en-US"/>
        </w:rPr>
        <w:t>2.3.4</w:t>
      </w:r>
      <w:r w:rsidRPr="00064185">
        <w:rPr>
          <w:rFonts w:eastAsiaTheme="minorEastAsia" w:cstheme="minorBidi"/>
          <w:noProof/>
          <w:sz w:val="22"/>
          <w:szCs w:val="22"/>
          <w:lang w:val="en-US" w:eastAsia="de-AT"/>
        </w:rPr>
        <w:tab/>
      </w:r>
      <w:r w:rsidRPr="00064185">
        <w:rPr>
          <w:rFonts w:eastAsia="Calibri"/>
          <w:noProof/>
          <w:lang w:eastAsia="en-US"/>
        </w:rPr>
        <w:t>Efficacy against target organisms</w:t>
      </w:r>
      <w:r w:rsidRPr="00064185">
        <w:rPr>
          <w:noProof/>
        </w:rPr>
        <w:tab/>
      </w:r>
      <w:r w:rsidRPr="00064185">
        <w:rPr>
          <w:noProof/>
        </w:rPr>
        <w:fldChar w:fldCharType="begin"/>
      </w:r>
      <w:r w:rsidRPr="00064185">
        <w:rPr>
          <w:noProof/>
        </w:rPr>
        <w:instrText xml:space="preserve"> PAGEREF _Toc530563669 \h </w:instrText>
      </w:r>
      <w:r w:rsidRPr="00064185">
        <w:rPr>
          <w:noProof/>
        </w:rPr>
      </w:r>
      <w:r w:rsidRPr="00064185">
        <w:rPr>
          <w:noProof/>
        </w:rPr>
        <w:fldChar w:fldCharType="separate"/>
      </w:r>
      <w:r w:rsidR="00200C9F" w:rsidRPr="00064185">
        <w:rPr>
          <w:noProof/>
        </w:rPr>
        <w:t>54</w:t>
      </w:r>
      <w:r w:rsidRPr="00064185">
        <w:rPr>
          <w:noProof/>
        </w:rPr>
        <w:fldChar w:fldCharType="end"/>
      </w:r>
    </w:p>
    <w:p w14:paraId="640FE22A"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A.</w:t>
      </w:r>
      <w:r w:rsidRPr="00064185">
        <w:rPr>
          <w:rFonts w:eastAsiaTheme="minorEastAsia" w:cstheme="minorBidi"/>
          <w:noProof/>
          <w:sz w:val="22"/>
          <w:szCs w:val="22"/>
          <w:lang w:val="en-US" w:eastAsia="de-AT"/>
        </w:rPr>
        <w:tab/>
      </w:r>
      <w:r w:rsidRPr="00064185">
        <w:rPr>
          <w:noProof/>
        </w:rPr>
        <w:t>Function and field of use</w:t>
      </w:r>
      <w:r w:rsidRPr="00064185">
        <w:rPr>
          <w:noProof/>
        </w:rPr>
        <w:tab/>
      </w:r>
      <w:r w:rsidRPr="00064185">
        <w:rPr>
          <w:noProof/>
        </w:rPr>
        <w:fldChar w:fldCharType="begin"/>
      </w:r>
      <w:r w:rsidRPr="00064185">
        <w:rPr>
          <w:noProof/>
        </w:rPr>
        <w:instrText xml:space="preserve"> PAGEREF _Toc530563670 \h </w:instrText>
      </w:r>
      <w:r w:rsidRPr="00064185">
        <w:rPr>
          <w:noProof/>
        </w:rPr>
      </w:r>
      <w:r w:rsidRPr="00064185">
        <w:rPr>
          <w:noProof/>
        </w:rPr>
        <w:fldChar w:fldCharType="separate"/>
      </w:r>
      <w:r w:rsidR="00200C9F" w:rsidRPr="00064185">
        <w:rPr>
          <w:noProof/>
        </w:rPr>
        <w:t>54</w:t>
      </w:r>
      <w:r w:rsidRPr="00064185">
        <w:rPr>
          <w:noProof/>
        </w:rPr>
        <w:fldChar w:fldCharType="end"/>
      </w:r>
    </w:p>
    <w:p w14:paraId="50645E1E"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B.</w:t>
      </w:r>
      <w:r w:rsidRPr="00064185">
        <w:rPr>
          <w:rFonts w:eastAsiaTheme="minorEastAsia" w:cstheme="minorBidi"/>
          <w:noProof/>
          <w:sz w:val="22"/>
          <w:szCs w:val="22"/>
          <w:lang w:val="en-US" w:eastAsia="de-AT"/>
        </w:rPr>
        <w:tab/>
      </w:r>
      <w:r w:rsidRPr="00064185">
        <w:rPr>
          <w:noProof/>
        </w:rPr>
        <w:t>Organisms to be controlled and products, organisms or objects to be protected</w:t>
      </w:r>
      <w:r w:rsidRPr="00064185">
        <w:rPr>
          <w:noProof/>
        </w:rPr>
        <w:tab/>
      </w:r>
      <w:r w:rsidRPr="00064185">
        <w:rPr>
          <w:noProof/>
        </w:rPr>
        <w:fldChar w:fldCharType="begin"/>
      </w:r>
      <w:r w:rsidRPr="00064185">
        <w:rPr>
          <w:noProof/>
        </w:rPr>
        <w:instrText xml:space="preserve"> PAGEREF _Toc530563671 \h </w:instrText>
      </w:r>
      <w:r w:rsidRPr="00064185">
        <w:rPr>
          <w:noProof/>
        </w:rPr>
      </w:r>
      <w:r w:rsidRPr="00064185">
        <w:rPr>
          <w:noProof/>
        </w:rPr>
        <w:fldChar w:fldCharType="separate"/>
      </w:r>
      <w:r w:rsidR="00200C9F" w:rsidRPr="00064185">
        <w:rPr>
          <w:noProof/>
        </w:rPr>
        <w:t>54</w:t>
      </w:r>
      <w:r w:rsidRPr="00064185">
        <w:rPr>
          <w:noProof/>
        </w:rPr>
        <w:fldChar w:fldCharType="end"/>
      </w:r>
    </w:p>
    <w:p w14:paraId="357B7E37"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C.</w:t>
      </w:r>
      <w:r w:rsidRPr="00064185">
        <w:rPr>
          <w:rFonts w:eastAsiaTheme="minorEastAsia" w:cstheme="minorBidi"/>
          <w:noProof/>
          <w:sz w:val="22"/>
          <w:szCs w:val="22"/>
          <w:lang w:val="en-US" w:eastAsia="de-AT"/>
        </w:rPr>
        <w:tab/>
      </w:r>
      <w:r w:rsidRPr="00064185">
        <w:rPr>
          <w:noProof/>
        </w:rPr>
        <w:t>Effects on target organisms, including unacceptable suffering</w:t>
      </w:r>
      <w:r w:rsidRPr="00064185">
        <w:rPr>
          <w:noProof/>
        </w:rPr>
        <w:tab/>
      </w:r>
      <w:r w:rsidRPr="00064185">
        <w:rPr>
          <w:noProof/>
        </w:rPr>
        <w:fldChar w:fldCharType="begin"/>
      </w:r>
      <w:r w:rsidRPr="00064185">
        <w:rPr>
          <w:noProof/>
        </w:rPr>
        <w:instrText xml:space="preserve"> PAGEREF _Toc530563672 \h </w:instrText>
      </w:r>
      <w:r w:rsidRPr="00064185">
        <w:rPr>
          <w:noProof/>
        </w:rPr>
      </w:r>
      <w:r w:rsidRPr="00064185">
        <w:rPr>
          <w:noProof/>
        </w:rPr>
        <w:fldChar w:fldCharType="separate"/>
      </w:r>
      <w:r w:rsidR="00200C9F" w:rsidRPr="00064185">
        <w:rPr>
          <w:noProof/>
        </w:rPr>
        <w:t>55</w:t>
      </w:r>
      <w:r w:rsidRPr="00064185">
        <w:rPr>
          <w:noProof/>
        </w:rPr>
        <w:fldChar w:fldCharType="end"/>
      </w:r>
    </w:p>
    <w:p w14:paraId="5DA5CB3C"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D.</w:t>
      </w:r>
      <w:r w:rsidRPr="00064185">
        <w:rPr>
          <w:rFonts w:eastAsiaTheme="minorEastAsia" w:cstheme="minorBidi"/>
          <w:noProof/>
          <w:sz w:val="22"/>
          <w:szCs w:val="22"/>
          <w:lang w:val="en-US" w:eastAsia="de-AT"/>
        </w:rPr>
        <w:tab/>
      </w:r>
      <w:r w:rsidRPr="00064185">
        <w:rPr>
          <w:noProof/>
        </w:rPr>
        <w:t>Mode of action, including time delay</w:t>
      </w:r>
      <w:r w:rsidRPr="00064185">
        <w:rPr>
          <w:noProof/>
        </w:rPr>
        <w:tab/>
      </w:r>
      <w:r w:rsidRPr="00064185">
        <w:rPr>
          <w:noProof/>
        </w:rPr>
        <w:fldChar w:fldCharType="begin"/>
      </w:r>
      <w:r w:rsidRPr="00064185">
        <w:rPr>
          <w:noProof/>
        </w:rPr>
        <w:instrText xml:space="preserve"> PAGEREF _Toc530563673 \h </w:instrText>
      </w:r>
      <w:r w:rsidRPr="00064185">
        <w:rPr>
          <w:noProof/>
        </w:rPr>
      </w:r>
      <w:r w:rsidRPr="00064185">
        <w:rPr>
          <w:noProof/>
        </w:rPr>
        <w:fldChar w:fldCharType="separate"/>
      </w:r>
      <w:r w:rsidR="00200C9F" w:rsidRPr="00064185">
        <w:rPr>
          <w:noProof/>
        </w:rPr>
        <w:t>55</w:t>
      </w:r>
      <w:r w:rsidRPr="00064185">
        <w:rPr>
          <w:noProof/>
        </w:rPr>
        <w:fldChar w:fldCharType="end"/>
      </w:r>
    </w:p>
    <w:p w14:paraId="3C72B309"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E.</w:t>
      </w:r>
      <w:r w:rsidRPr="00064185">
        <w:rPr>
          <w:rFonts w:eastAsiaTheme="minorEastAsia" w:cstheme="minorBidi"/>
          <w:noProof/>
          <w:sz w:val="22"/>
          <w:szCs w:val="22"/>
          <w:lang w:val="en-US" w:eastAsia="de-AT"/>
        </w:rPr>
        <w:tab/>
      </w:r>
      <w:r w:rsidRPr="00064185">
        <w:rPr>
          <w:noProof/>
        </w:rPr>
        <w:t>Efficacy data</w:t>
      </w:r>
      <w:r w:rsidRPr="00064185">
        <w:rPr>
          <w:noProof/>
        </w:rPr>
        <w:tab/>
      </w:r>
      <w:r w:rsidRPr="00064185">
        <w:rPr>
          <w:noProof/>
        </w:rPr>
        <w:fldChar w:fldCharType="begin"/>
      </w:r>
      <w:r w:rsidRPr="00064185">
        <w:rPr>
          <w:noProof/>
        </w:rPr>
        <w:instrText xml:space="preserve"> PAGEREF _Toc530563674 \h </w:instrText>
      </w:r>
      <w:r w:rsidRPr="00064185">
        <w:rPr>
          <w:noProof/>
        </w:rPr>
      </w:r>
      <w:r w:rsidRPr="00064185">
        <w:rPr>
          <w:noProof/>
        </w:rPr>
        <w:fldChar w:fldCharType="separate"/>
      </w:r>
      <w:r w:rsidR="00200C9F" w:rsidRPr="00064185">
        <w:rPr>
          <w:noProof/>
        </w:rPr>
        <w:t>55</w:t>
      </w:r>
      <w:r w:rsidRPr="00064185">
        <w:rPr>
          <w:noProof/>
        </w:rPr>
        <w:fldChar w:fldCharType="end"/>
      </w:r>
    </w:p>
    <w:p w14:paraId="174B2BE0"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F.</w:t>
      </w:r>
      <w:r w:rsidRPr="00064185">
        <w:rPr>
          <w:rFonts w:eastAsiaTheme="minorEastAsia" w:cstheme="minorBidi"/>
          <w:noProof/>
          <w:sz w:val="22"/>
          <w:szCs w:val="22"/>
          <w:lang w:val="en-US" w:eastAsia="de-AT"/>
        </w:rPr>
        <w:tab/>
      </w:r>
      <w:r w:rsidRPr="00064185">
        <w:rPr>
          <w:noProof/>
        </w:rPr>
        <w:t>Occurrence of resistance and resistance management</w:t>
      </w:r>
      <w:r w:rsidRPr="00064185">
        <w:rPr>
          <w:noProof/>
        </w:rPr>
        <w:tab/>
      </w:r>
      <w:r w:rsidRPr="00064185">
        <w:rPr>
          <w:noProof/>
        </w:rPr>
        <w:fldChar w:fldCharType="begin"/>
      </w:r>
      <w:r w:rsidRPr="00064185">
        <w:rPr>
          <w:noProof/>
        </w:rPr>
        <w:instrText xml:space="preserve"> PAGEREF _Toc530563675 \h </w:instrText>
      </w:r>
      <w:r w:rsidRPr="00064185">
        <w:rPr>
          <w:noProof/>
        </w:rPr>
      </w:r>
      <w:r w:rsidRPr="00064185">
        <w:rPr>
          <w:noProof/>
        </w:rPr>
        <w:fldChar w:fldCharType="separate"/>
      </w:r>
      <w:r w:rsidR="00200C9F" w:rsidRPr="00064185">
        <w:rPr>
          <w:noProof/>
        </w:rPr>
        <w:t>64</w:t>
      </w:r>
      <w:r w:rsidRPr="00064185">
        <w:rPr>
          <w:noProof/>
        </w:rPr>
        <w:fldChar w:fldCharType="end"/>
      </w:r>
    </w:p>
    <w:p w14:paraId="39DEEE6B"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G.</w:t>
      </w:r>
      <w:r w:rsidRPr="00064185">
        <w:rPr>
          <w:rFonts w:eastAsiaTheme="minorEastAsia" w:cstheme="minorBidi"/>
          <w:noProof/>
          <w:sz w:val="22"/>
          <w:szCs w:val="22"/>
          <w:lang w:val="en-US" w:eastAsia="de-AT"/>
        </w:rPr>
        <w:tab/>
      </w:r>
      <w:r w:rsidRPr="00064185">
        <w:rPr>
          <w:noProof/>
        </w:rPr>
        <w:t>Known limitations</w:t>
      </w:r>
      <w:r w:rsidRPr="00064185">
        <w:rPr>
          <w:noProof/>
        </w:rPr>
        <w:tab/>
      </w:r>
      <w:r w:rsidRPr="00064185">
        <w:rPr>
          <w:noProof/>
        </w:rPr>
        <w:fldChar w:fldCharType="begin"/>
      </w:r>
      <w:r w:rsidRPr="00064185">
        <w:rPr>
          <w:noProof/>
        </w:rPr>
        <w:instrText xml:space="preserve"> PAGEREF _Toc530563676 \h </w:instrText>
      </w:r>
      <w:r w:rsidRPr="00064185">
        <w:rPr>
          <w:noProof/>
        </w:rPr>
      </w:r>
      <w:r w:rsidRPr="00064185">
        <w:rPr>
          <w:noProof/>
        </w:rPr>
        <w:fldChar w:fldCharType="separate"/>
      </w:r>
      <w:r w:rsidR="00200C9F" w:rsidRPr="00064185">
        <w:rPr>
          <w:noProof/>
        </w:rPr>
        <w:t>64</w:t>
      </w:r>
      <w:r w:rsidRPr="00064185">
        <w:rPr>
          <w:noProof/>
        </w:rPr>
        <w:fldChar w:fldCharType="end"/>
      </w:r>
    </w:p>
    <w:p w14:paraId="386D41A2"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H.</w:t>
      </w:r>
      <w:r w:rsidRPr="00064185">
        <w:rPr>
          <w:rFonts w:eastAsiaTheme="minorEastAsia" w:cstheme="minorBidi"/>
          <w:noProof/>
          <w:sz w:val="22"/>
          <w:szCs w:val="22"/>
          <w:lang w:val="en-US" w:eastAsia="de-AT"/>
        </w:rPr>
        <w:tab/>
      </w:r>
      <w:r w:rsidRPr="00064185">
        <w:rPr>
          <w:noProof/>
        </w:rPr>
        <w:t>Evaluation of the label claims</w:t>
      </w:r>
      <w:r w:rsidRPr="00064185">
        <w:rPr>
          <w:noProof/>
        </w:rPr>
        <w:tab/>
      </w:r>
      <w:r w:rsidRPr="00064185">
        <w:rPr>
          <w:noProof/>
        </w:rPr>
        <w:fldChar w:fldCharType="begin"/>
      </w:r>
      <w:r w:rsidRPr="00064185">
        <w:rPr>
          <w:noProof/>
        </w:rPr>
        <w:instrText xml:space="preserve"> PAGEREF _Toc530563677 \h </w:instrText>
      </w:r>
      <w:r w:rsidRPr="00064185">
        <w:rPr>
          <w:noProof/>
        </w:rPr>
      </w:r>
      <w:r w:rsidRPr="00064185">
        <w:rPr>
          <w:noProof/>
        </w:rPr>
        <w:fldChar w:fldCharType="separate"/>
      </w:r>
      <w:r w:rsidR="00200C9F" w:rsidRPr="00064185">
        <w:rPr>
          <w:noProof/>
        </w:rPr>
        <w:t>64</w:t>
      </w:r>
      <w:r w:rsidRPr="00064185">
        <w:rPr>
          <w:noProof/>
        </w:rPr>
        <w:fldChar w:fldCharType="end"/>
      </w:r>
    </w:p>
    <w:p w14:paraId="527BB79F"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I.</w:t>
      </w:r>
      <w:r w:rsidRPr="00064185">
        <w:rPr>
          <w:rFonts w:eastAsiaTheme="minorEastAsia" w:cstheme="minorBidi"/>
          <w:noProof/>
          <w:sz w:val="22"/>
          <w:szCs w:val="22"/>
          <w:lang w:val="en-US" w:eastAsia="de-AT"/>
        </w:rPr>
        <w:tab/>
      </w:r>
      <w:r w:rsidRPr="00064185">
        <w:rPr>
          <w:noProof/>
        </w:rPr>
        <w:t>Relevant information if the product is intended to be authorised for use with other biocidal product(s)</w:t>
      </w:r>
      <w:r w:rsidRPr="00064185">
        <w:rPr>
          <w:noProof/>
        </w:rPr>
        <w:tab/>
      </w:r>
      <w:r w:rsidRPr="00064185">
        <w:rPr>
          <w:noProof/>
        </w:rPr>
        <w:fldChar w:fldCharType="begin"/>
      </w:r>
      <w:r w:rsidRPr="00064185">
        <w:rPr>
          <w:noProof/>
        </w:rPr>
        <w:instrText xml:space="preserve"> PAGEREF _Toc530563678 \h </w:instrText>
      </w:r>
      <w:r w:rsidRPr="00064185">
        <w:rPr>
          <w:noProof/>
        </w:rPr>
      </w:r>
      <w:r w:rsidRPr="00064185">
        <w:rPr>
          <w:noProof/>
        </w:rPr>
        <w:fldChar w:fldCharType="separate"/>
      </w:r>
      <w:r w:rsidR="00200C9F" w:rsidRPr="00064185">
        <w:rPr>
          <w:noProof/>
        </w:rPr>
        <w:t>64</w:t>
      </w:r>
      <w:r w:rsidRPr="00064185">
        <w:rPr>
          <w:noProof/>
        </w:rPr>
        <w:fldChar w:fldCharType="end"/>
      </w:r>
    </w:p>
    <w:p w14:paraId="6F402B72"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rFonts w:eastAsia="Calibri"/>
          <w:noProof/>
          <w:lang w:eastAsia="en-US"/>
        </w:rPr>
        <w:t>2.3.5</w:t>
      </w:r>
      <w:r w:rsidRPr="00064185">
        <w:rPr>
          <w:rFonts w:eastAsiaTheme="minorEastAsia" w:cstheme="minorBidi"/>
          <w:noProof/>
          <w:sz w:val="22"/>
          <w:szCs w:val="22"/>
          <w:lang w:val="en-US" w:eastAsia="de-AT"/>
        </w:rPr>
        <w:tab/>
      </w:r>
      <w:r w:rsidRPr="00064185">
        <w:rPr>
          <w:rFonts w:eastAsia="Calibri"/>
          <w:noProof/>
          <w:lang w:eastAsia="en-US"/>
        </w:rPr>
        <w:t>Risk assessment for human health</w:t>
      </w:r>
      <w:r w:rsidRPr="00064185">
        <w:rPr>
          <w:noProof/>
        </w:rPr>
        <w:tab/>
      </w:r>
      <w:r w:rsidRPr="00064185">
        <w:rPr>
          <w:noProof/>
        </w:rPr>
        <w:fldChar w:fldCharType="begin"/>
      </w:r>
      <w:r w:rsidRPr="00064185">
        <w:rPr>
          <w:noProof/>
        </w:rPr>
        <w:instrText xml:space="preserve"> PAGEREF _Toc530563679 \h </w:instrText>
      </w:r>
      <w:r w:rsidRPr="00064185">
        <w:rPr>
          <w:noProof/>
        </w:rPr>
      </w:r>
      <w:r w:rsidRPr="00064185">
        <w:rPr>
          <w:noProof/>
        </w:rPr>
        <w:fldChar w:fldCharType="separate"/>
      </w:r>
      <w:r w:rsidR="00200C9F" w:rsidRPr="00064185">
        <w:rPr>
          <w:noProof/>
        </w:rPr>
        <w:t>65</w:t>
      </w:r>
      <w:r w:rsidRPr="00064185">
        <w:rPr>
          <w:noProof/>
        </w:rPr>
        <w:fldChar w:fldCharType="end"/>
      </w:r>
    </w:p>
    <w:p w14:paraId="0BCFA8B5"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A.</w:t>
      </w:r>
      <w:r w:rsidRPr="00064185">
        <w:rPr>
          <w:rFonts w:eastAsiaTheme="minorEastAsia" w:cstheme="minorBidi"/>
          <w:noProof/>
          <w:sz w:val="22"/>
          <w:szCs w:val="22"/>
          <w:lang w:val="en-US" w:eastAsia="de-AT"/>
        </w:rPr>
        <w:tab/>
      </w:r>
      <w:r w:rsidRPr="00064185">
        <w:rPr>
          <w:noProof/>
        </w:rPr>
        <w:t>Assessment of effects on Human Health</w:t>
      </w:r>
      <w:r w:rsidRPr="00064185">
        <w:rPr>
          <w:noProof/>
        </w:rPr>
        <w:tab/>
      </w:r>
      <w:r w:rsidRPr="00064185">
        <w:rPr>
          <w:noProof/>
        </w:rPr>
        <w:fldChar w:fldCharType="begin"/>
      </w:r>
      <w:r w:rsidRPr="00064185">
        <w:rPr>
          <w:noProof/>
        </w:rPr>
        <w:instrText xml:space="preserve"> PAGEREF _Toc530563680 \h </w:instrText>
      </w:r>
      <w:r w:rsidRPr="00064185">
        <w:rPr>
          <w:noProof/>
        </w:rPr>
      </w:r>
      <w:r w:rsidRPr="00064185">
        <w:rPr>
          <w:noProof/>
        </w:rPr>
        <w:fldChar w:fldCharType="separate"/>
      </w:r>
      <w:r w:rsidR="00200C9F" w:rsidRPr="00064185">
        <w:rPr>
          <w:noProof/>
        </w:rPr>
        <w:t>65</w:t>
      </w:r>
      <w:r w:rsidRPr="00064185">
        <w:rPr>
          <w:noProof/>
        </w:rPr>
        <w:fldChar w:fldCharType="end"/>
      </w:r>
    </w:p>
    <w:p w14:paraId="3887D7A2"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B.</w:t>
      </w:r>
      <w:r w:rsidRPr="00064185">
        <w:rPr>
          <w:rFonts w:eastAsiaTheme="minorEastAsia" w:cstheme="minorBidi"/>
          <w:noProof/>
          <w:sz w:val="22"/>
          <w:szCs w:val="22"/>
          <w:lang w:val="en-US" w:eastAsia="de-AT"/>
        </w:rPr>
        <w:tab/>
      </w:r>
      <w:r w:rsidRPr="00064185">
        <w:rPr>
          <w:noProof/>
        </w:rPr>
        <w:t>Exposure assessment</w:t>
      </w:r>
      <w:r w:rsidRPr="00064185">
        <w:rPr>
          <w:noProof/>
        </w:rPr>
        <w:tab/>
      </w:r>
      <w:r w:rsidRPr="00064185">
        <w:rPr>
          <w:noProof/>
        </w:rPr>
        <w:fldChar w:fldCharType="begin"/>
      </w:r>
      <w:r w:rsidRPr="00064185">
        <w:rPr>
          <w:noProof/>
        </w:rPr>
        <w:instrText xml:space="preserve"> PAGEREF _Toc530563681 \h </w:instrText>
      </w:r>
      <w:r w:rsidRPr="00064185">
        <w:rPr>
          <w:noProof/>
        </w:rPr>
      </w:r>
      <w:r w:rsidRPr="00064185">
        <w:rPr>
          <w:noProof/>
        </w:rPr>
        <w:fldChar w:fldCharType="separate"/>
      </w:r>
      <w:r w:rsidR="00200C9F" w:rsidRPr="00064185">
        <w:rPr>
          <w:noProof/>
        </w:rPr>
        <w:t>75</w:t>
      </w:r>
      <w:r w:rsidRPr="00064185">
        <w:rPr>
          <w:noProof/>
        </w:rPr>
        <w:fldChar w:fldCharType="end"/>
      </w:r>
    </w:p>
    <w:p w14:paraId="4E683E50"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C.</w:t>
      </w:r>
      <w:r w:rsidRPr="00064185">
        <w:rPr>
          <w:rFonts w:eastAsiaTheme="minorEastAsia" w:cstheme="minorBidi"/>
          <w:noProof/>
          <w:sz w:val="22"/>
          <w:szCs w:val="22"/>
          <w:lang w:val="en-US" w:eastAsia="de-AT"/>
        </w:rPr>
        <w:tab/>
      </w:r>
      <w:r w:rsidRPr="00064185">
        <w:rPr>
          <w:noProof/>
        </w:rPr>
        <w:t>Risk characterisation for human health</w:t>
      </w:r>
      <w:r w:rsidRPr="00064185">
        <w:rPr>
          <w:noProof/>
        </w:rPr>
        <w:tab/>
      </w:r>
      <w:r w:rsidRPr="00064185">
        <w:rPr>
          <w:noProof/>
        </w:rPr>
        <w:fldChar w:fldCharType="begin"/>
      </w:r>
      <w:r w:rsidRPr="00064185">
        <w:rPr>
          <w:noProof/>
        </w:rPr>
        <w:instrText xml:space="preserve"> PAGEREF _Toc530563682 \h </w:instrText>
      </w:r>
      <w:r w:rsidRPr="00064185">
        <w:rPr>
          <w:noProof/>
        </w:rPr>
      </w:r>
      <w:r w:rsidRPr="00064185">
        <w:rPr>
          <w:noProof/>
        </w:rPr>
        <w:fldChar w:fldCharType="separate"/>
      </w:r>
      <w:r w:rsidR="00200C9F" w:rsidRPr="00064185">
        <w:rPr>
          <w:noProof/>
        </w:rPr>
        <w:t>81</w:t>
      </w:r>
      <w:r w:rsidRPr="00064185">
        <w:rPr>
          <w:noProof/>
        </w:rPr>
        <w:fldChar w:fldCharType="end"/>
      </w:r>
    </w:p>
    <w:p w14:paraId="102B6273"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rFonts w:eastAsia="Calibri"/>
          <w:noProof/>
          <w:lang w:eastAsia="en-US"/>
        </w:rPr>
        <w:t>2.3.6</w:t>
      </w:r>
      <w:r w:rsidRPr="00064185">
        <w:rPr>
          <w:rFonts w:eastAsiaTheme="minorEastAsia" w:cstheme="minorBidi"/>
          <w:noProof/>
          <w:sz w:val="22"/>
          <w:szCs w:val="22"/>
          <w:lang w:val="en-US" w:eastAsia="de-AT"/>
        </w:rPr>
        <w:tab/>
      </w:r>
      <w:r w:rsidRPr="00064185">
        <w:rPr>
          <w:rFonts w:eastAsia="Calibri"/>
          <w:noProof/>
          <w:lang w:eastAsia="en-US"/>
        </w:rPr>
        <w:t>Risk assessment for animal health</w:t>
      </w:r>
      <w:r w:rsidRPr="00064185">
        <w:rPr>
          <w:noProof/>
        </w:rPr>
        <w:tab/>
      </w:r>
      <w:r w:rsidRPr="00064185">
        <w:rPr>
          <w:noProof/>
        </w:rPr>
        <w:fldChar w:fldCharType="begin"/>
      </w:r>
      <w:r w:rsidRPr="00064185">
        <w:rPr>
          <w:noProof/>
        </w:rPr>
        <w:instrText xml:space="preserve"> PAGEREF _Toc530563683 \h </w:instrText>
      </w:r>
      <w:r w:rsidRPr="00064185">
        <w:rPr>
          <w:noProof/>
        </w:rPr>
      </w:r>
      <w:r w:rsidRPr="00064185">
        <w:rPr>
          <w:noProof/>
        </w:rPr>
        <w:fldChar w:fldCharType="separate"/>
      </w:r>
      <w:r w:rsidR="00200C9F" w:rsidRPr="00064185">
        <w:rPr>
          <w:noProof/>
        </w:rPr>
        <w:t>83</w:t>
      </w:r>
      <w:r w:rsidRPr="00064185">
        <w:rPr>
          <w:noProof/>
        </w:rPr>
        <w:fldChar w:fldCharType="end"/>
      </w:r>
    </w:p>
    <w:p w14:paraId="6B6C9204"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rFonts w:eastAsia="Calibri"/>
          <w:noProof/>
          <w:lang w:eastAsia="en-US"/>
        </w:rPr>
        <w:t>2.3.7</w:t>
      </w:r>
      <w:r w:rsidRPr="00064185">
        <w:rPr>
          <w:rFonts w:eastAsiaTheme="minorEastAsia" w:cstheme="minorBidi"/>
          <w:noProof/>
          <w:sz w:val="22"/>
          <w:szCs w:val="22"/>
          <w:lang w:val="en-US" w:eastAsia="de-AT"/>
        </w:rPr>
        <w:tab/>
      </w:r>
      <w:r w:rsidRPr="00064185">
        <w:rPr>
          <w:rFonts w:eastAsia="Calibri"/>
          <w:noProof/>
          <w:lang w:eastAsia="en-US"/>
        </w:rPr>
        <w:t>Risk assessment for the environment</w:t>
      </w:r>
      <w:r w:rsidRPr="00064185">
        <w:rPr>
          <w:noProof/>
        </w:rPr>
        <w:tab/>
      </w:r>
      <w:r w:rsidRPr="00064185">
        <w:rPr>
          <w:noProof/>
        </w:rPr>
        <w:fldChar w:fldCharType="begin"/>
      </w:r>
      <w:r w:rsidRPr="00064185">
        <w:rPr>
          <w:noProof/>
        </w:rPr>
        <w:instrText xml:space="preserve"> PAGEREF _Toc530563684 \h </w:instrText>
      </w:r>
      <w:r w:rsidRPr="00064185">
        <w:rPr>
          <w:noProof/>
        </w:rPr>
      </w:r>
      <w:r w:rsidRPr="00064185">
        <w:rPr>
          <w:noProof/>
        </w:rPr>
        <w:fldChar w:fldCharType="separate"/>
      </w:r>
      <w:r w:rsidR="00200C9F" w:rsidRPr="00064185">
        <w:rPr>
          <w:noProof/>
        </w:rPr>
        <w:t>84</w:t>
      </w:r>
      <w:r w:rsidRPr="00064185">
        <w:rPr>
          <w:noProof/>
        </w:rPr>
        <w:fldChar w:fldCharType="end"/>
      </w:r>
    </w:p>
    <w:p w14:paraId="3F2AA528"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A.</w:t>
      </w:r>
      <w:r w:rsidRPr="00064185">
        <w:rPr>
          <w:rFonts w:eastAsiaTheme="minorEastAsia" w:cstheme="minorBidi"/>
          <w:noProof/>
          <w:sz w:val="22"/>
          <w:szCs w:val="22"/>
          <w:lang w:val="en-US" w:eastAsia="de-AT"/>
        </w:rPr>
        <w:tab/>
      </w:r>
      <w:r w:rsidRPr="00064185">
        <w:rPr>
          <w:noProof/>
        </w:rPr>
        <w:t>Effects assessment on the environment</w:t>
      </w:r>
      <w:r w:rsidRPr="00064185">
        <w:rPr>
          <w:noProof/>
        </w:rPr>
        <w:tab/>
      </w:r>
      <w:r w:rsidRPr="00064185">
        <w:rPr>
          <w:noProof/>
        </w:rPr>
        <w:fldChar w:fldCharType="begin"/>
      </w:r>
      <w:r w:rsidRPr="00064185">
        <w:rPr>
          <w:noProof/>
        </w:rPr>
        <w:instrText xml:space="preserve"> PAGEREF _Toc530563685 \h </w:instrText>
      </w:r>
      <w:r w:rsidRPr="00064185">
        <w:rPr>
          <w:noProof/>
        </w:rPr>
      </w:r>
      <w:r w:rsidRPr="00064185">
        <w:rPr>
          <w:noProof/>
        </w:rPr>
        <w:fldChar w:fldCharType="separate"/>
      </w:r>
      <w:r w:rsidR="00200C9F" w:rsidRPr="00064185">
        <w:rPr>
          <w:noProof/>
        </w:rPr>
        <w:t>84</w:t>
      </w:r>
      <w:r w:rsidRPr="00064185">
        <w:rPr>
          <w:noProof/>
        </w:rPr>
        <w:fldChar w:fldCharType="end"/>
      </w:r>
    </w:p>
    <w:p w14:paraId="620EB331"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B.</w:t>
      </w:r>
      <w:r w:rsidRPr="00064185">
        <w:rPr>
          <w:rFonts w:eastAsiaTheme="minorEastAsia" w:cstheme="minorBidi"/>
          <w:noProof/>
          <w:sz w:val="22"/>
          <w:szCs w:val="22"/>
          <w:lang w:val="en-US" w:eastAsia="de-AT"/>
        </w:rPr>
        <w:tab/>
      </w:r>
      <w:r w:rsidRPr="00064185">
        <w:rPr>
          <w:noProof/>
        </w:rPr>
        <w:t>Exposure assessment</w:t>
      </w:r>
      <w:r w:rsidRPr="00064185">
        <w:rPr>
          <w:noProof/>
        </w:rPr>
        <w:tab/>
      </w:r>
      <w:r w:rsidRPr="00064185">
        <w:rPr>
          <w:noProof/>
        </w:rPr>
        <w:fldChar w:fldCharType="begin"/>
      </w:r>
      <w:r w:rsidRPr="00064185">
        <w:rPr>
          <w:noProof/>
        </w:rPr>
        <w:instrText xml:space="preserve"> PAGEREF _Toc530563686 \h </w:instrText>
      </w:r>
      <w:r w:rsidRPr="00064185">
        <w:rPr>
          <w:noProof/>
        </w:rPr>
      </w:r>
      <w:r w:rsidRPr="00064185">
        <w:rPr>
          <w:noProof/>
        </w:rPr>
        <w:fldChar w:fldCharType="separate"/>
      </w:r>
      <w:r w:rsidR="00200C9F" w:rsidRPr="00064185">
        <w:rPr>
          <w:noProof/>
        </w:rPr>
        <w:t>89</w:t>
      </w:r>
      <w:r w:rsidRPr="00064185">
        <w:rPr>
          <w:noProof/>
        </w:rPr>
        <w:fldChar w:fldCharType="end"/>
      </w:r>
    </w:p>
    <w:p w14:paraId="68FD3976"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C.</w:t>
      </w:r>
      <w:r w:rsidRPr="00064185">
        <w:rPr>
          <w:rFonts w:eastAsiaTheme="minorEastAsia" w:cstheme="minorBidi"/>
          <w:noProof/>
          <w:sz w:val="22"/>
          <w:szCs w:val="22"/>
          <w:lang w:val="en-US" w:eastAsia="de-AT"/>
        </w:rPr>
        <w:tab/>
      </w:r>
      <w:r w:rsidRPr="00064185">
        <w:rPr>
          <w:noProof/>
        </w:rPr>
        <w:t>Risk characterisation</w:t>
      </w:r>
      <w:r w:rsidRPr="00064185">
        <w:rPr>
          <w:noProof/>
        </w:rPr>
        <w:tab/>
      </w:r>
      <w:r w:rsidRPr="00064185">
        <w:rPr>
          <w:noProof/>
        </w:rPr>
        <w:fldChar w:fldCharType="begin"/>
      </w:r>
      <w:r w:rsidRPr="00064185">
        <w:rPr>
          <w:noProof/>
        </w:rPr>
        <w:instrText xml:space="preserve"> PAGEREF _Toc530563687 \h </w:instrText>
      </w:r>
      <w:r w:rsidRPr="00064185">
        <w:rPr>
          <w:noProof/>
        </w:rPr>
      </w:r>
      <w:r w:rsidRPr="00064185">
        <w:rPr>
          <w:noProof/>
        </w:rPr>
        <w:fldChar w:fldCharType="separate"/>
      </w:r>
      <w:r w:rsidR="00200C9F" w:rsidRPr="00064185">
        <w:rPr>
          <w:noProof/>
        </w:rPr>
        <w:t>121</w:t>
      </w:r>
      <w:r w:rsidRPr="00064185">
        <w:rPr>
          <w:noProof/>
        </w:rPr>
        <w:fldChar w:fldCharType="end"/>
      </w:r>
    </w:p>
    <w:p w14:paraId="55925BD4"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rFonts w:eastAsia="Calibri"/>
          <w:noProof/>
          <w:lang w:eastAsia="en-US"/>
        </w:rPr>
        <w:t>2.3.8</w:t>
      </w:r>
      <w:r w:rsidRPr="00064185">
        <w:rPr>
          <w:rFonts w:eastAsiaTheme="minorEastAsia" w:cstheme="minorBidi"/>
          <w:noProof/>
          <w:sz w:val="22"/>
          <w:szCs w:val="22"/>
          <w:lang w:val="en-US" w:eastAsia="de-AT"/>
        </w:rPr>
        <w:tab/>
      </w:r>
      <w:r w:rsidRPr="00064185">
        <w:rPr>
          <w:rFonts w:eastAsia="Calibri"/>
          <w:noProof/>
          <w:lang w:val="en-US" w:eastAsia="en-US"/>
        </w:rPr>
        <w:t>Measures to protect man, animals and the environment</w:t>
      </w:r>
      <w:r w:rsidRPr="00064185">
        <w:rPr>
          <w:noProof/>
        </w:rPr>
        <w:tab/>
      </w:r>
      <w:r w:rsidRPr="00064185">
        <w:rPr>
          <w:noProof/>
        </w:rPr>
        <w:fldChar w:fldCharType="begin"/>
      </w:r>
      <w:r w:rsidRPr="00064185">
        <w:rPr>
          <w:noProof/>
        </w:rPr>
        <w:instrText xml:space="preserve"> PAGEREF _Toc530563688 \h </w:instrText>
      </w:r>
      <w:r w:rsidRPr="00064185">
        <w:rPr>
          <w:noProof/>
        </w:rPr>
      </w:r>
      <w:r w:rsidRPr="00064185">
        <w:rPr>
          <w:noProof/>
        </w:rPr>
        <w:fldChar w:fldCharType="separate"/>
      </w:r>
      <w:r w:rsidR="00200C9F" w:rsidRPr="00064185">
        <w:rPr>
          <w:noProof/>
        </w:rPr>
        <w:t>128</w:t>
      </w:r>
      <w:r w:rsidRPr="00064185">
        <w:rPr>
          <w:noProof/>
        </w:rPr>
        <w:fldChar w:fldCharType="end"/>
      </w:r>
    </w:p>
    <w:p w14:paraId="6AD9A66F"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A.</w:t>
      </w:r>
      <w:r w:rsidRPr="00064185">
        <w:rPr>
          <w:rFonts w:eastAsiaTheme="minorEastAsia" w:cstheme="minorBidi"/>
          <w:noProof/>
          <w:sz w:val="22"/>
          <w:szCs w:val="22"/>
          <w:lang w:val="en-US" w:eastAsia="de-AT"/>
        </w:rPr>
        <w:tab/>
      </w:r>
      <w:r w:rsidRPr="00064185">
        <w:rPr>
          <w:noProof/>
        </w:rPr>
        <w:t>Recommended methods and precautions</w:t>
      </w:r>
      <w:r w:rsidRPr="00064185">
        <w:rPr>
          <w:noProof/>
        </w:rPr>
        <w:tab/>
      </w:r>
      <w:r w:rsidRPr="00064185">
        <w:rPr>
          <w:noProof/>
        </w:rPr>
        <w:fldChar w:fldCharType="begin"/>
      </w:r>
      <w:r w:rsidRPr="00064185">
        <w:rPr>
          <w:noProof/>
        </w:rPr>
        <w:instrText xml:space="preserve"> PAGEREF _Toc530563689 \h </w:instrText>
      </w:r>
      <w:r w:rsidRPr="00064185">
        <w:rPr>
          <w:noProof/>
        </w:rPr>
      </w:r>
      <w:r w:rsidRPr="00064185">
        <w:rPr>
          <w:noProof/>
        </w:rPr>
        <w:fldChar w:fldCharType="separate"/>
      </w:r>
      <w:r w:rsidR="00200C9F" w:rsidRPr="00064185">
        <w:rPr>
          <w:noProof/>
        </w:rPr>
        <w:t>128</w:t>
      </w:r>
      <w:r w:rsidRPr="00064185">
        <w:rPr>
          <w:noProof/>
        </w:rPr>
        <w:fldChar w:fldCharType="end"/>
      </w:r>
    </w:p>
    <w:p w14:paraId="3AD2E909"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B.</w:t>
      </w:r>
      <w:r w:rsidRPr="00064185">
        <w:rPr>
          <w:rFonts w:eastAsiaTheme="minorEastAsia" w:cstheme="minorBidi"/>
          <w:noProof/>
          <w:sz w:val="22"/>
          <w:szCs w:val="22"/>
          <w:lang w:val="en-US" w:eastAsia="de-AT"/>
        </w:rPr>
        <w:tab/>
      </w:r>
      <w:r w:rsidRPr="00064185">
        <w:rPr>
          <w:noProof/>
        </w:rPr>
        <w:t>Identity of relevant combustion products in cases of fire</w:t>
      </w:r>
      <w:r w:rsidRPr="00064185">
        <w:rPr>
          <w:noProof/>
        </w:rPr>
        <w:tab/>
      </w:r>
      <w:r w:rsidRPr="00064185">
        <w:rPr>
          <w:noProof/>
        </w:rPr>
        <w:fldChar w:fldCharType="begin"/>
      </w:r>
      <w:r w:rsidRPr="00064185">
        <w:rPr>
          <w:noProof/>
        </w:rPr>
        <w:instrText xml:space="preserve"> PAGEREF _Toc530563690 \h </w:instrText>
      </w:r>
      <w:r w:rsidRPr="00064185">
        <w:rPr>
          <w:noProof/>
        </w:rPr>
      </w:r>
      <w:r w:rsidRPr="00064185">
        <w:rPr>
          <w:noProof/>
        </w:rPr>
        <w:fldChar w:fldCharType="separate"/>
      </w:r>
      <w:r w:rsidR="00200C9F" w:rsidRPr="00064185">
        <w:rPr>
          <w:noProof/>
        </w:rPr>
        <w:t>129</w:t>
      </w:r>
      <w:r w:rsidRPr="00064185">
        <w:rPr>
          <w:noProof/>
        </w:rPr>
        <w:fldChar w:fldCharType="end"/>
      </w:r>
    </w:p>
    <w:p w14:paraId="4842C9B9"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C.</w:t>
      </w:r>
      <w:r w:rsidRPr="00064185">
        <w:rPr>
          <w:rFonts w:eastAsiaTheme="minorEastAsia" w:cstheme="minorBidi"/>
          <w:noProof/>
          <w:sz w:val="22"/>
          <w:szCs w:val="22"/>
          <w:lang w:val="en-US" w:eastAsia="de-AT"/>
        </w:rPr>
        <w:tab/>
      </w:r>
      <w:r w:rsidRPr="00064185">
        <w:rPr>
          <w:noProof/>
        </w:rPr>
        <w:t>Specific treatment in case of an accident</w:t>
      </w:r>
      <w:r w:rsidRPr="00064185">
        <w:rPr>
          <w:noProof/>
        </w:rPr>
        <w:tab/>
      </w:r>
      <w:r w:rsidRPr="00064185">
        <w:rPr>
          <w:noProof/>
        </w:rPr>
        <w:fldChar w:fldCharType="begin"/>
      </w:r>
      <w:r w:rsidRPr="00064185">
        <w:rPr>
          <w:noProof/>
        </w:rPr>
        <w:instrText xml:space="preserve"> PAGEREF _Toc530563691 \h </w:instrText>
      </w:r>
      <w:r w:rsidRPr="00064185">
        <w:rPr>
          <w:noProof/>
        </w:rPr>
      </w:r>
      <w:r w:rsidRPr="00064185">
        <w:rPr>
          <w:noProof/>
        </w:rPr>
        <w:fldChar w:fldCharType="separate"/>
      </w:r>
      <w:r w:rsidR="00200C9F" w:rsidRPr="00064185">
        <w:rPr>
          <w:noProof/>
        </w:rPr>
        <w:t>129</w:t>
      </w:r>
      <w:r w:rsidRPr="00064185">
        <w:rPr>
          <w:noProof/>
        </w:rPr>
        <w:fldChar w:fldCharType="end"/>
      </w:r>
    </w:p>
    <w:p w14:paraId="454194AD"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D.</w:t>
      </w:r>
      <w:r w:rsidRPr="00064185">
        <w:rPr>
          <w:rFonts w:eastAsiaTheme="minorEastAsia" w:cstheme="minorBidi"/>
          <w:noProof/>
          <w:sz w:val="22"/>
          <w:szCs w:val="22"/>
          <w:lang w:val="en-US" w:eastAsia="de-AT"/>
        </w:rPr>
        <w:tab/>
      </w:r>
      <w:r w:rsidRPr="00064185">
        <w:rPr>
          <w:noProof/>
        </w:rPr>
        <w:t>Possibility of destruction or decontamination following release</w:t>
      </w:r>
      <w:r w:rsidRPr="00064185">
        <w:rPr>
          <w:noProof/>
        </w:rPr>
        <w:tab/>
      </w:r>
      <w:r w:rsidRPr="00064185">
        <w:rPr>
          <w:noProof/>
        </w:rPr>
        <w:fldChar w:fldCharType="begin"/>
      </w:r>
      <w:r w:rsidRPr="00064185">
        <w:rPr>
          <w:noProof/>
        </w:rPr>
        <w:instrText xml:space="preserve"> PAGEREF _Toc530563692 \h </w:instrText>
      </w:r>
      <w:r w:rsidRPr="00064185">
        <w:rPr>
          <w:noProof/>
        </w:rPr>
      </w:r>
      <w:r w:rsidRPr="00064185">
        <w:rPr>
          <w:noProof/>
        </w:rPr>
        <w:fldChar w:fldCharType="separate"/>
      </w:r>
      <w:r w:rsidR="00200C9F" w:rsidRPr="00064185">
        <w:rPr>
          <w:noProof/>
        </w:rPr>
        <w:t>129</w:t>
      </w:r>
      <w:r w:rsidRPr="00064185">
        <w:rPr>
          <w:noProof/>
        </w:rPr>
        <w:fldChar w:fldCharType="end"/>
      </w:r>
    </w:p>
    <w:p w14:paraId="7FF17BD9"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E.</w:t>
      </w:r>
      <w:r w:rsidRPr="00064185">
        <w:rPr>
          <w:rFonts w:eastAsiaTheme="minorEastAsia" w:cstheme="minorBidi"/>
          <w:noProof/>
          <w:sz w:val="22"/>
          <w:szCs w:val="22"/>
          <w:lang w:val="en-US" w:eastAsia="de-AT"/>
        </w:rPr>
        <w:tab/>
      </w:r>
      <w:r w:rsidRPr="00064185">
        <w:rPr>
          <w:noProof/>
        </w:rPr>
        <w:t>Procedures for waste management of the biocidal product and its packaging</w:t>
      </w:r>
      <w:r w:rsidRPr="00064185">
        <w:rPr>
          <w:noProof/>
        </w:rPr>
        <w:tab/>
      </w:r>
      <w:r w:rsidRPr="00064185">
        <w:rPr>
          <w:noProof/>
        </w:rPr>
        <w:fldChar w:fldCharType="begin"/>
      </w:r>
      <w:r w:rsidRPr="00064185">
        <w:rPr>
          <w:noProof/>
        </w:rPr>
        <w:instrText xml:space="preserve"> PAGEREF _Toc530563693 \h </w:instrText>
      </w:r>
      <w:r w:rsidRPr="00064185">
        <w:rPr>
          <w:noProof/>
        </w:rPr>
      </w:r>
      <w:r w:rsidRPr="00064185">
        <w:rPr>
          <w:noProof/>
        </w:rPr>
        <w:fldChar w:fldCharType="separate"/>
      </w:r>
      <w:r w:rsidR="00200C9F" w:rsidRPr="00064185">
        <w:rPr>
          <w:noProof/>
        </w:rPr>
        <w:t>130</w:t>
      </w:r>
      <w:r w:rsidRPr="00064185">
        <w:rPr>
          <w:noProof/>
        </w:rPr>
        <w:fldChar w:fldCharType="end"/>
      </w:r>
    </w:p>
    <w:p w14:paraId="6E292D37"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F.</w:t>
      </w:r>
      <w:r w:rsidRPr="00064185">
        <w:rPr>
          <w:rFonts w:eastAsiaTheme="minorEastAsia" w:cstheme="minorBidi"/>
          <w:noProof/>
          <w:sz w:val="22"/>
          <w:szCs w:val="22"/>
          <w:lang w:val="en-US" w:eastAsia="de-AT"/>
        </w:rPr>
        <w:tab/>
      </w:r>
      <w:r w:rsidRPr="00064185">
        <w:rPr>
          <w:noProof/>
        </w:rPr>
        <w:t>Procedures for cleaning application equipment where relevant</w:t>
      </w:r>
      <w:r w:rsidRPr="00064185">
        <w:rPr>
          <w:noProof/>
        </w:rPr>
        <w:tab/>
      </w:r>
      <w:r w:rsidRPr="00064185">
        <w:rPr>
          <w:noProof/>
        </w:rPr>
        <w:fldChar w:fldCharType="begin"/>
      </w:r>
      <w:r w:rsidRPr="00064185">
        <w:rPr>
          <w:noProof/>
        </w:rPr>
        <w:instrText xml:space="preserve"> PAGEREF _Toc530563694 \h </w:instrText>
      </w:r>
      <w:r w:rsidRPr="00064185">
        <w:rPr>
          <w:noProof/>
        </w:rPr>
      </w:r>
      <w:r w:rsidRPr="00064185">
        <w:rPr>
          <w:noProof/>
        </w:rPr>
        <w:fldChar w:fldCharType="separate"/>
      </w:r>
      <w:r w:rsidR="00200C9F" w:rsidRPr="00064185">
        <w:rPr>
          <w:noProof/>
        </w:rPr>
        <w:t>130</w:t>
      </w:r>
      <w:r w:rsidRPr="00064185">
        <w:rPr>
          <w:noProof/>
        </w:rPr>
        <w:fldChar w:fldCharType="end"/>
      </w:r>
    </w:p>
    <w:p w14:paraId="3CB87AB6" w14:textId="77777777" w:rsidR="00CA4809" w:rsidRPr="00064185" w:rsidRDefault="00CA4809">
      <w:pPr>
        <w:pStyle w:val="Verzeichnis4"/>
        <w:tabs>
          <w:tab w:val="left" w:pos="800"/>
          <w:tab w:val="right" w:leader="dot" w:pos="9204"/>
        </w:tabs>
        <w:rPr>
          <w:rFonts w:eastAsiaTheme="minorEastAsia" w:cstheme="minorBidi"/>
          <w:noProof/>
          <w:sz w:val="22"/>
          <w:szCs w:val="22"/>
          <w:lang w:val="en-US" w:eastAsia="de-AT"/>
        </w:rPr>
      </w:pPr>
      <w:r w:rsidRPr="00064185">
        <w:rPr>
          <w:noProof/>
        </w:rPr>
        <w:t>G.</w:t>
      </w:r>
      <w:r w:rsidRPr="00064185">
        <w:rPr>
          <w:rFonts w:eastAsiaTheme="minorEastAsia" w:cstheme="minorBidi"/>
          <w:noProof/>
          <w:sz w:val="22"/>
          <w:szCs w:val="22"/>
          <w:lang w:val="en-US" w:eastAsia="de-AT"/>
        </w:rPr>
        <w:tab/>
      </w:r>
      <w:r w:rsidRPr="00064185">
        <w:rPr>
          <w:noProof/>
        </w:rPr>
        <w:t>Specify any repellents or poison control measures included in the product</w:t>
      </w:r>
      <w:r w:rsidRPr="00064185">
        <w:rPr>
          <w:noProof/>
        </w:rPr>
        <w:tab/>
      </w:r>
      <w:r w:rsidRPr="00064185">
        <w:rPr>
          <w:noProof/>
        </w:rPr>
        <w:fldChar w:fldCharType="begin"/>
      </w:r>
      <w:r w:rsidRPr="00064185">
        <w:rPr>
          <w:noProof/>
        </w:rPr>
        <w:instrText xml:space="preserve"> PAGEREF _Toc530563695 \h </w:instrText>
      </w:r>
      <w:r w:rsidRPr="00064185">
        <w:rPr>
          <w:noProof/>
        </w:rPr>
      </w:r>
      <w:r w:rsidRPr="00064185">
        <w:rPr>
          <w:noProof/>
        </w:rPr>
        <w:fldChar w:fldCharType="separate"/>
      </w:r>
      <w:r w:rsidR="00200C9F" w:rsidRPr="00064185">
        <w:rPr>
          <w:noProof/>
        </w:rPr>
        <w:t>130</w:t>
      </w:r>
      <w:r w:rsidRPr="00064185">
        <w:rPr>
          <w:noProof/>
        </w:rPr>
        <w:fldChar w:fldCharType="end"/>
      </w:r>
    </w:p>
    <w:p w14:paraId="0C4868F8"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rFonts w:eastAsia="Calibri"/>
          <w:noProof/>
          <w:lang w:eastAsia="en-US"/>
        </w:rPr>
        <w:t>2.3.9</w:t>
      </w:r>
      <w:r w:rsidRPr="00064185">
        <w:rPr>
          <w:rFonts w:eastAsiaTheme="minorEastAsia" w:cstheme="minorBidi"/>
          <w:noProof/>
          <w:sz w:val="22"/>
          <w:szCs w:val="22"/>
          <w:lang w:val="en-US" w:eastAsia="de-AT"/>
        </w:rPr>
        <w:tab/>
      </w:r>
      <w:r w:rsidRPr="00064185">
        <w:rPr>
          <w:rFonts w:eastAsia="Calibri"/>
          <w:noProof/>
          <w:lang w:val="en-US" w:eastAsia="en-US"/>
        </w:rPr>
        <w:t>Assessment of a combination of biocidal products</w:t>
      </w:r>
      <w:r w:rsidRPr="00064185">
        <w:rPr>
          <w:noProof/>
        </w:rPr>
        <w:tab/>
      </w:r>
      <w:r w:rsidRPr="00064185">
        <w:rPr>
          <w:noProof/>
        </w:rPr>
        <w:fldChar w:fldCharType="begin"/>
      </w:r>
      <w:r w:rsidRPr="00064185">
        <w:rPr>
          <w:noProof/>
        </w:rPr>
        <w:instrText xml:space="preserve"> PAGEREF _Toc530563696 \h </w:instrText>
      </w:r>
      <w:r w:rsidRPr="00064185">
        <w:rPr>
          <w:noProof/>
        </w:rPr>
      </w:r>
      <w:r w:rsidRPr="00064185">
        <w:rPr>
          <w:noProof/>
        </w:rPr>
        <w:fldChar w:fldCharType="separate"/>
      </w:r>
      <w:r w:rsidR="00200C9F" w:rsidRPr="00064185">
        <w:rPr>
          <w:noProof/>
        </w:rPr>
        <w:t>130</w:t>
      </w:r>
      <w:r w:rsidRPr="00064185">
        <w:rPr>
          <w:noProof/>
        </w:rPr>
        <w:fldChar w:fldCharType="end"/>
      </w:r>
    </w:p>
    <w:p w14:paraId="50EFA532" w14:textId="77777777" w:rsidR="00CA4809" w:rsidRPr="00064185" w:rsidRDefault="00CA4809">
      <w:pPr>
        <w:pStyle w:val="Verzeichnis3"/>
        <w:tabs>
          <w:tab w:val="left" w:pos="1000"/>
          <w:tab w:val="right" w:leader="dot" w:pos="9204"/>
        </w:tabs>
        <w:rPr>
          <w:rFonts w:eastAsiaTheme="minorEastAsia" w:cstheme="minorBidi"/>
          <w:noProof/>
          <w:sz w:val="22"/>
          <w:szCs w:val="22"/>
          <w:lang w:val="en-US" w:eastAsia="de-AT"/>
        </w:rPr>
      </w:pPr>
      <w:r w:rsidRPr="00064185">
        <w:rPr>
          <w:noProof/>
        </w:rPr>
        <w:t>2.3.10</w:t>
      </w:r>
      <w:r w:rsidRPr="00064185">
        <w:rPr>
          <w:rFonts w:eastAsiaTheme="minorEastAsia" w:cstheme="minorBidi"/>
          <w:noProof/>
          <w:sz w:val="22"/>
          <w:szCs w:val="22"/>
          <w:lang w:val="en-US" w:eastAsia="de-AT"/>
        </w:rPr>
        <w:tab/>
      </w:r>
      <w:r w:rsidRPr="00064185">
        <w:rPr>
          <w:rFonts w:eastAsia="Calibri"/>
          <w:noProof/>
        </w:rPr>
        <w:t>Comparative assessment</w:t>
      </w:r>
      <w:r w:rsidRPr="00064185">
        <w:rPr>
          <w:noProof/>
        </w:rPr>
        <w:tab/>
      </w:r>
      <w:r w:rsidRPr="00064185">
        <w:rPr>
          <w:noProof/>
        </w:rPr>
        <w:fldChar w:fldCharType="begin"/>
      </w:r>
      <w:r w:rsidRPr="00064185">
        <w:rPr>
          <w:noProof/>
        </w:rPr>
        <w:instrText xml:space="preserve"> PAGEREF _Toc530563697 \h </w:instrText>
      </w:r>
      <w:r w:rsidRPr="00064185">
        <w:rPr>
          <w:noProof/>
        </w:rPr>
      </w:r>
      <w:r w:rsidRPr="00064185">
        <w:rPr>
          <w:noProof/>
        </w:rPr>
        <w:fldChar w:fldCharType="separate"/>
      </w:r>
      <w:r w:rsidR="00200C9F" w:rsidRPr="00064185">
        <w:rPr>
          <w:noProof/>
        </w:rPr>
        <w:t>130</w:t>
      </w:r>
      <w:r w:rsidRPr="00064185">
        <w:rPr>
          <w:noProof/>
        </w:rPr>
        <w:fldChar w:fldCharType="end"/>
      </w:r>
    </w:p>
    <w:p w14:paraId="14A1445C" w14:textId="77777777" w:rsidR="00CA4809" w:rsidRPr="00064185" w:rsidRDefault="00CA4809">
      <w:pPr>
        <w:pStyle w:val="Verzeichnis1"/>
        <w:tabs>
          <w:tab w:val="left" w:pos="400"/>
          <w:tab w:val="right" w:leader="dot" w:pos="9204"/>
        </w:tabs>
        <w:rPr>
          <w:rFonts w:asciiTheme="minorHAnsi" w:eastAsiaTheme="minorEastAsia" w:hAnsiTheme="minorHAnsi" w:cstheme="minorBidi"/>
          <w:b w:val="0"/>
          <w:bCs w:val="0"/>
          <w:caps w:val="0"/>
          <w:noProof/>
          <w:sz w:val="22"/>
          <w:szCs w:val="22"/>
          <w:lang w:val="en-US" w:eastAsia="de-AT"/>
        </w:rPr>
      </w:pPr>
      <w:r w:rsidRPr="00064185">
        <w:rPr>
          <w:rFonts w:eastAsia="Calibri"/>
          <w:noProof/>
          <w:lang w:eastAsia="en-US"/>
        </w:rPr>
        <w:t>3</w:t>
      </w:r>
      <w:r w:rsidRPr="00064185">
        <w:rPr>
          <w:rFonts w:asciiTheme="minorHAnsi" w:eastAsiaTheme="minorEastAsia" w:hAnsiTheme="minorHAnsi" w:cstheme="minorBidi"/>
          <w:b w:val="0"/>
          <w:bCs w:val="0"/>
          <w:caps w:val="0"/>
          <w:noProof/>
          <w:sz w:val="22"/>
          <w:szCs w:val="22"/>
          <w:lang w:val="en-US" w:eastAsia="de-AT"/>
        </w:rPr>
        <w:tab/>
      </w:r>
      <w:r w:rsidRPr="00064185">
        <w:rPr>
          <w:rFonts w:eastAsia="Calibri"/>
          <w:noProof/>
          <w:u w:val="single"/>
          <w:lang w:eastAsia="en-US"/>
        </w:rPr>
        <w:t>Annexes</w:t>
      </w:r>
      <w:r w:rsidRPr="00064185">
        <w:rPr>
          <w:noProof/>
        </w:rPr>
        <w:tab/>
      </w:r>
      <w:r w:rsidRPr="00064185">
        <w:rPr>
          <w:noProof/>
        </w:rPr>
        <w:fldChar w:fldCharType="begin"/>
      </w:r>
      <w:r w:rsidRPr="00064185">
        <w:rPr>
          <w:noProof/>
        </w:rPr>
        <w:instrText xml:space="preserve"> PAGEREF _Toc530563698 \h </w:instrText>
      </w:r>
      <w:r w:rsidRPr="00064185">
        <w:rPr>
          <w:noProof/>
        </w:rPr>
      </w:r>
      <w:r w:rsidRPr="00064185">
        <w:rPr>
          <w:noProof/>
        </w:rPr>
        <w:fldChar w:fldCharType="separate"/>
      </w:r>
      <w:r w:rsidR="00200C9F" w:rsidRPr="00064185">
        <w:rPr>
          <w:noProof/>
        </w:rPr>
        <w:t>133</w:t>
      </w:r>
      <w:r w:rsidRPr="00064185">
        <w:rPr>
          <w:noProof/>
        </w:rPr>
        <w:fldChar w:fldCharType="end"/>
      </w:r>
    </w:p>
    <w:p w14:paraId="09C8450F" w14:textId="77777777" w:rsidR="00CA4809" w:rsidRPr="00064185" w:rsidRDefault="00CA4809">
      <w:pPr>
        <w:pStyle w:val="Verzeichnis2"/>
        <w:tabs>
          <w:tab w:val="left" w:pos="600"/>
          <w:tab w:val="right" w:leader="dot" w:pos="9204"/>
        </w:tabs>
        <w:rPr>
          <w:rFonts w:eastAsiaTheme="minorEastAsia" w:cstheme="minorBidi"/>
          <w:b w:val="0"/>
          <w:bCs w:val="0"/>
          <w:noProof/>
          <w:sz w:val="22"/>
          <w:szCs w:val="22"/>
          <w:lang w:val="en-US" w:eastAsia="de-AT"/>
        </w:rPr>
      </w:pPr>
      <w:r w:rsidRPr="00064185">
        <w:rPr>
          <w:noProof/>
        </w:rPr>
        <w:t>3.2</w:t>
      </w:r>
      <w:r w:rsidRPr="00064185">
        <w:rPr>
          <w:rFonts w:eastAsiaTheme="minorEastAsia" w:cstheme="minorBidi"/>
          <w:b w:val="0"/>
          <w:bCs w:val="0"/>
          <w:noProof/>
          <w:sz w:val="22"/>
          <w:szCs w:val="22"/>
          <w:lang w:val="en-US" w:eastAsia="de-AT"/>
        </w:rPr>
        <w:tab/>
      </w:r>
      <w:r w:rsidRPr="00064185">
        <w:rPr>
          <w:noProof/>
        </w:rPr>
        <w:t>List of studies for the biocidal product</w:t>
      </w:r>
      <w:r w:rsidRPr="00064185">
        <w:rPr>
          <w:noProof/>
        </w:rPr>
        <w:tab/>
      </w:r>
      <w:r w:rsidRPr="00064185">
        <w:rPr>
          <w:noProof/>
        </w:rPr>
        <w:fldChar w:fldCharType="begin"/>
      </w:r>
      <w:r w:rsidRPr="00064185">
        <w:rPr>
          <w:noProof/>
        </w:rPr>
        <w:instrText xml:space="preserve"> PAGEREF _Toc530563699 \h </w:instrText>
      </w:r>
      <w:r w:rsidRPr="00064185">
        <w:rPr>
          <w:noProof/>
        </w:rPr>
      </w:r>
      <w:r w:rsidRPr="00064185">
        <w:rPr>
          <w:noProof/>
        </w:rPr>
        <w:fldChar w:fldCharType="separate"/>
      </w:r>
      <w:r w:rsidR="00200C9F" w:rsidRPr="00064185">
        <w:rPr>
          <w:noProof/>
        </w:rPr>
        <w:t>133</w:t>
      </w:r>
      <w:r w:rsidRPr="00064185">
        <w:rPr>
          <w:noProof/>
        </w:rPr>
        <w:fldChar w:fldCharType="end"/>
      </w:r>
    </w:p>
    <w:p w14:paraId="630DF670" w14:textId="77777777" w:rsidR="00CA4809" w:rsidRPr="00064185" w:rsidRDefault="00CA4809">
      <w:pPr>
        <w:pStyle w:val="Verzeichnis2"/>
        <w:tabs>
          <w:tab w:val="left" w:pos="600"/>
          <w:tab w:val="right" w:leader="dot" w:pos="9204"/>
        </w:tabs>
        <w:rPr>
          <w:rFonts w:eastAsiaTheme="minorEastAsia" w:cstheme="minorBidi"/>
          <w:b w:val="0"/>
          <w:bCs w:val="0"/>
          <w:noProof/>
          <w:sz w:val="22"/>
          <w:szCs w:val="22"/>
          <w:lang w:val="en-US" w:eastAsia="de-AT"/>
        </w:rPr>
      </w:pPr>
      <w:r w:rsidRPr="00064185">
        <w:rPr>
          <w:noProof/>
        </w:rPr>
        <w:t>3.3</w:t>
      </w:r>
      <w:r w:rsidRPr="00064185">
        <w:rPr>
          <w:rFonts w:eastAsiaTheme="minorEastAsia" w:cstheme="minorBidi"/>
          <w:b w:val="0"/>
          <w:bCs w:val="0"/>
          <w:noProof/>
          <w:sz w:val="22"/>
          <w:szCs w:val="22"/>
          <w:lang w:val="en-US" w:eastAsia="de-AT"/>
        </w:rPr>
        <w:tab/>
      </w:r>
      <w:r w:rsidRPr="00064185">
        <w:rPr>
          <w:noProof/>
        </w:rPr>
        <w:t>Output tables from exposure assessment tools</w:t>
      </w:r>
      <w:r w:rsidRPr="00064185">
        <w:rPr>
          <w:noProof/>
        </w:rPr>
        <w:tab/>
      </w:r>
      <w:r w:rsidRPr="00064185">
        <w:rPr>
          <w:noProof/>
        </w:rPr>
        <w:fldChar w:fldCharType="begin"/>
      </w:r>
      <w:r w:rsidRPr="00064185">
        <w:rPr>
          <w:noProof/>
        </w:rPr>
        <w:instrText xml:space="preserve"> PAGEREF _Toc530563700 \h </w:instrText>
      </w:r>
      <w:r w:rsidRPr="00064185">
        <w:rPr>
          <w:noProof/>
        </w:rPr>
      </w:r>
      <w:r w:rsidRPr="00064185">
        <w:rPr>
          <w:noProof/>
        </w:rPr>
        <w:fldChar w:fldCharType="separate"/>
      </w:r>
      <w:r w:rsidR="00200C9F" w:rsidRPr="00064185">
        <w:rPr>
          <w:noProof/>
        </w:rPr>
        <w:t>139</w:t>
      </w:r>
      <w:r w:rsidRPr="00064185">
        <w:rPr>
          <w:noProof/>
        </w:rPr>
        <w:fldChar w:fldCharType="end"/>
      </w:r>
    </w:p>
    <w:p w14:paraId="29B4040D" w14:textId="77777777" w:rsidR="00CA4809" w:rsidRPr="00064185" w:rsidRDefault="00CA4809">
      <w:pPr>
        <w:pStyle w:val="Verzeichnis2"/>
        <w:tabs>
          <w:tab w:val="left" w:pos="600"/>
          <w:tab w:val="right" w:leader="dot" w:pos="9204"/>
        </w:tabs>
        <w:rPr>
          <w:rFonts w:eastAsiaTheme="minorEastAsia" w:cstheme="minorBidi"/>
          <w:b w:val="0"/>
          <w:bCs w:val="0"/>
          <w:noProof/>
          <w:sz w:val="22"/>
          <w:szCs w:val="22"/>
          <w:lang w:val="en-US" w:eastAsia="de-AT"/>
        </w:rPr>
      </w:pPr>
      <w:r w:rsidRPr="00064185">
        <w:rPr>
          <w:noProof/>
        </w:rPr>
        <w:t>3.4</w:t>
      </w:r>
      <w:r w:rsidRPr="00064185">
        <w:rPr>
          <w:rFonts w:eastAsiaTheme="minorEastAsia" w:cstheme="minorBidi"/>
          <w:b w:val="0"/>
          <w:bCs w:val="0"/>
          <w:noProof/>
          <w:sz w:val="22"/>
          <w:szCs w:val="22"/>
          <w:lang w:val="en-US" w:eastAsia="de-AT"/>
        </w:rPr>
        <w:tab/>
      </w:r>
      <w:r w:rsidRPr="00064185">
        <w:rPr>
          <w:noProof/>
        </w:rPr>
        <w:t>New information on the active substance</w:t>
      </w:r>
      <w:r w:rsidRPr="00064185">
        <w:rPr>
          <w:noProof/>
        </w:rPr>
        <w:tab/>
      </w:r>
      <w:r w:rsidRPr="00064185">
        <w:rPr>
          <w:noProof/>
        </w:rPr>
        <w:fldChar w:fldCharType="begin"/>
      </w:r>
      <w:r w:rsidRPr="00064185">
        <w:rPr>
          <w:noProof/>
        </w:rPr>
        <w:instrText xml:space="preserve"> PAGEREF _Toc530563701 \h </w:instrText>
      </w:r>
      <w:r w:rsidRPr="00064185">
        <w:rPr>
          <w:noProof/>
        </w:rPr>
      </w:r>
      <w:r w:rsidRPr="00064185">
        <w:rPr>
          <w:noProof/>
        </w:rPr>
        <w:fldChar w:fldCharType="separate"/>
      </w:r>
      <w:r w:rsidR="00200C9F" w:rsidRPr="00064185">
        <w:rPr>
          <w:noProof/>
        </w:rPr>
        <w:t>142</w:t>
      </w:r>
      <w:r w:rsidRPr="00064185">
        <w:rPr>
          <w:noProof/>
        </w:rPr>
        <w:fldChar w:fldCharType="end"/>
      </w:r>
    </w:p>
    <w:p w14:paraId="7A0C26A2" w14:textId="77777777" w:rsidR="00CA4809" w:rsidRPr="00064185" w:rsidRDefault="00CA4809">
      <w:pPr>
        <w:pStyle w:val="Verzeichnis2"/>
        <w:tabs>
          <w:tab w:val="left" w:pos="600"/>
          <w:tab w:val="right" w:leader="dot" w:pos="9204"/>
        </w:tabs>
        <w:rPr>
          <w:rFonts w:eastAsiaTheme="minorEastAsia" w:cstheme="minorBidi"/>
          <w:b w:val="0"/>
          <w:bCs w:val="0"/>
          <w:noProof/>
          <w:sz w:val="22"/>
          <w:szCs w:val="22"/>
          <w:lang w:val="en-US" w:eastAsia="de-AT"/>
        </w:rPr>
      </w:pPr>
      <w:r w:rsidRPr="00064185">
        <w:rPr>
          <w:noProof/>
        </w:rPr>
        <w:t>3.5</w:t>
      </w:r>
      <w:r w:rsidRPr="00064185">
        <w:rPr>
          <w:rFonts w:eastAsiaTheme="minorEastAsia" w:cstheme="minorBidi"/>
          <w:b w:val="0"/>
          <w:bCs w:val="0"/>
          <w:noProof/>
          <w:sz w:val="22"/>
          <w:szCs w:val="22"/>
          <w:lang w:val="en-US" w:eastAsia="de-AT"/>
        </w:rPr>
        <w:tab/>
      </w:r>
      <w:r w:rsidRPr="00064185">
        <w:rPr>
          <w:noProof/>
        </w:rPr>
        <w:t>Residue behaviour</w:t>
      </w:r>
      <w:r w:rsidRPr="00064185">
        <w:rPr>
          <w:noProof/>
        </w:rPr>
        <w:tab/>
      </w:r>
      <w:r w:rsidRPr="00064185">
        <w:rPr>
          <w:noProof/>
        </w:rPr>
        <w:fldChar w:fldCharType="begin"/>
      </w:r>
      <w:r w:rsidRPr="00064185">
        <w:rPr>
          <w:noProof/>
        </w:rPr>
        <w:instrText xml:space="preserve"> PAGEREF _Toc530563702 \h </w:instrText>
      </w:r>
      <w:r w:rsidRPr="00064185">
        <w:rPr>
          <w:noProof/>
        </w:rPr>
      </w:r>
      <w:r w:rsidRPr="00064185">
        <w:rPr>
          <w:noProof/>
        </w:rPr>
        <w:fldChar w:fldCharType="separate"/>
      </w:r>
      <w:r w:rsidR="00200C9F" w:rsidRPr="00064185">
        <w:rPr>
          <w:noProof/>
        </w:rPr>
        <w:t>142</w:t>
      </w:r>
      <w:r w:rsidRPr="00064185">
        <w:rPr>
          <w:noProof/>
        </w:rPr>
        <w:fldChar w:fldCharType="end"/>
      </w:r>
    </w:p>
    <w:p w14:paraId="3F3312BB" w14:textId="77777777" w:rsidR="00CA4809" w:rsidRPr="00064185" w:rsidRDefault="00CA4809">
      <w:pPr>
        <w:pStyle w:val="Verzeichnis2"/>
        <w:tabs>
          <w:tab w:val="left" w:pos="600"/>
          <w:tab w:val="right" w:leader="dot" w:pos="9204"/>
        </w:tabs>
        <w:rPr>
          <w:rFonts w:eastAsiaTheme="minorEastAsia" w:cstheme="minorBidi"/>
          <w:b w:val="0"/>
          <w:bCs w:val="0"/>
          <w:noProof/>
          <w:sz w:val="22"/>
          <w:szCs w:val="22"/>
          <w:lang w:val="en-US" w:eastAsia="de-AT"/>
        </w:rPr>
      </w:pPr>
      <w:r w:rsidRPr="00064185">
        <w:rPr>
          <w:noProof/>
        </w:rPr>
        <w:t>3.6</w:t>
      </w:r>
      <w:r w:rsidRPr="00064185">
        <w:rPr>
          <w:rFonts w:eastAsiaTheme="minorEastAsia" w:cstheme="minorBidi"/>
          <w:b w:val="0"/>
          <w:bCs w:val="0"/>
          <w:noProof/>
          <w:sz w:val="22"/>
          <w:szCs w:val="22"/>
          <w:lang w:val="en-US" w:eastAsia="de-AT"/>
        </w:rPr>
        <w:tab/>
      </w:r>
      <w:r w:rsidRPr="00064185">
        <w:rPr>
          <w:noProof/>
        </w:rPr>
        <w:t>Summaries of the efficacy studies (B.5.10.1-5)</w:t>
      </w:r>
      <w:r w:rsidRPr="00064185">
        <w:rPr>
          <w:noProof/>
        </w:rPr>
        <w:tab/>
      </w:r>
      <w:r w:rsidRPr="00064185">
        <w:rPr>
          <w:noProof/>
        </w:rPr>
        <w:fldChar w:fldCharType="begin"/>
      </w:r>
      <w:r w:rsidRPr="00064185">
        <w:rPr>
          <w:noProof/>
        </w:rPr>
        <w:instrText xml:space="preserve"> PAGEREF _Toc530563703 \h </w:instrText>
      </w:r>
      <w:r w:rsidRPr="00064185">
        <w:rPr>
          <w:noProof/>
        </w:rPr>
      </w:r>
      <w:r w:rsidRPr="00064185">
        <w:rPr>
          <w:noProof/>
        </w:rPr>
        <w:fldChar w:fldCharType="separate"/>
      </w:r>
      <w:r w:rsidR="00200C9F" w:rsidRPr="00064185">
        <w:rPr>
          <w:noProof/>
        </w:rPr>
        <w:t>143</w:t>
      </w:r>
      <w:r w:rsidRPr="00064185">
        <w:rPr>
          <w:noProof/>
        </w:rPr>
        <w:fldChar w:fldCharType="end"/>
      </w:r>
    </w:p>
    <w:p w14:paraId="25626FC5" w14:textId="77777777" w:rsidR="00CA4809" w:rsidRPr="00064185" w:rsidRDefault="00CA4809">
      <w:pPr>
        <w:pStyle w:val="Verzeichnis2"/>
        <w:tabs>
          <w:tab w:val="left" w:pos="600"/>
          <w:tab w:val="right" w:leader="dot" w:pos="9204"/>
        </w:tabs>
        <w:rPr>
          <w:rFonts w:eastAsiaTheme="minorEastAsia" w:cstheme="minorBidi"/>
          <w:b w:val="0"/>
          <w:bCs w:val="0"/>
          <w:noProof/>
          <w:sz w:val="22"/>
          <w:szCs w:val="22"/>
          <w:lang w:val="de-AT" w:eastAsia="de-AT"/>
        </w:rPr>
      </w:pPr>
      <w:r w:rsidRPr="00064185">
        <w:rPr>
          <w:noProof/>
        </w:rPr>
        <w:t>3.7</w:t>
      </w:r>
      <w:r w:rsidRPr="00064185">
        <w:rPr>
          <w:rFonts w:eastAsiaTheme="minorEastAsia" w:cstheme="minorBidi"/>
          <w:b w:val="0"/>
          <w:bCs w:val="0"/>
          <w:noProof/>
          <w:sz w:val="22"/>
          <w:szCs w:val="22"/>
          <w:lang w:val="de-AT" w:eastAsia="de-AT"/>
        </w:rPr>
        <w:tab/>
      </w:r>
      <w:r w:rsidRPr="00064185">
        <w:rPr>
          <w:noProof/>
        </w:rPr>
        <w:t>Confidential annex</w:t>
      </w:r>
      <w:r w:rsidRPr="00064185">
        <w:rPr>
          <w:noProof/>
        </w:rPr>
        <w:tab/>
      </w:r>
      <w:r w:rsidRPr="00064185">
        <w:rPr>
          <w:noProof/>
        </w:rPr>
        <w:fldChar w:fldCharType="begin"/>
      </w:r>
      <w:r w:rsidRPr="00064185">
        <w:rPr>
          <w:noProof/>
        </w:rPr>
        <w:instrText xml:space="preserve"> PAGEREF _Toc530563704 \h </w:instrText>
      </w:r>
      <w:r w:rsidRPr="00064185">
        <w:rPr>
          <w:noProof/>
        </w:rPr>
      </w:r>
      <w:r w:rsidRPr="00064185">
        <w:rPr>
          <w:noProof/>
        </w:rPr>
        <w:fldChar w:fldCharType="separate"/>
      </w:r>
      <w:r w:rsidR="00200C9F" w:rsidRPr="00064185">
        <w:rPr>
          <w:noProof/>
        </w:rPr>
        <w:t>175</w:t>
      </w:r>
      <w:r w:rsidRPr="00064185">
        <w:rPr>
          <w:noProof/>
        </w:rPr>
        <w:fldChar w:fldCharType="end"/>
      </w:r>
    </w:p>
    <w:p w14:paraId="72AC0E41" w14:textId="04A0CD70" w:rsidR="00A53EE0" w:rsidRPr="00064185" w:rsidRDefault="00CA4809" w:rsidP="00EA61D8">
      <w:pPr>
        <w:pStyle w:val="Verzeichnis2"/>
        <w:tabs>
          <w:tab w:val="left" w:pos="600"/>
          <w:tab w:val="right" w:leader="dot" w:pos="9204"/>
        </w:tabs>
        <w:rPr>
          <w:rFonts w:eastAsia="Calibri"/>
          <w:lang w:eastAsia="en-US"/>
        </w:rPr>
      </w:pPr>
      <w:r w:rsidRPr="00064185">
        <w:rPr>
          <w:noProof/>
        </w:rPr>
        <w:t>3.8</w:t>
      </w:r>
      <w:r w:rsidRPr="00064185">
        <w:rPr>
          <w:rFonts w:eastAsiaTheme="minorEastAsia" w:cstheme="minorBidi"/>
          <w:b w:val="0"/>
          <w:bCs w:val="0"/>
          <w:noProof/>
          <w:sz w:val="22"/>
          <w:szCs w:val="22"/>
          <w:lang w:val="de-AT" w:eastAsia="de-AT"/>
        </w:rPr>
        <w:tab/>
      </w:r>
      <w:r w:rsidRPr="00064185">
        <w:rPr>
          <w:noProof/>
        </w:rPr>
        <w:t>Other</w:t>
      </w:r>
      <w:r w:rsidRPr="00064185">
        <w:rPr>
          <w:noProof/>
        </w:rPr>
        <w:tab/>
      </w:r>
      <w:r w:rsidRPr="00064185">
        <w:rPr>
          <w:noProof/>
        </w:rPr>
        <w:fldChar w:fldCharType="begin"/>
      </w:r>
      <w:r w:rsidRPr="00064185">
        <w:rPr>
          <w:noProof/>
        </w:rPr>
        <w:instrText xml:space="preserve"> PAGEREF _Toc530563705 \h </w:instrText>
      </w:r>
      <w:r w:rsidRPr="00064185">
        <w:rPr>
          <w:noProof/>
        </w:rPr>
      </w:r>
      <w:r w:rsidRPr="00064185">
        <w:rPr>
          <w:noProof/>
        </w:rPr>
        <w:fldChar w:fldCharType="separate"/>
      </w:r>
      <w:r w:rsidR="00200C9F" w:rsidRPr="00064185">
        <w:rPr>
          <w:noProof/>
        </w:rPr>
        <w:t>175</w:t>
      </w:r>
      <w:r w:rsidRPr="00064185">
        <w:rPr>
          <w:noProof/>
        </w:rPr>
        <w:fldChar w:fldCharType="end"/>
      </w:r>
      <w:r w:rsidR="006D49C8" w:rsidRPr="00064185">
        <w:rPr>
          <w:rFonts w:eastAsia="Calibri"/>
          <w:lang w:eastAsia="en-US"/>
        </w:rPr>
        <w:fldChar w:fldCharType="end"/>
      </w:r>
    </w:p>
    <w:p w14:paraId="4DABCA99" w14:textId="77777777" w:rsidR="00A53EE0" w:rsidRPr="00064185" w:rsidRDefault="00A53EE0" w:rsidP="00EA61D8">
      <w:pPr>
        <w:pStyle w:val="berschrift1"/>
        <w:rPr>
          <w:rFonts w:eastAsia="Calibri"/>
          <w:lang w:eastAsia="en-US"/>
        </w:rPr>
      </w:pPr>
      <w:r w:rsidRPr="00064185">
        <w:rPr>
          <w:rFonts w:eastAsia="Calibri"/>
          <w:lang w:val="en-GB" w:eastAsia="en-US"/>
        </w:rPr>
        <w:br w:type="page"/>
      </w:r>
      <w:bookmarkStart w:id="1" w:name="_Toc389728849"/>
      <w:bookmarkStart w:id="2" w:name="_Toc440879607"/>
      <w:bookmarkStart w:id="3" w:name="_Toc440889920"/>
      <w:bookmarkStart w:id="4" w:name="_Toc530563623"/>
      <w:r w:rsidRPr="00064185">
        <w:rPr>
          <w:rFonts w:eastAsia="Calibri"/>
          <w:lang w:eastAsia="en-US"/>
        </w:rPr>
        <w:lastRenderedPageBreak/>
        <w:t>CONCLUSION</w:t>
      </w:r>
      <w:bookmarkEnd w:id="1"/>
      <w:bookmarkEnd w:id="2"/>
      <w:bookmarkEnd w:id="3"/>
      <w:bookmarkEnd w:id="4"/>
    </w:p>
    <w:p w14:paraId="7C493A5D" w14:textId="77777777" w:rsidR="00D7613E" w:rsidRPr="00064185" w:rsidRDefault="00D7613E" w:rsidP="000835FA">
      <w:pPr>
        <w:contextualSpacing/>
        <w:jc w:val="both"/>
      </w:pPr>
      <w:r w:rsidRPr="00064185">
        <w:t>Data on the biocidal product have demonstrated sufficient efficacy against garden ants (</w:t>
      </w:r>
      <w:r w:rsidRPr="00064185">
        <w:rPr>
          <w:i/>
        </w:rPr>
        <w:t xml:space="preserve">Lasius </w:t>
      </w:r>
      <w:proofErr w:type="gramStart"/>
      <w:r w:rsidRPr="00064185">
        <w:rPr>
          <w:i/>
        </w:rPr>
        <w:t>niger</w:t>
      </w:r>
      <w:proofErr w:type="gramEnd"/>
      <w:r w:rsidRPr="00064185">
        <w:t xml:space="preserve">), </w:t>
      </w:r>
      <w:r w:rsidRPr="00064185">
        <w:rPr>
          <w:szCs w:val="22"/>
        </w:rPr>
        <w:t>silverfishes (</w:t>
      </w:r>
      <w:r w:rsidRPr="00064185">
        <w:rPr>
          <w:i/>
          <w:szCs w:val="22"/>
        </w:rPr>
        <w:t>Lepisma saccharina</w:t>
      </w:r>
      <w:r w:rsidRPr="00064185">
        <w:rPr>
          <w:szCs w:val="22"/>
        </w:rPr>
        <w:t>), wood lice (</w:t>
      </w:r>
      <w:r w:rsidRPr="00064185">
        <w:rPr>
          <w:i/>
          <w:szCs w:val="22"/>
        </w:rPr>
        <w:t>Porcellio scaber</w:t>
      </w:r>
      <w:r w:rsidRPr="00064185">
        <w:rPr>
          <w:szCs w:val="22"/>
        </w:rPr>
        <w:t>) and cockroaches (</w:t>
      </w:r>
      <w:r w:rsidRPr="00064185">
        <w:rPr>
          <w:i/>
          <w:szCs w:val="22"/>
        </w:rPr>
        <w:t xml:space="preserve">Blattella germanica, Blatta orientalis, </w:t>
      </w:r>
      <w:r w:rsidRPr="00064185">
        <w:rPr>
          <w:szCs w:val="22"/>
        </w:rPr>
        <w:t>and</w:t>
      </w:r>
      <w:r w:rsidRPr="00064185">
        <w:rPr>
          <w:i/>
          <w:szCs w:val="22"/>
        </w:rPr>
        <w:t xml:space="preserve"> Periplaneta americana</w:t>
      </w:r>
      <w:r w:rsidRPr="00064185">
        <w:rPr>
          <w:szCs w:val="22"/>
        </w:rPr>
        <w:t xml:space="preserve">). </w:t>
      </w:r>
      <w:r w:rsidRPr="00064185">
        <w:rPr>
          <w:i/>
          <w:szCs w:val="22"/>
        </w:rPr>
        <w:t>L</w:t>
      </w:r>
      <w:r w:rsidRPr="00064185">
        <w:rPr>
          <w:i/>
        </w:rPr>
        <w:t>ambda</w:t>
      </w:r>
      <w:r w:rsidRPr="00064185">
        <w:t>-cyhalothrin</w:t>
      </w:r>
      <w:r w:rsidRPr="00064185">
        <w:rPr>
          <w:lang w:val="en"/>
        </w:rPr>
        <w:t xml:space="preserve"> has a specific mode of action that disrupts the nervous system causing paralysis or death. </w:t>
      </w:r>
      <w:r w:rsidRPr="00064185">
        <w:t xml:space="preserve">The risk of resistance developing is reduced due to the </w:t>
      </w:r>
      <w:r w:rsidRPr="00064185">
        <w:rPr>
          <w:lang w:val="en-US"/>
        </w:rPr>
        <w:t xml:space="preserve">localised </w:t>
      </w:r>
      <w:r w:rsidRPr="00064185">
        <w:t>treatment (no massive or big areas treated) and in the case of garden ants no resistance is possible since the whole colony will not survive.</w:t>
      </w:r>
    </w:p>
    <w:p w14:paraId="2D2B72E8" w14:textId="77777777" w:rsidR="007A2D9B" w:rsidRPr="00064185" w:rsidRDefault="007A2D9B" w:rsidP="000835FA">
      <w:pPr>
        <w:contextualSpacing/>
        <w:jc w:val="both"/>
      </w:pPr>
    </w:p>
    <w:p w14:paraId="2050F3FA" w14:textId="77777777" w:rsidR="00D7613E" w:rsidRPr="00064185" w:rsidRDefault="00D7613E" w:rsidP="000835FA">
      <w:pPr>
        <w:contextualSpacing/>
        <w:jc w:val="both"/>
      </w:pPr>
      <w:r w:rsidRPr="00064185">
        <w:t>The physico-chemical properties of the biocidal product have been evaluated and are deemed acceptable for the appropriate use, storage and transportation of the biocidal product.</w:t>
      </w:r>
    </w:p>
    <w:p w14:paraId="41862FBB" w14:textId="77777777" w:rsidR="007A2D9B" w:rsidRPr="00064185" w:rsidRDefault="007A2D9B" w:rsidP="000835FA">
      <w:pPr>
        <w:contextualSpacing/>
        <w:jc w:val="both"/>
        <w:rPr>
          <w:rFonts w:eastAsia="Calibri"/>
          <w:lang w:eastAsia="en-US"/>
        </w:rPr>
      </w:pPr>
    </w:p>
    <w:p w14:paraId="52883A81" w14:textId="039F2E6E" w:rsidR="00000BEF" w:rsidRPr="00064185" w:rsidRDefault="00000BEF" w:rsidP="000835FA">
      <w:pPr>
        <w:jc w:val="both"/>
      </w:pPr>
      <w:r w:rsidRPr="00064185">
        <w:t xml:space="preserve">The overall conclusion from the evaluation of the biocidal product, COM 116 02 I AL, containing 0.05% w/w of the active substance </w:t>
      </w:r>
      <w:r w:rsidR="001F5920" w:rsidRPr="00064185">
        <w:rPr>
          <w:i/>
        </w:rPr>
        <w:t>l</w:t>
      </w:r>
      <w:r w:rsidRPr="00064185">
        <w:rPr>
          <w:i/>
        </w:rPr>
        <w:t>ambda</w:t>
      </w:r>
      <w:r w:rsidRPr="00064185">
        <w:t xml:space="preserve">-cyhalothrin, is that the active substance will not present an unacceptable risk to humans during and after the intended use of the product. </w:t>
      </w:r>
    </w:p>
    <w:p w14:paraId="398438F1" w14:textId="77777777" w:rsidR="007A2D9B" w:rsidRPr="00064185" w:rsidRDefault="007A2D9B" w:rsidP="000835FA">
      <w:pPr>
        <w:jc w:val="both"/>
      </w:pPr>
    </w:p>
    <w:p w14:paraId="60CEC98F" w14:textId="0773D2FE" w:rsidR="00630DE1" w:rsidRPr="00064185" w:rsidRDefault="00C44B13" w:rsidP="000835FA">
      <w:pPr>
        <w:jc w:val="both"/>
      </w:pPr>
      <w:r w:rsidRPr="00064185">
        <w:t>The e</w:t>
      </w:r>
      <w:r w:rsidR="00000BEF" w:rsidRPr="00064185">
        <w:t xml:space="preserve">nvironmental risk assessment has demonstrated that the </w:t>
      </w:r>
      <w:r w:rsidRPr="00064185">
        <w:t xml:space="preserve">intended uses lead to acceptable risk for </w:t>
      </w:r>
      <w:r w:rsidR="00203227" w:rsidRPr="00064185">
        <w:t>STP</w:t>
      </w:r>
      <w:r w:rsidR="001E1B11" w:rsidRPr="00064185">
        <w:t xml:space="preserve"> micro-organisms</w:t>
      </w:r>
      <w:r w:rsidR="003A2184" w:rsidRPr="00064185">
        <w:t>,</w:t>
      </w:r>
      <w:r w:rsidR="00A37A7C" w:rsidRPr="00064185">
        <w:t xml:space="preserve"> groundwater</w:t>
      </w:r>
      <w:r w:rsidR="003A2184" w:rsidRPr="00064185">
        <w:t xml:space="preserve"> and for secondary poisoning</w:t>
      </w:r>
      <w:r w:rsidR="00A37A7C" w:rsidRPr="00064185">
        <w:t xml:space="preserve">. </w:t>
      </w:r>
    </w:p>
    <w:p w14:paraId="1042E8BB" w14:textId="77777777" w:rsidR="003D7CCA" w:rsidRPr="00064185" w:rsidRDefault="003D7CCA" w:rsidP="000835FA">
      <w:pPr>
        <w:jc w:val="both"/>
      </w:pPr>
      <w:r w:rsidRPr="00064185">
        <w:t xml:space="preserve">For soil non-target organisms acceptable risk was calculated in most scenarios, a slight risk was identified for 3 scenarios. </w:t>
      </w:r>
    </w:p>
    <w:p w14:paraId="35E7AE2F" w14:textId="77777777" w:rsidR="00630DE1" w:rsidRPr="00064185" w:rsidRDefault="00630DE1" w:rsidP="000835FA">
      <w:pPr>
        <w:jc w:val="both"/>
      </w:pPr>
      <w:r w:rsidRPr="00064185">
        <w:t xml:space="preserve">In the aquatic compartment unacceptable risk was calculated for all scenarios for surface water and sediment. </w:t>
      </w:r>
    </w:p>
    <w:p w14:paraId="4DA7C462" w14:textId="1084F065" w:rsidR="007A2D9B" w:rsidRPr="00064185" w:rsidRDefault="00630DE1" w:rsidP="000835FA">
      <w:pPr>
        <w:spacing w:line="260" w:lineRule="atLeast"/>
        <w:jc w:val="both"/>
      </w:pPr>
      <w:r w:rsidRPr="00064185">
        <w:t xml:space="preserve">Risk mitigation measures are proposed in order to reduce the calculated risk in the aquatic and </w:t>
      </w:r>
      <w:r w:rsidR="00D860D0" w:rsidRPr="00064185">
        <w:t>terrestrial compartment</w:t>
      </w:r>
      <w:r w:rsidR="00F96D7E" w:rsidRPr="00064185">
        <w:t xml:space="preserve"> to acceptable levels</w:t>
      </w:r>
      <w:r w:rsidRPr="00064185">
        <w:t>.</w:t>
      </w:r>
      <w:r w:rsidR="00866232" w:rsidRPr="00064185">
        <w:t xml:space="preserve">    </w:t>
      </w:r>
    </w:p>
    <w:p w14:paraId="14852E30" w14:textId="47BF1820" w:rsidR="00424068" w:rsidRPr="00064185" w:rsidRDefault="004F5121" w:rsidP="000835FA">
      <w:pPr>
        <w:jc w:val="both"/>
        <w:rPr>
          <w:rFonts w:eastAsia="Calibri"/>
          <w:lang w:eastAsia="en-US"/>
        </w:rPr>
      </w:pPr>
      <w:r w:rsidRPr="00064185">
        <w:rPr>
          <w:rFonts w:eastAsia="Calibri"/>
          <w:lang w:eastAsia="en-US"/>
        </w:rPr>
        <w:t>Direct treatment of target organisms is not authorised as the proposed restriction to areas that are not wet cleaned is not feasible for the mobile species and the non-professional user.</w:t>
      </w:r>
    </w:p>
    <w:p w14:paraId="1D63F640" w14:textId="54499DD6" w:rsidR="004F5121" w:rsidRPr="00064185" w:rsidRDefault="004F5121" w:rsidP="004F5121">
      <w:pPr>
        <w:rPr>
          <w:rFonts w:eastAsia="Calibri"/>
          <w:lang w:eastAsia="en-US"/>
        </w:rPr>
      </w:pPr>
      <w:r w:rsidRPr="00064185">
        <w:rPr>
          <w:rFonts w:eastAsia="Calibri"/>
          <w:lang w:eastAsia="en-US"/>
        </w:rPr>
        <w:br w:type="page"/>
      </w:r>
    </w:p>
    <w:p w14:paraId="6E20539F" w14:textId="76546412" w:rsidR="00A53EE0" w:rsidRPr="00064185" w:rsidRDefault="00A53EE0" w:rsidP="00EA61D8">
      <w:pPr>
        <w:pStyle w:val="berschrift1"/>
        <w:rPr>
          <w:rFonts w:eastAsia="Calibri"/>
          <w:lang w:eastAsia="en-US"/>
        </w:rPr>
      </w:pPr>
      <w:bookmarkStart w:id="5" w:name="_Toc389728850"/>
      <w:bookmarkStart w:id="6" w:name="_Toc440879608"/>
      <w:bookmarkStart w:id="7" w:name="_Toc440889921"/>
      <w:bookmarkStart w:id="8" w:name="_Toc530563624"/>
      <w:r w:rsidRPr="00064185">
        <w:rPr>
          <w:rFonts w:eastAsia="Calibri"/>
          <w:lang w:eastAsia="en-US"/>
        </w:rPr>
        <w:lastRenderedPageBreak/>
        <w:t>ASSESSMENT REPORT</w:t>
      </w:r>
      <w:bookmarkEnd w:id="5"/>
      <w:bookmarkEnd w:id="6"/>
      <w:bookmarkEnd w:id="7"/>
      <w:bookmarkEnd w:id="8"/>
    </w:p>
    <w:p w14:paraId="6934EB74" w14:textId="77777777" w:rsidR="00A53EE0" w:rsidRPr="00064185" w:rsidRDefault="00A53EE0" w:rsidP="00EA61D8">
      <w:pPr>
        <w:pStyle w:val="berschrift2"/>
        <w:numPr>
          <w:ilvl w:val="1"/>
          <w:numId w:val="5"/>
        </w:numPr>
        <w:rPr>
          <w:color w:val="auto"/>
        </w:rPr>
      </w:pPr>
      <w:bookmarkStart w:id="9" w:name="_Toc387244910"/>
      <w:bookmarkStart w:id="10" w:name="_Toc387250732"/>
      <w:bookmarkStart w:id="11" w:name="_Toc388281221"/>
      <w:bookmarkStart w:id="12" w:name="_Toc388281677"/>
      <w:bookmarkStart w:id="13" w:name="_Toc387244911"/>
      <w:bookmarkStart w:id="14" w:name="_Toc387250733"/>
      <w:bookmarkStart w:id="15" w:name="_Toc388281222"/>
      <w:bookmarkStart w:id="16" w:name="_Toc388281678"/>
      <w:bookmarkStart w:id="17" w:name="_Toc389728851"/>
      <w:bookmarkStart w:id="18" w:name="_Toc403472702"/>
      <w:bookmarkStart w:id="19" w:name="_Toc440879609"/>
      <w:bookmarkStart w:id="20" w:name="_Toc440889922"/>
      <w:bookmarkStart w:id="21" w:name="_Toc530563625"/>
      <w:bookmarkEnd w:id="9"/>
      <w:bookmarkEnd w:id="10"/>
      <w:bookmarkEnd w:id="11"/>
      <w:bookmarkEnd w:id="12"/>
      <w:bookmarkEnd w:id="13"/>
      <w:bookmarkEnd w:id="14"/>
      <w:bookmarkEnd w:id="15"/>
      <w:bookmarkEnd w:id="16"/>
      <w:r w:rsidRPr="00064185">
        <w:rPr>
          <w:color w:val="auto"/>
        </w:rPr>
        <w:t>Summary</w:t>
      </w:r>
      <w:bookmarkEnd w:id="17"/>
      <w:bookmarkEnd w:id="18"/>
      <w:bookmarkEnd w:id="19"/>
      <w:bookmarkEnd w:id="20"/>
      <w:bookmarkEnd w:id="21"/>
    </w:p>
    <w:p w14:paraId="2E39A22D" w14:textId="77777777" w:rsidR="00A53EE0" w:rsidRPr="00064185" w:rsidRDefault="00A53EE0" w:rsidP="00EA61D8">
      <w:pPr>
        <w:pStyle w:val="berschrift3"/>
        <w:rPr>
          <w:lang w:val="en-US"/>
        </w:rPr>
      </w:pPr>
      <w:bookmarkStart w:id="22" w:name="_Toc389728852"/>
      <w:bookmarkStart w:id="23" w:name="_Toc403472703"/>
      <w:bookmarkStart w:id="24" w:name="_Toc440879610"/>
      <w:bookmarkStart w:id="25" w:name="_Toc440889923"/>
      <w:bookmarkStart w:id="26" w:name="_Toc530563626"/>
      <w:r w:rsidRPr="00064185">
        <w:rPr>
          <w:lang w:val="en-US"/>
        </w:rPr>
        <w:t>Presentation of the biocidal product</w:t>
      </w:r>
      <w:bookmarkEnd w:id="22"/>
      <w:bookmarkEnd w:id="23"/>
      <w:bookmarkEnd w:id="24"/>
      <w:bookmarkEnd w:id="25"/>
      <w:bookmarkEnd w:id="26"/>
    </w:p>
    <w:p w14:paraId="740F5470" w14:textId="77777777" w:rsidR="00A53EE0" w:rsidRPr="00064185" w:rsidRDefault="00A53EE0" w:rsidP="00EA61D8">
      <w:pPr>
        <w:pStyle w:val="berschrift4"/>
        <w:jc w:val="left"/>
      </w:pPr>
      <w:bookmarkStart w:id="27" w:name="_Toc389728853"/>
      <w:bookmarkStart w:id="28" w:name="_Toc403472704"/>
      <w:bookmarkStart w:id="29" w:name="_Toc440879611"/>
      <w:bookmarkStart w:id="30" w:name="_Toc440889924"/>
      <w:bookmarkStart w:id="31" w:name="_Toc530563627"/>
      <w:r w:rsidRPr="00064185">
        <w:t>Identity of the active substance</w:t>
      </w:r>
      <w:bookmarkEnd w:id="27"/>
      <w:bookmarkEnd w:id="28"/>
      <w:bookmarkEnd w:id="29"/>
      <w:bookmarkEnd w:id="30"/>
      <w:bookmarkEnd w:id="31"/>
      <w:r w:rsidRPr="0006418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53"/>
      </w:tblGrid>
      <w:tr w:rsidR="00064185" w:rsidRPr="00064185" w14:paraId="7BE06E0A" w14:textId="77777777" w:rsidTr="00922E8F">
        <w:tc>
          <w:tcPr>
            <w:tcW w:w="9430" w:type="dxa"/>
            <w:gridSpan w:val="2"/>
            <w:shd w:val="clear" w:color="auto" w:fill="FFFFCC"/>
          </w:tcPr>
          <w:p w14:paraId="0B274075" w14:textId="77777777" w:rsidR="00A53EE0" w:rsidRPr="00064185" w:rsidRDefault="00A53EE0" w:rsidP="00EA61D8">
            <w:pPr>
              <w:spacing w:line="260" w:lineRule="atLeast"/>
              <w:rPr>
                <w:rFonts w:eastAsia="Calibri"/>
                <w:b/>
                <w:lang w:eastAsia="en-US"/>
              </w:rPr>
            </w:pPr>
            <w:r w:rsidRPr="00064185">
              <w:rPr>
                <w:rFonts w:eastAsia="Calibri"/>
                <w:b/>
                <w:lang w:eastAsia="en-US"/>
              </w:rPr>
              <w:t>Main constituent(s)</w:t>
            </w:r>
          </w:p>
        </w:tc>
      </w:tr>
      <w:tr w:rsidR="00064185" w:rsidRPr="00064185" w14:paraId="30DA79DD" w14:textId="77777777" w:rsidTr="00922E8F">
        <w:tc>
          <w:tcPr>
            <w:tcW w:w="4077" w:type="dxa"/>
            <w:shd w:val="clear" w:color="auto" w:fill="auto"/>
          </w:tcPr>
          <w:p w14:paraId="6BEA75E8" w14:textId="77777777" w:rsidR="00EA2F68" w:rsidRPr="00064185" w:rsidRDefault="00EA2F68" w:rsidP="00EA61D8">
            <w:pPr>
              <w:spacing w:line="260" w:lineRule="atLeast"/>
              <w:rPr>
                <w:rFonts w:eastAsia="Calibri"/>
                <w:b/>
                <w:lang w:eastAsia="en-US"/>
              </w:rPr>
            </w:pPr>
            <w:r w:rsidRPr="00064185">
              <w:rPr>
                <w:rFonts w:eastAsia="Calibri"/>
                <w:b/>
                <w:lang w:eastAsia="en-US"/>
              </w:rPr>
              <w:t>ISO name</w:t>
            </w:r>
          </w:p>
        </w:tc>
        <w:tc>
          <w:tcPr>
            <w:tcW w:w="5353" w:type="dxa"/>
            <w:shd w:val="clear" w:color="auto" w:fill="auto"/>
          </w:tcPr>
          <w:p w14:paraId="1CBA444A" w14:textId="77777777" w:rsidR="00EA2F68" w:rsidRPr="00064185" w:rsidRDefault="00EA2F68" w:rsidP="00EA61D8">
            <w:pPr>
              <w:spacing w:line="260" w:lineRule="atLeast"/>
              <w:rPr>
                <w:rFonts w:eastAsia="Calibri"/>
                <w:lang w:eastAsia="en-US"/>
              </w:rPr>
            </w:pPr>
            <w:r w:rsidRPr="00064185">
              <w:rPr>
                <w:rFonts w:eastAsia="Calibri"/>
                <w:i/>
                <w:lang w:eastAsia="en-US"/>
              </w:rPr>
              <w:t>lambda</w:t>
            </w:r>
            <w:r w:rsidRPr="00064185">
              <w:rPr>
                <w:rFonts w:eastAsia="Calibri"/>
                <w:lang w:eastAsia="en-US"/>
              </w:rPr>
              <w:t>-cyhalothrin</w:t>
            </w:r>
          </w:p>
        </w:tc>
      </w:tr>
      <w:tr w:rsidR="00064185" w:rsidRPr="00064185" w14:paraId="2D1AC73C" w14:textId="77777777" w:rsidTr="00922E8F">
        <w:tc>
          <w:tcPr>
            <w:tcW w:w="4077" w:type="dxa"/>
            <w:shd w:val="clear" w:color="auto" w:fill="auto"/>
          </w:tcPr>
          <w:p w14:paraId="4881E8DA" w14:textId="77777777" w:rsidR="00EA2F68" w:rsidRPr="00064185" w:rsidRDefault="00EA2F68" w:rsidP="00EA61D8">
            <w:pPr>
              <w:spacing w:line="260" w:lineRule="atLeast"/>
              <w:rPr>
                <w:rFonts w:eastAsia="Calibri"/>
                <w:b/>
                <w:lang w:eastAsia="en-US"/>
              </w:rPr>
            </w:pPr>
            <w:r w:rsidRPr="00064185">
              <w:rPr>
                <w:rFonts w:eastAsia="Calibri"/>
                <w:b/>
                <w:lang w:eastAsia="en-US"/>
              </w:rPr>
              <w:t>IUPAC or EC name</w:t>
            </w:r>
          </w:p>
        </w:tc>
        <w:tc>
          <w:tcPr>
            <w:tcW w:w="5353" w:type="dxa"/>
            <w:shd w:val="clear" w:color="auto" w:fill="auto"/>
          </w:tcPr>
          <w:p w14:paraId="3ACEDDAB" w14:textId="3AA85279" w:rsidR="00EA2F68" w:rsidRPr="00064185" w:rsidRDefault="00C87351" w:rsidP="00EA61D8">
            <w:pPr>
              <w:spacing w:line="260" w:lineRule="atLeast"/>
              <w:rPr>
                <w:rFonts w:eastAsia="Calibri"/>
                <w:lang w:eastAsia="en-US"/>
              </w:rPr>
            </w:pPr>
            <w:r w:rsidRPr="00064185">
              <w:rPr>
                <w:rFonts w:eastAsia="Calibri"/>
                <w:lang w:eastAsia="en-US"/>
              </w:rPr>
              <w:t>Reaction mass of (R)-α-cyano-3-phenoxybenzyl (1S,3S)-3-[(Z)-2-chloro-3,3,3-trifluoropropenyl]-2,2-dimethylcyclopropanecarboxylate and (S)-α-cyano-3-phenoxybenzyl (1R,3R)-3-[(Z)-2-chloro-3,3,3-trifluoropropenyl]-2,2-dimethylcyclopropanecarboxylate (1:1)</w:t>
            </w:r>
          </w:p>
        </w:tc>
      </w:tr>
      <w:tr w:rsidR="00064185" w:rsidRPr="00064185" w14:paraId="14C3161E" w14:textId="77777777" w:rsidTr="00922E8F">
        <w:tc>
          <w:tcPr>
            <w:tcW w:w="4077" w:type="dxa"/>
            <w:shd w:val="clear" w:color="auto" w:fill="auto"/>
          </w:tcPr>
          <w:p w14:paraId="775A01AA" w14:textId="77777777" w:rsidR="00EA2F68" w:rsidRPr="00064185" w:rsidRDefault="00EA2F68" w:rsidP="00EA61D8">
            <w:pPr>
              <w:spacing w:line="260" w:lineRule="atLeast"/>
              <w:rPr>
                <w:rFonts w:eastAsia="Calibri"/>
                <w:b/>
                <w:lang w:eastAsia="en-US"/>
              </w:rPr>
            </w:pPr>
            <w:r w:rsidRPr="00064185">
              <w:rPr>
                <w:rFonts w:eastAsia="Calibri"/>
                <w:b/>
                <w:lang w:eastAsia="en-US"/>
              </w:rPr>
              <w:t>EC number</w:t>
            </w:r>
          </w:p>
        </w:tc>
        <w:tc>
          <w:tcPr>
            <w:tcW w:w="5353" w:type="dxa"/>
            <w:shd w:val="clear" w:color="auto" w:fill="auto"/>
          </w:tcPr>
          <w:p w14:paraId="52FED1CA" w14:textId="77777777" w:rsidR="00EA2F68" w:rsidRPr="00064185" w:rsidRDefault="00EA2F68" w:rsidP="00EA61D8">
            <w:pPr>
              <w:spacing w:line="260" w:lineRule="atLeast"/>
              <w:rPr>
                <w:rFonts w:eastAsia="Calibri"/>
                <w:lang w:eastAsia="en-US"/>
              </w:rPr>
            </w:pPr>
            <w:r w:rsidRPr="00064185">
              <w:rPr>
                <w:rFonts w:eastAsia="Calibri"/>
                <w:lang w:eastAsia="en-US"/>
              </w:rPr>
              <w:t>415-130-7</w:t>
            </w:r>
          </w:p>
        </w:tc>
      </w:tr>
      <w:tr w:rsidR="00064185" w:rsidRPr="00064185" w14:paraId="11DD5B7B" w14:textId="77777777" w:rsidTr="00922E8F">
        <w:tc>
          <w:tcPr>
            <w:tcW w:w="4077" w:type="dxa"/>
            <w:shd w:val="clear" w:color="auto" w:fill="auto"/>
          </w:tcPr>
          <w:p w14:paraId="1B34274F" w14:textId="77777777" w:rsidR="00EA2F68" w:rsidRPr="00064185" w:rsidRDefault="00EA2F68" w:rsidP="00EA61D8">
            <w:pPr>
              <w:spacing w:line="260" w:lineRule="atLeast"/>
              <w:rPr>
                <w:rFonts w:eastAsia="Calibri"/>
                <w:b/>
                <w:lang w:eastAsia="en-US"/>
              </w:rPr>
            </w:pPr>
            <w:r w:rsidRPr="00064185">
              <w:rPr>
                <w:rFonts w:eastAsia="Calibri"/>
                <w:b/>
                <w:lang w:eastAsia="en-US"/>
              </w:rPr>
              <w:t>CAS number</w:t>
            </w:r>
          </w:p>
        </w:tc>
        <w:tc>
          <w:tcPr>
            <w:tcW w:w="5353" w:type="dxa"/>
            <w:shd w:val="clear" w:color="auto" w:fill="auto"/>
          </w:tcPr>
          <w:p w14:paraId="3AD4D432" w14:textId="77777777" w:rsidR="00EA2F68" w:rsidRPr="00064185" w:rsidRDefault="00EA2F68" w:rsidP="00EA61D8">
            <w:pPr>
              <w:spacing w:line="260" w:lineRule="atLeast"/>
              <w:rPr>
                <w:rFonts w:eastAsia="Calibri"/>
                <w:lang w:eastAsia="en-US"/>
              </w:rPr>
            </w:pPr>
            <w:r w:rsidRPr="00064185">
              <w:rPr>
                <w:rFonts w:eastAsia="Calibri"/>
                <w:lang w:eastAsia="en-US"/>
              </w:rPr>
              <w:t>91465-08-6</w:t>
            </w:r>
          </w:p>
        </w:tc>
      </w:tr>
      <w:tr w:rsidR="00064185" w:rsidRPr="00064185" w14:paraId="691D9E59" w14:textId="77777777" w:rsidTr="00922E8F">
        <w:tc>
          <w:tcPr>
            <w:tcW w:w="4077" w:type="dxa"/>
            <w:shd w:val="clear" w:color="auto" w:fill="auto"/>
          </w:tcPr>
          <w:p w14:paraId="740B44F0" w14:textId="77777777" w:rsidR="00EA2F68" w:rsidRPr="00064185" w:rsidRDefault="00EA2F68" w:rsidP="00EA61D8">
            <w:pPr>
              <w:spacing w:line="260" w:lineRule="atLeast"/>
              <w:rPr>
                <w:rFonts w:eastAsia="Calibri"/>
                <w:b/>
                <w:lang w:eastAsia="en-US"/>
              </w:rPr>
            </w:pPr>
            <w:r w:rsidRPr="00064185">
              <w:rPr>
                <w:rFonts w:eastAsia="Calibri"/>
                <w:b/>
                <w:lang w:eastAsia="en-US"/>
              </w:rPr>
              <w:t>Index number in Annex VI of CLP</w:t>
            </w:r>
          </w:p>
        </w:tc>
        <w:tc>
          <w:tcPr>
            <w:tcW w:w="5353" w:type="dxa"/>
            <w:shd w:val="clear" w:color="auto" w:fill="auto"/>
          </w:tcPr>
          <w:p w14:paraId="6F60A16C" w14:textId="77777777" w:rsidR="00EA2F68" w:rsidRPr="00064185" w:rsidRDefault="00EA2F68" w:rsidP="00EA61D8">
            <w:pPr>
              <w:spacing w:line="260" w:lineRule="atLeast"/>
              <w:rPr>
                <w:rFonts w:eastAsia="Calibri"/>
                <w:lang w:eastAsia="en-US"/>
              </w:rPr>
            </w:pPr>
            <w:r w:rsidRPr="00064185">
              <w:rPr>
                <w:rFonts w:eastAsia="Calibri"/>
                <w:lang w:eastAsia="en-US"/>
              </w:rPr>
              <w:t>607-252-00-6</w:t>
            </w:r>
          </w:p>
        </w:tc>
      </w:tr>
      <w:tr w:rsidR="00064185" w:rsidRPr="00064185" w14:paraId="75049D8E" w14:textId="77777777" w:rsidTr="00922E8F">
        <w:tc>
          <w:tcPr>
            <w:tcW w:w="4077" w:type="dxa"/>
            <w:shd w:val="clear" w:color="auto" w:fill="auto"/>
          </w:tcPr>
          <w:p w14:paraId="3050AEC0" w14:textId="77777777" w:rsidR="00EA2F68" w:rsidRPr="00064185" w:rsidRDefault="00EA2F68" w:rsidP="00EA61D8">
            <w:pPr>
              <w:spacing w:line="260" w:lineRule="atLeast"/>
              <w:rPr>
                <w:rFonts w:eastAsia="Calibri"/>
                <w:b/>
                <w:lang w:eastAsia="en-US"/>
              </w:rPr>
            </w:pPr>
            <w:r w:rsidRPr="00064185">
              <w:rPr>
                <w:rFonts w:eastAsia="Calibri"/>
                <w:b/>
                <w:lang w:eastAsia="en-US"/>
              </w:rPr>
              <w:t>Minimum purity / content</w:t>
            </w:r>
          </w:p>
        </w:tc>
        <w:tc>
          <w:tcPr>
            <w:tcW w:w="5353" w:type="dxa"/>
            <w:shd w:val="clear" w:color="auto" w:fill="auto"/>
          </w:tcPr>
          <w:p w14:paraId="224CBD3D" w14:textId="77777777" w:rsidR="00EA2F68" w:rsidRPr="00064185" w:rsidRDefault="00EA2F68" w:rsidP="00EA61D8">
            <w:pPr>
              <w:spacing w:line="260" w:lineRule="atLeast"/>
              <w:rPr>
                <w:rFonts w:eastAsia="Calibri"/>
                <w:lang w:eastAsia="en-US"/>
              </w:rPr>
            </w:pPr>
            <w:r w:rsidRPr="00064185">
              <w:t>min. 900 g/kg</w:t>
            </w:r>
          </w:p>
        </w:tc>
      </w:tr>
      <w:tr w:rsidR="00EA2F68" w:rsidRPr="00064185" w14:paraId="472D050D" w14:textId="77777777" w:rsidTr="00922E8F">
        <w:trPr>
          <w:trHeight w:val="2080"/>
        </w:trPr>
        <w:tc>
          <w:tcPr>
            <w:tcW w:w="4077" w:type="dxa"/>
            <w:shd w:val="clear" w:color="auto" w:fill="auto"/>
          </w:tcPr>
          <w:p w14:paraId="4D1D4CF7" w14:textId="77777777" w:rsidR="00EA2F68" w:rsidRPr="00064185" w:rsidRDefault="00EA2F68" w:rsidP="00EA61D8">
            <w:pPr>
              <w:spacing w:line="260" w:lineRule="atLeast"/>
              <w:rPr>
                <w:rFonts w:eastAsia="Calibri"/>
                <w:b/>
                <w:lang w:eastAsia="en-US"/>
              </w:rPr>
            </w:pPr>
            <w:r w:rsidRPr="00064185">
              <w:rPr>
                <w:rFonts w:eastAsia="Calibri"/>
                <w:b/>
                <w:lang w:eastAsia="en-US"/>
              </w:rPr>
              <w:t>Structural formula</w:t>
            </w:r>
          </w:p>
        </w:tc>
        <w:tc>
          <w:tcPr>
            <w:tcW w:w="5353" w:type="dxa"/>
            <w:shd w:val="clear" w:color="auto" w:fill="auto"/>
          </w:tcPr>
          <w:p w14:paraId="781E8DA6" w14:textId="64DBC5B8" w:rsidR="00EA2F68" w:rsidRPr="00064185" w:rsidRDefault="005B20BE" w:rsidP="00EA61D8">
            <w:pPr>
              <w:spacing w:line="260" w:lineRule="atLeast"/>
              <w:rPr>
                <w:rFonts w:eastAsia="Calibri"/>
                <w:lang w:eastAsia="en-US"/>
              </w:rPr>
            </w:pPr>
            <w:r w:rsidRPr="00064185">
              <w:rPr>
                <w:rFonts w:eastAsia="Calibri"/>
                <w:noProof/>
                <w:lang w:val="de-AT" w:eastAsia="de-AT"/>
              </w:rPr>
              <w:drawing>
                <wp:inline distT="0" distB="0" distL="0" distR="0" wp14:anchorId="51D2B48E" wp14:editId="7FA48052">
                  <wp:extent cx="3219450" cy="24193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0" cy="2419350"/>
                          </a:xfrm>
                          <a:prstGeom prst="rect">
                            <a:avLst/>
                          </a:prstGeom>
                          <a:noFill/>
                          <a:ln>
                            <a:noFill/>
                          </a:ln>
                        </pic:spPr>
                      </pic:pic>
                    </a:graphicData>
                  </a:graphic>
                </wp:inline>
              </w:drawing>
            </w:r>
          </w:p>
        </w:tc>
      </w:tr>
    </w:tbl>
    <w:p w14:paraId="2527A55B" w14:textId="77777777" w:rsidR="00A53EE0" w:rsidRPr="00064185" w:rsidRDefault="00A53EE0" w:rsidP="00EA61D8">
      <w:pPr>
        <w:spacing w:line="260" w:lineRule="atLeast"/>
        <w:rPr>
          <w:rFonts w:eastAsia="Calibri"/>
          <w:lang w:eastAsia="en-US"/>
        </w:rPr>
      </w:pPr>
    </w:p>
    <w:p w14:paraId="7CFF6188" w14:textId="77777777" w:rsidR="0000535F" w:rsidRPr="00064185" w:rsidRDefault="0000535F" w:rsidP="00EA61D8">
      <w:pPr>
        <w:spacing w:line="260" w:lineRule="atLeast"/>
        <w:rPr>
          <w:rFonts w:eastAsia="Calibri"/>
          <w:lang w:eastAsia="en-US"/>
        </w:rPr>
      </w:pPr>
    </w:p>
    <w:p w14:paraId="6C4D9790" w14:textId="77777777" w:rsidR="00A53EE0" w:rsidRPr="00064185" w:rsidRDefault="00A53EE0" w:rsidP="00EA61D8">
      <w:pPr>
        <w:pStyle w:val="berschrift4"/>
        <w:jc w:val="left"/>
      </w:pPr>
      <w:bookmarkStart w:id="32" w:name="_Toc389728854"/>
      <w:bookmarkStart w:id="33" w:name="_Toc403472705"/>
      <w:bookmarkStart w:id="34" w:name="_Toc440879612"/>
      <w:bookmarkStart w:id="35" w:name="_Toc440889925"/>
      <w:bookmarkStart w:id="36" w:name="_Toc530563628"/>
      <w:r w:rsidRPr="00064185">
        <w:t>Product composition and formulation</w:t>
      </w:r>
      <w:bookmarkEnd w:id="32"/>
      <w:bookmarkEnd w:id="33"/>
      <w:bookmarkEnd w:id="34"/>
      <w:bookmarkEnd w:id="35"/>
      <w:bookmarkEnd w:id="36"/>
    </w:p>
    <w:p w14:paraId="77BC6492" w14:textId="77777777" w:rsidR="00A53EE0" w:rsidRPr="00064185" w:rsidRDefault="00A53EE0" w:rsidP="00EA61D8">
      <w:pPr>
        <w:spacing w:line="260" w:lineRule="atLeast"/>
        <w:rPr>
          <w:rFonts w:eastAsia="Calibri"/>
          <w:lang w:eastAsia="en-US"/>
        </w:rPr>
      </w:pPr>
    </w:p>
    <w:p w14:paraId="116B3F96" w14:textId="77777777" w:rsidR="00A53EE0" w:rsidRPr="00064185" w:rsidRDefault="00A53EE0" w:rsidP="00EA61D8">
      <w:pPr>
        <w:rPr>
          <w:rFonts w:eastAsia="Calibri"/>
          <w:b/>
          <w:i/>
          <w:sz w:val="22"/>
          <w:szCs w:val="22"/>
          <w:lang w:eastAsia="en-US"/>
        </w:rPr>
      </w:pPr>
      <w:bookmarkStart w:id="37" w:name="_Toc389728855"/>
      <w:bookmarkStart w:id="38" w:name="_Toc403472706"/>
      <w:r w:rsidRPr="00064185">
        <w:rPr>
          <w:rFonts w:eastAsia="Calibri"/>
          <w:b/>
          <w:i/>
          <w:sz w:val="22"/>
          <w:szCs w:val="22"/>
          <w:lang w:eastAsia="en-US"/>
        </w:rPr>
        <w:t>Qualitative and quantitative information on the composition of the biocidal product</w:t>
      </w:r>
      <w:bookmarkEnd w:id="37"/>
      <w:bookmarkEnd w:id="38"/>
    </w:p>
    <w:p w14:paraId="5704298C" w14:textId="07E86724" w:rsidR="006E373D" w:rsidRPr="00064185" w:rsidRDefault="006E373D" w:rsidP="00EA61D8">
      <w:pPr>
        <w:rPr>
          <w:rFonts w:eastAsia="Calibri"/>
          <w:b/>
          <w:i/>
          <w:sz w:val="22"/>
          <w:szCs w:val="22"/>
          <w:lang w:eastAsia="en-US"/>
        </w:rPr>
      </w:pPr>
    </w:p>
    <w:p w14:paraId="0236B5C8" w14:textId="5308F380" w:rsidR="006E373D" w:rsidRPr="00064185" w:rsidRDefault="006E373D" w:rsidP="00EA61D8">
      <w:pPr>
        <w:rPr>
          <w:rFonts w:eastAsia="Calibri"/>
          <w:b/>
          <w:lang w:eastAsia="en-US"/>
        </w:rPr>
      </w:pPr>
      <w:r w:rsidRPr="00064185">
        <w:rPr>
          <w:rFonts w:eastAsia="Calibri"/>
          <w:lang w:eastAsia="en-US"/>
        </w:rPr>
        <w:t xml:space="preserve">The active substance </w:t>
      </w:r>
      <w:r w:rsidRPr="00064185">
        <w:rPr>
          <w:rFonts w:eastAsia="Calibri"/>
          <w:i/>
          <w:lang w:eastAsia="en-US"/>
        </w:rPr>
        <w:t>lambda-</w:t>
      </w:r>
      <w:r w:rsidRPr="00064185">
        <w:rPr>
          <w:rFonts w:eastAsia="Calibri"/>
          <w:lang w:eastAsia="en-US"/>
        </w:rPr>
        <w:t>cyhalothrin is contained in the substance at 0.05% w/w.</w:t>
      </w:r>
    </w:p>
    <w:p w14:paraId="5A730B6C" w14:textId="77777777" w:rsidR="00A53EE0" w:rsidRPr="00064185" w:rsidRDefault="00A53EE0" w:rsidP="00EA61D8">
      <w:pPr>
        <w:spacing w:line="260" w:lineRule="atLeast"/>
        <w:rPr>
          <w:rFonts w:eastAsia="Calibri"/>
          <w:bCs/>
          <w:lang w:eastAsia="en-US"/>
        </w:rPr>
      </w:pPr>
    </w:p>
    <w:p w14:paraId="0A8A1557" w14:textId="77777777" w:rsidR="003A24E4" w:rsidRPr="00064185" w:rsidRDefault="003A24E4" w:rsidP="00EA61D8">
      <w:pPr>
        <w:spacing w:line="260" w:lineRule="atLeast"/>
        <w:rPr>
          <w:rFonts w:eastAsia="Calibri" w:cs="Times"/>
          <w:bCs/>
          <w:szCs w:val="29"/>
        </w:rPr>
      </w:pPr>
      <w:bookmarkStart w:id="39" w:name="_Toc389728856"/>
      <w:r w:rsidRPr="00064185">
        <w:rPr>
          <w:rFonts w:eastAsia="Calibri" w:cs="Times"/>
          <w:bCs/>
          <w:szCs w:val="29"/>
        </w:rPr>
        <w:t>Please see the confidential annex for further details.</w:t>
      </w:r>
    </w:p>
    <w:p w14:paraId="6E615BAE" w14:textId="77777777" w:rsidR="00080921" w:rsidRPr="00064185" w:rsidRDefault="00080921" w:rsidP="00EA61D8">
      <w:pPr>
        <w:spacing w:line="260" w:lineRule="atLeast"/>
        <w:rPr>
          <w:rFonts w:eastAsia="Calibri"/>
          <w:lang w:eastAsia="en-US"/>
        </w:rPr>
      </w:pPr>
    </w:p>
    <w:p w14:paraId="28072171" w14:textId="77777777" w:rsidR="00A53EE0" w:rsidRPr="00064185" w:rsidRDefault="00A53EE0" w:rsidP="00EA61D8">
      <w:pPr>
        <w:widowControl w:val="0"/>
        <w:rPr>
          <w:rFonts w:eastAsia="Calibri"/>
          <w:b/>
          <w:i/>
          <w:sz w:val="22"/>
          <w:szCs w:val="22"/>
          <w:lang w:eastAsia="en-US"/>
        </w:rPr>
      </w:pPr>
      <w:bookmarkStart w:id="40" w:name="_Toc403472708"/>
      <w:r w:rsidRPr="00064185">
        <w:rPr>
          <w:rFonts w:eastAsia="Calibri"/>
          <w:b/>
          <w:i/>
          <w:sz w:val="22"/>
          <w:szCs w:val="22"/>
          <w:lang w:eastAsia="en-US"/>
        </w:rPr>
        <w:t>Information on the substance(s) of concern</w:t>
      </w:r>
      <w:bookmarkEnd w:id="39"/>
      <w:bookmarkEnd w:id="40"/>
    </w:p>
    <w:p w14:paraId="349AB003" w14:textId="77777777" w:rsidR="005E44DD" w:rsidRPr="00064185" w:rsidRDefault="005E44DD" w:rsidP="00EA61D8">
      <w:pPr>
        <w:widowControl w:val="0"/>
        <w:rPr>
          <w:rFonts w:eastAsia="Calibri"/>
          <w:b/>
          <w:i/>
          <w:sz w:val="22"/>
          <w:szCs w:val="22"/>
          <w:lang w:eastAsia="en-US"/>
        </w:rPr>
      </w:pPr>
    </w:p>
    <w:p w14:paraId="2D5F3344" w14:textId="6E3F7EED" w:rsidR="00A53EE0" w:rsidRPr="00064185" w:rsidRDefault="00C87351" w:rsidP="00EA61D8">
      <w:pPr>
        <w:widowControl w:val="0"/>
        <w:spacing w:line="260" w:lineRule="atLeast"/>
        <w:rPr>
          <w:rFonts w:eastAsia="Calibri"/>
          <w:lang w:eastAsia="en-US"/>
        </w:rPr>
      </w:pPr>
      <w:r w:rsidRPr="00064185">
        <w:rPr>
          <w:rFonts w:eastAsia="Calibri" w:cs="Times"/>
          <w:bCs/>
          <w:szCs w:val="29"/>
        </w:rPr>
        <w:lastRenderedPageBreak/>
        <w:t>The product does not contain substances of concern</w:t>
      </w:r>
      <w:r w:rsidR="003A24E4" w:rsidRPr="00064185">
        <w:rPr>
          <w:rFonts w:eastAsia="Calibri" w:cs="Times"/>
          <w:bCs/>
          <w:szCs w:val="29"/>
        </w:rPr>
        <w:t>.</w:t>
      </w:r>
      <w:r w:rsidR="001E41A1" w:rsidRPr="00064185">
        <w:rPr>
          <w:rFonts w:eastAsia="Calibri" w:cs="Times"/>
          <w:bCs/>
          <w:szCs w:val="29"/>
        </w:rPr>
        <w:t xml:space="preserve"> For further information please refer to the confidential annex.</w:t>
      </w:r>
    </w:p>
    <w:p w14:paraId="383E78D1" w14:textId="77777777" w:rsidR="00A53EE0" w:rsidRPr="00064185" w:rsidRDefault="00A53EE0" w:rsidP="00EA61D8">
      <w:pPr>
        <w:widowControl w:val="0"/>
        <w:spacing w:line="260" w:lineRule="atLeast"/>
        <w:rPr>
          <w:rFonts w:eastAsia="Calibri"/>
          <w:lang w:eastAsia="en-US"/>
        </w:rPr>
      </w:pPr>
    </w:p>
    <w:p w14:paraId="4FADBDD8" w14:textId="77777777" w:rsidR="003A24E4" w:rsidRPr="00064185" w:rsidRDefault="003A24E4" w:rsidP="00EA61D8">
      <w:pPr>
        <w:widowControl w:val="0"/>
        <w:spacing w:line="260" w:lineRule="atLeast"/>
        <w:rPr>
          <w:rFonts w:eastAsia="Calibri"/>
          <w:lang w:eastAsia="en-US"/>
        </w:rPr>
      </w:pPr>
    </w:p>
    <w:p w14:paraId="63C4F021" w14:textId="571720DF" w:rsidR="00061409" w:rsidRPr="00064185" w:rsidRDefault="00C6343B" w:rsidP="00EA61D8">
      <w:pPr>
        <w:pStyle w:val="berschrift4"/>
        <w:jc w:val="left"/>
      </w:pPr>
      <w:bookmarkStart w:id="41" w:name="_Toc389728857"/>
      <w:bookmarkStart w:id="42" w:name="_Toc403472709"/>
      <w:bookmarkStart w:id="43" w:name="_Toc440879613"/>
      <w:bookmarkStart w:id="44" w:name="_Toc440889926"/>
      <w:bookmarkStart w:id="45" w:name="_Toc530563629"/>
      <w:bookmarkEnd w:id="41"/>
      <w:bookmarkEnd w:id="42"/>
      <w:bookmarkEnd w:id="43"/>
      <w:bookmarkEnd w:id="44"/>
      <w:r w:rsidRPr="00064185">
        <w:t>Authorised use</w:t>
      </w:r>
      <w:bookmarkEnd w:id="45"/>
    </w:p>
    <w:p w14:paraId="61F6E0B3" w14:textId="77777777" w:rsidR="00C6343B" w:rsidRPr="00064185" w:rsidRDefault="00C6343B" w:rsidP="00EA61D8">
      <w:pPr>
        <w:pStyle w:val="Absatz"/>
        <w:rPr>
          <w:lang w:val="de-DE" w:eastAsia="en-US"/>
        </w:rPr>
      </w:pPr>
    </w:p>
    <w:p w14:paraId="5D87D2E8" w14:textId="77777777" w:rsidR="00C6343B" w:rsidRPr="00064185" w:rsidRDefault="00C6343B" w:rsidP="00EA61D8">
      <w:pPr>
        <w:spacing w:line="260" w:lineRule="atLeast"/>
        <w:rPr>
          <w:rFonts w:eastAsia="Calibri" w:cs="Arial"/>
          <w:b/>
        </w:rPr>
      </w:pPr>
      <w:r w:rsidRPr="00064185">
        <w:rPr>
          <w:rFonts w:eastAsia="Calibri" w:cs="Arial"/>
          <w:b/>
        </w:rPr>
        <w:t>Use 1 - Insecticide and product to control other arthropods – garden ants, silverfishes, woodlice and cockroaches – non-professionals – spraying - indoor</w:t>
      </w:r>
    </w:p>
    <w:tbl>
      <w:tblPr>
        <w:tblW w:w="5000" w:type="pct"/>
        <w:tblCellMar>
          <w:left w:w="0" w:type="dxa"/>
          <w:right w:w="0" w:type="dxa"/>
        </w:tblCellMar>
        <w:tblLook w:val="04A0" w:firstRow="1" w:lastRow="0" w:firstColumn="1" w:lastColumn="0" w:noHBand="0" w:noVBand="1"/>
      </w:tblPr>
      <w:tblGrid>
        <w:gridCol w:w="2446"/>
        <w:gridCol w:w="6848"/>
      </w:tblGrid>
      <w:tr w:rsidR="00064185" w:rsidRPr="00064185" w14:paraId="798D5EBE" w14:textId="77777777" w:rsidTr="00C6343B">
        <w:trPr>
          <w:cantSplit/>
        </w:trPr>
        <w:tc>
          <w:tcPr>
            <w:tcW w:w="1316" w:type="pct"/>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hideMark/>
          </w:tcPr>
          <w:p w14:paraId="3EB2EBDE" w14:textId="77777777" w:rsidR="00C6343B" w:rsidRPr="00064185" w:rsidRDefault="00C6343B" w:rsidP="00EA61D8">
            <w:pPr>
              <w:spacing w:line="260" w:lineRule="atLeast"/>
              <w:rPr>
                <w:rFonts w:eastAsia="Calibri" w:cs="Arial"/>
                <w:bCs/>
                <w:lang w:val="de-DE"/>
              </w:rPr>
            </w:pPr>
            <w:r w:rsidRPr="00064185">
              <w:rPr>
                <w:rFonts w:eastAsia="Calibri" w:cs="Arial"/>
                <w:bCs/>
              </w:rPr>
              <w:t>Product Type</w:t>
            </w:r>
          </w:p>
        </w:tc>
        <w:tc>
          <w:tcPr>
            <w:tcW w:w="3684" w:type="pct"/>
            <w:tcBorders>
              <w:top w:val="single" w:sz="4" w:space="0" w:color="000000"/>
              <w:left w:val="nil"/>
              <w:bottom w:val="single" w:sz="4" w:space="0" w:color="000000"/>
              <w:right w:val="single" w:sz="4" w:space="0" w:color="000000"/>
            </w:tcBorders>
            <w:shd w:val="clear" w:color="auto" w:fill="FFFFCC"/>
            <w:tcMar>
              <w:top w:w="40" w:type="dxa"/>
              <w:left w:w="40" w:type="dxa"/>
              <w:bottom w:w="40" w:type="dxa"/>
              <w:right w:w="40" w:type="dxa"/>
            </w:tcMar>
          </w:tcPr>
          <w:p w14:paraId="710F7877" w14:textId="77777777" w:rsidR="00C6343B" w:rsidRPr="00064185" w:rsidRDefault="00C6343B" w:rsidP="00EA61D8">
            <w:pPr>
              <w:spacing w:line="260" w:lineRule="atLeast"/>
              <w:rPr>
                <w:rFonts w:eastAsia="Calibri" w:cs="Arial"/>
                <w:bCs/>
              </w:rPr>
            </w:pPr>
            <w:r w:rsidRPr="00064185">
              <w:rPr>
                <w:rFonts w:eastAsia="Calibri" w:cs="Arial"/>
                <w:bCs/>
              </w:rPr>
              <w:t>PT 18 Insecticides, acaricides and products to control other arthropods (Pest control)</w:t>
            </w:r>
          </w:p>
        </w:tc>
      </w:tr>
      <w:tr w:rsidR="00064185" w:rsidRPr="00064185" w14:paraId="01C7F8CB" w14:textId="77777777" w:rsidTr="00C6343B">
        <w:trPr>
          <w:cantSplit/>
        </w:trPr>
        <w:tc>
          <w:tcPr>
            <w:tcW w:w="1316"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F78A66B" w14:textId="77777777" w:rsidR="00C6343B" w:rsidRPr="00064185" w:rsidRDefault="00C6343B" w:rsidP="00EA61D8">
            <w:pPr>
              <w:spacing w:line="260" w:lineRule="atLeast"/>
              <w:rPr>
                <w:rFonts w:eastAsia="Calibri" w:cs="Arial"/>
                <w:bCs/>
                <w:lang w:val="en-US"/>
              </w:rPr>
            </w:pPr>
            <w:r w:rsidRPr="00064185">
              <w:rPr>
                <w:rFonts w:eastAsia="Calibri" w:cs="Arial"/>
                <w:bCs/>
              </w:rPr>
              <w:t>Where relevant, an exact description of the authorised use</w:t>
            </w:r>
          </w:p>
        </w:tc>
        <w:tc>
          <w:tcPr>
            <w:tcW w:w="3684" w:type="pct"/>
            <w:tcBorders>
              <w:top w:val="nil"/>
              <w:left w:val="nil"/>
              <w:bottom w:val="single" w:sz="4" w:space="0" w:color="000000"/>
              <w:right w:val="single" w:sz="4" w:space="0" w:color="000000"/>
            </w:tcBorders>
            <w:tcMar>
              <w:top w:w="40" w:type="dxa"/>
              <w:left w:w="40" w:type="dxa"/>
              <w:bottom w:w="40" w:type="dxa"/>
              <w:right w:w="40" w:type="dxa"/>
            </w:tcMar>
          </w:tcPr>
          <w:p w14:paraId="12953968" w14:textId="77777777" w:rsidR="00C6343B" w:rsidRPr="00064185" w:rsidRDefault="00C6343B" w:rsidP="00EA61D8">
            <w:pPr>
              <w:spacing w:line="260" w:lineRule="atLeast"/>
              <w:rPr>
                <w:rFonts w:eastAsia="Calibri" w:cs="Arial"/>
                <w:bCs/>
              </w:rPr>
            </w:pPr>
            <w:r w:rsidRPr="00064185">
              <w:rPr>
                <w:rFonts w:eastAsia="Calibri" w:cs="Arial"/>
                <w:bCs/>
              </w:rPr>
              <w:t>Insecticide and product to control other arthropods</w:t>
            </w:r>
          </w:p>
        </w:tc>
      </w:tr>
      <w:tr w:rsidR="00064185" w:rsidRPr="00064185" w14:paraId="10B1FE65" w14:textId="77777777" w:rsidTr="00C6343B">
        <w:trPr>
          <w:cantSplit/>
        </w:trPr>
        <w:tc>
          <w:tcPr>
            <w:tcW w:w="1316"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FA02516" w14:textId="77777777" w:rsidR="00C6343B" w:rsidRPr="00064185" w:rsidRDefault="00C6343B" w:rsidP="00EA61D8">
            <w:pPr>
              <w:spacing w:line="260" w:lineRule="atLeast"/>
              <w:rPr>
                <w:rFonts w:eastAsia="Calibri" w:cs="Arial"/>
                <w:bCs/>
                <w:lang w:val="en-US"/>
              </w:rPr>
            </w:pPr>
            <w:r w:rsidRPr="00064185">
              <w:rPr>
                <w:rFonts w:eastAsia="Calibri" w:cs="Arial"/>
                <w:bCs/>
              </w:rPr>
              <w:t>Target organism (including development stage)</w:t>
            </w:r>
          </w:p>
        </w:tc>
        <w:tc>
          <w:tcPr>
            <w:tcW w:w="3684" w:type="pct"/>
            <w:tcBorders>
              <w:top w:val="nil"/>
              <w:left w:val="nil"/>
              <w:bottom w:val="single" w:sz="4" w:space="0" w:color="000000"/>
              <w:right w:val="single" w:sz="4" w:space="0" w:color="000000"/>
            </w:tcBorders>
            <w:tcMar>
              <w:top w:w="40" w:type="dxa"/>
              <w:left w:w="40" w:type="dxa"/>
              <w:bottom w:w="40" w:type="dxa"/>
              <w:right w:w="40" w:type="dxa"/>
            </w:tcMar>
          </w:tcPr>
          <w:p w14:paraId="6DBBB6AD" w14:textId="090D6868" w:rsidR="00C6343B" w:rsidRPr="00064185" w:rsidRDefault="00C6343B" w:rsidP="00EA61D8">
            <w:pPr>
              <w:rPr>
                <w:rFonts w:cs="Arial"/>
                <w:bCs/>
                <w:lang w:val="en-US"/>
              </w:rPr>
            </w:pPr>
            <w:r w:rsidRPr="00064185">
              <w:rPr>
                <w:rFonts w:cs="Arial"/>
                <w:bCs/>
                <w:lang w:val="en-US"/>
              </w:rPr>
              <w:t xml:space="preserve">Scientific name: Formicinae: </w:t>
            </w:r>
            <w:r w:rsidRPr="00064185">
              <w:rPr>
                <w:rFonts w:cs="Arial"/>
                <w:bCs/>
                <w:i/>
                <w:lang w:val="en-US"/>
              </w:rPr>
              <w:t xml:space="preserve">Lasius </w:t>
            </w:r>
            <w:r w:rsidR="004541AD" w:rsidRPr="00064185">
              <w:rPr>
                <w:rFonts w:cs="Arial"/>
                <w:bCs/>
                <w:i/>
                <w:lang w:val="en-US"/>
              </w:rPr>
              <w:t>sp.</w:t>
            </w:r>
          </w:p>
          <w:p w14:paraId="555BFB2A" w14:textId="21B457DB" w:rsidR="00C6343B" w:rsidRPr="00064185" w:rsidRDefault="00C6343B" w:rsidP="00EA61D8">
            <w:pPr>
              <w:rPr>
                <w:rFonts w:cs="Arial"/>
                <w:bCs/>
                <w:lang w:val="en-US"/>
              </w:rPr>
            </w:pPr>
            <w:r w:rsidRPr="00064185">
              <w:rPr>
                <w:rFonts w:cs="Arial"/>
                <w:bCs/>
                <w:lang w:val="en-US"/>
              </w:rPr>
              <w:t xml:space="preserve">Common name: </w:t>
            </w:r>
            <w:r w:rsidRPr="00064185">
              <w:rPr>
                <w:rFonts w:cs="Arial"/>
                <w:b/>
                <w:bCs/>
                <w:lang w:val="en-US"/>
              </w:rPr>
              <w:t>garden ant</w:t>
            </w:r>
            <w:r w:rsidR="00250466" w:rsidRPr="00064185">
              <w:rPr>
                <w:rFonts w:cs="Arial"/>
                <w:b/>
                <w:bCs/>
                <w:lang w:val="en-US"/>
              </w:rPr>
              <w:t>s</w:t>
            </w:r>
          </w:p>
          <w:p w14:paraId="44BF5EE3" w14:textId="77777777" w:rsidR="00C6343B" w:rsidRPr="00064185" w:rsidRDefault="00C6343B" w:rsidP="00EA61D8">
            <w:pPr>
              <w:rPr>
                <w:rFonts w:cs="Arial"/>
                <w:bCs/>
                <w:lang w:val="en-US"/>
              </w:rPr>
            </w:pPr>
            <w:r w:rsidRPr="00064185">
              <w:rPr>
                <w:rFonts w:cs="Arial"/>
                <w:bCs/>
                <w:lang w:val="en-US"/>
              </w:rPr>
              <w:t>Development stage: ant colony</w:t>
            </w:r>
          </w:p>
          <w:p w14:paraId="7CA80221" w14:textId="77777777" w:rsidR="00C6343B" w:rsidRPr="00064185" w:rsidRDefault="00C6343B" w:rsidP="00EA61D8">
            <w:pPr>
              <w:rPr>
                <w:rFonts w:cs="Arial"/>
                <w:lang w:val="en-US"/>
              </w:rPr>
            </w:pPr>
          </w:p>
          <w:p w14:paraId="546699C2" w14:textId="77FB74D7" w:rsidR="00C6343B" w:rsidRPr="00064185" w:rsidRDefault="00C6343B" w:rsidP="00EA61D8">
            <w:pPr>
              <w:rPr>
                <w:rFonts w:cs="Arial"/>
                <w:bCs/>
                <w:lang w:val="en-US"/>
              </w:rPr>
            </w:pPr>
            <w:r w:rsidRPr="00064185">
              <w:rPr>
                <w:rFonts w:cs="Arial"/>
                <w:bCs/>
                <w:lang w:val="en-US"/>
              </w:rPr>
              <w:t xml:space="preserve">Scientific name: Lepismatidae: </w:t>
            </w:r>
            <w:r w:rsidRPr="00064185">
              <w:rPr>
                <w:rFonts w:cs="Arial"/>
                <w:bCs/>
                <w:i/>
                <w:lang w:val="en-US"/>
              </w:rPr>
              <w:t>Lepisma saccharina</w:t>
            </w:r>
          </w:p>
          <w:p w14:paraId="7F25855C" w14:textId="54287DFA" w:rsidR="00C6343B" w:rsidRPr="00064185" w:rsidRDefault="00C6343B" w:rsidP="00EA61D8">
            <w:pPr>
              <w:rPr>
                <w:rFonts w:cs="Arial"/>
                <w:bCs/>
                <w:lang w:val="en-US"/>
              </w:rPr>
            </w:pPr>
            <w:r w:rsidRPr="00064185">
              <w:rPr>
                <w:rFonts w:cs="Arial"/>
                <w:bCs/>
                <w:lang w:val="en-US"/>
              </w:rPr>
              <w:t xml:space="preserve">Common name: Lepismatid: </w:t>
            </w:r>
            <w:r w:rsidRPr="00064185">
              <w:rPr>
                <w:rFonts w:cs="Arial"/>
                <w:b/>
                <w:bCs/>
                <w:lang w:val="en-US"/>
              </w:rPr>
              <w:t>silverfishes</w:t>
            </w:r>
          </w:p>
          <w:p w14:paraId="5D7A0B1D" w14:textId="3075CD4B" w:rsidR="00C6343B" w:rsidRPr="00064185" w:rsidRDefault="00C6343B" w:rsidP="00EA61D8">
            <w:pPr>
              <w:rPr>
                <w:rFonts w:cs="Arial"/>
                <w:bCs/>
                <w:lang w:val="en-US"/>
              </w:rPr>
            </w:pPr>
            <w:r w:rsidRPr="00064185">
              <w:rPr>
                <w:rFonts w:cs="Arial"/>
                <w:bCs/>
                <w:lang w:val="en-US"/>
              </w:rPr>
              <w:t>Development stage: larvae and adults</w:t>
            </w:r>
          </w:p>
          <w:p w14:paraId="2E093892" w14:textId="77777777" w:rsidR="00C6343B" w:rsidRPr="00064185" w:rsidRDefault="00C6343B" w:rsidP="00EA61D8">
            <w:pPr>
              <w:rPr>
                <w:rFonts w:cs="Arial"/>
                <w:lang w:val="en-US"/>
              </w:rPr>
            </w:pPr>
          </w:p>
          <w:p w14:paraId="32CBF522" w14:textId="77777777" w:rsidR="00C6343B" w:rsidRPr="00064185" w:rsidRDefault="00C6343B" w:rsidP="00EA61D8">
            <w:pPr>
              <w:rPr>
                <w:rFonts w:cs="Arial"/>
                <w:bCs/>
                <w:lang w:val="en-US"/>
              </w:rPr>
            </w:pPr>
            <w:r w:rsidRPr="00064185">
              <w:rPr>
                <w:rFonts w:cs="Arial"/>
                <w:bCs/>
                <w:lang w:val="en-US"/>
              </w:rPr>
              <w:t xml:space="preserve">Scientific name: Porcellionidae: </w:t>
            </w:r>
            <w:r w:rsidRPr="00064185">
              <w:rPr>
                <w:rFonts w:cs="Arial"/>
                <w:bCs/>
                <w:i/>
                <w:lang w:val="en-US"/>
              </w:rPr>
              <w:t>Porcellio scaber</w:t>
            </w:r>
          </w:p>
          <w:p w14:paraId="5587E6C0" w14:textId="77777777" w:rsidR="00C6343B" w:rsidRPr="00064185" w:rsidRDefault="00C6343B" w:rsidP="00EA61D8">
            <w:pPr>
              <w:rPr>
                <w:rFonts w:cs="Arial"/>
                <w:bCs/>
                <w:lang w:val="en-US"/>
              </w:rPr>
            </w:pPr>
            <w:r w:rsidRPr="00064185">
              <w:rPr>
                <w:rFonts w:cs="Arial"/>
                <w:bCs/>
                <w:lang w:val="en-US"/>
              </w:rPr>
              <w:t xml:space="preserve">Common name: </w:t>
            </w:r>
            <w:r w:rsidRPr="00064185">
              <w:rPr>
                <w:rFonts w:cs="Arial"/>
                <w:b/>
                <w:bCs/>
                <w:lang w:val="en-US"/>
              </w:rPr>
              <w:t>woodlice</w:t>
            </w:r>
          </w:p>
          <w:p w14:paraId="59AC45F1" w14:textId="42452E58" w:rsidR="00C6343B" w:rsidRPr="00064185" w:rsidRDefault="00C6343B" w:rsidP="00EA61D8">
            <w:pPr>
              <w:rPr>
                <w:rFonts w:cs="Arial"/>
                <w:bCs/>
                <w:lang w:val="en-US"/>
              </w:rPr>
            </w:pPr>
            <w:r w:rsidRPr="00064185">
              <w:rPr>
                <w:rFonts w:cs="Arial"/>
                <w:bCs/>
                <w:lang w:val="en-US"/>
              </w:rPr>
              <w:t>Development stage: larvae and adults</w:t>
            </w:r>
          </w:p>
          <w:p w14:paraId="4104017F" w14:textId="77777777" w:rsidR="00C6343B" w:rsidRPr="00064185" w:rsidRDefault="00C6343B" w:rsidP="00EA61D8">
            <w:pPr>
              <w:rPr>
                <w:rFonts w:cs="Arial"/>
                <w:lang w:val="en-US"/>
              </w:rPr>
            </w:pPr>
          </w:p>
          <w:p w14:paraId="51BA41E6" w14:textId="77777777" w:rsidR="00C6343B" w:rsidRPr="00064185" w:rsidRDefault="00C6343B" w:rsidP="00EA61D8">
            <w:pPr>
              <w:rPr>
                <w:rFonts w:cs="Arial"/>
                <w:bCs/>
                <w:lang w:val="it-IT"/>
              </w:rPr>
            </w:pPr>
            <w:proofErr w:type="gramStart"/>
            <w:r w:rsidRPr="00064185">
              <w:rPr>
                <w:rFonts w:cs="Arial"/>
                <w:bCs/>
                <w:lang w:val="it-IT"/>
              </w:rPr>
              <w:t xml:space="preserve">Scientific name: Blattodea: </w:t>
            </w:r>
            <w:r w:rsidRPr="00064185">
              <w:rPr>
                <w:rFonts w:cs="Arial"/>
                <w:bCs/>
                <w:i/>
                <w:lang w:val="it-IT"/>
              </w:rPr>
              <w:t>Blattella germanica, Blatta orientalis, Periplaneta americana</w:t>
            </w:r>
            <w:proofErr w:type="gramEnd"/>
          </w:p>
          <w:p w14:paraId="717EE972" w14:textId="77777777" w:rsidR="00C6343B" w:rsidRPr="00064185" w:rsidRDefault="00C6343B" w:rsidP="00EA61D8">
            <w:pPr>
              <w:rPr>
                <w:rFonts w:cs="Arial"/>
                <w:bCs/>
                <w:lang w:val="en-US"/>
              </w:rPr>
            </w:pPr>
            <w:r w:rsidRPr="00064185">
              <w:rPr>
                <w:rFonts w:cs="Arial"/>
                <w:bCs/>
                <w:lang w:val="en-US"/>
              </w:rPr>
              <w:t xml:space="preserve">Common name: </w:t>
            </w:r>
            <w:r w:rsidRPr="00064185">
              <w:rPr>
                <w:rFonts w:cs="Arial"/>
                <w:b/>
                <w:bCs/>
                <w:lang w:val="en-US"/>
              </w:rPr>
              <w:t>cockroaches</w:t>
            </w:r>
          </w:p>
          <w:p w14:paraId="2CCEB2E6" w14:textId="401797BA" w:rsidR="00C6343B" w:rsidRPr="00064185" w:rsidRDefault="00C6343B" w:rsidP="00EA61D8">
            <w:pPr>
              <w:spacing w:line="260" w:lineRule="atLeast"/>
              <w:rPr>
                <w:rFonts w:eastAsia="Calibri" w:cs="Arial"/>
                <w:bCs/>
              </w:rPr>
            </w:pPr>
            <w:r w:rsidRPr="00064185">
              <w:rPr>
                <w:rFonts w:cs="Arial"/>
                <w:bCs/>
                <w:lang w:val="en-US"/>
              </w:rPr>
              <w:t xml:space="preserve">Development stage: </w:t>
            </w:r>
            <w:r w:rsidR="002A768E" w:rsidRPr="00064185">
              <w:rPr>
                <w:rFonts w:cs="Arial"/>
                <w:bCs/>
                <w:lang w:val="en-US"/>
              </w:rPr>
              <w:t>larvae (</w:t>
            </w:r>
            <w:r w:rsidRPr="00064185">
              <w:rPr>
                <w:rFonts w:cs="Arial"/>
                <w:bCs/>
                <w:lang w:val="en-US"/>
              </w:rPr>
              <w:t>nymphal stage</w:t>
            </w:r>
            <w:r w:rsidR="002A768E" w:rsidRPr="00064185">
              <w:rPr>
                <w:rFonts w:cs="Arial"/>
                <w:bCs/>
                <w:lang w:val="en-US"/>
              </w:rPr>
              <w:t>)</w:t>
            </w:r>
          </w:p>
        </w:tc>
      </w:tr>
      <w:tr w:rsidR="00064185" w:rsidRPr="00064185" w14:paraId="2A3994AF" w14:textId="77777777" w:rsidTr="00C6343B">
        <w:trPr>
          <w:cantSplit/>
        </w:trPr>
        <w:tc>
          <w:tcPr>
            <w:tcW w:w="1316"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7791E31" w14:textId="77777777" w:rsidR="00C6343B" w:rsidRPr="00064185" w:rsidRDefault="00C6343B" w:rsidP="00EA61D8">
            <w:pPr>
              <w:spacing w:line="260" w:lineRule="atLeast"/>
              <w:rPr>
                <w:rFonts w:eastAsia="Calibri" w:cs="Arial"/>
                <w:bCs/>
                <w:lang w:val="de-DE"/>
              </w:rPr>
            </w:pPr>
            <w:r w:rsidRPr="00064185">
              <w:rPr>
                <w:rFonts w:eastAsia="Calibri" w:cs="Arial"/>
                <w:bCs/>
              </w:rPr>
              <w:t>Field of use</w:t>
            </w:r>
          </w:p>
        </w:tc>
        <w:tc>
          <w:tcPr>
            <w:tcW w:w="3684" w:type="pct"/>
            <w:tcBorders>
              <w:top w:val="nil"/>
              <w:left w:val="nil"/>
              <w:bottom w:val="single" w:sz="4" w:space="0" w:color="000000"/>
              <w:right w:val="single" w:sz="4" w:space="0" w:color="000000"/>
            </w:tcBorders>
            <w:tcMar>
              <w:top w:w="40" w:type="dxa"/>
              <w:left w:w="40" w:type="dxa"/>
              <w:bottom w:w="40" w:type="dxa"/>
              <w:right w:w="40" w:type="dxa"/>
            </w:tcMar>
          </w:tcPr>
          <w:p w14:paraId="1C880BCE" w14:textId="77777777" w:rsidR="00C6343B" w:rsidRPr="00064185" w:rsidRDefault="00C6343B" w:rsidP="00EA61D8">
            <w:pPr>
              <w:spacing w:line="260" w:lineRule="atLeast"/>
              <w:rPr>
                <w:rFonts w:eastAsia="Calibri" w:cs="Arial"/>
                <w:bCs/>
              </w:rPr>
            </w:pPr>
            <w:r w:rsidRPr="00064185">
              <w:rPr>
                <w:rFonts w:eastAsia="Calibri" w:cs="Arial"/>
                <w:bCs/>
              </w:rPr>
              <w:t>Indoor use</w:t>
            </w:r>
          </w:p>
        </w:tc>
      </w:tr>
      <w:tr w:rsidR="00064185" w:rsidRPr="00064185" w14:paraId="331B3DAA" w14:textId="77777777" w:rsidTr="00C6343B">
        <w:trPr>
          <w:cantSplit/>
        </w:trPr>
        <w:tc>
          <w:tcPr>
            <w:tcW w:w="1316"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E09D5E9" w14:textId="77777777" w:rsidR="00C6343B" w:rsidRPr="00064185" w:rsidRDefault="00C6343B" w:rsidP="00EA61D8">
            <w:pPr>
              <w:spacing w:line="260" w:lineRule="atLeast"/>
              <w:rPr>
                <w:rFonts w:eastAsia="Calibri" w:cs="Arial"/>
                <w:bCs/>
                <w:lang w:val="de-DE"/>
              </w:rPr>
            </w:pPr>
            <w:r w:rsidRPr="00064185">
              <w:rPr>
                <w:rFonts w:eastAsia="Calibri" w:cs="Arial"/>
                <w:bCs/>
              </w:rPr>
              <w:t>Application method(s)</w:t>
            </w:r>
          </w:p>
        </w:tc>
        <w:tc>
          <w:tcPr>
            <w:tcW w:w="3684" w:type="pct"/>
            <w:tcBorders>
              <w:top w:val="nil"/>
              <w:left w:val="nil"/>
              <w:bottom w:val="single" w:sz="4" w:space="0" w:color="000000"/>
              <w:right w:val="single" w:sz="4" w:space="0" w:color="000000"/>
            </w:tcBorders>
            <w:tcMar>
              <w:top w:w="40" w:type="dxa"/>
              <w:left w:w="40" w:type="dxa"/>
              <w:bottom w:w="40" w:type="dxa"/>
              <w:right w:w="40" w:type="dxa"/>
            </w:tcMar>
          </w:tcPr>
          <w:p w14:paraId="5A6051C4" w14:textId="77777777" w:rsidR="00C6343B" w:rsidRPr="00064185" w:rsidRDefault="00C6343B" w:rsidP="00EA61D8">
            <w:pPr>
              <w:rPr>
                <w:rFonts w:cs="Arial"/>
                <w:b/>
                <w:bCs/>
                <w:lang w:val="en-US"/>
              </w:rPr>
            </w:pPr>
            <w:r w:rsidRPr="00064185">
              <w:rPr>
                <w:rFonts w:cs="Arial"/>
                <w:bCs/>
                <w:u w:val="single"/>
                <w:lang w:val="en-US"/>
              </w:rPr>
              <w:t>Method of application:</w:t>
            </w:r>
            <w:r w:rsidRPr="00064185">
              <w:rPr>
                <w:rFonts w:cs="Arial"/>
                <w:lang w:val="en-US"/>
              </w:rPr>
              <w:t xml:space="preserve"> </w:t>
            </w:r>
            <w:r w:rsidRPr="00064185">
              <w:rPr>
                <w:rFonts w:cs="Arial"/>
                <w:b/>
                <w:bCs/>
                <w:lang w:val="en-US"/>
              </w:rPr>
              <w:t>spraying</w:t>
            </w:r>
          </w:p>
          <w:p w14:paraId="3C2DAB70" w14:textId="77777777" w:rsidR="00C6343B" w:rsidRPr="00064185" w:rsidRDefault="00C6343B" w:rsidP="00EA61D8">
            <w:pPr>
              <w:rPr>
                <w:u w:val="single"/>
                <w:lang w:val="en-US"/>
              </w:rPr>
            </w:pPr>
            <w:r w:rsidRPr="00064185">
              <w:rPr>
                <w:rFonts w:cs="Arial"/>
                <w:bCs/>
                <w:u w:val="single"/>
                <w:lang w:val="en-US"/>
              </w:rPr>
              <w:t>Detailed description of the method:</w:t>
            </w:r>
          </w:p>
          <w:p w14:paraId="020E28DF" w14:textId="77777777" w:rsidR="00B51005" w:rsidRPr="00064185" w:rsidRDefault="00B51005" w:rsidP="00EA61D8">
            <w:pPr>
              <w:rPr>
                <w:rFonts w:cs="Arial"/>
                <w:bCs/>
                <w:u w:val="single"/>
                <w:lang w:val="en-US"/>
              </w:rPr>
            </w:pPr>
          </w:p>
          <w:p w14:paraId="3F16BC5B" w14:textId="77777777" w:rsidR="00C6343B" w:rsidRPr="00064185" w:rsidRDefault="00C6343B" w:rsidP="00EA61D8">
            <w:pPr>
              <w:rPr>
                <w:rFonts w:cs="Arial"/>
                <w:bCs/>
                <w:u w:val="single"/>
                <w:lang w:val="en-US"/>
              </w:rPr>
            </w:pPr>
            <w:r w:rsidRPr="00064185">
              <w:rPr>
                <w:rFonts w:cs="Arial"/>
                <w:bCs/>
                <w:u w:val="single"/>
                <w:lang w:val="en-US"/>
              </w:rPr>
              <w:t xml:space="preserve">Ants: </w:t>
            </w:r>
          </w:p>
          <w:p w14:paraId="7951A069" w14:textId="7EBD4F49" w:rsidR="00C6343B" w:rsidRPr="000E17AE" w:rsidRDefault="00C6343B" w:rsidP="00EA61D8">
            <w:pPr>
              <w:rPr>
                <w:rFonts w:cs="Arial"/>
                <w:bCs/>
                <w:lang w:val="en-US"/>
              </w:rPr>
            </w:pPr>
            <w:r w:rsidRPr="00064185">
              <w:rPr>
                <w:lang w:val="en-US"/>
              </w:rPr>
              <w:t xml:space="preserve">For killing ant nests, COM 116 02 I AL is sprayed on </w:t>
            </w:r>
            <w:r w:rsidRPr="00064185">
              <w:rPr>
                <w:rFonts w:cs="Arial"/>
                <w:bCs/>
                <w:lang w:val="en-US"/>
              </w:rPr>
              <w:t xml:space="preserve">ant </w:t>
            </w:r>
            <w:r w:rsidRPr="00064185" w:rsidDel="00340E39">
              <w:rPr>
                <w:lang w:val="en-US"/>
              </w:rPr>
              <w:t xml:space="preserve">routes </w:t>
            </w:r>
            <w:r w:rsidR="002A768E" w:rsidRPr="00064185">
              <w:rPr>
                <w:lang w:val="en-US"/>
              </w:rPr>
              <w:t>on</w:t>
            </w:r>
            <w:r w:rsidR="00074ABB" w:rsidRPr="00064185">
              <w:rPr>
                <w:lang w:val="en-US"/>
              </w:rPr>
              <w:t xml:space="preserve"> indoor hard surfaces</w:t>
            </w:r>
            <w:r w:rsidRPr="00064185">
              <w:rPr>
                <w:rFonts w:cs="Arial"/>
                <w:bCs/>
                <w:lang w:val="en-US"/>
              </w:rPr>
              <w:t xml:space="preserve">. </w:t>
            </w:r>
          </w:p>
          <w:p w14:paraId="4B83DD3F" w14:textId="77777777" w:rsidR="00C6343B" w:rsidRPr="00064185" w:rsidRDefault="00C6343B" w:rsidP="00EA61D8">
            <w:pPr>
              <w:rPr>
                <w:rFonts w:cs="Arial"/>
                <w:lang w:val="en-US"/>
              </w:rPr>
            </w:pPr>
          </w:p>
          <w:p w14:paraId="1CCB9288" w14:textId="20479F30" w:rsidR="00C6343B" w:rsidRPr="00064185" w:rsidRDefault="00C6343B" w:rsidP="00EA61D8">
            <w:pPr>
              <w:rPr>
                <w:rFonts w:cs="Arial"/>
                <w:bCs/>
                <w:u w:val="single"/>
                <w:lang w:val="en-US"/>
              </w:rPr>
            </w:pPr>
            <w:r w:rsidRPr="00064185">
              <w:rPr>
                <w:rFonts w:cs="Arial"/>
                <w:bCs/>
                <w:u w:val="single"/>
                <w:lang w:val="en-US"/>
              </w:rPr>
              <w:t>Silverfishes, woodlice</w:t>
            </w:r>
            <w:r w:rsidR="002A768E" w:rsidRPr="00064185">
              <w:rPr>
                <w:rFonts w:cs="Arial"/>
                <w:bCs/>
                <w:u w:val="single"/>
                <w:lang w:val="en-US"/>
              </w:rPr>
              <w:t xml:space="preserve"> and</w:t>
            </w:r>
            <w:r w:rsidRPr="00064185">
              <w:rPr>
                <w:rFonts w:cs="Arial"/>
                <w:bCs/>
                <w:u w:val="single"/>
                <w:lang w:val="en-US"/>
              </w:rPr>
              <w:t xml:space="preserve"> cockroaches: </w:t>
            </w:r>
          </w:p>
          <w:p w14:paraId="48C11A50" w14:textId="35F55307" w:rsidR="00C6343B" w:rsidRPr="00064185" w:rsidRDefault="00C6343B" w:rsidP="006255E9">
            <w:pPr>
              <w:rPr>
                <w:rFonts w:cs="Arial"/>
                <w:lang w:val="en-US"/>
              </w:rPr>
            </w:pPr>
            <w:r w:rsidRPr="00064185">
              <w:rPr>
                <w:lang w:val="en-US"/>
              </w:rPr>
              <w:t>Application is conducted on spots of ground areas (residual treatment) where target organisms have been observed</w:t>
            </w:r>
            <w:r w:rsidRPr="00064185">
              <w:rPr>
                <w:rFonts w:cs="Arial"/>
                <w:bCs/>
                <w:lang w:val="en-US"/>
              </w:rPr>
              <w:t>.</w:t>
            </w:r>
          </w:p>
        </w:tc>
      </w:tr>
      <w:tr w:rsidR="00064185" w:rsidRPr="00064185" w14:paraId="387F2346" w14:textId="77777777" w:rsidTr="00C6343B">
        <w:trPr>
          <w:cantSplit/>
        </w:trPr>
        <w:tc>
          <w:tcPr>
            <w:tcW w:w="131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7196AFD" w14:textId="77777777" w:rsidR="00C6343B" w:rsidRPr="00064185" w:rsidRDefault="00C6343B" w:rsidP="00EA61D8">
            <w:pPr>
              <w:spacing w:line="260" w:lineRule="atLeast"/>
              <w:rPr>
                <w:rFonts w:eastAsia="Calibri" w:cs="Arial"/>
                <w:bCs/>
                <w:lang w:val="en-US"/>
              </w:rPr>
            </w:pPr>
            <w:r w:rsidRPr="00064185">
              <w:rPr>
                <w:rFonts w:eastAsia="Calibri" w:cs="Arial"/>
                <w:bCs/>
              </w:rPr>
              <w:lastRenderedPageBreak/>
              <w:t>Application rate(s) and frequency</w:t>
            </w:r>
          </w:p>
        </w:tc>
        <w:tc>
          <w:tcPr>
            <w:tcW w:w="3684"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52A49A5" w14:textId="77777777" w:rsidR="00C6343B" w:rsidRPr="00064185" w:rsidRDefault="00C6343B" w:rsidP="00EA61D8">
            <w:pPr>
              <w:rPr>
                <w:rFonts w:cs="Arial"/>
                <w:b/>
                <w:bCs/>
                <w:lang w:val="en-US"/>
              </w:rPr>
            </w:pPr>
            <w:r w:rsidRPr="00064185">
              <w:rPr>
                <w:rFonts w:cs="Arial"/>
                <w:b/>
                <w:bCs/>
                <w:lang w:val="en-US"/>
              </w:rPr>
              <w:t>The application rate:</w:t>
            </w:r>
          </w:p>
          <w:p w14:paraId="225821B3" w14:textId="77777777" w:rsidR="00C6343B" w:rsidRPr="00064185" w:rsidRDefault="00C6343B" w:rsidP="00EA61D8">
            <w:pPr>
              <w:rPr>
                <w:lang w:val="en-US"/>
              </w:rPr>
            </w:pPr>
            <w:r w:rsidRPr="00064185">
              <w:rPr>
                <w:u w:val="single"/>
                <w:lang w:val="en-US"/>
              </w:rPr>
              <w:t>Ants:</w:t>
            </w:r>
            <w:r w:rsidRPr="00064185">
              <w:rPr>
                <w:lang w:val="en-US"/>
              </w:rPr>
              <w:t xml:space="preserve"> </w:t>
            </w:r>
          </w:p>
          <w:p w14:paraId="2A1192F1" w14:textId="77777777" w:rsidR="00C6343B" w:rsidRPr="00064185" w:rsidRDefault="00C6343B" w:rsidP="00EA61D8">
            <w:pPr>
              <w:ind w:left="389"/>
              <w:rPr>
                <w:rFonts w:cs="Arial"/>
                <w:bCs/>
                <w:lang w:val="en-US"/>
              </w:rPr>
            </w:pPr>
            <w:r w:rsidRPr="00064185">
              <w:rPr>
                <w:lang w:val="en-US"/>
              </w:rPr>
              <w:t xml:space="preserve">10 strokes for 1 m route correspond to 10 g product </w:t>
            </w:r>
            <w:r w:rsidRPr="00064185">
              <w:rPr>
                <w:rFonts w:cs="Arial"/>
                <w:bCs/>
                <w:lang w:val="en-US"/>
              </w:rPr>
              <w:t>(44.5 g/m²)</w:t>
            </w:r>
          </w:p>
          <w:p w14:paraId="7F3EE2E4" w14:textId="77777777" w:rsidR="00C6343B" w:rsidRPr="00064185" w:rsidRDefault="00C6343B" w:rsidP="00EA61D8">
            <w:pPr>
              <w:rPr>
                <w:rFonts w:cs="Arial"/>
                <w:bCs/>
                <w:lang w:val="en-US"/>
              </w:rPr>
            </w:pPr>
          </w:p>
          <w:p w14:paraId="2A933FA3" w14:textId="74F99925" w:rsidR="00C6343B" w:rsidRPr="00064185" w:rsidRDefault="00C6343B" w:rsidP="00EA61D8">
            <w:pPr>
              <w:rPr>
                <w:u w:val="single"/>
                <w:lang w:val="en-US"/>
              </w:rPr>
            </w:pPr>
            <w:r w:rsidRPr="00064185">
              <w:rPr>
                <w:u w:val="single"/>
                <w:lang w:val="en-US"/>
              </w:rPr>
              <w:t>Silverfishes, Wood</w:t>
            </w:r>
            <w:r w:rsidR="002A768E" w:rsidRPr="00064185">
              <w:rPr>
                <w:u w:val="single"/>
                <w:lang w:val="en-US"/>
              </w:rPr>
              <w:t>lice and</w:t>
            </w:r>
            <w:r w:rsidRPr="00064185">
              <w:rPr>
                <w:u w:val="single"/>
                <w:lang w:val="en-US"/>
              </w:rPr>
              <w:t xml:space="preserve"> Cockroaches:</w:t>
            </w:r>
            <w:r w:rsidRPr="00064185">
              <w:rPr>
                <w:lang w:val="en-US"/>
              </w:rPr>
              <w:t xml:space="preserve"> </w:t>
            </w:r>
          </w:p>
          <w:p w14:paraId="6DFD1EF6" w14:textId="1F7EF46F" w:rsidR="00C6343B" w:rsidRPr="00064185" w:rsidRDefault="00982822" w:rsidP="00EA61D8">
            <w:pPr>
              <w:ind w:left="389"/>
              <w:rPr>
                <w:rFonts w:cs="Arial"/>
                <w:bCs/>
                <w:u w:val="single"/>
                <w:lang w:val="en-US"/>
              </w:rPr>
            </w:pPr>
            <w:r w:rsidRPr="00064185">
              <w:rPr>
                <w:u w:val="single"/>
                <w:lang w:val="en-US"/>
              </w:rPr>
              <w:t>R</w:t>
            </w:r>
            <w:r w:rsidR="00C6343B" w:rsidRPr="00064185">
              <w:rPr>
                <w:u w:val="single"/>
                <w:lang w:val="en-US"/>
              </w:rPr>
              <w:t>esidual treatment</w:t>
            </w:r>
            <w:r w:rsidR="00C6343B" w:rsidRPr="00064185">
              <w:rPr>
                <w:rFonts w:cs="Arial"/>
                <w:bCs/>
                <w:u w:val="single"/>
                <w:lang w:val="en-US"/>
              </w:rPr>
              <w:t xml:space="preserve">: </w:t>
            </w:r>
          </w:p>
          <w:p w14:paraId="2299BFE6" w14:textId="267505AC" w:rsidR="00C6343B" w:rsidRPr="00064185" w:rsidRDefault="00C6343B" w:rsidP="00EA61D8">
            <w:pPr>
              <w:ind w:left="389"/>
            </w:pPr>
            <w:r w:rsidRPr="00064185">
              <w:rPr>
                <w:rFonts w:cs="Arial"/>
                <w:bCs/>
                <w:lang w:val="en-US"/>
              </w:rPr>
              <w:t>T</w:t>
            </w:r>
            <w:r w:rsidRPr="00064185">
              <w:rPr>
                <w:rFonts w:cs="Arial"/>
                <w:bCs/>
              </w:rPr>
              <w:t>reat</w:t>
            </w:r>
            <w:r w:rsidRPr="00064185">
              <w:t xml:space="preserve"> surfaces from a distance of ca. 30 cm with the trigger sprayer applying spotwise 5 to 6 strokes (100 g/m²). Apply only where insects are expected running over. </w:t>
            </w:r>
          </w:p>
          <w:p w14:paraId="5ECCEF45" w14:textId="77777777" w:rsidR="00C6343B" w:rsidRPr="00064185" w:rsidRDefault="00C6343B" w:rsidP="00EA61D8">
            <w:pPr>
              <w:rPr>
                <w:b/>
                <w:lang w:val="en-US"/>
              </w:rPr>
            </w:pPr>
          </w:p>
          <w:p w14:paraId="77042026" w14:textId="77777777" w:rsidR="00C6343B" w:rsidRPr="00064185" w:rsidRDefault="00C6343B" w:rsidP="00EA61D8">
            <w:pPr>
              <w:rPr>
                <w:rFonts w:cs="Arial"/>
                <w:b/>
                <w:bCs/>
                <w:lang w:val="en-US"/>
              </w:rPr>
            </w:pPr>
            <w:r w:rsidRPr="00064185">
              <w:rPr>
                <w:rFonts w:cs="Arial"/>
                <w:b/>
                <w:bCs/>
                <w:lang w:val="en-US"/>
              </w:rPr>
              <w:t>Number and timing of application:</w:t>
            </w:r>
          </w:p>
          <w:p w14:paraId="74525C32" w14:textId="77777777" w:rsidR="00C6343B" w:rsidRPr="00064185" w:rsidRDefault="00C6343B" w:rsidP="00EA61D8">
            <w:pPr>
              <w:pStyle w:val="Column3"/>
              <w:ind w:left="0"/>
              <w:rPr>
                <w:rFonts w:ascii="Verdana" w:eastAsia="Times New Roman" w:hAnsi="Verdana" w:cs="Arial"/>
                <w:bCs/>
                <w:sz w:val="20"/>
                <w:szCs w:val="20"/>
                <w:u w:val="single"/>
                <w:lang w:val="en-US" w:eastAsia="de-DE"/>
              </w:rPr>
            </w:pPr>
            <w:r w:rsidRPr="00064185">
              <w:rPr>
                <w:rFonts w:ascii="Verdana" w:eastAsia="Times New Roman" w:hAnsi="Verdana" w:cs="Arial"/>
                <w:bCs/>
                <w:sz w:val="20"/>
                <w:szCs w:val="20"/>
                <w:u w:val="single"/>
                <w:lang w:val="en-US" w:eastAsia="de-DE"/>
              </w:rPr>
              <w:t xml:space="preserve">Against ants: </w:t>
            </w:r>
          </w:p>
          <w:p w14:paraId="16A7D6E3" w14:textId="77777777" w:rsidR="00C6343B" w:rsidRPr="00064185" w:rsidRDefault="00C6343B" w:rsidP="00EA61D8">
            <w:pPr>
              <w:pStyle w:val="Column3"/>
              <w:ind w:left="0"/>
              <w:rPr>
                <w:rFonts w:ascii="Verdana" w:eastAsia="Times New Roman" w:hAnsi="Verdana" w:cs="Arial"/>
                <w:bCs/>
                <w:sz w:val="20"/>
                <w:szCs w:val="20"/>
                <w:lang w:val="en-US" w:eastAsia="de-DE"/>
              </w:rPr>
            </w:pPr>
            <w:r w:rsidRPr="00064185">
              <w:rPr>
                <w:rFonts w:ascii="Verdana" w:eastAsia="Times New Roman" w:hAnsi="Verdana" w:cs="Arial"/>
                <w:bCs/>
                <w:sz w:val="20"/>
                <w:szCs w:val="20"/>
                <w:lang w:val="en-US" w:eastAsia="de-DE"/>
              </w:rPr>
              <w:t xml:space="preserve">Maximum </w:t>
            </w:r>
            <w:r w:rsidRPr="00064185">
              <w:rPr>
                <w:rFonts w:ascii="Verdana" w:hAnsi="Verdana"/>
                <w:sz w:val="20"/>
                <w:szCs w:val="20"/>
                <w:lang w:val="en-US" w:eastAsia="de-AT"/>
              </w:rPr>
              <w:t xml:space="preserve">once per month during season of ant activity. </w:t>
            </w:r>
          </w:p>
          <w:p w14:paraId="3FEB8B85" w14:textId="77777777" w:rsidR="00C6343B" w:rsidRPr="00064185" w:rsidRDefault="00C6343B" w:rsidP="00EA61D8">
            <w:pPr>
              <w:pStyle w:val="Column3"/>
              <w:ind w:left="0"/>
              <w:rPr>
                <w:rFonts w:ascii="Verdana" w:eastAsia="Times New Roman" w:hAnsi="Verdana" w:cs="Arial"/>
                <w:bCs/>
                <w:sz w:val="20"/>
                <w:szCs w:val="20"/>
                <w:lang w:val="en-US" w:eastAsia="de-DE"/>
              </w:rPr>
            </w:pPr>
          </w:p>
          <w:p w14:paraId="4A544AFA" w14:textId="11EA22CF" w:rsidR="00C6343B" w:rsidRPr="00064185" w:rsidRDefault="00C6343B" w:rsidP="00EA61D8">
            <w:pPr>
              <w:pStyle w:val="Column3"/>
              <w:ind w:left="0"/>
              <w:rPr>
                <w:rFonts w:ascii="Verdana" w:eastAsia="Times New Roman" w:hAnsi="Verdana"/>
                <w:sz w:val="20"/>
                <w:u w:val="single"/>
                <w:lang w:val="en-US" w:eastAsia="de-DE"/>
              </w:rPr>
            </w:pPr>
            <w:r w:rsidRPr="00064185">
              <w:rPr>
                <w:rFonts w:ascii="Verdana" w:eastAsia="Times New Roman" w:hAnsi="Verdana"/>
                <w:sz w:val="20"/>
                <w:u w:val="single"/>
                <w:lang w:val="en-US" w:eastAsia="de-DE"/>
              </w:rPr>
              <w:t xml:space="preserve">Against </w:t>
            </w:r>
            <w:r w:rsidRPr="00064185">
              <w:rPr>
                <w:rFonts w:ascii="Verdana" w:eastAsia="Times New Roman" w:hAnsi="Verdana" w:cs="Arial"/>
                <w:bCs/>
                <w:sz w:val="20"/>
                <w:szCs w:val="20"/>
                <w:u w:val="single"/>
                <w:lang w:val="en-US" w:eastAsia="de-DE"/>
              </w:rPr>
              <w:t>silverfish</w:t>
            </w:r>
            <w:r w:rsidR="002A768E" w:rsidRPr="00064185">
              <w:rPr>
                <w:rFonts w:ascii="Verdana" w:eastAsia="Times New Roman" w:hAnsi="Verdana" w:cs="Arial"/>
                <w:bCs/>
                <w:sz w:val="20"/>
                <w:szCs w:val="20"/>
                <w:u w:val="single"/>
                <w:lang w:val="en-US" w:eastAsia="de-DE"/>
              </w:rPr>
              <w:t>es</w:t>
            </w:r>
            <w:r w:rsidR="00F27451" w:rsidRPr="00064185">
              <w:rPr>
                <w:rFonts w:ascii="Verdana" w:eastAsia="Times New Roman" w:hAnsi="Verdana" w:cs="Arial"/>
                <w:bCs/>
                <w:sz w:val="20"/>
                <w:szCs w:val="20"/>
                <w:u w:val="single"/>
                <w:lang w:val="en-US" w:eastAsia="de-DE"/>
              </w:rPr>
              <w:t>:</w:t>
            </w:r>
          </w:p>
          <w:p w14:paraId="1ECD349C" w14:textId="44C8202B" w:rsidR="00C6343B" w:rsidRPr="00064185" w:rsidRDefault="00C6343B" w:rsidP="00EA61D8">
            <w:pPr>
              <w:pStyle w:val="Column3"/>
              <w:ind w:left="0"/>
              <w:rPr>
                <w:rFonts w:ascii="Verdana" w:eastAsia="Times New Roman" w:hAnsi="Verdana" w:cs="Arial"/>
                <w:bCs/>
                <w:sz w:val="20"/>
                <w:szCs w:val="20"/>
                <w:lang w:val="en-US" w:eastAsia="de-DE"/>
              </w:rPr>
            </w:pPr>
            <w:r w:rsidRPr="00064185">
              <w:rPr>
                <w:rFonts w:ascii="Verdana" w:eastAsia="Times New Roman" w:hAnsi="Verdana" w:cs="Arial"/>
                <w:bCs/>
                <w:sz w:val="20"/>
                <w:szCs w:val="20"/>
                <w:lang w:val="en-US" w:eastAsia="de-DE"/>
              </w:rPr>
              <w:t xml:space="preserve">Every 2 weeks, if pest occurs again. </w:t>
            </w:r>
          </w:p>
          <w:p w14:paraId="41680BB4" w14:textId="77777777" w:rsidR="00C6343B" w:rsidRPr="00064185" w:rsidRDefault="00C6343B" w:rsidP="00EA61D8">
            <w:pPr>
              <w:pStyle w:val="Column3"/>
              <w:ind w:left="0"/>
              <w:rPr>
                <w:rFonts w:ascii="Verdana" w:eastAsia="Times New Roman" w:hAnsi="Verdana" w:cs="Arial"/>
                <w:bCs/>
                <w:sz w:val="20"/>
                <w:szCs w:val="20"/>
                <w:lang w:val="en-US" w:eastAsia="de-DE"/>
              </w:rPr>
            </w:pPr>
          </w:p>
          <w:p w14:paraId="4F95D9B9" w14:textId="77777777" w:rsidR="00C6343B" w:rsidRPr="00064185" w:rsidRDefault="00C6343B" w:rsidP="00EA61D8">
            <w:pPr>
              <w:pStyle w:val="Column3"/>
              <w:ind w:left="0"/>
              <w:rPr>
                <w:rFonts w:ascii="Verdana" w:eastAsia="Times New Roman" w:hAnsi="Verdana" w:cs="Arial"/>
                <w:bCs/>
                <w:sz w:val="20"/>
                <w:szCs w:val="20"/>
                <w:u w:val="single"/>
                <w:lang w:val="en-US" w:eastAsia="de-DE"/>
              </w:rPr>
            </w:pPr>
            <w:r w:rsidRPr="00064185">
              <w:rPr>
                <w:rFonts w:ascii="Verdana" w:eastAsia="Times New Roman" w:hAnsi="Verdana" w:cs="Arial"/>
                <w:bCs/>
                <w:sz w:val="20"/>
                <w:szCs w:val="20"/>
                <w:u w:val="single"/>
                <w:lang w:val="en-US" w:eastAsia="de-DE"/>
              </w:rPr>
              <w:t xml:space="preserve">Against woodlice: </w:t>
            </w:r>
          </w:p>
          <w:p w14:paraId="42CE662C" w14:textId="4EB6409E" w:rsidR="00C6343B" w:rsidRPr="00064185" w:rsidRDefault="00C6343B" w:rsidP="00EA61D8">
            <w:pPr>
              <w:pStyle w:val="Column3"/>
              <w:ind w:left="0"/>
              <w:rPr>
                <w:rFonts w:ascii="Verdana" w:eastAsia="Times New Roman" w:hAnsi="Verdana" w:cs="Arial"/>
                <w:bCs/>
                <w:sz w:val="20"/>
                <w:szCs w:val="20"/>
                <w:lang w:val="en-US" w:eastAsia="de-DE"/>
              </w:rPr>
            </w:pPr>
            <w:r w:rsidRPr="00064185">
              <w:rPr>
                <w:rFonts w:ascii="Verdana" w:eastAsia="Times New Roman" w:hAnsi="Verdana" w:cs="Arial"/>
                <w:bCs/>
                <w:sz w:val="20"/>
                <w:szCs w:val="20"/>
                <w:lang w:val="en-US" w:eastAsia="de-DE"/>
              </w:rPr>
              <w:t>Every 26 weeks, if pest occurs again.</w:t>
            </w:r>
          </w:p>
          <w:p w14:paraId="03328945" w14:textId="77777777" w:rsidR="00C6343B" w:rsidRPr="00064185" w:rsidRDefault="00C6343B" w:rsidP="00EA61D8">
            <w:pPr>
              <w:pStyle w:val="Column3"/>
              <w:ind w:left="0"/>
              <w:rPr>
                <w:rFonts w:ascii="Verdana" w:eastAsia="Times New Roman" w:hAnsi="Verdana" w:cs="Arial"/>
                <w:bCs/>
                <w:sz w:val="20"/>
                <w:szCs w:val="20"/>
                <w:lang w:val="en-US" w:eastAsia="de-DE"/>
              </w:rPr>
            </w:pPr>
          </w:p>
          <w:p w14:paraId="44C8C307" w14:textId="77777777" w:rsidR="00C6343B" w:rsidRPr="00064185" w:rsidRDefault="00C6343B" w:rsidP="00EA61D8">
            <w:pPr>
              <w:pStyle w:val="Column3"/>
              <w:ind w:left="0"/>
              <w:rPr>
                <w:rFonts w:ascii="Verdana" w:eastAsia="Times New Roman" w:hAnsi="Verdana" w:cs="Arial"/>
                <w:bCs/>
                <w:sz w:val="20"/>
                <w:szCs w:val="20"/>
                <w:u w:val="single"/>
                <w:lang w:val="en-US" w:eastAsia="de-DE"/>
              </w:rPr>
            </w:pPr>
            <w:r w:rsidRPr="00064185">
              <w:rPr>
                <w:rFonts w:ascii="Verdana" w:eastAsia="Times New Roman" w:hAnsi="Verdana" w:cs="Arial"/>
                <w:bCs/>
                <w:sz w:val="20"/>
                <w:szCs w:val="20"/>
                <w:u w:val="single"/>
                <w:lang w:val="en-US" w:eastAsia="de-DE"/>
              </w:rPr>
              <w:t xml:space="preserve">Against cockroaches: </w:t>
            </w:r>
          </w:p>
          <w:p w14:paraId="6C2CBECE" w14:textId="3A5ED218" w:rsidR="00FA191B" w:rsidRPr="00064185" w:rsidRDefault="00C6343B" w:rsidP="00982822">
            <w:pPr>
              <w:pStyle w:val="Column3"/>
              <w:ind w:left="0"/>
              <w:rPr>
                <w:rFonts w:ascii="Verdana" w:eastAsia="Times New Roman" w:hAnsi="Verdana" w:cs="Arial"/>
                <w:bCs/>
                <w:sz w:val="20"/>
                <w:szCs w:val="20"/>
                <w:lang w:val="en-US" w:eastAsia="de-DE"/>
              </w:rPr>
            </w:pPr>
            <w:r w:rsidRPr="00064185">
              <w:rPr>
                <w:rFonts w:ascii="Verdana" w:eastAsia="Times New Roman" w:hAnsi="Verdana" w:cs="Arial"/>
                <w:bCs/>
                <w:sz w:val="20"/>
                <w:szCs w:val="20"/>
                <w:lang w:val="en-US" w:eastAsia="de-DE"/>
              </w:rPr>
              <w:t>Every week (porous ground e.g.vinyl)</w:t>
            </w:r>
            <w:r w:rsidR="00982822" w:rsidRPr="00064185">
              <w:rPr>
                <w:rFonts w:ascii="Verdana" w:eastAsia="Times New Roman" w:hAnsi="Verdana" w:cs="Arial"/>
                <w:bCs/>
                <w:sz w:val="20"/>
                <w:szCs w:val="20"/>
                <w:lang w:val="en-US" w:eastAsia="de-DE"/>
              </w:rPr>
              <w:t>;</w:t>
            </w:r>
            <w:r w:rsidRPr="00064185">
              <w:rPr>
                <w:rFonts w:ascii="Verdana" w:eastAsia="Times New Roman" w:hAnsi="Verdana" w:cs="Arial"/>
                <w:bCs/>
                <w:sz w:val="20"/>
                <w:szCs w:val="20"/>
                <w:lang w:val="en-US" w:eastAsia="de-DE"/>
              </w:rPr>
              <w:t xml:space="preserve"> </w:t>
            </w:r>
          </w:p>
          <w:p w14:paraId="64EECEC4" w14:textId="703EE49D" w:rsidR="00C6343B" w:rsidRPr="00064185" w:rsidRDefault="00C6343B" w:rsidP="00982822">
            <w:pPr>
              <w:pStyle w:val="Column3"/>
              <w:ind w:left="0"/>
              <w:rPr>
                <w:rFonts w:cs="Arial"/>
                <w:lang w:val="en-US"/>
              </w:rPr>
            </w:pPr>
            <w:proofErr w:type="gramStart"/>
            <w:r w:rsidRPr="00064185" w:rsidDel="00BD3A05">
              <w:rPr>
                <w:rFonts w:ascii="Verdana" w:eastAsia="Times New Roman" w:hAnsi="Verdana" w:cs="Arial"/>
                <w:bCs/>
                <w:sz w:val="20"/>
                <w:szCs w:val="20"/>
                <w:lang w:val="en-US" w:eastAsia="de-DE"/>
              </w:rPr>
              <w:t>every</w:t>
            </w:r>
            <w:proofErr w:type="gramEnd"/>
            <w:r w:rsidRPr="00064185" w:rsidDel="00BD3A05">
              <w:rPr>
                <w:rFonts w:ascii="Verdana" w:eastAsia="Times New Roman" w:hAnsi="Verdana" w:cs="Arial"/>
                <w:bCs/>
                <w:sz w:val="20"/>
                <w:szCs w:val="20"/>
                <w:lang w:val="en-US" w:eastAsia="de-DE"/>
              </w:rPr>
              <w:t xml:space="preserve"> 24 weeks</w:t>
            </w:r>
            <w:r w:rsidR="00982822" w:rsidRPr="00064185">
              <w:rPr>
                <w:rFonts w:ascii="Verdana" w:eastAsia="Times New Roman" w:hAnsi="Verdana" w:cs="Arial"/>
                <w:bCs/>
                <w:sz w:val="20"/>
                <w:szCs w:val="20"/>
                <w:lang w:val="en-US" w:eastAsia="de-DE"/>
              </w:rPr>
              <w:t xml:space="preserve"> </w:t>
            </w:r>
            <w:r w:rsidRPr="00064185">
              <w:rPr>
                <w:rFonts w:ascii="Verdana" w:eastAsia="Times New Roman" w:hAnsi="Verdana" w:cs="Arial"/>
                <w:bCs/>
                <w:sz w:val="20"/>
                <w:szCs w:val="20"/>
                <w:lang w:val="en-US" w:eastAsia="de-DE"/>
              </w:rPr>
              <w:t>(non-porous ground e.g. glazed tiles), if pest occurs again.</w:t>
            </w:r>
          </w:p>
        </w:tc>
      </w:tr>
      <w:tr w:rsidR="00064185" w:rsidRPr="00064185" w14:paraId="18F6B591" w14:textId="77777777" w:rsidTr="00C6343B">
        <w:trPr>
          <w:cantSplit/>
        </w:trPr>
        <w:tc>
          <w:tcPr>
            <w:tcW w:w="1316"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07907C1" w14:textId="77777777" w:rsidR="00C6343B" w:rsidRPr="00064185" w:rsidRDefault="00C6343B" w:rsidP="00EA61D8">
            <w:pPr>
              <w:spacing w:line="260" w:lineRule="atLeast"/>
              <w:rPr>
                <w:rFonts w:eastAsia="Calibri" w:cs="Arial"/>
                <w:bCs/>
                <w:lang w:val="de-DE"/>
              </w:rPr>
            </w:pPr>
            <w:r w:rsidRPr="00064185">
              <w:rPr>
                <w:rFonts w:eastAsia="Calibri" w:cs="Arial"/>
                <w:bCs/>
              </w:rPr>
              <w:t>Category(ies) of users</w:t>
            </w:r>
          </w:p>
        </w:tc>
        <w:tc>
          <w:tcPr>
            <w:tcW w:w="3684" w:type="pct"/>
            <w:tcBorders>
              <w:top w:val="nil"/>
              <w:left w:val="nil"/>
              <w:bottom w:val="single" w:sz="4" w:space="0" w:color="000000"/>
              <w:right w:val="single" w:sz="4" w:space="0" w:color="000000"/>
            </w:tcBorders>
            <w:tcMar>
              <w:top w:w="40" w:type="dxa"/>
              <w:left w:w="40" w:type="dxa"/>
              <w:bottom w:w="40" w:type="dxa"/>
              <w:right w:w="40" w:type="dxa"/>
            </w:tcMar>
          </w:tcPr>
          <w:p w14:paraId="3E2B29FD" w14:textId="77777777" w:rsidR="00C6343B" w:rsidRPr="00064185" w:rsidRDefault="00C6343B" w:rsidP="00EA61D8">
            <w:pPr>
              <w:spacing w:line="260" w:lineRule="atLeast"/>
              <w:rPr>
                <w:rFonts w:eastAsia="Calibri" w:cs="Arial"/>
                <w:bCs/>
                <w:lang w:val="de-DE"/>
              </w:rPr>
            </w:pPr>
            <w:r w:rsidRPr="00064185">
              <w:rPr>
                <w:rFonts w:cs="Arial"/>
                <w:bCs/>
              </w:rPr>
              <w:t>Non-professionals</w:t>
            </w:r>
          </w:p>
        </w:tc>
      </w:tr>
      <w:tr w:rsidR="00C6343B" w:rsidRPr="00064185" w14:paraId="3923634C" w14:textId="77777777" w:rsidTr="00C6343B">
        <w:trPr>
          <w:cantSplit/>
        </w:trPr>
        <w:tc>
          <w:tcPr>
            <w:tcW w:w="1316"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BA034C5" w14:textId="77777777" w:rsidR="00C6343B" w:rsidRPr="00064185" w:rsidRDefault="00C6343B" w:rsidP="00EA61D8">
            <w:pPr>
              <w:spacing w:line="260" w:lineRule="atLeast"/>
              <w:rPr>
                <w:rFonts w:eastAsia="Calibri" w:cs="Arial"/>
                <w:bCs/>
                <w:lang w:val="en-US"/>
              </w:rPr>
            </w:pPr>
            <w:r w:rsidRPr="00064185">
              <w:rPr>
                <w:rFonts w:eastAsia="Calibri" w:cs="Arial"/>
                <w:bCs/>
              </w:rPr>
              <w:t>Pack sizes and packaging material</w:t>
            </w:r>
          </w:p>
        </w:tc>
        <w:tc>
          <w:tcPr>
            <w:tcW w:w="3684" w:type="pct"/>
            <w:tcBorders>
              <w:top w:val="nil"/>
              <w:left w:val="nil"/>
              <w:bottom w:val="single" w:sz="4" w:space="0" w:color="000000"/>
              <w:right w:val="single" w:sz="4" w:space="0" w:color="000000"/>
            </w:tcBorders>
            <w:tcMar>
              <w:top w:w="40" w:type="dxa"/>
              <w:left w:w="40" w:type="dxa"/>
              <w:bottom w:w="40" w:type="dxa"/>
              <w:right w:w="40" w:type="dxa"/>
            </w:tcMar>
          </w:tcPr>
          <w:p w14:paraId="5C155324" w14:textId="77777777" w:rsidR="00C6343B" w:rsidRPr="00064185" w:rsidRDefault="00C6343B" w:rsidP="00EA61D8">
            <w:pPr>
              <w:spacing w:line="260" w:lineRule="atLeast"/>
              <w:rPr>
                <w:rFonts w:eastAsia="Calibri" w:cs="Arial"/>
                <w:bCs/>
              </w:rPr>
            </w:pPr>
            <w:r w:rsidRPr="00064185">
              <w:rPr>
                <w:rFonts w:cs="Arial"/>
              </w:rPr>
              <w:t>Please see the relevant section.</w:t>
            </w:r>
          </w:p>
        </w:tc>
      </w:tr>
    </w:tbl>
    <w:p w14:paraId="2D54EFCB" w14:textId="77777777" w:rsidR="00C6343B" w:rsidRPr="00064185" w:rsidRDefault="00C6343B" w:rsidP="00EA61D8">
      <w:pPr>
        <w:pStyle w:val="Absatz"/>
        <w:rPr>
          <w:lang w:eastAsia="en-US"/>
        </w:rPr>
      </w:pPr>
    </w:p>
    <w:p w14:paraId="67A81DE2" w14:textId="77777777" w:rsidR="00C6343B" w:rsidRPr="00064185" w:rsidRDefault="00C6343B" w:rsidP="00EA61D8">
      <w:pPr>
        <w:pStyle w:val="Absatz"/>
        <w:rPr>
          <w:lang w:eastAsia="en-US"/>
        </w:rPr>
      </w:pPr>
    </w:p>
    <w:p w14:paraId="05B4C9D1" w14:textId="77777777" w:rsidR="00C6343B" w:rsidRPr="00064185" w:rsidRDefault="00C6343B" w:rsidP="00EA61D8">
      <w:pPr>
        <w:pStyle w:val="Absatz"/>
        <w:rPr>
          <w:lang w:eastAsia="en-US"/>
        </w:rPr>
      </w:pPr>
    </w:p>
    <w:p w14:paraId="153D141B" w14:textId="77777777" w:rsidR="00061409" w:rsidRPr="00064185" w:rsidRDefault="00061409" w:rsidP="00EA61D8">
      <w:pPr>
        <w:pStyle w:val="Absatz"/>
        <w:rPr>
          <w:lang w:eastAsia="en-US"/>
        </w:rPr>
      </w:pPr>
    </w:p>
    <w:p w14:paraId="7E785B66" w14:textId="77777777" w:rsidR="00C6343B" w:rsidRPr="00064185" w:rsidRDefault="00C6343B" w:rsidP="00EA61D8">
      <w:pPr>
        <w:spacing w:line="260" w:lineRule="atLeast"/>
        <w:rPr>
          <w:rFonts w:eastAsia="Calibri" w:cs="Arial"/>
          <w:b/>
        </w:rPr>
      </w:pPr>
      <w:r w:rsidRPr="00064185">
        <w:rPr>
          <w:rFonts w:eastAsia="Calibri" w:cs="Arial"/>
          <w:b/>
        </w:rPr>
        <w:t>Use 2 – Insecticide – garden ants – non-professionals – spraying - outdoor</w:t>
      </w:r>
    </w:p>
    <w:tbl>
      <w:tblPr>
        <w:tblW w:w="5000" w:type="pct"/>
        <w:tblCellMar>
          <w:left w:w="0" w:type="dxa"/>
          <w:right w:w="0" w:type="dxa"/>
        </w:tblCellMar>
        <w:tblLook w:val="04A0" w:firstRow="1" w:lastRow="0" w:firstColumn="1" w:lastColumn="0" w:noHBand="0" w:noVBand="1"/>
      </w:tblPr>
      <w:tblGrid>
        <w:gridCol w:w="2788"/>
        <w:gridCol w:w="6506"/>
      </w:tblGrid>
      <w:tr w:rsidR="00064185" w:rsidRPr="00064185" w14:paraId="7E2BD2C2" w14:textId="77777777" w:rsidTr="00C6343B">
        <w:trPr>
          <w:cantSplit/>
        </w:trPr>
        <w:tc>
          <w:tcPr>
            <w:tcW w:w="1500" w:type="pct"/>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hideMark/>
          </w:tcPr>
          <w:p w14:paraId="6A5743A6" w14:textId="77777777" w:rsidR="00C6343B" w:rsidRPr="00064185" w:rsidRDefault="00C6343B" w:rsidP="00EA61D8">
            <w:pPr>
              <w:spacing w:line="260" w:lineRule="atLeast"/>
              <w:rPr>
                <w:rFonts w:eastAsia="Calibri" w:cs="Arial"/>
                <w:bCs/>
                <w:lang w:val="de-DE"/>
              </w:rPr>
            </w:pPr>
            <w:r w:rsidRPr="00064185">
              <w:rPr>
                <w:rFonts w:eastAsia="Calibri" w:cs="Arial"/>
                <w:bCs/>
              </w:rPr>
              <w:t>Product Type</w:t>
            </w:r>
          </w:p>
        </w:tc>
        <w:tc>
          <w:tcPr>
            <w:tcW w:w="3500" w:type="pct"/>
            <w:tcBorders>
              <w:top w:val="single" w:sz="4" w:space="0" w:color="000000"/>
              <w:left w:val="nil"/>
              <w:bottom w:val="single" w:sz="4" w:space="0" w:color="000000"/>
              <w:right w:val="single" w:sz="4" w:space="0" w:color="000000"/>
            </w:tcBorders>
            <w:shd w:val="clear" w:color="auto" w:fill="FFFFCC"/>
            <w:tcMar>
              <w:top w:w="40" w:type="dxa"/>
              <w:left w:w="40" w:type="dxa"/>
              <w:bottom w:w="40" w:type="dxa"/>
              <w:right w:w="40" w:type="dxa"/>
            </w:tcMar>
          </w:tcPr>
          <w:p w14:paraId="30CB3137" w14:textId="77777777" w:rsidR="00C6343B" w:rsidRPr="00064185" w:rsidRDefault="00C6343B" w:rsidP="00EA61D8">
            <w:pPr>
              <w:spacing w:line="260" w:lineRule="atLeast"/>
              <w:rPr>
                <w:rFonts w:eastAsia="Calibri" w:cs="Arial"/>
                <w:bCs/>
              </w:rPr>
            </w:pPr>
            <w:r w:rsidRPr="00064185">
              <w:rPr>
                <w:rFonts w:eastAsia="Calibri" w:cs="Arial"/>
                <w:bCs/>
              </w:rPr>
              <w:t>PT 18 Insecticides, acaricides and products to control other arthropods (Pest control)</w:t>
            </w:r>
          </w:p>
        </w:tc>
      </w:tr>
      <w:tr w:rsidR="00064185" w:rsidRPr="00064185" w14:paraId="6E0E22C7" w14:textId="77777777" w:rsidTr="00C6343B">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2415D20" w14:textId="77777777" w:rsidR="00C6343B" w:rsidRPr="00064185" w:rsidRDefault="00C6343B" w:rsidP="00EA61D8">
            <w:pPr>
              <w:spacing w:line="260" w:lineRule="atLeast"/>
              <w:rPr>
                <w:rFonts w:eastAsia="Calibri" w:cs="Arial"/>
                <w:bCs/>
                <w:lang w:val="en-US"/>
              </w:rPr>
            </w:pPr>
            <w:r w:rsidRPr="00064185">
              <w:rPr>
                <w:rFonts w:eastAsia="Calibri" w:cs="Arial"/>
                <w:bCs/>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509E902E" w14:textId="77777777" w:rsidR="00C6343B" w:rsidRPr="00064185" w:rsidRDefault="00C6343B" w:rsidP="00EA61D8">
            <w:pPr>
              <w:spacing w:line="260" w:lineRule="atLeast"/>
              <w:rPr>
                <w:rFonts w:eastAsia="Calibri" w:cs="Arial"/>
                <w:bCs/>
              </w:rPr>
            </w:pPr>
            <w:r w:rsidRPr="00064185">
              <w:rPr>
                <w:rFonts w:eastAsia="Calibri" w:cs="Arial"/>
                <w:bCs/>
              </w:rPr>
              <w:t>Insecticide</w:t>
            </w:r>
          </w:p>
        </w:tc>
      </w:tr>
      <w:tr w:rsidR="00064185" w:rsidRPr="00064185" w14:paraId="1FBF8A48" w14:textId="77777777" w:rsidTr="00C6343B">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F5925FA" w14:textId="77777777" w:rsidR="00C6343B" w:rsidRPr="00064185" w:rsidRDefault="00C6343B" w:rsidP="00EA61D8">
            <w:pPr>
              <w:spacing w:line="260" w:lineRule="atLeast"/>
              <w:rPr>
                <w:rFonts w:eastAsia="Calibri" w:cs="Arial"/>
                <w:bCs/>
                <w:lang w:val="en-US"/>
              </w:rPr>
            </w:pPr>
            <w:r w:rsidRPr="00064185">
              <w:rPr>
                <w:rFonts w:eastAsia="Calibri" w:cs="Arial"/>
                <w:bCs/>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0A12C110" w14:textId="37D53E04" w:rsidR="00C6343B" w:rsidRPr="00064185" w:rsidRDefault="00C6343B" w:rsidP="00EA61D8">
            <w:pPr>
              <w:rPr>
                <w:rFonts w:cs="Arial"/>
                <w:bCs/>
                <w:lang w:val="en-US"/>
              </w:rPr>
            </w:pPr>
            <w:r w:rsidRPr="00064185">
              <w:rPr>
                <w:rFonts w:cs="Arial"/>
                <w:bCs/>
                <w:lang w:val="en-US"/>
              </w:rPr>
              <w:t xml:space="preserve">Scientific name: Formicinae: </w:t>
            </w:r>
            <w:r w:rsidRPr="00064185">
              <w:rPr>
                <w:rFonts w:cs="Arial"/>
                <w:bCs/>
                <w:i/>
                <w:lang w:val="en-US"/>
              </w:rPr>
              <w:t xml:space="preserve">Lasius </w:t>
            </w:r>
            <w:r w:rsidR="004541AD" w:rsidRPr="00064185">
              <w:rPr>
                <w:rFonts w:cs="Arial"/>
                <w:bCs/>
                <w:i/>
                <w:lang w:val="en-US"/>
              </w:rPr>
              <w:t>sp.</w:t>
            </w:r>
          </w:p>
          <w:p w14:paraId="0C85431B" w14:textId="75DD43AB" w:rsidR="00C6343B" w:rsidRPr="00064185" w:rsidRDefault="00C6343B" w:rsidP="00EA61D8">
            <w:pPr>
              <w:rPr>
                <w:rFonts w:cs="Arial"/>
                <w:bCs/>
                <w:lang w:val="en-US"/>
              </w:rPr>
            </w:pPr>
            <w:r w:rsidRPr="00064185">
              <w:rPr>
                <w:rFonts w:cs="Arial"/>
                <w:bCs/>
                <w:lang w:val="en-US"/>
              </w:rPr>
              <w:t xml:space="preserve">Common name: </w:t>
            </w:r>
            <w:r w:rsidRPr="00064185">
              <w:rPr>
                <w:rFonts w:cs="Arial"/>
                <w:b/>
                <w:bCs/>
                <w:lang w:val="en-US"/>
              </w:rPr>
              <w:t>garden ant</w:t>
            </w:r>
            <w:r w:rsidR="00982822" w:rsidRPr="00064185">
              <w:rPr>
                <w:rFonts w:cs="Arial"/>
                <w:b/>
                <w:bCs/>
                <w:lang w:val="en-US"/>
              </w:rPr>
              <w:t>s</w:t>
            </w:r>
          </w:p>
          <w:p w14:paraId="6F6C1070" w14:textId="77777777" w:rsidR="00C6343B" w:rsidRPr="00064185" w:rsidRDefault="00C6343B" w:rsidP="00EA61D8">
            <w:pPr>
              <w:rPr>
                <w:rFonts w:cs="Arial"/>
                <w:bCs/>
                <w:lang w:val="en-US"/>
              </w:rPr>
            </w:pPr>
            <w:r w:rsidRPr="00064185">
              <w:rPr>
                <w:rFonts w:cs="Arial"/>
                <w:bCs/>
                <w:lang w:val="en-US"/>
              </w:rPr>
              <w:t>Development stage: ant colony</w:t>
            </w:r>
          </w:p>
        </w:tc>
      </w:tr>
      <w:tr w:rsidR="00064185" w:rsidRPr="00064185" w14:paraId="55284083" w14:textId="77777777" w:rsidTr="00C6343B">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228ADB9" w14:textId="77777777" w:rsidR="00C6343B" w:rsidRPr="00064185" w:rsidRDefault="00C6343B" w:rsidP="00EA61D8">
            <w:pPr>
              <w:spacing w:line="260" w:lineRule="atLeast"/>
              <w:rPr>
                <w:rFonts w:eastAsia="Calibri" w:cs="Arial"/>
                <w:bCs/>
                <w:lang w:val="de-DE"/>
              </w:rPr>
            </w:pPr>
            <w:r w:rsidRPr="00064185">
              <w:rPr>
                <w:rFonts w:eastAsia="Calibri" w:cs="Arial"/>
                <w:bCs/>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D9D4336" w14:textId="77777777" w:rsidR="00C6343B" w:rsidRPr="00064185" w:rsidRDefault="00C6343B" w:rsidP="00EA61D8">
            <w:pPr>
              <w:spacing w:line="260" w:lineRule="atLeast"/>
              <w:rPr>
                <w:rFonts w:eastAsia="Calibri" w:cs="Arial"/>
                <w:bCs/>
              </w:rPr>
            </w:pPr>
            <w:r w:rsidRPr="00064185">
              <w:rPr>
                <w:rFonts w:eastAsia="Calibri" w:cs="Arial"/>
                <w:bCs/>
              </w:rPr>
              <w:t>Outdoor use</w:t>
            </w:r>
          </w:p>
        </w:tc>
      </w:tr>
      <w:tr w:rsidR="00064185" w:rsidRPr="00064185" w14:paraId="279CA028" w14:textId="77777777" w:rsidTr="00C6343B">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43FCFE3" w14:textId="77777777" w:rsidR="00C6343B" w:rsidRPr="00064185" w:rsidRDefault="00C6343B" w:rsidP="00EA61D8">
            <w:pPr>
              <w:spacing w:line="260" w:lineRule="atLeast"/>
              <w:rPr>
                <w:rFonts w:eastAsia="Calibri" w:cs="Arial"/>
                <w:bCs/>
                <w:lang w:val="de-DE"/>
              </w:rPr>
            </w:pPr>
            <w:r w:rsidRPr="00064185">
              <w:rPr>
                <w:rFonts w:eastAsia="Calibri" w:cs="Arial"/>
                <w:bCs/>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1F16F954" w14:textId="77777777" w:rsidR="00C6343B" w:rsidRPr="00064185" w:rsidRDefault="00C6343B" w:rsidP="00EA61D8">
            <w:pPr>
              <w:rPr>
                <w:lang w:val="en-US"/>
              </w:rPr>
            </w:pPr>
            <w:r w:rsidRPr="00064185">
              <w:rPr>
                <w:u w:val="single"/>
                <w:lang w:val="en-US"/>
              </w:rPr>
              <w:t>Method of application:</w:t>
            </w:r>
            <w:r w:rsidRPr="00064185">
              <w:rPr>
                <w:lang w:val="en-US"/>
              </w:rPr>
              <w:t xml:space="preserve"> </w:t>
            </w:r>
            <w:r w:rsidRPr="00064185">
              <w:rPr>
                <w:b/>
                <w:lang w:val="en-US"/>
              </w:rPr>
              <w:t>spraying</w:t>
            </w:r>
          </w:p>
          <w:p w14:paraId="4F67D864" w14:textId="77777777" w:rsidR="00C6343B" w:rsidRPr="00064185" w:rsidRDefault="00C6343B" w:rsidP="00EA61D8">
            <w:pPr>
              <w:rPr>
                <w:lang w:val="en-US"/>
              </w:rPr>
            </w:pPr>
            <w:r w:rsidRPr="00064185">
              <w:rPr>
                <w:u w:val="single"/>
                <w:lang w:val="en-US"/>
              </w:rPr>
              <w:t>Detailed description of the method:</w:t>
            </w:r>
          </w:p>
          <w:p w14:paraId="430B413D" w14:textId="7ED1346A" w:rsidR="00C6343B" w:rsidRPr="00064185" w:rsidRDefault="00C6343B" w:rsidP="00EA61D8">
            <w:pPr>
              <w:rPr>
                <w:lang w:val="en-US"/>
              </w:rPr>
            </w:pPr>
            <w:r w:rsidRPr="00064185">
              <w:rPr>
                <w:lang w:val="en-US"/>
              </w:rPr>
              <w:t xml:space="preserve">For killing ant nests, COM 116 02 I AL is sprayed on </w:t>
            </w:r>
            <w:r w:rsidR="00F27451" w:rsidRPr="00064185">
              <w:rPr>
                <w:rFonts w:cs="Arial"/>
                <w:bCs/>
                <w:lang w:val="en-US"/>
              </w:rPr>
              <w:t>ant</w:t>
            </w:r>
            <w:r w:rsidRPr="00064185" w:rsidDel="007172D4">
              <w:rPr>
                <w:lang w:val="en-US"/>
              </w:rPr>
              <w:t xml:space="preserve"> routes </w:t>
            </w:r>
            <w:r w:rsidRPr="00064185" w:rsidDel="00340E39">
              <w:rPr>
                <w:lang w:val="en-US"/>
              </w:rPr>
              <w:t xml:space="preserve">and </w:t>
            </w:r>
            <w:r w:rsidRPr="00064185">
              <w:rPr>
                <w:lang w:val="en-US"/>
              </w:rPr>
              <w:t>nest entries</w:t>
            </w:r>
            <w:r w:rsidR="00B448B4" w:rsidRPr="00064185">
              <w:rPr>
                <w:lang w:val="en-US"/>
              </w:rPr>
              <w:t xml:space="preserve"> </w:t>
            </w:r>
            <w:r w:rsidRPr="00064185">
              <w:rPr>
                <w:rFonts w:cs="Arial"/>
                <w:bCs/>
                <w:lang w:val="en-US"/>
              </w:rPr>
              <w:t>on paved surfaces like terraces.</w:t>
            </w:r>
          </w:p>
          <w:p w14:paraId="21D29B4D" w14:textId="77777777" w:rsidR="00C6343B" w:rsidRPr="00064185" w:rsidRDefault="00C6343B" w:rsidP="00EA61D8">
            <w:pPr>
              <w:rPr>
                <w:rFonts w:cs="Arial"/>
                <w:lang w:val="en-US"/>
              </w:rPr>
            </w:pPr>
            <w:r w:rsidRPr="00064185">
              <w:rPr>
                <w:lang w:val="en-US"/>
              </w:rPr>
              <w:t>Best application time is in the morning or evening when ants are staying in the nests.</w:t>
            </w:r>
          </w:p>
        </w:tc>
      </w:tr>
      <w:tr w:rsidR="00064185" w:rsidRPr="00064185" w14:paraId="0746AA67" w14:textId="77777777" w:rsidTr="00C6343B">
        <w:trPr>
          <w:cantSplit/>
        </w:trPr>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EB8E770" w14:textId="77777777" w:rsidR="00C6343B" w:rsidRPr="00064185" w:rsidRDefault="00C6343B" w:rsidP="00EA61D8">
            <w:pPr>
              <w:spacing w:line="260" w:lineRule="atLeast"/>
              <w:rPr>
                <w:rFonts w:eastAsia="Calibri" w:cs="Arial"/>
                <w:bCs/>
                <w:lang w:val="en-US"/>
              </w:rPr>
            </w:pPr>
            <w:r w:rsidRPr="00064185">
              <w:rPr>
                <w:rFonts w:eastAsia="Calibri" w:cs="Arial"/>
                <w:bCs/>
              </w:rPr>
              <w:lastRenderedPageBreak/>
              <w:t>Application rate(s) and frequency</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6938369" w14:textId="77777777" w:rsidR="00C6343B" w:rsidRPr="00064185" w:rsidRDefault="00C6343B" w:rsidP="00EA61D8">
            <w:pPr>
              <w:rPr>
                <w:rFonts w:cs="Arial"/>
                <w:b/>
                <w:bCs/>
                <w:lang w:val="en-US"/>
              </w:rPr>
            </w:pPr>
            <w:r w:rsidRPr="00064185">
              <w:rPr>
                <w:rFonts w:cs="Arial"/>
                <w:b/>
                <w:bCs/>
                <w:lang w:val="en-US"/>
              </w:rPr>
              <w:t>The application rate:</w:t>
            </w:r>
          </w:p>
          <w:p w14:paraId="7425372C" w14:textId="77777777" w:rsidR="00C6343B" w:rsidRPr="00064185" w:rsidRDefault="00C6343B" w:rsidP="00EA61D8">
            <w:pPr>
              <w:rPr>
                <w:rFonts w:cs="Arial"/>
                <w:bCs/>
              </w:rPr>
            </w:pPr>
            <w:r w:rsidRPr="00064185">
              <w:rPr>
                <w:lang w:val="en-US"/>
              </w:rPr>
              <w:t>10 strokes for 1 m route and nest entries correspond to 10 g product</w:t>
            </w:r>
            <w:r w:rsidRPr="00064185">
              <w:rPr>
                <w:rFonts w:cs="Arial"/>
                <w:bCs/>
                <w:lang w:val="en-US"/>
              </w:rPr>
              <w:t xml:space="preserve"> (44.5 </w:t>
            </w:r>
            <w:r w:rsidRPr="00064185">
              <w:rPr>
                <w:rFonts w:cs="Arial"/>
                <w:bCs/>
              </w:rPr>
              <w:t>g/m</w:t>
            </w:r>
            <w:r w:rsidRPr="00064185">
              <w:rPr>
                <w:rFonts w:cs="Arial"/>
                <w:bCs/>
                <w:vertAlign w:val="superscript"/>
              </w:rPr>
              <w:t>2</w:t>
            </w:r>
            <w:r w:rsidRPr="00064185">
              <w:rPr>
                <w:rFonts w:cs="Arial"/>
                <w:bCs/>
              </w:rPr>
              <w:t>).</w:t>
            </w:r>
          </w:p>
          <w:p w14:paraId="52C27FA1" w14:textId="77777777" w:rsidR="00C6343B" w:rsidRPr="00064185" w:rsidRDefault="00C6343B" w:rsidP="00EA61D8">
            <w:pPr>
              <w:spacing w:line="260" w:lineRule="atLeast"/>
              <w:rPr>
                <w:rFonts w:cs="Arial"/>
                <w:bCs/>
                <w:lang w:val="en-US"/>
              </w:rPr>
            </w:pPr>
          </w:p>
          <w:p w14:paraId="0AA72C04" w14:textId="77777777" w:rsidR="00C6343B" w:rsidRPr="00064185" w:rsidRDefault="00C6343B" w:rsidP="00EA61D8">
            <w:pPr>
              <w:rPr>
                <w:rFonts w:cs="Arial"/>
                <w:b/>
                <w:bCs/>
                <w:lang w:val="en-US"/>
              </w:rPr>
            </w:pPr>
            <w:r w:rsidRPr="00064185">
              <w:rPr>
                <w:rFonts w:cs="Arial"/>
                <w:b/>
                <w:bCs/>
                <w:lang w:val="en-US"/>
              </w:rPr>
              <w:t xml:space="preserve">Number and timing of application: </w:t>
            </w:r>
          </w:p>
          <w:p w14:paraId="4A5057D7" w14:textId="77777777" w:rsidR="00C6343B" w:rsidRPr="00064185" w:rsidRDefault="00C6343B" w:rsidP="00EA61D8">
            <w:pPr>
              <w:pStyle w:val="Column3"/>
              <w:ind w:left="0"/>
              <w:rPr>
                <w:rFonts w:ascii="Verdana" w:eastAsia="Times New Roman" w:hAnsi="Verdana" w:cs="Arial"/>
                <w:bCs/>
                <w:sz w:val="20"/>
                <w:szCs w:val="20"/>
                <w:lang w:val="en-US" w:eastAsia="de-DE"/>
              </w:rPr>
            </w:pPr>
            <w:r w:rsidRPr="00064185">
              <w:rPr>
                <w:rFonts w:ascii="Verdana" w:eastAsia="Times New Roman" w:hAnsi="Verdana" w:cs="Arial"/>
                <w:bCs/>
                <w:sz w:val="20"/>
                <w:szCs w:val="20"/>
                <w:lang w:val="en-US" w:eastAsia="de-DE"/>
              </w:rPr>
              <w:t xml:space="preserve">Maximum </w:t>
            </w:r>
            <w:r w:rsidRPr="00064185">
              <w:rPr>
                <w:rFonts w:ascii="Verdana" w:hAnsi="Verdana"/>
                <w:sz w:val="20"/>
                <w:szCs w:val="20"/>
                <w:lang w:val="en-US" w:eastAsia="de-AT"/>
              </w:rPr>
              <w:t xml:space="preserve">once per month during season of ant activity. </w:t>
            </w:r>
          </w:p>
        </w:tc>
      </w:tr>
      <w:tr w:rsidR="00064185" w:rsidRPr="00064185" w14:paraId="24FF056F" w14:textId="77777777" w:rsidTr="00C6343B">
        <w:trPr>
          <w:cantSplit/>
        </w:trPr>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D03D5FC" w14:textId="77777777" w:rsidR="00C6343B" w:rsidRPr="00064185" w:rsidRDefault="00C6343B" w:rsidP="00EA61D8">
            <w:pPr>
              <w:spacing w:line="260" w:lineRule="atLeast"/>
              <w:rPr>
                <w:rFonts w:eastAsia="Calibri" w:cs="Arial"/>
                <w:bCs/>
                <w:lang w:val="de-DE"/>
              </w:rPr>
            </w:pPr>
            <w:r w:rsidRPr="00064185">
              <w:rPr>
                <w:rFonts w:eastAsia="Calibri" w:cs="Arial"/>
                <w:bCs/>
              </w:rPr>
              <w:t>Category(ies) of users</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734F099" w14:textId="77777777" w:rsidR="00C6343B" w:rsidRPr="00064185" w:rsidRDefault="00C6343B" w:rsidP="00EA61D8">
            <w:pPr>
              <w:spacing w:line="260" w:lineRule="atLeast"/>
              <w:rPr>
                <w:rFonts w:eastAsia="Calibri" w:cs="Arial"/>
                <w:bCs/>
                <w:lang w:val="de-DE"/>
              </w:rPr>
            </w:pPr>
            <w:r w:rsidRPr="00064185">
              <w:rPr>
                <w:rFonts w:cs="Arial"/>
                <w:bCs/>
              </w:rPr>
              <w:t>Non-professionals</w:t>
            </w:r>
          </w:p>
        </w:tc>
      </w:tr>
      <w:tr w:rsidR="00C6343B" w:rsidRPr="00064185" w14:paraId="273706A1" w14:textId="77777777" w:rsidTr="00C6343B">
        <w:trPr>
          <w:cantSplit/>
        </w:trPr>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68043B8" w14:textId="77777777" w:rsidR="00C6343B" w:rsidRPr="00064185" w:rsidRDefault="00C6343B" w:rsidP="00EA61D8">
            <w:pPr>
              <w:spacing w:line="260" w:lineRule="atLeast"/>
              <w:rPr>
                <w:rFonts w:eastAsia="Calibri" w:cs="Arial"/>
                <w:bCs/>
                <w:lang w:val="en-US"/>
              </w:rPr>
            </w:pPr>
            <w:r w:rsidRPr="00064185">
              <w:rPr>
                <w:rFonts w:eastAsia="Calibri" w:cs="Arial"/>
                <w:bCs/>
              </w:rPr>
              <w:t>Pack sizes and packaging material</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1B2E639" w14:textId="77777777" w:rsidR="00C6343B" w:rsidRPr="00064185" w:rsidRDefault="00C6343B" w:rsidP="00EA61D8">
            <w:pPr>
              <w:spacing w:line="260" w:lineRule="atLeast"/>
              <w:rPr>
                <w:rFonts w:eastAsia="Calibri" w:cs="Arial"/>
                <w:bCs/>
              </w:rPr>
            </w:pPr>
            <w:r w:rsidRPr="00064185">
              <w:rPr>
                <w:rFonts w:cs="Arial"/>
              </w:rPr>
              <w:t>Please see the relevant section.</w:t>
            </w:r>
          </w:p>
        </w:tc>
      </w:tr>
    </w:tbl>
    <w:p w14:paraId="050613E0" w14:textId="77777777" w:rsidR="00C6343B" w:rsidRPr="00064185" w:rsidRDefault="00C6343B" w:rsidP="00EA61D8">
      <w:pPr>
        <w:spacing w:line="260" w:lineRule="atLeast"/>
        <w:rPr>
          <w:rFonts w:eastAsia="Calibri" w:cs="Arial"/>
        </w:rPr>
      </w:pPr>
    </w:p>
    <w:p w14:paraId="54EDEFA3" w14:textId="77777777" w:rsidR="00061409" w:rsidRPr="00064185" w:rsidRDefault="00061409" w:rsidP="00EA61D8">
      <w:pPr>
        <w:spacing w:line="260" w:lineRule="atLeast"/>
        <w:rPr>
          <w:rFonts w:eastAsia="Calibri"/>
          <w:lang w:eastAsia="en-US"/>
        </w:rPr>
      </w:pPr>
    </w:p>
    <w:p w14:paraId="0D1582C9" w14:textId="77777777" w:rsidR="00BD7FBF" w:rsidRPr="00064185" w:rsidRDefault="00BD7FBF" w:rsidP="00EA61D8">
      <w:pPr>
        <w:pStyle w:val="Absatz"/>
      </w:pPr>
    </w:p>
    <w:p w14:paraId="2C4E1801" w14:textId="77777777" w:rsidR="00BD7FBF" w:rsidRPr="00064185" w:rsidRDefault="00BD7FBF" w:rsidP="00EA61D8">
      <w:pPr>
        <w:rPr>
          <w:rFonts w:ascii="Arial" w:hAnsi="Arial" w:cs="Arial"/>
        </w:rPr>
      </w:pPr>
    </w:p>
    <w:p w14:paraId="3F2F9DE4" w14:textId="35944399" w:rsidR="00A53EE0" w:rsidRPr="00064185" w:rsidRDefault="00A53EE0" w:rsidP="00EA61D8">
      <w:pPr>
        <w:pStyle w:val="berschrift4"/>
        <w:jc w:val="left"/>
      </w:pPr>
      <w:bookmarkStart w:id="46" w:name="_Toc389728858"/>
      <w:bookmarkStart w:id="47" w:name="_Toc403472710"/>
      <w:bookmarkStart w:id="48" w:name="_Toc440879614"/>
      <w:bookmarkStart w:id="49" w:name="_Toc440889927"/>
      <w:bookmarkStart w:id="50" w:name="_Toc530563630"/>
      <w:r w:rsidRPr="00064185">
        <w:t>Hazard and precautionary statements</w:t>
      </w:r>
      <w:bookmarkEnd w:id="46"/>
      <w:bookmarkEnd w:id="47"/>
      <w:bookmarkEnd w:id="48"/>
      <w:bookmarkEnd w:id="49"/>
      <w:bookmarkEnd w:id="50"/>
    </w:p>
    <w:p w14:paraId="20C90EA5"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Classification and Labelling according to Regulation (EC) No 1272/2008:</w:t>
      </w:r>
    </w:p>
    <w:p w14:paraId="5C43891C" w14:textId="77777777" w:rsidR="00A53EE0" w:rsidRPr="00064185" w:rsidRDefault="00A53EE0" w:rsidP="00EA61D8">
      <w:pPr>
        <w:spacing w:line="260" w:lineRule="atLeast"/>
        <w:rPr>
          <w:rFonts w:eastAsia="Calibri"/>
          <w:b/>
          <w:bCs/>
          <w:lang w:eastAsia="en-US"/>
        </w:rPr>
      </w:pPr>
    </w:p>
    <w:tbl>
      <w:tblPr>
        <w:tblW w:w="5000" w:type="pct"/>
        <w:jc w:val="center"/>
        <w:tblLook w:val="04A0" w:firstRow="1" w:lastRow="0" w:firstColumn="1" w:lastColumn="0" w:noHBand="0" w:noVBand="1"/>
      </w:tblPr>
      <w:tblGrid>
        <w:gridCol w:w="2812"/>
        <w:gridCol w:w="6618"/>
      </w:tblGrid>
      <w:tr w:rsidR="00064185" w:rsidRPr="00064185" w14:paraId="7F992A93" w14:textId="77777777" w:rsidTr="00FD4B15">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FFFFCC"/>
            <w:hideMark/>
          </w:tcPr>
          <w:p w14:paraId="25EFE7B7" w14:textId="77777777" w:rsidR="00A53EE0" w:rsidRPr="00064185" w:rsidRDefault="00A53EE0" w:rsidP="00EA61D8">
            <w:pPr>
              <w:widowControl w:val="0"/>
              <w:autoSpaceDE w:val="0"/>
              <w:autoSpaceDN w:val="0"/>
              <w:adjustRightInd w:val="0"/>
              <w:rPr>
                <w:rFonts w:cs="Times"/>
                <w:b/>
                <w:bCs/>
                <w:szCs w:val="29"/>
                <w:lang w:eastAsia="fi-FI"/>
              </w:rPr>
            </w:pPr>
            <w:bookmarkStart w:id="51" w:name="d0e1781"/>
            <w:r w:rsidRPr="00064185">
              <w:rPr>
                <w:rFonts w:cs="Times"/>
                <w:b/>
                <w:bCs/>
                <w:szCs w:val="29"/>
                <w:lang w:eastAsia="en-US"/>
              </w:rPr>
              <w:t>Classification</w:t>
            </w:r>
          </w:p>
        </w:tc>
      </w:tr>
      <w:tr w:rsidR="00064185" w:rsidRPr="00064185" w14:paraId="58750FF4" w14:textId="77777777" w:rsidTr="00FD4B15">
        <w:trPr>
          <w:cantSplit/>
          <w:tblHeader/>
          <w:jc w:val="center"/>
        </w:trPr>
        <w:tc>
          <w:tcPr>
            <w:tcW w:w="1491" w:type="pct"/>
            <w:tcBorders>
              <w:top w:val="single" w:sz="2" w:space="0" w:color="auto"/>
              <w:left w:val="single" w:sz="2" w:space="0" w:color="auto"/>
              <w:bottom w:val="single" w:sz="2" w:space="0" w:color="auto"/>
              <w:right w:val="single" w:sz="2" w:space="0" w:color="auto"/>
            </w:tcBorders>
            <w:hideMark/>
          </w:tcPr>
          <w:p w14:paraId="3203341A" w14:textId="77777777" w:rsidR="00FD4B15" w:rsidRPr="00064185" w:rsidRDefault="00FD4B15" w:rsidP="00EA61D8">
            <w:pPr>
              <w:widowControl w:val="0"/>
              <w:autoSpaceDE w:val="0"/>
              <w:autoSpaceDN w:val="0"/>
              <w:adjustRightInd w:val="0"/>
              <w:rPr>
                <w:rFonts w:cs="Times"/>
                <w:bCs/>
                <w:szCs w:val="29"/>
                <w:lang w:eastAsia="fi-FI"/>
              </w:rPr>
            </w:pPr>
            <w:r w:rsidRPr="00064185">
              <w:rPr>
                <w:rFonts w:cs="Times"/>
                <w:bCs/>
                <w:szCs w:val="29"/>
                <w:lang w:eastAsia="en-US"/>
              </w:rPr>
              <w:t>Hazard category</w:t>
            </w:r>
          </w:p>
        </w:tc>
        <w:tc>
          <w:tcPr>
            <w:tcW w:w="3509" w:type="pct"/>
            <w:tcBorders>
              <w:top w:val="single" w:sz="2" w:space="0" w:color="auto"/>
              <w:left w:val="single" w:sz="2" w:space="0" w:color="auto"/>
              <w:bottom w:val="single" w:sz="2" w:space="0" w:color="auto"/>
              <w:right w:val="single" w:sz="2" w:space="0" w:color="auto"/>
            </w:tcBorders>
          </w:tcPr>
          <w:p w14:paraId="3FF29619" w14:textId="77777777" w:rsidR="00FD4B15" w:rsidRPr="00064185" w:rsidRDefault="00FD4B15" w:rsidP="00EA61D8">
            <w:pPr>
              <w:widowControl w:val="0"/>
              <w:autoSpaceDE w:val="0"/>
              <w:autoSpaceDN w:val="0"/>
              <w:adjustRightInd w:val="0"/>
              <w:rPr>
                <w:rFonts w:cs="Times"/>
                <w:bCs/>
                <w:szCs w:val="29"/>
                <w:lang w:eastAsia="fi-FI"/>
              </w:rPr>
            </w:pPr>
            <w:r w:rsidRPr="00064185">
              <w:rPr>
                <w:bCs/>
                <w:szCs w:val="24"/>
              </w:rPr>
              <w:t>Aquatic Acute 1</w:t>
            </w:r>
            <w:r w:rsidR="00DF045E" w:rsidRPr="00064185">
              <w:rPr>
                <w:bCs/>
                <w:szCs w:val="24"/>
              </w:rPr>
              <w:t xml:space="preserve"> </w:t>
            </w:r>
          </w:p>
        </w:tc>
      </w:tr>
      <w:tr w:rsidR="00064185" w:rsidRPr="00064185" w14:paraId="4C29EB5A" w14:textId="77777777" w:rsidTr="00FD4B15">
        <w:trPr>
          <w:cantSplit/>
          <w:tblHeader/>
          <w:jc w:val="center"/>
        </w:trPr>
        <w:tc>
          <w:tcPr>
            <w:tcW w:w="1491" w:type="pct"/>
            <w:tcBorders>
              <w:top w:val="single" w:sz="2" w:space="0" w:color="auto"/>
              <w:left w:val="single" w:sz="2" w:space="0" w:color="auto"/>
              <w:bottom w:val="single" w:sz="2" w:space="0" w:color="auto"/>
              <w:right w:val="single" w:sz="2" w:space="0" w:color="auto"/>
            </w:tcBorders>
            <w:hideMark/>
          </w:tcPr>
          <w:p w14:paraId="1DF1D970" w14:textId="77777777" w:rsidR="00FD4B15" w:rsidRPr="00064185" w:rsidRDefault="00FD4B15" w:rsidP="00EA61D8">
            <w:pPr>
              <w:widowControl w:val="0"/>
              <w:autoSpaceDE w:val="0"/>
              <w:autoSpaceDN w:val="0"/>
              <w:adjustRightInd w:val="0"/>
              <w:rPr>
                <w:rFonts w:cs="Times"/>
                <w:bCs/>
                <w:szCs w:val="29"/>
                <w:lang w:eastAsia="fi-FI"/>
              </w:rPr>
            </w:pPr>
            <w:r w:rsidRPr="00064185">
              <w:rPr>
                <w:rFonts w:cs="Times"/>
                <w:bCs/>
                <w:szCs w:val="29"/>
                <w:lang w:eastAsia="en-US"/>
              </w:rPr>
              <w:t>Hazard statement</w:t>
            </w:r>
          </w:p>
        </w:tc>
        <w:tc>
          <w:tcPr>
            <w:tcW w:w="3509" w:type="pct"/>
            <w:tcBorders>
              <w:top w:val="single" w:sz="2" w:space="0" w:color="auto"/>
              <w:left w:val="single" w:sz="2" w:space="0" w:color="auto"/>
              <w:bottom w:val="single" w:sz="2" w:space="0" w:color="auto"/>
              <w:right w:val="single" w:sz="2" w:space="0" w:color="auto"/>
            </w:tcBorders>
          </w:tcPr>
          <w:p w14:paraId="622F5056" w14:textId="77777777" w:rsidR="00FD4B15" w:rsidRPr="00064185" w:rsidRDefault="00FD4B15" w:rsidP="00EA61D8">
            <w:pPr>
              <w:widowControl w:val="0"/>
              <w:autoSpaceDE w:val="0"/>
              <w:autoSpaceDN w:val="0"/>
              <w:adjustRightInd w:val="0"/>
              <w:rPr>
                <w:rFonts w:cs="Times"/>
                <w:bCs/>
                <w:szCs w:val="29"/>
                <w:lang w:eastAsia="fi-FI"/>
              </w:rPr>
            </w:pPr>
            <w:r w:rsidRPr="00064185">
              <w:rPr>
                <w:bCs/>
                <w:szCs w:val="24"/>
                <w:lang w:val="en-US"/>
              </w:rPr>
              <w:t>H400: Very toxic to aquatic life.</w:t>
            </w:r>
          </w:p>
        </w:tc>
      </w:tr>
      <w:tr w:rsidR="00064185" w:rsidRPr="00064185" w14:paraId="33F43701" w14:textId="77777777" w:rsidTr="00FD4B15">
        <w:trPr>
          <w:cantSplit/>
          <w:tblHeader/>
          <w:jc w:val="center"/>
        </w:trPr>
        <w:tc>
          <w:tcPr>
            <w:tcW w:w="1491" w:type="pct"/>
            <w:tcBorders>
              <w:top w:val="single" w:sz="2" w:space="0" w:color="auto"/>
              <w:left w:val="single" w:sz="2" w:space="0" w:color="auto"/>
              <w:bottom w:val="single" w:sz="2" w:space="0" w:color="auto"/>
              <w:right w:val="single" w:sz="2" w:space="0" w:color="auto"/>
            </w:tcBorders>
          </w:tcPr>
          <w:p w14:paraId="7F36BC0D" w14:textId="77777777" w:rsidR="00FD4B15" w:rsidRPr="00064185" w:rsidRDefault="00FD4B15" w:rsidP="00EA61D8">
            <w:pPr>
              <w:widowControl w:val="0"/>
              <w:autoSpaceDE w:val="0"/>
              <w:autoSpaceDN w:val="0"/>
              <w:adjustRightInd w:val="0"/>
              <w:rPr>
                <w:rFonts w:cs="Times"/>
                <w:bCs/>
                <w:szCs w:val="29"/>
                <w:lang w:eastAsia="fi-FI"/>
              </w:rPr>
            </w:pPr>
            <w:r w:rsidRPr="00064185">
              <w:rPr>
                <w:rFonts w:cs="Times"/>
                <w:bCs/>
                <w:szCs w:val="29"/>
                <w:lang w:eastAsia="en-US"/>
              </w:rPr>
              <w:t>Hazard category</w:t>
            </w:r>
          </w:p>
        </w:tc>
        <w:tc>
          <w:tcPr>
            <w:tcW w:w="3509" w:type="pct"/>
            <w:tcBorders>
              <w:top w:val="single" w:sz="2" w:space="0" w:color="auto"/>
              <w:left w:val="single" w:sz="2" w:space="0" w:color="auto"/>
              <w:bottom w:val="single" w:sz="2" w:space="0" w:color="auto"/>
              <w:right w:val="single" w:sz="2" w:space="0" w:color="auto"/>
            </w:tcBorders>
          </w:tcPr>
          <w:p w14:paraId="71D92F30" w14:textId="6F53CC80" w:rsidR="00FD4B15" w:rsidRPr="00064185" w:rsidRDefault="00FD4B15" w:rsidP="00EA61D8">
            <w:pPr>
              <w:widowControl w:val="0"/>
              <w:autoSpaceDE w:val="0"/>
              <w:autoSpaceDN w:val="0"/>
              <w:adjustRightInd w:val="0"/>
              <w:rPr>
                <w:rFonts w:cs="Times"/>
                <w:bCs/>
                <w:szCs w:val="29"/>
                <w:lang w:eastAsia="fi-FI"/>
              </w:rPr>
            </w:pPr>
            <w:r w:rsidRPr="00064185">
              <w:rPr>
                <w:bCs/>
                <w:szCs w:val="24"/>
              </w:rPr>
              <w:t xml:space="preserve">Aquatic Chronic </w:t>
            </w:r>
            <w:r w:rsidR="00B407EB" w:rsidRPr="00064185">
              <w:rPr>
                <w:bCs/>
                <w:szCs w:val="24"/>
              </w:rPr>
              <w:t>1</w:t>
            </w:r>
          </w:p>
        </w:tc>
      </w:tr>
      <w:tr w:rsidR="00064185" w:rsidRPr="00064185" w14:paraId="08C417CB" w14:textId="77777777" w:rsidTr="00FD4B15">
        <w:trPr>
          <w:cantSplit/>
          <w:tblHeader/>
          <w:jc w:val="center"/>
        </w:trPr>
        <w:tc>
          <w:tcPr>
            <w:tcW w:w="1491" w:type="pct"/>
            <w:tcBorders>
              <w:top w:val="single" w:sz="2" w:space="0" w:color="auto"/>
              <w:left w:val="single" w:sz="2" w:space="0" w:color="auto"/>
              <w:bottom w:val="single" w:sz="2" w:space="0" w:color="auto"/>
              <w:right w:val="single" w:sz="2" w:space="0" w:color="auto"/>
            </w:tcBorders>
          </w:tcPr>
          <w:p w14:paraId="3AEEF0DD" w14:textId="77777777" w:rsidR="00FD4B15" w:rsidRPr="00064185" w:rsidRDefault="00FD4B15" w:rsidP="00EA61D8">
            <w:pPr>
              <w:widowControl w:val="0"/>
              <w:autoSpaceDE w:val="0"/>
              <w:autoSpaceDN w:val="0"/>
              <w:adjustRightInd w:val="0"/>
              <w:rPr>
                <w:rFonts w:cs="Times"/>
                <w:bCs/>
                <w:szCs w:val="29"/>
                <w:lang w:eastAsia="fi-FI"/>
              </w:rPr>
            </w:pPr>
            <w:r w:rsidRPr="00064185">
              <w:rPr>
                <w:rFonts w:cs="Times"/>
                <w:bCs/>
                <w:szCs w:val="29"/>
                <w:lang w:eastAsia="en-US"/>
              </w:rPr>
              <w:t>Hazard statement</w:t>
            </w:r>
          </w:p>
        </w:tc>
        <w:tc>
          <w:tcPr>
            <w:tcW w:w="3509" w:type="pct"/>
            <w:tcBorders>
              <w:top w:val="single" w:sz="2" w:space="0" w:color="auto"/>
              <w:left w:val="single" w:sz="2" w:space="0" w:color="auto"/>
              <w:bottom w:val="single" w:sz="2" w:space="0" w:color="auto"/>
              <w:right w:val="single" w:sz="2" w:space="0" w:color="auto"/>
            </w:tcBorders>
          </w:tcPr>
          <w:p w14:paraId="7B9B1D68" w14:textId="77777777" w:rsidR="00FD4B15" w:rsidRPr="00064185" w:rsidRDefault="00FD4B15" w:rsidP="00EA61D8">
            <w:pPr>
              <w:widowControl w:val="0"/>
              <w:autoSpaceDE w:val="0"/>
              <w:autoSpaceDN w:val="0"/>
              <w:adjustRightInd w:val="0"/>
              <w:rPr>
                <w:rFonts w:cs="Times"/>
                <w:bCs/>
                <w:szCs w:val="29"/>
                <w:lang w:eastAsia="fi-FI"/>
              </w:rPr>
            </w:pPr>
            <w:r w:rsidRPr="00064185">
              <w:rPr>
                <w:bCs/>
                <w:szCs w:val="24"/>
                <w:lang w:val="en-US"/>
              </w:rPr>
              <w:t>H410: Very toxic to aquatic life with long lasting effects.</w:t>
            </w:r>
          </w:p>
        </w:tc>
      </w:tr>
      <w:tr w:rsidR="00064185" w:rsidRPr="00064185" w14:paraId="3250171A" w14:textId="77777777" w:rsidTr="00FD4B15">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tcPr>
          <w:p w14:paraId="65D187B5" w14:textId="77777777" w:rsidR="00A53EE0" w:rsidRPr="00064185" w:rsidRDefault="00A53EE0" w:rsidP="00EA61D8">
            <w:pPr>
              <w:widowControl w:val="0"/>
              <w:autoSpaceDE w:val="0"/>
              <w:autoSpaceDN w:val="0"/>
              <w:adjustRightInd w:val="0"/>
              <w:rPr>
                <w:rFonts w:cs="Times"/>
                <w:bCs/>
                <w:szCs w:val="29"/>
                <w:lang w:eastAsia="fi-FI"/>
              </w:rPr>
            </w:pPr>
          </w:p>
        </w:tc>
      </w:tr>
      <w:tr w:rsidR="00064185" w:rsidRPr="00064185" w14:paraId="35648B36" w14:textId="77777777" w:rsidTr="00FD4B15">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FFFFCC"/>
            <w:hideMark/>
          </w:tcPr>
          <w:p w14:paraId="45930CF2" w14:textId="77777777" w:rsidR="00A53EE0" w:rsidRPr="00064185" w:rsidRDefault="00A53EE0" w:rsidP="00EA61D8">
            <w:pPr>
              <w:widowControl w:val="0"/>
              <w:autoSpaceDE w:val="0"/>
              <w:autoSpaceDN w:val="0"/>
              <w:adjustRightInd w:val="0"/>
              <w:rPr>
                <w:rFonts w:cs="Times"/>
                <w:b/>
                <w:bCs/>
                <w:szCs w:val="29"/>
                <w:lang w:eastAsia="fi-FI"/>
              </w:rPr>
            </w:pPr>
            <w:r w:rsidRPr="00064185">
              <w:rPr>
                <w:rFonts w:cs="Times"/>
                <w:b/>
                <w:bCs/>
                <w:szCs w:val="29"/>
                <w:lang w:eastAsia="en-US"/>
              </w:rPr>
              <w:t>Labelling</w:t>
            </w:r>
          </w:p>
        </w:tc>
      </w:tr>
      <w:tr w:rsidR="00064185" w:rsidRPr="00064185" w14:paraId="46CA63C4" w14:textId="77777777" w:rsidTr="00FD4B15">
        <w:trPr>
          <w:cantSplit/>
          <w:tblHeader/>
          <w:jc w:val="center"/>
        </w:trPr>
        <w:tc>
          <w:tcPr>
            <w:tcW w:w="1491" w:type="pct"/>
            <w:tcBorders>
              <w:top w:val="single" w:sz="2" w:space="0" w:color="auto"/>
              <w:left w:val="single" w:sz="2" w:space="0" w:color="auto"/>
              <w:bottom w:val="single" w:sz="2" w:space="0" w:color="auto"/>
              <w:right w:val="single" w:sz="2" w:space="0" w:color="auto"/>
            </w:tcBorders>
            <w:hideMark/>
          </w:tcPr>
          <w:p w14:paraId="6D3D74A6" w14:textId="77777777" w:rsidR="00FD4B15" w:rsidRPr="00064185" w:rsidRDefault="00FD4B15" w:rsidP="00EA61D8">
            <w:pPr>
              <w:widowControl w:val="0"/>
              <w:autoSpaceDE w:val="0"/>
              <w:autoSpaceDN w:val="0"/>
              <w:adjustRightInd w:val="0"/>
              <w:rPr>
                <w:rFonts w:cs="Times"/>
                <w:bCs/>
                <w:szCs w:val="29"/>
                <w:lang w:eastAsia="en-US"/>
              </w:rPr>
            </w:pPr>
            <w:r w:rsidRPr="00064185">
              <w:rPr>
                <w:rFonts w:cs="Times"/>
                <w:bCs/>
                <w:szCs w:val="29"/>
                <w:lang w:eastAsia="en-US"/>
              </w:rPr>
              <w:t>Signal words</w:t>
            </w:r>
          </w:p>
        </w:tc>
        <w:tc>
          <w:tcPr>
            <w:tcW w:w="3509" w:type="pct"/>
            <w:tcBorders>
              <w:top w:val="single" w:sz="2" w:space="0" w:color="auto"/>
              <w:left w:val="single" w:sz="2" w:space="0" w:color="auto"/>
              <w:bottom w:val="single" w:sz="2" w:space="0" w:color="auto"/>
              <w:right w:val="single" w:sz="2" w:space="0" w:color="auto"/>
            </w:tcBorders>
          </w:tcPr>
          <w:p w14:paraId="69B102EE" w14:textId="77777777" w:rsidR="00FD4B15" w:rsidRPr="00064185" w:rsidRDefault="00FD4B15" w:rsidP="00EA61D8">
            <w:pPr>
              <w:widowControl w:val="0"/>
              <w:autoSpaceDE w:val="0"/>
              <w:autoSpaceDN w:val="0"/>
              <w:adjustRightInd w:val="0"/>
              <w:rPr>
                <w:rFonts w:cs="Times"/>
                <w:bCs/>
                <w:szCs w:val="29"/>
                <w:lang w:eastAsia="fi-FI"/>
              </w:rPr>
            </w:pPr>
            <w:r w:rsidRPr="00064185">
              <w:rPr>
                <w:bCs/>
                <w:szCs w:val="24"/>
                <w:lang w:val="en-US"/>
              </w:rPr>
              <w:t>Warning</w:t>
            </w:r>
          </w:p>
        </w:tc>
      </w:tr>
      <w:tr w:rsidR="00064185" w:rsidRPr="00064185" w14:paraId="7B31D42C" w14:textId="77777777" w:rsidTr="00FD4B15">
        <w:trPr>
          <w:cantSplit/>
          <w:tblHeader/>
          <w:jc w:val="center"/>
        </w:trPr>
        <w:tc>
          <w:tcPr>
            <w:tcW w:w="1491" w:type="pct"/>
            <w:tcBorders>
              <w:top w:val="single" w:sz="2" w:space="0" w:color="auto"/>
              <w:left w:val="single" w:sz="2" w:space="0" w:color="auto"/>
              <w:bottom w:val="single" w:sz="2" w:space="0" w:color="auto"/>
              <w:right w:val="single" w:sz="2" w:space="0" w:color="auto"/>
            </w:tcBorders>
          </w:tcPr>
          <w:p w14:paraId="08A3BD15" w14:textId="68EDEB48" w:rsidR="00125D9F" w:rsidRPr="00064185" w:rsidRDefault="00125D9F" w:rsidP="00EA61D8">
            <w:pPr>
              <w:widowControl w:val="0"/>
              <w:autoSpaceDE w:val="0"/>
              <w:autoSpaceDN w:val="0"/>
              <w:adjustRightInd w:val="0"/>
              <w:rPr>
                <w:rFonts w:cs="Times"/>
                <w:bCs/>
                <w:szCs w:val="29"/>
                <w:lang w:eastAsia="en-US"/>
              </w:rPr>
            </w:pPr>
            <w:r w:rsidRPr="00064185">
              <w:rPr>
                <w:rFonts w:cs="Times"/>
                <w:bCs/>
                <w:szCs w:val="29"/>
                <w:lang w:eastAsia="en-US"/>
              </w:rPr>
              <w:t>Pictogram</w:t>
            </w:r>
          </w:p>
        </w:tc>
        <w:tc>
          <w:tcPr>
            <w:tcW w:w="3509" w:type="pct"/>
            <w:tcBorders>
              <w:top w:val="single" w:sz="2" w:space="0" w:color="auto"/>
              <w:left w:val="single" w:sz="2" w:space="0" w:color="auto"/>
              <w:bottom w:val="single" w:sz="2" w:space="0" w:color="auto"/>
              <w:right w:val="single" w:sz="2" w:space="0" w:color="auto"/>
            </w:tcBorders>
          </w:tcPr>
          <w:p w14:paraId="0C999690" w14:textId="52F39068" w:rsidR="00125D9F" w:rsidRPr="00064185" w:rsidRDefault="00125D9F" w:rsidP="00EA61D8">
            <w:pPr>
              <w:widowControl w:val="0"/>
              <w:autoSpaceDE w:val="0"/>
              <w:autoSpaceDN w:val="0"/>
              <w:adjustRightInd w:val="0"/>
              <w:rPr>
                <w:bCs/>
                <w:szCs w:val="24"/>
                <w:lang w:val="en-US"/>
              </w:rPr>
            </w:pPr>
            <w:r w:rsidRPr="00064185">
              <w:rPr>
                <w:bCs/>
                <w:szCs w:val="24"/>
                <w:lang w:val="en-US"/>
              </w:rPr>
              <w:t>GHS09 Environment</w:t>
            </w:r>
          </w:p>
        </w:tc>
      </w:tr>
      <w:tr w:rsidR="00064185" w:rsidRPr="00064185" w14:paraId="1F50407D" w14:textId="77777777" w:rsidTr="00FD4B15">
        <w:trPr>
          <w:cantSplit/>
          <w:tblHeader/>
          <w:jc w:val="center"/>
        </w:trPr>
        <w:tc>
          <w:tcPr>
            <w:tcW w:w="1491" w:type="pct"/>
            <w:tcBorders>
              <w:top w:val="single" w:sz="2" w:space="0" w:color="auto"/>
              <w:left w:val="single" w:sz="2" w:space="0" w:color="auto"/>
              <w:bottom w:val="single" w:sz="2" w:space="0" w:color="auto"/>
              <w:right w:val="single" w:sz="2" w:space="0" w:color="auto"/>
            </w:tcBorders>
            <w:hideMark/>
          </w:tcPr>
          <w:p w14:paraId="5D6220FB" w14:textId="77777777" w:rsidR="00FD4B15" w:rsidRPr="00064185" w:rsidRDefault="00FD4B15" w:rsidP="00EA61D8">
            <w:pPr>
              <w:widowControl w:val="0"/>
              <w:autoSpaceDE w:val="0"/>
              <w:autoSpaceDN w:val="0"/>
              <w:adjustRightInd w:val="0"/>
              <w:rPr>
                <w:rFonts w:cs="Times"/>
                <w:bCs/>
                <w:szCs w:val="29"/>
                <w:lang w:eastAsia="en-US"/>
              </w:rPr>
            </w:pPr>
            <w:r w:rsidRPr="00064185">
              <w:rPr>
                <w:rFonts w:cs="Times"/>
                <w:bCs/>
                <w:szCs w:val="29"/>
                <w:lang w:eastAsia="en-US"/>
              </w:rPr>
              <w:t>Hazard statements</w:t>
            </w:r>
          </w:p>
        </w:tc>
        <w:tc>
          <w:tcPr>
            <w:tcW w:w="3509" w:type="pct"/>
            <w:tcBorders>
              <w:top w:val="single" w:sz="2" w:space="0" w:color="auto"/>
              <w:left w:val="single" w:sz="2" w:space="0" w:color="auto"/>
              <w:bottom w:val="single" w:sz="2" w:space="0" w:color="auto"/>
              <w:right w:val="single" w:sz="2" w:space="0" w:color="auto"/>
            </w:tcBorders>
          </w:tcPr>
          <w:p w14:paraId="1A30F787" w14:textId="77777777" w:rsidR="00FD4B15" w:rsidRPr="00064185" w:rsidRDefault="00FD4B15" w:rsidP="00EA61D8">
            <w:pPr>
              <w:widowControl w:val="0"/>
              <w:autoSpaceDE w:val="0"/>
              <w:autoSpaceDN w:val="0"/>
              <w:adjustRightInd w:val="0"/>
              <w:rPr>
                <w:bCs/>
                <w:szCs w:val="24"/>
                <w:lang w:val="en-US"/>
              </w:rPr>
            </w:pPr>
            <w:r w:rsidRPr="00064185">
              <w:rPr>
                <w:bCs/>
                <w:szCs w:val="24"/>
                <w:lang w:val="en-US"/>
              </w:rPr>
              <w:t>H410: Very toxic to aquatic life with long lasting effects.</w:t>
            </w:r>
          </w:p>
          <w:p w14:paraId="189821AA" w14:textId="1678F4D5" w:rsidR="00B856D5" w:rsidRPr="00064185" w:rsidRDefault="00B856D5" w:rsidP="00EA61D8">
            <w:pPr>
              <w:widowControl w:val="0"/>
              <w:autoSpaceDE w:val="0"/>
              <w:autoSpaceDN w:val="0"/>
              <w:adjustRightInd w:val="0"/>
              <w:rPr>
                <w:rFonts w:cs="Times"/>
                <w:bCs/>
                <w:szCs w:val="29"/>
                <w:lang w:eastAsia="fi-FI"/>
              </w:rPr>
            </w:pPr>
            <w:r w:rsidRPr="00064185">
              <w:rPr>
                <w:rFonts w:cs="Times"/>
                <w:bCs/>
                <w:szCs w:val="29"/>
                <w:lang w:eastAsia="fi-FI"/>
              </w:rPr>
              <w:t>EUH208: Contains 1</w:t>
            </w:r>
            <w:proofErr w:type="gramStart"/>
            <w:r w:rsidRPr="00064185">
              <w:rPr>
                <w:rFonts w:cs="Times"/>
                <w:bCs/>
                <w:szCs w:val="29"/>
                <w:lang w:eastAsia="fi-FI"/>
              </w:rPr>
              <w:t>,2</w:t>
            </w:r>
            <w:proofErr w:type="gramEnd"/>
            <w:r w:rsidRPr="00064185">
              <w:rPr>
                <w:rFonts w:cs="Times"/>
                <w:bCs/>
                <w:szCs w:val="29"/>
                <w:lang w:eastAsia="fi-FI"/>
              </w:rPr>
              <w:t>-benzisothiazolin-3-one. May produce an allergic reaction.</w:t>
            </w:r>
          </w:p>
        </w:tc>
      </w:tr>
      <w:tr w:rsidR="00064185" w:rsidRPr="00064185" w14:paraId="2902BDC4" w14:textId="77777777" w:rsidTr="00FD4B15">
        <w:trPr>
          <w:cantSplit/>
          <w:tblHeader/>
          <w:jc w:val="center"/>
        </w:trPr>
        <w:tc>
          <w:tcPr>
            <w:tcW w:w="1491" w:type="pct"/>
            <w:tcBorders>
              <w:top w:val="single" w:sz="2" w:space="0" w:color="auto"/>
              <w:left w:val="single" w:sz="2" w:space="0" w:color="auto"/>
              <w:bottom w:val="single" w:sz="2" w:space="0" w:color="auto"/>
              <w:right w:val="single" w:sz="2" w:space="0" w:color="auto"/>
            </w:tcBorders>
            <w:hideMark/>
          </w:tcPr>
          <w:p w14:paraId="64C6CB0F" w14:textId="77777777" w:rsidR="00FD4B15" w:rsidRPr="00064185" w:rsidRDefault="00FD4B15" w:rsidP="00EA61D8">
            <w:pPr>
              <w:widowControl w:val="0"/>
              <w:autoSpaceDE w:val="0"/>
              <w:autoSpaceDN w:val="0"/>
              <w:adjustRightInd w:val="0"/>
              <w:rPr>
                <w:rFonts w:cs="Times"/>
                <w:bCs/>
                <w:szCs w:val="29"/>
                <w:lang w:eastAsia="en-US"/>
              </w:rPr>
            </w:pPr>
            <w:r w:rsidRPr="00064185">
              <w:rPr>
                <w:rFonts w:cs="Times"/>
                <w:bCs/>
                <w:szCs w:val="29"/>
                <w:lang w:eastAsia="en-US"/>
              </w:rPr>
              <w:t>Precautionary statements</w:t>
            </w:r>
          </w:p>
        </w:tc>
        <w:tc>
          <w:tcPr>
            <w:tcW w:w="3509" w:type="pct"/>
            <w:tcBorders>
              <w:top w:val="single" w:sz="2" w:space="0" w:color="auto"/>
              <w:left w:val="single" w:sz="2" w:space="0" w:color="auto"/>
              <w:bottom w:val="single" w:sz="2" w:space="0" w:color="auto"/>
              <w:right w:val="single" w:sz="2" w:space="0" w:color="auto"/>
            </w:tcBorders>
          </w:tcPr>
          <w:p w14:paraId="2C8B2455" w14:textId="77777777" w:rsidR="007113B1" w:rsidRPr="00064185" w:rsidRDefault="007113B1" w:rsidP="00EA61D8">
            <w:pPr>
              <w:tabs>
                <w:tab w:val="left" w:pos="500"/>
              </w:tabs>
              <w:ind w:left="500" w:hanging="500"/>
            </w:pPr>
            <w:r w:rsidRPr="00064185">
              <w:rPr>
                <w:bCs/>
                <w:szCs w:val="24"/>
                <w:lang w:val="en-US"/>
              </w:rPr>
              <w:t xml:space="preserve">P102: </w:t>
            </w:r>
            <w:r w:rsidRPr="00064185">
              <w:t xml:space="preserve">Keep out of reach of children. </w:t>
            </w:r>
          </w:p>
          <w:p w14:paraId="21BCED28" w14:textId="4CD37FAD" w:rsidR="00677160" w:rsidRPr="00064185" w:rsidRDefault="00677160" w:rsidP="00EA61D8">
            <w:pPr>
              <w:tabs>
                <w:tab w:val="left" w:pos="500"/>
              </w:tabs>
              <w:ind w:left="500" w:hanging="500"/>
            </w:pPr>
            <w:r w:rsidRPr="00064185">
              <w:t>P103 Read label before use.</w:t>
            </w:r>
          </w:p>
          <w:p w14:paraId="4E616DE3" w14:textId="6941A70E" w:rsidR="007113B1" w:rsidRPr="00064185" w:rsidRDefault="007113B1" w:rsidP="00EA61D8">
            <w:pPr>
              <w:tabs>
                <w:tab w:val="left" w:pos="500"/>
              </w:tabs>
              <w:ind w:left="500" w:hanging="500"/>
              <w:rPr>
                <w:bCs/>
                <w:szCs w:val="24"/>
                <w:lang w:val="en-US"/>
              </w:rPr>
            </w:pPr>
            <w:r w:rsidRPr="00064185">
              <w:t>P270: Do not eat, drink or smoke when using the product.</w:t>
            </w:r>
          </w:p>
          <w:p w14:paraId="06B9FAFF" w14:textId="6FF31C8D" w:rsidR="00FD4B15" w:rsidRPr="00064185" w:rsidRDefault="005A5186" w:rsidP="00EA61D8">
            <w:pPr>
              <w:tabs>
                <w:tab w:val="left" w:pos="500"/>
              </w:tabs>
              <w:ind w:left="500" w:hanging="500"/>
              <w:rPr>
                <w:lang w:val="en-US"/>
              </w:rPr>
            </w:pPr>
            <w:r w:rsidRPr="00064185">
              <w:rPr>
                <w:bCs/>
                <w:szCs w:val="24"/>
                <w:lang w:val="en-US"/>
              </w:rPr>
              <w:t>P273: Avoid release to the environment.</w:t>
            </w:r>
          </w:p>
          <w:p w14:paraId="27DECA47" w14:textId="5444237E" w:rsidR="00FD4B15" w:rsidRPr="00064185" w:rsidRDefault="00FD4B15" w:rsidP="00EA61D8">
            <w:pPr>
              <w:widowControl w:val="0"/>
              <w:autoSpaceDE w:val="0"/>
              <w:autoSpaceDN w:val="0"/>
              <w:adjustRightInd w:val="0"/>
              <w:rPr>
                <w:rFonts w:cs="Times"/>
                <w:bCs/>
                <w:szCs w:val="29"/>
                <w:lang w:eastAsia="fi-FI"/>
              </w:rPr>
            </w:pPr>
            <w:r w:rsidRPr="00064185">
              <w:rPr>
                <w:bCs/>
                <w:szCs w:val="24"/>
                <w:lang w:val="en-US"/>
              </w:rPr>
              <w:t>P501: Dispose of contents</w:t>
            </w:r>
            <w:r w:rsidR="006255E7" w:rsidRPr="00064185">
              <w:rPr>
                <w:bCs/>
                <w:szCs w:val="24"/>
                <w:lang w:val="en-US"/>
              </w:rPr>
              <w:t>/container to …</w:t>
            </w:r>
            <w:r w:rsidRPr="00064185">
              <w:rPr>
                <w:bCs/>
                <w:szCs w:val="24"/>
                <w:lang w:val="en-US"/>
              </w:rPr>
              <w:t xml:space="preserve"> </w:t>
            </w:r>
            <w:r w:rsidR="002B2E70" w:rsidRPr="00064185">
              <w:rPr>
                <w:bCs/>
                <w:szCs w:val="24"/>
                <w:lang w:val="en-US"/>
              </w:rPr>
              <w:t>in accordance with local/regional/national/international regulation (</w:t>
            </w:r>
            <w:r w:rsidRPr="00064185">
              <w:rPr>
                <w:bCs/>
                <w:szCs w:val="24"/>
                <w:lang w:val="en-US"/>
              </w:rPr>
              <w:t>to</w:t>
            </w:r>
            <w:r w:rsidR="002B2E70" w:rsidRPr="00064185">
              <w:rPr>
                <w:bCs/>
                <w:szCs w:val="24"/>
                <w:lang w:val="en-US"/>
              </w:rPr>
              <w:t xml:space="preserve"> be specified).</w:t>
            </w:r>
          </w:p>
        </w:tc>
      </w:tr>
      <w:tr w:rsidR="00A53EE0" w:rsidRPr="00064185" w14:paraId="79BA8E1C" w14:textId="77777777" w:rsidTr="00FD4B15">
        <w:trPr>
          <w:cantSplit/>
          <w:tblHeader/>
          <w:jc w:val="center"/>
        </w:trPr>
        <w:tc>
          <w:tcPr>
            <w:tcW w:w="1491" w:type="pct"/>
            <w:tcBorders>
              <w:top w:val="single" w:sz="2" w:space="0" w:color="auto"/>
              <w:left w:val="single" w:sz="2" w:space="0" w:color="auto"/>
              <w:bottom w:val="single" w:sz="2" w:space="0" w:color="auto"/>
              <w:right w:val="single" w:sz="2" w:space="0" w:color="auto"/>
            </w:tcBorders>
            <w:hideMark/>
          </w:tcPr>
          <w:p w14:paraId="6936D5FA" w14:textId="77777777" w:rsidR="00A53EE0" w:rsidRPr="00064185" w:rsidRDefault="00A53EE0" w:rsidP="00EA61D8">
            <w:pPr>
              <w:widowControl w:val="0"/>
              <w:autoSpaceDE w:val="0"/>
              <w:autoSpaceDN w:val="0"/>
              <w:adjustRightInd w:val="0"/>
              <w:rPr>
                <w:rFonts w:cs="Times"/>
                <w:bCs/>
                <w:szCs w:val="29"/>
                <w:lang w:eastAsia="fi-FI"/>
              </w:rPr>
            </w:pPr>
            <w:r w:rsidRPr="00064185">
              <w:rPr>
                <w:rFonts w:cs="Times"/>
                <w:bCs/>
                <w:szCs w:val="29"/>
                <w:lang w:eastAsia="en-US"/>
              </w:rPr>
              <w:t>Note</w:t>
            </w:r>
          </w:p>
        </w:tc>
        <w:tc>
          <w:tcPr>
            <w:tcW w:w="3509" w:type="pct"/>
            <w:tcBorders>
              <w:top w:val="single" w:sz="2" w:space="0" w:color="auto"/>
              <w:left w:val="single" w:sz="2" w:space="0" w:color="auto"/>
              <w:bottom w:val="single" w:sz="2" w:space="0" w:color="auto"/>
              <w:right w:val="single" w:sz="2" w:space="0" w:color="auto"/>
            </w:tcBorders>
          </w:tcPr>
          <w:p w14:paraId="77BBC67C" w14:textId="77777777" w:rsidR="00A53EE0" w:rsidRPr="00064185" w:rsidRDefault="00FD4B15" w:rsidP="00EA61D8">
            <w:pPr>
              <w:widowControl w:val="0"/>
              <w:autoSpaceDE w:val="0"/>
              <w:autoSpaceDN w:val="0"/>
              <w:adjustRightInd w:val="0"/>
              <w:rPr>
                <w:rFonts w:cs="Times"/>
                <w:b/>
                <w:bCs/>
                <w:szCs w:val="29"/>
                <w:lang w:eastAsia="fi-FI"/>
              </w:rPr>
            </w:pPr>
            <w:r w:rsidRPr="00064185">
              <w:rPr>
                <w:rFonts w:cs="Times"/>
                <w:b/>
                <w:bCs/>
                <w:szCs w:val="29"/>
                <w:lang w:eastAsia="fi-FI"/>
              </w:rPr>
              <w:t>‒</w:t>
            </w:r>
          </w:p>
        </w:tc>
      </w:tr>
      <w:bookmarkEnd w:id="51"/>
    </w:tbl>
    <w:p w14:paraId="3ECDD458" w14:textId="77777777" w:rsidR="002D7324" w:rsidRPr="00064185" w:rsidRDefault="002D7324" w:rsidP="00EA61D8">
      <w:pPr>
        <w:spacing w:line="260" w:lineRule="atLeast"/>
        <w:rPr>
          <w:rFonts w:eastAsia="Calibri"/>
          <w:lang w:eastAsia="en-US"/>
        </w:rPr>
      </w:pPr>
    </w:p>
    <w:p w14:paraId="6F8AAE79" w14:textId="77777777" w:rsidR="00A53EE0" w:rsidRPr="00064185" w:rsidRDefault="00A53EE0" w:rsidP="00EA61D8">
      <w:pPr>
        <w:spacing w:line="260" w:lineRule="atLeast"/>
        <w:rPr>
          <w:rFonts w:eastAsia="Calibri"/>
          <w:lang w:eastAsia="en-US"/>
        </w:rPr>
      </w:pPr>
    </w:p>
    <w:p w14:paraId="36545038" w14:textId="77777777" w:rsidR="00A53EE0" w:rsidRPr="00064185" w:rsidRDefault="00A53EE0" w:rsidP="00EA61D8">
      <w:pPr>
        <w:spacing w:line="260" w:lineRule="atLeast"/>
        <w:rPr>
          <w:rFonts w:eastAsia="Calibri"/>
          <w:lang w:eastAsia="en-US"/>
        </w:rPr>
      </w:pPr>
    </w:p>
    <w:p w14:paraId="5B963C59" w14:textId="77777777" w:rsidR="00A53EE0" w:rsidRPr="00064185" w:rsidRDefault="00A53EE0" w:rsidP="00EA61D8">
      <w:pPr>
        <w:pStyle w:val="berschrift4"/>
        <w:jc w:val="left"/>
      </w:pPr>
      <w:bookmarkStart w:id="52" w:name="_Toc389728859"/>
      <w:bookmarkStart w:id="53" w:name="_Toc403472711"/>
      <w:bookmarkStart w:id="54" w:name="_Toc440879615"/>
      <w:bookmarkStart w:id="55" w:name="_Toc440889928"/>
      <w:bookmarkStart w:id="56" w:name="_Toc530563631"/>
      <w:r w:rsidRPr="00064185">
        <w:lastRenderedPageBreak/>
        <w:t>Packaging of the biocidal product</w:t>
      </w:r>
      <w:bookmarkEnd w:id="52"/>
      <w:bookmarkEnd w:id="53"/>
      <w:bookmarkEnd w:id="54"/>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673"/>
        <w:gridCol w:w="1430"/>
        <w:gridCol w:w="1411"/>
        <w:gridCol w:w="1741"/>
        <w:gridCol w:w="1745"/>
      </w:tblGrid>
      <w:tr w:rsidR="00064185" w:rsidRPr="00064185" w14:paraId="1BF0B4B6" w14:textId="77777777" w:rsidTr="00FD4B15">
        <w:tc>
          <w:tcPr>
            <w:tcW w:w="758" w:type="pct"/>
            <w:shd w:val="clear" w:color="auto" w:fill="FFFFCC"/>
          </w:tcPr>
          <w:p w14:paraId="2D961187" w14:textId="77777777" w:rsidR="00A53EE0" w:rsidRPr="00064185" w:rsidRDefault="00A53EE0" w:rsidP="00EA61D8">
            <w:pPr>
              <w:keepNext/>
              <w:keepLines/>
              <w:widowControl w:val="0"/>
              <w:spacing w:line="260" w:lineRule="atLeast"/>
              <w:rPr>
                <w:rFonts w:eastAsia="Calibri"/>
                <w:b/>
                <w:sz w:val="18"/>
                <w:lang w:eastAsia="en-US"/>
              </w:rPr>
            </w:pPr>
            <w:r w:rsidRPr="00064185">
              <w:rPr>
                <w:rFonts w:eastAsia="Calibri"/>
                <w:b/>
                <w:sz w:val="18"/>
                <w:lang w:eastAsia="en-US"/>
              </w:rPr>
              <w:t>Type of packaging</w:t>
            </w:r>
            <w:r w:rsidRPr="00064185" w:rsidDel="00F33E33">
              <w:rPr>
                <w:rFonts w:eastAsia="Calibri"/>
                <w:b/>
                <w:sz w:val="18"/>
                <w:lang w:eastAsia="en-US"/>
              </w:rPr>
              <w:t xml:space="preserve"> </w:t>
            </w:r>
          </w:p>
        </w:tc>
        <w:tc>
          <w:tcPr>
            <w:tcW w:w="887" w:type="pct"/>
            <w:shd w:val="clear" w:color="auto" w:fill="FFFFCC"/>
          </w:tcPr>
          <w:p w14:paraId="712B30CC" w14:textId="77777777" w:rsidR="00A53EE0" w:rsidRPr="00064185" w:rsidRDefault="00A53EE0" w:rsidP="00EA61D8">
            <w:pPr>
              <w:keepNext/>
              <w:keepLines/>
              <w:widowControl w:val="0"/>
              <w:spacing w:line="260" w:lineRule="atLeast"/>
              <w:rPr>
                <w:rFonts w:eastAsia="Calibri"/>
                <w:b/>
                <w:sz w:val="18"/>
                <w:lang w:eastAsia="en-US"/>
              </w:rPr>
            </w:pPr>
            <w:r w:rsidRPr="00064185">
              <w:rPr>
                <w:rFonts w:eastAsia="Calibri"/>
                <w:b/>
                <w:sz w:val="18"/>
                <w:lang w:eastAsia="en-US"/>
              </w:rPr>
              <w:t>Size/volume</w:t>
            </w:r>
            <w:r w:rsidRPr="00064185" w:rsidDel="00F33E33">
              <w:rPr>
                <w:rFonts w:eastAsia="Calibri"/>
                <w:b/>
                <w:sz w:val="18"/>
                <w:lang w:eastAsia="en-US"/>
              </w:rPr>
              <w:t xml:space="preserve"> </w:t>
            </w:r>
            <w:r w:rsidRPr="00064185">
              <w:rPr>
                <w:rFonts w:eastAsia="Calibri"/>
                <w:b/>
                <w:sz w:val="18"/>
                <w:lang w:eastAsia="en-US"/>
              </w:rPr>
              <w:t>of the packaging</w:t>
            </w:r>
          </w:p>
        </w:tc>
        <w:tc>
          <w:tcPr>
            <w:tcW w:w="758" w:type="pct"/>
            <w:shd w:val="clear" w:color="auto" w:fill="FFFFCC"/>
          </w:tcPr>
          <w:p w14:paraId="20FBEA43" w14:textId="77777777" w:rsidR="00A53EE0" w:rsidRPr="00064185" w:rsidRDefault="00A53EE0" w:rsidP="00EA61D8">
            <w:pPr>
              <w:keepNext/>
              <w:keepLines/>
              <w:widowControl w:val="0"/>
              <w:spacing w:line="260" w:lineRule="atLeast"/>
              <w:rPr>
                <w:rFonts w:eastAsia="Calibri"/>
                <w:b/>
                <w:sz w:val="18"/>
                <w:lang w:eastAsia="en-US"/>
              </w:rPr>
            </w:pPr>
            <w:r w:rsidRPr="00064185">
              <w:rPr>
                <w:rFonts w:eastAsia="Calibri"/>
                <w:b/>
                <w:sz w:val="18"/>
                <w:lang w:eastAsia="en-US"/>
              </w:rPr>
              <w:t>Material of the packaging</w:t>
            </w:r>
          </w:p>
        </w:tc>
        <w:tc>
          <w:tcPr>
            <w:tcW w:w="748" w:type="pct"/>
            <w:shd w:val="clear" w:color="auto" w:fill="FFFFCC"/>
          </w:tcPr>
          <w:p w14:paraId="7B56D265" w14:textId="77777777" w:rsidR="00A53EE0" w:rsidRPr="00064185" w:rsidRDefault="00A53EE0" w:rsidP="00EA61D8">
            <w:pPr>
              <w:keepNext/>
              <w:keepLines/>
              <w:widowControl w:val="0"/>
              <w:spacing w:line="260" w:lineRule="atLeast"/>
              <w:rPr>
                <w:rFonts w:eastAsia="Calibri"/>
                <w:b/>
                <w:sz w:val="18"/>
                <w:lang w:eastAsia="en-US"/>
              </w:rPr>
            </w:pPr>
            <w:r w:rsidRPr="00064185">
              <w:rPr>
                <w:rFonts w:eastAsia="Calibri"/>
                <w:b/>
                <w:sz w:val="18"/>
                <w:lang w:eastAsia="en-US"/>
              </w:rPr>
              <w:t>Type and material of closure(s)</w:t>
            </w:r>
          </w:p>
        </w:tc>
        <w:tc>
          <w:tcPr>
            <w:tcW w:w="923" w:type="pct"/>
            <w:shd w:val="clear" w:color="auto" w:fill="FFFFCC"/>
          </w:tcPr>
          <w:p w14:paraId="4CD26686" w14:textId="77777777" w:rsidR="00A53EE0" w:rsidRPr="00064185" w:rsidRDefault="00A53EE0" w:rsidP="00EA61D8">
            <w:pPr>
              <w:keepNext/>
              <w:keepLines/>
              <w:widowControl w:val="0"/>
              <w:spacing w:line="260" w:lineRule="atLeast"/>
              <w:rPr>
                <w:rFonts w:eastAsia="Calibri"/>
                <w:b/>
                <w:sz w:val="18"/>
                <w:lang w:val="fr-BE" w:eastAsia="en-US"/>
              </w:rPr>
            </w:pPr>
            <w:r w:rsidRPr="00064185">
              <w:rPr>
                <w:rFonts w:eastAsia="Calibri"/>
                <w:b/>
                <w:sz w:val="18"/>
                <w:lang w:val="fr-BE" w:eastAsia="en-US"/>
              </w:rPr>
              <w:t>Intended user (e.g. professional, non-professional)</w:t>
            </w:r>
          </w:p>
        </w:tc>
        <w:tc>
          <w:tcPr>
            <w:tcW w:w="925" w:type="pct"/>
            <w:shd w:val="clear" w:color="auto" w:fill="FFFFCC"/>
          </w:tcPr>
          <w:p w14:paraId="3EB40A02" w14:textId="77777777" w:rsidR="00A53EE0" w:rsidRPr="00064185" w:rsidRDefault="00A53EE0" w:rsidP="00EA61D8">
            <w:pPr>
              <w:keepNext/>
              <w:keepLines/>
              <w:widowControl w:val="0"/>
              <w:spacing w:line="260" w:lineRule="atLeast"/>
              <w:rPr>
                <w:rFonts w:eastAsia="Calibri"/>
                <w:b/>
                <w:sz w:val="18"/>
                <w:lang w:eastAsia="en-US"/>
              </w:rPr>
            </w:pPr>
            <w:r w:rsidRPr="00064185">
              <w:rPr>
                <w:rFonts w:eastAsia="Calibri"/>
                <w:b/>
                <w:sz w:val="18"/>
                <w:lang w:eastAsia="en-US"/>
              </w:rPr>
              <w:t>Compatibility of the product with the proposed packaging materials (Yes/No)</w:t>
            </w:r>
          </w:p>
        </w:tc>
      </w:tr>
      <w:tr w:rsidR="00FD4B15" w:rsidRPr="00064185" w14:paraId="40DB5FAE" w14:textId="77777777" w:rsidTr="00FD4B15">
        <w:tc>
          <w:tcPr>
            <w:tcW w:w="758" w:type="pct"/>
            <w:shd w:val="clear" w:color="auto" w:fill="auto"/>
          </w:tcPr>
          <w:p w14:paraId="7C51769E" w14:textId="77777777" w:rsidR="00FD4B15" w:rsidRPr="00064185" w:rsidRDefault="00FD4B15" w:rsidP="00EA61D8">
            <w:pPr>
              <w:keepNext/>
              <w:keepLines/>
              <w:widowControl w:val="0"/>
              <w:spacing w:line="260" w:lineRule="atLeast"/>
              <w:rPr>
                <w:rFonts w:eastAsia="Calibri"/>
                <w:lang w:eastAsia="en-US"/>
              </w:rPr>
            </w:pPr>
            <w:r w:rsidRPr="00064185">
              <w:t>Trigger bottle</w:t>
            </w:r>
          </w:p>
        </w:tc>
        <w:tc>
          <w:tcPr>
            <w:tcW w:w="887" w:type="pct"/>
            <w:shd w:val="clear" w:color="auto" w:fill="auto"/>
          </w:tcPr>
          <w:p w14:paraId="7331E7A6" w14:textId="77777777" w:rsidR="00B407EB" w:rsidRPr="00064185" w:rsidRDefault="00456594" w:rsidP="00EA61D8">
            <w:pPr>
              <w:keepNext/>
              <w:keepLines/>
              <w:widowControl w:val="0"/>
              <w:spacing w:line="260" w:lineRule="atLeast"/>
            </w:pPr>
            <w:r w:rsidRPr="00064185">
              <w:t>200</w:t>
            </w:r>
            <w:r w:rsidR="00B407EB" w:rsidRPr="00064185">
              <w:t xml:space="preserve"> </w:t>
            </w:r>
            <w:r w:rsidRPr="00064185">
              <w:t xml:space="preserve">ml; </w:t>
            </w:r>
          </w:p>
          <w:p w14:paraId="2E854584" w14:textId="77777777" w:rsidR="00B407EB" w:rsidRPr="00064185" w:rsidRDefault="00456594" w:rsidP="00EA61D8">
            <w:pPr>
              <w:keepNext/>
              <w:keepLines/>
              <w:widowControl w:val="0"/>
              <w:spacing w:line="260" w:lineRule="atLeast"/>
            </w:pPr>
            <w:r w:rsidRPr="00064185">
              <w:t>250</w:t>
            </w:r>
            <w:r w:rsidR="00B407EB" w:rsidRPr="00064185">
              <w:t xml:space="preserve"> </w:t>
            </w:r>
            <w:r w:rsidRPr="00064185">
              <w:t xml:space="preserve">ml; </w:t>
            </w:r>
          </w:p>
          <w:p w14:paraId="19B70C1B" w14:textId="77777777" w:rsidR="00B407EB" w:rsidRPr="00064185" w:rsidRDefault="00456594" w:rsidP="00EA61D8">
            <w:pPr>
              <w:keepNext/>
              <w:keepLines/>
              <w:widowControl w:val="0"/>
              <w:spacing w:line="260" w:lineRule="atLeast"/>
            </w:pPr>
            <w:r w:rsidRPr="00064185">
              <w:t>300</w:t>
            </w:r>
            <w:r w:rsidR="00B407EB" w:rsidRPr="00064185">
              <w:t xml:space="preserve"> </w:t>
            </w:r>
            <w:r w:rsidRPr="00064185">
              <w:t xml:space="preserve">ml; </w:t>
            </w:r>
          </w:p>
          <w:p w14:paraId="70422759" w14:textId="77777777" w:rsidR="00B407EB" w:rsidRPr="00064185" w:rsidRDefault="00456594" w:rsidP="00EA61D8">
            <w:pPr>
              <w:keepNext/>
              <w:keepLines/>
              <w:widowControl w:val="0"/>
              <w:spacing w:line="260" w:lineRule="atLeast"/>
            </w:pPr>
            <w:r w:rsidRPr="00064185">
              <w:t>400</w:t>
            </w:r>
            <w:r w:rsidR="00B407EB" w:rsidRPr="00064185">
              <w:t xml:space="preserve"> </w:t>
            </w:r>
            <w:r w:rsidRPr="00064185">
              <w:t xml:space="preserve">ml; </w:t>
            </w:r>
          </w:p>
          <w:p w14:paraId="6BFC46F0" w14:textId="77777777" w:rsidR="00B407EB" w:rsidRPr="00064185" w:rsidRDefault="00456594" w:rsidP="00EA61D8">
            <w:pPr>
              <w:keepNext/>
              <w:keepLines/>
              <w:widowControl w:val="0"/>
              <w:spacing w:line="260" w:lineRule="atLeast"/>
            </w:pPr>
            <w:r w:rsidRPr="00064185">
              <w:t>500</w:t>
            </w:r>
            <w:r w:rsidR="00B407EB" w:rsidRPr="00064185">
              <w:t xml:space="preserve"> </w:t>
            </w:r>
            <w:r w:rsidRPr="00064185">
              <w:t xml:space="preserve">ml; </w:t>
            </w:r>
          </w:p>
          <w:p w14:paraId="7F204F63" w14:textId="77777777" w:rsidR="00B407EB" w:rsidRPr="00064185" w:rsidRDefault="00456594" w:rsidP="00EA61D8">
            <w:pPr>
              <w:keepNext/>
              <w:keepLines/>
              <w:widowControl w:val="0"/>
              <w:spacing w:line="260" w:lineRule="atLeast"/>
            </w:pPr>
            <w:r w:rsidRPr="00064185">
              <w:t>750</w:t>
            </w:r>
            <w:r w:rsidR="00B407EB" w:rsidRPr="00064185">
              <w:t xml:space="preserve"> </w:t>
            </w:r>
            <w:r w:rsidRPr="00064185">
              <w:t xml:space="preserve">ml; </w:t>
            </w:r>
          </w:p>
          <w:p w14:paraId="2E4F4EDB" w14:textId="77777777" w:rsidR="00B407EB" w:rsidRPr="00064185" w:rsidRDefault="00456594" w:rsidP="00EA61D8">
            <w:pPr>
              <w:keepNext/>
              <w:keepLines/>
              <w:widowControl w:val="0"/>
              <w:spacing w:line="260" w:lineRule="atLeast"/>
            </w:pPr>
            <w:r w:rsidRPr="00064185">
              <w:t>900</w:t>
            </w:r>
            <w:r w:rsidR="00B407EB" w:rsidRPr="00064185">
              <w:t xml:space="preserve"> </w:t>
            </w:r>
            <w:r w:rsidRPr="00064185">
              <w:t xml:space="preserve">ml; </w:t>
            </w:r>
          </w:p>
          <w:p w14:paraId="5C4076B2" w14:textId="570C3315" w:rsidR="00FD4B15" w:rsidRPr="00064185" w:rsidRDefault="00456594" w:rsidP="00EA61D8">
            <w:pPr>
              <w:keepNext/>
              <w:keepLines/>
              <w:widowControl w:val="0"/>
              <w:spacing w:line="260" w:lineRule="atLeast"/>
              <w:rPr>
                <w:rFonts w:eastAsia="Calibri"/>
                <w:lang w:eastAsia="en-US"/>
              </w:rPr>
            </w:pPr>
            <w:r w:rsidRPr="00064185">
              <w:t>1000</w:t>
            </w:r>
            <w:r w:rsidR="00B407EB" w:rsidRPr="00064185">
              <w:t xml:space="preserve"> </w:t>
            </w:r>
            <w:r w:rsidRPr="00064185">
              <w:t>ml</w:t>
            </w:r>
            <w:r w:rsidR="00C42852" w:rsidRPr="00064185">
              <w:t>;</w:t>
            </w:r>
          </w:p>
        </w:tc>
        <w:tc>
          <w:tcPr>
            <w:tcW w:w="758" w:type="pct"/>
            <w:shd w:val="clear" w:color="auto" w:fill="auto"/>
          </w:tcPr>
          <w:p w14:paraId="301668B3" w14:textId="77777777" w:rsidR="00FD4B15" w:rsidRPr="00064185" w:rsidRDefault="00FD4B15" w:rsidP="00EA61D8">
            <w:pPr>
              <w:keepNext/>
              <w:keepLines/>
              <w:widowControl w:val="0"/>
              <w:spacing w:line="260" w:lineRule="atLeast"/>
              <w:rPr>
                <w:rFonts w:eastAsia="Calibri"/>
                <w:lang w:eastAsia="en-US"/>
              </w:rPr>
            </w:pPr>
            <w:r w:rsidRPr="00064185">
              <w:rPr>
                <w:rFonts w:eastAsia="Calibri"/>
                <w:lang w:eastAsia="en-US"/>
              </w:rPr>
              <w:t>PET</w:t>
            </w:r>
          </w:p>
        </w:tc>
        <w:tc>
          <w:tcPr>
            <w:tcW w:w="748" w:type="pct"/>
            <w:shd w:val="clear" w:color="auto" w:fill="auto"/>
          </w:tcPr>
          <w:p w14:paraId="66BB734A" w14:textId="77777777" w:rsidR="00FD4B15" w:rsidRPr="00064185" w:rsidRDefault="00FD4B15" w:rsidP="00EA61D8">
            <w:pPr>
              <w:keepNext/>
              <w:keepLines/>
              <w:widowControl w:val="0"/>
              <w:spacing w:line="260" w:lineRule="atLeast"/>
              <w:rPr>
                <w:rFonts w:eastAsia="Calibri"/>
                <w:lang w:eastAsia="en-US"/>
              </w:rPr>
            </w:pPr>
            <w:r w:rsidRPr="00064185">
              <w:rPr>
                <w:rFonts w:eastAsia="Calibri"/>
                <w:lang w:eastAsia="en-US"/>
              </w:rPr>
              <w:t>Trigger is made of PP</w:t>
            </w:r>
          </w:p>
        </w:tc>
        <w:tc>
          <w:tcPr>
            <w:tcW w:w="923" w:type="pct"/>
            <w:shd w:val="clear" w:color="auto" w:fill="auto"/>
          </w:tcPr>
          <w:p w14:paraId="4042DD09" w14:textId="77777777" w:rsidR="00FD4B15" w:rsidRPr="00064185" w:rsidRDefault="00E6313B" w:rsidP="00EA61D8">
            <w:pPr>
              <w:keepNext/>
              <w:keepLines/>
              <w:widowControl w:val="0"/>
              <w:spacing w:line="260" w:lineRule="atLeast"/>
              <w:rPr>
                <w:rFonts w:eastAsia="Calibri"/>
                <w:lang w:eastAsia="en-US"/>
              </w:rPr>
            </w:pPr>
            <w:r w:rsidRPr="00064185">
              <w:rPr>
                <w:rFonts w:eastAsia="Calibri"/>
                <w:lang w:val="fr-BE" w:eastAsia="en-US"/>
              </w:rPr>
              <w:t>non-</w:t>
            </w:r>
            <w:r w:rsidR="00FD4B15" w:rsidRPr="00064185">
              <w:rPr>
                <w:rFonts w:eastAsia="Calibri"/>
                <w:lang w:val="fr-BE" w:eastAsia="en-US"/>
              </w:rPr>
              <w:t>professional</w:t>
            </w:r>
          </w:p>
        </w:tc>
        <w:tc>
          <w:tcPr>
            <w:tcW w:w="925" w:type="pct"/>
          </w:tcPr>
          <w:p w14:paraId="60268579" w14:textId="77777777" w:rsidR="00FD4B15" w:rsidRPr="00064185" w:rsidRDefault="00FD4B15" w:rsidP="00EA61D8">
            <w:pPr>
              <w:keepNext/>
              <w:keepLines/>
              <w:widowControl w:val="0"/>
              <w:spacing w:line="260" w:lineRule="atLeast"/>
              <w:rPr>
                <w:rFonts w:eastAsia="Calibri"/>
                <w:lang w:eastAsia="en-US"/>
              </w:rPr>
            </w:pPr>
            <w:r w:rsidRPr="00064185">
              <w:rPr>
                <w:rFonts w:eastAsia="Calibri"/>
                <w:lang w:eastAsia="en-US"/>
              </w:rPr>
              <w:t>Yes</w:t>
            </w:r>
          </w:p>
        </w:tc>
      </w:tr>
    </w:tbl>
    <w:p w14:paraId="3AF25F31" w14:textId="77777777" w:rsidR="00A53EE0" w:rsidRPr="00064185" w:rsidRDefault="00A53EE0" w:rsidP="00EA61D8">
      <w:pPr>
        <w:spacing w:line="260" w:lineRule="atLeast"/>
        <w:rPr>
          <w:rFonts w:eastAsia="Calibri"/>
          <w:lang w:eastAsia="en-US"/>
        </w:rPr>
      </w:pPr>
    </w:p>
    <w:p w14:paraId="7F3AB17D" w14:textId="77777777" w:rsidR="009133D2" w:rsidRPr="00064185" w:rsidRDefault="009133D2" w:rsidP="00EA61D8">
      <w:pPr>
        <w:spacing w:line="260" w:lineRule="atLeast"/>
        <w:rPr>
          <w:rFonts w:eastAsia="Calibri"/>
          <w:lang w:eastAsia="en-US"/>
        </w:rPr>
      </w:pPr>
    </w:p>
    <w:p w14:paraId="09B80EAF" w14:textId="77777777" w:rsidR="00D3359A" w:rsidRPr="00064185" w:rsidRDefault="00D3359A" w:rsidP="00EA61D8">
      <w:pPr>
        <w:spacing w:line="260" w:lineRule="atLeast"/>
        <w:rPr>
          <w:rFonts w:eastAsia="Calibri"/>
          <w:lang w:eastAsia="en-US"/>
        </w:rPr>
      </w:pPr>
    </w:p>
    <w:p w14:paraId="7518163B" w14:textId="77777777" w:rsidR="00A53EE0" w:rsidRPr="00064185" w:rsidRDefault="00A53EE0" w:rsidP="00EA61D8">
      <w:pPr>
        <w:pStyle w:val="berschrift3"/>
        <w:rPr>
          <w:rFonts w:eastAsia="Calibri"/>
          <w:lang w:val="en-US" w:eastAsia="en-US"/>
        </w:rPr>
      </w:pPr>
      <w:bookmarkStart w:id="57" w:name="_Toc403472712"/>
      <w:bookmarkStart w:id="58" w:name="_Toc440879616"/>
      <w:bookmarkStart w:id="59" w:name="_Toc440889929"/>
      <w:bookmarkStart w:id="60" w:name="_Toc530563632"/>
      <w:bookmarkStart w:id="61" w:name="_Toc389728860"/>
      <w:r w:rsidRPr="00064185">
        <w:rPr>
          <w:rFonts w:eastAsia="Calibri"/>
          <w:lang w:val="en-US" w:eastAsia="en-US"/>
        </w:rPr>
        <w:t>Summary of the physical, chemical and technical properties</w:t>
      </w:r>
      <w:bookmarkEnd w:id="57"/>
      <w:bookmarkEnd w:id="58"/>
      <w:bookmarkEnd w:id="59"/>
      <w:bookmarkEnd w:id="60"/>
      <w:r w:rsidRPr="00064185">
        <w:rPr>
          <w:rFonts w:eastAsia="Calibri"/>
          <w:lang w:val="en-US" w:eastAsia="en-US"/>
        </w:rPr>
        <w:t xml:space="preserve"> </w:t>
      </w:r>
      <w:bookmarkEnd w:id="61"/>
    </w:p>
    <w:p w14:paraId="5C029032" w14:textId="06ECE3DB" w:rsidR="00B9755A" w:rsidRPr="00064185" w:rsidRDefault="00CE2F3F" w:rsidP="000835FA">
      <w:pPr>
        <w:pStyle w:val="Absatz"/>
        <w:ind w:left="0"/>
        <w:jc w:val="both"/>
        <w:rPr>
          <w:rFonts w:ascii="Verdana" w:eastAsia="Calibri" w:hAnsi="Verdana"/>
          <w:lang w:val="en-US" w:eastAsia="en-US"/>
        </w:rPr>
      </w:pPr>
      <w:r w:rsidRPr="00064185">
        <w:rPr>
          <w:rFonts w:ascii="Verdana" w:eastAsia="Calibri" w:hAnsi="Verdana"/>
          <w:lang w:val="en-US" w:eastAsia="en-US"/>
        </w:rPr>
        <w:t xml:space="preserve">The biocidal product </w:t>
      </w:r>
      <w:r w:rsidR="00E21E72" w:rsidRPr="00064185">
        <w:rPr>
          <w:rFonts w:ascii="Verdana" w:eastAsia="Calibri" w:hAnsi="Verdana"/>
          <w:lang w:val="en-US" w:eastAsia="en-US"/>
        </w:rPr>
        <w:t>COM 116 02 I AL</w:t>
      </w:r>
      <w:r w:rsidR="009823A5" w:rsidRPr="00064185">
        <w:rPr>
          <w:rFonts w:ascii="Verdana" w:eastAsia="Calibri" w:hAnsi="Verdana"/>
          <w:lang w:val="en-US" w:eastAsia="en-US"/>
        </w:rPr>
        <w:t xml:space="preserve"> </w:t>
      </w:r>
      <w:r w:rsidRPr="00064185">
        <w:rPr>
          <w:rFonts w:ascii="Verdana" w:eastAsia="Calibri" w:hAnsi="Verdana"/>
          <w:lang w:val="en-US" w:eastAsia="en-US"/>
        </w:rPr>
        <w:t>is a slightly milky li</w:t>
      </w:r>
      <w:r w:rsidR="00C42852" w:rsidRPr="00064185">
        <w:rPr>
          <w:rFonts w:ascii="Verdana" w:eastAsia="Calibri" w:hAnsi="Verdana"/>
          <w:lang w:val="en-US" w:eastAsia="en-US"/>
        </w:rPr>
        <w:t>quid with slightly sweetish odo</w:t>
      </w:r>
      <w:r w:rsidRPr="00064185">
        <w:rPr>
          <w:rFonts w:ascii="Verdana" w:eastAsia="Calibri" w:hAnsi="Verdana"/>
          <w:lang w:val="en-US" w:eastAsia="en-US"/>
        </w:rPr>
        <w:t>r. It has no explosive, oxidi</w:t>
      </w:r>
      <w:r w:rsidR="00C42852" w:rsidRPr="00064185">
        <w:rPr>
          <w:rFonts w:ascii="Verdana" w:eastAsia="Calibri" w:hAnsi="Verdana"/>
          <w:lang w:val="en-US" w:eastAsia="en-US"/>
        </w:rPr>
        <w:t>z</w:t>
      </w:r>
      <w:r w:rsidRPr="00064185">
        <w:rPr>
          <w:rFonts w:ascii="Verdana" w:eastAsia="Calibri" w:hAnsi="Verdana"/>
          <w:lang w:val="en-US" w:eastAsia="en-US"/>
        </w:rPr>
        <w:t>ing or flammable properties. No fla</w:t>
      </w:r>
      <w:r w:rsidR="0078381B" w:rsidRPr="00064185">
        <w:rPr>
          <w:rFonts w:ascii="Verdana" w:eastAsia="Calibri" w:hAnsi="Verdana"/>
          <w:lang w:val="en-US" w:eastAsia="en-US"/>
        </w:rPr>
        <w:t>sh point was detected below 101</w:t>
      </w:r>
      <w:r w:rsidRPr="00064185">
        <w:rPr>
          <w:rFonts w:ascii="Verdana" w:eastAsia="Calibri" w:hAnsi="Verdana"/>
          <w:lang w:val="en-US" w:eastAsia="en-US"/>
        </w:rPr>
        <w:t>°C, the onset of boiling and no auto-ignition temperature was detected below 650°C. The pH value of the neat formulation is 6.1 and 6.5 of a 1% suspension in water. Its acidity is 0.01% calculated as H</w:t>
      </w:r>
      <w:r w:rsidRPr="00064185">
        <w:rPr>
          <w:rFonts w:ascii="Verdana" w:eastAsia="Calibri" w:hAnsi="Verdana"/>
          <w:vertAlign w:val="subscript"/>
          <w:lang w:val="en-US" w:eastAsia="en-US"/>
        </w:rPr>
        <w:t>2</w:t>
      </w:r>
      <w:r w:rsidRPr="00064185">
        <w:rPr>
          <w:rFonts w:ascii="Verdana" w:eastAsia="Calibri" w:hAnsi="Verdana"/>
          <w:lang w:val="en-US" w:eastAsia="en-US"/>
        </w:rPr>
        <w:t>SO</w:t>
      </w:r>
      <w:r w:rsidRPr="00064185">
        <w:rPr>
          <w:rFonts w:ascii="Verdana" w:eastAsia="Calibri" w:hAnsi="Verdana"/>
          <w:vertAlign w:val="subscript"/>
          <w:lang w:val="en-US" w:eastAsia="en-US"/>
        </w:rPr>
        <w:t>4</w:t>
      </w:r>
      <w:r w:rsidRPr="00064185">
        <w:rPr>
          <w:rFonts w:ascii="Verdana" w:eastAsia="Calibri" w:hAnsi="Verdana"/>
          <w:lang w:val="en-US" w:eastAsia="en-US"/>
        </w:rPr>
        <w:t>. The density of the biocidal product is 0.999 g/</w:t>
      </w:r>
      <w:r w:rsidR="00FB413E" w:rsidRPr="00064185">
        <w:rPr>
          <w:rFonts w:ascii="Verdana" w:eastAsia="Calibri" w:hAnsi="Verdana"/>
          <w:lang w:val="en-US" w:eastAsia="en-US"/>
        </w:rPr>
        <w:t>c</w:t>
      </w:r>
      <w:r w:rsidRPr="00064185">
        <w:rPr>
          <w:rFonts w:ascii="Verdana" w:eastAsia="Calibri" w:hAnsi="Verdana"/>
          <w:lang w:val="en-US" w:eastAsia="en-US"/>
        </w:rPr>
        <w:t>m</w:t>
      </w:r>
      <w:r w:rsidRPr="00064185">
        <w:rPr>
          <w:rFonts w:ascii="Verdana" w:eastAsia="Calibri" w:hAnsi="Verdana"/>
          <w:vertAlign w:val="superscript"/>
          <w:lang w:val="en-US" w:eastAsia="en-US"/>
        </w:rPr>
        <w:t>3</w:t>
      </w:r>
      <w:r w:rsidR="0078381B" w:rsidRPr="00064185">
        <w:rPr>
          <w:rFonts w:ascii="Verdana" w:eastAsia="Calibri" w:hAnsi="Verdana"/>
          <w:lang w:val="en-US" w:eastAsia="en-US"/>
        </w:rPr>
        <w:t xml:space="preserve"> at 20</w:t>
      </w:r>
      <w:r w:rsidRPr="00064185">
        <w:rPr>
          <w:rFonts w:ascii="Verdana" w:eastAsia="Calibri" w:hAnsi="Verdana"/>
          <w:lang w:val="en-US" w:eastAsia="en-US"/>
        </w:rPr>
        <w:t xml:space="preserve">°C and the </w:t>
      </w:r>
      <w:r w:rsidR="0078381B" w:rsidRPr="00064185">
        <w:rPr>
          <w:rFonts w:ascii="Verdana" w:eastAsia="Calibri" w:hAnsi="Verdana"/>
          <w:lang w:val="en-US" w:eastAsia="en-US"/>
        </w:rPr>
        <w:t>surface tension 37.1 mN/m at 20</w:t>
      </w:r>
      <w:r w:rsidRPr="00064185">
        <w:rPr>
          <w:rFonts w:ascii="Verdana" w:eastAsia="Calibri" w:hAnsi="Verdana"/>
          <w:lang w:val="en-US" w:eastAsia="en-US"/>
        </w:rPr>
        <w:t xml:space="preserve">°C. </w:t>
      </w:r>
      <w:r w:rsidR="0078381B" w:rsidRPr="00064185">
        <w:rPr>
          <w:rFonts w:ascii="Verdana" w:eastAsia="Calibri" w:hAnsi="Verdana"/>
          <w:lang w:val="en-US" w:eastAsia="en-US"/>
        </w:rPr>
        <w:t>The formulation is stable at 54</w:t>
      </w:r>
      <w:r w:rsidRPr="00064185">
        <w:rPr>
          <w:rFonts w:ascii="Verdana" w:eastAsia="Calibri" w:hAnsi="Verdana"/>
          <w:lang w:val="en-US" w:eastAsia="en-US"/>
        </w:rPr>
        <w:t>°C fo</w:t>
      </w:r>
      <w:r w:rsidR="0078381B" w:rsidRPr="00064185">
        <w:rPr>
          <w:rFonts w:ascii="Verdana" w:eastAsia="Calibri" w:hAnsi="Verdana"/>
          <w:lang w:val="en-US" w:eastAsia="en-US"/>
        </w:rPr>
        <w:t xml:space="preserve">r 2 weeks and for </w:t>
      </w:r>
      <w:r w:rsidR="00CA3291" w:rsidRPr="00064185">
        <w:rPr>
          <w:rFonts w:ascii="Verdana" w:eastAsia="Calibri" w:hAnsi="Verdana"/>
          <w:lang w:val="en-US" w:eastAsia="en-US"/>
        </w:rPr>
        <w:t>4</w:t>
      </w:r>
      <w:r w:rsidR="0078381B" w:rsidRPr="00064185">
        <w:rPr>
          <w:rFonts w:ascii="Verdana" w:eastAsia="Calibri" w:hAnsi="Verdana"/>
          <w:lang w:val="en-US" w:eastAsia="en-US"/>
        </w:rPr>
        <w:t xml:space="preserve"> years at 20</w:t>
      </w:r>
      <w:r w:rsidRPr="00064185">
        <w:rPr>
          <w:rFonts w:ascii="Verdana" w:eastAsia="Calibri" w:hAnsi="Verdana"/>
          <w:lang w:val="en-US" w:eastAsia="en-US"/>
        </w:rPr>
        <w:t xml:space="preserve">°C. It has a shelf life of </w:t>
      </w:r>
      <w:r w:rsidR="00CA3291" w:rsidRPr="00064185">
        <w:rPr>
          <w:rFonts w:ascii="Verdana" w:eastAsia="Calibri" w:hAnsi="Verdana"/>
          <w:lang w:val="en-US" w:eastAsia="en-US"/>
        </w:rPr>
        <w:t>4</w:t>
      </w:r>
      <w:r w:rsidRPr="00064185">
        <w:rPr>
          <w:rFonts w:ascii="Verdana" w:eastAsia="Calibri" w:hAnsi="Verdana"/>
          <w:lang w:val="en-US" w:eastAsia="en-US"/>
        </w:rPr>
        <w:t xml:space="preserve"> years. </w:t>
      </w:r>
      <w:r w:rsidR="00B9755A" w:rsidRPr="00064185">
        <w:rPr>
          <w:rFonts w:ascii="Verdana" w:eastAsia="Calibri" w:hAnsi="Verdana"/>
          <w:lang w:val="en-US" w:eastAsia="en-US"/>
        </w:rPr>
        <w:t>Store in a cool, dry and frost-protected pl</w:t>
      </w:r>
      <w:r w:rsidR="000C2AA8" w:rsidRPr="00064185">
        <w:rPr>
          <w:rFonts w:ascii="Verdana" w:eastAsia="Calibri" w:hAnsi="Verdana"/>
          <w:lang w:val="en-US" w:eastAsia="en-US"/>
        </w:rPr>
        <w:t>ace" "Storage temperature: 5-30°</w:t>
      </w:r>
      <w:r w:rsidR="00B9755A" w:rsidRPr="00064185">
        <w:rPr>
          <w:rFonts w:ascii="Verdana" w:eastAsia="Calibri" w:hAnsi="Verdana"/>
          <w:lang w:val="en-US" w:eastAsia="en-US"/>
        </w:rPr>
        <w:t>C".</w:t>
      </w:r>
    </w:p>
    <w:p w14:paraId="3819BA4A" w14:textId="6962C287" w:rsidR="00FD4B15" w:rsidRPr="00064185" w:rsidRDefault="00C9042A" w:rsidP="000835FA">
      <w:pPr>
        <w:pStyle w:val="Absatz"/>
        <w:ind w:left="0"/>
        <w:jc w:val="both"/>
        <w:rPr>
          <w:rFonts w:ascii="Verdana" w:eastAsia="Calibri" w:hAnsi="Verdana"/>
          <w:lang w:val="en-US" w:eastAsia="en-US"/>
        </w:rPr>
      </w:pPr>
      <w:r w:rsidRPr="00064185">
        <w:rPr>
          <w:rFonts w:ascii="Verdana" w:eastAsia="Calibri" w:hAnsi="Verdana"/>
          <w:lang w:val="en-US" w:eastAsia="en-US"/>
        </w:rPr>
        <w:t xml:space="preserve">It is concluded therefore, that there are no hazards associated with the physico-chemical properties of </w:t>
      </w:r>
      <w:r w:rsidR="00E21E72" w:rsidRPr="00064185">
        <w:rPr>
          <w:rFonts w:ascii="Verdana" w:eastAsia="Calibri" w:hAnsi="Verdana"/>
          <w:lang w:val="en-US" w:eastAsia="en-US"/>
        </w:rPr>
        <w:t xml:space="preserve">COM 116 </w:t>
      </w:r>
      <w:proofErr w:type="gramStart"/>
      <w:r w:rsidR="00E21E72" w:rsidRPr="00064185">
        <w:rPr>
          <w:rFonts w:ascii="Verdana" w:eastAsia="Calibri" w:hAnsi="Verdana"/>
          <w:lang w:val="en-US" w:eastAsia="en-US"/>
        </w:rPr>
        <w:t>02 I</w:t>
      </w:r>
      <w:proofErr w:type="gramEnd"/>
      <w:r w:rsidR="00E21E72" w:rsidRPr="00064185">
        <w:rPr>
          <w:rFonts w:ascii="Verdana" w:eastAsia="Calibri" w:hAnsi="Verdana"/>
          <w:lang w:val="en-US" w:eastAsia="en-US"/>
        </w:rPr>
        <w:t xml:space="preserve"> AL </w:t>
      </w:r>
      <w:r w:rsidRPr="00064185">
        <w:rPr>
          <w:rFonts w:ascii="Verdana" w:eastAsia="Calibri" w:hAnsi="Verdana"/>
          <w:lang w:val="en-US" w:eastAsia="en-US"/>
        </w:rPr>
        <w:t>under normal conditions of use.</w:t>
      </w:r>
    </w:p>
    <w:p w14:paraId="4E0C6F3D" w14:textId="77777777" w:rsidR="00D3359A" w:rsidRPr="00064185" w:rsidRDefault="00D3359A" w:rsidP="000835FA">
      <w:pPr>
        <w:pStyle w:val="Absatz"/>
        <w:ind w:left="0"/>
        <w:jc w:val="both"/>
        <w:rPr>
          <w:rFonts w:ascii="Verdana" w:eastAsia="Calibri" w:hAnsi="Verdana"/>
          <w:lang w:val="en-US" w:eastAsia="en-US"/>
        </w:rPr>
      </w:pPr>
    </w:p>
    <w:p w14:paraId="4E146681" w14:textId="77777777" w:rsidR="002D7324" w:rsidRPr="00064185" w:rsidRDefault="002D7324" w:rsidP="000835FA">
      <w:pPr>
        <w:pStyle w:val="Absatz"/>
        <w:ind w:left="0"/>
        <w:jc w:val="both"/>
        <w:rPr>
          <w:rFonts w:ascii="Verdana" w:eastAsia="Calibri" w:hAnsi="Verdana"/>
          <w:lang w:val="en-US" w:eastAsia="en-US"/>
        </w:rPr>
      </w:pPr>
    </w:p>
    <w:p w14:paraId="7FAD398D" w14:textId="77777777" w:rsidR="00A53EE0" w:rsidRPr="00064185" w:rsidRDefault="00A53EE0" w:rsidP="00EA61D8">
      <w:pPr>
        <w:pStyle w:val="berschrift3"/>
        <w:rPr>
          <w:rFonts w:eastAsia="Calibri"/>
          <w:lang w:val="en-US" w:eastAsia="en-US"/>
        </w:rPr>
      </w:pPr>
      <w:bookmarkStart w:id="62" w:name="_Toc389728861"/>
      <w:bookmarkStart w:id="63" w:name="_Toc403472713"/>
      <w:bookmarkStart w:id="64" w:name="_Toc440879617"/>
      <w:bookmarkStart w:id="65" w:name="_Toc440889930"/>
      <w:bookmarkStart w:id="66" w:name="_Toc530563633"/>
      <w:r w:rsidRPr="00064185">
        <w:rPr>
          <w:rFonts w:eastAsia="Calibri"/>
          <w:lang w:val="en-US" w:eastAsia="en-US"/>
        </w:rPr>
        <w:t>Summary of the Human Health Risk Assessment</w:t>
      </w:r>
      <w:bookmarkEnd w:id="62"/>
      <w:bookmarkEnd w:id="63"/>
      <w:bookmarkEnd w:id="64"/>
      <w:bookmarkEnd w:id="65"/>
      <w:bookmarkEnd w:id="66"/>
      <w:r w:rsidRPr="00064185">
        <w:rPr>
          <w:rFonts w:eastAsia="Calibri"/>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51"/>
      </w:tblGrid>
      <w:tr w:rsidR="00064185" w:rsidRPr="00064185" w14:paraId="19D2E29A" w14:textId="77777777" w:rsidTr="002368C1">
        <w:tc>
          <w:tcPr>
            <w:tcW w:w="4503" w:type="dxa"/>
            <w:shd w:val="clear" w:color="auto" w:fill="FFFFCC"/>
          </w:tcPr>
          <w:p w14:paraId="3385DC7F" w14:textId="77777777" w:rsidR="00A53EE0" w:rsidRPr="00064185" w:rsidRDefault="00A53EE0" w:rsidP="00EA61D8">
            <w:pPr>
              <w:spacing w:line="260" w:lineRule="atLeast"/>
              <w:rPr>
                <w:rFonts w:eastAsia="Calibri"/>
                <w:b/>
                <w:lang w:eastAsia="en-US"/>
              </w:rPr>
            </w:pPr>
            <w:r w:rsidRPr="00064185">
              <w:rPr>
                <w:rFonts w:eastAsia="Calibri"/>
                <w:b/>
                <w:lang w:eastAsia="en-US"/>
              </w:rPr>
              <w:t>Endpoint</w:t>
            </w:r>
          </w:p>
        </w:tc>
        <w:tc>
          <w:tcPr>
            <w:tcW w:w="4851" w:type="dxa"/>
            <w:shd w:val="clear" w:color="auto" w:fill="FFFFCC"/>
          </w:tcPr>
          <w:p w14:paraId="3168BACC" w14:textId="77777777" w:rsidR="00A53EE0" w:rsidRPr="00064185" w:rsidRDefault="00A53EE0" w:rsidP="00EA61D8">
            <w:pPr>
              <w:spacing w:line="260" w:lineRule="atLeast"/>
              <w:rPr>
                <w:rFonts w:eastAsia="Calibri"/>
                <w:b/>
                <w:lang w:eastAsia="en-US"/>
              </w:rPr>
            </w:pPr>
            <w:r w:rsidRPr="00064185">
              <w:rPr>
                <w:rFonts w:eastAsia="Calibri"/>
                <w:b/>
                <w:lang w:eastAsia="en-US"/>
              </w:rPr>
              <w:t>Brief description</w:t>
            </w:r>
          </w:p>
        </w:tc>
      </w:tr>
      <w:tr w:rsidR="00064185" w:rsidRPr="00064185" w14:paraId="2D2CAF57" w14:textId="77777777" w:rsidTr="002368C1">
        <w:trPr>
          <w:trHeight w:val="64"/>
        </w:trPr>
        <w:tc>
          <w:tcPr>
            <w:tcW w:w="4503" w:type="dxa"/>
            <w:shd w:val="clear" w:color="auto" w:fill="auto"/>
          </w:tcPr>
          <w:p w14:paraId="4A4BF427" w14:textId="77777777" w:rsidR="003121F4" w:rsidRPr="00064185" w:rsidRDefault="003121F4" w:rsidP="00EA61D8">
            <w:pPr>
              <w:spacing w:line="260" w:lineRule="atLeast"/>
              <w:rPr>
                <w:rFonts w:eastAsia="Calibri"/>
                <w:lang w:eastAsia="en-US"/>
              </w:rPr>
            </w:pPr>
            <w:r w:rsidRPr="00064185">
              <w:rPr>
                <w:rFonts w:eastAsia="Calibri"/>
                <w:lang w:eastAsia="en-US"/>
              </w:rPr>
              <w:t>Skin corrosion and irritation</w:t>
            </w:r>
          </w:p>
        </w:tc>
        <w:tc>
          <w:tcPr>
            <w:tcW w:w="4851" w:type="dxa"/>
          </w:tcPr>
          <w:p w14:paraId="5EE25D93" w14:textId="77777777" w:rsidR="003121F4" w:rsidRPr="00064185" w:rsidRDefault="003121F4" w:rsidP="00EA61D8">
            <w:pPr>
              <w:spacing w:line="260" w:lineRule="atLeast"/>
              <w:rPr>
                <w:rFonts w:eastAsia="Calibri"/>
                <w:lang w:eastAsia="en-US"/>
              </w:rPr>
            </w:pPr>
            <w:r w:rsidRPr="00064185">
              <w:rPr>
                <w:rFonts w:eastAsia="Calibri"/>
                <w:lang w:eastAsia="en-US"/>
              </w:rPr>
              <w:t>Not irritating.*</w:t>
            </w:r>
          </w:p>
        </w:tc>
      </w:tr>
      <w:tr w:rsidR="00064185" w:rsidRPr="00064185" w14:paraId="366C4C9A" w14:textId="77777777" w:rsidTr="002368C1">
        <w:tc>
          <w:tcPr>
            <w:tcW w:w="4503" w:type="dxa"/>
            <w:shd w:val="clear" w:color="auto" w:fill="auto"/>
          </w:tcPr>
          <w:p w14:paraId="264F5567" w14:textId="77777777" w:rsidR="003121F4" w:rsidRPr="00064185" w:rsidRDefault="003121F4" w:rsidP="00EA61D8">
            <w:pPr>
              <w:spacing w:line="260" w:lineRule="atLeast"/>
              <w:rPr>
                <w:rFonts w:eastAsia="Calibri"/>
                <w:lang w:eastAsia="en-US"/>
              </w:rPr>
            </w:pPr>
            <w:r w:rsidRPr="00064185">
              <w:rPr>
                <w:rFonts w:eastAsia="Calibri"/>
                <w:lang w:eastAsia="en-US"/>
              </w:rPr>
              <w:t>Eye irritation</w:t>
            </w:r>
          </w:p>
        </w:tc>
        <w:tc>
          <w:tcPr>
            <w:tcW w:w="4851" w:type="dxa"/>
          </w:tcPr>
          <w:p w14:paraId="4C8C1E1E" w14:textId="77777777" w:rsidR="003121F4" w:rsidRPr="00064185" w:rsidRDefault="003121F4" w:rsidP="00EA61D8">
            <w:pPr>
              <w:spacing w:line="260" w:lineRule="atLeast"/>
              <w:rPr>
                <w:rFonts w:eastAsia="Calibri"/>
                <w:lang w:eastAsia="en-US"/>
              </w:rPr>
            </w:pPr>
            <w:r w:rsidRPr="00064185">
              <w:rPr>
                <w:rFonts w:eastAsia="Calibri"/>
                <w:lang w:eastAsia="en-US"/>
              </w:rPr>
              <w:t>Not irritating.</w:t>
            </w:r>
          </w:p>
        </w:tc>
      </w:tr>
      <w:tr w:rsidR="00064185" w:rsidRPr="00064185" w14:paraId="6B3B12F3" w14:textId="77777777" w:rsidTr="002368C1">
        <w:tc>
          <w:tcPr>
            <w:tcW w:w="4503" w:type="dxa"/>
            <w:shd w:val="clear" w:color="auto" w:fill="auto"/>
          </w:tcPr>
          <w:p w14:paraId="73C37267" w14:textId="77777777" w:rsidR="003121F4" w:rsidRPr="00064185" w:rsidRDefault="003121F4" w:rsidP="00EA61D8">
            <w:pPr>
              <w:spacing w:line="260" w:lineRule="atLeast"/>
              <w:rPr>
                <w:rFonts w:eastAsia="Calibri"/>
                <w:lang w:eastAsia="en-US"/>
              </w:rPr>
            </w:pPr>
            <w:r w:rsidRPr="00064185">
              <w:rPr>
                <w:rFonts w:eastAsia="Calibri"/>
                <w:lang w:eastAsia="en-US"/>
              </w:rPr>
              <w:t>Skin sensitisation</w:t>
            </w:r>
          </w:p>
        </w:tc>
        <w:tc>
          <w:tcPr>
            <w:tcW w:w="4851" w:type="dxa"/>
          </w:tcPr>
          <w:p w14:paraId="2C08DE0B" w14:textId="7B70F6A3" w:rsidR="008A0B0B" w:rsidRPr="00064185" w:rsidRDefault="003121F4" w:rsidP="00EA61D8">
            <w:pPr>
              <w:spacing w:line="260" w:lineRule="atLeast"/>
              <w:rPr>
                <w:rFonts w:eastAsia="Calibri"/>
                <w:lang w:eastAsia="en-US"/>
              </w:rPr>
            </w:pPr>
            <w:r w:rsidRPr="00064185">
              <w:rPr>
                <w:rFonts w:eastAsia="Calibri"/>
                <w:lang w:eastAsia="en-US"/>
              </w:rPr>
              <w:t>Not sensitising.</w:t>
            </w:r>
          </w:p>
        </w:tc>
      </w:tr>
      <w:tr w:rsidR="00064185" w:rsidRPr="00064185" w14:paraId="1C2CF56D" w14:textId="77777777" w:rsidTr="002368C1">
        <w:trPr>
          <w:trHeight w:val="64"/>
        </w:trPr>
        <w:tc>
          <w:tcPr>
            <w:tcW w:w="4503" w:type="dxa"/>
            <w:shd w:val="clear" w:color="auto" w:fill="auto"/>
          </w:tcPr>
          <w:p w14:paraId="5452F501" w14:textId="77777777" w:rsidR="003121F4" w:rsidRPr="00064185" w:rsidRDefault="003121F4" w:rsidP="00EA61D8">
            <w:pPr>
              <w:spacing w:line="260" w:lineRule="atLeast"/>
              <w:rPr>
                <w:rFonts w:eastAsia="Calibri"/>
                <w:lang w:eastAsia="en-US"/>
              </w:rPr>
            </w:pPr>
            <w:r w:rsidRPr="00064185">
              <w:rPr>
                <w:rFonts w:eastAsia="Calibri"/>
                <w:lang w:eastAsia="en-US"/>
              </w:rPr>
              <w:t>Respiratory sensitization (ADS)</w:t>
            </w:r>
          </w:p>
        </w:tc>
        <w:tc>
          <w:tcPr>
            <w:tcW w:w="4851" w:type="dxa"/>
          </w:tcPr>
          <w:p w14:paraId="0D8E039A" w14:textId="77777777" w:rsidR="003121F4" w:rsidRPr="00064185" w:rsidRDefault="003121F4" w:rsidP="00EA61D8">
            <w:pPr>
              <w:spacing w:line="260" w:lineRule="atLeast"/>
              <w:rPr>
                <w:rFonts w:eastAsia="Calibri"/>
                <w:lang w:eastAsia="en-US"/>
              </w:rPr>
            </w:pPr>
            <w:r w:rsidRPr="00064185">
              <w:rPr>
                <w:rFonts w:eastAsia="Calibri"/>
                <w:lang w:eastAsia="en-US"/>
              </w:rPr>
              <w:t>No study available.</w:t>
            </w:r>
          </w:p>
        </w:tc>
      </w:tr>
      <w:tr w:rsidR="00064185" w:rsidRPr="00064185" w14:paraId="485A21F5" w14:textId="77777777" w:rsidTr="002368C1">
        <w:trPr>
          <w:trHeight w:val="64"/>
        </w:trPr>
        <w:tc>
          <w:tcPr>
            <w:tcW w:w="4503" w:type="dxa"/>
            <w:shd w:val="clear" w:color="auto" w:fill="auto"/>
          </w:tcPr>
          <w:p w14:paraId="03D01F35" w14:textId="77777777" w:rsidR="003121F4" w:rsidRPr="00064185" w:rsidRDefault="003121F4" w:rsidP="00EA61D8">
            <w:pPr>
              <w:spacing w:line="260" w:lineRule="atLeast"/>
              <w:rPr>
                <w:rFonts w:eastAsia="Calibri"/>
                <w:lang w:eastAsia="en-US"/>
              </w:rPr>
            </w:pPr>
            <w:r w:rsidRPr="00064185">
              <w:rPr>
                <w:rFonts w:eastAsia="Calibri"/>
                <w:lang w:eastAsia="en-US"/>
              </w:rPr>
              <w:t>Acute toxicity by oral route</w:t>
            </w:r>
          </w:p>
        </w:tc>
        <w:tc>
          <w:tcPr>
            <w:tcW w:w="4851" w:type="dxa"/>
          </w:tcPr>
          <w:p w14:paraId="6249E81A" w14:textId="77777777" w:rsidR="003121F4" w:rsidRPr="00064185" w:rsidRDefault="003121F4" w:rsidP="00EA61D8">
            <w:pPr>
              <w:spacing w:line="260" w:lineRule="atLeast"/>
              <w:rPr>
                <w:rFonts w:eastAsia="Calibri"/>
                <w:lang w:eastAsia="en-US"/>
              </w:rPr>
            </w:pPr>
            <w:r w:rsidRPr="00064185">
              <w:rPr>
                <w:rFonts w:eastAsia="Calibri"/>
                <w:lang w:eastAsia="en-US"/>
              </w:rPr>
              <w:t>Not toxic/Not harmful.*</w:t>
            </w:r>
          </w:p>
        </w:tc>
      </w:tr>
      <w:tr w:rsidR="00064185" w:rsidRPr="00064185" w14:paraId="18EAF037" w14:textId="77777777" w:rsidTr="002368C1">
        <w:trPr>
          <w:trHeight w:val="64"/>
        </w:trPr>
        <w:tc>
          <w:tcPr>
            <w:tcW w:w="4503" w:type="dxa"/>
            <w:shd w:val="clear" w:color="auto" w:fill="auto"/>
          </w:tcPr>
          <w:p w14:paraId="44D59F27" w14:textId="77777777" w:rsidR="003121F4" w:rsidRPr="00064185" w:rsidRDefault="003121F4" w:rsidP="00EA61D8">
            <w:pPr>
              <w:spacing w:line="260" w:lineRule="atLeast"/>
              <w:rPr>
                <w:rFonts w:eastAsia="Calibri"/>
                <w:lang w:eastAsia="en-US"/>
              </w:rPr>
            </w:pPr>
            <w:r w:rsidRPr="00064185">
              <w:rPr>
                <w:rFonts w:eastAsia="Calibri"/>
                <w:lang w:eastAsia="en-US"/>
              </w:rPr>
              <w:t>Acute toxicity by dermal route</w:t>
            </w:r>
          </w:p>
        </w:tc>
        <w:tc>
          <w:tcPr>
            <w:tcW w:w="4851" w:type="dxa"/>
          </w:tcPr>
          <w:p w14:paraId="52476B44" w14:textId="77777777" w:rsidR="003121F4" w:rsidRPr="00064185" w:rsidRDefault="003121F4" w:rsidP="00EA61D8">
            <w:pPr>
              <w:spacing w:line="260" w:lineRule="atLeast"/>
              <w:rPr>
                <w:rFonts w:eastAsia="Calibri"/>
                <w:lang w:eastAsia="en-US"/>
              </w:rPr>
            </w:pPr>
            <w:r w:rsidRPr="00064185">
              <w:rPr>
                <w:rFonts w:eastAsia="Calibri"/>
                <w:lang w:eastAsia="en-US"/>
              </w:rPr>
              <w:t>Not toxic/Not harmful.*</w:t>
            </w:r>
          </w:p>
        </w:tc>
      </w:tr>
      <w:tr w:rsidR="00064185" w:rsidRPr="00064185" w14:paraId="0051455E" w14:textId="77777777" w:rsidTr="002368C1">
        <w:trPr>
          <w:trHeight w:val="64"/>
        </w:trPr>
        <w:tc>
          <w:tcPr>
            <w:tcW w:w="4503" w:type="dxa"/>
            <w:shd w:val="clear" w:color="auto" w:fill="auto"/>
          </w:tcPr>
          <w:p w14:paraId="080E1FA9" w14:textId="77777777" w:rsidR="003121F4" w:rsidRPr="00064185" w:rsidRDefault="003121F4" w:rsidP="00EA61D8">
            <w:pPr>
              <w:spacing w:line="260" w:lineRule="atLeast"/>
              <w:rPr>
                <w:rFonts w:eastAsia="Calibri"/>
                <w:lang w:eastAsia="en-US"/>
              </w:rPr>
            </w:pPr>
            <w:r w:rsidRPr="00064185">
              <w:rPr>
                <w:rFonts w:eastAsia="Calibri"/>
                <w:lang w:eastAsia="en-US"/>
              </w:rPr>
              <w:t>Acute toxicity by inhalation</w:t>
            </w:r>
          </w:p>
        </w:tc>
        <w:tc>
          <w:tcPr>
            <w:tcW w:w="4851" w:type="dxa"/>
          </w:tcPr>
          <w:p w14:paraId="20E15A48" w14:textId="77777777" w:rsidR="003121F4" w:rsidRPr="00064185" w:rsidRDefault="003121F4" w:rsidP="00EA61D8">
            <w:pPr>
              <w:spacing w:line="260" w:lineRule="atLeast"/>
              <w:rPr>
                <w:rFonts w:eastAsia="Calibri"/>
                <w:lang w:eastAsia="en-US"/>
              </w:rPr>
            </w:pPr>
            <w:r w:rsidRPr="00064185">
              <w:rPr>
                <w:rFonts w:eastAsia="Calibri"/>
                <w:lang w:eastAsia="en-US"/>
              </w:rPr>
              <w:t>Not toxic/Not harmful.*</w:t>
            </w:r>
          </w:p>
        </w:tc>
      </w:tr>
      <w:tr w:rsidR="00064185" w:rsidRPr="00064185" w14:paraId="5BF2A2F4" w14:textId="77777777" w:rsidTr="002368C1">
        <w:trPr>
          <w:trHeight w:val="64"/>
        </w:trPr>
        <w:tc>
          <w:tcPr>
            <w:tcW w:w="4503" w:type="dxa"/>
            <w:shd w:val="clear" w:color="auto" w:fill="auto"/>
          </w:tcPr>
          <w:p w14:paraId="48DEC605" w14:textId="77777777" w:rsidR="003121F4" w:rsidRPr="00064185" w:rsidRDefault="003121F4" w:rsidP="00EA61D8">
            <w:pPr>
              <w:spacing w:line="260" w:lineRule="atLeast"/>
              <w:rPr>
                <w:rFonts w:eastAsia="Calibri"/>
                <w:lang w:eastAsia="en-US"/>
              </w:rPr>
            </w:pPr>
            <w:r w:rsidRPr="00064185">
              <w:rPr>
                <w:rFonts w:eastAsia="Calibri"/>
                <w:lang w:eastAsia="en-US"/>
              </w:rPr>
              <w:t>Dermal absorption</w:t>
            </w:r>
          </w:p>
        </w:tc>
        <w:tc>
          <w:tcPr>
            <w:tcW w:w="4851" w:type="dxa"/>
          </w:tcPr>
          <w:p w14:paraId="255F815D" w14:textId="77777777" w:rsidR="003121F4" w:rsidRPr="00064185" w:rsidRDefault="003121F4" w:rsidP="00EA61D8">
            <w:pPr>
              <w:spacing w:line="260" w:lineRule="atLeast"/>
              <w:rPr>
                <w:rFonts w:eastAsia="Calibri"/>
                <w:lang w:eastAsia="en-US"/>
              </w:rPr>
            </w:pPr>
            <w:r w:rsidRPr="00064185">
              <w:rPr>
                <w:rFonts w:eastAsia="Calibri"/>
                <w:lang w:eastAsia="en-US"/>
              </w:rPr>
              <w:t xml:space="preserve">1%. </w:t>
            </w:r>
          </w:p>
        </w:tc>
      </w:tr>
      <w:tr w:rsidR="00064185" w:rsidRPr="00064185" w14:paraId="685C22CA" w14:textId="77777777" w:rsidTr="002368C1">
        <w:trPr>
          <w:trHeight w:val="64"/>
        </w:trPr>
        <w:tc>
          <w:tcPr>
            <w:tcW w:w="4503" w:type="dxa"/>
            <w:shd w:val="clear" w:color="auto" w:fill="auto"/>
          </w:tcPr>
          <w:p w14:paraId="06624023" w14:textId="77777777" w:rsidR="003121F4" w:rsidRPr="00064185" w:rsidRDefault="003121F4" w:rsidP="00EA61D8">
            <w:pPr>
              <w:spacing w:line="260" w:lineRule="atLeast"/>
              <w:rPr>
                <w:rFonts w:eastAsia="Calibri"/>
                <w:lang w:eastAsia="en-US"/>
              </w:rPr>
            </w:pPr>
            <w:r w:rsidRPr="00064185">
              <w:rPr>
                <w:rFonts w:eastAsia="Calibri"/>
                <w:lang w:eastAsia="en-US"/>
              </w:rPr>
              <w:t>Other effects</w:t>
            </w:r>
          </w:p>
        </w:tc>
        <w:tc>
          <w:tcPr>
            <w:tcW w:w="4851" w:type="dxa"/>
          </w:tcPr>
          <w:p w14:paraId="02433BDC" w14:textId="77777777" w:rsidR="003121F4" w:rsidRPr="00064185" w:rsidRDefault="003121F4" w:rsidP="00EA61D8">
            <w:pPr>
              <w:spacing w:line="260" w:lineRule="atLeast"/>
              <w:rPr>
                <w:rFonts w:eastAsia="Calibri"/>
                <w:lang w:eastAsia="en-US"/>
              </w:rPr>
            </w:pPr>
            <w:r w:rsidRPr="00064185">
              <w:rPr>
                <w:rFonts w:eastAsia="Calibri"/>
                <w:lang w:eastAsia="en-US"/>
              </w:rPr>
              <w:t>No study available.</w:t>
            </w:r>
          </w:p>
        </w:tc>
      </w:tr>
      <w:tr w:rsidR="00064185" w:rsidRPr="00064185" w14:paraId="5380FE99" w14:textId="77777777" w:rsidTr="002368C1">
        <w:trPr>
          <w:trHeight w:val="64"/>
        </w:trPr>
        <w:tc>
          <w:tcPr>
            <w:tcW w:w="4503" w:type="dxa"/>
            <w:shd w:val="clear" w:color="auto" w:fill="auto"/>
          </w:tcPr>
          <w:p w14:paraId="31AF7E3F" w14:textId="77777777" w:rsidR="003121F4" w:rsidRPr="00064185" w:rsidRDefault="003121F4" w:rsidP="00EA61D8">
            <w:pPr>
              <w:spacing w:line="260" w:lineRule="atLeast"/>
              <w:rPr>
                <w:rFonts w:eastAsia="Calibri"/>
                <w:lang w:eastAsia="en-US"/>
              </w:rPr>
            </w:pPr>
            <w:r w:rsidRPr="00064185">
              <w:rPr>
                <w:rFonts w:eastAsia="Calibri"/>
                <w:lang w:eastAsia="en-US"/>
              </w:rPr>
              <w:t>Available toxicological data relating to non</w:t>
            </w:r>
            <w:r w:rsidR="00E6313B" w:rsidRPr="00064185">
              <w:rPr>
                <w:rFonts w:eastAsia="Calibri"/>
                <w:lang w:eastAsia="en-US"/>
              </w:rPr>
              <w:t>-</w:t>
            </w:r>
            <w:r w:rsidRPr="00064185">
              <w:rPr>
                <w:rFonts w:eastAsia="Calibri"/>
                <w:lang w:eastAsia="en-US"/>
              </w:rPr>
              <w:t>active substance(s)</w:t>
            </w:r>
          </w:p>
        </w:tc>
        <w:tc>
          <w:tcPr>
            <w:tcW w:w="4851" w:type="dxa"/>
          </w:tcPr>
          <w:p w14:paraId="348AFFB8" w14:textId="77777777" w:rsidR="003121F4" w:rsidRPr="00064185" w:rsidRDefault="003121F4" w:rsidP="00EA61D8">
            <w:pPr>
              <w:spacing w:line="260" w:lineRule="atLeast"/>
              <w:rPr>
                <w:rFonts w:eastAsia="Calibri"/>
                <w:lang w:eastAsia="en-US"/>
              </w:rPr>
            </w:pPr>
            <w:r w:rsidRPr="00064185">
              <w:rPr>
                <w:rFonts w:eastAsia="Calibri"/>
                <w:lang w:eastAsia="en-US"/>
              </w:rPr>
              <w:t>Not applicable</w:t>
            </w:r>
          </w:p>
        </w:tc>
      </w:tr>
      <w:tr w:rsidR="00064185" w:rsidRPr="00064185" w14:paraId="7D38D3C9" w14:textId="77777777" w:rsidTr="002368C1">
        <w:trPr>
          <w:trHeight w:val="64"/>
        </w:trPr>
        <w:tc>
          <w:tcPr>
            <w:tcW w:w="4503" w:type="dxa"/>
            <w:shd w:val="clear" w:color="auto" w:fill="auto"/>
          </w:tcPr>
          <w:p w14:paraId="16B41BBC" w14:textId="77777777" w:rsidR="003121F4" w:rsidRPr="00064185" w:rsidRDefault="003121F4" w:rsidP="00EA61D8">
            <w:pPr>
              <w:spacing w:line="260" w:lineRule="atLeast"/>
              <w:rPr>
                <w:rFonts w:eastAsia="Calibri"/>
                <w:lang w:eastAsia="en-US"/>
              </w:rPr>
            </w:pPr>
            <w:r w:rsidRPr="00064185">
              <w:rPr>
                <w:rFonts w:eastAsia="Calibri"/>
                <w:lang w:eastAsia="en-US"/>
              </w:rPr>
              <w:t xml:space="preserve">Available toxicological data relating to a mixture </w:t>
            </w:r>
          </w:p>
        </w:tc>
        <w:tc>
          <w:tcPr>
            <w:tcW w:w="4851" w:type="dxa"/>
          </w:tcPr>
          <w:p w14:paraId="1698C135" w14:textId="77777777" w:rsidR="003121F4" w:rsidRPr="00064185" w:rsidRDefault="003121F4" w:rsidP="00EA61D8">
            <w:pPr>
              <w:spacing w:line="260" w:lineRule="atLeast"/>
              <w:rPr>
                <w:rFonts w:eastAsia="Calibri"/>
                <w:lang w:eastAsia="en-US"/>
              </w:rPr>
            </w:pPr>
            <w:r w:rsidRPr="00064185">
              <w:rPr>
                <w:rFonts w:eastAsia="Calibri"/>
                <w:lang w:eastAsia="en-US"/>
              </w:rPr>
              <w:t>Not applicable</w:t>
            </w:r>
          </w:p>
        </w:tc>
      </w:tr>
      <w:tr w:rsidR="00064185" w:rsidRPr="00064185" w14:paraId="2B9E7CFE" w14:textId="77777777" w:rsidTr="002368C1">
        <w:trPr>
          <w:trHeight w:val="64"/>
        </w:trPr>
        <w:tc>
          <w:tcPr>
            <w:tcW w:w="4503" w:type="dxa"/>
            <w:shd w:val="clear" w:color="auto" w:fill="auto"/>
          </w:tcPr>
          <w:p w14:paraId="0821B571" w14:textId="77777777" w:rsidR="003121F4" w:rsidRPr="00064185" w:rsidRDefault="003121F4" w:rsidP="00EA61D8">
            <w:pPr>
              <w:spacing w:line="260" w:lineRule="atLeast"/>
              <w:rPr>
                <w:rFonts w:eastAsia="Calibri"/>
                <w:lang w:eastAsia="en-US"/>
              </w:rPr>
            </w:pPr>
            <w:r w:rsidRPr="00064185">
              <w:rPr>
                <w:rFonts w:eastAsia="Calibri"/>
                <w:lang w:eastAsia="en-US"/>
              </w:rPr>
              <w:t>Other relevant information</w:t>
            </w:r>
          </w:p>
        </w:tc>
        <w:tc>
          <w:tcPr>
            <w:tcW w:w="4851" w:type="dxa"/>
          </w:tcPr>
          <w:p w14:paraId="103A676D" w14:textId="77777777" w:rsidR="003121F4" w:rsidRPr="00064185" w:rsidRDefault="003121F4" w:rsidP="00EA61D8">
            <w:pPr>
              <w:spacing w:line="260" w:lineRule="atLeast"/>
              <w:rPr>
                <w:rFonts w:eastAsia="Calibri"/>
                <w:lang w:eastAsia="en-US"/>
              </w:rPr>
            </w:pPr>
            <w:r w:rsidRPr="00064185">
              <w:rPr>
                <w:rFonts w:eastAsia="Calibri"/>
                <w:lang w:eastAsia="en-US"/>
              </w:rPr>
              <w:t>Not applicable</w:t>
            </w:r>
          </w:p>
        </w:tc>
      </w:tr>
    </w:tbl>
    <w:p w14:paraId="7A2DDF2E" w14:textId="658FDAF3" w:rsidR="003121F4" w:rsidRPr="00064185" w:rsidRDefault="003121F4" w:rsidP="00EA61D8">
      <w:pPr>
        <w:spacing w:line="260" w:lineRule="atLeast"/>
        <w:rPr>
          <w:rFonts w:eastAsia="Calibri"/>
          <w:lang w:eastAsia="en-US"/>
        </w:rPr>
      </w:pPr>
      <w:r w:rsidRPr="00064185">
        <w:rPr>
          <w:rFonts w:eastAsia="Calibri"/>
          <w:lang w:eastAsia="en-US"/>
        </w:rPr>
        <w:lastRenderedPageBreak/>
        <w:t xml:space="preserve">* Classification based on the general rules for classification of mixtures according to </w:t>
      </w:r>
      <w:r w:rsidRPr="00064185">
        <w:t xml:space="preserve">Regulation </w:t>
      </w:r>
      <w:r w:rsidR="004259C2" w:rsidRPr="00064185">
        <w:t xml:space="preserve">(EC) No. </w:t>
      </w:r>
      <w:r w:rsidRPr="00064185">
        <w:t>1272/2008.</w:t>
      </w:r>
    </w:p>
    <w:p w14:paraId="4CD7EFC8" w14:textId="77777777" w:rsidR="00A53EE0" w:rsidRPr="00064185" w:rsidRDefault="00A53EE0" w:rsidP="00EA61D8">
      <w:pPr>
        <w:spacing w:line="260" w:lineRule="atLeast"/>
        <w:rPr>
          <w:rFonts w:eastAsia="Calibri"/>
          <w:lang w:eastAsia="en-US"/>
        </w:rPr>
      </w:pPr>
    </w:p>
    <w:p w14:paraId="1316A01A" w14:textId="77777777" w:rsidR="00A53EE0" w:rsidRPr="00064185" w:rsidRDefault="00A53EE0" w:rsidP="00EA61D8">
      <w:pPr>
        <w:spacing w:line="260" w:lineRule="atLeast"/>
        <w:rPr>
          <w:rFonts w:eastAsia="Calibri"/>
          <w:lang w:eastAsia="en-US"/>
        </w:rPr>
      </w:pPr>
    </w:p>
    <w:p w14:paraId="6608D41E" w14:textId="77777777" w:rsidR="00A53EE0" w:rsidRPr="00064185" w:rsidRDefault="00A53EE0" w:rsidP="00EA61D8">
      <w:pPr>
        <w:spacing w:line="260" w:lineRule="atLeast"/>
        <w:rPr>
          <w:rFonts w:eastAsia="Calibri"/>
          <w:b/>
          <w:bCs/>
          <w:sz w:val="22"/>
          <w:lang w:eastAsia="en-US"/>
        </w:rPr>
      </w:pPr>
      <w:r w:rsidRPr="00064185">
        <w:rPr>
          <w:rFonts w:eastAsia="Calibri"/>
          <w:b/>
          <w:bCs/>
          <w:sz w:val="22"/>
          <w:lang w:eastAsia="en-US"/>
        </w:rPr>
        <w:t>Reference values</w:t>
      </w:r>
    </w:p>
    <w:p w14:paraId="7BBE7875" w14:textId="77777777" w:rsidR="00A53EE0" w:rsidRPr="00064185" w:rsidRDefault="00A53EE0" w:rsidP="00EA61D8">
      <w:pPr>
        <w:spacing w:line="260" w:lineRule="atLeast"/>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2410"/>
        <w:gridCol w:w="1559"/>
        <w:gridCol w:w="1763"/>
      </w:tblGrid>
      <w:tr w:rsidR="00064185" w:rsidRPr="00064185" w14:paraId="1AF25FDB" w14:textId="77777777" w:rsidTr="003121F4">
        <w:tc>
          <w:tcPr>
            <w:tcW w:w="1668" w:type="dxa"/>
            <w:shd w:val="clear" w:color="auto" w:fill="FFFFCC"/>
          </w:tcPr>
          <w:p w14:paraId="5520207B" w14:textId="77777777" w:rsidR="00A53EE0" w:rsidRPr="00064185" w:rsidRDefault="00A53EE0" w:rsidP="00EA61D8">
            <w:pPr>
              <w:spacing w:line="260" w:lineRule="atLeast"/>
              <w:rPr>
                <w:rFonts w:eastAsia="Calibri"/>
                <w:b/>
                <w:lang w:eastAsia="en-US"/>
              </w:rPr>
            </w:pPr>
          </w:p>
        </w:tc>
        <w:tc>
          <w:tcPr>
            <w:tcW w:w="1842" w:type="dxa"/>
            <w:shd w:val="clear" w:color="auto" w:fill="FFFFCC"/>
          </w:tcPr>
          <w:p w14:paraId="4C8AF1D0" w14:textId="77777777" w:rsidR="00A53EE0" w:rsidRPr="00064185" w:rsidRDefault="00A53EE0" w:rsidP="00EA61D8">
            <w:pPr>
              <w:spacing w:line="260" w:lineRule="atLeast"/>
              <w:rPr>
                <w:rFonts w:eastAsia="Calibri"/>
                <w:b/>
                <w:lang w:eastAsia="en-US"/>
              </w:rPr>
            </w:pPr>
            <w:r w:rsidRPr="00064185">
              <w:rPr>
                <w:rFonts w:eastAsia="Calibri"/>
                <w:b/>
                <w:lang w:eastAsia="en-US"/>
              </w:rPr>
              <w:t>Study</w:t>
            </w:r>
          </w:p>
        </w:tc>
        <w:tc>
          <w:tcPr>
            <w:tcW w:w="2410" w:type="dxa"/>
            <w:shd w:val="clear" w:color="auto" w:fill="FFFFCC"/>
          </w:tcPr>
          <w:p w14:paraId="096B9E52" w14:textId="77777777" w:rsidR="00A53EE0" w:rsidRPr="00064185" w:rsidRDefault="00A53EE0" w:rsidP="00EA61D8">
            <w:pPr>
              <w:spacing w:line="260" w:lineRule="atLeast"/>
              <w:rPr>
                <w:rFonts w:eastAsia="Calibri"/>
                <w:b/>
                <w:lang w:eastAsia="en-US"/>
              </w:rPr>
            </w:pPr>
            <w:r w:rsidRPr="00064185">
              <w:rPr>
                <w:rFonts w:eastAsia="Calibri"/>
                <w:b/>
                <w:lang w:eastAsia="en-US"/>
              </w:rPr>
              <w:t>NOAEL/ LOAEL</w:t>
            </w:r>
          </w:p>
        </w:tc>
        <w:tc>
          <w:tcPr>
            <w:tcW w:w="1559" w:type="dxa"/>
            <w:shd w:val="clear" w:color="auto" w:fill="FFFFCC"/>
          </w:tcPr>
          <w:p w14:paraId="00A55688" w14:textId="77777777" w:rsidR="00A53EE0" w:rsidRPr="00064185" w:rsidRDefault="00A53EE0" w:rsidP="00EA61D8">
            <w:pPr>
              <w:spacing w:line="260" w:lineRule="atLeast"/>
              <w:rPr>
                <w:rFonts w:eastAsia="Calibri"/>
                <w:b/>
                <w:lang w:eastAsia="en-US"/>
              </w:rPr>
            </w:pPr>
            <w:r w:rsidRPr="00064185">
              <w:rPr>
                <w:rFonts w:eastAsia="Calibri"/>
                <w:b/>
                <w:lang w:eastAsia="en-US"/>
              </w:rPr>
              <w:t>Overall assessment factor</w:t>
            </w:r>
          </w:p>
        </w:tc>
        <w:tc>
          <w:tcPr>
            <w:tcW w:w="1763" w:type="dxa"/>
            <w:shd w:val="clear" w:color="auto" w:fill="FFFFCC"/>
          </w:tcPr>
          <w:p w14:paraId="61F54F5C" w14:textId="77777777" w:rsidR="00A53EE0" w:rsidRPr="00064185" w:rsidRDefault="00A53EE0" w:rsidP="00EA61D8">
            <w:pPr>
              <w:spacing w:line="260" w:lineRule="atLeast"/>
              <w:rPr>
                <w:rFonts w:eastAsia="Calibri"/>
                <w:b/>
                <w:lang w:eastAsia="en-US"/>
              </w:rPr>
            </w:pPr>
            <w:r w:rsidRPr="00064185">
              <w:rPr>
                <w:rFonts w:eastAsia="Calibri"/>
                <w:b/>
                <w:lang w:eastAsia="en-US"/>
              </w:rPr>
              <w:t>Value</w:t>
            </w:r>
          </w:p>
        </w:tc>
      </w:tr>
      <w:tr w:rsidR="00064185" w:rsidRPr="00064185" w14:paraId="37E0F53F" w14:textId="77777777" w:rsidTr="003121F4">
        <w:tc>
          <w:tcPr>
            <w:tcW w:w="1668" w:type="dxa"/>
            <w:shd w:val="clear" w:color="auto" w:fill="auto"/>
          </w:tcPr>
          <w:p w14:paraId="5F5414EC" w14:textId="77777777" w:rsidR="00A53EE0" w:rsidRPr="00064185" w:rsidRDefault="00A53EE0" w:rsidP="00EA61D8">
            <w:pPr>
              <w:spacing w:line="260" w:lineRule="atLeast"/>
              <w:rPr>
                <w:rFonts w:eastAsia="Calibri"/>
                <w:lang w:eastAsia="en-US"/>
              </w:rPr>
            </w:pPr>
            <w:r w:rsidRPr="00064185">
              <w:rPr>
                <w:rFonts w:eastAsia="Calibri"/>
                <w:lang w:eastAsia="en-US"/>
              </w:rPr>
              <w:t>AEL</w:t>
            </w:r>
            <w:r w:rsidRPr="00064185">
              <w:rPr>
                <w:rFonts w:eastAsia="Calibri"/>
                <w:vertAlign w:val="subscript"/>
                <w:lang w:eastAsia="en-US"/>
              </w:rPr>
              <w:t>short-term</w:t>
            </w:r>
          </w:p>
        </w:tc>
        <w:tc>
          <w:tcPr>
            <w:tcW w:w="1842" w:type="dxa"/>
          </w:tcPr>
          <w:p w14:paraId="37B37CB3" w14:textId="77777777" w:rsidR="00A53EE0" w:rsidRPr="00064185" w:rsidRDefault="007E387F" w:rsidP="00EA61D8">
            <w:pPr>
              <w:spacing w:line="260" w:lineRule="atLeast"/>
              <w:rPr>
                <w:rFonts w:eastAsia="Calibri"/>
                <w:lang w:eastAsia="en-US"/>
              </w:rPr>
            </w:pPr>
            <w:r w:rsidRPr="00064185">
              <w:rPr>
                <w:rFonts w:cs="TimesNewRomanPSMT"/>
              </w:rPr>
              <w:t>Dog, 6 week</w:t>
            </w:r>
          </w:p>
        </w:tc>
        <w:tc>
          <w:tcPr>
            <w:tcW w:w="2410" w:type="dxa"/>
            <w:shd w:val="clear" w:color="auto" w:fill="auto"/>
          </w:tcPr>
          <w:p w14:paraId="7BC3A622" w14:textId="77777777" w:rsidR="00A53EE0" w:rsidRPr="00064185" w:rsidRDefault="00363E93" w:rsidP="00EA61D8">
            <w:pPr>
              <w:spacing w:line="260" w:lineRule="atLeast"/>
              <w:rPr>
                <w:rFonts w:eastAsia="Calibri"/>
                <w:lang w:eastAsia="en-US"/>
              </w:rPr>
            </w:pPr>
            <w:r w:rsidRPr="00064185">
              <w:t>0.75 mg/kg bw/day</w:t>
            </w:r>
          </w:p>
        </w:tc>
        <w:tc>
          <w:tcPr>
            <w:tcW w:w="1559" w:type="dxa"/>
            <w:shd w:val="clear" w:color="auto" w:fill="auto"/>
          </w:tcPr>
          <w:p w14:paraId="1BC94EA7" w14:textId="77777777" w:rsidR="00A53EE0" w:rsidRPr="00064185" w:rsidRDefault="00363E93" w:rsidP="00EA61D8">
            <w:pPr>
              <w:spacing w:line="260" w:lineRule="atLeast"/>
              <w:rPr>
                <w:rFonts w:eastAsia="Calibri"/>
                <w:lang w:eastAsia="en-US"/>
              </w:rPr>
            </w:pPr>
            <w:r w:rsidRPr="00064185">
              <w:rPr>
                <w:rFonts w:eastAsia="Calibri"/>
                <w:lang w:eastAsia="en-US"/>
              </w:rPr>
              <w:t>100</w:t>
            </w:r>
          </w:p>
        </w:tc>
        <w:tc>
          <w:tcPr>
            <w:tcW w:w="1763" w:type="dxa"/>
            <w:shd w:val="clear" w:color="auto" w:fill="auto"/>
          </w:tcPr>
          <w:p w14:paraId="14DB3084" w14:textId="32A0BA9A" w:rsidR="00A53EE0" w:rsidRPr="00064185" w:rsidRDefault="00FA4BBC" w:rsidP="00EA61D8">
            <w:pPr>
              <w:spacing w:line="260" w:lineRule="atLeast"/>
              <w:rPr>
                <w:rFonts w:eastAsia="Calibri"/>
                <w:lang w:eastAsia="en-US"/>
              </w:rPr>
            </w:pPr>
            <w:r w:rsidRPr="00064185">
              <w:t>0.0038 mg/kg bw/day</w:t>
            </w:r>
            <w:r w:rsidR="00363E93" w:rsidRPr="00064185">
              <w:t>*</w:t>
            </w:r>
          </w:p>
        </w:tc>
      </w:tr>
      <w:tr w:rsidR="00064185" w:rsidRPr="00064185" w14:paraId="421E241D" w14:textId="77777777" w:rsidTr="003121F4">
        <w:tc>
          <w:tcPr>
            <w:tcW w:w="1668" w:type="dxa"/>
            <w:shd w:val="clear" w:color="auto" w:fill="auto"/>
          </w:tcPr>
          <w:p w14:paraId="4C2D3BB1" w14:textId="77777777" w:rsidR="00A53EE0" w:rsidRPr="00064185" w:rsidRDefault="00A53EE0" w:rsidP="00EA61D8">
            <w:pPr>
              <w:spacing w:line="260" w:lineRule="atLeast"/>
              <w:rPr>
                <w:rFonts w:eastAsia="Calibri"/>
                <w:lang w:eastAsia="en-US"/>
              </w:rPr>
            </w:pPr>
            <w:r w:rsidRPr="00064185">
              <w:rPr>
                <w:rFonts w:eastAsia="Calibri"/>
                <w:lang w:eastAsia="en-US"/>
              </w:rPr>
              <w:t>AEL</w:t>
            </w:r>
            <w:r w:rsidRPr="00064185">
              <w:rPr>
                <w:rFonts w:eastAsia="Calibri"/>
                <w:vertAlign w:val="subscript"/>
                <w:lang w:eastAsia="en-US"/>
              </w:rPr>
              <w:t>medium-term</w:t>
            </w:r>
          </w:p>
        </w:tc>
        <w:tc>
          <w:tcPr>
            <w:tcW w:w="1842" w:type="dxa"/>
          </w:tcPr>
          <w:p w14:paraId="7E57CBEA" w14:textId="77777777" w:rsidR="00A53EE0" w:rsidRPr="00064185" w:rsidRDefault="007E2671" w:rsidP="00EA61D8">
            <w:pPr>
              <w:spacing w:line="260" w:lineRule="atLeast"/>
              <w:rPr>
                <w:rFonts w:eastAsia="Calibri"/>
                <w:lang w:eastAsia="en-US"/>
              </w:rPr>
            </w:pPr>
            <w:r w:rsidRPr="00064185">
              <w:rPr>
                <w:rFonts w:cs="TimesNewRomanPSMT"/>
              </w:rPr>
              <w:t>Dog, 1 year</w:t>
            </w:r>
          </w:p>
        </w:tc>
        <w:tc>
          <w:tcPr>
            <w:tcW w:w="2410" w:type="dxa"/>
            <w:shd w:val="clear" w:color="auto" w:fill="auto"/>
          </w:tcPr>
          <w:p w14:paraId="0936CF51" w14:textId="77777777" w:rsidR="00A53EE0" w:rsidRPr="00064185" w:rsidRDefault="00DA1BE0" w:rsidP="00EA61D8">
            <w:pPr>
              <w:spacing w:line="260" w:lineRule="atLeast"/>
              <w:rPr>
                <w:rFonts w:eastAsia="Calibri"/>
                <w:lang w:eastAsia="en-US"/>
              </w:rPr>
            </w:pPr>
            <w:r w:rsidRPr="00064185">
              <w:rPr>
                <w:rFonts w:eastAsia="Calibri"/>
                <w:lang w:eastAsia="en-US"/>
              </w:rPr>
              <w:t>0.5 mg/kg bw</w:t>
            </w:r>
            <w:r w:rsidR="003121F4" w:rsidRPr="00064185">
              <w:rPr>
                <w:rFonts w:eastAsia="Calibri"/>
                <w:lang w:eastAsia="en-US"/>
              </w:rPr>
              <w:t>/day</w:t>
            </w:r>
          </w:p>
        </w:tc>
        <w:tc>
          <w:tcPr>
            <w:tcW w:w="1559" w:type="dxa"/>
            <w:shd w:val="clear" w:color="auto" w:fill="auto"/>
          </w:tcPr>
          <w:p w14:paraId="16BBFAEB" w14:textId="77777777" w:rsidR="00A53EE0" w:rsidRPr="00064185" w:rsidRDefault="00DA1BE0" w:rsidP="00EA61D8">
            <w:pPr>
              <w:spacing w:line="260" w:lineRule="atLeast"/>
              <w:rPr>
                <w:rFonts w:eastAsia="Calibri"/>
                <w:lang w:eastAsia="en-US"/>
              </w:rPr>
            </w:pPr>
            <w:r w:rsidRPr="00064185">
              <w:rPr>
                <w:rFonts w:eastAsia="Calibri"/>
                <w:lang w:eastAsia="en-US"/>
              </w:rPr>
              <w:t>100</w:t>
            </w:r>
          </w:p>
        </w:tc>
        <w:tc>
          <w:tcPr>
            <w:tcW w:w="1763" w:type="dxa"/>
            <w:shd w:val="clear" w:color="auto" w:fill="auto"/>
          </w:tcPr>
          <w:p w14:paraId="4495CE74" w14:textId="232CCEE8" w:rsidR="00A53EE0" w:rsidRPr="00064185" w:rsidRDefault="00FA4BBC" w:rsidP="00EA61D8">
            <w:pPr>
              <w:spacing w:line="260" w:lineRule="atLeast"/>
              <w:rPr>
                <w:rFonts w:eastAsia="Calibri"/>
                <w:lang w:eastAsia="en-US"/>
              </w:rPr>
            </w:pPr>
            <w:r w:rsidRPr="00064185">
              <w:rPr>
                <w:rFonts w:eastAsia="Calibri"/>
                <w:lang w:eastAsia="en-US"/>
              </w:rPr>
              <w:t>0.0025 mg/kg bw/day</w:t>
            </w:r>
            <w:r w:rsidR="00DA1BE0" w:rsidRPr="00064185">
              <w:rPr>
                <w:rFonts w:eastAsia="Calibri"/>
                <w:lang w:eastAsia="en-US"/>
              </w:rPr>
              <w:t>*</w:t>
            </w:r>
          </w:p>
        </w:tc>
      </w:tr>
      <w:tr w:rsidR="00064185" w:rsidRPr="00064185" w14:paraId="47D5D76F" w14:textId="77777777" w:rsidTr="003121F4">
        <w:tc>
          <w:tcPr>
            <w:tcW w:w="1668" w:type="dxa"/>
            <w:shd w:val="clear" w:color="auto" w:fill="auto"/>
          </w:tcPr>
          <w:p w14:paraId="195C3C90" w14:textId="77777777" w:rsidR="00DA1BE0" w:rsidRPr="00064185" w:rsidRDefault="00DA1BE0" w:rsidP="00EA61D8">
            <w:pPr>
              <w:spacing w:line="260" w:lineRule="atLeast"/>
              <w:rPr>
                <w:rFonts w:eastAsia="Calibri"/>
                <w:lang w:eastAsia="en-US"/>
              </w:rPr>
            </w:pPr>
            <w:r w:rsidRPr="00064185">
              <w:rPr>
                <w:rFonts w:eastAsia="Calibri"/>
                <w:lang w:eastAsia="en-US"/>
              </w:rPr>
              <w:t>AEL</w:t>
            </w:r>
            <w:r w:rsidRPr="00064185">
              <w:rPr>
                <w:rFonts w:eastAsia="Calibri"/>
                <w:vertAlign w:val="subscript"/>
                <w:lang w:eastAsia="en-US"/>
              </w:rPr>
              <w:t>long-term</w:t>
            </w:r>
          </w:p>
        </w:tc>
        <w:tc>
          <w:tcPr>
            <w:tcW w:w="1842" w:type="dxa"/>
          </w:tcPr>
          <w:p w14:paraId="028C137E" w14:textId="77777777" w:rsidR="00DA1BE0" w:rsidRPr="00064185" w:rsidRDefault="00DA1BE0" w:rsidP="00EA61D8">
            <w:pPr>
              <w:spacing w:line="260" w:lineRule="atLeast"/>
              <w:rPr>
                <w:rFonts w:eastAsia="Calibri"/>
                <w:lang w:eastAsia="en-US"/>
              </w:rPr>
            </w:pPr>
            <w:r w:rsidRPr="00064185">
              <w:rPr>
                <w:rFonts w:cs="TimesNewRomanPSMT"/>
              </w:rPr>
              <w:t>Dog, 1 year</w:t>
            </w:r>
          </w:p>
        </w:tc>
        <w:tc>
          <w:tcPr>
            <w:tcW w:w="2410" w:type="dxa"/>
            <w:shd w:val="clear" w:color="auto" w:fill="auto"/>
          </w:tcPr>
          <w:p w14:paraId="52D47E92" w14:textId="77777777" w:rsidR="00DA1BE0" w:rsidRPr="00064185" w:rsidRDefault="00DA1BE0" w:rsidP="00EA61D8">
            <w:pPr>
              <w:spacing w:line="260" w:lineRule="atLeast"/>
              <w:rPr>
                <w:rFonts w:eastAsia="Calibri"/>
                <w:lang w:eastAsia="en-US"/>
              </w:rPr>
            </w:pPr>
            <w:r w:rsidRPr="00064185">
              <w:rPr>
                <w:rFonts w:eastAsia="Calibri"/>
                <w:lang w:eastAsia="en-US"/>
              </w:rPr>
              <w:t>0.5 mg/kg bw</w:t>
            </w:r>
            <w:r w:rsidR="003121F4" w:rsidRPr="00064185">
              <w:rPr>
                <w:rFonts w:eastAsia="Calibri"/>
                <w:lang w:eastAsia="en-US"/>
              </w:rPr>
              <w:t>/day</w:t>
            </w:r>
          </w:p>
        </w:tc>
        <w:tc>
          <w:tcPr>
            <w:tcW w:w="1559" w:type="dxa"/>
            <w:shd w:val="clear" w:color="auto" w:fill="auto"/>
          </w:tcPr>
          <w:p w14:paraId="3D0890EA" w14:textId="77777777" w:rsidR="00DA1BE0" w:rsidRPr="00064185" w:rsidRDefault="00DA1BE0" w:rsidP="00EA61D8">
            <w:pPr>
              <w:spacing w:line="260" w:lineRule="atLeast"/>
              <w:rPr>
                <w:rFonts w:eastAsia="Calibri"/>
                <w:lang w:eastAsia="en-US"/>
              </w:rPr>
            </w:pPr>
            <w:r w:rsidRPr="00064185">
              <w:rPr>
                <w:rFonts w:eastAsia="Calibri"/>
                <w:lang w:eastAsia="en-US"/>
              </w:rPr>
              <w:t>100</w:t>
            </w:r>
          </w:p>
        </w:tc>
        <w:tc>
          <w:tcPr>
            <w:tcW w:w="1763" w:type="dxa"/>
            <w:shd w:val="clear" w:color="auto" w:fill="auto"/>
          </w:tcPr>
          <w:p w14:paraId="0CAC44BE" w14:textId="0D6CB224" w:rsidR="00DA1BE0" w:rsidRPr="00064185" w:rsidRDefault="00FA4BBC" w:rsidP="00EA61D8">
            <w:pPr>
              <w:spacing w:line="260" w:lineRule="atLeast"/>
              <w:rPr>
                <w:rFonts w:eastAsia="Calibri"/>
                <w:lang w:eastAsia="en-US"/>
              </w:rPr>
            </w:pPr>
            <w:r w:rsidRPr="00064185">
              <w:rPr>
                <w:rFonts w:eastAsia="Calibri"/>
                <w:lang w:eastAsia="en-US"/>
              </w:rPr>
              <w:t>0.0025 mg/kg bw/day</w:t>
            </w:r>
            <w:r w:rsidR="00DA1BE0" w:rsidRPr="00064185">
              <w:rPr>
                <w:rFonts w:eastAsia="Calibri"/>
                <w:lang w:eastAsia="en-US"/>
              </w:rPr>
              <w:t>*</w:t>
            </w:r>
          </w:p>
        </w:tc>
      </w:tr>
      <w:tr w:rsidR="00064185" w:rsidRPr="00064185" w14:paraId="045A67AE" w14:textId="77777777" w:rsidTr="003121F4">
        <w:tc>
          <w:tcPr>
            <w:tcW w:w="1668" w:type="dxa"/>
            <w:shd w:val="clear" w:color="auto" w:fill="auto"/>
          </w:tcPr>
          <w:p w14:paraId="71B68FD1" w14:textId="77777777" w:rsidR="00DA1BE0" w:rsidRPr="00064185" w:rsidRDefault="00DA1BE0" w:rsidP="00EA61D8">
            <w:pPr>
              <w:spacing w:line="260" w:lineRule="atLeast"/>
              <w:rPr>
                <w:rFonts w:eastAsia="Calibri"/>
                <w:lang w:eastAsia="en-US"/>
              </w:rPr>
            </w:pPr>
            <w:r w:rsidRPr="00064185">
              <w:rPr>
                <w:rFonts w:eastAsia="Calibri"/>
                <w:lang w:eastAsia="en-US"/>
              </w:rPr>
              <w:t>AEL</w:t>
            </w:r>
            <w:r w:rsidRPr="00064185">
              <w:rPr>
                <w:rFonts w:eastAsia="Calibri"/>
                <w:vertAlign w:val="subscript"/>
                <w:lang w:eastAsia="en-US"/>
              </w:rPr>
              <w:t>inhalation</w:t>
            </w:r>
          </w:p>
        </w:tc>
        <w:tc>
          <w:tcPr>
            <w:tcW w:w="1842" w:type="dxa"/>
          </w:tcPr>
          <w:p w14:paraId="03B8449C" w14:textId="77777777" w:rsidR="00DA1BE0" w:rsidRPr="00064185" w:rsidRDefault="00DA1BE0" w:rsidP="00EA61D8">
            <w:pPr>
              <w:spacing w:line="260" w:lineRule="atLeast"/>
              <w:rPr>
                <w:rFonts w:cs="TimesNewRomanPSMT"/>
              </w:rPr>
            </w:pPr>
            <w:r w:rsidRPr="00064185">
              <w:rPr>
                <w:rFonts w:cs="TimesNewRomanPSMT"/>
              </w:rPr>
              <w:t>Rat, 21-day</w:t>
            </w:r>
          </w:p>
        </w:tc>
        <w:tc>
          <w:tcPr>
            <w:tcW w:w="2410" w:type="dxa"/>
            <w:shd w:val="clear" w:color="auto" w:fill="auto"/>
          </w:tcPr>
          <w:p w14:paraId="4F2CB591" w14:textId="77777777" w:rsidR="003121F4" w:rsidRPr="00064185" w:rsidRDefault="00DA1BE0" w:rsidP="00EA61D8">
            <w:pPr>
              <w:spacing w:line="260" w:lineRule="atLeast"/>
              <w:rPr>
                <w:rFonts w:eastAsia="Calibri"/>
                <w:lang w:eastAsia="en-US"/>
              </w:rPr>
            </w:pPr>
            <w:r w:rsidRPr="00064185">
              <w:rPr>
                <w:rFonts w:eastAsia="Calibri"/>
                <w:lang w:eastAsia="en-US"/>
              </w:rPr>
              <w:t xml:space="preserve">0.08 mg/kg bw </w:t>
            </w:r>
          </w:p>
          <w:p w14:paraId="013E4B8E" w14:textId="77777777" w:rsidR="00DA1BE0" w:rsidRPr="00064185" w:rsidRDefault="00DA1BE0" w:rsidP="00EA61D8">
            <w:pPr>
              <w:spacing w:line="260" w:lineRule="atLeast"/>
              <w:rPr>
                <w:rFonts w:eastAsia="Calibri"/>
                <w:lang w:eastAsia="en-US"/>
              </w:rPr>
            </w:pPr>
            <w:r w:rsidRPr="00064185">
              <w:rPr>
                <w:rFonts w:eastAsia="Calibri"/>
                <w:lang w:eastAsia="en-US"/>
              </w:rPr>
              <w:t>(0.3 μg/L)</w:t>
            </w:r>
          </w:p>
        </w:tc>
        <w:tc>
          <w:tcPr>
            <w:tcW w:w="1559" w:type="dxa"/>
            <w:shd w:val="clear" w:color="auto" w:fill="auto"/>
          </w:tcPr>
          <w:p w14:paraId="4DE52BD3" w14:textId="77777777" w:rsidR="00DA1BE0" w:rsidRPr="00064185" w:rsidRDefault="00DA1BE0" w:rsidP="00EA61D8">
            <w:pPr>
              <w:spacing w:line="260" w:lineRule="atLeast"/>
              <w:rPr>
                <w:rFonts w:eastAsia="Calibri"/>
                <w:lang w:eastAsia="en-US"/>
              </w:rPr>
            </w:pPr>
            <w:r w:rsidRPr="00064185">
              <w:rPr>
                <w:rFonts w:eastAsia="Calibri"/>
                <w:lang w:eastAsia="en-US"/>
              </w:rPr>
              <w:t>100</w:t>
            </w:r>
          </w:p>
        </w:tc>
        <w:tc>
          <w:tcPr>
            <w:tcW w:w="1763" w:type="dxa"/>
            <w:shd w:val="clear" w:color="auto" w:fill="auto"/>
          </w:tcPr>
          <w:p w14:paraId="6BCF220E" w14:textId="77777777" w:rsidR="00DA1BE0" w:rsidRPr="00064185" w:rsidRDefault="00DA1BE0" w:rsidP="00EA61D8">
            <w:pPr>
              <w:spacing w:line="260" w:lineRule="atLeast"/>
              <w:rPr>
                <w:rFonts w:eastAsia="Calibri"/>
                <w:lang w:eastAsia="en-US"/>
              </w:rPr>
            </w:pPr>
            <w:r w:rsidRPr="00064185">
              <w:rPr>
                <w:rFonts w:eastAsia="Calibri"/>
                <w:lang w:eastAsia="en-US"/>
              </w:rPr>
              <w:t>0.0008 mg/kg bw (0.003 μg/L)</w:t>
            </w:r>
          </w:p>
        </w:tc>
      </w:tr>
      <w:tr w:rsidR="00064185" w:rsidRPr="00064185" w14:paraId="6E361287" w14:textId="77777777" w:rsidTr="003121F4">
        <w:tc>
          <w:tcPr>
            <w:tcW w:w="1668" w:type="dxa"/>
            <w:shd w:val="clear" w:color="auto" w:fill="auto"/>
          </w:tcPr>
          <w:p w14:paraId="1B48239A" w14:textId="77777777" w:rsidR="00DA1BE0" w:rsidRPr="00064185" w:rsidRDefault="00DA1BE0" w:rsidP="00EA61D8">
            <w:pPr>
              <w:spacing w:line="260" w:lineRule="atLeast"/>
              <w:rPr>
                <w:rFonts w:eastAsia="Calibri"/>
                <w:lang w:eastAsia="en-US"/>
              </w:rPr>
            </w:pPr>
            <w:r w:rsidRPr="00064185">
              <w:rPr>
                <w:rFonts w:eastAsia="Calibri"/>
                <w:lang w:eastAsia="en-US"/>
              </w:rPr>
              <w:t>ARfD</w:t>
            </w:r>
          </w:p>
        </w:tc>
        <w:tc>
          <w:tcPr>
            <w:tcW w:w="1842" w:type="dxa"/>
          </w:tcPr>
          <w:p w14:paraId="398A96EC" w14:textId="77777777" w:rsidR="00DA1BE0" w:rsidRPr="00064185" w:rsidRDefault="00DA1BE0" w:rsidP="00EA61D8">
            <w:pPr>
              <w:spacing w:line="260" w:lineRule="atLeast"/>
              <w:rPr>
                <w:rFonts w:eastAsia="Calibri"/>
                <w:lang w:eastAsia="en-US"/>
              </w:rPr>
            </w:pPr>
            <w:r w:rsidRPr="00064185">
              <w:rPr>
                <w:rFonts w:eastAsia="Calibri"/>
                <w:lang w:eastAsia="en-US"/>
              </w:rPr>
              <w:t>Dog, 6 week</w:t>
            </w:r>
          </w:p>
        </w:tc>
        <w:tc>
          <w:tcPr>
            <w:tcW w:w="2410" w:type="dxa"/>
            <w:shd w:val="clear" w:color="auto" w:fill="auto"/>
          </w:tcPr>
          <w:p w14:paraId="14CCBC9F" w14:textId="77777777" w:rsidR="00DA1BE0" w:rsidRPr="00064185" w:rsidRDefault="00B501B6" w:rsidP="00EA61D8">
            <w:pPr>
              <w:spacing w:line="260" w:lineRule="atLeast"/>
              <w:rPr>
                <w:rFonts w:eastAsia="Calibri"/>
                <w:lang w:eastAsia="en-US"/>
              </w:rPr>
            </w:pPr>
            <w:r w:rsidRPr="00064185">
              <w:rPr>
                <w:rFonts w:eastAsia="Calibri"/>
                <w:lang w:eastAsia="en-US"/>
              </w:rPr>
              <w:t>0.75 mg/kg bw/day</w:t>
            </w:r>
          </w:p>
        </w:tc>
        <w:tc>
          <w:tcPr>
            <w:tcW w:w="1559" w:type="dxa"/>
            <w:shd w:val="clear" w:color="auto" w:fill="auto"/>
          </w:tcPr>
          <w:p w14:paraId="0D6CCDEC" w14:textId="77777777" w:rsidR="00DA1BE0" w:rsidRPr="00064185" w:rsidRDefault="00DA1BE0" w:rsidP="00EA61D8">
            <w:pPr>
              <w:spacing w:line="260" w:lineRule="atLeast"/>
              <w:rPr>
                <w:rFonts w:eastAsia="Calibri"/>
                <w:lang w:eastAsia="en-US"/>
              </w:rPr>
            </w:pPr>
            <w:r w:rsidRPr="00064185">
              <w:rPr>
                <w:rFonts w:eastAsia="Calibri"/>
                <w:lang w:eastAsia="en-US"/>
              </w:rPr>
              <w:t>100</w:t>
            </w:r>
          </w:p>
        </w:tc>
        <w:tc>
          <w:tcPr>
            <w:tcW w:w="1763" w:type="dxa"/>
            <w:shd w:val="clear" w:color="auto" w:fill="auto"/>
          </w:tcPr>
          <w:p w14:paraId="22248604" w14:textId="77777777" w:rsidR="00DA1BE0" w:rsidRPr="00064185" w:rsidRDefault="00DA1BE0" w:rsidP="00EA61D8">
            <w:pPr>
              <w:spacing w:line="260" w:lineRule="atLeast"/>
              <w:rPr>
                <w:rFonts w:eastAsia="Calibri"/>
                <w:lang w:eastAsia="en-US"/>
              </w:rPr>
            </w:pPr>
            <w:r w:rsidRPr="00064185">
              <w:rPr>
                <w:rFonts w:eastAsia="Calibri"/>
                <w:lang w:eastAsia="en-US"/>
              </w:rPr>
              <w:t>0.0075 mg/kg bw/day</w:t>
            </w:r>
          </w:p>
        </w:tc>
      </w:tr>
      <w:tr w:rsidR="00064185" w:rsidRPr="00064185" w14:paraId="49C93183" w14:textId="77777777" w:rsidTr="003121F4">
        <w:tc>
          <w:tcPr>
            <w:tcW w:w="1668" w:type="dxa"/>
            <w:shd w:val="clear" w:color="auto" w:fill="auto"/>
          </w:tcPr>
          <w:p w14:paraId="2B71C566" w14:textId="77777777" w:rsidR="00DA1BE0" w:rsidRPr="00064185" w:rsidRDefault="00DA1BE0" w:rsidP="00EA61D8">
            <w:pPr>
              <w:spacing w:line="260" w:lineRule="atLeast"/>
              <w:rPr>
                <w:rFonts w:eastAsia="Calibri"/>
                <w:lang w:eastAsia="en-US"/>
              </w:rPr>
            </w:pPr>
            <w:r w:rsidRPr="00064185">
              <w:rPr>
                <w:rFonts w:eastAsia="Calibri"/>
                <w:lang w:eastAsia="en-US"/>
              </w:rPr>
              <w:t>ADI</w:t>
            </w:r>
          </w:p>
        </w:tc>
        <w:tc>
          <w:tcPr>
            <w:tcW w:w="1842" w:type="dxa"/>
          </w:tcPr>
          <w:p w14:paraId="46AE9360" w14:textId="77777777" w:rsidR="00DA1BE0" w:rsidRPr="00064185" w:rsidRDefault="00DA1BE0" w:rsidP="00EA61D8">
            <w:pPr>
              <w:spacing w:line="260" w:lineRule="atLeast"/>
              <w:rPr>
                <w:rFonts w:eastAsia="Calibri"/>
                <w:lang w:eastAsia="en-US"/>
              </w:rPr>
            </w:pPr>
            <w:r w:rsidRPr="00064185">
              <w:rPr>
                <w:rFonts w:eastAsia="Calibri"/>
                <w:lang w:eastAsia="en-US"/>
              </w:rPr>
              <w:t>Dog, 1 year</w:t>
            </w:r>
          </w:p>
        </w:tc>
        <w:tc>
          <w:tcPr>
            <w:tcW w:w="2410" w:type="dxa"/>
            <w:shd w:val="clear" w:color="auto" w:fill="auto"/>
          </w:tcPr>
          <w:p w14:paraId="3258A1FE" w14:textId="77777777" w:rsidR="00DA1BE0" w:rsidRPr="00064185" w:rsidRDefault="00B501B6" w:rsidP="00EA61D8">
            <w:pPr>
              <w:spacing w:line="260" w:lineRule="atLeast"/>
              <w:rPr>
                <w:rFonts w:eastAsia="Calibri"/>
                <w:lang w:eastAsia="en-US"/>
              </w:rPr>
            </w:pPr>
            <w:r w:rsidRPr="00064185">
              <w:rPr>
                <w:rFonts w:eastAsia="Calibri"/>
                <w:lang w:eastAsia="en-US"/>
              </w:rPr>
              <w:t>0.5 mg/kg bw</w:t>
            </w:r>
          </w:p>
        </w:tc>
        <w:tc>
          <w:tcPr>
            <w:tcW w:w="1559" w:type="dxa"/>
            <w:shd w:val="clear" w:color="auto" w:fill="auto"/>
          </w:tcPr>
          <w:p w14:paraId="0D4B5821" w14:textId="77777777" w:rsidR="00DA1BE0" w:rsidRPr="00064185" w:rsidRDefault="00DA1BE0" w:rsidP="00EA61D8">
            <w:pPr>
              <w:spacing w:line="260" w:lineRule="atLeast"/>
              <w:rPr>
                <w:rFonts w:eastAsia="Calibri"/>
                <w:lang w:eastAsia="en-US"/>
              </w:rPr>
            </w:pPr>
            <w:r w:rsidRPr="00064185">
              <w:rPr>
                <w:rFonts w:eastAsia="Calibri"/>
                <w:lang w:eastAsia="en-US"/>
              </w:rPr>
              <w:t>100</w:t>
            </w:r>
          </w:p>
        </w:tc>
        <w:tc>
          <w:tcPr>
            <w:tcW w:w="1763" w:type="dxa"/>
            <w:shd w:val="clear" w:color="auto" w:fill="auto"/>
          </w:tcPr>
          <w:p w14:paraId="1E80AF13" w14:textId="77777777" w:rsidR="00DA1BE0" w:rsidRPr="00064185" w:rsidRDefault="00DA1BE0" w:rsidP="00EA61D8">
            <w:pPr>
              <w:spacing w:line="260" w:lineRule="atLeast"/>
              <w:rPr>
                <w:rFonts w:eastAsia="Calibri"/>
                <w:lang w:eastAsia="en-US"/>
              </w:rPr>
            </w:pPr>
            <w:r w:rsidRPr="00064185">
              <w:rPr>
                <w:rFonts w:eastAsia="Calibri"/>
                <w:lang w:eastAsia="en-US"/>
              </w:rPr>
              <w:t>0.005</w:t>
            </w:r>
            <w:r w:rsidR="003121F4" w:rsidRPr="00064185">
              <w:rPr>
                <w:rFonts w:eastAsia="Calibri"/>
                <w:lang w:eastAsia="en-US"/>
              </w:rPr>
              <w:t xml:space="preserve"> mg/kg </w:t>
            </w:r>
            <w:r w:rsidRPr="00064185">
              <w:rPr>
                <w:rFonts w:eastAsia="Calibri"/>
                <w:lang w:eastAsia="en-US"/>
              </w:rPr>
              <w:t>bw/day</w:t>
            </w:r>
          </w:p>
        </w:tc>
      </w:tr>
    </w:tbl>
    <w:p w14:paraId="467D3E9D" w14:textId="77777777" w:rsidR="00A53EE0" w:rsidRPr="00064185" w:rsidRDefault="00363E93" w:rsidP="00EA61D8">
      <w:pPr>
        <w:spacing w:line="260" w:lineRule="atLeast"/>
        <w:rPr>
          <w:rFonts w:ascii="Times New Roman" w:eastAsia="Calibri" w:hAnsi="Times New Roman"/>
          <w:iCs/>
          <w:lang w:eastAsia="en-US"/>
        </w:rPr>
      </w:pPr>
      <w:r w:rsidRPr="00064185">
        <w:rPr>
          <w:rFonts w:eastAsia="Calibri"/>
          <w:iCs/>
          <w:lang w:eastAsia="en-US"/>
        </w:rPr>
        <w:t xml:space="preserve">* An </w:t>
      </w:r>
      <w:r w:rsidRPr="00064185">
        <w:t>oral absorption of 50% was considered.</w:t>
      </w:r>
    </w:p>
    <w:p w14:paraId="1B96D666" w14:textId="3F535CB7" w:rsidR="00BB6AEE" w:rsidRPr="00064185" w:rsidRDefault="00BB6AEE" w:rsidP="00EA61D8">
      <w:pPr>
        <w:spacing w:line="260" w:lineRule="atLeast"/>
        <w:rPr>
          <w:rFonts w:eastAsia="Calibri"/>
          <w:bCs/>
          <w:sz w:val="22"/>
          <w:lang w:eastAsia="en-US"/>
        </w:rPr>
      </w:pPr>
    </w:p>
    <w:p w14:paraId="24B23420" w14:textId="77777777" w:rsidR="00BB6AEE" w:rsidRPr="00064185" w:rsidRDefault="00BB6AEE" w:rsidP="00EA61D8">
      <w:pPr>
        <w:spacing w:line="260" w:lineRule="atLeast"/>
        <w:rPr>
          <w:rFonts w:eastAsia="Calibri"/>
          <w:bCs/>
          <w:sz w:val="22"/>
          <w:lang w:eastAsia="en-US"/>
        </w:rPr>
      </w:pPr>
    </w:p>
    <w:p w14:paraId="41D28B30" w14:textId="77777777" w:rsidR="00A53EE0" w:rsidRPr="00064185" w:rsidRDefault="00A53EE0" w:rsidP="00EA61D8">
      <w:pPr>
        <w:spacing w:line="260" w:lineRule="atLeast"/>
        <w:rPr>
          <w:rFonts w:eastAsia="Calibri"/>
          <w:b/>
          <w:bCs/>
          <w:sz w:val="22"/>
          <w:lang w:eastAsia="en-US"/>
        </w:rPr>
      </w:pPr>
      <w:r w:rsidRPr="00064185">
        <w:rPr>
          <w:rFonts w:eastAsia="Calibri"/>
          <w:b/>
          <w:bCs/>
          <w:sz w:val="22"/>
          <w:lang w:eastAsia="en-US"/>
        </w:rPr>
        <w:t xml:space="preserve">Risk characterisation </w:t>
      </w:r>
    </w:p>
    <w:p w14:paraId="45327D3D" w14:textId="77777777" w:rsidR="002368C1" w:rsidRPr="00064185" w:rsidRDefault="002368C1" w:rsidP="00EA61D8">
      <w:pPr>
        <w:spacing w:line="260" w:lineRule="atLeast"/>
        <w:rPr>
          <w:rFonts w:eastAsia="Calibri"/>
          <w:i/>
          <w:lang w:eastAsia="en-US"/>
        </w:rPr>
      </w:pPr>
    </w:p>
    <w:p w14:paraId="35C7BAC3" w14:textId="77777777" w:rsidR="00C234BE" w:rsidRPr="00064185" w:rsidRDefault="002368C1" w:rsidP="000835FA">
      <w:pPr>
        <w:spacing w:before="120"/>
        <w:jc w:val="both"/>
      </w:pPr>
      <w:r w:rsidRPr="00064185">
        <w:t xml:space="preserve">COM 116 02 I AL is a liquid formulation applied by trigger </w:t>
      </w:r>
      <w:r w:rsidR="0078381B" w:rsidRPr="00064185">
        <w:t>spray devices. It contains 0.05</w:t>
      </w:r>
      <w:r w:rsidRPr="00064185">
        <w:t xml:space="preserve">% of the </w:t>
      </w:r>
      <w:proofErr w:type="gramStart"/>
      <w:r w:rsidRPr="00064185">
        <w:t>a.s</w:t>
      </w:r>
      <w:proofErr w:type="gramEnd"/>
      <w:r w:rsidRPr="00064185">
        <w:t xml:space="preserve">., </w:t>
      </w:r>
      <w:r w:rsidRPr="00064185">
        <w:rPr>
          <w:i/>
        </w:rPr>
        <w:t>lambda</w:t>
      </w:r>
      <w:r w:rsidRPr="00064185">
        <w:t xml:space="preserve">-cyhalothrin (product type 18). The product is efficacious against </w:t>
      </w:r>
      <w:r w:rsidR="00291CA7" w:rsidRPr="00064185">
        <w:t>garden ants and i</w:t>
      </w:r>
      <w:r w:rsidRPr="00064185">
        <w:t xml:space="preserve">t will be used by non-professional users of the general public. The product is sprayed on the ground or directly on the target pest or is activated during absorption of the active substance by the target organisms. Due to the application type exposure of the user occurs </w:t>
      </w:r>
      <w:r w:rsidR="00213E87" w:rsidRPr="00064185">
        <w:t xml:space="preserve">by </w:t>
      </w:r>
      <w:r w:rsidRPr="00064185">
        <w:t xml:space="preserve">dermal and inhalation route. The vapour pressure of </w:t>
      </w:r>
      <w:r w:rsidRPr="00064185">
        <w:rPr>
          <w:i/>
        </w:rPr>
        <w:t>lambda</w:t>
      </w:r>
      <w:r w:rsidRPr="00064185">
        <w:t>-cyhalothrin is only 2×10</w:t>
      </w:r>
      <w:r w:rsidRPr="00064185">
        <w:rPr>
          <w:vertAlign w:val="superscript"/>
        </w:rPr>
        <w:t>–7</w:t>
      </w:r>
      <w:r w:rsidRPr="00064185">
        <w:t xml:space="preserve"> Pa so that exposure to </w:t>
      </w:r>
      <w:r w:rsidRPr="00064185">
        <w:rPr>
          <w:i/>
        </w:rPr>
        <w:t>lambda</w:t>
      </w:r>
      <w:r w:rsidRPr="00064185">
        <w:t xml:space="preserve">-cyhalothrin vapours in treated rooms can be ruled out; only primary exposure to spray mist is possible. </w:t>
      </w:r>
    </w:p>
    <w:p w14:paraId="3CFB6DF8" w14:textId="4A548ECD" w:rsidR="002368C1" w:rsidRPr="00064185" w:rsidRDefault="002368C1" w:rsidP="000835FA">
      <w:pPr>
        <w:spacing w:before="120"/>
        <w:jc w:val="both"/>
      </w:pPr>
      <w:r w:rsidRPr="00064185">
        <w:rPr>
          <w:rFonts w:eastAsia="Calibri"/>
          <w:lang w:eastAsia="en-US"/>
        </w:rPr>
        <w:t xml:space="preserve">The potential for exposure to </w:t>
      </w:r>
      <w:r w:rsidRPr="00064185">
        <w:rPr>
          <w:i/>
        </w:rPr>
        <w:t>lambda</w:t>
      </w:r>
      <w:r w:rsidRPr="00064185">
        <w:t>-cyhalothrin is summarised in the table below.</w:t>
      </w:r>
    </w:p>
    <w:p w14:paraId="57EACE59" w14:textId="77777777" w:rsidR="004541AD" w:rsidRPr="00064185" w:rsidRDefault="004541AD" w:rsidP="000835FA">
      <w:pPr>
        <w:spacing w:before="120"/>
        <w:jc w:val="both"/>
      </w:pPr>
    </w:p>
    <w:p w14:paraId="61CA7C23" w14:textId="77777777" w:rsidR="00215513" w:rsidRPr="00064185" w:rsidRDefault="00215513" w:rsidP="00EA61D8">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18"/>
        <w:gridCol w:w="3119"/>
        <w:gridCol w:w="3117"/>
      </w:tblGrid>
      <w:tr w:rsidR="00064185" w:rsidRPr="00064185" w14:paraId="0FCE06A0" w14:textId="77777777" w:rsidTr="008E5D5C">
        <w:trPr>
          <w:trHeight w:val="418"/>
        </w:trPr>
        <w:tc>
          <w:tcPr>
            <w:tcW w:w="1667" w:type="pct"/>
            <w:shd w:val="clear" w:color="auto" w:fill="FFFFCC"/>
            <w:vAlign w:val="center"/>
          </w:tcPr>
          <w:p w14:paraId="40E49E4E" w14:textId="77777777" w:rsidR="002368C1" w:rsidRPr="00064185" w:rsidRDefault="002368C1" w:rsidP="00EA61D8">
            <w:pPr>
              <w:spacing w:line="260" w:lineRule="atLeast"/>
              <w:rPr>
                <w:rFonts w:eastAsia="Calibri"/>
                <w:b/>
                <w:bCs/>
                <w:lang w:eastAsia="en-US"/>
              </w:rPr>
            </w:pPr>
            <w:r w:rsidRPr="00064185">
              <w:rPr>
                <w:rFonts w:eastAsia="Calibri"/>
                <w:b/>
                <w:bCs/>
                <w:lang w:eastAsia="en-US"/>
              </w:rPr>
              <w:br w:type="page"/>
              <w:t>Exposure path</w:t>
            </w:r>
          </w:p>
        </w:tc>
        <w:tc>
          <w:tcPr>
            <w:tcW w:w="1667" w:type="pct"/>
            <w:shd w:val="clear" w:color="auto" w:fill="FFFFCC"/>
            <w:vAlign w:val="center"/>
          </w:tcPr>
          <w:p w14:paraId="1D99E59D" w14:textId="77777777" w:rsidR="002368C1" w:rsidRPr="00064185" w:rsidRDefault="002368C1" w:rsidP="00EA61D8">
            <w:pPr>
              <w:rPr>
                <w:rFonts w:eastAsia="Calibri"/>
                <w:b/>
                <w:bCs/>
                <w:lang w:eastAsia="en-US"/>
              </w:rPr>
            </w:pPr>
            <w:r w:rsidRPr="00064185">
              <w:rPr>
                <w:rFonts w:eastAsia="Calibri"/>
                <w:b/>
                <w:bCs/>
                <w:lang w:eastAsia="en-US"/>
              </w:rPr>
              <w:t>General public</w:t>
            </w:r>
          </w:p>
        </w:tc>
        <w:tc>
          <w:tcPr>
            <w:tcW w:w="1667" w:type="pct"/>
            <w:shd w:val="clear" w:color="auto" w:fill="FFFFCC"/>
            <w:vAlign w:val="center"/>
          </w:tcPr>
          <w:p w14:paraId="340A7241" w14:textId="77777777" w:rsidR="002368C1" w:rsidRPr="00064185" w:rsidRDefault="002368C1" w:rsidP="00EA61D8">
            <w:pPr>
              <w:autoSpaceDE w:val="0"/>
              <w:autoSpaceDN w:val="0"/>
              <w:spacing w:before="40" w:after="40"/>
              <w:rPr>
                <w:rFonts w:eastAsia="Calibri"/>
                <w:b/>
                <w:bCs/>
                <w:lang w:eastAsia="en-US"/>
              </w:rPr>
            </w:pPr>
            <w:r w:rsidRPr="00064185">
              <w:rPr>
                <w:rFonts w:eastAsia="Calibri"/>
                <w:b/>
                <w:lang w:eastAsia="sv-SE"/>
              </w:rPr>
              <w:t>Via the environment</w:t>
            </w:r>
            <w:r w:rsidRPr="00064185">
              <w:rPr>
                <w:rFonts w:eastAsia="Calibri"/>
                <w:b/>
                <w:bCs/>
                <w:lang w:eastAsia="en-US"/>
              </w:rPr>
              <w:t xml:space="preserve"> </w:t>
            </w:r>
          </w:p>
        </w:tc>
      </w:tr>
      <w:tr w:rsidR="00064185" w:rsidRPr="00064185" w14:paraId="7BF8F69A" w14:textId="77777777" w:rsidTr="008E5D5C">
        <w:trPr>
          <w:trHeight w:val="512"/>
        </w:trPr>
        <w:tc>
          <w:tcPr>
            <w:tcW w:w="1667" w:type="pct"/>
            <w:vAlign w:val="center"/>
          </w:tcPr>
          <w:p w14:paraId="6DE0E7E3" w14:textId="77777777" w:rsidR="002368C1" w:rsidRPr="00064185" w:rsidRDefault="002368C1" w:rsidP="00EA61D8">
            <w:r w:rsidRPr="00064185">
              <w:t>Inhalation</w:t>
            </w:r>
          </w:p>
        </w:tc>
        <w:tc>
          <w:tcPr>
            <w:tcW w:w="1667" w:type="pct"/>
            <w:vAlign w:val="center"/>
          </w:tcPr>
          <w:p w14:paraId="682CDF68" w14:textId="77777777" w:rsidR="002368C1" w:rsidRPr="00064185" w:rsidRDefault="002368C1" w:rsidP="00EA61D8">
            <w:r w:rsidRPr="00064185">
              <w:t>Relevant</w:t>
            </w:r>
          </w:p>
        </w:tc>
        <w:tc>
          <w:tcPr>
            <w:tcW w:w="1667" w:type="pct"/>
            <w:vAlign w:val="center"/>
          </w:tcPr>
          <w:p w14:paraId="1C838102" w14:textId="77777777" w:rsidR="002368C1" w:rsidRPr="00064185" w:rsidRDefault="002368C1" w:rsidP="00EA61D8">
            <w:r w:rsidRPr="00064185">
              <w:t>Not relevant</w:t>
            </w:r>
          </w:p>
        </w:tc>
      </w:tr>
      <w:tr w:rsidR="00064185" w:rsidRPr="00064185" w14:paraId="4D446E21" w14:textId="77777777" w:rsidTr="008E5D5C">
        <w:trPr>
          <w:trHeight w:val="493"/>
        </w:trPr>
        <w:tc>
          <w:tcPr>
            <w:tcW w:w="1667" w:type="pct"/>
            <w:vAlign w:val="center"/>
          </w:tcPr>
          <w:p w14:paraId="191959B9" w14:textId="77777777" w:rsidR="002368C1" w:rsidRPr="00064185" w:rsidRDefault="002368C1" w:rsidP="00EA61D8">
            <w:r w:rsidRPr="00064185">
              <w:t>Dermal</w:t>
            </w:r>
          </w:p>
        </w:tc>
        <w:tc>
          <w:tcPr>
            <w:tcW w:w="1667" w:type="pct"/>
            <w:vAlign w:val="center"/>
          </w:tcPr>
          <w:p w14:paraId="7C93D7B5" w14:textId="77777777" w:rsidR="002368C1" w:rsidRPr="00064185" w:rsidRDefault="002368C1" w:rsidP="00EA61D8">
            <w:r w:rsidRPr="00064185">
              <w:t>Relevant</w:t>
            </w:r>
          </w:p>
        </w:tc>
        <w:tc>
          <w:tcPr>
            <w:tcW w:w="1667" w:type="pct"/>
            <w:vAlign w:val="center"/>
          </w:tcPr>
          <w:p w14:paraId="4EC74239" w14:textId="77777777" w:rsidR="002368C1" w:rsidRPr="00064185" w:rsidRDefault="002368C1" w:rsidP="00EA61D8">
            <w:r w:rsidRPr="00064185">
              <w:t>Not relevant</w:t>
            </w:r>
          </w:p>
        </w:tc>
      </w:tr>
      <w:tr w:rsidR="002368C1" w:rsidRPr="00064185" w14:paraId="515ECFBF" w14:textId="77777777" w:rsidTr="008E5D5C">
        <w:trPr>
          <w:trHeight w:val="512"/>
        </w:trPr>
        <w:tc>
          <w:tcPr>
            <w:tcW w:w="1667" w:type="pct"/>
            <w:vAlign w:val="center"/>
          </w:tcPr>
          <w:p w14:paraId="5541D7A1" w14:textId="77777777" w:rsidR="002368C1" w:rsidRPr="00064185" w:rsidRDefault="002368C1" w:rsidP="00EA61D8">
            <w:r w:rsidRPr="00064185">
              <w:t>Oral</w:t>
            </w:r>
          </w:p>
        </w:tc>
        <w:tc>
          <w:tcPr>
            <w:tcW w:w="1667" w:type="pct"/>
            <w:vAlign w:val="center"/>
          </w:tcPr>
          <w:p w14:paraId="59FA2E0D" w14:textId="77777777" w:rsidR="002368C1" w:rsidRPr="00064185" w:rsidRDefault="002368C1" w:rsidP="00EA61D8">
            <w:r w:rsidRPr="00064185">
              <w:t>Relevant for infants</w:t>
            </w:r>
          </w:p>
        </w:tc>
        <w:tc>
          <w:tcPr>
            <w:tcW w:w="1667" w:type="pct"/>
            <w:vAlign w:val="center"/>
          </w:tcPr>
          <w:p w14:paraId="6DC59E82" w14:textId="77777777" w:rsidR="002368C1" w:rsidRPr="00064185" w:rsidRDefault="002368C1" w:rsidP="00EA61D8">
            <w:r w:rsidRPr="00064185">
              <w:t>Not relevant</w:t>
            </w:r>
          </w:p>
        </w:tc>
      </w:tr>
    </w:tbl>
    <w:p w14:paraId="66BC0CC9" w14:textId="77777777" w:rsidR="002368C1" w:rsidRPr="00064185" w:rsidRDefault="002368C1" w:rsidP="00EA61D8">
      <w:pPr>
        <w:spacing w:line="260" w:lineRule="atLeast"/>
        <w:rPr>
          <w:rFonts w:eastAsia="Calibri"/>
          <w:lang w:eastAsia="en-US"/>
        </w:rPr>
      </w:pPr>
    </w:p>
    <w:p w14:paraId="2B26C1FA" w14:textId="59E01E3B" w:rsidR="004541AD" w:rsidRDefault="004541AD" w:rsidP="00EA61D8">
      <w:pPr>
        <w:spacing w:line="260" w:lineRule="atLeast"/>
        <w:rPr>
          <w:rFonts w:eastAsia="Calibri"/>
          <w:lang w:eastAsia="en-US"/>
        </w:rPr>
      </w:pPr>
    </w:p>
    <w:p w14:paraId="318B71C3" w14:textId="77777777" w:rsidR="000E17AE" w:rsidRPr="00064185" w:rsidRDefault="000E17AE" w:rsidP="00EA61D8">
      <w:pPr>
        <w:spacing w:line="260" w:lineRule="atLeast"/>
        <w:rPr>
          <w:rFonts w:eastAsia="Calibri"/>
          <w:lang w:eastAsia="en-US"/>
        </w:rPr>
      </w:pPr>
    </w:p>
    <w:p w14:paraId="33E10095" w14:textId="77777777" w:rsidR="004541AD" w:rsidRPr="00064185" w:rsidRDefault="004541AD" w:rsidP="00EA61D8">
      <w:pPr>
        <w:spacing w:line="260" w:lineRule="atLeast"/>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5"/>
        <w:gridCol w:w="1560"/>
        <w:gridCol w:w="4961"/>
        <w:gridCol w:w="1628"/>
      </w:tblGrid>
      <w:tr w:rsidR="00064185" w:rsidRPr="00064185" w14:paraId="4EE17929" w14:textId="77777777" w:rsidTr="008E5D5C">
        <w:trPr>
          <w:tblHeader/>
        </w:trPr>
        <w:tc>
          <w:tcPr>
            <w:tcW w:w="5000" w:type="pct"/>
            <w:gridSpan w:val="4"/>
            <w:shd w:val="clear" w:color="auto" w:fill="FFFFCC"/>
          </w:tcPr>
          <w:p w14:paraId="574360B2"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lastRenderedPageBreak/>
              <w:t>Summary table: scenarios</w:t>
            </w:r>
          </w:p>
        </w:tc>
      </w:tr>
      <w:tr w:rsidR="00064185" w:rsidRPr="00064185" w14:paraId="331E6E95" w14:textId="77777777" w:rsidTr="008E5D5C">
        <w:trPr>
          <w:tblHeader/>
        </w:trPr>
        <w:tc>
          <w:tcPr>
            <w:tcW w:w="644" w:type="pct"/>
            <w:shd w:val="clear" w:color="auto" w:fill="auto"/>
            <w:tcMar>
              <w:top w:w="57" w:type="dxa"/>
              <w:bottom w:w="57" w:type="dxa"/>
            </w:tcMar>
          </w:tcPr>
          <w:p w14:paraId="3AF1F455"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Scenario number</w:t>
            </w:r>
          </w:p>
        </w:tc>
        <w:tc>
          <w:tcPr>
            <w:tcW w:w="834" w:type="pct"/>
            <w:shd w:val="clear" w:color="auto" w:fill="auto"/>
            <w:tcMar>
              <w:top w:w="57" w:type="dxa"/>
              <w:bottom w:w="57" w:type="dxa"/>
            </w:tcMar>
          </w:tcPr>
          <w:p w14:paraId="6F3743EE"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Scenario</w:t>
            </w:r>
          </w:p>
          <w:p w14:paraId="3636069C" w14:textId="77777777" w:rsidR="00A53EE0" w:rsidRPr="00064185" w:rsidRDefault="00A53EE0" w:rsidP="00EA61D8">
            <w:pPr>
              <w:spacing w:line="260" w:lineRule="atLeast"/>
              <w:rPr>
                <w:rFonts w:eastAsia="Calibri"/>
                <w:bCs/>
                <w:lang w:eastAsia="en-US"/>
              </w:rPr>
            </w:pPr>
          </w:p>
        </w:tc>
        <w:tc>
          <w:tcPr>
            <w:tcW w:w="2652" w:type="pct"/>
            <w:shd w:val="clear" w:color="auto" w:fill="auto"/>
            <w:tcMar>
              <w:top w:w="57" w:type="dxa"/>
              <w:bottom w:w="57" w:type="dxa"/>
            </w:tcMar>
          </w:tcPr>
          <w:p w14:paraId="51A85FF8"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 xml:space="preserve">Primary or secondary exposure </w:t>
            </w:r>
          </w:p>
          <w:p w14:paraId="43768A01" w14:textId="77777777" w:rsidR="00A53EE0" w:rsidRPr="00064185" w:rsidRDefault="00A53EE0" w:rsidP="00EA61D8">
            <w:pPr>
              <w:spacing w:line="260" w:lineRule="atLeast"/>
              <w:rPr>
                <w:rFonts w:eastAsia="Calibri"/>
                <w:bCs/>
                <w:lang w:eastAsia="en-US"/>
              </w:rPr>
            </w:pPr>
            <w:r w:rsidRPr="00064185">
              <w:rPr>
                <w:rFonts w:eastAsia="Calibri"/>
                <w:b/>
                <w:bCs/>
                <w:lang w:eastAsia="en-US"/>
              </w:rPr>
              <w:t>Brief description of scenario</w:t>
            </w:r>
          </w:p>
        </w:tc>
        <w:tc>
          <w:tcPr>
            <w:tcW w:w="870" w:type="pct"/>
            <w:shd w:val="clear" w:color="auto" w:fill="auto"/>
            <w:tcMar>
              <w:top w:w="57" w:type="dxa"/>
              <w:bottom w:w="57" w:type="dxa"/>
            </w:tcMar>
          </w:tcPr>
          <w:p w14:paraId="35992B32"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Exposed group</w:t>
            </w:r>
          </w:p>
          <w:p w14:paraId="501AE70B" w14:textId="77777777" w:rsidR="00A53EE0" w:rsidRPr="00064185" w:rsidRDefault="00A53EE0" w:rsidP="00EA61D8">
            <w:pPr>
              <w:spacing w:line="260" w:lineRule="atLeast"/>
              <w:rPr>
                <w:rFonts w:eastAsia="Calibri"/>
                <w:bCs/>
                <w:lang w:eastAsia="en-US"/>
              </w:rPr>
            </w:pPr>
          </w:p>
        </w:tc>
      </w:tr>
      <w:tr w:rsidR="00064185" w:rsidRPr="00064185" w14:paraId="1E671672" w14:textId="77777777" w:rsidTr="008E5D5C">
        <w:trPr>
          <w:tblHeader/>
        </w:trPr>
        <w:tc>
          <w:tcPr>
            <w:tcW w:w="644" w:type="pct"/>
            <w:tcMar>
              <w:top w:w="57" w:type="dxa"/>
              <w:bottom w:w="57" w:type="dxa"/>
            </w:tcMar>
          </w:tcPr>
          <w:p w14:paraId="31851EF3" w14:textId="77777777" w:rsidR="00A53EE0" w:rsidRPr="00064185" w:rsidRDefault="00A53EE0" w:rsidP="00EA61D8">
            <w:pPr>
              <w:spacing w:line="260" w:lineRule="atLeast"/>
              <w:rPr>
                <w:rFonts w:eastAsia="Calibri"/>
                <w:lang w:eastAsia="en-US"/>
              </w:rPr>
            </w:pPr>
            <w:r w:rsidRPr="00064185">
              <w:rPr>
                <w:rFonts w:eastAsia="Calibri"/>
                <w:lang w:eastAsia="en-US"/>
              </w:rPr>
              <w:t>1.</w:t>
            </w:r>
          </w:p>
        </w:tc>
        <w:tc>
          <w:tcPr>
            <w:tcW w:w="834" w:type="pct"/>
            <w:shd w:val="clear" w:color="auto" w:fill="auto"/>
            <w:tcMar>
              <w:top w:w="57" w:type="dxa"/>
              <w:bottom w:w="57" w:type="dxa"/>
            </w:tcMar>
          </w:tcPr>
          <w:p w14:paraId="5B011B6E" w14:textId="62A06458" w:rsidR="00A53EE0" w:rsidRPr="00064185" w:rsidRDefault="00D24C36" w:rsidP="00EA61D8">
            <w:pPr>
              <w:spacing w:line="260" w:lineRule="atLeast"/>
              <w:rPr>
                <w:rFonts w:eastAsia="Calibri"/>
                <w:lang w:eastAsia="en-US"/>
              </w:rPr>
            </w:pPr>
            <w:r w:rsidRPr="00064185">
              <w:rPr>
                <w:bCs/>
              </w:rPr>
              <w:t>Spot treatment</w:t>
            </w:r>
            <w:r w:rsidR="00FE3AE4" w:rsidRPr="00064185">
              <w:rPr>
                <w:bCs/>
              </w:rPr>
              <w:t>,</w:t>
            </w:r>
            <w:r w:rsidR="00FE3AE4" w:rsidRPr="00064185">
              <w:rPr>
                <w:bCs/>
              </w:rPr>
              <w:br/>
              <w:t>trigger spray</w:t>
            </w:r>
          </w:p>
        </w:tc>
        <w:tc>
          <w:tcPr>
            <w:tcW w:w="2652" w:type="pct"/>
            <w:tcMar>
              <w:top w:w="57" w:type="dxa"/>
              <w:bottom w:w="57" w:type="dxa"/>
            </w:tcMar>
          </w:tcPr>
          <w:p w14:paraId="54862BEB" w14:textId="50B7FE25" w:rsidR="00A53EE0" w:rsidRPr="00064185" w:rsidRDefault="00E856ED" w:rsidP="00EA61D8">
            <w:pPr>
              <w:spacing w:line="260" w:lineRule="atLeast"/>
              <w:rPr>
                <w:rFonts w:eastAsia="Calibri"/>
                <w:lang w:eastAsia="en-US"/>
              </w:rPr>
            </w:pPr>
            <w:r w:rsidRPr="00064185">
              <w:rPr>
                <w:rFonts w:eastAsia="Calibri"/>
                <w:lang w:eastAsia="en-US"/>
              </w:rPr>
              <w:t xml:space="preserve">Primary </w:t>
            </w:r>
            <w:proofErr w:type="gramStart"/>
            <w:r w:rsidRPr="00064185">
              <w:rPr>
                <w:rFonts w:eastAsia="Calibri"/>
                <w:lang w:eastAsia="en-US"/>
              </w:rPr>
              <w:t>exposure of non-professional</w:t>
            </w:r>
            <w:r w:rsidR="00E6313B" w:rsidRPr="00064185">
              <w:rPr>
                <w:rFonts w:eastAsia="Calibri"/>
                <w:lang w:eastAsia="en-US"/>
              </w:rPr>
              <w:t>s</w:t>
            </w:r>
            <w:r w:rsidR="00520DBE" w:rsidRPr="00064185">
              <w:rPr>
                <w:rFonts w:eastAsia="Calibri"/>
                <w:lang w:eastAsia="en-US"/>
              </w:rPr>
              <w:t xml:space="preserve"> </w:t>
            </w:r>
            <w:r w:rsidRPr="00064185">
              <w:rPr>
                <w:rFonts w:eastAsia="Calibri"/>
                <w:lang w:eastAsia="en-US"/>
              </w:rPr>
              <w:t>applying</w:t>
            </w:r>
            <w:r w:rsidR="00A857F1" w:rsidRPr="00064185">
              <w:rPr>
                <w:rFonts w:eastAsia="Calibri"/>
                <w:lang w:eastAsia="en-US"/>
              </w:rPr>
              <w:t xml:space="preserve"> </w:t>
            </w:r>
            <w:r w:rsidRPr="00064185">
              <w:rPr>
                <w:rFonts w:eastAsia="Calibri"/>
                <w:lang w:eastAsia="en-US"/>
              </w:rPr>
              <w:t>liquid formulation by trigger spray</w:t>
            </w:r>
            <w:proofErr w:type="gramEnd"/>
            <w:r w:rsidRPr="00064185">
              <w:rPr>
                <w:rFonts w:eastAsia="Calibri"/>
                <w:lang w:eastAsia="en-US"/>
              </w:rPr>
              <w:t xml:space="preserve"> devices.</w:t>
            </w:r>
          </w:p>
        </w:tc>
        <w:tc>
          <w:tcPr>
            <w:tcW w:w="870" w:type="pct"/>
            <w:shd w:val="clear" w:color="auto" w:fill="auto"/>
            <w:tcMar>
              <w:top w:w="57" w:type="dxa"/>
              <w:bottom w:w="57" w:type="dxa"/>
            </w:tcMar>
          </w:tcPr>
          <w:p w14:paraId="3A4FB1DC" w14:textId="33E03B72" w:rsidR="00A53EE0" w:rsidRPr="00064185" w:rsidRDefault="005E197F" w:rsidP="00EA61D8">
            <w:pPr>
              <w:spacing w:line="260" w:lineRule="atLeast"/>
              <w:rPr>
                <w:rFonts w:eastAsia="Calibri"/>
                <w:lang w:eastAsia="en-US"/>
              </w:rPr>
            </w:pPr>
            <w:r w:rsidRPr="00064185">
              <w:rPr>
                <w:rFonts w:eastAsia="Calibri"/>
                <w:bCs/>
                <w:lang w:eastAsia="en-US"/>
              </w:rPr>
              <w:t>N</w:t>
            </w:r>
            <w:r w:rsidR="00FE3AE4" w:rsidRPr="00064185">
              <w:rPr>
                <w:rFonts w:eastAsia="Calibri"/>
                <w:bCs/>
                <w:lang w:eastAsia="en-US"/>
              </w:rPr>
              <w:t>on-professionals</w:t>
            </w:r>
          </w:p>
        </w:tc>
      </w:tr>
      <w:tr w:rsidR="00064185" w:rsidRPr="00064185" w14:paraId="212A74B3" w14:textId="77777777" w:rsidTr="008E5D5C">
        <w:trPr>
          <w:tblHeader/>
        </w:trPr>
        <w:tc>
          <w:tcPr>
            <w:tcW w:w="644" w:type="pct"/>
            <w:tcMar>
              <w:top w:w="57" w:type="dxa"/>
              <w:bottom w:w="57" w:type="dxa"/>
            </w:tcMar>
          </w:tcPr>
          <w:p w14:paraId="73D4DEDD" w14:textId="77777777" w:rsidR="00E856ED" w:rsidRPr="00064185" w:rsidRDefault="00E856ED" w:rsidP="00EA61D8">
            <w:pPr>
              <w:spacing w:line="260" w:lineRule="atLeast"/>
              <w:rPr>
                <w:rFonts w:eastAsia="Calibri"/>
                <w:lang w:eastAsia="en-US"/>
              </w:rPr>
            </w:pPr>
            <w:r w:rsidRPr="00064185">
              <w:rPr>
                <w:rFonts w:eastAsia="Calibri"/>
                <w:lang w:eastAsia="en-US"/>
              </w:rPr>
              <w:t>2.</w:t>
            </w:r>
          </w:p>
        </w:tc>
        <w:tc>
          <w:tcPr>
            <w:tcW w:w="834" w:type="pct"/>
            <w:shd w:val="clear" w:color="auto" w:fill="auto"/>
            <w:tcMar>
              <w:top w:w="57" w:type="dxa"/>
              <w:bottom w:w="57" w:type="dxa"/>
            </w:tcMar>
          </w:tcPr>
          <w:p w14:paraId="4876C11E" w14:textId="77777777" w:rsidR="00E856ED" w:rsidRPr="00064185" w:rsidRDefault="00AE4CD1" w:rsidP="00EA61D8">
            <w:pPr>
              <w:spacing w:line="260" w:lineRule="atLeast"/>
              <w:rPr>
                <w:bCs/>
              </w:rPr>
            </w:pPr>
            <w:r w:rsidRPr="00064185">
              <w:rPr>
                <w:bCs/>
              </w:rPr>
              <w:t>Child playing on floor</w:t>
            </w:r>
          </w:p>
        </w:tc>
        <w:tc>
          <w:tcPr>
            <w:tcW w:w="2652" w:type="pct"/>
            <w:tcMar>
              <w:top w:w="57" w:type="dxa"/>
              <w:bottom w:w="57" w:type="dxa"/>
            </w:tcMar>
          </w:tcPr>
          <w:p w14:paraId="0EDB670E" w14:textId="77777777" w:rsidR="00E856ED" w:rsidRPr="00064185" w:rsidRDefault="00E856ED" w:rsidP="00EA61D8">
            <w:pPr>
              <w:spacing w:line="260" w:lineRule="atLeast"/>
              <w:rPr>
                <w:rFonts w:eastAsia="Calibri"/>
                <w:lang w:eastAsia="en-US"/>
              </w:rPr>
            </w:pPr>
            <w:r w:rsidRPr="00064185">
              <w:rPr>
                <w:rFonts w:eastAsia="Calibri"/>
                <w:lang w:eastAsia="en-US"/>
              </w:rPr>
              <w:t xml:space="preserve">Secondary exposure of children </w:t>
            </w:r>
            <w:r w:rsidR="00AE4CD1" w:rsidRPr="00064185">
              <w:rPr>
                <w:rFonts w:eastAsia="Calibri"/>
                <w:lang w:eastAsia="en-US"/>
              </w:rPr>
              <w:t>crawling on the floor after application.</w:t>
            </w:r>
          </w:p>
        </w:tc>
        <w:tc>
          <w:tcPr>
            <w:tcW w:w="870" w:type="pct"/>
            <w:shd w:val="clear" w:color="auto" w:fill="auto"/>
            <w:tcMar>
              <w:top w:w="57" w:type="dxa"/>
              <w:bottom w:w="57" w:type="dxa"/>
            </w:tcMar>
          </w:tcPr>
          <w:p w14:paraId="120D3EAF" w14:textId="77777777" w:rsidR="00E856ED" w:rsidRPr="00064185" w:rsidRDefault="00AE4CD1" w:rsidP="00EA61D8">
            <w:pPr>
              <w:spacing w:line="260" w:lineRule="atLeast"/>
              <w:rPr>
                <w:rFonts w:eastAsia="Calibri"/>
                <w:bCs/>
                <w:lang w:eastAsia="en-US"/>
              </w:rPr>
            </w:pPr>
            <w:r w:rsidRPr="00064185">
              <w:rPr>
                <w:rFonts w:eastAsia="Calibri"/>
                <w:bCs/>
                <w:lang w:eastAsia="en-US"/>
              </w:rPr>
              <w:t>Non-professional (child)</w:t>
            </w:r>
          </w:p>
        </w:tc>
      </w:tr>
      <w:tr w:rsidR="00064185" w:rsidRPr="00064185" w14:paraId="4417E7B6" w14:textId="77777777" w:rsidTr="00C234BE">
        <w:trPr>
          <w:tblHeader/>
        </w:trPr>
        <w:tc>
          <w:tcPr>
            <w:tcW w:w="644" w:type="pct"/>
            <w:tcBorders>
              <w:top w:val="single" w:sz="6" w:space="0" w:color="auto"/>
              <w:left w:val="single" w:sz="6" w:space="0" w:color="auto"/>
              <w:bottom w:val="single" w:sz="6" w:space="0" w:color="auto"/>
              <w:right w:val="single" w:sz="6" w:space="0" w:color="auto"/>
            </w:tcBorders>
            <w:tcMar>
              <w:top w:w="57" w:type="dxa"/>
              <w:bottom w:w="57" w:type="dxa"/>
            </w:tcMar>
          </w:tcPr>
          <w:p w14:paraId="29D0212B" w14:textId="7AF60CCA" w:rsidR="00C234BE" w:rsidRPr="00064185" w:rsidRDefault="00C234BE" w:rsidP="00EA61D8">
            <w:pPr>
              <w:spacing w:line="260" w:lineRule="atLeast"/>
              <w:rPr>
                <w:rFonts w:eastAsia="Calibri"/>
                <w:lang w:eastAsia="en-US"/>
              </w:rPr>
            </w:pPr>
            <w:r w:rsidRPr="00064185">
              <w:rPr>
                <w:rFonts w:eastAsia="Calibri"/>
                <w:lang w:eastAsia="en-US"/>
              </w:rPr>
              <w:t>3.</w:t>
            </w:r>
          </w:p>
        </w:tc>
        <w:tc>
          <w:tcPr>
            <w:tcW w:w="834"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30954337" w14:textId="77777777" w:rsidR="00C234BE" w:rsidRPr="00064185" w:rsidRDefault="00C234BE" w:rsidP="00EA61D8">
            <w:pPr>
              <w:spacing w:line="260" w:lineRule="atLeast"/>
              <w:rPr>
                <w:bCs/>
              </w:rPr>
            </w:pPr>
            <w:r w:rsidRPr="00064185">
              <w:rPr>
                <w:bCs/>
              </w:rPr>
              <w:t>Reverse scenario: Infant ingesting product from treated surface</w:t>
            </w:r>
          </w:p>
        </w:tc>
        <w:tc>
          <w:tcPr>
            <w:tcW w:w="2652" w:type="pct"/>
            <w:tcBorders>
              <w:top w:val="single" w:sz="6" w:space="0" w:color="auto"/>
              <w:left w:val="single" w:sz="6" w:space="0" w:color="auto"/>
              <w:bottom w:val="single" w:sz="6" w:space="0" w:color="auto"/>
              <w:right w:val="single" w:sz="6" w:space="0" w:color="auto"/>
            </w:tcBorders>
            <w:tcMar>
              <w:top w:w="57" w:type="dxa"/>
              <w:bottom w:w="57" w:type="dxa"/>
            </w:tcMar>
          </w:tcPr>
          <w:p w14:paraId="69407197" w14:textId="77777777" w:rsidR="00C234BE" w:rsidRPr="00064185" w:rsidRDefault="00C234BE" w:rsidP="00EA61D8">
            <w:pPr>
              <w:spacing w:line="260" w:lineRule="atLeast"/>
              <w:rPr>
                <w:rFonts w:eastAsia="Calibri"/>
                <w:lang w:eastAsia="en-US"/>
              </w:rPr>
            </w:pPr>
            <w:r w:rsidRPr="00064185">
              <w:rPr>
                <w:rFonts w:eastAsia="Calibri"/>
                <w:lang w:eastAsia="en-US"/>
              </w:rPr>
              <w:t>Secondary exposure of infant taking up the product on the floor</w:t>
            </w:r>
          </w:p>
        </w:tc>
        <w:tc>
          <w:tcPr>
            <w:tcW w:w="870"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68529B2C" w14:textId="77777777" w:rsidR="00C234BE" w:rsidRPr="00064185" w:rsidRDefault="00C234BE" w:rsidP="00EA61D8">
            <w:pPr>
              <w:spacing w:line="260" w:lineRule="atLeast"/>
              <w:rPr>
                <w:rFonts w:eastAsia="Calibri"/>
                <w:bCs/>
                <w:lang w:eastAsia="en-US"/>
              </w:rPr>
            </w:pPr>
            <w:r w:rsidRPr="00064185">
              <w:rPr>
                <w:rFonts w:eastAsia="Calibri"/>
                <w:bCs/>
                <w:lang w:eastAsia="en-US"/>
              </w:rPr>
              <w:t>Non-professionals (infant)</w:t>
            </w:r>
          </w:p>
        </w:tc>
      </w:tr>
      <w:tr w:rsidR="00C234BE" w:rsidRPr="00064185" w14:paraId="42B010CA" w14:textId="77777777" w:rsidTr="00C234BE">
        <w:trPr>
          <w:tblHeader/>
        </w:trPr>
        <w:tc>
          <w:tcPr>
            <w:tcW w:w="644" w:type="pct"/>
            <w:tcBorders>
              <w:top w:val="single" w:sz="6" w:space="0" w:color="auto"/>
              <w:left w:val="single" w:sz="6" w:space="0" w:color="auto"/>
              <w:bottom w:val="single" w:sz="6" w:space="0" w:color="auto"/>
              <w:right w:val="single" w:sz="6" w:space="0" w:color="auto"/>
            </w:tcBorders>
            <w:tcMar>
              <w:top w:w="57" w:type="dxa"/>
              <w:bottom w:w="57" w:type="dxa"/>
            </w:tcMar>
          </w:tcPr>
          <w:p w14:paraId="64210D34" w14:textId="08D7AF44" w:rsidR="00C234BE" w:rsidRPr="00064185" w:rsidRDefault="00C234BE" w:rsidP="00EA61D8">
            <w:pPr>
              <w:spacing w:line="260" w:lineRule="atLeast"/>
              <w:rPr>
                <w:rFonts w:eastAsia="Calibri"/>
                <w:lang w:eastAsia="en-US"/>
              </w:rPr>
            </w:pPr>
            <w:r w:rsidRPr="00064185">
              <w:rPr>
                <w:rFonts w:eastAsia="Calibri"/>
                <w:lang w:eastAsia="en-US"/>
              </w:rPr>
              <w:t>4.</w:t>
            </w:r>
          </w:p>
        </w:tc>
        <w:tc>
          <w:tcPr>
            <w:tcW w:w="834"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630466CB" w14:textId="77777777" w:rsidR="00C234BE" w:rsidRPr="00064185" w:rsidRDefault="00C234BE" w:rsidP="00EA61D8">
            <w:pPr>
              <w:spacing w:line="260" w:lineRule="atLeast"/>
              <w:rPr>
                <w:bCs/>
              </w:rPr>
            </w:pPr>
            <w:r w:rsidRPr="00064185">
              <w:rPr>
                <w:bCs/>
              </w:rPr>
              <w:t>Reverse scenario: Companion animal ingesting product from treated surface</w:t>
            </w:r>
          </w:p>
        </w:tc>
        <w:tc>
          <w:tcPr>
            <w:tcW w:w="2652" w:type="pct"/>
            <w:tcBorders>
              <w:top w:val="single" w:sz="6" w:space="0" w:color="auto"/>
              <w:left w:val="single" w:sz="6" w:space="0" w:color="auto"/>
              <w:bottom w:val="single" w:sz="6" w:space="0" w:color="auto"/>
              <w:right w:val="single" w:sz="6" w:space="0" w:color="auto"/>
            </w:tcBorders>
            <w:tcMar>
              <w:top w:w="57" w:type="dxa"/>
              <w:bottom w:w="57" w:type="dxa"/>
            </w:tcMar>
          </w:tcPr>
          <w:p w14:paraId="3AE870F5" w14:textId="77777777" w:rsidR="00C234BE" w:rsidRPr="00064185" w:rsidRDefault="00C234BE" w:rsidP="00EA61D8">
            <w:pPr>
              <w:spacing w:line="260" w:lineRule="atLeast"/>
              <w:rPr>
                <w:rFonts w:eastAsia="Calibri"/>
                <w:lang w:eastAsia="en-US"/>
              </w:rPr>
            </w:pPr>
            <w:r w:rsidRPr="00064185">
              <w:rPr>
                <w:rFonts w:eastAsia="Calibri"/>
                <w:lang w:eastAsia="en-US"/>
              </w:rPr>
              <w:t>Secondary exposure of animal licking the product on the floor</w:t>
            </w:r>
          </w:p>
        </w:tc>
        <w:tc>
          <w:tcPr>
            <w:tcW w:w="870"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02424079" w14:textId="77777777" w:rsidR="00C234BE" w:rsidRPr="00064185" w:rsidRDefault="00C234BE" w:rsidP="00EA61D8">
            <w:pPr>
              <w:spacing w:line="260" w:lineRule="atLeast"/>
              <w:rPr>
                <w:rFonts w:eastAsia="Calibri"/>
                <w:bCs/>
                <w:lang w:eastAsia="en-US"/>
              </w:rPr>
            </w:pPr>
            <w:r w:rsidRPr="00064185">
              <w:rPr>
                <w:rFonts w:eastAsia="Calibri"/>
                <w:bCs/>
                <w:lang w:eastAsia="en-US"/>
              </w:rPr>
              <w:t>Non-professionals (animal)</w:t>
            </w:r>
          </w:p>
        </w:tc>
      </w:tr>
    </w:tbl>
    <w:p w14:paraId="74CBC88C" w14:textId="77777777" w:rsidR="00A53EE0" w:rsidRPr="00064185" w:rsidRDefault="00A53EE0" w:rsidP="00EA61D8">
      <w:pPr>
        <w:spacing w:line="260" w:lineRule="atLeast"/>
        <w:rPr>
          <w:rFonts w:eastAsia="Calibri"/>
          <w:lang w:eastAsia="en-US"/>
        </w:rPr>
      </w:pPr>
    </w:p>
    <w:p w14:paraId="5E298763" w14:textId="5340D950" w:rsidR="005F2A5D" w:rsidRPr="00064185" w:rsidRDefault="005F2A5D" w:rsidP="00EA61D8">
      <w:pPr>
        <w:spacing w:line="260" w:lineRule="atLeast"/>
        <w:rPr>
          <w:rFonts w:eastAsia="Calibri"/>
          <w:lang w:eastAsia="en-US"/>
        </w:rPr>
      </w:pPr>
    </w:p>
    <w:p w14:paraId="4B24657E" w14:textId="77777777" w:rsidR="00215513" w:rsidRPr="00064185" w:rsidRDefault="00215513" w:rsidP="00EA61D8">
      <w:pPr>
        <w:spacing w:line="260" w:lineRule="atLeast"/>
        <w:rPr>
          <w:rFonts w:eastAsia="Calibri"/>
          <w:u w:val="single"/>
          <w:lang w:eastAsia="en-US"/>
        </w:rPr>
      </w:pPr>
    </w:p>
    <w:p w14:paraId="650C2DDF" w14:textId="77777777" w:rsidR="00A53EE0" w:rsidRPr="00064185" w:rsidRDefault="00A53EE0" w:rsidP="00EA61D8">
      <w:pPr>
        <w:spacing w:line="260" w:lineRule="atLeast"/>
        <w:rPr>
          <w:rFonts w:eastAsia="Calibri"/>
          <w:u w:val="single"/>
          <w:lang w:eastAsia="en-US"/>
        </w:rPr>
      </w:pPr>
      <w:r w:rsidRPr="00064185">
        <w:rPr>
          <w:rFonts w:eastAsia="Calibri"/>
          <w:u w:val="single"/>
          <w:lang w:eastAsia="en-US"/>
        </w:rPr>
        <w:t>Conclusion of risk characterisation for industrial user</w:t>
      </w:r>
    </w:p>
    <w:p w14:paraId="1F48A831" w14:textId="77777777" w:rsidR="00A53EE0" w:rsidRPr="00064185" w:rsidRDefault="00A53EE0" w:rsidP="00EA61D8">
      <w:pPr>
        <w:spacing w:line="260" w:lineRule="atLeast"/>
        <w:rPr>
          <w:rFonts w:eastAsia="Calibri"/>
          <w:lang w:eastAsia="en-US"/>
        </w:rPr>
      </w:pPr>
    </w:p>
    <w:p w14:paraId="41693405" w14:textId="77777777" w:rsidR="008E5D5C" w:rsidRPr="00064185" w:rsidRDefault="008E5D5C" w:rsidP="00EA61D8">
      <w:pPr>
        <w:spacing w:line="260" w:lineRule="atLeast"/>
        <w:rPr>
          <w:rFonts w:eastAsia="Calibri"/>
          <w:lang w:eastAsia="en-US"/>
        </w:rPr>
      </w:pPr>
      <w:r w:rsidRPr="00064185">
        <w:rPr>
          <w:rFonts w:eastAsia="Calibri"/>
          <w:lang w:eastAsia="en-US"/>
        </w:rPr>
        <w:t>The biocidal product is intended for non-professional users only.</w:t>
      </w:r>
    </w:p>
    <w:p w14:paraId="7BFD83F2" w14:textId="77777777" w:rsidR="00A53EE0" w:rsidRPr="00064185" w:rsidRDefault="00A53EE0" w:rsidP="00EA61D8">
      <w:pPr>
        <w:spacing w:line="260" w:lineRule="atLeast"/>
        <w:rPr>
          <w:rFonts w:eastAsia="Calibri"/>
          <w:lang w:eastAsia="en-US"/>
        </w:rPr>
      </w:pPr>
    </w:p>
    <w:p w14:paraId="47BBDCD7" w14:textId="77777777" w:rsidR="00FA1008" w:rsidRPr="00064185" w:rsidRDefault="00FA1008" w:rsidP="00EA61D8">
      <w:pPr>
        <w:spacing w:line="260" w:lineRule="atLeast"/>
        <w:rPr>
          <w:rFonts w:eastAsia="Calibri"/>
          <w:lang w:eastAsia="en-US"/>
        </w:rPr>
      </w:pPr>
    </w:p>
    <w:p w14:paraId="0D13FCC0" w14:textId="77777777" w:rsidR="00A53EE0" w:rsidRPr="00064185" w:rsidRDefault="00A53EE0" w:rsidP="00EA61D8">
      <w:pPr>
        <w:spacing w:line="260" w:lineRule="atLeast"/>
        <w:rPr>
          <w:rFonts w:eastAsia="Calibri"/>
          <w:u w:val="single"/>
          <w:lang w:eastAsia="en-US"/>
        </w:rPr>
      </w:pPr>
      <w:r w:rsidRPr="00064185">
        <w:rPr>
          <w:rFonts w:eastAsia="Calibri"/>
          <w:u w:val="single"/>
          <w:lang w:eastAsia="en-US"/>
        </w:rPr>
        <w:t>Conclusion of risk characterisation for professional user</w:t>
      </w:r>
    </w:p>
    <w:p w14:paraId="52D400A7" w14:textId="77777777" w:rsidR="00B501B6" w:rsidRPr="00064185" w:rsidRDefault="00B501B6" w:rsidP="00EA61D8">
      <w:pPr>
        <w:spacing w:line="260" w:lineRule="atLeast"/>
        <w:rPr>
          <w:rFonts w:eastAsia="Calibri"/>
          <w:i/>
          <w:lang w:eastAsia="en-US"/>
        </w:rPr>
      </w:pPr>
    </w:p>
    <w:p w14:paraId="2A29FBA2" w14:textId="77777777" w:rsidR="008E5D5C" w:rsidRPr="00064185" w:rsidRDefault="008E5D5C" w:rsidP="00EA61D8">
      <w:pPr>
        <w:spacing w:line="260" w:lineRule="atLeast"/>
        <w:rPr>
          <w:rFonts w:eastAsia="Calibri"/>
          <w:lang w:eastAsia="en-US"/>
        </w:rPr>
      </w:pPr>
      <w:r w:rsidRPr="00064185">
        <w:rPr>
          <w:rFonts w:eastAsia="Calibri"/>
          <w:lang w:eastAsia="en-US"/>
        </w:rPr>
        <w:t>The biocidal product is intended for non-professional users only.</w:t>
      </w:r>
    </w:p>
    <w:p w14:paraId="27A73E16" w14:textId="77777777" w:rsidR="00A53EE0" w:rsidRPr="00064185" w:rsidRDefault="00A53EE0" w:rsidP="00EA61D8">
      <w:pPr>
        <w:spacing w:line="260" w:lineRule="atLeast"/>
        <w:rPr>
          <w:rFonts w:eastAsia="Calibri"/>
          <w:lang w:eastAsia="en-US"/>
        </w:rPr>
      </w:pPr>
    </w:p>
    <w:p w14:paraId="5605895D" w14:textId="77777777" w:rsidR="00FA1008" w:rsidRPr="00064185" w:rsidRDefault="00FA1008" w:rsidP="00EA61D8">
      <w:pPr>
        <w:spacing w:line="260" w:lineRule="atLeast"/>
        <w:rPr>
          <w:rFonts w:eastAsia="Calibri"/>
          <w:lang w:eastAsia="en-US"/>
        </w:rPr>
      </w:pPr>
    </w:p>
    <w:p w14:paraId="2D73978B" w14:textId="77777777" w:rsidR="00A53EE0" w:rsidRPr="00064185" w:rsidRDefault="00A53EE0" w:rsidP="00EA61D8">
      <w:pPr>
        <w:spacing w:line="260" w:lineRule="atLeast"/>
        <w:rPr>
          <w:rFonts w:eastAsia="Calibri"/>
          <w:u w:val="single"/>
          <w:lang w:eastAsia="en-US"/>
        </w:rPr>
      </w:pPr>
      <w:r w:rsidRPr="00064185">
        <w:rPr>
          <w:rFonts w:eastAsia="Calibri"/>
          <w:u w:val="single"/>
          <w:lang w:eastAsia="en-US"/>
        </w:rPr>
        <w:t>Conclusion of risk characterisation for non-professional user</w:t>
      </w:r>
    </w:p>
    <w:p w14:paraId="21F6E17D" w14:textId="24C6E69E" w:rsidR="00EA0772" w:rsidRPr="00064185" w:rsidRDefault="00EA0772" w:rsidP="00EA61D8">
      <w:pPr>
        <w:spacing w:line="260" w:lineRule="atLeast"/>
        <w:rPr>
          <w:rFonts w:eastAsia="Calibri"/>
          <w:lang w:eastAsia="en-U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14"/>
        <w:gridCol w:w="1315"/>
        <w:gridCol w:w="1516"/>
        <w:gridCol w:w="711"/>
        <w:gridCol w:w="1377"/>
        <w:gridCol w:w="1450"/>
        <w:gridCol w:w="1447"/>
      </w:tblGrid>
      <w:tr w:rsidR="00064185" w:rsidRPr="00064185" w14:paraId="0A00BBDB" w14:textId="77777777" w:rsidTr="002147CF">
        <w:trPr>
          <w:trHeight w:val="556"/>
          <w:jc w:val="center"/>
        </w:trPr>
        <w:tc>
          <w:tcPr>
            <w:tcW w:w="855" w:type="pct"/>
            <w:tcBorders>
              <w:top w:val="single" w:sz="4" w:space="0" w:color="auto"/>
              <w:left w:val="single" w:sz="4" w:space="0" w:color="auto"/>
              <w:bottom w:val="single" w:sz="4" w:space="0" w:color="auto"/>
            </w:tcBorders>
            <w:shd w:val="clear" w:color="auto" w:fill="FFFFCC"/>
            <w:vAlign w:val="center"/>
          </w:tcPr>
          <w:p w14:paraId="17354CDB" w14:textId="77777777" w:rsidR="00D43D9C" w:rsidRPr="00064185" w:rsidRDefault="00D43D9C" w:rsidP="00EA61D8">
            <w:pPr>
              <w:keepNext/>
              <w:spacing w:before="40"/>
              <w:rPr>
                <w:b/>
              </w:rPr>
            </w:pPr>
            <w:r w:rsidRPr="00064185">
              <w:rPr>
                <w:b/>
              </w:rPr>
              <w:lastRenderedPageBreak/>
              <w:t>Scenario</w:t>
            </w:r>
          </w:p>
        </w:tc>
        <w:tc>
          <w:tcPr>
            <w:tcW w:w="697" w:type="pct"/>
            <w:tcBorders>
              <w:top w:val="single" w:sz="4" w:space="0" w:color="auto"/>
              <w:bottom w:val="single" w:sz="4" w:space="0" w:color="auto"/>
            </w:tcBorders>
            <w:shd w:val="clear" w:color="auto" w:fill="FFFFCC"/>
            <w:vAlign w:val="center"/>
          </w:tcPr>
          <w:p w14:paraId="72D23C3B" w14:textId="77777777" w:rsidR="00D43D9C" w:rsidRPr="00064185" w:rsidRDefault="00BC5C05" w:rsidP="00EA61D8">
            <w:pPr>
              <w:keepNext/>
              <w:keepLines/>
              <w:tabs>
                <w:tab w:val="left" w:pos="1166"/>
              </w:tabs>
              <w:ind w:left="-82"/>
              <w:rPr>
                <w:b/>
              </w:rPr>
            </w:pPr>
            <w:r w:rsidRPr="00064185">
              <w:rPr>
                <w:b/>
              </w:rPr>
              <w:t xml:space="preserve">AEL </w:t>
            </w:r>
            <w:r w:rsidRPr="00064185">
              <w:rPr>
                <w:b/>
              </w:rPr>
              <w:br/>
              <w:t>[mg/kg bw/</w:t>
            </w:r>
            <w:r w:rsidR="00D43D9C" w:rsidRPr="00064185">
              <w:rPr>
                <w:b/>
              </w:rPr>
              <w:t>day]</w:t>
            </w:r>
          </w:p>
        </w:tc>
        <w:tc>
          <w:tcPr>
            <w:tcW w:w="804" w:type="pct"/>
            <w:tcBorders>
              <w:top w:val="single" w:sz="4" w:space="0" w:color="auto"/>
              <w:bottom w:val="single" w:sz="4" w:space="0" w:color="auto"/>
            </w:tcBorders>
            <w:shd w:val="clear" w:color="auto" w:fill="FFFFCC"/>
            <w:vAlign w:val="center"/>
          </w:tcPr>
          <w:p w14:paraId="065D9900" w14:textId="77777777" w:rsidR="00D43D9C" w:rsidRPr="00064185" w:rsidRDefault="00E856ED" w:rsidP="00EA61D8">
            <w:pPr>
              <w:spacing w:line="260" w:lineRule="atLeast"/>
              <w:rPr>
                <w:rFonts w:eastAsia="Calibri"/>
                <w:b/>
                <w:lang w:eastAsia="en-US"/>
              </w:rPr>
            </w:pPr>
            <w:r w:rsidRPr="00064185">
              <w:rPr>
                <w:rFonts w:eastAsia="Calibri"/>
                <w:b/>
                <w:lang w:eastAsia="en-US"/>
              </w:rPr>
              <w:t>Estimated uptake</w:t>
            </w:r>
            <w:r w:rsidR="00D43D9C" w:rsidRPr="00064185">
              <w:rPr>
                <w:b/>
              </w:rPr>
              <w:br/>
              <w:t>[mg/kg bw/day]</w:t>
            </w:r>
          </w:p>
        </w:tc>
        <w:tc>
          <w:tcPr>
            <w:tcW w:w="377" w:type="pct"/>
            <w:tcBorders>
              <w:top w:val="single" w:sz="4" w:space="0" w:color="auto"/>
              <w:bottom w:val="single" w:sz="4" w:space="0" w:color="auto"/>
            </w:tcBorders>
            <w:shd w:val="clear" w:color="auto" w:fill="FFFFCC"/>
            <w:vAlign w:val="center"/>
          </w:tcPr>
          <w:p w14:paraId="4FC34853" w14:textId="77777777" w:rsidR="00D43D9C" w:rsidRPr="00064185" w:rsidRDefault="00D43D9C" w:rsidP="00EA61D8">
            <w:pPr>
              <w:keepNext/>
              <w:keepLines/>
              <w:tabs>
                <w:tab w:val="left" w:pos="1166"/>
              </w:tabs>
              <w:rPr>
                <w:b/>
              </w:rPr>
            </w:pPr>
            <w:r w:rsidRPr="00064185">
              <w:rPr>
                <w:b/>
              </w:rPr>
              <w:t>% AEL</w:t>
            </w:r>
          </w:p>
        </w:tc>
        <w:tc>
          <w:tcPr>
            <w:tcW w:w="730" w:type="pct"/>
            <w:tcBorders>
              <w:top w:val="single" w:sz="4" w:space="0" w:color="auto"/>
              <w:bottom w:val="single" w:sz="4" w:space="0" w:color="auto"/>
            </w:tcBorders>
            <w:shd w:val="clear" w:color="auto" w:fill="FFFFCC"/>
            <w:vAlign w:val="center"/>
          </w:tcPr>
          <w:p w14:paraId="11BA8241" w14:textId="77777777" w:rsidR="00D43D9C" w:rsidRPr="00064185" w:rsidRDefault="00D43D9C" w:rsidP="00EA61D8">
            <w:pPr>
              <w:keepNext/>
              <w:keepLines/>
              <w:tabs>
                <w:tab w:val="left" w:pos="1166"/>
              </w:tabs>
              <w:rPr>
                <w:b/>
              </w:rPr>
            </w:pPr>
            <w:r w:rsidRPr="00064185">
              <w:rPr>
                <w:b/>
              </w:rPr>
              <w:t>NOAEL</w:t>
            </w:r>
            <w:r w:rsidRPr="00064185">
              <w:rPr>
                <w:b/>
              </w:rPr>
              <w:br/>
              <w:t>[mg/kg bw/day]</w:t>
            </w:r>
          </w:p>
        </w:tc>
        <w:tc>
          <w:tcPr>
            <w:tcW w:w="769" w:type="pct"/>
            <w:tcBorders>
              <w:top w:val="single" w:sz="4" w:space="0" w:color="auto"/>
              <w:bottom w:val="single" w:sz="4" w:space="0" w:color="auto"/>
            </w:tcBorders>
            <w:shd w:val="clear" w:color="auto" w:fill="FFFFCC"/>
            <w:vAlign w:val="center"/>
          </w:tcPr>
          <w:p w14:paraId="3B23B2E2" w14:textId="77777777" w:rsidR="00D43D9C" w:rsidRPr="00064185" w:rsidRDefault="00D43D9C" w:rsidP="00EA61D8">
            <w:pPr>
              <w:keepNext/>
              <w:keepLines/>
              <w:tabs>
                <w:tab w:val="left" w:pos="1166"/>
              </w:tabs>
              <w:rPr>
                <w:b/>
              </w:rPr>
            </w:pPr>
            <w:r w:rsidRPr="00064185">
              <w:rPr>
                <w:b/>
              </w:rPr>
              <w:t>MoE</w:t>
            </w:r>
          </w:p>
        </w:tc>
        <w:tc>
          <w:tcPr>
            <w:tcW w:w="767" w:type="pct"/>
            <w:tcBorders>
              <w:top w:val="single" w:sz="4" w:space="0" w:color="auto"/>
              <w:bottom w:val="single" w:sz="4" w:space="0" w:color="auto"/>
              <w:right w:val="single" w:sz="4" w:space="0" w:color="auto"/>
            </w:tcBorders>
            <w:shd w:val="clear" w:color="auto" w:fill="FFFFCC"/>
          </w:tcPr>
          <w:p w14:paraId="63925593" w14:textId="77777777" w:rsidR="008E5D5C" w:rsidRPr="00064185" w:rsidRDefault="008E5D5C" w:rsidP="00EA61D8">
            <w:pPr>
              <w:spacing w:line="260" w:lineRule="atLeast"/>
              <w:rPr>
                <w:rFonts w:eastAsia="Calibri"/>
                <w:b/>
                <w:lang w:eastAsia="en-US"/>
              </w:rPr>
            </w:pPr>
          </w:p>
          <w:p w14:paraId="7FE9E18F" w14:textId="77777777" w:rsidR="00D43D9C" w:rsidRPr="00064185" w:rsidRDefault="00D43D9C" w:rsidP="00EA61D8">
            <w:pPr>
              <w:spacing w:line="260" w:lineRule="atLeast"/>
              <w:rPr>
                <w:rFonts w:eastAsia="Calibri"/>
                <w:b/>
                <w:lang w:eastAsia="en-US"/>
              </w:rPr>
            </w:pPr>
            <w:r w:rsidRPr="00064185">
              <w:rPr>
                <w:rFonts w:eastAsia="Calibri"/>
                <w:b/>
                <w:lang w:eastAsia="en-US"/>
              </w:rPr>
              <w:t>Acceptable</w:t>
            </w:r>
          </w:p>
          <w:p w14:paraId="4A7F2023" w14:textId="77777777" w:rsidR="00D43D9C" w:rsidRPr="00064185" w:rsidRDefault="00D43D9C" w:rsidP="00EA61D8">
            <w:pPr>
              <w:keepNext/>
              <w:keepLines/>
              <w:tabs>
                <w:tab w:val="left" w:pos="1166"/>
              </w:tabs>
              <w:rPr>
                <w:b/>
              </w:rPr>
            </w:pPr>
            <w:r w:rsidRPr="00064185">
              <w:rPr>
                <w:rFonts w:eastAsia="Calibri"/>
                <w:lang w:eastAsia="en-US"/>
              </w:rPr>
              <w:t>(yes/no)</w:t>
            </w:r>
          </w:p>
        </w:tc>
      </w:tr>
      <w:tr w:rsidR="00064185" w:rsidRPr="00064185" w14:paraId="25119E2C" w14:textId="77777777" w:rsidTr="002147CF">
        <w:trPr>
          <w:trHeight w:val="1519"/>
          <w:jc w:val="center"/>
        </w:trPr>
        <w:tc>
          <w:tcPr>
            <w:tcW w:w="855" w:type="pct"/>
            <w:tcBorders>
              <w:top w:val="single" w:sz="4" w:space="0" w:color="auto"/>
              <w:left w:val="single" w:sz="4" w:space="0" w:color="auto"/>
              <w:bottom w:val="dashed" w:sz="4" w:space="0" w:color="auto"/>
            </w:tcBorders>
            <w:shd w:val="clear" w:color="auto" w:fill="auto"/>
            <w:vAlign w:val="center"/>
          </w:tcPr>
          <w:p w14:paraId="59336B91" w14:textId="15C0A480" w:rsidR="00D43D9C" w:rsidRPr="00064185" w:rsidRDefault="00D24C36" w:rsidP="00EA61D8">
            <w:pPr>
              <w:spacing w:before="120"/>
              <w:rPr>
                <w:bCs/>
              </w:rPr>
            </w:pPr>
            <w:r w:rsidRPr="00064185">
              <w:rPr>
                <w:bCs/>
              </w:rPr>
              <w:t>Spot treatment</w:t>
            </w:r>
            <w:r w:rsidR="00D43D9C" w:rsidRPr="00064185">
              <w:rPr>
                <w:bCs/>
              </w:rPr>
              <w:t>,</w:t>
            </w:r>
            <w:r w:rsidR="00D43D9C" w:rsidRPr="00064185">
              <w:rPr>
                <w:bCs/>
              </w:rPr>
              <w:br/>
              <w:t>trigger spray, systemic</w:t>
            </w:r>
            <w:r w:rsidR="00CF4E45" w:rsidRPr="00064185">
              <w:rPr>
                <w:bCs/>
              </w:rPr>
              <w:t xml:space="preserve"> (oral and dermal)</w:t>
            </w:r>
          </w:p>
        </w:tc>
        <w:tc>
          <w:tcPr>
            <w:tcW w:w="697" w:type="pct"/>
            <w:tcBorders>
              <w:top w:val="single" w:sz="4" w:space="0" w:color="auto"/>
              <w:bottom w:val="dashed" w:sz="4" w:space="0" w:color="auto"/>
            </w:tcBorders>
            <w:shd w:val="clear" w:color="auto" w:fill="auto"/>
            <w:vAlign w:val="center"/>
          </w:tcPr>
          <w:p w14:paraId="24B27D8F" w14:textId="77777777" w:rsidR="00D43D9C" w:rsidRPr="00064185" w:rsidRDefault="00D43D9C" w:rsidP="00EA61D8">
            <w:pPr>
              <w:tabs>
                <w:tab w:val="decimal" w:pos="568"/>
              </w:tabs>
              <w:spacing w:before="120"/>
              <w:rPr>
                <w:rFonts w:cs="TimesNewRomanPSMT"/>
              </w:rPr>
            </w:pPr>
            <w:r w:rsidRPr="00064185">
              <w:rPr>
                <w:rFonts w:cs="TimesNewRomanPSMT"/>
              </w:rPr>
              <w:t>0.0038</w:t>
            </w:r>
          </w:p>
        </w:tc>
        <w:tc>
          <w:tcPr>
            <w:tcW w:w="804" w:type="pct"/>
            <w:tcBorders>
              <w:top w:val="single" w:sz="4" w:space="0" w:color="auto"/>
              <w:bottom w:val="dashed" w:sz="4" w:space="0" w:color="auto"/>
            </w:tcBorders>
            <w:shd w:val="clear" w:color="auto" w:fill="auto"/>
            <w:vAlign w:val="center"/>
          </w:tcPr>
          <w:p w14:paraId="6E878F4B" w14:textId="6098C712" w:rsidR="00D43D9C" w:rsidRPr="00064185" w:rsidRDefault="00CF4E45" w:rsidP="00EA61D8">
            <w:pPr>
              <w:tabs>
                <w:tab w:val="decimal" w:pos="568"/>
              </w:tabs>
              <w:spacing w:before="120"/>
              <w:rPr>
                <w:rFonts w:cs="TimesNewRomanPSMT"/>
              </w:rPr>
            </w:pPr>
            <w:r w:rsidRPr="00064185">
              <w:rPr>
                <w:rFonts w:eastAsia="Calibri"/>
                <w:lang w:eastAsia="en-US"/>
              </w:rPr>
              <w:t>6.7E-5</w:t>
            </w:r>
          </w:p>
        </w:tc>
        <w:tc>
          <w:tcPr>
            <w:tcW w:w="377" w:type="pct"/>
            <w:tcBorders>
              <w:top w:val="single" w:sz="4" w:space="0" w:color="auto"/>
              <w:bottom w:val="dashed" w:sz="4" w:space="0" w:color="auto"/>
            </w:tcBorders>
            <w:shd w:val="clear" w:color="auto" w:fill="auto"/>
            <w:vAlign w:val="center"/>
          </w:tcPr>
          <w:p w14:paraId="619120DD" w14:textId="4B294158" w:rsidR="00D43D9C" w:rsidRPr="00064185" w:rsidRDefault="00CF4E45" w:rsidP="00EA61D8">
            <w:pPr>
              <w:tabs>
                <w:tab w:val="decimal" w:pos="279"/>
              </w:tabs>
              <w:spacing w:before="120"/>
              <w:rPr>
                <w:rFonts w:cs="TimesNewRomanPSMT"/>
              </w:rPr>
            </w:pPr>
            <w:r w:rsidRPr="00064185">
              <w:rPr>
                <w:rFonts w:eastAsia="Calibri"/>
                <w:lang w:eastAsia="en-US"/>
              </w:rPr>
              <w:fldChar w:fldCharType="begin" w:fldLock="1"/>
            </w:r>
            <w:r w:rsidRPr="00064185">
              <w:rPr>
                <w:rFonts w:eastAsia="Calibri"/>
                <w:lang w:eastAsia="en-US"/>
              </w:rPr>
              <w:instrText xml:space="preserve"> =c2/b2*100 \# "0.0%" </w:instrText>
            </w:r>
            <w:r w:rsidRPr="00064185">
              <w:rPr>
                <w:rFonts w:eastAsia="Calibri"/>
                <w:lang w:eastAsia="en-US"/>
              </w:rPr>
              <w:fldChar w:fldCharType="separate"/>
            </w:r>
            <w:r w:rsidRPr="00064185">
              <w:rPr>
                <w:rFonts w:eastAsia="Calibri"/>
                <w:lang w:eastAsia="en-US"/>
              </w:rPr>
              <w:t>1.8</w:t>
            </w:r>
            <w:r w:rsidRPr="00064185">
              <w:rPr>
                <w:rFonts w:eastAsia="Calibri"/>
                <w:lang w:eastAsia="en-US"/>
              </w:rPr>
              <w:fldChar w:fldCharType="end"/>
            </w:r>
          </w:p>
        </w:tc>
        <w:tc>
          <w:tcPr>
            <w:tcW w:w="730" w:type="pct"/>
            <w:tcBorders>
              <w:top w:val="single" w:sz="4" w:space="0" w:color="auto"/>
              <w:bottom w:val="dashed" w:sz="4" w:space="0" w:color="auto"/>
            </w:tcBorders>
            <w:shd w:val="clear" w:color="auto" w:fill="auto"/>
            <w:vAlign w:val="center"/>
          </w:tcPr>
          <w:p w14:paraId="17A6986D" w14:textId="77777777" w:rsidR="00D43D9C" w:rsidRPr="00064185" w:rsidRDefault="00D43D9C" w:rsidP="00EA61D8">
            <w:pPr>
              <w:tabs>
                <w:tab w:val="decimal" w:pos="779"/>
              </w:tabs>
              <w:spacing w:before="120"/>
              <w:rPr>
                <w:rFonts w:cs="TimesNewRomanPSMT"/>
              </w:rPr>
            </w:pPr>
            <w:r w:rsidRPr="00064185">
              <w:rPr>
                <w:rFonts w:cs="TimesNewRomanPSMT"/>
              </w:rPr>
              <w:t>0.75</w:t>
            </w:r>
          </w:p>
        </w:tc>
        <w:tc>
          <w:tcPr>
            <w:tcW w:w="769" w:type="pct"/>
            <w:tcBorders>
              <w:top w:val="single" w:sz="4" w:space="0" w:color="auto"/>
              <w:bottom w:val="dashed" w:sz="4" w:space="0" w:color="auto"/>
            </w:tcBorders>
            <w:shd w:val="clear" w:color="auto" w:fill="auto"/>
            <w:vAlign w:val="center"/>
          </w:tcPr>
          <w:p w14:paraId="6D3254C7" w14:textId="196F148D" w:rsidR="00D43D9C" w:rsidRPr="00064185" w:rsidRDefault="00CF4E45" w:rsidP="00EA61D8">
            <w:pPr>
              <w:tabs>
                <w:tab w:val="decimal" w:pos="780"/>
              </w:tabs>
              <w:spacing w:before="120"/>
              <w:rPr>
                <w:rFonts w:cs="TimesNewRomanPSMT"/>
              </w:rPr>
            </w:pPr>
            <w:r w:rsidRPr="00064185">
              <w:rPr>
                <w:rFonts w:cs="TimesNewRomanPSMT"/>
              </w:rPr>
              <w:t>11 194</w:t>
            </w:r>
          </w:p>
        </w:tc>
        <w:tc>
          <w:tcPr>
            <w:tcW w:w="767" w:type="pct"/>
            <w:tcBorders>
              <w:top w:val="single" w:sz="4" w:space="0" w:color="auto"/>
              <w:bottom w:val="dashed" w:sz="4" w:space="0" w:color="auto"/>
              <w:right w:val="single" w:sz="4" w:space="0" w:color="auto"/>
            </w:tcBorders>
          </w:tcPr>
          <w:p w14:paraId="3EEB4590" w14:textId="77777777" w:rsidR="008E5D5C" w:rsidRPr="00064185" w:rsidRDefault="008E5D5C" w:rsidP="00EA61D8">
            <w:pPr>
              <w:tabs>
                <w:tab w:val="decimal" w:pos="780"/>
              </w:tabs>
              <w:spacing w:before="120"/>
              <w:rPr>
                <w:rFonts w:cs="TimesNewRomanPSMT"/>
              </w:rPr>
            </w:pPr>
          </w:p>
          <w:p w14:paraId="62D8751C" w14:textId="0B5FE665" w:rsidR="00D43D9C" w:rsidRPr="00064185" w:rsidRDefault="000454AE" w:rsidP="00EA61D8">
            <w:pPr>
              <w:tabs>
                <w:tab w:val="decimal" w:pos="780"/>
              </w:tabs>
              <w:spacing w:before="120"/>
              <w:rPr>
                <w:rFonts w:cs="TimesNewRomanPSMT"/>
              </w:rPr>
            </w:pPr>
            <w:r w:rsidRPr="00064185">
              <w:rPr>
                <w:rFonts w:cs="TimesNewRomanPSMT"/>
              </w:rPr>
              <w:t>Y</w:t>
            </w:r>
            <w:r w:rsidR="00D43D9C" w:rsidRPr="00064185">
              <w:rPr>
                <w:rFonts w:cs="TimesNewRomanPSMT"/>
              </w:rPr>
              <w:t>es</w:t>
            </w:r>
          </w:p>
        </w:tc>
      </w:tr>
      <w:tr w:rsidR="00064185" w:rsidRPr="00064185" w14:paraId="1FF5B3F1" w14:textId="77777777" w:rsidTr="002147CF">
        <w:trPr>
          <w:trHeight w:val="630"/>
          <w:jc w:val="center"/>
        </w:trPr>
        <w:tc>
          <w:tcPr>
            <w:tcW w:w="855" w:type="pct"/>
            <w:tcBorders>
              <w:top w:val="dashed" w:sz="4" w:space="0" w:color="auto"/>
              <w:left w:val="single" w:sz="4" w:space="0" w:color="auto"/>
              <w:bottom w:val="dashed" w:sz="4" w:space="0" w:color="auto"/>
            </w:tcBorders>
            <w:shd w:val="clear" w:color="auto" w:fill="auto"/>
            <w:vAlign w:val="center"/>
          </w:tcPr>
          <w:p w14:paraId="2FEDC026" w14:textId="54255D41" w:rsidR="00D43D9C" w:rsidRPr="00064185" w:rsidRDefault="00D24C36" w:rsidP="00EA61D8">
            <w:pPr>
              <w:spacing w:before="120"/>
              <w:ind w:right="-108"/>
              <w:rPr>
                <w:bCs/>
              </w:rPr>
            </w:pPr>
            <w:r w:rsidRPr="00064185">
              <w:rPr>
                <w:bCs/>
              </w:rPr>
              <w:t>Spot treatment</w:t>
            </w:r>
            <w:r w:rsidR="00D43D9C" w:rsidRPr="00064185">
              <w:rPr>
                <w:bCs/>
              </w:rPr>
              <w:t>,</w:t>
            </w:r>
            <w:r w:rsidR="00D43D9C" w:rsidRPr="00064185">
              <w:rPr>
                <w:bCs/>
              </w:rPr>
              <w:br/>
              <w:t>trigger spray, inhalation</w:t>
            </w:r>
          </w:p>
        </w:tc>
        <w:tc>
          <w:tcPr>
            <w:tcW w:w="697" w:type="pct"/>
            <w:tcBorders>
              <w:top w:val="dashed" w:sz="4" w:space="0" w:color="auto"/>
              <w:bottom w:val="dashed" w:sz="4" w:space="0" w:color="auto"/>
            </w:tcBorders>
            <w:shd w:val="clear" w:color="auto" w:fill="auto"/>
            <w:vAlign w:val="center"/>
          </w:tcPr>
          <w:p w14:paraId="4EF13431" w14:textId="77777777" w:rsidR="00D43D9C" w:rsidRPr="00064185" w:rsidRDefault="00D43D9C" w:rsidP="00EA61D8">
            <w:pPr>
              <w:tabs>
                <w:tab w:val="decimal" w:pos="568"/>
              </w:tabs>
              <w:spacing w:before="120"/>
              <w:rPr>
                <w:rFonts w:cs="TimesNewRomanPSMT"/>
              </w:rPr>
            </w:pPr>
            <w:r w:rsidRPr="00064185">
              <w:rPr>
                <w:rFonts w:cs="TimesNewRomanPSMT"/>
              </w:rPr>
              <w:t>0.0008</w:t>
            </w:r>
          </w:p>
        </w:tc>
        <w:tc>
          <w:tcPr>
            <w:tcW w:w="804" w:type="pct"/>
            <w:tcBorders>
              <w:top w:val="dashed" w:sz="4" w:space="0" w:color="auto"/>
              <w:bottom w:val="dashed" w:sz="4" w:space="0" w:color="auto"/>
            </w:tcBorders>
            <w:shd w:val="clear" w:color="auto" w:fill="auto"/>
            <w:vAlign w:val="center"/>
          </w:tcPr>
          <w:p w14:paraId="166C1318" w14:textId="77777777" w:rsidR="00D43D9C" w:rsidRPr="00064185" w:rsidRDefault="00D43D9C" w:rsidP="00EA61D8">
            <w:pPr>
              <w:tabs>
                <w:tab w:val="decimal" w:pos="568"/>
              </w:tabs>
              <w:spacing w:before="120"/>
              <w:rPr>
                <w:rFonts w:cs="TimesNewRomanPSMT"/>
              </w:rPr>
            </w:pPr>
            <w:r w:rsidRPr="00064185">
              <w:rPr>
                <w:bCs/>
              </w:rPr>
              <w:t>1.9E-5</w:t>
            </w:r>
          </w:p>
        </w:tc>
        <w:tc>
          <w:tcPr>
            <w:tcW w:w="377" w:type="pct"/>
            <w:tcBorders>
              <w:top w:val="dashed" w:sz="4" w:space="0" w:color="auto"/>
              <w:bottom w:val="dashed" w:sz="4" w:space="0" w:color="auto"/>
            </w:tcBorders>
            <w:shd w:val="clear" w:color="auto" w:fill="auto"/>
            <w:vAlign w:val="center"/>
          </w:tcPr>
          <w:p w14:paraId="4B254AA6" w14:textId="77777777" w:rsidR="00D43D9C" w:rsidRPr="00064185" w:rsidRDefault="00D43D9C" w:rsidP="00EA61D8">
            <w:pPr>
              <w:tabs>
                <w:tab w:val="decimal" w:pos="279"/>
              </w:tabs>
              <w:spacing w:before="120"/>
              <w:rPr>
                <w:rFonts w:cs="TimesNewRomanPSMT"/>
              </w:rPr>
            </w:pPr>
            <w:r w:rsidRPr="00064185">
              <w:rPr>
                <w:rFonts w:cs="TimesNewRomanPSMT"/>
              </w:rPr>
              <w:fldChar w:fldCharType="begin" w:fldLock="1"/>
            </w:r>
            <w:r w:rsidRPr="00064185">
              <w:rPr>
                <w:rFonts w:cs="TimesNewRomanPSMT"/>
              </w:rPr>
              <w:instrText xml:space="preserve"> =c3/b3*100 \# "0.0%" </w:instrText>
            </w:r>
            <w:r w:rsidRPr="00064185">
              <w:rPr>
                <w:rFonts w:cs="TimesNewRomanPSMT"/>
              </w:rPr>
              <w:fldChar w:fldCharType="separate"/>
            </w:r>
            <w:r w:rsidRPr="00064185">
              <w:rPr>
                <w:rFonts w:cs="TimesNewRomanPSMT"/>
                <w:noProof/>
              </w:rPr>
              <w:t>2.4</w:t>
            </w:r>
            <w:r w:rsidRPr="00064185">
              <w:rPr>
                <w:rFonts w:cs="TimesNewRomanPSMT"/>
              </w:rPr>
              <w:fldChar w:fldCharType="end"/>
            </w:r>
          </w:p>
        </w:tc>
        <w:tc>
          <w:tcPr>
            <w:tcW w:w="730" w:type="pct"/>
            <w:tcBorders>
              <w:top w:val="dashed" w:sz="4" w:space="0" w:color="auto"/>
              <w:bottom w:val="dashed" w:sz="4" w:space="0" w:color="auto"/>
            </w:tcBorders>
            <w:shd w:val="clear" w:color="auto" w:fill="auto"/>
            <w:vAlign w:val="center"/>
          </w:tcPr>
          <w:p w14:paraId="70AD8E5B" w14:textId="77777777" w:rsidR="00D43D9C" w:rsidRPr="00064185" w:rsidRDefault="00D43D9C" w:rsidP="00EA61D8">
            <w:pPr>
              <w:tabs>
                <w:tab w:val="decimal" w:pos="779"/>
              </w:tabs>
              <w:spacing w:before="120"/>
              <w:rPr>
                <w:rFonts w:cs="TimesNewRomanPSMT"/>
              </w:rPr>
            </w:pPr>
            <w:r w:rsidRPr="00064185">
              <w:rPr>
                <w:rFonts w:cs="TimesNewRomanPSMT"/>
              </w:rPr>
              <w:t>0.08</w:t>
            </w:r>
          </w:p>
        </w:tc>
        <w:tc>
          <w:tcPr>
            <w:tcW w:w="769" w:type="pct"/>
            <w:tcBorders>
              <w:top w:val="dashed" w:sz="4" w:space="0" w:color="auto"/>
              <w:bottom w:val="dashed" w:sz="4" w:space="0" w:color="auto"/>
            </w:tcBorders>
            <w:shd w:val="clear" w:color="auto" w:fill="auto"/>
            <w:vAlign w:val="center"/>
          </w:tcPr>
          <w:p w14:paraId="4D3B20E9" w14:textId="35B0AC8B" w:rsidR="00D43D9C" w:rsidRPr="00064185" w:rsidRDefault="00D43D9C" w:rsidP="00EA61D8">
            <w:pPr>
              <w:tabs>
                <w:tab w:val="decimal" w:pos="780"/>
              </w:tabs>
              <w:spacing w:before="120"/>
              <w:rPr>
                <w:rFonts w:cs="TimesNewRomanPSMT"/>
              </w:rPr>
            </w:pPr>
            <w:r w:rsidRPr="00064185">
              <w:rPr>
                <w:rFonts w:cs="TimesNewRomanPSMT"/>
              </w:rPr>
              <w:fldChar w:fldCharType="begin" w:fldLock="1"/>
            </w:r>
            <w:r w:rsidRPr="00064185">
              <w:rPr>
                <w:rFonts w:cs="TimesNewRomanPSMT"/>
              </w:rPr>
              <w:instrText xml:space="preserve"> =e3/c3 \# "#,##0" </w:instrText>
            </w:r>
            <w:r w:rsidRPr="00064185">
              <w:rPr>
                <w:rFonts w:cs="TimesNewRomanPSMT"/>
              </w:rPr>
              <w:fldChar w:fldCharType="separate"/>
            </w:r>
            <w:r w:rsidR="00CF4E45" w:rsidRPr="00064185">
              <w:rPr>
                <w:rFonts w:cs="TimesNewRomanPSMT"/>
                <w:noProof/>
              </w:rPr>
              <w:t xml:space="preserve">4 </w:t>
            </w:r>
            <w:r w:rsidRPr="00064185">
              <w:rPr>
                <w:rFonts w:cs="TimesNewRomanPSMT"/>
                <w:noProof/>
              </w:rPr>
              <w:t>211</w:t>
            </w:r>
            <w:r w:rsidRPr="00064185">
              <w:rPr>
                <w:rFonts w:cs="TimesNewRomanPSMT"/>
              </w:rPr>
              <w:fldChar w:fldCharType="end"/>
            </w:r>
          </w:p>
        </w:tc>
        <w:tc>
          <w:tcPr>
            <w:tcW w:w="767" w:type="pct"/>
            <w:tcBorders>
              <w:top w:val="dashed" w:sz="4" w:space="0" w:color="auto"/>
              <w:bottom w:val="dashed" w:sz="4" w:space="0" w:color="auto"/>
              <w:right w:val="single" w:sz="4" w:space="0" w:color="auto"/>
            </w:tcBorders>
          </w:tcPr>
          <w:p w14:paraId="706A5B31" w14:textId="77777777" w:rsidR="008E5D5C" w:rsidRPr="00064185" w:rsidRDefault="008E5D5C" w:rsidP="00EA61D8">
            <w:pPr>
              <w:tabs>
                <w:tab w:val="decimal" w:pos="780"/>
              </w:tabs>
              <w:spacing w:before="120"/>
              <w:rPr>
                <w:rFonts w:cs="TimesNewRomanPSMT"/>
              </w:rPr>
            </w:pPr>
          </w:p>
          <w:p w14:paraId="3B394AC1" w14:textId="60D22664" w:rsidR="00D43D9C" w:rsidRPr="00064185" w:rsidRDefault="000454AE" w:rsidP="00EA61D8">
            <w:pPr>
              <w:tabs>
                <w:tab w:val="decimal" w:pos="780"/>
              </w:tabs>
              <w:spacing w:before="120"/>
              <w:rPr>
                <w:rFonts w:cs="TimesNewRomanPSMT"/>
              </w:rPr>
            </w:pPr>
            <w:r w:rsidRPr="00064185">
              <w:rPr>
                <w:rFonts w:cs="TimesNewRomanPSMT"/>
              </w:rPr>
              <w:t>Y</w:t>
            </w:r>
            <w:r w:rsidR="00D43D9C" w:rsidRPr="00064185">
              <w:rPr>
                <w:rFonts w:cs="TimesNewRomanPSMT"/>
              </w:rPr>
              <w:t>es</w:t>
            </w:r>
          </w:p>
        </w:tc>
      </w:tr>
      <w:tr w:rsidR="00CF4E45" w:rsidRPr="00064185" w14:paraId="73D461AF" w14:textId="77777777" w:rsidTr="002147CF">
        <w:trPr>
          <w:trHeight w:val="630"/>
          <w:jc w:val="center"/>
        </w:trPr>
        <w:tc>
          <w:tcPr>
            <w:tcW w:w="2356" w:type="pct"/>
            <w:gridSpan w:val="3"/>
            <w:tcBorders>
              <w:top w:val="dashed" w:sz="4" w:space="0" w:color="auto"/>
              <w:left w:val="single" w:sz="4" w:space="0" w:color="auto"/>
              <w:bottom w:val="single" w:sz="4" w:space="0" w:color="auto"/>
            </w:tcBorders>
            <w:shd w:val="clear" w:color="auto" w:fill="auto"/>
            <w:vAlign w:val="center"/>
          </w:tcPr>
          <w:p w14:paraId="46E55646" w14:textId="11A25E3C" w:rsidR="00CF4E45" w:rsidRPr="00064185" w:rsidRDefault="00CF4E45" w:rsidP="00EA61D8">
            <w:pPr>
              <w:tabs>
                <w:tab w:val="decimal" w:pos="568"/>
              </w:tabs>
              <w:spacing w:before="120"/>
              <w:rPr>
                <w:bCs/>
              </w:rPr>
            </w:pPr>
            <w:r w:rsidRPr="00064185">
              <w:rPr>
                <w:bCs/>
              </w:rPr>
              <w:t>Sum of % AEL</w:t>
            </w:r>
          </w:p>
        </w:tc>
        <w:tc>
          <w:tcPr>
            <w:tcW w:w="377" w:type="pct"/>
            <w:tcBorders>
              <w:top w:val="dashed" w:sz="4" w:space="0" w:color="auto"/>
              <w:bottom w:val="single" w:sz="4" w:space="0" w:color="auto"/>
            </w:tcBorders>
            <w:shd w:val="clear" w:color="auto" w:fill="auto"/>
            <w:vAlign w:val="center"/>
          </w:tcPr>
          <w:p w14:paraId="672BA60D" w14:textId="2B0D1EED" w:rsidR="00CF4E45" w:rsidRPr="00064185" w:rsidRDefault="00CF4E45" w:rsidP="00EA61D8">
            <w:pPr>
              <w:tabs>
                <w:tab w:val="decimal" w:pos="279"/>
              </w:tabs>
              <w:spacing w:before="120"/>
              <w:rPr>
                <w:rFonts w:cs="TimesNewRomanPSMT"/>
              </w:rPr>
            </w:pPr>
            <w:r w:rsidRPr="00064185">
              <w:rPr>
                <w:rFonts w:cs="TimesNewRomanPSMT"/>
              </w:rPr>
              <w:t>4.2</w:t>
            </w:r>
          </w:p>
        </w:tc>
        <w:tc>
          <w:tcPr>
            <w:tcW w:w="1499" w:type="pct"/>
            <w:gridSpan w:val="2"/>
            <w:tcBorders>
              <w:top w:val="dashed" w:sz="4" w:space="0" w:color="auto"/>
              <w:bottom w:val="single" w:sz="4" w:space="0" w:color="auto"/>
            </w:tcBorders>
            <w:shd w:val="clear" w:color="auto" w:fill="auto"/>
            <w:vAlign w:val="center"/>
          </w:tcPr>
          <w:p w14:paraId="3958588F" w14:textId="14EF53B7" w:rsidR="00CF4E45" w:rsidRPr="00064185" w:rsidRDefault="00CF4E45" w:rsidP="00EA61D8">
            <w:pPr>
              <w:tabs>
                <w:tab w:val="decimal" w:pos="780"/>
              </w:tabs>
              <w:spacing w:before="120"/>
              <w:rPr>
                <w:rFonts w:cs="TimesNewRomanPSMT"/>
              </w:rPr>
            </w:pPr>
            <w:r w:rsidRPr="00064185">
              <w:rPr>
                <w:rFonts w:cs="TimesNewRomanPSMT"/>
              </w:rPr>
              <w:t>n.r.</w:t>
            </w:r>
          </w:p>
        </w:tc>
        <w:tc>
          <w:tcPr>
            <w:tcW w:w="767" w:type="pct"/>
            <w:tcBorders>
              <w:top w:val="dashed" w:sz="4" w:space="0" w:color="auto"/>
              <w:bottom w:val="single" w:sz="4" w:space="0" w:color="auto"/>
              <w:right w:val="single" w:sz="4" w:space="0" w:color="auto"/>
            </w:tcBorders>
          </w:tcPr>
          <w:p w14:paraId="0D4A3B5F" w14:textId="747A6E98" w:rsidR="00CF4E45" w:rsidRPr="00064185" w:rsidRDefault="000454AE" w:rsidP="00EA61D8">
            <w:pPr>
              <w:tabs>
                <w:tab w:val="decimal" w:pos="780"/>
              </w:tabs>
              <w:spacing w:before="120"/>
              <w:rPr>
                <w:rFonts w:cs="TimesNewRomanPSMT"/>
              </w:rPr>
            </w:pPr>
            <w:r w:rsidRPr="00064185">
              <w:rPr>
                <w:rFonts w:cs="TimesNewRomanPSMT"/>
              </w:rPr>
              <w:t>Y</w:t>
            </w:r>
            <w:r w:rsidR="00CF4E45" w:rsidRPr="00064185">
              <w:rPr>
                <w:rFonts w:cs="TimesNewRomanPSMT"/>
              </w:rPr>
              <w:t>es</w:t>
            </w:r>
          </w:p>
        </w:tc>
      </w:tr>
    </w:tbl>
    <w:p w14:paraId="49C2BDF5" w14:textId="77777777" w:rsidR="00A53EE0" w:rsidRPr="00064185" w:rsidRDefault="00A53EE0" w:rsidP="00EA61D8">
      <w:pPr>
        <w:spacing w:line="260" w:lineRule="atLeast"/>
        <w:rPr>
          <w:rFonts w:eastAsia="Calibri"/>
          <w:lang w:eastAsia="en-US"/>
        </w:rPr>
      </w:pPr>
    </w:p>
    <w:p w14:paraId="4EFE43CF" w14:textId="77777777" w:rsidR="00A53EE0" w:rsidRPr="00064185" w:rsidRDefault="00A53EE0" w:rsidP="00EA61D8">
      <w:pPr>
        <w:spacing w:line="260" w:lineRule="atLeast"/>
        <w:rPr>
          <w:rFonts w:eastAsia="Calibri"/>
          <w:lang w:eastAsia="en-US"/>
        </w:rPr>
      </w:pPr>
    </w:p>
    <w:p w14:paraId="0B7C33F2" w14:textId="77777777" w:rsidR="00A53EE0" w:rsidRPr="00064185" w:rsidRDefault="00A53EE0" w:rsidP="00EA61D8">
      <w:pPr>
        <w:keepNext/>
        <w:keepLines/>
        <w:widowControl w:val="0"/>
        <w:spacing w:line="260" w:lineRule="atLeast"/>
        <w:rPr>
          <w:rFonts w:eastAsia="Calibri"/>
          <w:u w:val="single"/>
          <w:lang w:eastAsia="en-US"/>
        </w:rPr>
      </w:pPr>
      <w:r w:rsidRPr="00064185">
        <w:rPr>
          <w:rFonts w:eastAsia="Calibri"/>
          <w:u w:val="single"/>
          <w:lang w:eastAsia="en-US"/>
        </w:rPr>
        <w:t>Conclusion of risk characterisation for indirect exposure</w:t>
      </w:r>
    </w:p>
    <w:p w14:paraId="36E172ED" w14:textId="77777777" w:rsidR="00D93D3C" w:rsidRPr="00064185" w:rsidRDefault="00D93D3C" w:rsidP="00EA61D8">
      <w:pPr>
        <w:keepNext/>
        <w:keepLines/>
        <w:widowControl w:val="0"/>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1591"/>
        <w:gridCol w:w="1290"/>
        <w:gridCol w:w="1494"/>
        <w:gridCol w:w="845"/>
        <w:gridCol w:w="1355"/>
        <w:gridCol w:w="1409"/>
        <w:gridCol w:w="1446"/>
      </w:tblGrid>
      <w:tr w:rsidR="00064185" w:rsidRPr="00064185" w14:paraId="66118E3C" w14:textId="77777777" w:rsidTr="008E5D5C">
        <w:trPr>
          <w:trHeight w:val="556"/>
        </w:trPr>
        <w:tc>
          <w:tcPr>
            <w:tcW w:w="866" w:type="pct"/>
            <w:shd w:val="clear" w:color="auto" w:fill="FFFFCC"/>
            <w:vAlign w:val="center"/>
          </w:tcPr>
          <w:p w14:paraId="0202C7CA" w14:textId="77777777" w:rsidR="00FE3AE4" w:rsidRPr="00064185" w:rsidRDefault="00FE3AE4" w:rsidP="00EA61D8">
            <w:pPr>
              <w:keepNext/>
              <w:keepLines/>
              <w:widowControl w:val="0"/>
              <w:spacing w:before="40"/>
              <w:rPr>
                <w:b/>
              </w:rPr>
            </w:pPr>
            <w:r w:rsidRPr="00064185">
              <w:rPr>
                <w:b/>
              </w:rPr>
              <w:t>Scenario</w:t>
            </w:r>
          </w:p>
        </w:tc>
        <w:tc>
          <w:tcPr>
            <w:tcW w:w="706" w:type="pct"/>
            <w:shd w:val="clear" w:color="auto" w:fill="FFFFCC"/>
            <w:vAlign w:val="center"/>
          </w:tcPr>
          <w:p w14:paraId="3FB7541E" w14:textId="77777777" w:rsidR="00FE3AE4" w:rsidRPr="00064185" w:rsidRDefault="00FE3AE4" w:rsidP="00EA61D8">
            <w:pPr>
              <w:keepNext/>
              <w:keepLines/>
              <w:widowControl w:val="0"/>
              <w:tabs>
                <w:tab w:val="left" w:pos="1166"/>
              </w:tabs>
              <w:ind w:left="-82"/>
              <w:rPr>
                <w:b/>
              </w:rPr>
            </w:pPr>
            <w:r w:rsidRPr="00064185">
              <w:rPr>
                <w:b/>
              </w:rPr>
              <w:t xml:space="preserve">AEL </w:t>
            </w:r>
            <w:r w:rsidRPr="00064185">
              <w:rPr>
                <w:b/>
              </w:rPr>
              <w:br/>
              <w:t>[mg/kg bw/day]</w:t>
            </w:r>
          </w:p>
        </w:tc>
        <w:tc>
          <w:tcPr>
            <w:tcW w:w="814" w:type="pct"/>
            <w:shd w:val="clear" w:color="auto" w:fill="FFFFCC"/>
            <w:vAlign w:val="center"/>
          </w:tcPr>
          <w:p w14:paraId="7722E488" w14:textId="77777777" w:rsidR="00FE3AE4" w:rsidRPr="00064185" w:rsidRDefault="00FE3AE4" w:rsidP="00EA61D8">
            <w:pPr>
              <w:keepNext/>
              <w:keepLines/>
              <w:widowControl w:val="0"/>
              <w:spacing w:before="40"/>
              <w:rPr>
                <w:b/>
              </w:rPr>
            </w:pPr>
            <w:r w:rsidRPr="00064185">
              <w:rPr>
                <w:b/>
              </w:rPr>
              <w:t>Systemic dose</w:t>
            </w:r>
            <w:r w:rsidRPr="00064185">
              <w:rPr>
                <w:b/>
              </w:rPr>
              <w:br/>
              <w:t>[mg/kg bw/day]</w:t>
            </w:r>
          </w:p>
        </w:tc>
        <w:tc>
          <w:tcPr>
            <w:tcW w:w="470" w:type="pct"/>
            <w:shd w:val="clear" w:color="auto" w:fill="FFFFCC"/>
            <w:vAlign w:val="center"/>
          </w:tcPr>
          <w:p w14:paraId="10A619E3" w14:textId="77777777" w:rsidR="00FE3AE4" w:rsidRPr="00064185" w:rsidRDefault="00FE3AE4" w:rsidP="00EA61D8">
            <w:pPr>
              <w:keepNext/>
              <w:keepLines/>
              <w:widowControl w:val="0"/>
              <w:tabs>
                <w:tab w:val="left" w:pos="1166"/>
              </w:tabs>
              <w:rPr>
                <w:b/>
              </w:rPr>
            </w:pPr>
            <w:r w:rsidRPr="00064185">
              <w:rPr>
                <w:b/>
              </w:rPr>
              <w:t>% AEL</w:t>
            </w:r>
          </w:p>
        </w:tc>
        <w:tc>
          <w:tcPr>
            <w:tcW w:w="740" w:type="pct"/>
            <w:shd w:val="clear" w:color="auto" w:fill="FFFFCC"/>
            <w:vAlign w:val="center"/>
          </w:tcPr>
          <w:p w14:paraId="4F3BE345" w14:textId="77777777" w:rsidR="00FE3AE4" w:rsidRPr="00064185" w:rsidRDefault="00FE3AE4" w:rsidP="00EA61D8">
            <w:pPr>
              <w:keepNext/>
              <w:keepLines/>
              <w:widowControl w:val="0"/>
              <w:tabs>
                <w:tab w:val="left" w:pos="1166"/>
              </w:tabs>
              <w:rPr>
                <w:b/>
              </w:rPr>
            </w:pPr>
            <w:r w:rsidRPr="00064185">
              <w:rPr>
                <w:b/>
              </w:rPr>
              <w:t>NOAEL</w:t>
            </w:r>
            <w:r w:rsidRPr="00064185">
              <w:rPr>
                <w:b/>
              </w:rPr>
              <w:br/>
              <w:t>[mg/kg bw/day]</w:t>
            </w:r>
          </w:p>
        </w:tc>
        <w:tc>
          <w:tcPr>
            <w:tcW w:w="769" w:type="pct"/>
            <w:shd w:val="clear" w:color="auto" w:fill="FFFFCC"/>
            <w:vAlign w:val="center"/>
          </w:tcPr>
          <w:p w14:paraId="478AA4AF" w14:textId="77777777" w:rsidR="00FE3AE4" w:rsidRPr="00064185" w:rsidRDefault="00FE3AE4" w:rsidP="00EA61D8">
            <w:pPr>
              <w:keepNext/>
              <w:keepLines/>
              <w:widowControl w:val="0"/>
              <w:tabs>
                <w:tab w:val="left" w:pos="1166"/>
              </w:tabs>
              <w:rPr>
                <w:b/>
              </w:rPr>
            </w:pPr>
            <w:r w:rsidRPr="00064185">
              <w:rPr>
                <w:b/>
              </w:rPr>
              <w:t>MoE</w:t>
            </w:r>
          </w:p>
        </w:tc>
        <w:tc>
          <w:tcPr>
            <w:tcW w:w="634" w:type="pct"/>
            <w:shd w:val="clear" w:color="auto" w:fill="FFFFCC"/>
          </w:tcPr>
          <w:p w14:paraId="2CDCA684" w14:textId="77777777" w:rsidR="008E5D5C" w:rsidRPr="00064185" w:rsidRDefault="008E5D5C" w:rsidP="00EA61D8">
            <w:pPr>
              <w:keepNext/>
              <w:keepLines/>
              <w:widowControl w:val="0"/>
              <w:spacing w:line="260" w:lineRule="atLeast"/>
              <w:rPr>
                <w:rFonts w:eastAsia="Calibri"/>
                <w:b/>
                <w:lang w:eastAsia="en-US"/>
              </w:rPr>
            </w:pPr>
          </w:p>
          <w:p w14:paraId="27ECE0BC" w14:textId="77777777" w:rsidR="00FE3AE4" w:rsidRPr="00064185" w:rsidRDefault="00FE3AE4" w:rsidP="00EA61D8">
            <w:pPr>
              <w:keepNext/>
              <w:keepLines/>
              <w:widowControl w:val="0"/>
              <w:spacing w:line="260" w:lineRule="atLeast"/>
              <w:rPr>
                <w:rFonts w:eastAsia="Calibri"/>
                <w:b/>
                <w:lang w:eastAsia="en-US"/>
              </w:rPr>
            </w:pPr>
            <w:r w:rsidRPr="00064185">
              <w:rPr>
                <w:rFonts w:eastAsia="Calibri"/>
                <w:b/>
                <w:lang w:eastAsia="en-US"/>
              </w:rPr>
              <w:t>Acceptable</w:t>
            </w:r>
          </w:p>
          <w:p w14:paraId="45764A6A" w14:textId="77777777" w:rsidR="00FE3AE4" w:rsidRPr="00064185" w:rsidRDefault="00FE3AE4" w:rsidP="00EA61D8">
            <w:pPr>
              <w:keepNext/>
              <w:keepLines/>
              <w:widowControl w:val="0"/>
              <w:tabs>
                <w:tab w:val="left" w:pos="1166"/>
              </w:tabs>
              <w:rPr>
                <w:b/>
              </w:rPr>
            </w:pPr>
            <w:r w:rsidRPr="00064185">
              <w:rPr>
                <w:rFonts w:eastAsia="Calibri"/>
                <w:lang w:eastAsia="en-US"/>
              </w:rPr>
              <w:t>(yes/no)</w:t>
            </w:r>
          </w:p>
        </w:tc>
      </w:tr>
      <w:tr w:rsidR="00212CD0" w:rsidRPr="00064185" w14:paraId="1917704D" w14:textId="77777777" w:rsidTr="008E5D5C">
        <w:trPr>
          <w:trHeight w:val="630"/>
        </w:trPr>
        <w:tc>
          <w:tcPr>
            <w:tcW w:w="866" w:type="pct"/>
            <w:shd w:val="clear" w:color="auto" w:fill="auto"/>
            <w:vAlign w:val="center"/>
          </w:tcPr>
          <w:p w14:paraId="4A8A89CF" w14:textId="77777777" w:rsidR="00FE3AE4" w:rsidRPr="00064185" w:rsidRDefault="00FE3AE4" w:rsidP="00EA61D8">
            <w:pPr>
              <w:keepNext/>
              <w:keepLines/>
              <w:widowControl w:val="0"/>
              <w:spacing w:before="120"/>
              <w:rPr>
                <w:bCs/>
              </w:rPr>
            </w:pPr>
            <w:r w:rsidRPr="00064185">
              <w:rPr>
                <w:bCs/>
              </w:rPr>
              <w:t>Child playing on floor</w:t>
            </w:r>
          </w:p>
        </w:tc>
        <w:tc>
          <w:tcPr>
            <w:tcW w:w="706" w:type="pct"/>
            <w:shd w:val="clear" w:color="auto" w:fill="auto"/>
            <w:vAlign w:val="center"/>
          </w:tcPr>
          <w:p w14:paraId="3FD5A743" w14:textId="77777777" w:rsidR="00FE3AE4" w:rsidRPr="00064185" w:rsidRDefault="00FE3AE4" w:rsidP="00EA61D8">
            <w:pPr>
              <w:keepNext/>
              <w:keepLines/>
              <w:widowControl w:val="0"/>
              <w:tabs>
                <w:tab w:val="decimal" w:pos="568"/>
              </w:tabs>
              <w:spacing w:before="120"/>
              <w:rPr>
                <w:rFonts w:cs="TimesNewRomanPSMT"/>
              </w:rPr>
            </w:pPr>
            <w:r w:rsidRPr="00064185">
              <w:rPr>
                <w:rFonts w:cs="TimesNewRomanPSMT"/>
              </w:rPr>
              <w:t>0.0038</w:t>
            </w:r>
          </w:p>
        </w:tc>
        <w:tc>
          <w:tcPr>
            <w:tcW w:w="814" w:type="pct"/>
            <w:shd w:val="clear" w:color="auto" w:fill="auto"/>
            <w:vAlign w:val="center"/>
          </w:tcPr>
          <w:p w14:paraId="027E7FBF" w14:textId="1C42365F" w:rsidR="00FE3AE4" w:rsidRPr="00064185" w:rsidRDefault="00212CD0" w:rsidP="00EA61D8">
            <w:pPr>
              <w:keepNext/>
              <w:keepLines/>
              <w:widowControl w:val="0"/>
              <w:tabs>
                <w:tab w:val="decimal" w:pos="568"/>
              </w:tabs>
              <w:spacing w:before="120"/>
              <w:rPr>
                <w:rFonts w:cs="TimesNewRomanPSMT"/>
              </w:rPr>
            </w:pPr>
            <w:r w:rsidRPr="00064185">
              <w:rPr>
                <w:rFonts w:eastAsia="Calibri"/>
                <w:lang w:eastAsia="en-US"/>
              </w:rPr>
              <w:t>0.00134</w:t>
            </w:r>
          </w:p>
        </w:tc>
        <w:tc>
          <w:tcPr>
            <w:tcW w:w="470" w:type="pct"/>
            <w:shd w:val="clear" w:color="auto" w:fill="auto"/>
            <w:vAlign w:val="center"/>
          </w:tcPr>
          <w:p w14:paraId="49F78406" w14:textId="29CE5EB8" w:rsidR="00FE3AE4" w:rsidRPr="00064185" w:rsidRDefault="00212CD0" w:rsidP="00EA61D8">
            <w:pPr>
              <w:keepNext/>
              <w:keepLines/>
              <w:widowControl w:val="0"/>
              <w:tabs>
                <w:tab w:val="decimal" w:pos="279"/>
              </w:tabs>
              <w:spacing w:before="120"/>
              <w:rPr>
                <w:rFonts w:cs="TimesNewRomanPSMT"/>
              </w:rPr>
            </w:pPr>
            <w:r w:rsidRPr="00064185">
              <w:rPr>
                <w:rFonts w:eastAsia="Calibri"/>
                <w:lang w:eastAsia="en-US"/>
              </w:rPr>
              <w:t>35.3</w:t>
            </w:r>
          </w:p>
        </w:tc>
        <w:tc>
          <w:tcPr>
            <w:tcW w:w="740" w:type="pct"/>
            <w:shd w:val="clear" w:color="auto" w:fill="auto"/>
            <w:vAlign w:val="center"/>
          </w:tcPr>
          <w:p w14:paraId="3790B885" w14:textId="77777777" w:rsidR="00FE3AE4" w:rsidRPr="00064185" w:rsidRDefault="00FE3AE4" w:rsidP="00EA61D8">
            <w:pPr>
              <w:keepNext/>
              <w:keepLines/>
              <w:widowControl w:val="0"/>
              <w:tabs>
                <w:tab w:val="decimal" w:pos="779"/>
              </w:tabs>
              <w:spacing w:before="120"/>
              <w:rPr>
                <w:rFonts w:cs="TimesNewRomanPSMT"/>
              </w:rPr>
            </w:pPr>
            <w:r w:rsidRPr="00064185">
              <w:rPr>
                <w:rFonts w:cs="TimesNewRomanPSMT"/>
              </w:rPr>
              <w:t>0.75</w:t>
            </w:r>
          </w:p>
        </w:tc>
        <w:tc>
          <w:tcPr>
            <w:tcW w:w="769" w:type="pct"/>
            <w:shd w:val="clear" w:color="auto" w:fill="auto"/>
            <w:vAlign w:val="center"/>
          </w:tcPr>
          <w:p w14:paraId="460384BB" w14:textId="387112A0" w:rsidR="00FE3AE4" w:rsidRPr="00064185" w:rsidRDefault="00212CD0" w:rsidP="00EA61D8">
            <w:pPr>
              <w:keepNext/>
              <w:keepLines/>
              <w:widowControl w:val="0"/>
              <w:tabs>
                <w:tab w:val="decimal" w:pos="780"/>
              </w:tabs>
              <w:spacing w:before="120"/>
              <w:rPr>
                <w:rFonts w:cs="TimesNewRomanPSMT"/>
              </w:rPr>
            </w:pPr>
            <w:r w:rsidRPr="00064185">
              <w:rPr>
                <w:rFonts w:cs="TimesNewRomanPSMT"/>
              </w:rPr>
              <w:t>560</w:t>
            </w:r>
          </w:p>
        </w:tc>
        <w:tc>
          <w:tcPr>
            <w:tcW w:w="634" w:type="pct"/>
            <w:vAlign w:val="center"/>
          </w:tcPr>
          <w:p w14:paraId="1007DF8A" w14:textId="6E800B37" w:rsidR="00FE3AE4" w:rsidRPr="00064185" w:rsidRDefault="000454AE" w:rsidP="00EA61D8">
            <w:pPr>
              <w:keepNext/>
              <w:keepLines/>
              <w:widowControl w:val="0"/>
              <w:spacing w:before="120"/>
              <w:rPr>
                <w:rFonts w:cs="TimesNewRomanPSMT"/>
              </w:rPr>
            </w:pPr>
            <w:r w:rsidRPr="00064185">
              <w:rPr>
                <w:bCs/>
              </w:rPr>
              <w:t>Y</w:t>
            </w:r>
            <w:r w:rsidR="00FE3AE4" w:rsidRPr="00064185">
              <w:rPr>
                <w:bCs/>
              </w:rPr>
              <w:t>es</w:t>
            </w:r>
          </w:p>
        </w:tc>
      </w:tr>
    </w:tbl>
    <w:p w14:paraId="333BF22C" w14:textId="77777777" w:rsidR="00A53EE0" w:rsidRPr="00064185" w:rsidRDefault="00A53EE0" w:rsidP="00EA61D8">
      <w:pPr>
        <w:spacing w:line="260" w:lineRule="atLeast"/>
        <w:rPr>
          <w:rFonts w:eastAsia="Calibri"/>
          <w:lang w:eastAsia="en-US"/>
        </w:rPr>
      </w:pPr>
    </w:p>
    <w:p w14:paraId="1B8D06EF" w14:textId="77777777" w:rsidR="008E0E52" w:rsidRPr="00064185" w:rsidRDefault="008E0E52" w:rsidP="00EA61D8">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1108"/>
        <w:gridCol w:w="1120"/>
        <w:gridCol w:w="1052"/>
        <w:gridCol w:w="1275"/>
        <w:gridCol w:w="990"/>
        <w:gridCol w:w="1215"/>
        <w:gridCol w:w="1447"/>
      </w:tblGrid>
      <w:tr w:rsidR="00064185" w:rsidRPr="00064185" w14:paraId="36E54759" w14:textId="77777777" w:rsidTr="00962B3F">
        <w:trPr>
          <w:trHeight w:val="556"/>
        </w:trPr>
        <w:tc>
          <w:tcPr>
            <w:tcW w:w="648" w:type="pct"/>
            <w:shd w:val="clear" w:color="auto" w:fill="FFFFCC"/>
            <w:vAlign w:val="center"/>
            <w:hideMark/>
          </w:tcPr>
          <w:p w14:paraId="38513064" w14:textId="77777777" w:rsidR="003B1879" w:rsidRPr="00064185" w:rsidRDefault="003B1879" w:rsidP="00EA61D8">
            <w:pPr>
              <w:keepNext/>
              <w:tabs>
                <w:tab w:val="left" w:pos="71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autoSpaceDE w:val="0"/>
              <w:autoSpaceDN w:val="0"/>
              <w:spacing w:before="40"/>
              <w:rPr>
                <w:rFonts w:eastAsia="Calibri"/>
                <w:b/>
              </w:rPr>
            </w:pPr>
            <w:r w:rsidRPr="00064185">
              <w:rPr>
                <w:rFonts w:eastAsia="Calibri"/>
                <w:b/>
              </w:rPr>
              <w:t>Scenario</w:t>
            </w:r>
          </w:p>
        </w:tc>
        <w:tc>
          <w:tcPr>
            <w:tcW w:w="587" w:type="pct"/>
            <w:shd w:val="clear" w:color="auto" w:fill="FFFFCC"/>
          </w:tcPr>
          <w:p w14:paraId="1DBA3C94" w14:textId="77777777" w:rsidR="003B1879" w:rsidRPr="00064185" w:rsidRDefault="003B1879" w:rsidP="00EA61D8">
            <w:pPr>
              <w:keepNext/>
              <w:keepLines/>
              <w:tabs>
                <w:tab w:val="left" w:pos="1166"/>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autoSpaceDE w:val="0"/>
              <w:autoSpaceDN w:val="0"/>
              <w:ind w:left="-82"/>
              <w:rPr>
                <w:rFonts w:eastAsia="Calibri"/>
                <w:b/>
              </w:rPr>
            </w:pPr>
            <w:r w:rsidRPr="00064185">
              <w:rPr>
                <w:rFonts w:eastAsia="Calibri"/>
                <w:b/>
              </w:rPr>
              <w:t>Scenario No.</w:t>
            </w:r>
          </w:p>
        </w:tc>
        <w:tc>
          <w:tcPr>
            <w:tcW w:w="594" w:type="pct"/>
            <w:shd w:val="clear" w:color="auto" w:fill="FFFFCC"/>
            <w:vAlign w:val="center"/>
            <w:hideMark/>
          </w:tcPr>
          <w:p w14:paraId="0CB2C1DA" w14:textId="77777777" w:rsidR="003B1879" w:rsidRPr="00064185" w:rsidRDefault="003B1879" w:rsidP="00EA61D8">
            <w:pPr>
              <w:keepNext/>
              <w:keepLines/>
              <w:tabs>
                <w:tab w:val="left" w:pos="1166"/>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autoSpaceDE w:val="0"/>
              <w:autoSpaceDN w:val="0"/>
              <w:ind w:left="-82"/>
              <w:rPr>
                <w:rFonts w:eastAsia="Calibri"/>
                <w:b/>
              </w:rPr>
            </w:pPr>
            <w:r w:rsidRPr="00064185">
              <w:rPr>
                <w:rFonts w:eastAsia="Calibri"/>
                <w:b/>
              </w:rPr>
              <w:t xml:space="preserve">AEL </w:t>
            </w:r>
            <w:r w:rsidRPr="00064185">
              <w:rPr>
                <w:rFonts w:eastAsia="Calibri"/>
                <w:b/>
              </w:rPr>
              <w:br/>
              <w:t>[mg/kg bw/day]</w:t>
            </w:r>
          </w:p>
        </w:tc>
        <w:tc>
          <w:tcPr>
            <w:tcW w:w="558" w:type="pct"/>
            <w:shd w:val="clear" w:color="auto" w:fill="FFFFCC"/>
            <w:vAlign w:val="center"/>
            <w:hideMark/>
          </w:tcPr>
          <w:p w14:paraId="40C371A2" w14:textId="77777777" w:rsidR="003B1879" w:rsidRPr="00064185" w:rsidRDefault="003B1879" w:rsidP="00EA61D8">
            <w:pPr>
              <w:keepNext/>
              <w:tabs>
                <w:tab w:val="left" w:pos="71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autoSpaceDE w:val="0"/>
              <w:autoSpaceDN w:val="0"/>
              <w:spacing w:before="40"/>
              <w:rPr>
                <w:rFonts w:eastAsia="Calibri"/>
                <w:b/>
              </w:rPr>
            </w:pPr>
            <w:r w:rsidRPr="00064185">
              <w:rPr>
                <w:rFonts w:eastAsia="Calibri"/>
                <w:b/>
              </w:rPr>
              <w:t>bw [kg]</w:t>
            </w:r>
          </w:p>
        </w:tc>
        <w:tc>
          <w:tcPr>
            <w:tcW w:w="676" w:type="pct"/>
            <w:shd w:val="clear" w:color="auto" w:fill="FFFFCC"/>
            <w:vAlign w:val="center"/>
            <w:hideMark/>
          </w:tcPr>
          <w:p w14:paraId="24EB187D" w14:textId="77777777" w:rsidR="003B1879" w:rsidRPr="00064185" w:rsidRDefault="003B1879" w:rsidP="00EA61D8">
            <w:pPr>
              <w:keepNext/>
              <w:keepLines/>
              <w:tabs>
                <w:tab w:val="left" w:pos="1166"/>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autoSpaceDE w:val="0"/>
              <w:autoSpaceDN w:val="0"/>
              <w:rPr>
                <w:rFonts w:eastAsia="Calibri"/>
                <w:b/>
              </w:rPr>
            </w:pPr>
            <w:r w:rsidRPr="00064185">
              <w:rPr>
                <w:rFonts w:eastAsia="Calibri"/>
                <w:b/>
              </w:rPr>
              <w:t>% a.s. in b.p. [%]</w:t>
            </w:r>
          </w:p>
        </w:tc>
        <w:tc>
          <w:tcPr>
            <w:tcW w:w="525" w:type="pct"/>
            <w:shd w:val="clear" w:color="auto" w:fill="FFFFCC"/>
            <w:vAlign w:val="center"/>
            <w:hideMark/>
          </w:tcPr>
          <w:p w14:paraId="6A173592" w14:textId="77777777" w:rsidR="003B1879" w:rsidRPr="00064185" w:rsidRDefault="003B1879" w:rsidP="00EA61D8">
            <w:pPr>
              <w:keepNext/>
              <w:keepLines/>
              <w:tabs>
                <w:tab w:val="left" w:pos="1166"/>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autoSpaceDE w:val="0"/>
              <w:autoSpaceDN w:val="0"/>
              <w:rPr>
                <w:rFonts w:eastAsia="Calibri"/>
                <w:b/>
              </w:rPr>
            </w:pPr>
            <w:r w:rsidRPr="00064185">
              <w:rPr>
                <w:rFonts w:eastAsia="Calibri"/>
                <w:b/>
              </w:rPr>
              <w:t>[gram b.p./ day]</w:t>
            </w:r>
          </w:p>
        </w:tc>
        <w:tc>
          <w:tcPr>
            <w:tcW w:w="644" w:type="pct"/>
            <w:shd w:val="clear" w:color="auto" w:fill="FFFFCC"/>
            <w:vAlign w:val="center"/>
            <w:hideMark/>
          </w:tcPr>
          <w:p w14:paraId="176F0ACB" w14:textId="5CB53D95" w:rsidR="003B1879" w:rsidRPr="00064185" w:rsidRDefault="003B1879" w:rsidP="00EA61D8">
            <w:pPr>
              <w:keepNext/>
              <w:keepLines/>
              <w:tabs>
                <w:tab w:val="left" w:pos="1166"/>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autoSpaceDE w:val="0"/>
              <w:autoSpaceDN w:val="0"/>
              <w:rPr>
                <w:rFonts w:eastAsia="Calibri"/>
                <w:b/>
              </w:rPr>
            </w:pPr>
            <w:r w:rsidRPr="00064185">
              <w:rPr>
                <w:rFonts w:eastAsia="Calibri"/>
                <w:b/>
              </w:rPr>
              <w:t>[%] of application to 1 m route</w:t>
            </w:r>
            <w:r w:rsidR="00BC12DF" w:rsidRPr="00064185">
              <w:rPr>
                <w:rFonts w:eastAsia="Calibri"/>
                <w:b/>
              </w:rPr>
              <w:t>*</w:t>
            </w:r>
          </w:p>
        </w:tc>
        <w:tc>
          <w:tcPr>
            <w:tcW w:w="767" w:type="pct"/>
            <w:shd w:val="clear" w:color="auto" w:fill="FFFFCC"/>
            <w:vAlign w:val="center"/>
          </w:tcPr>
          <w:p w14:paraId="19FDBEAD" w14:textId="77777777" w:rsidR="003B1879" w:rsidRPr="00064185" w:rsidRDefault="003B1879" w:rsidP="00EA61D8">
            <w:pPr>
              <w:keepNext/>
              <w:keepLines/>
              <w:tabs>
                <w:tab w:val="left" w:pos="1166"/>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autoSpaceDE w:val="0"/>
              <w:autoSpaceDN w:val="0"/>
              <w:rPr>
                <w:rFonts w:eastAsia="Calibri"/>
                <w:b/>
                <w:lang w:eastAsia="sv-SE"/>
              </w:rPr>
            </w:pPr>
            <w:r w:rsidRPr="00064185">
              <w:rPr>
                <w:rFonts w:eastAsia="Calibri"/>
                <w:b/>
                <w:lang w:eastAsia="sv-SE"/>
              </w:rPr>
              <w:t>Acceptable</w:t>
            </w:r>
          </w:p>
          <w:p w14:paraId="3688BDC7" w14:textId="77777777" w:rsidR="003B1879" w:rsidRPr="00064185" w:rsidRDefault="003B1879" w:rsidP="00EA61D8">
            <w:pPr>
              <w:keepNext/>
              <w:keepLines/>
              <w:tabs>
                <w:tab w:val="left" w:pos="1166"/>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autoSpaceDE w:val="0"/>
              <w:autoSpaceDN w:val="0"/>
              <w:rPr>
                <w:rFonts w:eastAsia="Calibri"/>
                <w:b/>
                <w:lang w:eastAsia="sv-SE"/>
              </w:rPr>
            </w:pPr>
            <w:r w:rsidRPr="00064185">
              <w:rPr>
                <w:rFonts w:eastAsia="Calibri"/>
                <w:b/>
                <w:lang w:eastAsia="sv-SE"/>
              </w:rPr>
              <w:t>(yes/no)</w:t>
            </w:r>
          </w:p>
        </w:tc>
      </w:tr>
      <w:tr w:rsidR="00064185" w:rsidRPr="00064185" w14:paraId="7B40F62B" w14:textId="77777777" w:rsidTr="00962B3F">
        <w:trPr>
          <w:trHeight w:val="630"/>
        </w:trPr>
        <w:tc>
          <w:tcPr>
            <w:tcW w:w="648" w:type="pct"/>
            <w:shd w:val="clear" w:color="auto" w:fill="auto"/>
            <w:vAlign w:val="center"/>
          </w:tcPr>
          <w:p w14:paraId="14EEE2D3" w14:textId="77777777" w:rsidR="003B1879" w:rsidRPr="00064185" w:rsidRDefault="003B1879" w:rsidP="00EA61D8">
            <w:pPr>
              <w:tabs>
                <w:tab w:val="left" w:pos="71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autoSpaceDE w:val="0"/>
              <w:autoSpaceDN w:val="0"/>
              <w:rPr>
                <w:rFonts w:eastAsia="Calibri"/>
              </w:rPr>
            </w:pPr>
            <w:r w:rsidRPr="00064185">
              <w:rPr>
                <w:rFonts w:eastAsia="Calibri"/>
                <w:lang w:eastAsia="en-US"/>
              </w:rPr>
              <w:t>Reverse scenario: Infant ingesting product from treated surface</w:t>
            </w:r>
          </w:p>
        </w:tc>
        <w:tc>
          <w:tcPr>
            <w:tcW w:w="587" w:type="pct"/>
            <w:vAlign w:val="center"/>
          </w:tcPr>
          <w:p w14:paraId="2B8062B0" w14:textId="77777777" w:rsidR="003B1879" w:rsidRPr="00064185" w:rsidRDefault="003B1879" w:rsidP="00EA61D8">
            <w:pPr>
              <w:autoSpaceDE w:val="0"/>
              <w:autoSpaceDN w:val="0"/>
              <w:rPr>
                <w:rFonts w:eastAsia="Calibri"/>
                <w:lang w:eastAsia="sv-SE"/>
              </w:rPr>
            </w:pPr>
            <w:r w:rsidRPr="00064185">
              <w:rPr>
                <w:rFonts w:eastAsia="Calibri"/>
                <w:lang w:eastAsia="sv-SE"/>
              </w:rPr>
              <w:t>3</w:t>
            </w:r>
          </w:p>
        </w:tc>
        <w:tc>
          <w:tcPr>
            <w:tcW w:w="594" w:type="pct"/>
            <w:shd w:val="clear" w:color="auto" w:fill="auto"/>
            <w:vAlign w:val="center"/>
          </w:tcPr>
          <w:p w14:paraId="7756CFF4" w14:textId="77777777" w:rsidR="003B1879" w:rsidRPr="00064185" w:rsidRDefault="003B1879" w:rsidP="00EA61D8">
            <w:pPr>
              <w:autoSpaceDE w:val="0"/>
              <w:autoSpaceDN w:val="0"/>
              <w:rPr>
                <w:rFonts w:eastAsia="Calibri"/>
                <w:lang w:eastAsia="sv-SE"/>
              </w:rPr>
            </w:pPr>
            <w:r w:rsidRPr="00064185">
              <w:rPr>
                <w:rFonts w:eastAsia="Calibri"/>
                <w:lang w:eastAsia="sv-SE"/>
              </w:rPr>
              <w:t>0.0075</w:t>
            </w:r>
          </w:p>
        </w:tc>
        <w:tc>
          <w:tcPr>
            <w:tcW w:w="558" w:type="pct"/>
            <w:shd w:val="clear" w:color="auto" w:fill="auto"/>
            <w:vAlign w:val="center"/>
          </w:tcPr>
          <w:p w14:paraId="5874B18F" w14:textId="77777777" w:rsidR="003B1879" w:rsidRPr="00064185" w:rsidRDefault="003B1879" w:rsidP="00EA61D8">
            <w:pPr>
              <w:autoSpaceDE w:val="0"/>
              <w:autoSpaceDN w:val="0"/>
            </w:pPr>
            <w:r w:rsidRPr="00064185">
              <w:t>10</w:t>
            </w:r>
          </w:p>
        </w:tc>
        <w:tc>
          <w:tcPr>
            <w:tcW w:w="676" w:type="pct"/>
            <w:shd w:val="clear" w:color="auto" w:fill="auto"/>
            <w:vAlign w:val="center"/>
          </w:tcPr>
          <w:p w14:paraId="0FCCA6C6" w14:textId="77777777" w:rsidR="003B1879" w:rsidRPr="00064185" w:rsidRDefault="003B1879" w:rsidP="00EA61D8">
            <w:pPr>
              <w:autoSpaceDE w:val="0"/>
              <w:autoSpaceDN w:val="0"/>
            </w:pPr>
            <w:r w:rsidRPr="00064185">
              <w:t>0.05</w:t>
            </w:r>
          </w:p>
        </w:tc>
        <w:tc>
          <w:tcPr>
            <w:tcW w:w="525" w:type="pct"/>
            <w:shd w:val="clear" w:color="auto" w:fill="auto"/>
            <w:vAlign w:val="center"/>
          </w:tcPr>
          <w:p w14:paraId="3926BC04" w14:textId="77777777" w:rsidR="003B1879" w:rsidRPr="00064185" w:rsidRDefault="003B1879" w:rsidP="00EA61D8">
            <w:pPr>
              <w:autoSpaceDE w:val="0"/>
              <w:autoSpaceDN w:val="0"/>
              <w:rPr>
                <w:rFonts w:eastAsia="Calibri"/>
                <w:lang w:eastAsia="sv-SE"/>
              </w:rPr>
            </w:pPr>
            <w:r w:rsidRPr="00064185">
              <w:rPr>
                <w:rFonts w:eastAsia="Calibri"/>
                <w:lang w:eastAsia="sv-SE"/>
              </w:rPr>
              <w:t>0.15</w:t>
            </w:r>
          </w:p>
        </w:tc>
        <w:tc>
          <w:tcPr>
            <w:tcW w:w="644" w:type="pct"/>
            <w:shd w:val="clear" w:color="auto" w:fill="auto"/>
            <w:vAlign w:val="center"/>
          </w:tcPr>
          <w:p w14:paraId="1E07C73D" w14:textId="7835DB4B" w:rsidR="003B1879" w:rsidRPr="00064185" w:rsidRDefault="00EC5DE5" w:rsidP="00EA61D8">
            <w:pPr>
              <w:autoSpaceDE w:val="0"/>
              <w:autoSpaceDN w:val="0"/>
              <w:rPr>
                <w:rFonts w:eastAsia="Calibri"/>
                <w:lang w:eastAsia="sv-SE"/>
              </w:rPr>
            </w:pPr>
            <w:r w:rsidRPr="00064185">
              <w:rPr>
                <w:rFonts w:eastAsia="Calibri"/>
                <w:lang w:eastAsia="sv-SE"/>
              </w:rPr>
              <w:t>≤</w:t>
            </w:r>
            <w:r w:rsidR="007E1959" w:rsidRPr="00064185">
              <w:rPr>
                <w:rFonts w:eastAsia="Calibri"/>
                <w:lang w:eastAsia="sv-SE"/>
              </w:rPr>
              <w:t>0.33</w:t>
            </w:r>
          </w:p>
        </w:tc>
        <w:tc>
          <w:tcPr>
            <w:tcW w:w="767" w:type="pct"/>
            <w:shd w:val="clear" w:color="auto" w:fill="auto"/>
            <w:vAlign w:val="center"/>
          </w:tcPr>
          <w:p w14:paraId="2B732436" w14:textId="77777777" w:rsidR="003B1879" w:rsidRPr="00064185" w:rsidRDefault="003B1879" w:rsidP="00EA61D8">
            <w:pPr>
              <w:autoSpaceDE w:val="0"/>
              <w:autoSpaceDN w:val="0"/>
              <w:rPr>
                <w:rFonts w:eastAsia="Calibri"/>
                <w:lang w:eastAsia="sv-SE"/>
              </w:rPr>
            </w:pPr>
            <w:r w:rsidRPr="00064185">
              <w:rPr>
                <w:rFonts w:eastAsia="Calibri"/>
                <w:lang w:eastAsia="sv-SE"/>
              </w:rPr>
              <w:t>No</w:t>
            </w:r>
          </w:p>
        </w:tc>
      </w:tr>
      <w:tr w:rsidR="00064185" w:rsidRPr="00064185" w14:paraId="2D2B3DCA" w14:textId="77777777" w:rsidTr="003B1879">
        <w:trPr>
          <w:trHeight w:val="630"/>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3A8DD7E6" w14:textId="77777777" w:rsidR="003B1879" w:rsidRPr="00064185" w:rsidRDefault="003B1879" w:rsidP="00EA61D8">
            <w:pPr>
              <w:tabs>
                <w:tab w:val="left" w:pos="71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autoSpaceDE w:val="0"/>
              <w:autoSpaceDN w:val="0"/>
              <w:rPr>
                <w:rFonts w:eastAsia="Calibri"/>
                <w:lang w:eastAsia="en-US"/>
              </w:rPr>
            </w:pPr>
            <w:r w:rsidRPr="00064185">
              <w:rPr>
                <w:rFonts w:eastAsia="Calibri"/>
                <w:lang w:eastAsia="en-US"/>
              </w:rPr>
              <w:t>Reverse scenario: pet (dog) ingesting product from treated surface</w:t>
            </w:r>
          </w:p>
        </w:tc>
        <w:tc>
          <w:tcPr>
            <w:tcW w:w="587" w:type="pct"/>
            <w:tcBorders>
              <w:top w:val="single" w:sz="4" w:space="0" w:color="auto"/>
              <w:left w:val="single" w:sz="4" w:space="0" w:color="auto"/>
              <w:bottom w:val="single" w:sz="4" w:space="0" w:color="auto"/>
              <w:right w:val="single" w:sz="4" w:space="0" w:color="auto"/>
            </w:tcBorders>
            <w:vAlign w:val="center"/>
          </w:tcPr>
          <w:p w14:paraId="6EA055B0" w14:textId="77777777" w:rsidR="003B1879" w:rsidRPr="00064185" w:rsidRDefault="003B1879" w:rsidP="00EA61D8">
            <w:pPr>
              <w:autoSpaceDE w:val="0"/>
              <w:autoSpaceDN w:val="0"/>
              <w:rPr>
                <w:rFonts w:eastAsia="Calibri"/>
                <w:lang w:eastAsia="sv-SE"/>
              </w:rPr>
            </w:pPr>
            <w:r w:rsidRPr="00064185">
              <w:rPr>
                <w:rFonts w:eastAsia="Calibri"/>
                <w:lang w:eastAsia="sv-SE"/>
              </w:rPr>
              <w:t>4</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804378D" w14:textId="77777777" w:rsidR="003B1879" w:rsidRPr="00064185" w:rsidRDefault="003B1879" w:rsidP="00EA61D8">
            <w:pPr>
              <w:autoSpaceDE w:val="0"/>
              <w:autoSpaceDN w:val="0"/>
              <w:rPr>
                <w:rFonts w:eastAsia="Calibri"/>
                <w:lang w:eastAsia="sv-SE"/>
              </w:rPr>
            </w:pPr>
            <w:r w:rsidRPr="00064185">
              <w:rPr>
                <w:rFonts w:eastAsia="Calibri"/>
                <w:lang w:eastAsia="sv-SE"/>
              </w:rPr>
              <w:t>0.075</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74D3E460" w14:textId="77777777" w:rsidR="003B1879" w:rsidRPr="00064185" w:rsidRDefault="003B1879" w:rsidP="00EA61D8">
            <w:pPr>
              <w:autoSpaceDE w:val="0"/>
              <w:autoSpaceDN w:val="0"/>
            </w:pPr>
            <w:r w:rsidRPr="00064185">
              <w:t>10</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7FED3400" w14:textId="77777777" w:rsidR="003B1879" w:rsidRPr="00064185" w:rsidRDefault="003B1879" w:rsidP="00EA61D8">
            <w:pPr>
              <w:autoSpaceDE w:val="0"/>
              <w:autoSpaceDN w:val="0"/>
            </w:pPr>
            <w:r w:rsidRPr="00064185">
              <w:t>0.05</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49F0F13D" w14:textId="77777777" w:rsidR="003B1879" w:rsidRPr="00064185" w:rsidRDefault="003B1879" w:rsidP="00EA61D8">
            <w:pPr>
              <w:autoSpaceDE w:val="0"/>
              <w:autoSpaceDN w:val="0"/>
              <w:rPr>
                <w:rFonts w:eastAsia="Calibri"/>
                <w:lang w:eastAsia="sv-SE"/>
              </w:rPr>
            </w:pPr>
            <w:r w:rsidRPr="00064185">
              <w:rPr>
                <w:rFonts w:eastAsia="Calibri"/>
                <w:lang w:eastAsia="sv-SE"/>
              </w:rPr>
              <w:t>1.5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3B639A23" w14:textId="452AB1B3" w:rsidR="003B1879" w:rsidRPr="00064185" w:rsidRDefault="00EC5DE5" w:rsidP="00EA61D8">
            <w:pPr>
              <w:autoSpaceDE w:val="0"/>
              <w:autoSpaceDN w:val="0"/>
              <w:rPr>
                <w:rFonts w:eastAsia="Calibri"/>
                <w:lang w:eastAsia="sv-SE"/>
              </w:rPr>
            </w:pPr>
            <w:r w:rsidRPr="00064185">
              <w:rPr>
                <w:rFonts w:eastAsia="Calibri"/>
                <w:lang w:eastAsia="sv-SE"/>
              </w:rPr>
              <w:t>≤</w:t>
            </w:r>
            <w:r w:rsidR="007E1959" w:rsidRPr="00064185">
              <w:rPr>
                <w:rFonts w:eastAsia="Calibri"/>
                <w:lang w:eastAsia="sv-SE"/>
              </w:rPr>
              <w:t>3.3</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771CF68C" w14:textId="77777777" w:rsidR="003B1879" w:rsidRPr="00064185" w:rsidRDefault="003B1879" w:rsidP="00EA61D8">
            <w:pPr>
              <w:autoSpaceDE w:val="0"/>
              <w:autoSpaceDN w:val="0"/>
              <w:rPr>
                <w:rFonts w:eastAsia="Calibri"/>
                <w:lang w:eastAsia="sv-SE"/>
              </w:rPr>
            </w:pPr>
            <w:r w:rsidRPr="00064185">
              <w:rPr>
                <w:rFonts w:eastAsia="Calibri"/>
                <w:lang w:eastAsia="sv-SE"/>
              </w:rPr>
              <w:t>No</w:t>
            </w:r>
          </w:p>
        </w:tc>
      </w:tr>
    </w:tbl>
    <w:p w14:paraId="30086A27" w14:textId="77777777" w:rsidR="00BC12DF" w:rsidRPr="00064185" w:rsidRDefault="00BC12DF" w:rsidP="00EA61D8">
      <w:pPr>
        <w:spacing w:line="260" w:lineRule="atLeast"/>
        <w:rPr>
          <w:rFonts w:eastAsia="Calibri"/>
        </w:rPr>
      </w:pPr>
      <w:r w:rsidRPr="00064185">
        <w:rPr>
          <w:rFonts w:eastAsia="Calibri"/>
        </w:rPr>
        <w:t>*from 44.5 for ants to 170 g/m</w:t>
      </w:r>
      <w:r w:rsidRPr="00064185">
        <w:rPr>
          <w:rFonts w:eastAsia="Calibri"/>
          <w:vertAlign w:val="superscript"/>
        </w:rPr>
        <w:t>2</w:t>
      </w:r>
      <w:r w:rsidRPr="00064185">
        <w:rPr>
          <w:rFonts w:eastAsia="Calibri"/>
        </w:rPr>
        <w:t xml:space="preserve"> for wood lice</w:t>
      </w:r>
    </w:p>
    <w:p w14:paraId="1424B06B" w14:textId="6DF875A1" w:rsidR="003B1879" w:rsidRPr="00064185" w:rsidRDefault="003B1879" w:rsidP="00EA61D8">
      <w:pPr>
        <w:spacing w:line="260" w:lineRule="atLeast"/>
        <w:rPr>
          <w:rFonts w:eastAsia="Calibri"/>
        </w:rPr>
      </w:pPr>
    </w:p>
    <w:p w14:paraId="3D30EFE8" w14:textId="77777777" w:rsidR="003B1879" w:rsidRPr="00064185" w:rsidRDefault="003B1879" w:rsidP="000835FA">
      <w:pPr>
        <w:tabs>
          <w:tab w:val="num" w:pos="840"/>
        </w:tabs>
        <w:spacing w:before="120"/>
        <w:jc w:val="both"/>
        <w:rPr>
          <w:rFonts w:eastAsia="Calibri"/>
          <w:lang w:eastAsia="en-US"/>
        </w:rPr>
      </w:pPr>
      <w:r w:rsidRPr="00064185">
        <w:rPr>
          <w:rFonts w:eastAsia="Calibri"/>
          <w:lang w:eastAsia="en-US"/>
        </w:rPr>
        <w:t xml:space="preserve">The AEL is neither reached nor exceeded by the estimated exposures and the Margins of Exposure (MoEs) are sufficiently high. </w:t>
      </w:r>
    </w:p>
    <w:p w14:paraId="19707F49" w14:textId="62163E0F" w:rsidR="003B1879" w:rsidRPr="00064185" w:rsidRDefault="003B1879" w:rsidP="000835FA">
      <w:pPr>
        <w:tabs>
          <w:tab w:val="num" w:pos="840"/>
        </w:tabs>
        <w:spacing w:before="120"/>
        <w:jc w:val="both"/>
        <w:rPr>
          <w:rFonts w:eastAsia="Calibri"/>
          <w:lang w:eastAsia="en-US"/>
        </w:rPr>
      </w:pPr>
      <w:r w:rsidRPr="00064185">
        <w:rPr>
          <w:rFonts w:eastAsia="Calibri"/>
          <w:lang w:eastAsia="en-US"/>
        </w:rPr>
        <w:t xml:space="preserve">However the reverse scenarios for infants and for pets indicate an unacceptable risk. </w:t>
      </w:r>
      <w:r w:rsidR="00CE1F7D" w:rsidRPr="00064185">
        <w:rPr>
          <w:rFonts w:eastAsia="Calibri"/>
          <w:lang w:eastAsia="en-US"/>
        </w:rPr>
        <w:t xml:space="preserve">Therefore </w:t>
      </w:r>
      <w:r w:rsidRPr="00064185">
        <w:rPr>
          <w:rFonts w:eastAsia="Calibri"/>
          <w:lang w:eastAsia="en-US"/>
        </w:rPr>
        <w:t>a specific labelling is necessary:</w:t>
      </w:r>
      <w:r w:rsidRPr="00064185">
        <w:t xml:space="preserve"> </w:t>
      </w:r>
      <w:r w:rsidRPr="00064185">
        <w:rPr>
          <w:rFonts w:eastAsia="Calibri"/>
          <w:i/>
          <w:lang w:eastAsia="en-US"/>
        </w:rPr>
        <w:t>Due to the risk of poisoning the product may only be applied, where access of pets, livestock and children can be excluded.</w:t>
      </w:r>
    </w:p>
    <w:p w14:paraId="0BCFCB7F" w14:textId="7E16B991" w:rsidR="003B1879" w:rsidRPr="00064185" w:rsidRDefault="003B1879" w:rsidP="000835FA">
      <w:pPr>
        <w:spacing w:before="120"/>
        <w:jc w:val="both"/>
        <w:rPr>
          <w:rFonts w:eastAsia="Calibri"/>
          <w:lang w:eastAsia="en-US"/>
        </w:rPr>
      </w:pPr>
      <w:r w:rsidRPr="00064185">
        <w:t>No dietary risk assessment was carried out. However the product is not intended for direct application to foods or feeding</w:t>
      </w:r>
      <w:r w:rsidR="003A2184" w:rsidRPr="00064185">
        <w:t xml:space="preserve"> </w:t>
      </w:r>
      <w:r w:rsidRPr="00064185">
        <w:t>stuff or to surfaces and areas where foods or feeding</w:t>
      </w:r>
      <w:r w:rsidR="003A2184" w:rsidRPr="00064185">
        <w:t xml:space="preserve"> </w:t>
      </w:r>
      <w:r w:rsidRPr="00064185">
        <w:t xml:space="preserve">stuff are prepared or stored. A specific labelling is required: </w:t>
      </w:r>
      <w:r w:rsidRPr="00064185">
        <w:rPr>
          <w:i/>
        </w:rPr>
        <w:t>The product m</w:t>
      </w:r>
      <w:r w:rsidRPr="00064185">
        <w:rPr>
          <w:rFonts w:eastAsia="Calibri"/>
          <w:i/>
          <w:lang w:eastAsia="en-US"/>
        </w:rPr>
        <w:t>ay only be applied, where contamination of food, feed, drinks and edible plants as well as growing areas for edible plants can be excluded.</w:t>
      </w:r>
    </w:p>
    <w:p w14:paraId="3DBE6E8D" w14:textId="77777777" w:rsidR="003B1879" w:rsidRPr="00064185" w:rsidRDefault="003B1879" w:rsidP="000835FA">
      <w:pPr>
        <w:tabs>
          <w:tab w:val="num" w:pos="840"/>
        </w:tabs>
        <w:spacing w:before="120"/>
        <w:jc w:val="both"/>
        <w:rPr>
          <w:rFonts w:eastAsia="Calibri"/>
          <w:lang w:eastAsia="en-US"/>
        </w:rPr>
      </w:pPr>
      <w:r w:rsidRPr="00064185">
        <w:rPr>
          <w:rFonts w:eastAsia="Calibri"/>
          <w:lang w:eastAsia="en-US"/>
        </w:rPr>
        <w:t xml:space="preserve">Under use restrictions indicated with these labels the use of the </w:t>
      </w:r>
      <w:proofErr w:type="gramStart"/>
      <w:r w:rsidRPr="00064185">
        <w:rPr>
          <w:rFonts w:eastAsia="Calibri"/>
          <w:lang w:eastAsia="en-US"/>
        </w:rPr>
        <w:t>b.p</w:t>
      </w:r>
      <w:proofErr w:type="gramEnd"/>
      <w:r w:rsidRPr="00064185">
        <w:rPr>
          <w:rFonts w:eastAsia="Calibri"/>
          <w:lang w:eastAsia="en-US"/>
        </w:rPr>
        <w:t>. represents an acceptable risk for human health.</w:t>
      </w:r>
    </w:p>
    <w:p w14:paraId="3D38312B" w14:textId="4B85244D" w:rsidR="000E542E" w:rsidRPr="00064185" w:rsidRDefault="000E542E" w:rsidP="000835FA">
      <w:pPr>
        <w:spacing w:line="260" w:lineRule="atLeast"/>
        <w:jc w:val="both"/>
        <w:rPr>
          <w:rFonts w:eastAsia="Calibri"/>
          <w:lang w:eastAsia="en-US"/>
        </w:rPr>
      </w:pPr>
    </w:p>
    <w:p w14:paraId="02A33DC3" w14:textId="77777777" w:rsidR="000E542E" w:rsidRPr="00064185" w:rsidRDefault="000E542E" w:rsidP="000835FA">
      <w:pPr>
        <w:spacing w:line="260" w:lineRule="atLeast"/>
        <w:jc w:val="both"/>
        <w:rPr>
          <w:rFonts w:eastAsia="Calibri"/>
          <w:lang w:eastAsia="en-US"/>
        </w:rPr>
      </w:pPr>
    </w:p>
    <w:p w14:paraId="2A478B10" w14:textId="77777777" w:rsidR="000E542E" w:rsidRPr="00064185" w:rsidRDefault="000E542E" w:rsidP="00EA61D8">
      <w:pPr>
        <w:spacing w:line="260" w:lineRule="atLeast"/>
        <w:rPr>
          <w:rFonts w:eastAsia="Calibri"/>
          <w:lang w:eastAsia="en-US"/>
        </w:rPr>
      </w:pPr>
    </w:p>
    <w:p w14:paraId="0A80F3B4" w14:textId="77777777" w:rsidR="000E542E" w:rsidRPr="00064185" w:rsidRDefault="000E542E" w:rsidP="00EA61D8">
      <w:pPr>
        <w:spacing w:line="260" w:lineRule="atLeast"/>
        <w:rPr>
          <w:rFonts w:eastAsia="Calibri"/>
          <w:lang w:eastAsia="en-US"/>
        </w:rPr>
      </w:pPr>
    </w:p>
    <w:p w14:paraId="13EA7D1B" w14:textId="77777777" w:rsidR="000E542E" w:rsidRPr="00064185" w:rsidRDefault="000E542E" w:rsidP="00EA61D8">
      <w:pPr>
        <w:spacing w:line="260" w:lineRule="atLeast"/>
        <w:rPr>
          <w:rFonts w:eastAsia="Calibri"/>
          <w:lang w:eastAsia="en-US"/>
        </w:rPr>
      </w:pPr>
    </w:p>
    <w:p w14:paraId="6A6DBB6F" w14:textId="77777777" w:rsidR="000E542E" w:rsidRPr="00064185" w:rsidRDefault="000E542E" w:rsidP="00EA61D8">
      <w:pPr>
        <w:spacing w:line="260" w:lineRule="atLeast"/>
        <w:rPr>
          <w:rFonts w:eastAsia="Calibri"/>
          <w:lang w:eastAsia="en-US"/>
        </w:rPr>
      </w:pPr>
    </w:p>
    <w:p w14:paraId="116B73A0" w14:textId="17F2E391" w:rsidR="00745A1B" w:rsidRPr="00064185" w:rsidRDefault="00745A1B" w:rsidP="00EA61D8">
      <w:pPr>
        <w:rPr>
          <w:rFonts w:eastAsia="Calibri"/>
          <w:lang w:eastAsia="en-US"/>
        </w:rPr>
      </w:pPr>
      <w:r w:rsidRPr="00064185">
        <w:rPr>
          <w:rFonts w:eastAsia="Calibri"/>
          <w:lang w:eastAsia="en-US"/>
        </w:rPr>
        <w:br w:type="page"/>
      </w:r>
    </w:p>
    <w:p w14:paraId="5C110119" w14:textId="77777777" w:rsidR="00FF31A8" w:rsidRPr="00064185" w:rsidRDefault="00FF31A8" w:rsidP="00EA61D8">
      <w:pPr>
        <w:spacing w:line="260" w:lineRule="atLeast"/>
        <w:rPr>
          <w:rFonts w:eastAsia="Calibri"/>
          <w:lang w:eastAsia="en-US"/>
        </w:rPr>
      </w:pPr>
    </w:p>
    <w:p w14:paraId="623F6ED4" w14:textId="0F398E01" w:rsidR="00A53EE0" w:rsidRPr="00064185" w:rsidRDefault="00A53EE0" w:rsidP="00EA61D8">
      <w:pPr>
        <w:pStyle w:val="berschrift3"/>
        <w:rPr>
          <w:rFonts w:eastAsia="Calibri"/>
          <w:lang w:val="en-US" w:eastAsia="en-US"/>
        </w:rPr>
      </w:pPr>
      <w:bookmarkStart w:id="67" w:name="_Toc389728862"/>
      <w:bookmarkStart w:id="68" w:name="_Toc403472714"/>
      <w:bookmarkStart w:id="69" w:name="_Toc440879618"/>
      <w:bookmarkStart w:id="70" w:name="_Toc440889931"/>
      <w:bookmarkStart w:id="71" w:name="_Toc530563634"/>
      <w:r w:rsidRPr="00064185">
        <w:rPr>
          <w:rFonts w:eastAsia="Calibri"/>
          <w:lang w:val="en-US" w:eastAsia="en-US"/>
        </w:rPr>
        <w:t>Summary of the Environmental Risk Assessment</w:t>
      </w:r>
      <w:bookmarkEnd w:id="67"/>
      <w:bookmarkEnd w:id="68"/>
      <w:bookmarkEnd w:id="69"/>
      <w:bookmarkEnd w:id="70"/>
      <w:bookmarkEnd w:id="71"/>
      <w:r w:rsidRPr="00064185">
        <w:rPr>
          <w:rFonts w:eastAsia="Calibri"/>
          <w:lang w:val="en-US" w:eastAsia="en-US"/>
        </w:rPr>
        <w:t xml:space="preserve"> </w:t>
      </w:r>
    </w:p>
    <w:p w14:paraId="368BB393" w14:textId="77777777" w:rsidR="00A53EE0" w:rsidRPr="00064185" w:rsidRDefault="00A53EE0" w:rsidP="00EA61D8">
      <w:pPr>
        <w:spacing w:line="260" w:lineRule="atLeast"/>
        <w:rPr>
          <w:rFonts w:eastAsia="Calibri"/>
          <w:b/>
          <w:bCs/>
          <w:sz w:val="22"/>
          <w:lang w:eastAsia="en-US"/>
        </w:rPr>
      </w:pPr>
    </w:p>
    <w:p w14:paraId="297CB2FF" w14:textId="1B741115" w:rsidR="00A53EE0" w:rsidRPr="00064185" w:rsidRDefault="00A53EE0" w:rsidP="000835FA">
      <w:pPr>
        <w:spacing w:line="260" w:lineRule="atLeast"/>
        <w:jc w:val="both"/>
        <w:rPr>
          <w:rFonts w:eastAsia="Calibri"/>
          <w:b/>
          <w:i/>
          <w:sz w:val="22"/>
          <w:szCs w:val="22"/>
          <w:lang w:eastAsia="en-US"/>
        </w:rPr>
      </w:pPr>
      <w:r w:rsidRPr="00064185">
        <w:rPr>
          <w:rFonts w:eastAsia="Calibri"/>
          <w:b/>
          <w:i/>
          <w:sz w:val="22"/>
          <w:szCs w:val="22"/>
          <w:lang w:eastAsia="en-US"/>
        </w:rPr>
        <w:t>Fate and behaviour in the environment</w:t>
      </w:r>
    </w:p>
    <w:p w14:paraId="4DB52C52" w14:textId="77777777" w:rsidR="009B2D9E" w:rsidRPr="00064185" w:rsidRDefault="009B2D9E" w:rsidP="000835FA">
      <w:pPr>
        <w:jc w:val="both"/>
      </w:pPr>
      <w:bookmarkStart w:id="72" w:name="_Ref166896002"/>
    </w:p>
    <w:p w14:paraId="423C090F" w14:textId="453E94C1" w:rsidR="00580EDD" w:rsidRPr="00064185" w:rsidRDefault="009B2D9E" w:rsidP="000835FA">
      <w:pPr>
        <w:keepNext/>
        <w:numPr>
          <w:ilvl w:val="3"/>
          <w:numId w:val="6"/>
        </w:numPr>
        <w:tabs>
          <w:tab w:val="num" w:pos="737"/>
        </w:tabs>
        <w:spacing w:line="260" w:lineRule="atLeast"/>
        <w:ind w:left="0" w:firstLine="0"/>
        <w:jc w:val="both"/>
        <w:rPr>
          <w:b/>
          <w:bCs/>
        </w:rPr>
      </w:pPr>
      <w:r w:rsidRPr="00064185">
        <w:rPr>
          <w:b/>
          <w:bCs/>
        </w:rPr>
        <w:t xml:space="preserve">Degradation of </w:t>
      </w:r>
      <w:r w:rsidRPr="00064185">
        <w:rPr>
          <w:b/>
          <w:bCs/>
          <w:i/>
        </w:rPr>
        <w:t>lambda</w:t>
      </w:r>
      <w:r w:rsidRPr="00064185">
        <w:rPr>
          <w:b/>
          <w:bCs/>
        </w:rPr>
        <w:t>-cyhalothrin in the aquatic compartment</w:t>
      </w:r>
      <w:bookmarkEnd w:id="72"/>
    </w:p>
    <w:p w14:paraId="4853A83A" w14:textId="3C6BB605" w:rsidR="009B2D9E" w:rsidRPr="00064185" w:rsidRDefault="00373618" w:rsidP="000835FA">
      <w:pPr>
        <w:spacing w:line="260" w:lineRule="atLeast"/>
        <w:jc w:val="both"/>
      </w:pPr>
      <w:r w:rsidRPr="00064185">
        <w:t xml:space="preserve">As summarized in the CAR </w:t>
      </w:r>
      <w:r w:rsidR="009656CE" w:rsidRPr="00064185">
        <w:t xml:space="preserve">(Sweden, 2011) </w:t>
      </w:r>
      <w:r w:rsidR="006125C7" w:rsidRPr="00064185">
        <w:rPr>
          <w:i/>
        </w:rPr>
        <w:t>lambda</w:t>
      </w:r>
      <w:r w:rsidR="006125C7" w:rsidRPr="00064185">
        <w:t xml:space="preserve">-cyhalothrin is </w:t>
      </w:r>
      <w:r w:rsidR="00580EDD" w:rsidRPr="00064185">
        <w:t>(</w:t>
      </w:r>
      <w:r w:rsidR="00C17D99" w:rsidRPr="00064185">
        <w:t>essentially</w:t>
      </w:r>
      <w:r w:rsidR="006125C7" w:rsidRPr="00064185">
        <w:t>)</w:t>
      </w:r>
      <w:r w:rsidR="00C17D99" w:rsidRPr="00064185">
        <w:t xml:space="preserve"> </w:t>
      </w:r>
      <w:r w:rsidR="00580EDD" w:rsidRPr="00064185">
        <w:t xml:space="preserve">stable </w:t>
      </w:r>
      <w:r w:rsidR="006125C7" w:rsidRPr="00064185">
        <w:t xml:space="preserve">to aqueous </w:t>
      </w:r>
      <w:r w:rsidR="006125C7" w:rsidRPr="00064185">
        <w:rPr>
          <w:b/>
        </w:rPr>
        <w:t>hydrolysis</w:t>
      </w:r>
      <w:r w:rsidR="006125C7" w:rsidRPr="00064185">
        <w:t xml:space="preserve"> </w:t>
      </w:r>
      <w:r w:rsidR="00580EDD" w:rsidRPr="00064185">
        <w:t>at pH 5</w:t>
      </w:r>
      <w:r w:rsidR="00C17D99" w:rsidRPr="00064185">
        <w:t xml:space="preserve"> and</w:t>
      </w:r>
      <w:r w:rsidR="00580EDD" w:rsidRPr="00064185">
        <w:t xml:space="preserve"> </w:t>
      </w:r>
      <w:r w:rsidR="00C17D99" w:rsidRPr="00064185">
        <w:t>7</w:t>
      </w:r>
      <w:r w:rsidR="006125C7" w:rsidRPr="00064185">
        <w:t xml:space="preserve"> and</w:t>
      </w:r>
      <w:r w:rsidR="00580EDD" w:rsidRPr="00064185">
        <w:t xml:space="preserve"> </w:t>
      </w:r>
      <w:r w:rsidR="006125C7" w:rsidRPr="00064185">
        <w:t>hydrolysis is uncertain at pH 9</w:t>
      </w:r>
      <w:r w:rsidR="00580EDD" w:rsidRPr="00064185">
        <w:t xml:space="preserve"> </w:t>
      </w:r>
      <w:r w:rsidR="006125C7" w:rsidRPr="00064185">
        <w:t xml:space="preserve">with a </w:t>
      </w:r>
      <w:r w:rsidR="00580EDD" w:rsidRPr="00064185">
        <w:t>DT</w:t>
      </w:r>
      <w:r w:rsidR="00580EDD" w:rsidRPr="00064185">
        <w:rPr>
          <w:vertAlign w:val="subscript"/>
        </w:rPr>
        <w:t>50</w:t>
      </w:r>
      <w:r w:rsidR="00F436C9" w:rsidRPr="00064185">
        <w:t xml:space="preserve"> of 8.6 days, at 25°C</w:t>
      </w:r>
      <w:r w:rsidR="006125C7" w:rsidRPr="00064185">
        <w:t>.</w:t>
      </w:r>
      <w:r w:rsidR="00580EDD" w:rsidRPr="00064185">
        <w:t xml:space="preserve"> </w:t>
      </w:r>
      <w:r w:rsidR="006125C7" w:rsidRPr="00064185">
        <w:t>Hydrolysi</w:t>
      </w:r>
      <w:r w:rsidR="009B2D9E" w:rsidRPr="00064185">
        <w:t>s</w:t>
      </w:r>
      <w:r w:rsidR="006125C7" w:rsidRPr="00064185">
        <w:t xml:space="preserve"> is</w:t>
      </w:r>
      <w:r w:rsidR="009B2D9E" w:rsidRPr="00064185">
        <w:t xml:space="preserve"> </w:t>
      </w:r>
      <w:r w:rsidR="006125C7" w:rsidRPr="00064185">
        <w:t xml:space="preserve">therefore </w:t>
      </w:r>
      <w:r w:rsidR="009B2D9E" w:rsidRPr="00064185">
        <w:t>not expected to be a significant degradation route at environmentally relevant pH</w:t>
      </w:r>
      <w:r w:rsidR="00217FEF" w:rsidRPr="00064185">
        <w:t>e</w:t>
      </w:r>
      <w:r w:rsidR="00C17D99" w:rsidRPr="00064185">
        <w:t>s</w:t>
      </w:r>
      <w:r w:rsidR="009B2D9E" w:rsidRPr="00064185">
        <w:t xml:space="preserve"> (around 7). Hence, no major hydrolysis products were identified</w:t>
      </w:r>
      <w:r w:rsidR="00C17D99" w:rsidRPr="00064185">
        <w:t>.</w:t>
      </w:r>
      <w:r w:rsidR="009B2D9E" w:rsidRPr="00064185">
        <w:t xml:space="preserve"> </w:t>
      </w:r>
    </w:p>
    <w:p w14:paraId="4C699C5A" w14:textId="4C6C917C" w:rsidR="009B2D9E" w:rsidRPr="00064185" w:rsidRDefault="009B2D9E" w:rsidP="000835FA">
      <w:pPr>
        <w:spacing w:line="260" w:lineRule="atLeast"/>
        <w:jc w:val="both"/>
      </w:pPr>
      <w:r w:rsidRPr="00064185">
        <w:t xml:space="preserve">The available studies on </w:t>
      </w:r>
      <w:r w:rsidRPr="00064185">
        <w:rPr>
          <w:b/>
        </w:rPr>
        <w:t>photolysis</w:t>
      </w:r>
      <w:r w:rsidRPr="00064185">
        <w:t xml:space="preserve"> indicate a potential for photochemical transformation of </w:t>
      </w:r>
      <w:r w:rsidRPr="00064185">
        <w:rPr>
          <w:i/>
        </w:rPr>
        <w:t>lambda-</w:t>
      </w:r>
      <w:r w:rsidRPr="00064185">
        <w:t>cyhalothrin in pure water</w:t>
      </w:r>
      <w:r w:rsidR="008D06C9" w:rsidRPr="00064185">
        <w:t xml:space="preserve"> (only little adsorption above 290 nm wave-length)</w:t>
      </w:r>
      <w:r w:rsidRPr="00064185">
        <w:t>, but the half-lives are not considered reliable and representative for environmental conditions. Photo</w:t>
      </w:r>
      <w:r w:rsidR="006125C7" w:rsidRPr="00064185">
        <w:t>-</w:t>
      </w:r>
      <w:r w:rsidRPr="00064185">
        <w:t xml:space="preserve">transformation in water </w:t>
      </w:r>
      <w:r w:rsidR="008D06C9" w:rsidRPr="00064185">
        <w:t>i</w:t>
      </w:r>
      <w:r w:rsidRPr="00064185">
        <w:t xml:space="preserve">s </w:t>
      </w:r>
      <w:r w:rsidR="008D06C9" w:rsidRPr="00064185">
        <w:t xml:space="preserve">therefore </w:t>
      </w:r>
      <w:r w:rsidRPr="00064185">
        <w:t xml:space="preserve">not </w:t>
      </w:r>
      <w:r w:rsidR="008D06C9" w:rsidRPr="00064185">
        <w:t>expect</w:t>
      </w:r>
      <w:r w:rsidRPr="00064185">
        <w:t xml:space="preserve">ed </w:t>
      </w:r>
      <w:r w:rsidR="008D06C9" w:rsidRPr="00064185">
        <w:t>to be a significant route of degradation in water.</w:t>
      </w:r>
      <w:r w:rsidRPr="00064185">
        <w:t xml:space="preserve"> </w:t>
      </w:r>
    </w:p>
    <w:p w14:paraId="4662E03B" w14:textId="02C827A9" w:rsidR="008D06C9" w:rsidRPr="00064185" w:rsidRDefault="00C17D99" w:rsidP="000835FA">
      <w:pPr>
        <w:spacing w:line="260" w:lineRule="atLeast"/>
        <w:jc w:val="both"/>
      </w:pPr>
      <w:r w:rsidRPr="00064185">
        <w:t>There are n</w:t>
      </w:r>
      <w:r w:rsidR="008D06C9" w:rsidRPr="00064185">
        <w:t xml:space="preserve">o data </w:t>
      </w:r>
      <w:r w:rsidRPr="00064185">
        <w:t xml:space="preserve">available </w:t>
      </w:r>
      <w:r w:rsidR="001A492D" w:rsidRPr="00064185">
        <w:t xml:space="preserve">on </w:t>
      </w:r>
      <w:r w:rsidR="001A492D" w:rsidRPr="00064185">
        <w:rPr>
          <w:b/>
        </w:rPr>
        <w:t>ready biodegradability</w:t>
      </w:r>
      <w:r w:rsidR="001A492D" w:rsidRPr="00064185">
        <w:t>.</w:t>
      </w:r>
    </w:p>
    <w:p w14:paraId="0A9FF606" w14:textId="74C9E3A4" w:rsidR="009B2D9E" w:rsidRPr="00064185" w:rsidRDefault="00C17D99" w:rsidP="000835FA">
      <w:pPr>
        <w:spacing w:line="260" w:lineRule="atLeast"/>
        <w:jc w:val="both"/>
      </w:pPr>
      <w:r w:rsidRPr="00064185">
        <w:t xml:space="preserve">In </w:t>
      </w:r>
      <w:r w:rsidR="009C503D" w:rsidRPr="00064185">
        <w:t xml:space="preserve">a </w:t>
      </w:r>
      <w:r w:rsidRPr="00064185">
        <w:rPr>
          <w:b/>
        </w:rPr>
        <w:t>water/sediment test system</w:t>
      </w:r>
      <w:r w:rsidRPr="00064185">
        <w:t xml:space="preserve"> </w:t>
      </w:r>
      <w:r w:rsidR="009B2D9E" w:rsidRPr="00064185">
        <w:rPr>
          <w:i/>
        </w:rPr>
        <w:t>lambda</w:t>
      </w:r>
      <w:r w:rsidR="009B2D9E" w:rsidRPr="00064185">
        <w:t>-cyhalothrin disappears rapidly from the water column via adsorption to the sediments with dissipation DT</w:t>
      </w:r>
      <w:r w:rsidR="009B2D9E" w:rsidRPr="00064185">
        <w:rPr>
          <w:vertAlign w:val="subscript"/>
        </w:rPr>
        <w:t>50</w:t>
      </w:r>
      <w:r w:rsidR="009C503D" w:rsidRPr="00064185">
        <w:rPr>
          <w:vertAlign w:val="subscript"/>
        </w:rPr>
        <w:t>s</w:t>
      </w:r>
      <w:r w:rsidR="009B2D9E" w:rsidRPr="00064185">
        <w:t xml:space="preserve"> of </w:t>
      </w:r>
      <w:r w:rsidRPr="00064185">
        <w:t xml:space="preserve">5.6 and </w:t>
      </w:r>
      <w:r w:rsidR="001A492D" w:rsidRPr="00064185">
        <w:t>14 hours</w:t>
      </w:r>
      <w:r w:rsidR="009B2D9E" w:rsidRPr="00064185">
        <w:t xml:space="preserve">. </w:t>
      </w:r>
      <w:r w:rsidR="009B2D9E" w:rsidRPr="00064185">
        <w:rPr>
          <w:i/>
        </w:rPr>
        <w:t>Lambda</w:t>
      </w:r>
      <w:r w:rsidR="009B2D9E" w:rsidRPr="00064185">
        <w:t xml:space="preserve">-cyhalothrin is </w:t>
      </w:r>
      <w:r w:rsidRPr="00064185">
        <w:t xml:space="preserve">also expected to </w:t>
      </w:r>
      <w:r w:rsidR="009B2D9E" w:rsidRPr="00064185">
        <w:t xml:space="preserve">adsorb to aquatic plants. </w:t>
      </w:r>
      <w:r w:rsidR="0052617A" w:rsidRPr="00064185">
        <w:t xml:space="preserve">A </w:t>
      </w:r>
      <w:r w:rsidR="0055386F" w:rsidRPr="00064185">
        <w:t>geometric mean DT</w:t>
      </w:r>
      <w:r w:rsidR="0055386F" w:rsidRPr="00064185">
        <w:rPr>
          <w:vertAlign w:val="subscript"/>
        </w:rPr>
        <w:t xml:space="preserve">50 </w:t>
      </w:r>
      <w:r w:rsidR="0055386F" w:rsidRPr="00064185">
        <w:t xml:space="preserve">value for degradation </w:t>
      </w:r>
      <w:r w:rsidR="001A492D" w:rsidRPr="00064185">
        <w:t xml:space="preserve">of 32 days (12°C) </w:t>
      </w:r>
      <w:r w:rsidR="0055386F" w:rsidRPr="00064185">
        <w:t xml:space="preserve">in </w:t>
      </w:r>
      <w:r w:rsidR="009C503D" w:rsidRPr="00064185">
        <w:t>the whole water/sediment system</w:t>
      </w:r>
      <w:r w:rsidR="0055386F" w:rsidRPr="00064185">
        <w:t xml:space="preserve"> </w:t>
      </w:r>
      <w:r w:rsidR="009C503D" w:rsidRPr="00064185">
        <w:t>was calculated</w:t>
      </w:r>
      <w:r w:rsidR="0052617A" w:rsidRPr="00064185">
        <w:t xml:space="preserve">. </w:t>
      </w:r>
      <w:r w:rsidR="009B2D9E" w:rsidRPr="00064185">
        <w:rPr>
          <w:i/>
        </w:rPr>
        <w:t>Lambda</w:t>
      </w:r>
      <w:r w:rsidR="009B2D9E" w:rsidRPr="00064185">
        <w:t>-cyhalothrin was degraded by ring hydroxylation and cleavage of the ester link followed by mineralisation. The major metabolite formed was Compound Ia</w:t>
      </w:r>
      <w:r w:rsidR="009C503D" w:rsidRPr="00064185">
        <w:t xml:space="preserve"> (cyclopropane acid)</w:t>
      </w:r>
      <w:r w:rsidR="009B2D9E" w:rsidRPr="00064185">
        <w:t>, reaching a maximum of 29% of applied in the water phase on day 14 and a maximum of 11% of applied in the sediment on day 30.</w:t>
      </w:r>
    </w:p>
    <w:p w14:paraId="384E20E0" w14:textId="413E77C3" w:rsidR="00580EDD" w:rsidRPr="00064185" w:rsidRDefault="009C503D" w:rsidP="000835FA">
      <w:pPr>
        <w:spacing w:line="260" w:lineRule="atLeast"/>
        <w:jc w:val="both"/>
      </w:pPr>
      <w:r w:rsidRPr="00064185">
        <w:t>There are n</w:t>
      </w:r>
      <w:r w:rsidR="0052617A" w:rsidRPr="00064185">
        <w:t>o data available for (an</w:t>
      </w:r>
      <w:proofErr w:type="gramStart"/>
      <w:r w:rsidR="0052617A" w:rsidRPr="00064185">
        <w:t>)aerobic</w:t>
      </w:r>
      <w:proofErr w:type="gramEnd"/>
      <w:r w:rsidR="0052617A" w:rsidRPr="00064185">
        <w:t xml:space="preserve"> biodegradation in sewage sludge.</w:t>
      </w:r>
    </w:p>
    <w:p w14:paraId="35AE090A" w14:textId="3D0F75EC" w:rsidR="009B2D9E" w:rsidRPr="00064185" w:rsidRDefault="009B2D9E" w:rsidP="000835FA">
      <w:pPr>
        <w:spacing w:line="260" w:lineRule="atLeast"/>
        <w:jc w:val="both"/>
      </w:pPr>
      <w:r w:rsidRPr="00064185">
        <w:t xml:space="preserve">Due to the lack of data on aerobic and anaerobic biodegradation in sewage sludge, as a worst case approach it </w:t>
      </w:r>
      <w:r w:rsidR="00580EDD" w:rsidRPr="00064185">
        <w:t>wa</w:t>
      </w:r>
      <w:r w:rsidRPr="00064185">
        <w:t>s assumed that no biodegradation takes place in sewage treatment plants.</w:t>
      </w:r>
    </w:p>
    <w:p w14:paraId="709D9BB2" w14:textId="77777777" w:rsidR="009B2D9E" w:rsidRPr="00064185" w:rsidRDefault="009B2D9E" w:rsidP="000835FA">
      <w:pPr>
        <w:spacing w:line="260" w:lineRule="atLeast"/>
        <w:jc w:val="both"/>
      </w:pPr>
    </w:p>
    <w:p w14:paraId="68E0CF5A" w14:textId="26BD9CB8" w:rsidR="0052617A" w:rsidRPr="00064185" w:rsidRDefault="009B2D9E" w:rsidP="000835FA">
      <w:pPr>
        <w:keepNext/>
        <w:numPr>
          <w:ilvl w:val="3"/>
          <w:numId w:val="6"/>
        </w:numPr>
        <w:tabs>
          <w:tab w:val="num" w:pos="737"/>
        </w:tabs>
        <w:spacing w:line="260" w:lineRule="atLeast"/>
        <w:ind w:left="0" w:firstLine="0"/>
        <w:jc w:val="both"/>
        <w:rPr>
          <w:b/>
          <w:bCs/>
        </w:rPr>
      </w:pPr>
      <w:bookmarkStart w:id="73" w:name="_Ref161043004"/>
      <w:r w:rsidRPr="00064185">
        <w:rPr>
          <w:b/>
          <w:bCs/>
        </w:rPr>
        <w:t xml:space="preserve">Degradation of </w:t>
      </w:r>
      <w:r w:rsidRPr="00064185">
        <w:rPr>
          <w:b/>
          <w:bCs/>
          <w:i/>
        </w:rPr>
        <w:t>lambda</w:t>
      </w:r>
      <w:r w:rsidRPr="00064185">
        <w:rPr>
          <w:b/>
          <w:bCs/>
        </w:rPr>
        <w:t>-cyhalothrin in soils</w:t>
      </w:r>
      <w:bookmarkEnd w:id="73"/>
    </w:p>
    <w:p w14:paraId="03A4A03C" w14:textId="3BA72188" w:rsidR="0052617A" w:rsidRPr="00064185" w:rsidRDefault="009C503D" w:rsidP="000835FA">
      <w:pPr>
        <w:keepNext/>
        <w:spacing w:line="260" w:lineRule="atLeast"/>
        <w:jc w:val="both"/>
      </w:pPr>
      <w:r w:rsidRPr="00064185">
        <w:t xml:space="preserve">According to the CAR on </w:t>
      </w:r>
      <w:r w:rsidRPr="00064185">
        <w:rPr>
          <w:i/>
        </w:rPr>
        <w:t>lambda</w:t>
      </w:r>
      <w:r w:rsidRPr="00064185">
        <w:t>-cyhalothrin (</w:t>
      </w:r>
      <w:r w:rsidR="00EC2598" w:rsidRPr="00064185">
        <w:t xml:space="preserve">Sweden, </w:t>
      </w:r>
      <w:r w:rsidRPr="00064185">
        <w:t xml:space="preserve">2011), </w:t>
      </w:r>
      <w:r w:rsidRPr="00064185">
        <w:rPr>
          <w:b/>
        </w:rPr>
        <w:t>p</w:t>
      </w:r>
      <w:r w:rsidR="0055386F" w:rsidRPr="00064185">
        <w:rPr>
          <w:b/>
        </w:rPr>
        <w:t>hotochemical trans</w:t>
      </w:r>
      <w:r w:rsidR="00E73602" w:rsidRPr="00064185">
        <w:rPr>
          <w:b/>
        </w:rPr>
        <w:t>-</w:t>
      </w:r>
      <w:r w:rsidR="0055386F" w:rsidRPr="00064185">
        <w:rPr>
          <w:b/>
        </w:rPr>
        <w:t>formation</w:t>
      </w:r>
      <w:r w:rsidR="0055386F" w:rsidRPr="00064185">
        <w:t xml:space="preserve"> processes are considered to be negligible</w:t>
      </w:r>
      <w:r w:rsidRPr="00064185">
        <w:t xml:space="preserve"> in soil</w:t>
      </w:r>
      <w:r w:rsidR="0055386F" w:rsidRPr="00064185">
        <w:t xml:space="preserve">. </w:t>
      </w:r>
    </w:p>
    <w:p w14:paraId="71D7354B" w14:textId="21AAD3B4" w:rsidR="00CE0689" w:rsidRPr="00064185" w:rsidRDefault="009C503D" w:rsidP="000835FA">
      <w:pPr>
        <w:keepNext/>
        <w:spacing w:line="260" w:lineRule="atLeast"/>
        <w:jc w:val="both"/>
      </w:pPr>
      <w:r w:rsidRPr="00064185">
        <w:t>A</w:t>
      </w:r>
      <w:r w:rsidR="009B2D9E" w:rsidRPr="00064185">
        <w:t xml:space="preserve"> DT</w:t>
      </w:r>
      <w:r w:rsidR="009B2D9E" w:rsidRPr="00064185">
        <w:rPr>
          <w:vertAlign w:val="subscript"/>
        </w:rPr>
        <w:t xml:space="preserve">50 </w:t>
      </w:r>
      <w:r w:rsidRPr="00064185">
        <w:t xml:space="preserve">value </w:t>
      </w:r>
      <w:r w:rsidR="009B2D9E" w:rsidRPr="00064185">
        <w:t>of 36 days</w:t>
      </w:r>
      <w:r w:rsidRPr="00064185">
        <w:t xml:space="preserve"> was</w:t>
      </w:r>
      <w:r w:rsidR="009B2D9E" w:rsidRPr="00064185">
        <w:t xml:space="preserve"> determined for </w:t>
      </w:r>
      <w:r w:rsidR="009B2D9E" w:rsidRPr="00064185">
        <w:rPr>
          <w:i/>
        </w:rPr>
        <w:t>lambda</w:t>
      </w:r>
      <w:r w:rsidR="009B2D9E" w:rsidRPr="00064185">
        <w:t xml:space="preserve">-cyhalothrin in one </w:t>
      </w:r>
      <w:r w:rsidR="00CE0689" w:rsidRPr="00064185">
        <w:t xml:space="preserve">laboratory </w:t>
      </w:r>
      <w:r w:rsidR="009B2D9E" w:rsidRPr="00064185">
        <w:rPr>
          <w:b/>
        </w:rPr>
        <w:t xml:space="preserve">soil </w:t>
      </w:r>
      <w:r w:rsidR="00CE0689" w:rsidRPr="00064185">
        <w:rPr>
          <w:b/>
        </w:rPr>
        <w:t>degradation study</w:t>
      </w:r>
      <w:r w:rsidR="00CE0689" w:rsidRPr="00064185">
        <w:t xml:space="preserve"> </w:t>
      </w:r>
      <w:r w:rsidR="009B2D9E" w:rsidRPr="00064185">
        <w:t>(69 days at 12°C)</w:t>
      </w:r>
      <w:r w:rsidRPr="00064185">
        <w:t>.</w:t>
      </w:r>
      <w:r w:rsidR="009B2D9E" w:rsidRPr="00064185">
        <w:t xml:space="preserve"> </w:t>
      </w:r>
      <w:r w:rsidR="00E73602" w:rsidRPr="00064185">
        <w:t xml:space="preserve">This value </w:t>
      </w:r>
      <w:r w:rsidR="009B2D9E" w:rsidRPr="00064185">
        <w:t xml:space="preserve">was used for </w:t>
      </w:r>
      <w:r w:rsidR="00E73602" w:rsidRPr="00064185">
        <w:t xml:space="preserve">the </w:t>
      </w:r>
      <w:r w:rsidR="009B2D9E" w:rsidRPr="00064185">
        <w:t>estimation of PEC</w:t>
      </w:r>
      <w:r w:rsidR="00E73602" w:rsidRPr="00064185">
        <w:rPr>
          <w:vertAlign w:val="subscript"/>
        </w:rPr>
        <w:t>soil</w:t>
      </w:r>
      <w:r w:rsidR="009B2D9E" w:rsidRPr="00064185">
        <w:t xml:space="preserve">. </w:t>
      </w:r>
      <w:r w:rsidR="009B2D9E" w:rsidRPr="00064185">
        <w:rPr>
          <w:i/>
        </w:rPr>
        <w:t>Lambda</w:t>
      </w:r>
      <w:r w:rsidR="009B2D9E" w:rsidRPr="00064185">
        <w:t xml:space="preserve">-cyhalothrin </w:t>
      </w:r>
      <w:r w:rsidR="007050E9" w:rsidRPr="00064185">
        <w:t>dissip</w:t>
      </w:r>
      <w:r w:rsidR="009B2D9E" w:rsidRPr="00064185">
        <w:t xml:space="preserve">ation in soils was found to vary between different soils. The route of degradation in soil was the same as in water; </w:t>
      </w:r>
      <w:r w:rsidR="009B2D9E" w:rsidRPr="00064185">
        <w:rPr>
          <w:i/>
        </w:rPr>
        <w:t>lambda</w:t>
      </w:r>
      <w:r w:rsidR="009B2D9E" w:rsidRPr="00064185">
        <w:t xml:space="preserve">-cyhalothrin was degraded by ring hydroxylation and cleavage of the ester link followed by mineralisation. Compound XV </w:t>
      </w:r>
      <w:r w:rsidR="00B738CE" w:rsidRPr="00064185">
        <w:t xml:space="preserve">(hydroxylated </w:t>
      </w:r>
      <w:r w:rsidR="00B738CE" w:rsidRPr="00064185">
        <w:rPr>
          <w:i/>
        </w:rPr>
        <w:t>lambda</w:t>
      </w:r>
      <w:r w:rsidR="00B738CE" w:rsidRPr="00064185">
        <w:t xml:space="preserve">-cyhalothrin) </w:t>
      </w:r>
      <w:r w:rsidR="009B2D9E" w:rsidRPr="00064185">
        <w:t>was t</w:t>
      </w:r>
      <w:r w:rsidR="00217FEF" w:rsidRPr="00064185">
        <w:t>he only metabolite identified as</w:t>
      </w:r>
      <w:r w:rsidR="009B2D9E" w:rsidRPr="00064185">
        <w:t xml:space="preserve"> &gt;10% of the applied radioactivity (max</w:t>
      </w:r>
      <w:r w:rsidR="00E0005E" w:rsidRPr="00064185">
        <w:t>.</w:t>
      </w:r>
      <w:r w:rsidR="009B2D9E" w:rsidRPr="00064185">
        <w:t xml:space="preserve"> 12% </w:t>
      </w:r>
      <w:r w:rsidRPr="00064185">
        <w:t xml:space="preserve">at </w:t>
      </w:r>
      <w:r w:rsidR="009B2D9E" w:rsidRPr="00064185">
        <w:t>day 60). The non-extractable residue</w:t>
      </w:r>
      <w:r w:rsidRPr="00064185">
        <w:t>s are</w:t>
      </w:r>
      <w:r w:rsidR="009B2D9E" w:rsidRPr="00064185">
        <w:t xml:space="preserve"> a "sink" for </w:t>
      </w:r>
      <w:r w:rsidR="009B2D9E" w:rsidRPr="00064185">
        <w:rPr>
          <w:i/>
        </w:rPr>
        <w:t>lambda</w:t>
      </w:r>
      <w:r w:rsidR="009B2D9E" w:rsidRPr="00064185">
        <w:t xml:space="preserve">-cyhalothrin in soil. In studies which used </w:t>
      </w:r>
      <w:r w:rsidR="009B2D9E" w:rsidRPr="00064185">
        <w:rPr>
          <w:vertAlign w:val="superscript"/>
        </w:rPr>
        <w:t>14</w:t>
      </w:r>
      <w:r w:rsidR="009B2D9E" w:rsidRPr="00064185">
        <w:t xml:space="preserve">C-labelled substance 17-32% of </w:t>
      </w:r>
      <w:r w:rsidRPr="00064185">
        <w:t>the applied radioactivity was non-</w:t>
      </w:r>
      <w:r w:rsidR="009B2D9E" w:rsidRPr="00064185">
        <w:t xml:space="preserve">extractable. </w:t>
      </w:r>
    </w:p>
    <w:p w14:paraId="7CC62454" w14:textId="10E7DE3C" w:rsidR="009B2D9E" w:rsidRPr="00064185" w:rsidRDefault="00217FEF" w:rsidP="000835FA">
      <w:pPr>
        <w:autoSpaceDE w:val="0"/>
        <w:autoSpaceDN w:val="0"/>
        <w:adjustRightInd w:val="0"/>
        <w:spacing w:line="260" w:lineRule="atLeast"/>
        <w:jc w:val="both"/>
        <w:rPr>
          <w:rFonts w:cs="TimesNewRoman"/>
          <w:lang w:eastAsia="de-AT"/>
        </w:rPr>
      </w:pPr>
      <w:r w:rsidRPr="00064185">
        <w:t>The CAR on</w:t>
      </w:r>
      <w:r w:rsidR="009B2D9E" w:rsidRPr="00064185">
        <w:t xml:space="preserve"> </w:t>
      </w:r>
      <w:r w:rsidR="009B2D9E" w:rsidRPr="00064185">
        <w:rPr>
          <w:i/>
        </w:rPr>
        <w:t>lambda</w:t>
      </w:r>
      <w:r w:rsidR="009B2D9E" w:rsidRPr="00064185">
        <w:t>-cyhalothrin (</w:t>
      </w:r>
      <w:r w:rsidR="00EC2598" w:rsidRPr="00064185">
        <w:t xml:space="preserve">Sweden, </w:t>
      </w:r>
      <w:r w:rsidR="009B2D9E" w:rsidRPr="00064185">
        <w:t xml:space="preserve">2011) shows that </w:t>
      </w:r>
      <w:r w:rsidR="009B2D9E" w:rsidRPr="00064185">
        <w:rPr>
          <w:i/>
        </w:rPr>
        <w:t>lambda</w:t>
      </w:r>
      <w:r w:rsidR="009B2D9E" w:rsidRPr="00064185">
        <w:t xml:space="preserve">-cyhalothrin adsorbs strongly to soils and sediments, and that the </w:t>
      </w:r>
      <w:r w:rsidR="009B2D9E" w:rsidRPr="00064185">
        <w:rPr>
          <w:b/>
        </w:rPr>
        <w:t>adsorption</w:t>
      </w:r>
      <w:r w:rsidR="009B2D9E" w:rsidRPr="00064185">
        <w:t xml:space="preserve"> gen</w:t>
      </w:r>
      <w:r w:rsidR="00E0005E" w:rsidRPr="00064185">
        <w:t>erally can be expected to be non-</w:t>
      </w:r>
      <w:r w:rsidR="009B2D9E" w:rsidRPr="00064185">
        <w:t xml:space="preserve">reversible. All results from the studies on </w:t>
      </w:r>
      <w:r w:rsidR="009B2D9E" w:rsidRPr="00064185">
        <w:rPr>
          <w:i/>
        </w:rPr>
        <w:t>lambda</w:t>
      </w:r>
      <w:r w:rsidR="009B2D9E" w:rsidRPr="00064185">
        <w:t xml:space="preserve">-cyhalothrin are more or less uncertain mainly due to indirect measurement of adsorption in most of the experiments and also due to the inherent difficulties to </w:t>
      </w:r>
      <w:r w:rsidR="00E0005E" w:rsidRPr="00064185">
        <w:t xml:space="preserve">accurately </w:t>
      </w:r>
      <w:r w:rsidR="009B2D9E" w:rsidRPr="00064185">
        <w:t xml:space="preserve">determine </w:t>
      </w:r>
      <w:r w:rsidR="00CE0689" w:rsidRPr="00064185">
        <w:t>the adsorption for such a</w:t>
      </w:r>
      <w:r w:rsidR="009B2D9E" w:rsidRPr="00064185">
        <w:t xml:space="preserve"> hydrophobic substance. The results </w:t>
      </w:r>
      <w:r w:rsidR="00291CA7" w:rsidRPr="00064185">
        <w:t>we</w:t>
      </w:r>
      <w:r w:rsidR="009B2D9E" w:rsidRPr="00064185">
        <w:t xml:space="preserve">re accepted as best available estimates of the magnitude of adsorption. The </w:t>
      </w:r>
      <w:r w:rsidR="00141F6B" w:rsidRPr="00064185">
        <w:t xml:space="preserve">mean </w:t>
      </w:r>
      <w:r w:rsidR="009B2D9E" w:rsidRPr="00064185">
        <w:t>K</w:t>
      </w:r>
      <w:r w:rsidR="002E274C" w:rsidRPr="00064185">
        <w:rPr>
          <w:vertAlign w:val="subscript"/>
        </w:rPr>
        <w:t>oc</w:t>
      </w:r>
      <w:r w:rsidR="009B2D9E" w:rsidRPr="00064185">
        <w:t xml:space="preserve"> </w:t>
      </w:r>
      <w:r w:rsidR="004F7995" w:rsidRPr="00064185">
        <w:t xml:space="preserve">values </w:t>
      </w:r>
      <w:r w:rsidR="009B2D9E" w:rsidRPr="00064185">
        <w:t>f</w:t>
      </w:r>
      <w:r w:rsidRPr="00064185">
        <w:t>or</w:t>
      </w:r>
      <w:r w:rsidR="009B2D9E" w:rsidRPr="00064185">
        <w:t xml:space="preserve"> </w:t>
      </w:r>
      <w:r w:rsidR="009B2D9E" w:rsidRPr="00064185">
        <w:rPr>
          <w:i/>
        </w:rPr>
        <w:t>lambda</w:t>
      </w:r>
      <w:r w:rsidR="009B2D9E" w:rsidRPr="00064185">
        <w:t xml:space="preserve">-cyhalothrin </w:t>
      </w:r>
      <w:r w:rsidR="004F7995" w:rsidRPr="00064185">
        <w:t xml:space="preserve">from different studies </w:t>
      </w:r>
      <w:r w:rsidR="009B2D9E" w:rsidRPr="00064185">
        <w:t>w</w:t>
      </w:r>
      <w:r w:rsidR="004F7995" w:rsidRPr="00064185">
        <w:t>ere</w:t>
      </w:r>
      <w:r w:rsidR="009B2D9E" w:rsidRPr="00064185">
        <w:t xml:space="preserve"> i</w:t>
      </w:r>
      <w:r w:rsidR="00E0005E" w:rsidRPr="00064185">
        <w:t>n the range of 70100-</w:t>
      </w:r>
      <w:r w:rsidR="004F7995" w:rsidRPr="00064185">
        <w:t>724000 ml/</w:t>
      </w:r>
      <w:r w:rsidR="009B2D9E" w:rsidRPr="00064185">
        <w:t xml:space="preserve">g. To take account of the uncertainty of the </w:t>
      </w:r>
      <w:r w:rsidR="009B2D9E" w:rsidRPr="00064185">
        <w:lastRenderedPageBreak/>
        <w:t>estimated K</w:t>
      </w:r>
      <w:r w:rsidR="002E274C" w:rsidRPr="00064185">
        <w:rPr>
          <w:vertAlign w:val="subscript"/>
        </w:rPr>
        <w:t>oc</w:t>
      </w:r>
      <w:r w:rsidR="009B2D9E" w:rsidRPr="00064185">
        <w:t xml:space="preserve"> values, the lowest K</w:t>
      </w:r>
      <w:r w:rsidR="002E274C" w:rsidRPr="00064185">
        <w:rPr>
          <w:vertAlign w:val="subscript"/>
        </w:rPr>
        <w:t>oc</w:t>
      </w:r>
      <w:r w:rsidR="009B2D9E" w:rsidRPr="00064185">
        <w:t xml:space="preserve"> </w:t>
      </w:r>
      <w:r w:rsidR="000D1CE8" w:rsidRPr="00064185">
        <w:t xml:space="preserve">value </w:t>
      </w:r>
      <w:r w:rsidR="009B2D9E" w:rsidRPr="00064185">
        <w:t xml:space="preserve">of 70100 </w:t>
      </w:r>
      <w:r w:rsidR="00940365" w:rsidRPr="00064185">
        <w:t>m</w:t>
      </w:r>
      <w:r w:rsidR="000D1CE8" w:rsidRPr="00064185">
        <w:t>l</w:t>
      </w:r>
      <w:r w:rsidR="00940365" w:rsidRPr="00064185">
        <w:t>/g</w:t>
      </w:r>
      <w:r w:rsidR="000D1CE8" w:rsidRPr="00064185">
        <w:t xml:space="preserve"> was used </w:t>
      </w:r>
      <w:r w:rsidR="009B2D9E" w:rsidRPr="00064185">
        <w:t>for calculation of PEC</w:t>
      </w:r>
      <w:r w:rsidR="000D1CE8" w:rsidRPr="00064185">
        <w:rPr>
          <w:vertAlign w:val="subscript"/>
        </w:rPr>
        <w:t>surface water</w:t>
      </w:r>
      <w:r w:rsidR="009B2D9E" w:rsidRPr="00064185">
        <w:t xml:space="preserve"> </w:t>
      </w:r>
      <w:r w:rsidR="000D1CE8" w:rsidRPr="00064185">
        <w:t xml:space="preserve">and </w:t>
      </w:r>
      <w:r w:rsidR="009B2D9E" w:rsidRPr="00064185">
        <w:t>of PEC</w:t>
      </w:r>
      <w:r w:rsidR="000D1CE8" w:rsidRPr="00064185">
        <w:rPr>
          <w:vertAlign w:val="subscript"/>
        </w:rPr>
        <w:t>groundwater</w:t>
      </w:r>
      <w:r w:rsidR="009B2D9E" w:rsidRPr="00064185">
        <w:t>, t</w:t>
      </w:r>
      <w:r w:rsidRPr="00064185">
        <w:t>o provide worst case estimates o</w:t>
      </w:r>
      <w:r w:rsidR="009B2D9E" w:rsidRPr="00064185">
        <w:t>f exposure. From the data on adsorption o</w:t>
      </w:r>
      <w:r w:rsidR="00141F6B" w:rsidRPr="00064185">
        <w:t>f</w:t>
      </w:r>
      <w:r w:rsidR="009B2D9E" w:rsidRPr="00064185">
        <w:t xml:space="preserve"> metabolites, it is concluded that Compound XV (hydroxylated </w:t>
      </w:r>
      <w:r w:rsidR="009B2D9E" w:rsidRPr="00064185">
        <w:rPr>
          <w:i/>
        </w:rPr>
        <w:t>lambda</w:t>
      </w:r>
      <w:r w:rsidR="009B2D9E" w:rsidRPr="00064185">
        <w:t xml:space="preserve">-cyhalothrin) adsorbs strongly </w:t>
      </w:r>
      <w:r w:rsidR="0097440D" w:rsidRPr="00064185">
        <w:t>on</w:t>
      </w:r>
      <w:r w:rsidR="009B2D9E" w:rsidRPr="00064185">
        <w:t>to soil (K</w:t>
      </w:r>
      <w:r w:rsidR="009B2D9E" w:rsidRPr="00064185">
        <w:rPr>
          <w:caps/>
          <w:vertAlign w:val="subscript"/>
        </w:rPr>
        <w:t>oc</w:t>
      </w:r>
      <w:r w:rsidR="00141F6B" w:rsidRPr="00064185">
        <w:t xml:space="preserve"> of 58000-92000 ml/</w:t>
      </w:r>
      <w:r w:rsidR="009B2D9E" w:rsidRPr="00064185">
        <w:t>g</w:t>
      </w:r>
      <w:r w:rsidR="00141F6B" w:rsidRPr="00064185">
        <w:t>, n=6</w:t>
      </w:r>
      <w:r w:rsidR="009B2D9E" w:rsidRPr="00064185">
        <w:t>), and that adsorption of Compound Ia (cyclopropane acid) is weak, but with a slightly higher degree of adsorption in acidic soils (K</w:t>
      </w:r>
      <w:r w:rsidR="002E274C" w:rsidRPr="00064185">
        <w:rPr>
          <w:vertAlign w:val="subscript"/>
        </w:rPr>
        <w:t>oc</w:t>
      </w:r>
      <w:r w:rsidR="009B2D9E" w:rsidRPr="00064185">
        <w:rPr>
          <w:caps/>
        </w:rPr>
        <w:t xml:space="preserve"> </w:t>
      </w:r>
      <w:r w:rsidR="00E0005E" w:rsidRPr="00064185">
        <w:t xml:space="preserve">of </w:t>
      </w:r>
      <w:r w:rsidR="009B2D9E" w:rsidRPr="00064185">
        <w:t xml:space="preserve">14-16 </w:t>
      </w:r>
      <w:r w:rsidR="00E0005E" w:rsidRPr="00064185">
        <w:t>ml/g</w:t>
      </w:r>
      <w:r w:rsidR="00E0005E" w:rsidRPr="00064185">
        <w:rPr>
          <w:vertAlign w:val="superscript"/>
        </w:rPr>
        <w:t xml:space="preserve"> </w:t>
      </w:r>
      <w:r w:rsidR="00E0005E" w:rsidRPr="00064185">
        <w:t>at pH 7.1-7.6</w:t>
      </w:r>
      <w:r w:rsidR="009B2D9E" w:rsidRPr="00064185">
        <w:t xml:space="preserve"> and</w:t>
      </w:r>
      <w:r w:rsidR="00E0005E" w:rsidRPr="00064185">
        <w:t xml:space="preserve"> of 92 ml</w:t>
      </w:r>
      <w:r w:rsidR="00141F6B" w:rsidRPr="00064185">
        <w:t>/</w:t>
      </w:r>
      <w:r w:rsidR="009B2D9E" w:rsidRPr="00064185">
        <w:t>g</w:t>
      </w:r>
      <w:r w:rsidR="009B2D9E" w:rsidRPr="00064185">
        <w:rPr>
          <w:vertAlign w:val="superscript"/>
        </w:rPr>
        <w:t xml:space="preserve"> </w:t>
      </w:r>
      <w:r w:rsidR="009B2D9E" w:rsidRPr="00064185">
        <w:t xml:space="preserve">at pH 5.4).  </w:t>
      </w:r>
    </w:p>
    <w:p w14:paraId="586CA7B8" w14:textId="77777777" w:rsidR="009B2D9E" w:rsidRPr="00064185" w:rsidRDefault="009B2D9E" w:rsidP="000835FA">
      <w:pPr>
        <w:spacing w:line="260" w:lineRule="atLeast"/>
        <w:jc w:val="both"/>
      </w:pPr>
    </w:p>
    <w:p w14:paraId="5B6B2BC3" w14:textId="3BEFB710" w:rsidR="009B2D9E" w:rsidRPr="00064185" w:rsidRDefault="009B2D9E" w:rsidP="000835FA">
      <w:pPr>
        <w:keepNext/>
        <w:numPr>
          <w:ilvl w:val="3"/>
          <w:numId w:val="6"/>
        </w:numPr>
        <w:tabs>
          <w:tab w:val="num" w:pos="737"/>
        </w:tabs>
        <w:spacing w:line="260" w:lineRule="atLeast"/>
        <w:ind w:left="0" w:firstLine="0"/>
        <w:jc w:val="both"/>
        <w:rPr>
          <w:b/>
          <w:bCs/>
        </w:rPr>
      </w:pPr>
      <w:bookmarkStart w:id="74" w:name="_Ref161043890"/>
      <w:r w:rsidRPr="00064185">
        <w:rPr>
          <w:b/>
          <w:bCs/>
        </w:rPr>
        <w:t xml:space="preserve">Degradation of </w:t>
      </w:r>
      <w:r w:rsidRPr="00064185">
        <w:rPr>
          <w:b/>
          <w:bCs/>
          <w:i/>
        </w:rPr>
        <w:t>lambda</w:t>
      </w:r>
      <w:r w:rsidR="00036DE4" w:rsidRPr="00064185">
        <w:rPr>
          <w:b/>
          <w:bCs/>
        </w:rPr>
        <w:t xml:space="preserve">-cyhalothrin in </w:t>
      </w:r>
      <w:r w:rsidRPr="00064185">
        <w:rPr>
          <w:b/>
          <w:bCs/>
        </w:rPr>
        <w:t>air</w:t>
      </w:r>
      <w:bookmarkEnd w:id="74"/>
    </w:p>
    <w:p w14:paraId="76E6605B" w14:textId="465A976D" w:rsidR="009B2D9E" w:rsidRPr="00064185" w:rsidRDefault="009B2D9E" w:rsidP="000835FA">
      <w:pPr>
        <w:spacing w:line="260" w:lineRule="atLeast"/>
        <w:jc w:val="both"/>
      </w:pPr>
      <w:r w:rsidRPr="00064185">
        <w:rPr>
          <w:i/>
        </w:rPr>
        <w:t>Lambda</w:t>
      </w:r>
      <w:r w:rsidRPr="00064185">
        <w:t>-</w:t>
      </w:r>
      <w:r w:rsidR="00033EA1" w:rsidRPr="00064185">
        <w:t>c</w:t>
      </w:r>
      <w:r w:rsidRPr="00064185">
        <w:t>yhalothrin has a low vapour pressure (2x10</w:t>
      </w:r>
      <w:r w:rsidRPr="00064185">
        <w:rPr>
          <w:vertAlign w:val="superscript"/>
        </w:rPr>
        <w:t>-7</w:t>
      </w:r>
      <w:r w:rsidR="00422CAE" w:rsidRPr="00064185">
        <w:t xml:space="preserve"> Pa at 20°C) and t</w:t>
      </w:r>
      <w:r w:rsidRPr="00064185">
        <w:t xml:space="preserve">he Henry’s law constant </w:t>
      </w:r>
      <w:r w:rsidR="00422CAE" w:rsidRPr="00064185">
        <w:t>i</w:t>
      </w:r>
      <w:r w:rsidRPr="00064185">
        <w:t>s 1.8x10</w:t>
      </w:r>
      <w:r w:rsidRPr="00064185">
        <w:rPr>
          <w:vertAlign w:val="superscript"/>
        </w:rPr>
        <w:t>-2</w:t>
      </w:r>
      <w:r w:rsidRPr="00064185">
        <w:t xml:space="preserve"> Pa</w:t>
      </w:r>
      <w:r w:rsidR="004F7995" w:rsidRPr="00064185">
        <w:t xml:space="preserve"> </w:t>
      </w:r>
      <w:r w:rsidRPr="00064185">
        <w:t>m</w:t>
      </w:r>
      <w:r w:rsidRPr="00064185">
        <w:rPr>
          <w:vertAlign w:val="superscript"/>
        </w:rPr>
        <w:t>3</w:t>
      </w:r>
      <w:r w:rsidR="004F7995" w:rsidRPr="00064185">
        <w:t>/</w:t>
      </w:r>
      <w:r w:rsidRPr="00064185">
        <w:t xml:space="preserve">mol (20°C), indicating a negligible volatilisation potential from aqueous and terrestrial compartments. </w:t>
      </w:r>
    </w:p>
    <w:p w14:paraId="1060583E" w14:textId="764EA5BE" w:rsidR="00E775CC" w:rsidRPr="00064185" w:rsidRDefault="00E775CC" w:rsidP="000835FA">
      <w:pPr>
        <w:spacing w:line="260" w:lineRule="atLeast"/>
        <w:jc w:val="both"/>
      </w:pPr>
      <w:r w:rsidRPr="00064185">
        <w:t xml:space="preserve">Direct </w:t>
      </w:r>
      <w:r w:rsidRPr="00064185">
        <w:rPr>
          <w:b/>
        </w:rPr>
        <w:t xml:space="preserve">photolysis </w:t>
      </w:r>
      <w:r w:rsidRPr="00064185">
        <w:t>in air is unlikely to occur as only little absorption at wave-length</w:t>
      </w:r>
      <w:r w:rsidR="00036DE4" w:rsidRPr="00064185">
        <w:t>s</w:t>
      </w:r>
      <w:r w:rsidRPr="00064185">
        <w:t xml:space="preserve"> above 290 nm was measured.</w:t>
      </w:r>
    </w:p>
    <w:p w14:paraId="77E57104" w14:textId="20F15ED5" w:rsidR="009B2D9E" w:rsidRPr="00064185" w:rsidRDefault="009B2D9E" w:rsidP="000835FA">
      <w:pPr>
        <w:spacing w:line="260" w:lineRule="atLeast"/>
        <w:jc w:val="both"/>
      </w:pPr>
      <w:r w:rsidRPr="00064185">
        <w:t xml:space="preserve">The </w:t>
      </w:r>
      <w:r w:rsidRPr="00064185">
        <w:rPr>
          <w:b/>
        </w:rPr>
        <w:t>photo-oxidative degradation</w:t>
      </w:r>
      <w:r w:rsidRPr="00064185">
        <w:t xml:space="preserve"> in air was estimated with T½ </w:t>
      </w:r>
      <w:r w:rsidR="00036DE4" w:rsidRPr="00064185">
        <w:t xml:space="preserve">of </w:t>
      </w:r>
      <w:r w:rsidRPr="00064185">
        <w:t>0.51 days (12.2 hours), based on rate constant for gas-phase reaction with hydroxyl radicals 31.46 cm³/molecule x sec and assuming a global (day + night) annual average OH-radical concentration of 0.5x10</w:t>
      </w:r>
      <w:r w:rsidRPr="00064185">
        <w:rPr>
          <w:vertAlign w:val="superscript"/>
        </w:rPr>
        <w:t>6</w:t>
      </w:r>
      <w:r w:rsidRPr="00064185">
        <w:t xml:space="preserve"> molecules/cm³.</w:t>
      </w:r>
    </w:p>
    <w:p w14:paraId="382D91AD" w14:textId="5C20E7C4" w:rsidR="009B2D9E" w:rsidRPr="00064185" w:rsidRDefault="009B2D9E" w:rsidP="000835FA">
      <w:pPr>
        <w:spacing w:line="260" w:lineRule="atLeast"/>
        <w:jc w:val="both"/>
      </w:pPr>
      <w:r w:rsidRPr="00064185">
        <w:t xml:space="preserve">Therefore, </w:t>
      </w:r>
      <w:r w:rsidRPr="00064185">
        <w:rPr>
          <w:i/>
        </w:rPr>
        <w:t>lambda</w:t>
      </w:r>
      <w:r w:rsidRPr="00064185">
        <w:t>-cyhalothrin is virtually not volatile</w:t>
      </w:r>
      <w:r w:rsidR="00CF05D5" w:rsidRPr="00064185">
        <w:t xml:space="preserve"> </w:t>
      </w:r>
      <w:r w:rsidRPr="00064185">
        <w:t xml:space="preserve">and even when entering the atmosphere, the compound is </w:t>
      </w:r>
      <w:r w:rsidR="004800C2" w:rsidRPr="00064185">
        <w:t xml:space="preserve">rapidly </w:t>
      </w:r>
      <w:r w:rsidRPr="00064185">
        <w:t>degraded by photochemical processes and neither accumulation in the air nor tr</w:t>
      </w:r>
      <w:r w:rsidR="00E775CC" w:rsidRPr="00064185">
        <w:t>ansport over longer distances is</w:t>
      </w:r>
      <w:r w:rsidRPr="00064185">
        <w:t xml:space="preserve"> to be expected.</w:t>
      </w:r>
    </w:p>
    <w:p w14:paraId="288B6E00" w14:textId="77777777" w:rsidR="009B2D9E" w:rsidRPr="00064185" w:rsidRDefault="009B2D9E" w:rsidP="000835FA">
      <w:pPr>
        <w:spacing w:line="260" w:lineRule="atLeast"/>
        <w:jc w:val="both"/>
        <w:rPr>
          <w:rFonts w:ascii="Times New Roman" w:hAnsi="Times New Roman"/>
          <w:sz w:val="22"/>
        </w:rPr>
      </w:pPr>
    </w:p>
    <w:p w14:paraId="4B573344" w14:textId="77777777" w:rsidR="00752D84" w:rsidRPr="00064185" w:rsidRDefault="00752D84" w:rsidP="00EA61D8">
      <w:pPr>
        <w:spacing w:line="260" w:lineRule="atLeast"/>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94"/>
        <w:gridCol w:w="3118"/>
      </w:tblGrid>
      <w:tr w:rsidR="00064185" w:rsidRPr="00064185" w14:paraId="7173C62D" w14:textId="77777777" w:rsidTr="00922E8F">
        <w:tc>
          <w:tcPr>
            <w:tcW w:w="9322" w:type="dxa"/>
            <w:gridSpan w:val="3"/>
            <w:shd w:val="clear" w:color="auto" w:fill="FFFFCC"/>
          </w:tcPr>
          <w:p w14:paraId="6B568686"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Summary table on compartments exposed and assessed</w:t>
            </w:r>
          </w:p>
        </w:tc>
      </w:tr>
      <w:tr w:rsidR="00064185" w:rsidRPr="00064185" w14:paraId="65B72109" w14:textId="77777777" w:rsidTr="00922E8F">
        <w:tc>
          <w:tcPr>
            <w:tcW w:w="3510" w:type="dxa"/>
            <w:shd w:val="clear" w:color="auto" w:fill="auto"/>
          </w:tcPr>
          <w:p w14:paraId="0186A42A" w14:textId="77777777" w:rsidR="00A53EE0" w:rsidRPr="00064185" w:rsidRDefault="00A53EE0" w:rsidP="00EA61D8">
            <w:pPr>
              <w:spacing w:line="260" w:lineRule="atLeast"/>
              <w:rPr>
                <w:rFonts w:eastAsia="Calibri"/>
                <w:b/>
                <w:lang w:eastAsia="en-US"/>
              </w:rPr>
            </w:pPr>
            <w:r w:rsidRPr="00064185">
              <w:rPr>
                <w:rFonts w:eastAsia="Calibri"/>
                <w:b/>
                <w:lang w:eastAsia="en-US"/>
              </w:rPr>
              <w:t>Compartment</w:t>
            </w:r>
          </w:p>
        </w:tc>
        <w:tc>
          <w:tcPr>
            <w:tcW w:w="2694" w:type="dxa"/>
            <w:shd w:val="clear" w:color="auto" w:fill="auto"/>
          </w:tcPr>
          <w:p w14:paraId="25547D75" w14:textId="77777777" w:rsidR="00A53EE0" w:rsidRPr="00064185" w:rsidRDefault="00A53EE0" w:rsidP="00EA61D8">
            <w:pPr>
              <w:spacing w:line="260" w:lineRule="atLeast"/>
              <w:rPr>
                <w:rFonts w:eastAsia="Calibri"/>
                <w:b/>
                <w:lang w:eastAsia="en-US"/>
              </w:rPr>
            </w:pPr>
            <w:r w:rsidRPr="00064185">
              <w:rPr>
                <w:rFonts w:eastAsia="Calibri"/>
                <w:b/>
                <w:lang w:eastAsia="en-US"/>
              </w:rPr>
              <w:t>Exposed (Y/N)</w:t>
            </w:r>
          </w:p>
        </w:tc>
        <w:tc>
          <w:tcPr>
            <w:tcW w:w="3118" w:type="dxa"/>
            <w:shd w:val="clear" w:color="auto" w:fill="auto"/>
          </w:tcPr>
          <w:p w14:paraId="355DACB3" w14:textId="77777777" w:rsidR="00A53EE0" w:rsidRPr="00064185" w:rsidRDefault="00A53EE0" w:rsidP="00EA61D8">
            <w:pPr>
              <w:spacing w:line="260" w:lineRule="atLeast"/>
              <w:rPr>
                <w:rFonts w:eastAsia="Calibri"/>
                <w:b/>
                <w:lang w:eastAsia="en-US"/>
              </w:rPr>
            </w:pPr>
            <w:r w:rsidRPr="00064185">
              <w:rPr>
                <w:rFonts w:eastAsia="Calibri"/>
                <w:b/>
                <w:lang w:eastAsia="en-US"/>
              </w:rPr>
              <w:t>Assessed (Y/N)</w:t>
            </w:r>
          </w:p>
        </w:tc>
      </w:tr>
      <w:tr w:rsidR="00064185" w:rsidRPr="00064185" w14:paraId="5BE1ECD6" w14:textId="77777777" w:rsidTr="00922E8F">
        <w:tc>
          <w:tcPr>
            <w:tcW w:w="3510" w:type="dxa"/>
            <w:shd w:val="clear" w:color="auto" w:fill="auto"/>
          </w:tcPr>
          <w:p w14:paraId="3893650F" w14:textId="21009621" w:rsidR="006A2DCF" w:rsidRPr="00064185" w:rsidRDefault="006A2DCF" w:rsidP="00EA61D8">
            <w:pPr>
              <w:spacing w:line="260" w:lineRule="atLeast"/>
              <w:rPr>
                <w:szCs w:val="22"/>
              </w:rPr>
            </w:pPr>
            <w:r w:rsidRPr="00064185">
              <w:rPr>
                <w:szCs w:val="22"/>
              </w:rPr>
              <w:t>STP</w:t>
            </w:r>
          </w:p>
        </w:tc>
        <w:tc>
          <w:tcPr>
            <w:tcW w:w="2694" w:type="dxa"/>
            <w:shd w:val="clear" w:color="auto" w:fill="auto"/>
          </w:tcPr>
          <w:p w14:paraId="0998D29C" w14:textId="2BE8945A" w:rsidR="006A2DCF" w:rsidRPr="00064185" w:rsidRDefault="002D697F" w:rsidP="00EA61D8">
            <w:pPr>
              <w:spacing w:line="260" w:lineRule="atLeast"/>
              <w:rPr>
                <w:rFonts w:eastAsia="Calibri"/>
                <w:lang w:eastAsia="en-US"/>
              </w:rPr>
            </w:pPr>
            <w:r w:rsidRPr="00064185">
              <w:rPr>
                <w:rFonts w:eastAsia="Calibri"/>
                <w:lang w:eastAsia="en-US"/>
              </w:rPr>
              <w:t>Y</w:t>
            </w:r>
          </w:p>
        </w:tc>
        <w:tc>
          <w:tcPr>
            <w:tcW w:w="3118" w:type="dxa"/>
            <w:shd w:val="clear" w:color="auto" w:fill="auto"/>
          </w:tcPr>
          <w:p w14:paraId="46D45C33" w14:textId="63C5C988" w:rsidR="006A2DCF" w:rsidRPr="00064185" w:rsidRDefault="002D697F" w:rsidP="00EA61D8">
            <w:pPr>
              <w:spacing w:line="260" w:lineRule="atLeast"/>
              <w:rPr>
                <w:rFonts w:eastAsia="Calibri"/>
                <w:lang w:eastAsia="en-US"/>
              </w:rPr>
            </w:pPr>
            <w:r w:rsidRPr="00064185">
              <w:rPr>
                <w:rFonts w:eastAsia="Calibri"/>
                <w:lang w:eastAsia="en-US"/>
              </w:rPr>
              <w:t>Y</w:t>
            </w:r>
          </w:p>
        </w:tc>
      </w:tr>
      <w:tr w:rsidR="00064185" w:rsidRPr="00064185" w14:paraId="65321E98" w14:textId="77777777" w:rsidTr="00922E8F">
        <w:tc>
          <w:tcPr>
            <w:tcW w:w="3510" w:type="dxa"/>
            <w:shd w:val="clear" w:color="auto" w:fill="auto"/>
          </w:tcPr>
          <w:p w14:paraId="04D0B395" w14:textId="04451CB0" w:rsidR="006A2DCF" w:rsidRPr="00064185" w:rsidRDefault="006A2DCF" w:rsidP="00EA61D8">
            <w:pPr>
              <w:spacing w:line="260" w:lineRule="atLeast"/>
              <w:rPr>
                <w:szCs w:val="22"/>
              </w:rPr>
            </w:pPr>
            <w:r w:rsidRPr="00064185">
              <w:rPr>
                <w:szCs w:val="22"/>
              </w:rPr>
              <w:t>Surface water</w:t>
            </w:r>
          </w:p>
        </w:tc>
        <w:tc>
          <w:tcPr>
            <w:tcW w:w="2694" w:type="dxa"/>
            <w:shd w:val="clear" w:color="auto" w:fill="auto"/>
          </w:tcPr>
          <w:p w14:paraId="558618DE" w14:textId="0BA8F73E" w:rsidR="006A2DCF" w:rsidRPr="00064185" w:rsidRDefault="002D697F" w:rsidP="00EA61D8">
            <w:pPr>
              <w:spacing w:line="260" w:lineRule="atLeast"/>
              <w:rPr>
                <w:rFonts w:eastAsia="Calibri"/>
                <w:lang w:eastAsia="en-US"/>
              </w:rPr>
            </w:pPr>
            <w:r w:rsidRPr="00064185">
              <w:rPr>
                <w:rFonts w:eastAsia="Calibri"/>
                <w:lang w:eastAsia="en-US"/>
              </w:rPr>
              <w:t>Y</w:t>
            </w:r>
          </w:p>
        </w:tc>
        <w:tc>
          <w:tcPr>
            <w:tcW w:w="3118" w:type="dxa"/>
            <w:shd w:val="clear" w:color="auto" w:fill="auto"/>
          </w:tcPr>
          <w:p w14:paraId="1474F044" w14:textId="665A026D" w:rsidR="006A2DCF" w:rsidRPr="00064185" w:rsidRDefault="002D697F" w:rsidP="00EA61D8">
            <w:pPr>
              <w:spacing w:line="260" w:lineRule="atLeast"/>
              <w:rPr>
                <w:rFonts w:eastAsia="Calibri"/>
                <w:lang w:eastAsia="en-US"/>
              </w:rPr>
            </w:pPr>
            <w:r w:rsidRPr="00064185">
              <w:rPr>
                <w:rFonts w:eastAsia="Calibri"/>
                <w:lang w:eastAsia="en-US"/>
              </w:rPr>
              <w:t>Y</w:t>
            </w:r>
          </w:p>
        </w:tc>
      </w:tr>
      <w:tr w:rsidR="00064185" w:rsidRPr="00064185" w14:paraId="4B42DEEF" w14:textId="77777777" w:rsidTr="00922E8F">
        <w:tc>
          <w:tcPr>
            <w:tcW w:w="3510" w:type="dxa"/>
            <w:shd w:val="clear" w:color="auto" w:fill="auto"/>
          </w:tcPr>
          <w:p w14:paraId="3D7B3BD6" w14:textId="0C49FE34" w:rsidR="00A53EE0" w:rsidRPr="00064185" w:rsidRDefault="006A2DCF" w:rsidP="00EA61D8">
            <w:pPr>
              <w:spacing w:line="260" w:lineRule="atLeast"/>
              <w:rPr>
                <w:rFonts w:eastAsia="Calibri"/>
                <w:lang w:eastAsia="en-US"/>
              </w:rPr>
            </w:pPr>
            <w:r w:rsidRPr="00064185">
              <w:rPr>
                <w:szCs w:val="22"/>
              </w:rPr>
              <w:t>Sediment</w:t>
            </w:r>
          </w:p>
        </w:tc>
        <w:tc>
          <w:tcPr>
            <w:tcW w:w="2694" w:type="dxa"/>
            <w:shd w:val="clear" w:color="auto" w:fill="auto"/>
          </w:tcPr>
          <w:p w14:paraId="3BB34F91" w14:textId="10F6C4DC" w:rsidR="00A53EE0" w:rsidRPr="00064185" w:rsidRDefault="002D697F" w:rsidP="00EA61D8">
            <w:pPr>
              <w:spacing w:line="260" w:lineRule="atLeast"/>
              <w:rPr>
                <w:rFonts w:eastAsia="Calibri"/>
                <w:lang w:eastAsia="en-US"/>
              </w:rPr>
            </w:pPr>
            <w:r w:rsidRPr="00064185">
              <w:rPr>
                <w:rFonts w:eastAsia="Calibri"/>
                <w:lang w:eastAsia="en-US"/>
              </w:rPr>
              <w:t>Y</w:t>
            </w:r>
          </w:p>
        </w:tc>
        <w:tc>
          <w:tcPr>
            <w:tcW w:w="3118" w:type="dxa"/>
            <w:shd w:val="clear" w:color="auto" w:fill="auto"/>
          </w:tcPr>
          <w:p w14:paraId="69004ACF" w14:textId="4EDC356D" w:rsidR="00A53EE0" w:rsidRPr="00064185" w:rsidRDefault="002D697F" w:rsidP="00EA61D8">
            <w:pPr>
              <w:spacing w:line="260" w:lineRule="atLeast"/>
              <w:rPr>
                <w:rFonts w:eastAsia="Calibri"/>
                <w:lang w:eastAsia="en-US"/>
              </w:rPr>
            </w:pPr>
            <w:r w:rsidRPr="00064185">
              <w:rPr>
                <w:rFonts w:eastAsia="Calibri"/>
                <w:lang w:eastAsia="en-US"/>
              </w:rPr>
              <w:t>Y</w:t>
            </w:r>
          </w:p>
        </w:tc>
      </w:tr>
      <w:tr w:rsidR="00064185" w:rsidRPr="00064185" w14:paraId="586E9A17" w14:textId="77777777" w:rsidTr="00922E8F">
        <w:tc>
          <w:tcPr>
            <w:tcW w:w="3510" w:type="dxa"/>
            <w:shd w:val="clear" w:color="auto" w:fill="auto"/>
          </w:tcPr>
          <w:p w14:paraId="5F6F5AB4" w14:textId="1161B16D" w:rsidR="00A53EE0" w:rsidRPr="00064185" w:rsidRDefault="006A2DCF" w:rsidP="00EA61D8">
            <w:pPr>
              <w:spacing w:line="260" w:lineRule="atLeast"/>
              <w:rPr>
                <w:rFonts w:eastAsia="Calibri"/>
                <w:lang w:eastAsia="en-US"/>
              </w:rPr>
            </w:pPr>
            <w:r w:rsidRPr="00064185">
              <w:rPr>
                <w:rFonts w:eastAsia="Calibri"/>
                <w:lang w:eastAsia="en-US"/>
              </w:rPr>
              <w:t>Soil</w:t>
            </w:r>
          </w:p>
        </w:tc>
        <w:tc>
          <w:tcPr>
            <w:tcW w:w="2694" w:type="dxa"/>
            <w:shd w:val="clear" w:color="auto" w:fill="auto"/>
          </w:tcPr>
          <w:p w14:paraId="4DF78A19" w14:textId="3A67F711" w:rsidR="00A53EE0" w:rsidRPr="00064185" w:rsidRDefault="002D697F" w:rsidP="00EA61D8">
            <w:pPr>
              <w:spacing w:line="260" w:lineRule="atLeast"/>
              <w:rPr>
                <w:rFonts w:eastAsia="Calibri"/>
                <w:lang w:eastAsia="en-US"/>
              </w:rPr>
            </w:pPr>
            <w:r w:rsidRPr="00064185">
              <w:rPr>
                <w:rFonts w:eastAsia="Calibri"/>
                <w:lang w:eastAsia="en-US"/>
              </w:rPr>
              <w:t>Y</w:t>
            </w:r>
          </w:p>
        </w:tc>
        <w:tc>
          <w:tcPr>
            <w:tcW w:w="3118" w:type="dxa"/>
            <w:shd w:val="clear" w:color="auto" w:fill="auto"/>
          </w:tcPr>
          <w:p w14:paraId="2C79D1B3" w14:textId="70FA8530" w:rsidR="00A53EE0" w:rsidRPr="00064185" w:rsidRDefault="002D697F" w:rsidP="00EA61D8">
            <w:pPr>
              <w:spacing w:line="260" w:lineRule="atLeast"/>
              <w:rPr>
                <w:rFonts w:eastAsia="Calibri"/>
                <w:lang w:eastAsia="en-US"/>
              </w:rPr>
            </w:pPr>
            <w:r w:rsidRPr="00064185">
              <w:rPr>
                <w:rFonts w:eastAsia="Calibri"/>
                <w:lang w:eastAsia="en-US"/>
              </w:rPr>
              <w:t>Y</w:t>
            </w:r>
          </w:p>
        </w:tc>
      </w:tr>
      <w:tr w:rsidR="006A2DCF" w:rsidRPr="00064185" w14:paraId="59DB8401" w14:textId="77777777" w:rsidTr="00922E8F">
        <w:tc>
          <w:tcPr>
            <w:tcW w:w="3510" w:type="dxa"/>
            <w:shd w:val="clear" w:color="auto" w:fill="auto"/>
          </w:tcPr>
          <w:p w14:paraId="2F150007" w14:textId="065C657F" w:rsidR="006A2DCF" w:rsidRPr="00064185" w:rsidRDefault="006A2DCF" w:rsidP="00EA61D8">
            <w:pPr>
              <w:spacing w:line="260" w:lineRule="atLeast"/>
              <w:rPr>
                <w:rFonts w:eastAsia="Calibri"/>
                <w:lang w:eastAsia="en-US"/>
              </w:rPr>
            </w:pPr>
            <w:r w:rsidRPr="00064185">
              <w:rPr>
                <w:rFonts w:eastAsia="Calibri"/>
                <w:lang w:eastAsia="en-US"/>
              </w:rPr>
              <w:t>Groundwater</w:t>
            </w:r>
          </w:p>
        </w:tc>
        <w:tc>
          <w:tcPr>
            <w:tcW w:w="2694" w:type="dxa"/>
            <w:shd w:val="clear" w:color="auto" w:fill="auto"/>
          </w:tcPr>
          <w:p w14:paraId="53AEE4E2" w14:textId="417E2BE1" w:rsidR="006A2DCF" w:rsidRPr="00064185" w:rsidRDefault="002D697F" w:rsidP="00EA61D8">
            <w:pPr>
              <w:spacing w:line="260" w:lineRule="atLeast"/>
              <w:rPr>
                <w:rFonts w:eastAsia="Calibri"/>
                <w:lang w:eastAsia="en-US"/>
              </w:rPr>
            </w:pPr>
            <w:r w:rsidRPr="00064185">
              <w:rPr>
                <w:rFonts w:eastAsia="Calibri"/>
                <w:lang w:eastAsia="en-US"/>
              </w:rPr>
              <w:t>Y</w:t>
            </w:r>
          </w:p>
        </w:tc>
        <w:tc>
          <w:tcPr>
            <w:tcW w:w="3118" w:type="dxa"/>
            <w:shd w:val="clear" w:color="auto" w:fill="auto"/>
          </w:tcPr>
          <w:p w14:paraId="778F91DB" w14:textId="30CE95D3" w:rsidR="006A2DCF" w:rsidRPr="00064185" w:rsidRDefault="002D697F" w:rsidP="00EA61D8">
            <w:pPr>
              <w:spacing w:line="260" w:lineRule="atLeast"/>
              <w:rPr>
                <w:rFonts w:eastAsia="Calibri"/>
                <w:lang w:eastAsia="en-US"/>
              </w:rPr>
            </w:pPr>
            <w:r w:rsidRPr="00064185">
              <w:rPr>
                <w:rFonts w:eastAsia="Calibri"/>
                <w:lang w:eastAsia="en-US"/>
              </w:rPr>
              <w:t>Y</w:t>
            </w:r>
          </w:p>
        </w:tc>
      </w:tr>
    </w:tbl>
    <w:p w14:paraId="261A4AEF" w14:textId="77777777" w:rsidR="00A53EE0" w:rsidRPr="00064185" w:rsidRDefault="00A53EE0" w:rsidP="00EA61D8">
      <w:pPr>
        <w:spacing w:line="260" w:lineRule="atLeast"/>
        <w:rPr>
          <w:rFonts w:eastAsia="Calibri"/>
          <w:lang w:eastAsia="en-US"/>
        </w:rPr>
      </w:pPr>
    </w:p>
    <w:p w14:paraId="59B97FD9" w14:textId="77777777" w:rsidR="00CB16B9" w:rsidRPr="00064185" w:rsidRDefault="00CB16B9" w:rsidP="00EA61D8">
      <w:pPr>
        <w:spacing w:line="260" w:lineRule="atLeast"/>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2500"/>
        <w:gridCol w:w="3386"/>
      </w:tblGrid>
      <w:tr w:rsidR="00064185" w:rsidRPr="00064185" w14:paraId="612AC50C" w14:textId="77777777" w:rsidTr="007325CD">
        <w:tc>
          <w:tcPr>
            <w:tcW w:w="9322" w:type="dxa"/>
            <w:gridSpan w:val="3"/>
            <w:shd w:val="clear" w:color="auto" w:fill="FFFFCC"/>
          </w:tcPr>
          <w:p w14:paraId="3C6A9D8B" w14:textId="77777777" w:rsidR="00CB16B9" w:rsidRPr="00064185" w:rsidRDefault="00CB16B9" w:rsidP="00EA61D8">
            <w:pPr>
              <w:spacing w:line="260" w:lineRule="atLeast"/>
              <w:rPr>
                <w:rFonts w:eastAsia="Calibri"/>
                <w:b/>
                <w:bCs/>
                <w:lang w:eastAsia="en-US"/>
              </w:rPr>
            </w:pPr>
            <w:r w:rsidRPr="00064185">
              <w:rPr>
                <w:rFonts w:eastAsia="Calibri"/>
                <w:b/>
                <w:bCs/>
                <w:lang w:eastAsia="en-US"/>
              </w:rPr>
              <w:t>Summary table on relevant metabolites</w:t>
            </w:r>
          </w:p>
        </w:tc>
      </w:tr>
      <w:tr w:rsidR="00064185" w:rsidRPr="00064185" w14:paraId="06B18A84" w14:textId="77777777" w:rsidTr="007325CD">
        <w:tc>
          <w:tcPr>
            <w:tcW w:w="3436" w:type="dxa"/>
            <w:shd w:val="clear" w:color="auto" w:fill="auto"/>
          </w:tcPr>
          <w:p w14:paraId="40D6383F" w14:textId="77777777" w:rsidR="00CB16B9" w:rsidRPr="00064185" w:rsidRDefault="00CB16B9" w:rsidP="00EA61D8">
            <w:pPr>
              <w:spacing w:line="260" w:lineRule="atLeast"/>
              <w:rPr>
                <w:rFonts w:eastAsia="Calibri"/>
                <w:b/>
                <w:lang w:eastAsia="en-US"/>
              </w:rPr>
            </w:pPr>
            <w:r w:rsidRPr="00064185">
              <w:rPr>
                <w:rFonts w:eastAsia="Calibri"/>
                <w:b/>
                <w:lang w:eastAsia="en-US"/>
              </w:rPr>
              <w:t>Metabolite/transformation- or reaction  product</w:t>
            </w:r>
          </w:p>
        </w:tc>
        <w:tc>
          <w:tcPr>
            <w:tcW w:w="2500" w:type="dxa"/>
            <w:shd w:val="clear" w:color="auto" w:fill="auto"/>
          </w:tcPr>
          <w:p w14:paraId="7538AF63" w14:textId="77777777" w:rsidR="00CB16B9" w:rsidRPr="00064185" w:rsidRDefault="00CB16B9" w:rsidP="00EA61D8">
            <w:pPr>
              <w:spacing w:line="260" w:lineRule="atLeast"/>
              <w:rPr>
                <w:rFonts w:eastAsia="Calibri"/>
                <w:b/>
                <w:lang w:eastAsia="en-US"/>
              </w:rPr>
            </w:pPr>
            <w:r w:rsidRPr="00064185">
              <w:rPr>
                <w:rFonts w:eastAsia="Calibri"/>
                <w:b/>
                <w:lang w:eastAsia="en-US"/>
              </w:rPr>
              <w:t>Compartment</w:t>
            </w:r>
          </w:p>
        </w:tc>
        <w:tc>
          <w:tcPr>
            <w:tcW w:w="3386" w:type="dxa"/>
          </w:tcPr>
          <w:p w14:paraId="1AAD5564" w14:textId="77777777" w:rsidR="00CB16B9" w:rsidRPr="00064185" w:rsidRDefault="00CB16B9" w:rsidP="00EA61D8">
            <w:pPr>
              <w:spacing w:line="260" w:lineRule="atLeast"/>
              <w:rPr>
                <w:rFonts w:eastAsia="Calibri"/>
                <w:b/>
                <w:lang w:eastAsia="en-US"/>
              </w:rPr>
            </w:pPr>
            <w:r w:rsidRPr="00064185">
              <w:rPr>
                <w:rFonts w:eastAsia="Calibri"/>
                <w:b/>
                <w:lang w:eastAsia="en-US"/>
              </w:rPr>
              <w:t>% Active Substance</w:t>
            </w:r>
          </w:p>
        </w:tc>
      </w:tr>
      <w:tr w:rsidR="00064185" w:rsidRPr="00064185" w14:paraId="2C87BDE2" w14:textId="77777777" w:rsidTr="007325CD">
        <w:tc>
          <w:tcPr>
            <w:tcW w:w="3436" w:type="dxa"/>
            <w:shd w:val="clear" w:color="auto" w:fill="auto"/>
          </w:tcPr>
          <w:p w14:paraId="641B8B5F" w14:textId="5545915F" w:rsidR="00CB16B9" w:rsidRPr="00064185" w:rsidRDefault="00B738CE" w:rsidP="00EA61D8">
            <w:pPr>
              <w:spacing w:line="260" w:lineRule="atLeast"/>
              <w:rPr>
                <w:rFonts w:eastAsia="Calibri"/>
                <w:strike/>
                <w:lang w:eastAsia="en-US"/>
              </w:rPr>
            </w:pPr>
            <w:r w:rsidRPr="00064185">
              <w:t>Compound Ia (cyclopropane acid)</w:t>
            </w:r>
          </w:p>
        </w:tc>
        <w:tc>
          <w:tcPr>
            <w:tcW w:w="2500" w:type="dxa"/>
            <w:shd w:val="clear" w:color="auto" w:fill="auto"/>
          </w:tcPr>
          <w:p w14:paraId="4812164C" w14:textId="77777777" w:rsidR="00B738CE" w:rsidRPr="00064185" w:rsidRDefault="00B738CE" w:rsidP="00EA61D8">
            <w:pPr>
              <w:spacing w:line="260" w:lineRule="atLeast"/>
              <w:rPr>
                <w:rFonts w:eastAsia="Calibri"/>
                <w:lang w:eastAsia="en-US"/>
              </w:rPr>
            </w:pPr>
            <w:r w:rsidRPr="00064185">
              <w:rPr>
                <w:rFonts w:eastAsia="Calibri"/>
                <w:lang w:eastAsia="en-US"/>
              </w:rPr>
              <w:t>water/sediment</w:t>
            </w:r>
          </w:p>
          <w:p w14:paraId="0FBE95CE" w14:textId="04037236" w:rsidR="00CB16B9" w:rsidRPr="00064185" w:rsidRDefault="00B738CE" w:rsidP="00EA61D8">
            <w:pPr>
              <w:spacing w:line="260" w:lineRule="atLeast"/>
              <w:rPr>
                <w:rFonts w:eastAsia="Calibri"/>
                <w:strike/>
                <w:lang w:eastAsia="en-US"/>
              </w:rPr>
            </w:pPr>
            <w:r w:rsidRPr="00064185">
              <w:rPr>
                <w:rFonts w:eastAsia="Calibri"/>
                <w:lang w:eastAsia="en-US"/>
              </w:rPr>
              <w:t xml:space="preserve">soil </w:t>
            </w:r>
          </w:p>
        </w:tc>
        <w:tc>
          <w:tcPr>
            <w:tcW w:w="3386" w:type="dxa"/>
          </w:tcPr>
          <w:p w14:paraId="73DB92BF" w14:textId="77777777" w:rsidR="00B738CE" w:rsidRPr="00064185" w:rsidRDefault="00B738CE" w:rsidP="00EA61D8">
            <w:pPr>
              <w:spacing w:line="260" w:lineRule="atLeast"/>
              <w:rPr>
                <w:szCs w:val="22"/>
              </w:rPr>
            </w:pPr>
            <w:r w:rsidRPr="00064185">
              <w:rPr>
                <w:szCs w:val="22"/>
              </w:rPr>
              <w:t>29% (day 14) water phase</w:t>
            </w:r>
          </w:p>
          <w:p w14:paraId="2559616C" w14:textId="77777777" w:rsidR="00FF312C" w:rsidRPr="00064185" w:rsidRDefault="00B738CE" w:rsidP="00EA61D8">
            <w:pPr>
              <w:spacing w:line="260" w:lineRule="atLeast"/>
              <w:rPr>
                <w:szCs w:val="22"/>
              </w:rPr>
            </w:pPr>
            <w:r w:rsidRPr="00064185">
              <w:rPr>
                <w:szCs w:val="22"/>
              </w:rPr>
              <w:t>11% (day 30) sediment phase</w:t>
            </w:r>
          </w:p>
          <w:p w14:paraId="1D85AE98" w14:textId="71C7C390" w:rsidR="00CB16B9" w:rsidRPr="00064185" w:rsidRDefault="00FF312C" w:rsidP="00EA61D8">
            <w:pPr>
              <w:spacing w:line="260" w:lineRule="atLeast"/>
              <w:rPr>
                <w:rFonts w:eastAsia="Calibri"/>
                <w:strike/>
                <w:lang w:eastAsia="en-US"/>
              </w:rPr>
            </w:pPr>
            <w:r w:rsidRPr="00064185">
              <w:rPr>
                <w:szCs w:val="22"/>
              </w:rPr>
              <w:t>6.2% (day 30) soil</w:t>
            </w:r>
          </w:p>
        </w:tc>
      </w:tr>
      <w:tr w:rsidR="00B738CE" w:rsidRPr="00064185" w14:paraId="1359A4A9" w14:textId="77777777" w:rsidTr="007325CD">
        <w:tc>
          <w:tcPr>
            <w:tcW w:w="3436" w:type="dxa"/>
            <w:shd w:val="clear" w:color="auto" w:fill="auto"/>
          </w:tcPr>
          <w:p w14:paraId="0AA6FA4A" w14:textId="192DBE44" w:rsidR="00B738CE" w:rsidRPr="00064185" w:rsidRDefault="00B738CE" w:rsidP="00EA61D8">
            <w:pPr>
              <w:spacing w:line="260" w:lineRule="atLeast"/>
              <w:rPr>
                <w:rFonts w:eastAsia="Calibri"/>
                <w:strike/>
                <w:lang w:eastAsia="en-US"/>
              </w:rPr>
            </w:pPr>
            <w:r w:rsidRPr="00064185">
              <w:t xml:space="preserve">Compound XV (hydroxylated </w:t>
            </w:r>
            <w:r w:rsidRPr="00064185">
              <w:rPr>
                <w:i/>
              </w:rPr>
              <w:t>lambda</w:t>
            </w:r>
            <w:r w:rsidRPr="00064185">
              <w:t>-cyhalothrin)</w:t>
            </w:r>
          </w:p>
        </w:tc>
        <w:tc>
          <w:tcPr>
            <w:tcW w:w="2500" w:type="dxa"/>
            <w:shd w:val="clear" w:color="auto" w:fill="auto"/>
          </w:tcPr>
          <w:p w14:paraId="42DCA0C8" w14:textId="68122ACF" w:rsidR="00B738CE" w:rsidRPr="00064185" w:rsidRDefault="00036DE4" w:rsidP="00EA61D8">
            <w:pPr>
              <w:spacing w:line="260" w:lineRule="atLeast"/>
              <w:rPr>
                <w:rFonts w:eastAsia="Calibri"/>
                <w:lang w:eastAsia="en-US"/>
              </w:rPr>
            </w:pPr>
            <w:r w:rsidRPr="00064185">
              <w:rPr>
                <w:rFonts w:eastAsia="Calibri"/>
                <w:lang w:eastAsia="en-US"/>
              </w:rPr>
              <w:t>S</w:t>
            </w:r>
            <w:r w:rsidR="00B738CE" w:rsidRPr="00064185">
              <w:rPr>
                <w:rFonts w:eastAsia="Calibri"/>
                <w:lang w:eastAsia="en-US"/>
              </w:rPr>
              <w:t>oil</w:t>
            </w:r>
            <w:r w:rsidRPr="00064185">
              <w:rPr>
                <w:rFonts w:eastAsia="Calibri"/>
                <w:lang w:eastAsia="en-US"/>
              </w:rPr>
              <w:t xml:space="preserve"> </w:t>
            </w:r>
          </w:p>
        </w:tc>
        <w:tc>
          <w:tcPr>
            <w:tcW w:w="3386" w:type="dxa"/>
          </w:tcPr>
          <w:p w14:paraId="2510DF77" w14:textId="26D0FCD7" w:rsidR="00B738CE" w:rsidRPr="00064185" w:rsidRDefault="00B738CE" w:rsidP="00EA61D8">
            <w:pPr>
              <w:spacing w:line="260" w:lineRule="atLeast"/>
              <w:rPr>
                <w:szCs w:val="22"/>
              </w:rPr>
            </w:pPr>
            <w:r w:rsidRPr="00064185">
              <w:rPr>
                <w:szCs w:val="22"/>
              </w:rPr>
              <w:t xml:space="preserve">12% (day 60) </w:t>
            </w:r>
          </w:p>
        </w:tc>
      </w:tr>
    </w:tbl>
    <w:p w14:paraId="6E8C5792" w14:textId="77777777" w:rsidR="0043231A" w:rsidRPr="00064185" w:rsidRDefault="0043231A" w:rsidP="00EA61D8">
      <w:pPr>
        <w:spacing w:line="260" w:lineRule="atLeast"/>
        <w:rPr>
          <w:rFonts w:eastAsia="Calibri"/>
          <w:lang w:eastAsia="en-US"/>
        </w:rPr>
      </w:pPr>
    </w:p>
    <w:p w14:paraId="3A807BB4" w14:textId="71249120" w:rsidR="00B738CE" w:rsidRPr="00064185" w:rsidRDefault="00FF312C" w:rsidP="000835FA">
      <w:pPr>
        <w:spacing w:line="260" w:lineRule="atLeast"/>
        <w:jc w:val="both"/>
      </w:pPr>
      <w:r w:rsidRPr="00064185">
        <w:t xml:space="preserve">Compound </w:t>
      </w:r>
      <w:proofErr w:type="gramStart"/>
      <w:r w:rsidRPr="00064185">
        <w:t>Ia</w:t>
      </w:r>
      <w:proofErr w:type="gramEnd"/>
      <w:r w:rsidRPr="00064185">
        <w:t xml:space="preserve"> </w:t>
      </w:r>
      <w:r w:rsidRPr="00064185">
        <w:rPr>
          <w:rFonts w:eastAsia="Calibri"/>
          <w:lang w:eastAsia="en-US"/>
        </w:rPr>
        <w:t>was found to be rapidly biodegradable in soil studies with DT</w:t>
      </w:r>
      <w:r w:rsidRPr="00064185">
        <w:rPr>
          <w:rFonts w:eastAsia="Calibri"/>
          <w:vertAlign w:val="subscript"/>
          <w:lang w:eastAsia="en-US"/>
        </w:rPr>
        <w:t>50</w:t>
      </w:r>
      <w:r w:rsidRPr="00064185">
        <w:rPr>
          <w:rFonts w:eastAsia="Calibri"/>
          <w:lang w:eastAsia="en-US"/>
        </w:rPr>
        <w:t xml:space="preserve">s of 3.1, 4.0 and 16 days in </w:t>
      </w:r>
      <w:r w:rsidR="009F1570" w:rsidRPr="00064185">
        <w:rPr>
          <w:rFonts w:eastAsia="Calibri"/>
          <w:lang w:eastAsia="en-US"/>
        </w:rPr>
        <w:t xml:space="preserve">3 </w:t>
      </w:r>
      <w:r w:rsidRPr="00064185">
        <w:rPr>
          <w:rFonts w:eastAsia="Calibri"/>
          <w:lang w:eastAsia="en-US"/>
        </w:rPr>
        <w:t>different soils.</w:t>
      </w:r>
      <w:r w:rsidR="009F1570" w:rsidRPr="00064185">
        <w:t xml:space="preserve"> Adsorption of </w:t>
      </w:r>
      <w:r w:rsidR="00821F60" w:rsidRPr="00064185">
        <w:t xml:space="preserve">Compound </w:t>
      </w:r>
      <w:proofErr w:type="gramStart"/>
      <w:r w:rsidR="00821F60" w:rsidRPr="00064185">
        <w:t>Ia</w:t>
      </w:r>
      <w:proofErr w:type="gramEnd"/>
      <w:r w:rsidR="00821F60" w:rsidRPr="00064185">
        <w:t xml:space="preserve"> </w:t>
      </w:r>
      <w:r w:rsidR="009F1570" w:rsidRPr="00064185">
        <w:t xml:space="preserve">onto soil </w:t>
      </w:r>
      <w:r w:rsidR="00BD77C7" w:rsidRPr="00064185">
        <w:t xml:space="preserve">is </w:t>
      </w:r>
      <w:r w:rsidR="009F1570" w:rsidRPr="00064185">
        <w:t>weak, with a slightly higher degree of adsorption in acidic soils (K</w:t>
      </w:r>
      <w:r w:rsidR="002E274C" w:rsidRPr="00064185">
        <w:rPr>
          <w:vertAlign w:val="subscript"/>
        </w:rPr>
        <w:t>oc</w:t>
      </w:r>
      <w:r w:rsidR="00BD77C7" w:rsidRPr="00064185">
        <w:rPr>
          <w:caps/>
        </w:rPr>
        <w:t xml:space="preserve"> </w:t>
      </w:r>
      <w:r w:rsidR="00BD77C7" w:rsidRPr="00064185">
        <w:t>of 14-16 ml/g</w:t>
      </w:r>
      <w:r w:rsidR="00BD77C7" w:rsidRPr="00064185">
        <w:rPr>
          <w:vertAlign w:val="superscript"/>
        </w:rPr>
        <w:t xml:space="preserve"> </w:t>
      </w:r>
      <w:r w:rsidR="00BD77C7" w:rsidRPr="00064185">
        <w:t>at pH 7.1-7.6</w:t>
      </w:r>
      <w:r w:rsidR="009F1570" w:rsidRPr="00064185">
        <w:t xml:space="preserve"> and </w:t>
      </w:r>
      <w:r w:rsidR="006541EC" w:rsidRPr="00064185">
        <w:t>K</w:t>
      </w:r>
      <w:r w:rsidR="002E274C" w:rsidRPr="00064185">
        <w:rPr>
          <w:vertAlign w:val="subscript"/>
        </w:rPr>
        <w:t>oc</w:t>
      </w:r>
      <w:r w:rsidR="006541EC" w:rsidRPr="00064185">
        <w:t xml:space="preserve"> </w:t>
      </w:r>
      <w:r w:rsidR="00BD77C7" w:rsidRPr="00064185">
        <w:t>of</w:t>
      </w:r>
      <w:r w:rsidR="00FB6A99" w:rsidRPr="00064185">
        <w:t xml:space="preserve"> 92 ml</w:t>
      </w:r>
      <w:r w:rsidR="009F1570" w:rsidRPr="00064185">
        <w:t>/g</w:t>
      </w:r>
      <w:r w:rsidR="009F1570" w:rsidRPr="00064185">
        <w:rPr>
          <w:vertAlign w:val="superscript"/>
        </w:rPr>
        <w:t xml:space="preserve"> </w:t>
      </w:r>
      <w:r w:rsidR="009F1570" w:rsidRPr="00064185">
        <w:t xml:space="preserve">at pH 5.4). </w:t>
      </w:r>
      <w:r w:rsidR="002D222E" w:rsidRPr="00064185">
        <w:t>Therefore s</w:t>
      </w:r>
      <w:r w:rsidR="009F1570" w:rsidRPr="00064185">
        <w:t xml:space="preserve">ome leaching could be expected, </w:t>
      </w:r>
      <w:r w:rsidR="002D222E" w:rsidRPr="00064185">
        <w:t>although</w:t>
      </w:r>
      <w:r w:rsidR="009F1570" w:rsidRPr="00064185">
        <w:t xml:space="preserve"> Compound </w:t>
      </w:r>
      <w:proofErr w:type="gramStart"/>
      <w:r w:rsidR="009F1570" w:rsidRPr="00064185">
        <w:t>Ia</w:t>
      </w:r>
      <w:proofErr w:type="gramEnd"/>
      <w:r w:rsidR="009F1570" w:rsidRPr="00064185">
        <w:t xml:space="preserve"> is rapidly degradable</w:t>
      </w:r>
      <w:r w:rsidR="00192687" w:rsidRPr="00064185">
        <w:t xml:space="preserve"> in soil</w:t>
      </w:r>
      <w:r w:rsidR="009F1570" w:rsidRPr="00064185">
        <w:t xml:space="preserve">. </w:t>
      </w:r>
      <w:r w:rsidR="00192687" w:rsidRPr="00064185">
        <w:t xml:space="preserve">For Compound </w:t>
      </w:r>
      <w:proofErr w:type="gramStart"/>
      <w:r w:rsidR="00192687" w:rsidRPr="00064185">
        <w:t>Ia</w:t>
      </w:r>
      <w:proofErr w:type="gramEnd"/>
      <w:r w:rsidR="00192687" w:rsidRPr="00064185">
        <w:t xml:space="preserve"> acute toxicity tests with fish are available showing less toxicity (96h LC</w:t>
      </w:r>
      <w:r w:rsidR="00192687" w:rsidRPr="00064185">
        <w:rPr>
          <w:vertAlign w:val="subscript"/>
        </w:rPr>
        <w:t xml:space="preserve">50 </w:t>
      </w:r>
      <w:r w:rsidR="004B66C6" w:rsidRPr="00064185">
        <w:t>&gt;</w:t>
      </w:r>
      <w:r w:rsidR="009D6D2D" w:rsidRPr="00064185">
        <w:t>10 800</w:t>
      </w:r>
      <w:r w:rsidR="00192687" w:rsidRPr="00064185">
        <w:t xml:space="preserve"> µg/l) than </w:t>
      </w:r>
      <w:r w:rsidR="00192687" w:rsidRPr="00064185">
        <w:rPr>
          <w:i/>
        </w:rPr>
        <w:t>lambda</w:t>
      </w:r>
      <w:r w:rsidR="00192687" w:rsidRPr="00064185">
        <w:t>-cyhalothrin (96h LC</w:t>
      </w:r>
      <w:r w:rsidR="00192687" w:rsidRPr="00064185">
        <w:rPr>
          <w:vertAlign w:val="subscript"/>
        </w:rPr>
        <w:t xml:space="preserve">50 </w:t>
      </w:r>
      <w:r w:rsidR="00192687" w:rsidRPr="00064185">
        <w:t xml:space="preserve">of 0.078 </w:t>
      </w:r>
      <w:r w:rsidR="00192687" w:rsidRPr="00064185">
        <w:rPr>
          <w:szCs w:val="22"/>
        </w:rPr>
        <w:t>µg/l</w:t>
      </w:r>
      <w:r w:rsidR="009E6F1C" w:rsidRPr="00064185">
        <w:rPr>
          <w:szCs w:val="22"/>
        </w:rPr>
        <w:t>)</w:t>
      </w:r>
      <w:r w:rsidR="00192687" w:rsidRPr="00064185">
        <w:t>.</w:t>
      </w:r>
      <w:r w:rsidR="009E6F1C" w:rsidRPr="00064185">
        <w:t xml:space="preserve"> A</w:t>
      </w:r>
      <w:r w:rsidR="00593F65" w:rsidRPr="00064185">
        <w:t>cute toxicity data are also</w:t>
      </w:r>
      <w:r w:rsidR="009E6F1C" w:rsidRPr="00064185">
        <w:t xml:space="preserve"> available for daphnia showing similar results (Compound </w:t>
      </w:r>
      <w:proofErr w:type="gramStart"/>
      <w:r w:rsidR="009E6F1C" w:rsidRPr="00064185">
        <w:t>Ia</w:t>
      </w:r>
      <w:proofErr w:type="gramEnd"/>
      <w:r w:rsidR="009E6F1C" w:rsidRPr="00064185">
        <w:t xml:space="preserve"> 48h EC</w:t>
      </w:r>
      <w:r w:rsidR="009E6F1C" w:rsidRPr="00064185">
        <w:rPr>
          <w:vertAlign w:val="subscript"/>
        </w:rPr>
        <w:t xml:space="preserve">50 </w:t>
      </w:r>
      <w:r w:rsidR="009E6F1C" w:rsidRPr="00064185">
        <w:t xml:space="preserve">of 105 000 </w:t>
      </w:r>
      <w:r w:rsidR="009E6F1C" w:rsidRPr="00064185">
        <w:rPr>
          <w:szCs w:val="22"/>
        </w:rPr>
        <w:t>µg/l;</w:t>
      </w:r>
      <w:r w:rsidR="009E6F1C" w:rsidRPr="00064185">
        <w:rPr>
          <w:i/>
        </w:rPr>
        <w:t xml:space="preserve"> lambda</w:t>
      </w:r>
      <w:r w:rsidR="009E6F1C" w:rsidRPr="00064185">
        <w:t>-cyhalothrin 48h EC</w:t>
      </w:r>
      <w:r w:rsidR="009E6F1C" w:rsidRPr="00064185">
        <w:rPr>
          <w:vertAlign w:val="subscript"/>
        </w:rPr>
        <w:t xml:space="preserve">50 </w:t>
      </w:r>
      <w:r w:rsidR="009E6F1C" w:rsidRPr="00064185">
        <w:t xml:space="preserve">of 0.002 </w:t>
      </w:r>
      <w:r w:rsidR="009E6F1C" w:rsidRPr="00064185">
        <w:rPr>
          <w:szCs w:val="22"/>
        </w:rPr>
        <w:t xml:space="preserve">µg/l). </w:t>
      </w:r>
      <w:r w:rsidR="009F1570" w:rsidRPr="00064185">
        <w:t xml:space="preserve"> </w:t>
      </w:r>
    </w:p>
    <w:p w14:paraId="195034AA" w14:textId="2F4597C1" w:rsidR="009F1570" w:rsidRPr="00064185" w:rsidRDefault="009F1570" w:rsidP="000835FA">
      <w:pPr>
        <w:spacing w:line="260" w:lineRule="atLeast"/>
        <w:jc w:val="both"/>
      </w:pPr>
      <w:r w:rsidRPr="00064185">
        <w:rPr>
          <w:rFonts w:eastAsia="Calibri"/>
          <w:lang w:eastAsia="en-US"/>
        </w:rPr>
        <w:lastRenderedPageBreak/>
        <w:t xml:space="preserve">Compound XV decreased in soil, after reaching its maximum, to 4.2% at the end of incubation at day 90. </w:t>
      </w:r>
      <w:r w:rsidRPr="00064185">
        <w:t xml:space="preserve">Compound XV adsorbs strongly </w:t>
      </w:r>
      <w:r w:rsidR="00821F60" w:rsidRPr="00064185">
        <w:t>on</w:t>
      </w:r>
      <w:r w:rsidRPr="00064185">
        <w:t>to soil (K</w:t>
      </w:r>
      <w:r w:rsidR="002E274C" w:rsidRPr="00064185">
        <w:rPr>
          <w:vertAlign w:val="subscript"/>
        </w:rPr>
        <w:t>oc</w:t>
      </w:r>
      <w:r w:rsidRPr="00064185">
        <w:t xml:space="preserve"> of 58000-92000 ml/g, n=6).</w:t>
      </w:r>
      <w:r w:rsidR="00192687" w:rsidRPr="00064185">
        <w:t xml:space="preserve"> Therefore leaching would not be expected.</w:t>
      </w:r>
      <w:r w:rsidRPr="00064185">
        <w:t xml:space="preserve"> </w:t>
      </w:r>
    </w:p>
    <w:p w14:paraId="1C5409F8" w14:textId="0538C459" w:rsidR="00593F65" w:rsidRPr="00064185" w:rsidRDefault="00EC2598" w:rsidP="000835FA">
      <w:pPr>
        <w:spacing w:line="260" w:lineRule="atLeast"/>
        <w:jc w:val="both"/>
        <w:rPr>
          <w:rFonts w:eastAsia="Calibri"/>
          <w:lang w:eastAsia="en-US"/>
        </w:rPr>
      </w:pPr>
      <w:r w:rsidRPr="00064185">
        <w:t>On the basis of the available data the</w:t>
      </w:r>
      <w:r w:rsidR="002D222E" w:rsidRPr="00064185">
        <w:t>se</w:t>
      </w:r>
      <w:r w:rsidRPr="00064185">
        <w:t xml:space="preserve"> </w:t>
      </w:r>
      <w:r w:rsidR="002D222E" w:rsidRPr="00064185">
        <w:t xml:space="preserve">two </w:t>
      </w:r>
      <w:r w:rsidRPr="00064185">
        <w:t xml:space="preserve">major metabolites were not considered further for RA in the CAR on </w:t>
      </w:r>
      <w:r w:rsidRPr="00064185">
        <w:rPr>
          <w:i/>
        </w:rPr>
        <w:t>lambda</w:t>
      </w:r>
      <w:r w:rsidRPr="00064185">
        <w:t xml:space="preserve">-cyhalothrin (Sweden, 2011) and in the </w:t>
      </w:r>
      <w:r w:rsidR="00FB6A99" w:rsidRPr="00064185">
        <w:t>currently presented PAR.</w:t>
      </w:r>
      <w:r w:rsidRPr="00064185">
        <w:t xml:space="preserve">  </w:t>
      </w:r>
    </w:p>
    <w:p w14:paraId="7E1EE761" w14:textId="4B0DFF48" w:rsidR="00B738CE" w:rsidRPr="00064185" w:rsidRDefault="00B738CE" w:rsidP="000835FA">
      <w:pPr>
        <w:spacing w:line="260" w:lineRule="atLeast"/>
        <w:jc w:val="both"/>
        <w:rPr>
          <w:rFonts w:eastAsia="Calibri"/>
          <w:lang w:eastAsia="en-US"/>
        </w:rPr>
      </w:pPr>
    </w:p>
    <w:p w14:paraId="669857D5" w14:textId="77777777" w:rsidR="006541EC" w:rsidRPr="00064185" w:rsidRDefault="006541EC" w:rsidP="00EA61D8">
      <w:pPr>
        <w:spacing w:line="260" w:lineRule="atLeast"/>
        <w:rPr>
          <w:rFonts w:eastAsia="Calibri"/>
          <w:lang w:eastAsia="en-US"/>
        </w:rPr>
      </w:pPr>
    </w:p>
    <w:p w14:paraId="19087F64" w14:textId="77777777" w:rsidR="00A53EE0" w:rsidRPr="00064185" w:rsidRDefault="00A53EE0" w:rsidP="00EA61D8">
      <w:pPr>
        <w:spacing w:line="260" w:lineRule="atLeast"/>
        <w:rPr>
          <w:rFonts w:eastAsia="Calibri"/>
          <w:b/>
          <w:i/>
          <w:sz w:val="22"/>
          <w:szCs w:val="22"/>
          <w:lang w:eastAsia="en-US"/>
        </w:rPr>
      </w:pPr>
      <w:r w:rsidRPr="00064185">
        <w:rPr>
          <w:rFonts w:eastAsia="Calibri"/>
          <w:b/>
          <w:i/>
          <w:sz w:val="22"/>
          <w:szCs w:val="22"/>
          <w:lang w:eastAsia="en-US"/>
        </w:rPr>
        <w:t>Effects assessment</w:t>
      </w:r>
    </w:p>
    <w:p w14:paraId="760BE2D6" w14:textId="77777777" w:rsidR="00A53EE0" w:rsidRPr="00064185" w:rsidRDefault="00A53EE0" w:rsidP="00EA61D8">
      <w:pPr>
        <w:spacing w:line="260" w:lineRule="atLeast"/>
        <w:rPr>
          <w:rFonts w:eastAsia="Calibri"/>
          <w:b/>
          <w: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749"/>
      </w:tblGrid>
      <w:tr w:rsidR="00064185" w:rsidRPr="00064185" w14:paraId="3C4DAB38" w14:textId="77777777" w:rsidTr="00DA465D">
        <w:trPr>
          <w:tblHeader/>
        </w:trPr>
        <w:tc>
          <w:tcPr>
            <w:tcW w:w="5000" w:type="pct"/>
            <w:gridSpan w:val="2"/>
            <w:shd w:val="clear" w:color="auto" w:fill="FFFFCC"/>
          </w:tcPr>
          <w:p w14:paraId="410A1ED5" w14:textId="77777777" w:rsidR="00A53EE0" w:rsidRPr="00064185" w:rsidRDefault="00A53EE0" w:rsidP="00EA61D8">
            <w:pPr>
              <w:spacing w:before="60" w:after="60" w:line="276" w:lineRule="auto"/>
              <w:rPr>
                <w:rFonts w:eastAsia="Calibri"/>
                <w:b/>
                <w:sz w:val="18"/>
                <w:szCs w:val="18"/>
                <w:lang w:eastAsia="en-US"/>
              </w:rPr>
            </w:pPr>
            <w:r w:rsidRPr="00064185">
              <w:rPr>
                <w:rFonts w:eastAsia="Calibri" w:cs="Arial"/>
                <w:b/>
                <w:bCs/>
                <w:sz w:val="18"/>
                <w:szCs w:val="18"/>
                <w:lang w:eastAsia="en-GB"/>
              </w:rPr>
              <w:t>Summary table on calculated PNEC values</w:t>
            </w:r>
          </w:p>
        </w:tc>
      </w:tr>
      <w:tr w:rsidR="00064185" w:rsidRPr="00064185" w14:paraId="709D53B1" w14:textId="77777777" w:rsidTr="00DA465D">
        <w:tc>
          <w:tcPr>
            <w:tcW w:w="2482" w:type="pct"/>
            <w:shd w:val="clear" w:color="auto" w:fill="auto"/>
          </w:tcPr>
          <w:p w14:paraId="0AAE5505" w14:textId="77777777" w:rsidR="00A53EE0" w:rsidRPr="00064185" w:rsidRDefault="00A53EE0" w:rsidP="00EA61D8">
            <w:pPr>
              <w:spacing w:before="60" w:after="60" w:line="276" w:lineRule="auto"/>
              <w:rPr>
                <w:rFonts w:eastAsia="Calibri"/>
                <w:b/>
                <w:sz w:val="18"/>
                <w:szCs w:val="18"/>
                <w:lang w:eastAsia="en-US"/>
              </w:rPr>
            </w:pPr>
            <w:r w:rsidRPr="00064185">
              <w:rPr>
                <w:rFonts w:eastAsia="Calibri"/>
                <w:b/>
                <w:sz w:val="18"/>
                <w:szCs w:val="18"/>
                <w:lang w:eastAsia="en-US"/>
              </w:rPr>
              <w:t>Compartment</w:t>
            </w:r>
          </w:p>
        </w:tc>
        <w:tc>
          <w:tcPr>
            <w:tcW w:w="2518" w:type="pct"/>
            <w:shd w:val="clear" w:color="auto" w:fill="auto"/>
            <w:vAlign w:val="center"/>
          </w:tcPr>
          <w:p w14:paraId="5D0053D7" w14:textId="77777777" w:rsidR="00A53EE0" w:rsidRPr="00064185" w:rsidRDefault="00A53EE0" w:rsidP="00EA61D8">
            <w:pPr>
              <w:spacing w:before="60" w:after="60" w:line="276" w:lineRule="auto"/>
              <w:rPr>
                <w:rFonts w:eastAsia="Calibri"/>
                <w:b/>
                <w:sz w:val="18"/>
                <w:szCs w:val="18"/>
                <w:lang w:eastAsia="en-US"/>
              </w:rPr>
            </w:pPr>
            <w:r w:rsidRPr="00064185">
              <w:rPr>
                <w:rFonts w:eastAsia="Calibri" w:cs="Arial"/>
                <w:b/>
                <w:bCs/>
                <w:sz w:val="18"/>
                <w:szCs w:val="18"/>
                <w:lang w:eastAsia="en-GB"/>
              </w:rPr>
              <w:t>PNEC</w:t>
            </w:r>
          </w:p>
        </w:tc>
      </w:tr>
      <w:tr w:rsidR="00064185" w:rsidRPr="00064185" w14:paraId="3EA12096" w14:textId="77777777" w:rsidTr="000B0ECA">
        <w:trPr>
          <w:trHeight w:val="227"/>
        </w:trPr>
        <w:tc>
          <w:tcPr>
            <w:tcW w:w="2482" w:type="pct"/>
            <w:shd w:val="clear" w:color="auto" w:fill="auto"/>
            <w:vAlign w:val="center"/>
          </w:tcPr>
          <w:p w14:paraId="5EA09F6A" w14:textId="77777777" w:rsidR="006065BC" w:rsidRPr="00064185" w:rsidRDefault="006065BC" w:rsidP="00EA61D8">
            <w:pPr>
              <w:autoSpaceDE w:val="0"/>
              <w:autoSpaceDN w:val="0"/>
              <w:adjustRightInd w:val="0"/>
              <w:rPr>
                <w:szCs w:val="22"/>
              </w:rPr>
            </w:pPr>
            <w:r w:rsidRPr="00064185">
              <w:rPr>
                <w:szCs w:val="22"/>
              </w:rPr>
              <w:t>STP</w:t>
            </w:r>
          </w:p>
        </w:tc>
        <w:tc>
          <w:tcPr>
            <w:tcW w:w="2518" w:type="pct"/>
            <w:shd w:val="clear" w:color="auto" w:fill="auto"/>
          </w:tcPr>
          <w:p w14:paraId="531097EC" w14:textId="3B142B2C" w:rsidR="006065BC" w:rsidRPr="00064185" w:rsidRDefault="002D697F" w:rsidP="00EA61D8">
            <w:r w:rsidRPr="00064185">
              <w:rPr>
                <w:szCs w:val="22"/>
              </w:rPr>
              <w:t>5</w:t>
            </w:r>
            <w:r w:rsidR="001B154B" w:rsidRPr="00064185">
              <w:rPr>
                <w:szCs w:val="22"/>
              </w:rPr>
              <w:t>x10</w:t>
            </w:r>
            <w:r w:rsidR="001B154B" w:rsidRPr="00064185">
              <w:rPr>
                <w:szCs w:val="22"/>
                <w:vertAlign w:val="superscript"/>
              </w:rPr>
              <w:t>-3</w:t>
            </w:r>
            <w:r w:rsidRPr="00064185">
              <w:rPr>
                <w:szCs w:val="22"/>
              </w:rPr>
              <w:t xml:space="preserve"> m</w:t>
            </w:r>
            <w:r w:rsidR="00FF5ABE" w:rsidRPr="00064185">
              <w:rPr>
                <w:szCs w:val="22"/>
              </w:rPr>
              <w:t>g/l (</w:t>
            </w:r>
            <w:r w:rsidR="009B2D9E" w:rsidRPr="00064185">
              <w:rPr>
                <w:szCs w:val="22"/>
              </w:rPr>
              <w:t>water solubility limit)</w:t>
            </w:r>
          </w:p>
        </w:tc>
      </w:tr>
      <w:tr w:rsidR="00064185" w:rsidRPr="00064185" w14:paraId="01BD0665" w14:textId="77777777" w:rsidTr="000B0ECA">
        <w:tc>
          <w:tcPr>
            <w:tcW w:w="2482" w:type="pct"/>
            <w:shd w:val="clear" w:color="auto" w:fill="auto"/>
            <w:vAlign w:val="center"/>
          </w:tcPr>
          <w:p w14:paraId="466BEAE4" w14:textId="77777777" w:rsidR="006065BC" w:rsidRPr="00064185" w:rsidRDefault="006065BC" w:rsidP="00EA61D8">
            <w:pPr>
              <w:autoSpaceDE w:val="0"/>
              <w:autoSpaceDN w:val="0"/>
              <w:adjustRightInd w:val="0"/>
              <w:rPr>
                <w:szCs w:val="22"/>
              </w:rPr>
            </w:pPr>
            <w:r w:rsidRPr="00064185">
              <w:rPr>
                <w:szCs w:val="22"/>
              </w:rPr>
              <w:t>Surface water</w:t>
            </w:r>
          </w:p>
        </w:tc>
        <w:tc>
          <w:tcPr>
            <w:tcW w:w="2518" w:type="pct"/>
            <w:shd w:val="clear" w:color="auto" w:fill="auto"/>
          </w:tcPr>
          <w:p w14:paraId="351F02D9" w14:textId="7AE37610" w:rsidR="006065BC" w:rsidRPr="00064185" w:rsidRDefault="009B2D9E" w:rsidP="00EA61D8">
            <w:r w:rsidRPr="00064185">
              <w:t>2</w:t>
            </w:r>
            <w:r w:rsidR="002D697F" w:rsidRPr="00064185">
              <w:t>x10</w:t>
            </w:r>
            <w:r w:rsidR="002D697F" w:rsidRPr="00064185">
              <w:rPr>
                <w:vertAlign w:val="superscript"/>
              </w:rPr>
              <w:t>-7</w:t>
            </w:r>
            <w:r w:rsidR="001B154B" w:rsidRPr="00064185">
              <w:rPr>
                <w:szCs w:val="22"/>
              </w:rPr>
              <w:t xml:space="preserve"> m</w:t>
            </w:r>
            <w:r w:rsidRPr="00064185">
              <w:rPr>
                <w:szCs w:val="22"/>
              </w:rPr>
              <w:t>g/l</w:t>
            </w:r>
            <w:r w:rsidRPr="00064185">
              <w:t xml:space="preserve">   </w:t>
            </w:r>
          </w:p>
        </w:tc>
      </w:tr>
      <w:tr w:rsidR="00064185" w:rsidRPr="00064185" w14:paraId="5B2CBC7C" w14:textId="77777777" w:rsidTr="004237EF">
        <w:trPr>
          <w:trHeight w:val="301"/>
        </w:trPr>
        <w:tc>
          <w:tcPr>
            <w:tcW w:w="2482" w:type="pct"/>
            <w:shd w:val="clear" w:color="auto" w:fill="auto"/>
            <w:vAlign w:val="center"/>
          </w:tcPr>
          <w:p w14:paraId="4BAAEFB6" w14:textId="77777777" w:rsidR="006065BC" w:rsidRPr="00064185" w:rsidRDefault="006065BC" w:rsidP="00EA61D8">
            <w:pPr>
              <w:spacing w:line="276" w:lineRule="auto"/>
              <w:rPr>
                <w:rFonts w:eastAsia="Calibri"/>
                <w:i/>
                <w:lang w:eastAsia="en-US"/>
              </w:rPr>
            </w:pPr>
            <w:r w:rsidRPr="00064185">
              <w:rPr>
                <w:szCs w:val="22"/>
              </w:rPr>
              <w:t>Sediment</w:t>
            </w:r>
          </w:p>
        </w:tc>
        <w:tc>
          <w:tcPr>
            <w:tcW w:w="2518" w:type="pct"/>
            <w:shd w:val="clear" w:color="auto" w:fill="auto"/>
          </w:tcPr>
          <w:p w14:paraId="77BAFA99" w14:textId="237B774D" w:rsidR="006065BC" w:rsidRPr="00064185" w:rsidRDefault="001B154B" w:rsidP="00EA61D8">
            <w:r w:rsidRPr="00064185">
              <w:rPr>
                <w:szCs w:val="22"/>
              </w:rPr>
              <w:t>9</w:t>
            </w:r>
            <w:r w:rsidR="009B2D9E" w:rsidRPr="00064185">
              <w:rPr>
                <w:szCs w:val="22"/>
              </w:rPr>
              <w:t>.3</w:t>
            </w:r>
            <w:r w:rsidRPr="00064185">
              <w:rPr>
                <w:szCs w:val="22"/>
              </w:rPr>
              <w:t>x10</w:t>
            </w:r>
            <w:r w:rsidRPr="00064185">
              <w:rPr>
                <w:szCs w:val="22"/>
                <w:vertAlign w:val="superscript"/>
              </w:rPr>
              <w:t>-4</w:t>
            </w:r>
            <w:r w:rsidRPr="00064185">
              <w:rPr>
                <w:szCs w:val="22"/>
              </w:rPr>
              <w:t xml:space="preserve"> m</w:t>
            </w:r>
            <w:r w:rsidR="009B2D9E" w:rsidRPr="00064185">
              <w:rPr>
                <w:szCs w:val="22"/>
              </w:rPr>
              <w:t>g/kg ww</w:t>
            </w:r>
            <w:r w:rsidR="00C64B81" w:rsidRPr="00064185">
              <w:rPr>
                <w:szCs w:val="22"/>
              </w:rPr>
              <w:t>t</w:t>
            </w:r>
          </w:p>
        </w:tc>
      </w:tr>
      <w:tr w:rsidR="006065BC" w:rsidRPr="00064185" w14:paraId="6FB5A37E" w14:textId="77777777" w:rsidTr="000B0ECA">
        <w:tc>
          <w:tcPr>
            <w:tcW w:w="2482" w:type="pct"/>
            <w:shd w:val="clear" w:color="auto" w:fill="auto"/>
            <w:vAlign w:val="center"/>
          </w:tcPr>
          <w:p w14:paraId="5E47D975" w14:textId="77777777" w:rsidR="006065BC" w:rsidRPr="00064185" w:rsidRDefault="006065BC" w:rsidP="00EA61D8">
            <w:pPr>
              <w:autoSpaceDE w:val="0"/>
              <w:autoSpaceDN w:val="0"/>
              <w:adjustRightInd w:val="0"/>
              <w:rPr>
                <w:szCs w:val="22"/>
              </w:rPr>
            </w:pPr>
            <w:r w:rsidRPr="00064185">
              <w:rPr>
                <w:szCs w:val="22"/>
              </w:rPr>
              <w:t>Soil</w:t>
            </w:r>
          </w:p>
        </w:tc>
        <w:tc>
          <w:tcPr>
            <w:tcW w:w="2518" w:type="pct"/>
            <w:shd w:val="clear" w:color="auto" w:fill="auto"/>
          </w:tcPr>
          <w:p w14:paraId="056E3360" w14:textId="38724D19" w:rsidR="006065BC" w:rsidRPr="00064185" w:rsidRDefault="00FF5ABE" w:rsidP="00EA61D8">
            <w:r w:rsidRPr="00064185">
              <w:rPr>
                <w:szCs w:val="22"/>
              </w:rPr>
              <w:t>2.9</w:t>
            </w:r>
            <w:r w:rsidR="001B154B" w:rsidRPr="00064185">
              <w:rPr>
                <w:szCs w:val="22"/>
              </w:rPr>
              <w:t>x10</w:t>
            </w:r>
            <w:r w:rsidR="001B154B" w:rsidRPr="00064185">
              <w:rPr>
                <w:szCs w:val="22"/>
                <w:vertAlign w:val="superscript"/>
              </w:rPr>
              <w:t>-3</w:t>
            </w:r>
            <w:r w:rsidR="001B154B" w:rsidRPr="00064185">
              <w:rPr>
                <w:szCs w:val="22"/>
              </w:rPr>
              <w:t xml:space="preserve"> m</w:t>
            </w:r>
            <w:r w:rsidRPr="00064185">
              <w:rPr>
                <w:szCs w:val="22"/>
              </w:rPr>
              <w:t>g/kg ww</w:t>
            </w:r>
            <w:r w:rsidR="00C64B81" w:rsidRPr="00064185">
              <w:rPr>
                <w:szCs w:val="22"/>
              </w:rPr>
              <w:t>t</w:t>
            </w:r>
          </w:p>
        </w:tc>
      </w:tr>
    </w:tbl>
    <w:p w14:paraId="264E0CC4" w14:textId="77777777" w:rsidR="005C5C46" w:rsidRPr="00064185" w:rsidRDefault="005C5C46" w:rsidP="00EA61D8">
      <w:pPr>
        <w:spacing w:line="260" w:lineRule="atLeast"/>
        <w:rPr>
          <w:rFonts w:eastAsia="Calibri"/>
          <w:b/>
          <w:sz w:val="22"/>
          <w:szCs w:val="22"/>
          <w:lang w:eastAsia="en-US"/>
        </w:rPr>
      </w:pPr>
    </w:p>
    <w:p w14:paraId="1B4C7593" w14:textId="77777777" w:rsidR="006065BC" w:rsidRPr="00064185" w:rsidRDefault="006065BC" w:rsidP="00EA61D8">
      <w:pPr>
        <w:spacing w:line="260" w:lineRule="atLeast"/>
        <w:rPr>
          <w:rFonts w:eastAsia="Calibri"/>
          <w:b/>
          <w:sz w:val="22"/>
          <w:szCs w:val="22"/>
          <w:lang w:eastAsia="en-US"/>
        </w:rPr>
      </w:pPr>
    </w:p>
    <w:p w14:paraId="5F474EFC" w14:textId="77777777" w:rsidR="00A53EE0" w:rsidRPr="00064185" w:rsidRDefault="00A53EE0" w:rsidP="00EA61D8">
      <w:pPr>
        <w:spacing w:line="260" w:lineRule="atLeast"/>
        <w:rPr>
          <w:rFonts w:eastAsia="Calibri"/>
          <w:b/>
          <w:i/>
          <w:sz w:val="22"/>
          <w:szCs w:val="22"/>
          <w:lang w:eastAsia="en-US"/>
        </w:rPr>
      </w:pPr>
      <w:r w:rsidRPr="00064185">
        <w:rPr>
          <w:rFonts w:eastAsia="Calibri"/>
          <w:b/>
          <w:i/>
          <w:sz w:val="22"/>
          <w:szCs w:val="22"/>
          <w:lang w:eastAsia="en-US"/>
        </w:rPr>
        <w:t xml:space="preserve">Exposure assessment </w:t>
      </w:r>
    </w:p>
    <w:p w14:paraId="4DADF76E" w14:textId="77777777" w:rsidR="004734DE" w:rsidRPr="00064185" w:rsidRDefault="004734DE" w:rsidP="00EA61D8">
      <w:pPr>
        <w:spacing w:line="260" w:lineRule="atLeast"/>
        <w:rPr>
          <w:rFonts w:eastAsia="Calibri"/>
          <w:lang w:eastAsia="en-US"/>
        </w:rPr>
      </w:pPr>
    </w:p>
    <w:p w14:paraId="1728DBB1" w14:textId="7474990B" w:rsidR="00581B31" w:rsidRPr="00064185" w:rsidRDefault="00581B31" w:rsidP="000835FA">
      <w:pPr>
        <w:spacing w:line="260" w:lineRule="atLeast"/>
        <w:jc w:val="both"/>
        <w:rPr>
          <w:rFonts w:eastAsia="Calibri"/>
          <w:lang w:eastAsia="en-US"/>
        </w:rPr>
      </w:pPr>
      <w:r w:rsidRPr="00064185">
        <w:rPr>
          <w:rFonts w:eastAsia="Calibri"/>
          <w:lang w:eastAsia="en-US"/>
        </w:rPr>
        <w:t xml:space="preserve">Various phases in the life cycle of a product may cause emissions and environmental exposure. </w:t>
      </w:r>
      <w:r w:rsidR="000B52CF" w:rsidRPr="00064185">
        <w:rPr>
          <w:rFonts w:eastAsia="Calibri"/>
          <w:lang w:eastAsia="en-US"/>
        </w:rPr>
        <w:t>In this report e</w:t>
      </w:r>
      <w:r w:rsidRPr="00064185">
        <w:rPr>
          <w:rFonts w:eastAsia="Calibri"/>
          <w:lang w:eastAsia="en-US"/>
        </w:rPr>
        <w:t>missions from active substance production and product formulation are considered less relevant compared to emissions from the application phase, in service and waste phase of the product.</w:t>
      </w:r>
    </w:p>
    <w:p w14:paraId="6F32020E" w14:textId="7D30E58C" w:rsidR="00B2645C" w:rsidRPr="00064185" w:rsidRDefault="00B2645C" w:rsidP="000835FA">
      <w:pPr>
        <w:spacing w:line="260" w:lineRule="atLeast"/>
        <w:jc w:val="both"/>
        <w:rPr>
          <w:rFonts w:eastAsia="Calibri"/>
          <w:lang w:eastAsia="en-US"/>
        </w:rPr>
      </w:pPr>
    </w:p>
    <w:p w14:paraId="68A781F1" w14:textId="09682C65" w:rsidR="00B2645C" w:rsidRPr="00064185" w:rsidRDefault="00B2645C" w:rsidP="000835FA">
      <w:pPr>
        <w:spacing w:line="260" w:lineRule="atLeast"/>
        <w:jc w:val="both"/>
      </w:pPr>
      <w:r w:rsidRPr="00064185">
        <w:rPr>
          <w:rFonts w:eastAsia="Calibri"/>
          <w:lang w:eastAsia="en-US"/>
        </w:rPr>
        <w:t>COM 116 02 I AL is a liquid formulation applied by a trigger spray device (ready-to-use).</w:t>
      </w:r>
      <w:r w:rsidRPr="00064185">
        <w:t xml:space="preserve"> The product is intended to be </w:t>
      </w:r>
      <w:r w:rsidR="004407F5" w:rsidRPr="00064185">
        <w:t>used</w:t>
      </w:r>
      <w:r w:rsidRPr="00064185">
        <w:t xml:space="preserve"> indoors and outdoors</w:t>
      </w:r>
      <w:r w:rsidR="00A932B0" w:rsidRPr="00064185">
        <w:t xml:space="preserve"> </w:t>
      </w:r>
      <w:r w:rsidR="00064759" w:rsidRPr="00064185">
        <w:t xml:space="preserve">in areas were the </w:t>
      </w:r>
      <w:r w:rsidR="00FB6989" w:rsidRPr="00064185">
        <w:t xml:space="preserve">paved surfaces </w:t>
      </w:r>
      <w:r w:rsidR="00C6343B" w:rsidRPr="00064185">
        <w:t>join</w:t>
      </w:r>
      <w:r w:rsidR="00064759" w:rsidRPr="00064185">
        <w:t xml:space="preserve"> the house</w:t>
      </w:r>
      <w:r w:rsidR="006E4856" w:rsidRPr="00064185">
        <w:t xml:space="preserve"> (e.g. terraces)</w:t>
      </w:r>
      <w:r w:rsidR="00FB6989" w:rsidRPr="00064185">
        <w:t>.</w:t>
      </w:r>
    </w:p>
    <w:p w14:paraId="1335590E" w14:textId="77777777" w:rsidR="00035EA8" w:rsidRPr="00064185" w:rsidRDefault="00035EA8" w:rsidP="000835FA">
      <w:pPr>
        <w:spacing w:line="260" w:lineRule="atLeast"/>
        <w:jc w:val="both"/>
        <w:rPr>
          <w:rFonts w:eastAsia="Calibri"/>
          <w:lang w:eastAsia="en-US"/>
        </w:rPr>
      </w:pPr>
    </w:p>
    <w:p w14:paraId="10332AD7" w14:textId="1BAE0F89" w:rsidR="00387328" w:rsidRPr="00064185" w:rsidRDefault="00581B31" w:rsidP="000835FA">
      <w:pPr>
        <w:spacing w:line="260" w:lineRule="atLeast"/>
        <w:jc w:val="both"/>
        <w:rPr>
          <w:rFonts w:eastAsia="Calibri"/>
          <w:lang w:eastAsia="en-US"/>
        </w:rPr>
      </w:pPr>
      <w:r w:rsidRPr="00064185">
        <w:rPr>
          <w:rFonts w:eastAsia="Calibri"/>
          <w:lang w:eastAsia="en-US"/>
        </w:rPr>
        <w:t xml:space="preserve">The major emission route after </w:t>
      </w:r>
      <w:r w:rsidRPr="00064185">
        <w:rPr>
          <w:rFonts w:eastAsia="Calibri"/>
          <w:u w:val="single"/>
          <w:lang w:eastAsia="en-US"/>
        </w:rPr>
        <w:t>indoor application</w:t>
      </w:r>
      <w:r w:rsidRPr="00064185">
        <w:rPr>
          <w:rFonts w:eastAsia="Calibri"/>
          <w:lang w:eastAsia="en-US"/>
        </w:rPr>
        <w:t xml:space="preserve"> of insecticides concerns the waste phase, which is emission of waste water from cleaning activities. In the European ESD</w:t>
      </w:r>
      <w:r w:rsidR="0087527B" w:rsidRPr="00064185">
        <w:rPr>
          <w:rFonts w:eastAsia="Calibri"/>
          <w:lang w:eastAsia="en-US"/>
        </w:rPr>
        <w:t xml:space="preserve"> </w:t>
      </w:r>
      <w:r w:rsidRPr="00064185">
        <w:rPr>
          <w:rFonts w:eastAsia="Calibri"/>
          <w:lang w:eastAsia="en-US"/>
        </w:rPr>
        <w:t>document on insecticide applications for household and professional uses</w:t>
      </w:r>
      <w:r w:rsidR="0087527B" w:rsidRPr="00064185">
        <w:rPr>
          <w:rFonts w:eastAsia="Calibri"/>
          <w:lang w:eastAsia="en-US"/>
        </w:rPr>
        <w:t xml:space="preserve"> </w:t>
      </w:r>
      <w:r w:rsidR="0087527B" w:rsidRPr="00064185">
        <w:t>(OECD, 2008</w:t>
      </w:r>
      <w:r w:rsidR="0087527B" w:rsidRPr="00064185">
        <w:rPr>
          <w:rStyle w:val="Funotenzeichen"/>
        </w:rPr>
        <w:footnoteReference w:id="2"/>
      </w:r>
      <w:r w:rsidR="0087527B" w:rsidRPr="00064185">
        <w:t>)</w:t>
      </w:r>
      <w:r w:rsidRPr="00064185">
        <w:rPr>
          <w:rFonts w:eastAsia="Calibri"/>
          <w:lang w:eastAsia="en-US"/>
        </w:rPr>
        <w:t>, the STP is therefore considered as the main “receiving compartment”.</w:t>
      </w:r>
      <w:r w:rsidR="00296F35" w:rsidRPr="00064185">
        <w:rPr>
          <w:rFonts w:eastAsia="Calibri"/>
          <w:lang w:eastAsia="en-US"/>
        </w:rPr>
        <w:t xml:space="preserve"> </w:t>
      </w:r>
      <w:r w:rsidR="00F83B6B" w:rsidRPr="00064185">
        <w:rPr>
          <w:rFonts w:eastAsia="Calibri"/>
          <w:lang w:eastAsia="en-US"/>
        </w:rPr>
        <w:t xml:space="preserve">Consequently, </w:t>
      </w:r>
      <w:r w:rsidR="00387328" w:rsidRPr="00064185">
        <w:rPr>
          <w:rFonts w:eastAsia="Calibri"/>
          <w:lang w:eastAsia="en-US"/>
        </w:rPr>
        <w:t xml:space="preserve">PECs for the directly exposed STP and the indirectly exposed compartments water, sediment and agricultural soil from sludge application and groundwater </w:t>
      </w:r>
      <w:r w:rsidR="00F90804" w:rsidRPr="00064185">
        <w:rPr>
          <w:rFonts w:eastAsia="Calibri"/>
          <w:lang w:eastAsia="en-US"/>
        </w:rPr>
        <w:t>are</w:t>
      </w:r>
      <w:r w:rsidR="00387328" w:rsidRPr="00064185">
        <w:rPr>
          <w:rFonts w:eastAsia="Calibri"/>
          <w:lang w:eastAsia="en-US"/>
        </w:rPr>
        <w:t xml:space="preserve"> calculated.</w:t>
      </w:r>
    </w:p>
    <w:p w14:paraId="70001048" w14:textId="3CD0EF2C" w:rsidR="00387328" w:rsidRPr="00064185" w:rsidRDefault="00387328" w:rsidP="000835FA">
      <w:pPr>
        <w:spacing w:line="260" w:lineRule="atLeast"/>
        <w:jc w:val="both"/>
        <w:rPr>
          <w:rFonts w:eastAsia="Calibri"/>
          <w:lang w:eastAsia="en-US"/>
        </w:rPr>
      </w:pPr>
      <w:r w:rsidRPr="00064185">
        <w:rPr>
          <w:rFonts w:eastAsia="Calibri"/>
          <w:lang w:eastAsia="en-US"/>
        </w:rPr>
        <w:t xml:space="preserve">Emission routes after </w:t>
      </w:r>
      <w:r w:rsidRPr="00064185">
        <w:rPr>
          <w:rFonts w:eastAsia="Calibri"/>
          <w:u w:val="single"/>
          <w:lang w:eastAsia="en-US"/>
        </w:rPr>
        <w:t>outdoor application</w:t>
      </w:r>
      <w:r w:rsidRPr="00064185">
        <w:rPr>
          <w:rFonts w:eastAsia="Calibri"/>
          <w:lang w:eastAsia="en-US"/>
        </w:rPr>
        <w:t xml:space="preserve"> of insecticides </w:t>
      </w:r>
      <w:r w:rsidRPr="00064185">
        <w:rPr>
          <w:rFonts w:eastAsia="Calibri"/>
          <w:u w:val="single"/>
          <w:lang w:eastAsia="en-US"/>
        </w:rPr>
        <w:t>on paved surfaces</w:t>
      </w:r>
      <w:r w:rsidRPr="00064185">
        <w:rPr>
          <w:rFonts w:eastAsia="Calibri"/>
          <w:lang w:eastAsia="en-US"/>
        </w:rPr>
        <w:t xml:space="preserve"> are direct release to the soil compartment as a major receiving compartment in rural areas as well as direct release to the STP in urban areas. In urban areas, PECs for the directly exposed STP and the indirectly exposed compartments water, sediment and agricultural soil from sludge application and groundwater </w:t>
      </w:r>
      <w:r w:rsidR="00F90804" w:rsidRPr="00064185">
        <w:rPr>
          <w:rFonts w:eastAsia="Calibri"/>
          <w:lang w:eastAsia="en-US"/>
        </w:rPr>
        <w:t>are</w:t>
      </w:r>
      <w:r w:rsidRPr="00064185">
        <w:rPr>
          <w:rFonts w:eastAsia="Calibri"/>
          <w:lang w:eastAsia="en-US"/>
        </w:rPr>
        <w:t xml:space="preserve"> calculated. In rural areas </w:t>
      </w:r>
      <w:r w:rsidR="001E2AFE" w:rsidRPr="00064185">
        <w:rPr>
          <w:rFonts w:eastAsia="Calibri"/>
          <w:lang w:eastAsia="en-US"/>
        </w:rPr>
        <w:t xml:space="preserve">direct </w:t>
      </w:r>
      <w:r w:rsidRPr="00064185">
        <w:rPr>
          <w:rFonts w:eastAsia="Calibri"/>
          <w:lang w:eastAsia="en-US"/>
        </w:rPr>
        <w:t>contamination of soil and groundwater are considered.</w:t>
      </w:r>
    </w:p>
    <w:p w14:paraId="29522944" w14:textId="77777777" w:rsidR="00BD7B3B" w:rsidRPr="00064185" w:rsidRDefault="00BD7B3B" w:rsidP="000835FA">
      <w:pPr>
        <w:spacing w:line="240" w:lineRule="exact"/>
        <w:jc w:val="both"/>
        <w:rPr>
          <w:rFonts w:cs="Arial"/>
        </w:rPr>
      </w:pPr>
    </w:p>
    <w:p w14:paraId="5BFF189A" w14:textId="1FFC1468" w:rsidR="00151897" w:rsidRPr="00064185" w:rsidRDefault="00831E4C" w:rsidP="000835FA">
      <w:pPr>
        <w:spacing w:line="240" w:lineRule="exact"/>
        <w:jc w:val="both"/>
      </w:pPr>
      <w:r w:rsidRPr="00064185">
        <w:rPr>
          <w:rFonts w:cs="Arial"/>
        </w:rPr>
        <w:lastRenderedPageBreak/>
        <w:t xml:space="preserve">The table below summarizes </w:t>
      </w:r>
      <w:r w:rsidR="009A3DC0" w:rsidRPr="00064185">
        <w:rPr>
          <w:rFonts w:cs="Arial"/>
        </w:rPr>
        <w:t xml:space="preserve">the </w:t>
      </w:r>
      <w:r w:rsidRPr="00064185">
        <w:rPr>
          <w:rFonts w:cs="Arial"/>
        </w:rPr>
        <w:t xml:space="preserve">calculated PEC values. </w:t>
      </w:r>
      <w:r w:rsidRPr="00064185">
        <w:t>F</w:t>
      </w:r>
      <w:r w:rsidR="00151897" w:rsidRPr="00064185">
        <w:t xml:space="preserve">or detailed information on </w:t>
      </w:r>
      <w:r w:rsidR="00CD6809" w:rsidRPr="00064185">
        <w:t>potential of possible</w:t>
      </w:r>
      <w:r w:rsidR="00A9686E" w:rsidRPr="00064185">
        <w:t xml:space="preserve"> emissions to the environment</w:t>
      </w:r>
      <w:r w:rsidR="00151897" w:rsidRPr="00064185">
        <w:t xml:space="preserve"> please see Chapter 2.3.7</w:t>
      </w:r>
      <w:r w:rsidR="005E2CC1" w:rsidRPr="00064185">
        <w:t>/</w:t>
      </w:r>
      <w:r w:rsidR="00151897" w:rsidRPr="00064185">
        <w:t>B of this document.</w:t>
      </w:r>
    </w:p>
    <w:p w14:paraId="004C36CC" w14:textId="7A9FAD88" w:rsidR="00831E4C" w:rsidRPr="00064185" w:rsidRDefault="00831E4C" w:rsidP="00EA61D8">
      <w:pPr>
        <w:spacing w:line="24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1147"/>
        <w:gridCol w:w="1269"/>
        <w:gridCol w:w="1275"/>
        <w:gridCol w:w="1279"/>
        <w:gridCol w:w="1173"/>
        <w:gridCol w:w="783"/>
      </w:tblGrid>
      <w:tr w:rsidR="00064185" w:rsidRPr="00064185" w14:paraId="391FE4AE" w14:textId="77777777" w:rsidTr="001D45B3">
        <w:trPr>
          <w:trHeight w:val="249"/>
        </w:trPr>
        <w:tc>
          <w:tcPr>
            <w:tcW w:w="5000" w:type="pct"/>
            <w:gridSpan w:val="7"/>
            <w:tcBorders>
              <w:top w:val="single" w:sz="4" w:space="0" w:color="auto"/>
              <w:left w:val="single" w:sz="4" w:space="0" w:color="auto"/>
              <w:bottom w:val="single" w:sz="4" w:space="0" w:color="auto"/>
            </w:tcBorders>
            <w:shd w:val="clear" w:color="auto" w:fill="FFFFCC"/>
            <w:vAlign w:val="center"/>
          </w:tcPr>
          <w:p w14:paraId="1689A231" w14:textId="471A637D" w:rsidR="00102159" w:rsidRPr="00064185" w:rsidRDefault="00102159" w:rsidP="00EA61D8">
            <w:pPr>
              <w:autoSpaceDE w:val="0"/>
              <w:autoSpaceDN w:val="0"/>
              <w:adjustRightInd w:val="0"/>
              <w:spacing w:before="60" w:after="60" w:line="260" w:lineRule="atLeast"/>
              <w:rPr>
                <w:rFonts w:eastAsia="Calibri" w:cs="Arial"/>
                <w:sz w:val="18"/>
                <w:szCs w:val="18"/>
                <w:lang w:eastAsia="en-GB"/>
              </w:rPr>
            </w:pPr>
            <w:r w:rsidRPr="00064185">
              <w:rPr>
                <w:rFonts w:eastAsia="Calibri"/>
                <w:b/>
                <w:sz w:val="18"/>
                <w:lang w:eastAsia="en-GB"/>
              </w:rPr>
              <w:t>Summary table on calculated PEC values</w:t>
            </w:r>
          </w:p>
        </w:tc>
      </w:tr>
      <w:tr w:rsidR="00064185" w:rsidRPr="00064185" w14:paraId="5055AFB1" w14:textId="77777777" w:rsidTr="006C0114">
        <w:trPr>
          <w:trHeight w:val="249"/>
        </w:trPr>
        <w:tc>
          <w:tcPr>
            <w:tcW w:w="1328" w:type="pct"/>
            <w:vMerge w:val="restart"/>
            <w:shd w:val="clear" w:color="auto" w:fill="FFFFFF"/>
            <w:vAlign w:val="center"/>
          </w:tcPr>
          <w:p w14:paraId="1794A781" w14:textId="600906DB" w:rsidR="00102159" w:rsidRPr="00064185" w:rsidRDefault="00102159" w:rsidP="00EA61D8">
            <w:pPr>
              <w:spacing w:before="60" w:after="60" w:line="276" w:lineRule="auto"/>
              <w:rPr>
                <w:rFonts w:eastAsia="Calibri" w:cs="Arial"/>
                <w:b/>
                <w:sz w:val="18"/>
                <w:szCs w:val="18"/>
                <w:lang w:eastAsia="en-GB"/>
              </w:rPr>
            </w:pPr>
            <w:r w:rsidRPr="00064185">
              <w:rPr>
                <w:rFonts w:eastAsia="Calibri" w:cs="Arial"/>
                <w:b/>
                <w:sz w:val="18"/>
                <w:szCs w:val="18"/>
                <w:lang w:eastAsia="en-GB"/>
              </w:rPr>
              <w:t>Scenarios</w:t>
            </w:r>
          </w:p>
        </w:tc>
        <w:tc>
          <w:tcPr>
            <w:tcW w:w="608" w:type="pct"/>
            <w:shd w:val="clear" w:color="auto" w:fill="FFFFFF"/>
            <w:vAlign w:val="center"/>
          </w:tcPr>
          <w:p w14:paraId="3CEAAD7F" w14:textId="77777777" w:rsidR="00102159" w:rsidRPr="00064185" w:rsidRDefault="00102159" w:rsidP="00EA61D8">
            <w:pPr>
              <w:autoSpaceDE w:val="0"/>
              <w:autoSpaceDN w:val="0"/>
              <w:adjustRightInd w:val="0"/>
              <w:spacing w:before="60" w:after="60" w:line="260" w:lineRule="atLeast"/>
              <w:rPr>
                <w:rFonts w:eastAsia="Calibri"/>
                <w:sz w:val="16"/>
                <w:highlight w:val="yellow"/>
                <w:lang w:eastAsia="en-GB"/>
              </w:rPr>
            </w:pPr>
            <w:r w:rsidRPr="00064185">
              <w:rPr>
                <w:rFonts w:eastAsia="Calibri"/>
                <w:b/>
                <w:sz w:val="18"/>
                <w:lang w:eastAsia="en-GB"/>
              </w:rPr>
              <w:t>PEC</w:t>
            </w:r>
            <w:r w:rsidRPr="00064185">
              <w:rPr>
                <w:rFonts w:eastAsia="Calibri"/>
                <w:b/>
                <w:sz w:val="18"/>
                <w:vertAlign w:val="subscript"/>
                <w:lang w:eastAsia="en-GB"/>
              </w:rPr>
              <w:t>STP</w:t>
            </w:r>
          </w:p>
        </w:tc>
        <w:tc>
          <w:tcPr>
            <w:tcW w:w="673" w:type="pct"/>
            <w:shd w:val="clear" w:color="auto" w:fill="FFFFFF"/>
            <w:vAlign w:val="center"/>
          </w:tcPr>
          <w:p w14:paraId="120EAC5E" w14:textId="77777777" w:rsidR="00102159" w:rsidRPr="00064185" w:rsidRDefault="00102159" w:rsidP="00EA61D8">
            <w:pPr>
              <w:spacing w:before="60" w:after="60" w:line="276" w:lineRule="auto"/>
              <w:rPr>
                <w:rFonts w:eastAsia="Calibri"/>
                <w:sz w:val="18"/>
                <w:lang w:eastAsia="en-GB"/>
              </w:rPr>
            </w:pPr>
            <w:r w:rsidRPr="00064185">
              <w:rPr>
                <w:rFonts w:eastAsia="Calibri"/>
                <w:b/>
                <w:sz w:val="18"/>
                <w:lang w:eastAsia="en-GB"/>
              </w:rPr>
              <w:t>PEC</w:t>
            </w:r>
            <w:r w:rsidRPr="00064185">
              <w:rPr>
                <w:rFonts w:eastAsia="Calibri"/>
                <w:b/>
                <w:sz w:val="18"/>
                <w:vertAlign w:val="subscript"/>
                <w:lang w:eastAsia="en-GB"/>
              </w:rPr>
              <w:t>water</w:t>
            </w:r>
          </w:p>
        </w:tc>
        <w:tc>
          <w:tcPr>
            <w:tcW w:w="676" w:type="pct"/>
            <w:shd w:val="clear" w:color="auto" w:fill="FFFFFF"/>
            <w:vAlign w:val="center"/>
          </w:tcPr>
          <w:p w14:paraId="57F753B6" w14:textId="77777777" w:rsidR="00102159" w:rsidRPr="00064185" w:rsidRDefault="00102159" w:rsidP="00EA61D8">
            <w:pPr>
              <w:spacing w:before="60" w:after="60" w:line="276" w:lineRule="auto"/>
              <w:rPr>
                <w:rFonts w:eastAsia="Calibri"/>
                <w:b/>
                <w:sz w:val="18"/>
                <w:lang w:eastAsia="en-GB"/>
              </w:rPr>
            </w:pPr>
            <w:r w:rsidRPr="00064185">
              <w:rPr>
                <w:rFonts w:eastAsia="Calibri"/>
                <w:b/>
                <w:sz w:val="18"/>
                <w:lang w:eastAsia="en-GB"/>
              </w:rPr>
              <w:t>PEC</w:t>
            </w:r>
            <w:r w:rsidRPr="00064185">
              <w:rPr>
                <w:rFonts w:eastAsia="Calibri"/>
                <w:b/>
                <w:sz w:val="18"/>
                <w:vertAlign w:val="subscript"/>
                <w:lang w:eastAsia="en-GB"/>
              </w:rPr>
              <w:t>sed</w:t>
            </w:r>
          </w:p>
        </w:tc>
        <w:tc>
          <w:tcPr>
            <w:tcW w:w="678" w:type="pct"/>
            <w:vAlign w:val="center"/>
          </w:tcPr>
          <w:p w14:paraId="4653447C" w14:textId="77777777" w:rsidR="00102159" w:rsidRPr="00064185" w:rsidRDefault="00102159" w:rsidP="00EA61D8">
            <w:pPr>
              <w:spacing w:before="60" w:after="60" w:line="276" w:lineRule="auto"/>
              <w:rPr>
                <w:rFonts w:eastAsia="Calibri"/>
                <w:sz w:val="18"/>
                <w:lang w:eastAsia="en-GB"/>
              </w:rPr>
            </w:pPr>
            <w:r w:rsidRPr="00064185">
              <w:rPr>
                <w:rFonts w:eastAsia="Calibri"/>
                <w:b/>
                <w:sz w:val="18"/>
                <w:lang w:eastAsia="en-GB"/>
              </w:rPr>
              <w:t>PEC</w:t>
            </w:r>
            <w:r w:rsidRPr="00064185">
              <w:rPr>
                <w:rFonts w:eastAsia="Calibri"/>
                <w:b/>
                <w:sz w:val="18"/>
                <w:vertAlign w:val="subscript"/>
                <w:lang w:eastAsia="en-GB"/>
              </w:rPr>
              <w:t>soil</w:t>
            </w:r>
          </w:p>
        </w:tc>
        <w:tc>
          <w:tcPr>
            <w:tcW w:w="622" w:type="pct"/>
            <w:vAlign w:val="center"/>
          </w:tcPr>
          <w:p w14:paraId="03771AF3" w14:textId="77777777" w:rsidR="00102159" w:rsidRPr="00064185" w:rsidRDefault="00102159" w:rsidP="00EA61D8">
            <w:pPr>
              <w:spacing w:before="60" w:after="60" w:line="276" w:lineRule="auto"/>
              <w:rPr>
                <w:rFonts w:eastAsia="Calibri"/>
                <w:sz w:val="18"/>
                <w:lang w:eastAsia="en-GB"/>
              </w:rPr>
            </w:pPr>
            <w:r w:rsidRPr="00064185">
              <w:rPr>
                <w:rFonts w:eastAsia="Calibri"/>
                <w:b/>
                <w:sz w:val="18"/>
                <w:lang w:eastAsia="en-GB"/>
              </w:rPr>
              <w:t>PEC</w:t>
            </w:r>
            <w:r w:rsidRPr="00064185">
              <w:rPr>
                <w:rFonts w:eastAsia="Calibri"/>
                <w:b/>
                <w:sz w:val="18"/>
                <w:vertAlign w:val="subscript"/>
                <w:lang w:eastAsia="en-GB"/>
              </w:rPr>
              <w:t>GW</w:t>
            </w:r>
          </w:p>
        </w:tc>
        <w:tc>
          <w:tcPr>
            <w:tcW w:w="415" w:type="pct"/>
            <w:vAlign w:val="center"/>
          </w:tcPr>
          <w:p w14:paraId="0B517DD9" w14:textId="77777777" w:rsidR="00102159" w:rsidRPr="00064185" w:rsidRDefault="00102159"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b/>
                <w:bCs/>
                <w:sz w:val="18"/>
                <w:szCs w:val="18"/>
                <w:lang w:eastAsia="en-GB"/>
              </w:rPr>
              <w:t>PEC</w:t>
            </w:r>
            <w:r w:rsidRPr="00064185">
              <w:rPr>
                <w:rFonts w:eastAsia="Calibri" w:cs="Arial"/>
                <w:b/>
                <w:bCs/>
                <w:sz w:val="18"/>
                <w:szCs w:val="18"/>
                <w:vertAlign w:val="subscript"/>
                <w:lang w:eastAsia="en-GB"/>
              </w:rPr>
              <w:t>air</w:t>
            </w:r>
          </w:p>
        </w:tc>
      </w:tr>
      <w:tr w:rsidR="00064185" w:rsidRPr="00064185" w14:paraId="57BF3CF5" w14:textId="77777777" w:rsidTr="006C0114">
        <w:trPr>
          <w:trHeight w:val="249"/>
        </w:trPr>
        <w:tc>
          <w:tcPr>
            <w:tcW w:w="1328" w:type="pct"/>
            <w:vMerge/>
            <w:shd w:val="clear" w:color="auto" w:fill="FFFFFF"/>
            <w:vAlign w:val="center"/>
          </w:tcPr>
          <w:p w14:paraId="19A01EE2" w14:textId="77777777" w:rsidR="00102159" w:rsidRPr="00064185" w:rsidRDefault="00102159" w:rsidP="00EA61D8">
            <w:pPr>
              <w:spacing w:before="60" w:after="60" w:line="276" w:lineRule="auto"/>
              <w:rPr>
                <w:rFonts w:eastAsia="Calibri" w:cs="Arial"/>
                <w:b/>
                <w:sz w:val="18"/>
                <w:szCs w:val="18"/>
                <w:lang w:eastAsia="en-GB"/>
              </w:rPr>
            </w:pPr>
          </w:p>
        </w:tc>
        <w:tc>
          <w:tcPr>
            <w:tcW w:w="608" w:type="pct"/>
            <w:shd w:val="clear" w:color="auto" w:fill="FFFFFF"/>
            <w:vAlign w:val="center"/>
          </w:tcPr>
          <w:p w14:paraId="2ECD7B1A" w14:textId="30068945" w:rsidR="00102159" w:rsidRPr="00064185" w:rsidRDefault="00102159" w:rsidP="00EA61D8">
            <w:pPr>
              <w:autoSpaceDE w:val="0"/>
              <w:autoSpaceDN w:val="0"/>
              <w:adjustRightInd w:val="0"/>
              <w:spacing w:before="60" w:after="60" w:line="260" w:lineRule="atLeast"/>
              <w:rPr>
                <w:rFonts w:eastAsia="Calibri"/>
                <w:b/>
                <w:sz w:val="18"/>
                <w:lang w:eastAsia="en-GB"/>
              </w:rPr>
            </w:pPr>
            <w:r w:rsidRPr="00064185">
              <w:rPr>
                <w:rFonts w:eastAsia="Calibri" w:cs="Arial"/>
                <w:bCs/>
                <w:sz w:val="16"/>
                <w:szCs w:val="16"/>
                <w:lang w:eastAsia="en-GB"/>
              </w:rPr>
              <w:t>[mg/l]</w:t>
            </w:r>
          </w:p>
        </w:tc>
        <w:tc>
          <w:tcPr>
            <w:tcW w:w="673" w:type="pct"/>
            <w:shd w:val="clear" w:color="auto" w:fill="FFFFFF"/>
            <w:vAlign w:val="center"/>
          </w:tcPr>
          <w:p w14:paraId="1BF8545D" w14:textId="439ED317" w:rsidR="00102159" w:rsidRPr="00064185" w:rsidRDefault="00102159" w:rsidP="00EA61D8">
            <w:pPr>
              <w:spacing w:before="60" w:after="60" w:line="276" w:lineRule="auto"/>
              <w:rPr>
                <w:rFonts w:eastAsia="Calibri"/>
                <w:b/>
                <w:sz w:val="18"/>
                <w:lang w:eastAsia="en-GB"/>
              </w:rPr>
            </w:pPr>
            <w:r w:rsidRPr="00064185">
              <w:rPr>
                <w:rFonts w:eastAsia="Calibri" w:cs="Arial"/>
                <w:bCs/>
                <w:sz w:val="16"/>
                <w:szCs w:val="16"/>
                <w:lang w:eastAsia="en-GB"/>
              </w:rPr>
              <w:t>[mg/l]</w:t>
            </w:r>
          </w:p>
        </w:tc>
        <w:tc>
          <w:tcPr>
            <w:tcW w:w="676" w:type="pct"/>
            <w:shd w:val="clear" w:color="auto" w:fill="FFFFFF"/>
            <w:vAlign w:val="center"/>
          </w:tcPr>
          <w:p w14:paraId="20C924F1" w14:textId="5B1B3738" w:rsidR="00102159" w:rsidRPr="00064185" w:rsidRDefault="00102159" w:rsidP="00EA61D8">
            <w:pPr>
              <w:spacing w:before="60" w:after="60" w:line="276" w:lineRule="auto"/>
              <w:rPr>
                <w:rFonts w:eastAsia="Calibri"/>
                <w:b/>
                <w:sz w:val="18"/>
                <w:lang w:eastAsia="en-GB"/>
              </w:rPr>
            </w:pPr>
            <w:r w:rsidRPr="00064185">
              <w:rPr>
                <w:rFonts w:eastAsia="Calibri" w:cs="Arial"/>
                <w:bCs/>
                <w:sz w:val="16"/>
                <w:szCs w:val="16"/>
                <w:lang w:eastAsia="en-GB"/>
              </w:rPr>
              <w:t>[mg/kg</w:t>
            </w:r>
            <w:r w:rsidRPr="00064185">
              <w:rPr>
                <w:rFonts w:eastAsia="Calibri" w:cs="Arial"/>
                <w:bCs/>
                <w:vertAlign w:val="subscript"/>
                <w:lang w:eastAsia="en-GB"/>
              </w:rPr>
              <w:t>wwt</w:t>
            </w:r>
            <w:r w:rsidRPr="00064185">
              <w:rPr>
                <w:rFonts w:eastAsia="Calibri" w:cs="Arial"/>
                <w:bCs/>
                <w:sz w:val="16"/>
                <w:szCs w:val="16"/>
                <w:lang w:eastAsia="en-GB"/>
              </w:rPr>
              <w:t>]</w:t>
            </w:r>
          </w:p>
        </w:tc>
        <w:tc>
          <w:tcPr>
            <w:tcW w:w="678" w:type="pct"/>
            <w:vAlign w:val="center"/>
          </w:tcPr>
          <w:p w14:paraId="5F9AEB05" w14:textId="7056C8D3" w:rsidR="00102159" w:rsidRPr="00064185" w:rsidRDefault="00102159" w:rsidP="00EA61D8">
            <w:pPr>
              <w:spacing w:before="60" w:after="60" w:line="276" w:lineRule="auto"/>
              <w:rPr>
                <w:rFonts w:eastAsia="Calibri"/>
                <w:b/>
                <w:sz w:val="18"/>
                <w:lang w:eastAsia="en-GB"/>
              </w:rPr>
            </w:pPr>
            <w:r w:rsidRPr="00064185">
              <w:rPr>
                <w:rFonts w:eastAsia="Calibri" w:cs="Arial"/>
                <w:bCs/>
                <w:sz w:val="16"/>
                <w:szCs w:val="16"/>
                <w:lang w:eastAsia="en-GB"/>
              </w:rPr>
              <w:t>[mg/kg</w:t>
            </w:r>
            <w:r w:rsidRPr="00064185">
              <w:rPr>
                <w:vertAlign w:val="subscript"/>
              </w:rPr>
              <w:t>wwt</w:t>
            </w:r>
            <w:r w:rsidRPr="00064185">
              <w:rPr>
                <w:rFonts w:eastAsia="Calibri" w:cs="Arial"/>
                <w:bCs/>
                <w:sz w:val="16"/>
                <w:szCs w:val="16"/>
                <w:lang w:eastAsia="en-GB"/>
              </w:rPr>
              <w:t>]</w:t>
            </w:r>
          </w:p>
        </w:tc>
        <w:tc>
          <w:tcPr>
            <w:tcW w:w="622" w:type="pct"/>
            <w:vAlign w:val="center"/>
          </w:tcPr>
          <w:p w14:paraId="553704DE" w14:textId="1FD2A0AB" w:rsidR="00102159" w:rsidRPr="00064185" w:rsidRDefault="00102159" w:rsidP="00EA61D8">
            <w:pPr>
              <w:spacing w:before="60" w:after="60" w:line="276" w:lineRule="auto"/>
              <w:rPr>
                <w:rFonts w:eastAsia="Calibri"/>
                <w:b/>
                <w:sz w:val="18"/>
                <w:lang w:eastAsia="en-GB"/>
              </w:rPr>
            </w:pPr>
            <w:r w:rsidRPr="00064185">
              <w:rPr>
                <w:rFonts w:eastAsia="Calibri" w:cs="Arial"/>
                <w:bCs/>
                <w:sz w:val="16"/>
                <w:szCs w:val="16"/>
                <w:lang w:eastAsia="en-GB"/>
              </w:rPr>
              <w:t>[μg/l]</w:t>
            </w:r>
          </w:p>
        </w:tc>
        <w:tc>
          <w:tcPr>
            <w:tcW w:w="415" w:type="pct"/>
            <w:vAlign w:val="center"/>
          </w:tcPr>
          <w:p w14:paraId="3AC2A1A0" w14:textId="77777777" w:rsidR="00102159" w:rsidRPr="00064185" w:rsidRDefault="00102159" w:rsidP="00EA61D8">
            <w:pPr>
              <w:autoSpaceDE w:val="0"/>
              <w:autoSpaceDN w:val="0"/>
              <w:adjustRightInd w:val="0"/>
              <w:spacing w:before="60" w:after="60" w:line="260" w:lineRule="atLeast"/>
              <w:rPr>
                <w:rFonts w:eastAsia="Calibri" w:cs="Arial"/>
                <w:b/>
                <w:bCs/>
                <w:sz w:val="18"/>
                <w:szCs w:val="18"/>
                <w:lang w:eastAsia="en-GB"/>
              </w:rPr>
            </w:pPr>
          </w:p>
        </w:tc>
      </w:tr>
      <w:tr w:rsidR="00064185" w:rsidRPr="00064185" w14:paraId="189E1EFB" w14:textId="77777777" w:rsidTr="005953B4">
        <w:trPr>
          <w:trHeight w:val="249"/>
        </w:trPr>
        <w:tc>
          <w:tcPr>
            <w:tcW w:w="4585" w:type="pct"/>
            <w:gridSpan w:val="6"/>
            <w:shd w:val="clear" w:color="auto" w:fill="FFFFFF"/>
            <w:vAlign w:val="center"/>
          </w:tcPr>
          <w:p w14:paraId="6751D2CA" w14:textId="196902A1" w:rsidR="005953B4" w:rsidRPr="00064185" w:rsidRDefault="005953B4" w:rsidP="00EA61D8">
            <w:pPr>
              <w:spacing w:before="60" w:after="60" w:line="276" w:lineRule="auto"/>
              <w:rPr>
                <w:rFonts w:eastAsia="Calibri" w:cs="Arial"/>
                <w:sz w:val="16"/>
                <w:szCs w:val="16"/>
                <w:lang w:eastAsia="en-GB"/>
              </w:rPr>
            </w:pPr>
            <w:r w:rsidRPr="00064185">
              <w:rPr>
                <w:rFonts w:eastAsia="Calibri" w:cs="Arial"/>
                <w:b/>
                <w:bCs/>
                <w:sz w:val="18"/>
                <w:szCs w:val="18"/>
                <w:lang w:eastAsia="en-GB"/>
              </w:rPr>
              <w:t>Spraying indoors, residual treatment</w:t>
            </w:r>
          </w:p>
        </w:tc>
        <w:tc>
          <w:tcPr>
            <w:tcW w:w="415" w:type="pct"/>
            <w:vMerge w:val="restart"/>
            <w:textDirection w:val="btLr"/>
            <w:vAlign w:val="center"/>
          </w:tcPr>
          <w:p w14:paraId="49107D27" w14:textId="77777777" w:rsidR="005953B4" w:rsidRPr="00064185" w:rsidRDefault="005953B4" w:rsidP="00EA61D8">
            <w:pPr>
              <w:autoSpaceDE w:val="0"/>
              <w:autoSpaceDN w:val="0"/>
              <w:adjustRightInd w:val="0"/>
              <w:spacing w:before="60" w:after="60" w:line="260" w:lineRule="atLeast"/>
              <w:ind w:left="113" w:right="113"/>
              <w:rPr>
                <w:rFonts w:eastAsia="Calibri" w:cs="Arial"/>
                <w:bCs/>
                <w:sz w:val="16"/>
                <w:szCs w:val="16"/>
                <w:lang w:eastAsia="en-GB"/>
              </w:rPr>
            </w:pPr>
            <w:r w:rsidRPr="00064185">
              <w:rPr>
                <w:sz w:val="16"/>
                <w:szCs w:val="16"/>
              </w:rPr>
              <w:t>has not been predicted</w:t>
            </w:r>
          </w:p>
        </w:tc>
      </w:tr>
      <w:tr w:rsidR="00064185" w:rsidRPr="00064185" w14:paraId="5C7209D9" w14:textId="77777777" w:rsidTr="008C4919">
        <w:trPr>
          <w:cantSplit/>
          <w:trHeight w:val="292"/>
        </w:trPr>
        <w:tc>
          <w:tcPr>
            <w:tcW w:w="1328" w:type="pct"/>
            <w:shd w:val="clear" w:color="auto" w:fill="FFFFFF"/>
            <w:vAlign w:val="center"/>
          </w:tcPr>
          <w:p w14:paraId="68FA27A6" w14:textId="07310401" w:rsidR="00F448CC" w:rsidRPr="00064185" w:rsidRDefault="00F448CC" w:rsidP="00EA61D8">
            <w:pPr>
              <w:spacing w:before="60" w:after="60" w:line="276" w:lineRule="auto"/>
              <w:ind w:right="113"/>
              <w:rPr>
                <w:rFonts w:eastAsia="Calibri" w:cs="Arial"/>
                <w:b/>
                <w:sz w:val="18"/>
                <w:szCs w:val="18"/>
                <w:lang w:eastAsia="en-GB"/>
              </w:rPr>
            </w:pPr>
            <w:proofErr w:type="gramStart"/>
            <w:r w:rsidRPr="00064185">
              <w:rPr>
                <w:rFonts w:eastAsia="Calibri" w:cs="Arial"/>
                <w:b/>
                <w:sz w:val="18"/>
                <w:szCs w:val="18"/>
                <w:lang w:eastAsia="en-GB"/>
              </w:rPr>
              <w:t>Ants</w:t>
            </w:r>
            <w:r w:rsidR="003A2184" w:rsidRPr="00064185">
              <w:rPr>
                <w:rFonts w:eastAsia="Calibri" w:cs="Arial"/>
                <w:b/>
                <w:sz w:val="18"/>
                <w:szCs w:val="18"/>
                <w:lang w:eastAsia="en-GB"/>
              </w:rPr>
              <w:t>,</w:t>
            </w:r>
            <w:proofErr w:type="gramEnd"/>
            <w:r w:rsidR="003A2184" w:rsidRPr="00064185">
              <w:rPr>
                <w:rFonts w:eastAsia="Calibri" w:cs="Arial"/>
                <w:b/>
                <w:sz w:val="18"/>
                <w:szCs w:val="18"/>
                <w:lang w:eastAsia="en-GB"/>
              </w:rPr>
              <w:t xml:space="preserve"> max. 11 appl./year</w:t>
            </w:r>
          </w:p>
        </w:tc>
        <w:tc>
          <w:tcPr>
            <w:tcW w:w="608" w:type="pct"/>
            <w:shd w:val="clear" w:color="auto" w:fill="FFFFFF"/>
            <w:vAlign w:val="center"/>
          </w:tcPr>
          <w:p w14:paraId="5FCFED62" w14:textId="77777777" w:rsidR="00F448CC" w:rsidRPr="00064185" w:rsidRDefault="00F448CC" w:rsidP="00EA61D8">
            <w:pPr>
              <w:autoSpaceDE w:val="0"/>
              <w:autoSpaceDN w:val="0"/>
              <w:adjustRightInd w:val="0"/>
              <w:spacing w:before="60" w:after="60" w:line="260" w:lineRule="atLeast"/>
              <w:rPr>
                <w:rFonts w:eastAsia="Calibri"/>
                <w:sz w:val="18"/>
                <w:lang w:eastAsia="en-GB"/>
              </w:rPr>
            </w:pPr>
            <w:r w:rsidRPr="00064185">
              <w:t>3.28E-5</w:t>
            </w:r>
          </w:p>
        </w:tc>
        <w:tc>
          <w:tcPr>
            <w:tcW w:w="673" w:type="pct"/>
            <w:shd w:val="clear" w:color="auto" w:fill="FFFFFF"/>
            <w:vAlign w:val="center"/>
          </w:tcPr>
          <w:p w14:paraId="46D2BFE3" w14:textId="77777777" w:rsidR="00F448CC" w:rsidRPr="00064185" w:rsidRDefault="00F448CC" w:rsidP="00EA61D8">
            <w:r w:rsidRPr="00064185">
              <w:t>2.97E-6</w:t>
            </w:r>
          </w:p>
        </w:tc>
        <w:tc>
          <w:tcPr>
            <w:tcW w:w="676" w:type="pct"/>
            <w:shd w:val="clear" w:color="auto" w:fill="FFFFFF"/>
            <w:vAlign w:val="center"/>
          </w:tcPr>
          <w:p w14:paraId="1E1847E6" w14:textId="77777777" w:rsidR="00F448CC" w:rsidRPr="00064185" w:rsidRDefault="00F448CC" w:rsidP="00EA61D8">
            <w:r w:rsidRPr="00064185">
              <w:t>4.53E-3</w:t>
            </w:r>
          </w:p>
        </w:tc>
        <w:tc>
          <w:tcPr>
            <w:tcW w:w="678" w:type="pct"/>
            <w:vAlign w:val="center"/>
          </w:tcPr>
          <w:p w14:paraId="248B13A1" w14:textId="77777777" w:rsidR="00F448CC" w:rsidRPr="00064185" w:rsidRDefault="00F448CC" w:rsidP="00EA61D8">
            <w:r w:rsidRPr="00064185">
              <w:t>1.08E-3</w:t>
            </w:r>
          </w:p>
        </w:tc>
        <w:tc>
          <w:tcPr>
            <w:tcW w:w="622" w:type="pct"/>
            <w:vAlign w:val="center"/>
          </w:tcPr>
          <w:p w14:paraId="067CCF80" w14:textId="77777777" w:rsidR="00F448CC" w:rsidRPr="00064185" w:rsidRDefault="00F448CC" w:rsidP="00EA61D8">
            <w:r w:rsidRPr="00064185">
              <w:t>8.72E-4</w:t>
            </w:r>
          </w:p>
        </w:tc>
        <w:tc>
          <w:tcPr>
            <w:tcW w:w="415" w:type="pct"/>
            <w:vMerge/>
            <w:vAlign w:val="center"/>
          </w:tcPr>
          <w:p w14:paraId="7D3103F7" w14:textId="77777777" w:rsidR="00F448CC" w:rsidRPr="00064185" w:rsidRDefault="00F448CC" w:rsidP="00EA61D8">
            <w:pPr>
              <w:autoSpaceDE w:val="0"/>
              <w:autoSpaceDN w:val="0"/>
              <w:adjustRightInd w:val="0"/>
              <w:spacing w:before="60" w:after="60" w:line="260" w:lineRule="atLeast"/>
              <w:rPr>
                <w:rFonts w:eastAsia="Calibri" w:cs="Arial"/>
                <w:sz w:val="18"/>
                <w:szCs w:val="18"/>
                <w:lang w:eastAsia="en-GB"/>
              </w:rPr>
            </w:pPr>
          </w:p>
        </w:tc>
      </w:tr>
      <w:tr w:rsidR="00064185" w:rsidRPr="00064185" w14:paraId="4CF32CC7" w14:textId="77777777" w:rsidTr="008C4919">
        <w:trPr>
          <w:cantSplit/>
          <w:trHeight w:val="292"/>
        </w:trPr>
        <w:tc>
          <w:tcPr>
            <w:tcW w:w="1328" w:type="pct"/>
            <w:shd w:val="clear" w:color="auto" w:fill="FFFFFF"/>
            <w:vAlign w:val="center"/>
          </w:tcPr>
          <w:p w14:paraId="35EBB654" w14:textId="140853B5" w:rsidR="00F448CC" w:rsidRPr="00064185" w:rsidRDefault="00F448CC" w:rsidP="00EA61D8">
            <w:pPr>
              <w:spacing w:before="60" w:after="60" w:line="276" w:lineRule="auto"/>
              <w:ind w:right="113"/>
              <w:rPr>
                <w:rFonts w:eastAsia="Calibri" w:cs="Arial"/>
                <w:b/>
                <w:sz w:val="18"/>
                <w:szCs w:val="18"/>
                <w:lang w:eastAsia="en-GB"/>
              </w:rPr>
            </w:pPr>
            <w:r w:rsidRPr="00064185">
              <w:rPr>
                <w:rFonts w:eastAsia="Calibri" w:cs="Arial"/>
                <w:b/>
                <w:sz w:val="18"/>
                <w:szCs w:val="18"/>
                <w:lang w:eastAsia="en-GB"/>
              </w:rPr>
              <w:t>Silverfish &amp; Cockroaches</w:t>
            </w:r>
            <w:r w:rsidR="005953B4" w:rsidRPr="00064185">
              <w:rPr>
                <w:rFonts w:eastAsia="Calibri" w:cs="Arial"/>
                <w:b/>
                <w:sz w:val="18"/>
                <w:szCs w:val="18"/>
                <w:lang w:eastAsia="en-GB"/>
              </w:rPr>
              <w:t>, week</w:t>
            </w:r>
            <w:r w:rsidR="001E4261" w:rsidRPr="00064185">
              <w:rPr>
                <w:rFonts w:eastAsia="Calibri" w:cs="Arial"/>
                <w:b/>
                <w:sz w:val="18"/>
                <w:szCs w:val="18"/>
                <w:lang w:eastAsia="en-GB"/>
              </w:rPr>
              <w:t>ly</w:t>
            </w:r>
          </w:p>
        </w:tc>
        <w:tc>
          <w:tcPr>
            <w:tcW w:w="608" w:type="pct"/>
            <w:shd w:val="clear" w:color="auto" w:fill="FFFFFF"/>
            <w:vAlign w:val="center"/>
          </w:tcPr>
          <w:p w14:paraId="2EBE75EE" w14:textId="77777777" w:rsidR="00F448CC" w:rsidRPr="00064185" w:rsidRDefault="00F448CC" w:rsidP="00EA61D8">
            <w:pPr>
              <w:autoSpaceDE w:val="0"/>
              <w:autoSpaceDN w:val="0"/>
              <w:adjustRightInd w:val="0"/>
              <w:spacing w:before="60" w:after="60" w:line="260" w:lineRule="atLeast"/>
              <w:rPr>
                <w:rFonts w:eastAsia="Calibri"/>
                <w:sz w:val="18"/>
                <w:lang w:eastAsia="en-GB"/>
              </w:rPr>
            </w:pPr>
            <w:r w:rsidRPr="00064185">
              <w:t>0.25E-3</w:t>
            </w:r>
          </w:p>
        </w:tc>
        <w:tc>
          <w:tcPr>
            <w:tcW w:w="673" w:type="pct"/>
            <w:shd w:val="clear" w:color="auto" w:fill="FFFFFF"/>
            <w:vAlign w:val="center"/>
          </w:tcPr>
          <w:p w14:paraId="5BBEF4E4" w14:textId="77777777" w:rsidR="00F448CC" w:rsidRPr="00064185" w:rsidRDefault="00F448CC" w:rsidP="00EA61D8">
            <w:r w:rsidRPr="00064185">
              <w:t>2.24E-5</w:t>
            </w:r>
          </w:p>
        </w:tc>
        <w:tc>
          <w:tcPr>
            <w:tcW w:w="676" w:type="pct"/>
            <w:shd w:val="clear" w:color="auto" w:fill="FFFFFF"/>
            <w:vAlign w:val="center"/>
          </w:tcPr>
          <w:p w14:paraId="47C5A8F7" w14:textId="77777777" w:rsidR="00F448CC" w:rsidRPr="00064185" w:rsidRDefault="00F448CC" w:rsidP="00EA61D8">
            <w:r w:rsidRPr="00064185">
              <w:t>34.09E-3</w:t>
            </w:r>
          </w:p>
        </w:tc>
        <w:tc>
          <w:tcPr>
            <w:tcW w:w="678" w:type="pct"/>
            <w:vAlign w:val="center"/>
          </w:tcPr>
          <w:p w14:paraId="04EFF948" w14:textId="77777777" w:rsidR="00F448CC" w:rsidRPr="00064185" w:rsidRDefault="00F448CC" w:rsidP="00EA61D8">
            <w:r w:rsidRPr="00064185">
              <w:t>8.13E-3</w:t>
            </w:r>
          </w:p>
        </w:tc>
        <w:tc>
          <w:tcPr>
            <w:tcW w:w="622" w:type="pct"/>
            <w:vAlign w:val="center"/>
          </w:tcPr>
          <w:p w14:paraId="053AE1B4" w14:textId="77777777" w:rsidR="00F448CC" w:rsidRPr="00064185" w:rsidRDefault="00F448CC" w:rsidP="00EA61D8">
            <w:r w:rsidRPr="00064185">
              <w:t>6.57E-3</w:t>
            </w:r>
          </w:p>
        </w:tc>
        <w:tc>
          <w:tcPr>
            <w:tcW w:w="415" w:type="pct"/>
            <w:vMerge/>
            <w:vAlign w:val="center"/>
          </w:tcPr>
          <w:p w14:paraId="3EF15FC0" w14:textId="77777777" w:rsidR="00F448CC" w:rsidRPr="00064185" w:rsidRDefault="00F448CC" w:rsidP="00EA61D8">
            <w:pPr>
              <w:autoSpaceDE w:val="0"/>
              <w:autoSpaceDN w:val="0"/>
              <w:adjustRightInd w:val="0"/>
              <w:spacing w:before="60" w:after="60" w:line="260" w:lineRule="atLeast"/>
              <w:rPr>
                <w:rFonts w:eastAsia="Calibri" w:cs="Arial"/>
                <w:sz w:val="18"/>
                <w:szCs w:val="18"/>
                <w:lang w:eastAsia="en-GB"/>
              </w:rPr>
            </w:pPr>
          </w:p>
        </w:tc>
      </w:tr>
      <w:tr w:rsidR="00064185" w:rsidRPr="00064185" w14:paraId="64A06BBB" w14:textId="77777777" w:rsidTr="008C4919">
        <w:trPr>
          <w:cantSplit/>
          <w:trHeight w:val="292"/>
        </w:trPr>
        <w:tc>
          <w:tcPr>
            <w:tcW w:w="1328" w:type="pct"/>
            <w:shd w:val="clear" w:color="auto" w:fill="FFFFFF"/>
            <w:vAlign w:val="center"/>
          </w:tcPr>
          <w:p w14:paraId="30CB9EB8" w14:textId="64C2CB27" w:rsidR="005953B4" w:rsidRPr="00064185" w:rsidRDefault="006C0114" w:rsidP="00EA61D8">
            <w:pPr>
              <w:spacing w:before="60" w:after="60" w:line="276" w:lineRule="auto"/>
              <w:ind w:right="113"/>
              <w:rPr>
                <w:rFonts w:eastAsia="Calibri" w:cs="Arial"/>
                <w:b/>
                <w:sz w:val="18"/>
                <w:szCs w:val="18"/>
                <w:lang w:eastAsia="en-GB"/>
              </w:rPr>
            </w:pPr>
            <w:r w:rsidRPr="00064185">
              <w:rPr>
                <w:rFonts w:eastAsia="Calibri" w:cs="Arial"/>
                <w:b/>
                <w:sz w:val="18"/>
                <w:szCs w:val="18"/>
                <w:lang w:eastAsia="en-GB"/>
              </w:rPr>
              <w:t xml:space="preserve">Wood lice &amp; </w:t>
            </w:r>
            <w:r w:rsidR="005953B4" w:rsidRPr="00064185">
              <w:rPr>
                <w:rFonts w:eastAsia="Calibri" w:cs="Arial"/>
                <w:b/>
                <w:sz w:val="18"/>
                <w:szCs w:val="18"/>
                <w:lang w:eastAsia="en-GB"/>
              </w:rPr>
              <w:t xml:space="preserve">Cockroaches, </w:t>
            </w:r>
            <w:r w:rsidR="008C4919" w:rsidRPr="00064185">
              <w:rPr>
                <w:rFonts w:eastAsia="Calibri" w:cs="Arial"/>
                <w:b/>
                <w:sz w:val="18"/>
                <w:szCs w:val="18"/>
                <w:lang w:eastAsia="en-GB"/>
              </w:rPr>
              <w:t xml:space="preserve">    </w:t>
            </w:r>
            <w:r w:rsidR="005953B4" w:rsidRPr="00064185">
              <w:rPr>
                <w:rFonts w:eastAsia="Calibri" w:cs="Arial"/>
                <w:b/>
                <w:sz w:val="18"/>
                <w:szCs w:val="18"/>
                <w:lang w:eastAsia="en-GB"/>
              </w:rPr>
              <w:t>twice a year</w:t>
            </w:r>
          </w:p>
        </w:tc>
        <w:tc>
          <w:tcPr>
            <w:tcW w:w="608" w:type="pct"/>
            <w:shd w:val="clear" w:color="auto" w:fill="FFFFFF"/>
            <w:vAlign w:val="center"/>
          </w:tcPr>
          <w:p w14:paraId="0E94BB75" w14:textId="5EC79AEC" w:rsidR="005953B4" w:rsidRPr="00064185" w:rsidRDefault="00B96F28" w:rsidP="00EA61D8">
            <w:pPr>
              <w:autoSpaceDE w:val="0"/>
              <w:autoSpaceDN w:val="0"/>
              <w:adjustRightInd w:val="0"/>
              <w:spacing w:before="60" w:after="60" w:line="260" w:lineRule="atLeast"/>
            </w:pPr>
            <w:r w:rsidRPr="00064185">
              <w:t xml:space="preserve"> 1.82E-5</w:t>
            </w:r>
          </w:p>
        </w:tc>
        <w:tc>
          <w:tcPr>
            <w:tcW w:w="673" w:type="pct"/>
            <w:shd w:val="clear" w:color="auto" w:fill="FFFFFF"/>
            <w:vAlign w:val="center"/>
          </w:tcPr>
          <w:p w14:paraId="7AE83D55" w14:textId="667A82A7" w:rsidR="005953B4" w:rsidRPr="00064185" w:rsidRDefault="00B96F28" w:rsidP="00EA61D8">
            <w:r w:rsidRPr="00064185">
              <w:t xml:space="preserve"> 1.65E-6</w:t>
            </w:r>
          </w:p>
        </w:tc>
        <w:tc>
          <w:tcPr>
            <w:tcW w:w="676" w:type="pct"/>
            <w:shd w:val="clear" w:color="auto" w:fill="FFFFFF"/>
            <w:vAlign w:val="center"/>
          </w:tcPr>
          <w:p w14:paraId="3A85F12C" w14:textId="60B20D9E" w:rsidR="005953B4" w:rsidRPr="00064185" w:rsidRDefault="00B96F28" w:rsidP="00EA61D8">
            <w:r w:rsidRPr="00064185">
              <w:t xml:space="preserve"> 2.52E-3</w:t>
            </w:r>
          </w:p>
        </w:tc>
        <w:tc>
          <w:tcPr>
            <w:tcW w:w="678" w:type="pct"/>
            <w:vAlign w:val="center"/>
          </w:tcPr>
          <w:p w14:paraId="3F81F23C" w14:textId="3BBEB419" w:rsidR="005953B4" w:rsidRPr="00064185" w:rsidRDefault="00B96F28" w:rsidP="00EA61D8">
            <w:r w:rsidRPr="00064185">
              <w:t xml:space="preserve"> 0.60E-3</w:t>
            </w:r>
          </w:p>
        </w:tc>
        <w:tc>
          <w:tcPr>
            <w:tcW w:w="622" w:type="pct"/>
            <w:vAlign w:val="center"/>
          </w:tcPr>
          <w:p w14:paraId="7736CC0C" w14:textId="05A3DD3F" w:rsidR="005953B4" w:rsidRPr="00064185" w:rsidRDefault="00B96F28" w:rsidP="00EA61D8">
            <w:r w:rsidRPr="00064185">
              <w:t xml:space="preserve"> 4.85E-4</w:t>
            </w:r>
          </w:p>
        </w:tc>
        <w:tc>
          <w:tcPr>
            <w:tcW w:w="415" w:type="pct"/>
            <w:vMerge/>
            <w:vAlign w:val="center"/>
          </w:tcPr>
          <w:p w14:paraId="0C3EE9EA" w14:textId="77777777" w:rsidR="005953B4" w:rsidRPr="00064185" w:rsidRDefault="005953B4" w:rsidP="00EA61D8">
            <w:pPr>
              <w:autoSpaceDE w:val="0"/>
              <w:autoSpaceDN w:val="0"/>
              <w:adjustRightInd w:val="0"/>
              <w:spacing w:before="60" w:after="60" w:line="260" w:lineRule="atLeast"/>
              <w:rPr>
                <w:rFonts w:eastAsia="Calibri" w:cs="Arial"/>
                <w:sz w:val="18"/>
                <w:szCs w:val="18"/>
                <w:lang w:eastAsia="en-GB"/>
              </w:rPr>
            </w:pPr>
          </w:p>
        </w:tc>
      </w:tr>
      <w:tr w:rsidR="00064185" w:rsidRPr="00064185" w14:paraId="7664D825" w14:textId="77777777" w:rsidTr="005953B4">
        <w:trPr>
          <w:cantSplit/>
          <w:trHeight w:val="410"/>
        </w:trPr>
        <w:tc>
          <w:tcPr>
            <w:tcW w:w="4585" w:type="pct"/>
            <w:gridSpan w:val="6"/>
            <w:shd w:val="clear" w:color="auto" w:fill="FFFFFF"/>
            <w:vAlign w:val="center"/>
          </w:tcPr>
          <w:p w14:paraId="55DE203B" w14:textId="13C71A03" w:rsidR="005953B4" w:rsidRPr="00064185" w:rsidRDefault="005953B4" w:rsidP="00EA61D8">
            <w:r w:rsidRPr="00064185">
              <w:rPr>
                <w:rFonts w:eastAsia="Calibri" w:cs="Arial"/>
                <w:b/>
                <w:bCs/>
                <w:sz w:val="18"/>
                <w:szCs w:val="18"/>
                <w:lang w:eastAsia="en-GB"/>
              </w:rPr>
              <w:t xml:space="preserve">Spraying indoors, direct treatment </w:t>
            </w:r>
            <w:r w:rsidR="00C82869" w:rsidRPr="00064185">
              <w:rPr>
                <w:rFonts w:eastAsia="Calibri" w:cs="Arial"/>
                <w:b/>
                <w:bCs/>
                <w:sz w:val="18"/>
                <w:szCs w:val="18"/>
                <w:lang w:eastAsia="en-GB"/>
              </w:rPr>
              <w:t>of target organisms</w:t>
            </w:r>
          </w:p>
        </w:tc>
        <w:tc>
          <w:tcPr>
            <w:tcW w:w="415" w:type="pct"/>
            <w:vMerge/>
            <w:vAlign w:val="center"/>
          </w:tcPr>
          <w:p w14:paraId="4587661A" w14:textId="77777777" w:rsidR="005953B4" w:rsidRPr="00064185" w:rsidRDefault="005953B4" w:rsidP="00EA61D8">
            <w:pPr>
              <w:autoSpaceDE w:val="0"/>
              <w:autoSpaceDN w:val="0"/>
              <w:adjustRightInd w:val="0"/>
              <w:spacing w:before="60" w:after="60" w:line="260" w:lineRule="atLeast"/>
              <w:rPr>
                <w:rFonts w:eastAsia="Calibri" w:cs="Arial"/>
                <w:sz w:val="18"/>
                <w:szCs w:val="18"/>
                <w:lang w:eastAsia="en-GB"/>
              </w:rPr>
            </w:pPr>
          </w:p>
        </w:tc>
      </w:tr>
      <w:tr w:rsidR="00064185" w:rsidRPr="00064185" w14:paraId="52013734" w14:textId="77777777" w:rsidTr="006C0114">
        <w:trPr>
          <w:cantSplit/>
          <w:trHeight w:val="292"/>
        </w:trPr>
        <w:tc>
          <w:tcPr>
            <w:tcW w:w="1328" w:type="pct"/>
            <w:shd w:val="clear" w:color="auto" w:fill="FFFFFF"/>
            <w:vAlign w:val="center"/>
          </w:tcPr>
          <w:p w14:paraId="515C0E9C" w14:textId="272BEE69" w:rsidR="00F448CC" w:rsidRPr="00064185" w:rsidRDefault="00CE2BFA" w:rsidP="00EA61D8">
            <w:pPr>
              <w:spacing w:before="60" w:after="60" w:line="276" w:lineRule="auto"/>
              <w:ind w:right="113"/>
              <w:rPr>
                <w:rFonts w:eastAsia="Calibri" w:cs="Arial"/>
                <w:b/>
                <w:sz w:val="18"/>
                <w:szCs w:val="18"/>
                <w:lang w:eastAsia="en-GB"/>
              </w:rPr>
            </w:pPr>
            <w:r w:rsidRPr="00064185">
              <w:rPr>
                <w:rFonts w:eastAsia="Calibri" w:cs="Arial"/>
                <w:b/>
                <w:sz w:val="18"/>
                <w:szCs w:val="18"/>
                <w:lang w:eastAsia="en-GB"/>
              </w:rPr>
              <w:t xml:space="preserve">Silverfish &amp; </w:t>
            </w:r>
            <w:r w:rsidR="00F448CC" w:rsidRPr="00064185">
              <w:rPr>
                <w:rFonts w:eastAsia="Calibri" w:cs="Arial"/>
                <w:b/>
                <w:sz w:val="18"/>
                <w:szCs w:val="18"/>
                <w:lang w:eastAsia="en-GB"/>
              </w:rPr>
              <w:t>Cockroaches</w:t>
            </w:r>
            <w:r w:rsidRPr="00064185">
              <w:rPr>
                <w:rFonts w:eastAsia="Calibri" w:cs="Arial"/>
                <w:b/>
                <w:sz w:val="18"/>
                <w:szCs w:val="18"/>
                <w:lang w:eastAsia="en-GB"/>
              </w:rPr>
              <w:t>, week</w:t>
            </w:r>
            <w:r w:rsidR="001E4261" w:rsidRPr="00064185">
              <w:rPr>
                <w:rFonts w:eastAsia="Calibri" w:cs="Arial"/>
                <w:b/>
                <w:sz w:val="18"/>
                <w:szCs w:val="18"/>
                <w:lang w:eastAsia="en-GB"/>
              </w:rPr>
              <w:t>ly</w:t>
            </w:r>
          </w:p>
        </w:tc>
        <w:tc>
          <w:tcPr>
            <w:tcW w:w="608" w:type="pct"/>
            <w:shd w:val="clear" w:color="auto" w:fill="FFFFFF"/>
            <w:vAlign w:val="center"/>
          </w:tcPr>
          <w:p w14:paraId="53A95B26" w14:textId="1487C262" w:rsidR="00F448CC" w:rsidRPr="00064185" w:rsidRDefault="00F448CC" w:rsidP="00EA61D8">
            <w:r w:rsidRPr="00064185">
              <w:t>0.30E-3</w:t>
            </w:r>
          </w:p>
        </w:tc>
        <w:tc>
          <w:tcPr>
            <w:tcW w:w="673" w:type="pct"/>
            <w:shd w:val="clear" w:color="auto" w:fill="FFFFFF"/>
            <w:vAlign w:val="center"/>
          </w:tcPr>
          <w:p w14:paraId="3EFDFABF" w14:textId="7689F37A" w:rsidR="00F448CC" w:rsidRPr="00064185" w:rsidRDefault="00F448CC" w:rsidP="00EA61D8">
            <w:r w:rsidRPr="00064185">
              <w:t>2.75E-5</w:t>
            </w:r>
          </w:p>
        </w:tc>
        <w:tc>
          <w:tcPr>
            <w:tcW w:w="676" w:type="pct"/>
            <w:shd w:val="clear" w:color="auto" w:fill="FFFFFF"/>
            <w:vAlign w:val="center"/>
          </w:tcPr>
          <w:p w14:paraId="2A019915" w14:textId="44991FD2" w:rsidR="00F448CC" w:rsidRPr="00064185" w:rsidRDefault="00F448CC" w:rsidP="00EA61D8">
            <w:r w:rsidRPr="00064185">
              <w:t>41.96E-3</w:t>
            </w:r>
          </w:p>
        </w:tc>
        <w:tc>
          <w:tcPr>
            <w:tcW w:w="678" w:type="pct"/>
            <w:shd w:val="clear" w:color="auto" w:fill="FFFFFF"/>
            <w:vAlign w:val="center"/>
          </w:tcPr>
          <w:p w14:paraId="13EDAFC2" w14:textId="28FE50E0" w:rsidR="00F448CC" w:rsidRPr="00064185" w:rsidRDefault="00F448CC" w:rsidP="00EA61D8">
            <w:r w:rsidRPr="00064185">
              <w:t>10.00E-3</w:t>
            </w:r>
          </w:p>
        </w:tc>
        <w:tc>
          <w:tcPr>
            <w:tcW w:w="622" w:type="pct"/>
            <w:shd w:val="clear" w:color="auto" w:fill="FFFFFF"/>
            <w:vAlign w:val="center"/>
          </w:tcPr>
          <w:p w14:paraId="75DCE1AA" w14:textId="0FEF1776" w:rsidR="00F448CC" w:rsidRPr="00064185" w:rsidRDefault="00F448CC" w:rsidP="00EA61D8">
            <w:r w:rsidRPr="00064185">
              <w:t>8.08E-3</w:t>
            </w:r>
          </w:p>
        </w:tc>
        <w:tc>
          <w:tcPr>
            <w:tcW w:w="415" w:type="pct"/>
            <w:vMerge/>
            <w:vAlign w:val="center"/>
          </w:tcPr>
          <w:p w14:paraId="231AB0E6" w14:textId="14F42930" w:rsidR="00F448CC" w:rsidRPr="00064185" w:rsidRDefault="00F448CC" w:rsidP="00EA61D8">
            <w:pPr>
              <w:autoSpaceDE w:val="0"/>
              <w:autoSpaceDN w:val="0"/>
              <w:adjustRightInd w:val="0"/>
              <w:spacing w:before="60" w:after="60" w:line="260" w:lineRule="atLeast"/>
              <w:rPr>
                <w:rFonts w:eastAsia="Calibri" w:cs="Arial"/>
                <w:sz w:val="18"/>
                <w:szCs w:val="18"/>
                <w:lang w:eastAsia="en-GB"/>
              </w:rPr>
            </w:pPr>
          </w:p>
        </w:tc>
      </w:tr>
      <w:tr w:rsidR="00064185" w:rsidRPr="00064185" w14:paraId="77E9DC37" w14:textId="77777777" w:rsidTr="006C0114">
        <w:trPr>
          <w:cantSplit/>
          <w:trHeight w:val="292"/>
        </w:trPr>
        <w:tc>
          <w:tcPr>
            <w:tcW w:w="1328" w:type="pct"/>
            <w:shd w:val="clear" w:color="auto" w:fill="FFFFFF"/>
            <w:vAlign w:val="center"/>
          </w:tcPr>
          <w:p w14:paraId="44CB6456" w14:textId="0C60AEBC" w:rsidR="001D45B3" w:rsidRPr="00064185" w:rsidRDefault="001D45B3" w:rsidP="00EA61D8">
            <w:pPr>
              <w:spacing w:before="60" w:after="60" w:line="276" w:lineRule="auto"/>
              <w:ind w:right="113"/>
              <w:rPr>
                <w:rFonts w:eastAsia="Calibri" w:cs="Arial"/>
                <w:b/>
                <w:sz w:val="18"/>
                <w:szCs w:val="18"/>
                <w:lang w:eastAsia="en-GB"/>
              </w:rPr>
            </w:pPr>
            <w:r w:rsidRPr="00064185">
              <w:rPr>
                <w:rFonts w:eastAsia="Calibri" w:cs="Arial"/>
                <w:b/>
                <w:sz w:val="18"/>
                <w:szCs w:val="18"/>
                <w:lang w:eastAsia="en-GB"/>
              </w:rPr>
              <w:t xml:space="preserve">Cockroaches, </w:t>
            </w:r>
            <w:r w:rsidR="008C4919" w:rsidRPr="00064185">
              <w:rPr>
                <w:rFonts w:eastAsia="Calibri" w:cs="Arial"/>
                <w:b/>
                <w:sz w:val="18"/>
                <w:szCs w:val="18"/>
                <w:lang w:eastAsia="en-GB"/>
              </w:rPr>
              <w:t xml:space="preserve">    </w:t>
            </w:r>
            <w:r w:rsidRPr="00064185">
              <w:rPr>
                <w:rFonts w:eastAsia="Calibri" w:cs="Arial"/>
                <w:b/>
                <w:sz w:val="18"/>
                <w:szCs w:val="18"/>
                <w:lang w:eastAsia="en-GB"/>
              </w:rPr>
              <w:t>twice a year</w:t>
            </w:r>
          </w:p>
        </w:tc>
        <w:tc>
          <w:tcPr>
            <w:tcW w:w="608" w:type="pct"/>
            <w:shd w:val="clear" w:color="auto" w:fill="FFFFFF"/>
            <w:vAlign w:val="center"/>
          </w:tcPr>
          <w:p w14:paraId="49D4FE20" w14:textId="7D5B5B04" w:rsidR="001D45B3" w:rsidRPr="00064185" w:rsidRDefault="001D45B3" w:rsidP="00EA61D8">
            <w:r w:rsidRPr="00064185">
              <w:t>2.26E-5</w:t>
            </w:r>
          </w:p>
        </w:tc>
        <w:tc>
          <w:tcPr>
            <w:tcW w:w="673" w:type="pct"/>
            <w:shd w:val="clear" w:color="auto" w:fill="FFFFFF"/>
            <w:vAlign w:val="center"/>
          </w:tcPr>
          <w:p w14:paraId="0B25E506" w14:textId="34BF98C6" w:rsidR="001D45B3" w:rsidRPr="00064185" w:rsidRDefault="001D45B3" w:rsidP="00EA61D8">
            <w:r w:rsidRPr="00064185">
              <w:t>2.04E-6</w:t>
            </w:r>
          </w:p>
        </w:tc>
        <w:tc>
          <w:tcPr>
            <w:tcW w:w="676" w:type="pct"/>
            <w:shd w:val="clear" w:color="auto" w:fill="FFFFFF"/>
            <w:vAlign w:val="center"/>
          </w:tcPr>
          <w:p w14:paraId="47CFD106" w14:textId="3554A232" w:rsidR="001D45B3" w:rsidRPr="00064185" w:rsidRDefault="001D45B3" w:rsidP="00EA61D8">
            <w:r w:rsidRPr="00064185">
              <w:t>3.11E-3</w:t>
            </w:r>
          </w:p>
        </w:tc>
        <w:tc>
          <w:tcPr>
            <w:tcW w:w="678" w:type="pct"/>
            <w:shd w:val="clear" w:color="auto" w:fill="FFFFFF"/>
            <w:vAlign w:val="center"/>
          </w:tcPr>
          <w:p w14:paraId="0A92B5B7" w14:textId="0ADF2FD5" w:rsidR="001D45B3" w:rsidRPr="00064185" w:rsidRDefault="001D45B3" w:rsidP="00EA61D8">
            <w:r w:rsidRPr="00064185">
              <w:t>0.74E-3</w:t>
            </w:r>
          </w:p>
        </w:tc>
        <w:tc>
          <w:tcPr>
            <w:tcW w:w="622" w:type="pct"/>
            <w:shd w:val="clear" w:color="auto" w:fill="FFFFFF"/>
            <w:vAlign w:val="center"/>
          </w:tcPr>
          <w:p w14:paraId="3951DB7D" w14:textId="5303AD70" w:rsidR="001D45B3" w:rsidRPr="00064185" w:rsidRDefault="001D45B3" w:rsidP="00EA61D8">
            <w:r w:rsidRPr="00064185">
              <w:t>6.00E-4</w:t>
            </w:r>
          </w:p>
        </w:tc>
        <w:tc>
          <w:tcPr>
            <w:tcW w:w="415" w:type="pct"/>
            <w:vMerge/>
            <w:vAlign w:val="center"/>
          </w:tcPr>
          <w:p w14:paraId="145E121F" w14:textId="77777777" w:rsidR="001D45B3" w:rsidRPr="00064185" w:rsidRDefault="001D45B3" w:rsidP="00EA61D8">
            <w:pPr>
              <w:autoSpaceDE w:val="0"/>
              <w:autoSpaceDN w:val="0"/>
              <w:adjustRightInd w:val="0"/>
              <w:spacing w:before="60" w:after="60" w:line="260" w:lineRule="atLeast"/>
              <w:rPr>
                <w:rFonts w:eastAsia="Calibri" w:cs="Arial"/>
                <w:sz w:val="18"/>
                <w:szCs w:val="18"/>
                <w:lang w:eastAsia="en-GB"/>
              </w:rPr>
            </w:pPr>
          </w:p>
        </w:tc>
      </w:tr>
      <w:tr w:rsidR="00064185" w:rsidRPr="00064185" w14:paraId="2A94914B" w14:textId="77777777" w:rsidTr="006C0114">
        <w:trPr>
          <w:cantSplit/>
          <w:trHeight w:val="292"/>
        </w:trPr>
        <w:tc>
          <w:tcPr>
            <w:tcW w:w="1328" w:type="pct"/>
            <w:shd w:val="clear" w:color="auto" w:fill="FFFFFF"/>
            <w:vAlign w:val="center"/>
          </w:tcPr>
          <w:p w14:paraId="1BA962D0" w14:textId="016C24D7" w:rsidR="001D45B3" w:rsidRPr="00064185" w:rsidRDefault="001D45B3" w:rsidP="00EA61D8">
            <w:pPr>
              <w:spacing w:before="60" w:after="60" w:line="276" w:lineRule="auto"/>
              <w:ind w:right="113"/>
              <w:rPr>
                <w:rFonts w:eastAsia="Calibri" w:cs="Arial"/>
                <w:b/>
                <w:sz w:val="18"/>
                <w:szCs w:val="18"/>
                <w:lang w:eastAsia="en-GB"/>
              </w:rPr>
            </w:pPr>
            <w:r w:rsidRPr="00064185">
              <w:rPr>
                <w:rFonts w:eastAsia="Calibri" w:cs="Arial"/>
                <w:b/>
                <w:sz w:val="18"/>
                <w:szCs w:val="18"/>
                <w:lang w:eastAsia="en-GB"/>
              </w:rPr>
              <w:t>Wood lice</w:t>
            </w:r>
            <w:r w:rsidR="00E54CA1" w:rsidRPr="00064185">
              <w:rPr>
                <w:rFonts w:eastAsia="Calibri" w:cs="Arial"/>
                <w:b/>
                <w:sz w:val="18"/>
                <w:szCs w:val="18"/>
                <w:lang w:eastAsia="en-GB"/>
              </w:rPr>
              <w:t xml:space="preserve">, </w:t>
            </w:r>
            <w:r w:rsidR="008C4919" w:rsidRPr="00064185">
              <w:rPr>
                <w:rFonts w:eastAsia="Calibri" w:cs="Arial"/>
                <w:b/>
                <w:sz w:val="18"/>
                <w:szCs w:val="18"/>
                <w:lang w:eastAsia="en-GB"/>
              </w:rPr>
              <w:t xml:space="preserve">         </w:t>
            </w:r>
            <w:r w:rsidR="00E54CA1" w:rsidRPr="00064185">
              <w:rPr>
                <w:rFonts w:eastAsia="Calibri" w:cs="Arial"/>
                <w:b/>
                <w:sz w:val="18"/>
                <w:szCs w:val="18"/>
                <w:lang w:eastAsia="en-GB"/>
              </w:rPr>
              <w:t>twice a year</w:t>
            </w:r>
          </w:p>
        </w:tc>
        <w:tc>
          <w:tcPr>
            <w:tcW w:w="608" w:type="pct"/>
            <w:shd w:val="clear" w:color="auto" w:fill="FFFFFF"/>
            <w:vAlign w:val="center"/>
          </w:tcPr>
          <w:p w14:paraId="4C4082EE" w14:textId="0BFEF891" w:rsidR="001D45B3" w:rsidRPr="00064185" w:rsidRDefault="001D45B3" w:rsidP="00EA61D8">
            <w:r w:rsidRPr="00064185">
              <w:t>3.10E-5</w:t>
            </w:r>
          </w:p>
        </w:tc>
        <w:tc>
          <w:tcPr>
            <w:tcW w:w="673" w:type="pct"/>
            <w:shd w:val="clear" w:color="auto" w:fill="FFFFFF"/>
            <w:vAlign w:val="center"/>
          </w:tcPr>
          <w:p w14:paraId="5D448C8E" w14:textId="4A9A7380" w:rsidR="001D45B3" w:rsidRPr="00064185" w:rsidRDefault="001D45B3" w:rsidP="00EA61D8">
            <w:r w:rsidRPr="00064185">
              <w:t>2.81E-6</w:t>
            </w:r>
          </w:p>
        </w:tc>
        <w:tc>
          <w:tcPr>
            <w:tcW w:w="676" w:type="pct"/>
            <w:shd w:val="clear" w:color="auto" w:fill="FFFFFF"/>
            <w:vAlign w:val="center"/>
          </w:tcPr>
          <w:p w14:paraId="23267725" w14:textId="64CCBAD9" w:rsidR="001D45B3" w:rsidRPr="00064185" w:rsidRDefault="001D45B3" w:rsidP="00EA61D8">
            <w:r w:rsidRPr="00064185">
              <w:t>4.28E-3</w:t>
            </w:r>
          </w:p>
        </w:tc>
        <w:tc>
          <w:tcPr>
            <w:tcW w:w="678" w:type="pct"/>
            <w:shd w:val="clear" w:color="auto" w:fill="FFFFFF"/>
            <w:vAlign w:val="center"/>
          </w:tcPr>
          <w:p w14:paraId="6632257F" w14:textId="1E28C1FB" w:rsidR="001D45B3" w:rsidRPr="00064185" w:rsidRDefault="001D45B3" w:rsidP="00EA61D8">
            <w:r w:rsidRPr="00064185">
              <w:t>1.02E-3</w:t>
            </w:r>
          </w:p>
        </w:tc>
        <w:tc>
          <w:tcPr>
            <w:tcW w:w="622" w:type="pct"/>
            <w:shd w:val="clear" w:color="auto" w:fill="FFFFFF"/>
            <w:vAlign w:val="center"/>
          </w:tcPr>
          <w:p w14:paraId="6055A86D" w14:textId="6B2FF9C8" w:rsidR="001D45B3" w:rsidRPr="00064185" w:rsidRDefault="001D45B3" w:rsidP="00EA61D8">
            <w:r w:rsidRPr="00064185">
              <w:t>8.24E-4</w:t>
            </w:r>
          </w:p>
        </w:tc>
        <w:tc>
          <w:tcPr>
            <w:tcW w:w="415" w:type="pct"/>
            <w:vMerge/>
            <w:vAlign w:val="center"/>
          </w:tcPr>
          <w:p w14:paraId="61EBB53B" w14:textId="7003E42E" w:rsidR="001D45B3" w:rsidRPr="00064185" w:rsidRDefault="001D45B3" w:rsidP="00EA61D8">
            <w:pPr>
              <w:autoSpaceDE w:val="0"/>
              <w:autoSpaceDN w:val="0"/>
              <w:adjustRightInd w:val="0"/>
              <w:spacing w:before="60" w:after="60" w:line="260" w:lineRule="atLeast"/>
              <w:rPr>
                <w:rFonts w:eastAsia="Calibri" w:cs="Arial"/>
                <w:sz w:val="18"/>
                <w:szCs w:val="18"/>
                <w:lang w:eastAsia="en-GB"/>
              </w:rPr>
            </w:pPr>
          </w:p>
        </w:tc>
      </w:tr>
      <w:tr w:rsidR="00064185" w:rsidRPr="00064185" w14:paraId="1A550249" w14:textId="77777777" w:rsidTr="005953B4">
        <w:trPr>
          <w:cantSplit/>
          <w:trHeight w:val="405"/>
        </w:trPr>
        <w:tc>
          <w:tcPr>
            <w:tcW w:w="4585" w:type="pct"/>
            <w:gridSpan w:val="6"/>
            <w:shd w:val="clear" w:color="auto" w:fill="FFFFFF"/>
            <w:vAlign w:val="center"/>
          </w:tcPr>
          <w:p w14:paraId="46935806" w14:textId="63EC3081" w:rsidR="001D45B3" w:rsidRPr="00064185" w:rsidRDefault="001D45B3" w:rsidP="00EA61D8">
            <w:pPr>
              <w:rPr>
                <w:highlight w:val="yellow"/>
              </w:rPr>
            </w:pPr>
            <w:r w:rsidRPr="00064185">
              <w:rPr>
                <w:rFonts w:eastAsia="Calibri" w:cs="Arial"/>
                <w:b/>
                <w:sz w:val="18"/>
                <w:szCs w:val="18"/>
                <w:lang w:eastAsia="en-GB"/>
              </w:rPr>
              <w:t xml:space="preserve">Spraying, outdoors, </w:t>
            </w:r>
            <w:r w:rsidRPr="00064185">
              <w:rPr>
                <w:rFonts w:eastAsia="Calibri" w:cs="Arial"/>
                <w:b/>
                <w:bCs/>
                <w:sz w:val="18"/>
                <w:szCs w:val="18"/>
                <w:lang w:eastAsia="en-GB"/>
              </w:rPr>
              <w:t>residual treatment</w:t>
            </w:r>
          </w:p>
        </w:tc>
        <w:tc>
          <w:tcPr>
            <w:tcW w:w="415" w:type="pct"/>
            <w:vMerge/>
            <w:vAlign w:val="center"/>
          </w:tcPr>
          <w:p w14:paraId="6BFE6AD3" w14:textId="684F5596" w:rsidR="001D45B3" w:rsidRPr="00064185" w:rsidRDefault="001D45B3" w:rsidP="00EA61D8">
            <w:pPr>
              <w:autoSpaceDE w:val="0"/>
              <w:autoSpaceDN w:val="0"/>
              <w:adjustRightInd w:val="0"/>
              <w:spacing w:before="60" w:after="60" w:line="260" w:lineRule="atLeast"/>
              <w:rPr>
                <w:rFonts w:eastAsia="Calibri" w:cs="Arial"/>
                <w:sz w:val="18"/>
                <w:szCs w:val="18"/>
                <w:lang w:eastAsia="en-GB"/>
              </w:rPr>
            </w:pPr>
          </w:p>
        </w:tc>
      </w:tr>
      <w:tr w:rsidR="00064185" w:rsidRPr="00064185" w14:paraId="7CBBA2FF" w14:textId="77777777" w:rsidTr="008C4919">
        <w:trPr>
          <w:cantSplit/>
          <w:trHeight w:val="441"/>
        </w:trPr>
        <w:tc>
          <w:tcPr>
            <w:tcW w:w="1328" w:type="pct"/>
            <w:shd w:val="clear" w:color="auto" w:fill="FFFFFF"/>
            <w:vAlign w:val="center"/>
          </w:tcPr>
          <w:p w14:paraId="0EA6F2E6" w14:textId="67B5027A" w:rsidR="001D45B3" w:rsidRPr="00064185" w:rsidRDefault="001D45B3" w:rsidP="00EA61D8">
            <w:pPr>
              <w:spacing w:before="60" w:after="60" w:line="276" w:lineRule="auto"/>
              <w:rPr>
                <w:rFonts w:eastAsia="Calibri" w:cs="Arial"/>
                <w:b/>
                <w:sz w:val="18"/>
                <w:szCs w:val="18"/>
                <w:lang w:eastAsia="en-GB"/>
              </w:rPr>
            </w:pPr>
            <w:r w:rsidRPr="00064185">
              <w:rPr>
                <w:rFonts w:eastAsia="Calibri" w:cs="Arial"/>
                <w:b/>
                <w:sz w:val="18"/>
                <w:szCs w:val="18"/>
                <w:lang w:eastAsia="en-GB"/>
              </w:rPr>
              <w:t xml:space="preserve">Ants </w:t>
            </w:r>
            <w:r w:rsidRPr="00064185">
              <w:rPr>
                <w:sz w:val="16"/>
                <w:szCs w:val="16"/>
              </w:rPr>
              <w:t>(urban area)</w:t>
            </w:r>
            <w:r w:rsidR="003A2184" w:rsidRPr="00064185">
              <w:rPr>
                <w:sz w:val="16"/>
                <w:szCs w:val="16"/>
              </w:rPr>
              <w:t xml:space="preserve">, </w:t>
            </w:r>
            <w:r w:rsidR="003A2184" w:rsidRPr="00064185">
              <w:rPr>
                <w:rFonts w:eastAsia="Calibri" w:cs="Arial"/>
                <w:b/>
                <w:sz w:val="18"/>
                <w:szCs w:val="18"/>
                <w:lang w:eastAsia="en-GB"/>
              </w:rPr>
              <w:t>max. 11 appl./year</w:t>
            </w:r>
          </w:p>
        </w:tc>
        <w:tc>
          <w:tcPr>
            <w:tcW w:w="608" w:type="pct"/>
            <w:shd w:val="clear" w:color="auto" w:fill="FFFFFF"/>
            <w:vAlign w:val="center"/>
          </w:tcPr>
          <w:p w14:paraId="35C11B53" w14:textId="77777777" w:rsidR="001D45B3" w:rsidRPr="00064185" w:rsidRDefault="001D45B3" w:rsidP="00EA61D8">
            <w:r w:rsidRPr="00064185">
              <w:t>2.6E-5</w:t>
            </w:r>
          </w:p>
        </w:tc>
        <w:tc>
          <w:tcPr>
            <w:tcW w:w="673" w:type="pct"/>
            <w:shd w:val="clear" w:color="auto" w:fill="FFFFFF"/>
            <w:vAlign w:val="center"/>
          </w:tcPr>
          <w:p w14:paraId="4C421AB7" w14:textId="77777777" w:rsidR="001D45B3" w:rsidRPr="00064185" w:rsidRDefault="001D45B3" w:rsidP="00EA61D8">
            <w:r w:rsidRPr="00064185">
              <w:t>2.35E-6</w:t>
            </w:r>
          </w:p>
        </w:tc>
        <w:tc>
          <w:tcPr>
            <w:tcW w:w="676" w:type="pct"/>
            <w:shd w:val="clear" w:color="auto" w:fill="FFFFFF"/>
            <w:vAlign w:val="center"/>
          </w:tcPr>
          <w:p w14:paraId="1F07B6F9" w14:textId="77777777" w:rsidR="001D45B3" w:rsidRPr="00064185" w:rsidRDefault="001D45B3" w:rsidP="00EA61D8">
            <w:r w:rsidRPr="00064185">
              <w:t>3.95E-3</w:t>
            </w:r>
          </w:p>
        </w:tc>
        <w:tc>
          <w:tcPr>
            <w:tcW w:w="678" w:type="pct"/>
            <w:shd w:val="clear" w:color="auto" w:fill="FFFFFF"/>
            <w:vAlign w:val="center"/>
          </w:tcPr>
          <w:p w14:paraId="060335CB" w14:textId="77777777" w:rsidR="001D45B3" w:rsidRPr="00064185" w:rsidRDefault="001D45B3" w:rsidP="00EA61D8">
            <w:r w:rsidRPr="00064185">
              <w:t>0.85E-3</w:t>
            </w:r>
          </w:p>
        </w:tc>
        <w:tc>
          <w:tcPr>
            <w:tcW w:w="622" w:type="pct"/>
            <w:shd w:val="clear" w:color="auto" w:fill="FFFFFF"/>
            <w:vAlign w:val="center"/>
          </w:tcPr>
          <w:p w14:paraId="44335D3A" w14:textId="77777777" w:rsidR="001D45B3" w:rsidRPr="00064185" w:rsidRDefault="001D45B3" w:rsidP="00EA61D8">
            <w:r w:rsidRPr="00064185">
              <w:t>6.91E-4</w:t>
            </w:r>
          </w:p>
        </w:tc>
        <w:tc>
          <w:tcPr>
            <w:tcW w:w="415" w:type="pct"/>
            <w:vMerge/>
            <w:shd w:val="clear" w:color="auto" w:fill="FFFFFF"/>
            <w:vAlign w:val="center"/>
          </w:tcPr>
          <w:p w14:paraId="018C418E" w14:textId="77777777" w:rsidR="001D45B3" w:rsidRPr="00064185" w:rsidRDefault="001D45B3" w:rsidP="00EA61D8"/>
        </w:tc>
      </w:tr>
      <w:tr w:rsidR="00064185" w:rsidRPr="00064185" w14:paraId="3779B822" w14:textId="77777777" w:rsidTr="008C4919">
        <w:trPr>
          <w:cantSplit/>
          <w:trHeight w:val="419"/>
        </w:trPr>
        <w:tc>
          <w:tcPr>
            <w:tcW w:w="1328" w:type="pct"/>
            <w:shd w:val="clear" w:color="auto" w:fill="FFFFFF"/>
            <w:vAlign w:val="center"/>
          </w:tcPr>
          <w:p w14:paraId="6C7B3102" w14:textId="5A956903" w:rsidR="001D45B3" w:rsidRPr="00064185" w:rsidRDefault="001D45B3" w:rsidP="00EA61D8">
            <w:pPr>
              <w:spacing w:before="60" w:after="60" w:line="276" w:lineRule="auto"/>
              <w:rPr>
                <w:rFonts w:eastAsia="Calibri" w:cs="Arial"/>
                <w:b/>
                <w:sz w:val="18"/>
                <w:szCs w:val="18"/>
                <w:lang w:eastAsia="en-GB"/>
              </w:rPr>
            </w:pPr>
            <w:r w:rsidRPr="00064185">
              <w:rPr>
                <w:rFonts w:eastAsia="Calibri" w:cs="Arial"/>
                <w:b/>
                <w:sz w:val="18"/>
                <w:szCs w:val="18"/>
                <w:lang w:eastAsia="en-GB"/>
              </w:rPr>
              <w:t xml:space="preserve">Ants </w:t>
            </w:r>
            <w:r w:rsidRPr="00064185">
              <w:rPr>
                <w:sz w:val="16"/>
                <w:szCs w:val="16"/>
              </w:rPr>
              <w:t>(rural area)</w:t>
            </w:r>
            <w:r w:rsidR="003A2184" w:rsidRPr="00064185">
              <w:rPr>
                <w:sz w:val="16"/>
                <w:szCs w:val="16"/>
              </w:rPr>
              <w:t xml:space="preserve">, </w:t>
            </w:r>
            <w:r w:rsidR="003A2184" w:rsidRPr="00064185">
              <w:rPr>
                <w:rFonts w:eastAsia="Calibri" w:cs="Arial"/>
                <w:b/>
                <w:sz w:val="18"/>
                <w:szCs w:val="18"/>
                <w:lang w:eastAsia="en-GB"/>
              </w:rPr>
              <w:t>max. 11 appl./year</w:t>
            </w:r>
          </w:p>
        </w:tc>
        <w:tc>
          <w:tcPr>
            <w:tcW w:w="608" w:type="pct"/>
            <w:shd w:val="clear" w:color="auto" w:fill="FFFFFF"/>
            <w:vAlign w:val="center"/>
          </w:tcPr>
          <w:p w14:paraId="4D141D9A" w14:textId="77777777" w:rsidR="001D45B3" w:rsidRPr="00064185" w:rsidRDefault="001D45B3" w:rsidP="00EA61D8">
            <w:pPr>
              <w:rPr>
                <w:rFonts w:eastAsia="Calibri"/>
                <w:lang w:eastAsia="en-US"/>
              </w:rPr>
            </w:pPr>
            <w:r w:rsidRPr="00064185">
              <w:rPr>
                <w:rFonts w:eastAsia="Calibri"/>
                <w:lang w:eastAsia="en-US"/>
              </w:rPr>
              <w:t>-</w:t>
            </w:r>
          </w:p>
        </w:tc>
        <w:tc>
          <w:tcPr>
            <w:tcW w:w="673" w:type="pct"/>
            <w:shd w:val="clear" w:color="auto" w:fill="FFFFFF"/>
            <w:vAlign w:val="center"/>
          </w:tcPr>
          <w:p w14:paraId="17C06ACC" w14:textId="77777777" w:rsidR="001D45B3" w:rsidRPr="00064185" w:rsidRDefault="001D45B3" w:rsidP="00EA61D8">
            <w:pPr>
              <w:rPr>
                <w:rFonts w:eastAsia="Calibri"/>
                <w:lang w:eastAsia="en-US"/>
              </w:rPr>
            </w:pPr>
            <w:r w:rsidRPr="00064185">
              <w:rPr>
                <w:rFonts w:eastAsia="Calibri"/>
                <w:lang w:eastAsia="en-US"/>
              </w:rPr>
              <w:t>-</w:t>
            </w:r>
          </w:p>
        </w:tc>
        <w:tc>
          <w:tcPr>
            <w:tcW w:w="676" w:type="pct"/>
            <w:shd w:val="clear" w:color="auto" w:fill="FFFFFF"/>
            <w:vAlign w:val="center"/>
          </w:tcPr>
          <w:p w14:paraId="4BCDE362" w14:textId="77777777" w:rsidR="001D45B3" w:rsidRPr="00064185" w:rsidRDefault="001D45B3" w:rsidP="00EA61D8">
            <w:pPr>
              <w:rPr>
                <w:rFonts w:eastAsia="Calibri"/>
                <w:lang w:eastAsia="en-US"/>
              </w:rPr>
            </w:pPr>
            <w:r w:rsidRPr="00064185">
              <w:rPr>
                <w:rFonts w:eastAsia="Calibri"/>
                <w:lang w:eastAsia="en-US"/>
              </w:rPr>
              <w:t>-</w:t>
            </w:r>
          </w:p>
        </w:tc>
        <w:tc>
          <w:tcPr>
            <w:tcW w:w="678" w:type="pct"/>
            <w:shd w:val="clear" w:color="auto" w:fill="FFFFFF"/>
            <w:vAlign w:val="center"/>
          </w:tcPr>
          <w:p w14:paraId="3499072F" w14:textId="77777777" w:rsidR="001D45B3" w:rsidRPr="00064185" w:rsidRDefault="001D45B3" w:rsidP="00EA61D8">
            <w:pPr>
              <w:rPr>
                <w:rFonts w:eastAsia="Calibri"/>
                <w:lang w:eastAsia="en-US"/>
              </w:rPr>
            </w:pPr>
            <w:r w:rsidRPr="00064185">
              <w:t>3</w:t>
            </w:r>
            <w:r w:rsidRPr="00064185">
              <w:rPr>
                <w:lang w:val="en-US"/>
              </w:rPr>
              <w:t>.74E-3</w:t>
            </w:r>
          </w:p>
        </w:tc>
        <w:tc>
          <w:tcPr>
            <w:tcW w:w="622" w:type="pct"/>
            <w:shd w:val="clear" w:color="auto" w:fill="FFFFFF"/>
            <w:vAlign w:val="center"/>
          </w:tcPr>
          <w:p w14:paraId="6DB57515" w14:textId="77777777" w:rsidR="001D45B3" w:rsidRPr="00064185" w:rsidRDefault="001D45B3" w:rsidP="00EA61D8">
            <w:pPr>
              <w:rPr>
                <w:rFonts w:eastAsia="Calibri"/>
                <w:lang w:eastAsia="en-US"/>
              </w:rPr>
            </w:pPr>
            <w:r w:rsidRPr="00064185">
              <w:t>3.03E-3</w:t>
            </w:r>
          </w:p>
        </w:tc>
        <w:tc>
          <w:tcPr>
            <w:tcW w:w="415" w:type="pct"/>
            <w:vMerge/>
            <w:shd w:val="clear" w:color="auto" w:fill="FFFFFF"/>
            <w:vAlign w:val="center"/>
          </w:tcPr>
          <w:p w14:paraId="65598CC1" w14:textId="77777777" w:rsidR="001D45B3" w:rsidRPr="00064185" w:rsidRDefault="001D45B3" w:rsidP="00EA61D8">
            <w:pPr>
              <w:rPr>
                <w:rFonts w:eastAsia="Calibri"/>
                <w:lang w:eastAsia="en-US"/>
              </w:rPr>
            </w:pPr>
          </w:p>
        </w:tc>
      </w:tr>
    </w:tbl>
    <w:p w14:paraId="5399B908" w14:textId="262CEC92" w:rsidR="00102159" w:rsidRPr="00064185" w:rsidRDefault="00102159" w:rsidP="00EA61D8">
      <w:pPr>
        <w:spacing w:line="260" w:lineRule="atLeast"/>
        <w:rPr>
          <w:rFonts w:eastAsia="Calibri"/>
          <w:lang w:eastAsia="en-US"/>
        </w:rPr>
      </w:pPr>
      <w:r w:rsidRPr="00064185">
        <w:rPr>
          <w:sz w:val="16"/>
          <w:szCs w:val="16"/>
        </w:rPr>
        <w:t>- Compartment not exposed</w:t>
      </w:r>
      <w:r w:rsidR="003A2184" w:rsidRPr="00064185">
        <w:rPr>
          <w:sz w:val="16"/>
          <w:szCs w:val="16"/>
        </w:rPr>
        <w:t xml:space="preserve"> </w:t>
      </w:r>
    </w:p>
    <w:p w14:paraId="262D0147" w14:textId="77777777" w:rsidR="00BD7B3B" w:rsidRPr="00064185" w:rsidRDefault="00BD7B3B" w:rsidP="00EA61D8">
      <w:pPr>
        <w:rPr>
          <w:rFonts w:eastAsia="Calibri"/>
          <w:b/>
          <w:i/>
          <w:sz w:val="22"/>
          <w:szCs w:val="22"/>
          <w:lang w:eastAsia="en-US"/>
        </w:rPr>
      </w:pPr>
    </w:p>
    <w:p w14:paraId="69A52F10" w14:textId="661F597C" w:rsidR="0091207F" w:rsidRPr="00064185" w:rsidRDefault="00BD7B3B" w:rsidP="000835FA">
      <w:pPr>
        <w:pStyle w:val="Textkrper2"/>
        <w:jc w:val="both"/>
        <w:rPr>
          <w:i w:val="0"/>
          <w:color w:val="auto"/>
        </w:rPr>
      </w:pPr>
      <w:r w:rsidRPr="00064185">
        <w:rPr>
          <w:i w:val="0"/>
          <w:color w:val="auto"/>
        </w:rPr>
        <w:t>Due to the spray application, primary poisoning of birds or mammals is not relevant. Nevertheless, the secondary poisoning to biota is assessed, since animals may be poisoned secondarily through the ingestion of contaminated organisms (e.g. ants and worms) from the treated areas.</w:t>
      </w:r>
      <w:r w:rsidR="0091207F" w:rsidRPr="00064185">
        <w:rPr>
          <w:rFonts w:eastAsia="Calibri"/>
          <w:b/>
          <w:i w:val="0"/>
          <w:color w:val="auto"/>
          <w:sz w:val="22"/>
          <w:szCs w:val="22"/>
          <w:lang w:eastAsia="en-US"/>
        </w:rPr>
        <w:br w:type="page"/>
      </w:r>
    </w:p>
    <w:p w14:paraId="5FA4BFA7" w14:textId="77777777" w:rsidR="005737D5" w:rsidRPr="00064185" w:rsidRDefault="005737D5" w:rsidP="00EA61D8">
      <w:pPr>
        <w:spacing w:line="260" w:lineRule="atLeast"/>
        <w:rPr>
          <w:rFonts w:eastAsia="Calibri"/>
          <w:b/>
          <w:i/>
          <w:sz w:val="22"/>
          <w:szCs w:val="22"/>
          <w:lang w:eastAsia="en-US"/>
        </w:rPr>
      </w:pPr>
    </w:p>
    <w:p w14:paraId="3117E945" w14:textId="77777777" w:rsidR="00A53EE0" w:rsidRPr="00064185" w:rsidRDefault="00A53EE0" w:rsidP="00EA61D8">
      <w:pPr>
        <w:spacing w:line="260" w:lineRule="atLeast"/>
        <w:rPr>
          <w:rFonts w:eastAsia="Calibri"/>
          <w:b/>
          <w:i/>
          <w:sz w:val="22"/>
          <w:szCs w:val="22"/>
          <w:lang w:eastAsia="en-US"/>
        </w:rPr>
      </w:pPr>
      <w:r w:rsidRPr="00064185">
        <w:rPr>
          <w:rFonts w:eastAsia="Calibri"/>
          <w:b/>
          <w:i/>
          <w:sz w:val="22"/>
          <w:szCs w:val="22"/>
          <w:lang w:eastAsia="en-US"/>
        </w:rPr>
        <w:t>Risk characterization</w:t>
      </w:r>
    </w:p>
    <w:p w14:paraId="193E61E8" w14:textId="1F5D43E5" w:rsidR="005E317E" w:rsidRPr="00064185" w:rsidRDefault="005E317E" w:rsidP="00EA61D8">
      <w:pPr>
        <w:rPr>
          <w:rFonts w:eastAsia="Calibri"/>
          <w:b/>
          <w:i/>
          <w:sz w:val="22"/>
          <w:szCs w:val="22"/>
          <w:lang w:eastAsia="en-US"/>
        </w:rPr>
      </w:pPr>
    </w:p>
    <w:p w14:paraId="47A61142" w14:textId="77777777" w:rsidR="005E317E" w:rsidRPr="00064185" w:rsidRDefault="005E317E" w:rsidP="00EA61D8">
      <w:pPr>
        <w:rPr>
          <w:rFonts w:eastAsia="Calibri"/>
          <w:b/>
          <w:i/>
          <w:sz w:val="16"/>
          <w:szCs w:val="16"/>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1701"/>
        <w:gridCol w:w="1696"/>
        <w:gridCol w:w="1814"/>
      </w:tblGrid>
      <w:tr w:rsidR="00064185" w:rsidRPr="00064185" w14:paraId="5D47C747" w14:textId="77777777" w:rsidTr="005E317E">
        <w:trPr>
          <w:trHeight w:val="249"/>
        </w:trPr>
        <w:tc>
          <w:tcPr>
            <w:tcW w:w="5000" w:type="pct"/>
            <w:gridSpan w:val="5"/>
            <w:tcBorders>
              <w:top w:val="single" w:sz="4" w:space="0" w:color="auto"/>
              <w:left w:val="single" w:sz="4" w:space="0" w:color="auto"/>
              <w:bottom w:val="single" w:sz="4" w:space="0" w:color="auto"/>
            </w:tcBorders>
            <w:shd w:val="clear" w:color="auto" w:fill="FFFFCC"/>
            <w:vAlign w:val="center"/>
          </w:tcPr>
          <w:p w14:paraId="48F0E9D7" w14:textId="77777777" w:rsidR="005E317E" w:rsidRPr="00064185" w:rsidRDefault="005E317E" w:rsidP="00EA61D8">
            <w:pPr>
              <w:autoSpaceDE w:val="0"/>
              <w:autoSpaceDN w:val="0"/>
              <w:adjustRightInd w:val="0"/>
              <w:spacing w:before="60" w:after="60" w:line="260" w:lineRule="atLeast"/>
              <w:rPr>
                <w:rFonts w:eastAsia="Calibri" w:cs="Arial"/>
                <w:sz w:val="18"/>
                <w:szCs w:val="18"/>
                <w:lang w:eastAsia="en-GB"/>
              </w:rPr>
            </w:pPr>
            <w:r w:rsidRPr="00064185">
              <w:rPr>
                <w:rFonts w:eastAsia="Calibri"/>
                <w:b/>
                <w:sz w:val="18"/>
                <w:lang w:eastAsia="en-GB"/>
              </w:rPr>
              <w:t>Summary table on calculated PEC/PNEC values</w:t>
            </w:r>
          </w:p>
        </w:tc>
      </w:tr>
      <w:tr w:rsidR="00064185" w:rsidRPr="00064185" w14:paraId="3FDE278D" w14:textId="77777777" w:rsidTr="005E317E">
        <w:trPr>
          <w:trHeight w:val="514"/>
        </w:trPr>
        <w:tc>
          <w:tcPr>
            <w:tcW w:w="1335" w:type="pct"/>
            <w:shd w:val="clear" w:color="auto" w:fill="FFFFFF"/>
            <w:vAlign w:val="center"/>
          </w:tcPr>
          <w:p w14:paraId="25B4D765" w14:textId="77777777" w:rsidR="005E317E" w:rsidRPr="00064185" w:rsidRDefault="005E317E" w:rsidP="00EA61D8">
            <w:pPr>
              <w:spacing w:before="60" w:after="60" w:line="276" w:lineRule="auto"/>
              <w:rPr>
                <w:rFonts w:eastAsia="Calibri" w:cs="Arial"/>
                <w:b/>
                <w:sz w:val="18"/>
                <w:szCs w:val="18"/>
                <w:lang w:eastAsia="en-GB"/>
              </w:rPr>
            </w:pPr>
            <w:r w:rsidRPr="00064185">
              <w:rPr>
                <w:rFonts w:eastAsia="Calibri" w:cs="Arial"/>
                <w:b/>
                <w:sz w:val="18"/>
                <w:szCs w:val="18"/>
                <w:lang w:eastAsia="en-GB"/>
              </w:rPr>
              <w:t>Scenarios</w:t>
            </w:r>
          </w:p>
        </w:tc>
        <w:tc>
          <w:tcPr>
            <w:tcW w:w="902" w:type="pct"/>
            <w:shd w:val="clear" w:color="auto" w:fill="FFFFFF"/>
            <w:vAlign w:val="center"/>
          </w:tcPr>
          <w:p w14:paraId="25B8070C" w14:textId="77777777" w:rsidR="005E317E" w:rsidRPr="00064185" w:rsidRDefault="005E317E" w:rsidP="00EA61D8">
            <w:pPr>
              <w:spacing w:before="60" w:after="60" w:line="276" w:lineRule="auto"/>
              <w:rPr>
                <w:rFonts w:eastAsia="Calibri"/>
                <w:b/>
                <w:sz w:val="18"/>
                <w:lang w:eastAsia="en-GB"/>
              </w:rPr>
            </w:pPr>
            <w:r w:rsidRPr="00064185">
              <w:rPr>
                <w:rFonts w:eastAsia="Calibri" w:cs="Arial"/>
                <w:b/>
                <w:bCs/>
                <w:sz w:val="18"/>
                <w:szCs w:val="18"/>
                <w:lang w:eastAsia="en-GB"/>
              </w:rPr>
              <w:t>PEC/PNEC</w:t>
            </w:r>
            <w:r w:rsidRPr="00064185">
              <w:rPr>
                <w:rFonts w:eastAsia="Calibri" w:cs="Arial"/>
                <w:b/>
                <w:bCs/>
                <w:sz w:val="18"/>
                <w:szCs w:val="18"/>
                <w:vertAlign w:val="subscript"/>
                <w:lang w:eastAsia="en-GB"/>
              </w:rPr>
              <w:t>STP</w:t>
            </w:r>
          </w:p>
        </w:tc>
        <w:tc>
          <w:tcPr>
            <w:tcW w:w="902" w:type="pct"/>
            <w:tcBorders>
              <w:top w:val="single" w:sz="4" w:space="0" w:color="auto"/>
            </w:tcBorders>
            <w:shd w:val="clear" w:color="auto" w:fill="FFFFFF"/>
            <w:vAlign w:val="center"/>
          </w:tcPr>
          <w:p w14:paraId="1FF32A88" w14:textId="77777777" w:rsidR="005E317E" w:rsidRPr="00064185" w:rsidRDefault="005E317E" w:rsidP="00EA61D8">
            <w:pPr>
              <w:spacing w:before="60" w:after="60" w:line="276" w:lineRule="auto"/>
              <w:rPr>
                <w:rFonts w:eastAsia="Calibri"/>
                <w:b/>
                <w:sz w:val="18"/>
                <w:lang w:eastAsia="en-GB"/>
              </w:rPr>
            </w:pPr>
            <w:r w:rsidRPr="00064185">
              <w:rPr>
                <w:rFonts w:eastAsia="Calibri" w:cs="Arial"/>
                <w:b/>
                <w:bCs/>
                <w:sz w:val="18"/>
                <w:szCs w:val="18"/>
                <w:lang w:eastAsia="en-GB"/>
              </w:rPr>
              <w:t>PEC/PNEC</w:t>
            </w:r>
            <w:r w:rsidRPr="00064185">
              <w:rPr>
                <w:rFonts w:eastAsia="Calibri" w:cs="Arial"/>
                <w:b/>
                <w:bCs/>
                <w:sz w:val="18"/>
                <w:szCs w:val="18"/>
                <w:vertAlign w:val="subscript"/>
                <w:lang w:eastAsia="en-GB"/>
              </w:rPr>
              <w:t>water</w:t>
            </w:r>
          </w:p>
        </w:tc>
        <w:tc>
          <w:tcPr>
            <w:tcW w:w="899" w:type="pct"/>
            <w:tcBorders>
              <w:top w:val="single" w:sz="4" w:space="0" w:color="auto"/>
            </w:tcBorders>
            <w:shd w:val="clear" w:color="auto" w:fill="FFFFFF"/>
            <w:vAlign w:val="center"/>
          </w:tcPr>
          <w:p w14:paraId="4EB36EB5" w14:textId="77777777" w:rsidR="005E317E" w:rsidRPr="00064185" w:rsidRDefault="005E317E" w:rsidP="00EA61D8">
            <w:pPr>
              <w:spacing w:before="60" w:after="60" w:line="276" w:lineRule="auto"/>
              <w:rPr>
                <w:rFonts w:eastAsia="Calibri"/>
                <w:b/>
                <w:sz w:val="18"/>
                <w:lang w:eastAsia="en-GB"/>
              </w:rPr>
            </w:pPr>
            <w:r w:rsidRPr="00064185">
              <w:rPr>
                <w:rFonts w:eastAsia="Calibri" w:cs="Arial"/>
                <w:b/>
                <w:sz w:val="18"/>
                <w:szCs w:val="18"/>
                <w:lang w:eastAsia="en-GB"/>
              </w:rPr>
              <w:t>PEC/PNEC</w:t>
            </w:r>
            <w:r w:rsidRPr="00064185">
              <w:rPr>
                <w:rFonts w:eastAsia="Calibri" w:cs="Arial"/>
                <w:b/>
                <w:sz w:val="18"/>
                <w:szCs w:val="18"/>
                <w:vertAlign w:val="subscript"/>
                <w:lang w:eastAsia="en-GB"/>
              </w:rPr>
              <w:t>sed</w:t>
            </w:r>
          </w:p>
        </w:tc>
        <w:tc>
          <w:tcPr>
            <w:tcW w:w="962" w:type="pct"/>
            <w:shd w:val="clear" w:color="auto" w:fill="FFFFFF"/>
            <w:vAlign w:val="center"/>
          </w:tcPr>
          <w:p w14:paraId="54AB04A6" w14:textId="77777777" w:rsidR="005E317E" w:rsidRPr="00064185" w:rsidRDefault="005E317E" w:rsidP="00EA61D8">
            <w:pPr>
              <w:spacing w:before="60" w:after="60" w:line="276" w:lineRule="auto"/>
              <w:rPr>
                <w:rFonts w:eastAsia="Calibri"/>
                <w:b/>
                <w:sz w:val="18"/>
                <w:lang w:eastAsia="en-GB"/>
              </w:rPr>
            </w:pPr>
            <w:r w:rsidRPr="00064185">
              <w:rPr>
                <w:rFonts w:eastAsia="Calibri" w:cs="Arial"/>
                <w:b/>
                <w:bCs/>
                <w:sz w:val="18"/>
                <w:szCs w:val="18"/>
                <w:lang w:eastAsia="en-GB"/>
              </w:rPr>
              <w:t>PEC/PNEC</w:t>
            </w:r>
            <w:r w:rsidRPr="00064185">
              <w:rPr>
                <w:rFonts w:eastAsia="Calibri" w:cs="Arial"/>
                <w:b/>
                <w:bCs/>
                <w:sz w:val="18"/>
                <w:szCs w:val="18"/>
                <w:vertAlign w:val="subscript"/>
                <w:lang w:eastAsia="en-GB"/>
              </w:rPr>
              <w:t>soil</w:t>
            </w:r>
          </w:p>
        </w:tc>
      </w:tr>
      <w:tr w:rsidR="00064185" w:rsidRPr="00064185" w14:paraId="41BEB28C" w14:textId="77777777" w:rsidTr="005E317E">
        <w:trPr>
          <w:trHeight w:val="249"/>
        </w:trPr>
        <w:tc>
          <w:tcPr>
            <w:tcW w:w="5000" w:type="pct"/>
            <w:gridSpan w:val="5"/>
            <w:shd w:val="clear" w:color="auto" w:fill="FFFFFF"/>
            <w:vAlign w:val="center"/>
          </w:tcPr>
          <w:p w14:paraId="48A01E7E" w14:textId="77777777" w:rsidR="005E317E" w:rsidRPr="00064185" w:rsidRDefault="005E317E" w:rsidP="00EA61D8">
            <w:pPr>
              <w:spacing w:before="60" w:after="60" w:line="276" w:lineRule="auto"/>
              <w:rPr>
                <w:rFonts w:eastAsia="Calibri" w:cs="Arial"/>
                <w:sz w:val="16"/>
                <w:szCs w:val="16"/>
                <w:lang w:eastAsia="en-GB"/>
              </w:rPr>
            </w:pPr>
            <w:r w:rsidRPr="00064185">
              <w:rPr>
                <w:rFonts w:eastAsia="Calibri" w:cs="Arial"/>
                <w:b/>
                <w:bCs/>
                <w:sz w:val="18"/>
                <w:szCs w:val="18"/>
                <w:lang w:eastAsia="en-GB"/>
              </w:rPr>
              <w:t>Spraying indoors, residual treatment</w:t>
            </w:r>
          </w:p>
        </w:tc>
      </w:tr>
      <w:tr w:rsidR="00064185" w:rsidRPr="00064185" w14:paraId="35A3037C" w14:textId="77777777" w:rsidTr="005E317E">
        <w:trPr>
          <w:cantSplit/>
          <w:trHeight w:val="292"/>
        </w:trPr>
        <w:tc>
          <w:tcPr>
            <w:tcW w:w="1335" w:type="pct"/>
            <w:shd w:val="clear" w:color="auto" w:fill="FFFFFF"/>
            <w:vAlign w:val="center"/>
          </w:tcPr>
          <w:p w14:paraId="4BD4787B" w14:textId="6FECB59C" w:rsidR="005E317E" w:rsidRPr="00064185" w:rsidRDefault="005E317E" w:rsidP="00EA61D8">
            <w:pPr>
              <w:spacing w:before="60" w:after="60" w:line="276" w:lineRule="auto"/>
              <w:ind w:right="113"/>
              <w:rPr>
                <w:rFonts w:eastAsia="Calibri" w:cs="Arial"/>
                <w:b/>
                <w:sz w:val="18"/>
                <w:szCs w:val="18"/>
                <w:lang w:eastAsia="en-GB"/>
              </w:rPr>
            </w:pPr>
            <w:proofErr w:type="gramStart"/>
            <w:r w:rsidRPr="00064185">
              <w:rPr>
                <w:rFonts w:eastAsia="Calibri" w:cs="Arial"/>
                <w:b/>
                <w:sz w:val="18"/>
                <w:szCs w:val="18"/>
                <w:lang w:eastAsia="en-GB"/>
              </w:rPr>
              <w:t>Ants</w:t>
            </w:r>
            <w:r w:rsidR="007D6BB5" w:rsidRPr="00064185">
              <w:rPr>
                <w:rFonts w:eastAsia="Calibri" w:cs="Arial"/>
                <w:b/>
                <w:sz w:val="18"/>
                <w:szCs w:val="18"/>
                <w:lang w:eastAsia="en-GB"/>
              </w:rPr>
              <w:t>,</w:t>
            </w:r>
            <w:proofErr w:type="gramEnd"/>
            <w:r w:rsidR="007D6BB5" w:rsidRPr="00064185">
              <w:rPr>
                <w:rFonts w:eastAsia="Calibri" w:cs="Arial"/>
                <w:b/>
                <w:sz w:val="18"/>
                <w:szCs w:val="18"/>
                <w:lang w:eastAsia="en-GB"/>
              </w:rPr>
              <w:t xml:space="preserve"> max. 11 appl./year</w:t>
            </w:r>
          </w:p>
        </w:tc>
        <w:tc>
          <w:tcPr>
            <w:tcW w:w="902" w:type="pct"/>
            <w:shd w:val="clear" w:color="auto" w:fill="FFFFFF"/>
            <w:vAlign w:val="center"/>
          </w:tcPr>
          <w:p w14:paraId="311ED56F" w14:textId="77777777" w:rsidR="005E317E" w:rsidRPr="00064185" w:rsidRDefault="005E317E" w:rsidP="00EA61D8">
            <w:pPr>
              <w:autoSpaceDE w:val="0"/>
              <w:autoSpaceDN w:val="0"/>
              <w:adjustRightInd w:val="0"/>
              <w:spacing w:before="60" w:after="60" w:line="260" w:lineRule="atLeast"/>
              <w:rPr>
                <w:rFonts w:eastAsia="Calibri"/>
                <w:sz w:val="18"/>
                <w:lang w:eastAsia="en-GB"/>
              </w:rPr>
            </w:pPr>
            <w:r w:rsidRPr="00064185">
              <w:t>6.56E-3</w:t>
            </w:r>
          </w:p>
        </w:tc>
        <w:tc>
          <w:tcPr>
            <w:tcW w:w="902" w:type="pct"/>
            <w:shd w:val="clear" w:color="auto" w:fill="FFFFFF"/>
            <w:vAlign w:val="center"/>
          </w:tcPr>
          <w:p w14:paraId="06EED97F" w14:textId="77777777" w:rsidR="005E317E" w:rsidRPr="00064185" w:rsidRDefault="005E317E" w:rsidP="00EA61D8">
            <w:pPr>
              <w:rPr>
                <w:b/>
              </w:rPr>
            </w:pPr>
            <w:r w:rsidRPr="00064185">
              <w:rPr>
                <w:b/>
              </w:rPr>
              <w:t>14.85</w:t>
            </w:r>
          </w:p>
        </w:tc>
        <w:tc>
          <w:tcPr>
            <w:tcW w:w="899" w:type="pct"/>
            <w:shd w:val="clear" w:color="auto" w:fill="FFFFFF"/>
            <w:vAlign w:val="center"/>
          </w:tcPr>
          <w:p w14:paraId="141A8C45" w14:textId="77777777" w:rsidR="005E317E" w:rsidRPr="00064185" w:rsidRDefault="005E317E" w:rsidP="00EA61D8">
            <w:pPr>
              <w:rPr>
                <w:b/>
              </w:rPr>
            </w:pPr>
            <w:r w:rsidRPr="00064185">
              <w:rPr>
                <w:b/>
              </w:rPr>
              <w:t>4.87</w:t>
            </w:r>
          </w:p>
        </w:tc>
        <w:tc>
          <w:tcPr>
            <w:tcW w:w="962" w:type="pct"/>
            <w:vAlign w:val="center"/>
          </w:tcPr>
          <w:p w14:paraId="5983F035" w14:textId="77777777" w:rsidR="005E317E" w:rsidRPr="00064185" w:rsidRDefault="005E317E" w:rsidP="00EA61D8">
            <w:r w:rsidRPr="00064185">
              <w:t>0.37</w:t>
            </w:r>
          </w:p>
        </w:tc>
      </w:tr>
      <w:tr w:rsidR="00064185" w:rsidRPr="00064185" w14:paraId="414D1EE4" w14:textId="77777777" w:rsidTr="005E317E">
        <w:trPr>
          <w:cantSplit/>
          <w:trHeight w:val="292"/>
        </w:trPr>
        <w:tc>
          <w:tcPr>
            <w:tcW w:w="1335" w:type="pct"/>
            <w:shd w:val="clear" w:color="auto" w:fill="FFFFFF"/>
            <w:vAlign w:val="center"/>
          </w:tcPr>
          <w:p w14:paraId="49C98AE8" w14:textId="77777777" w:rsidR="005E317E" w:rsidRPr="00064185" w:rsidRDefault="005E317E" w:rsidP="00EA61D8">
            <w:pPr>
              <w:spacing w:before="60" w:after="60" w:line="276" w:lineRule="auto"/>
              <w:ind w:right="113"/>
              <w:rPr>
                <w:rFonts w:eastAsia="Calibri" w:cs="Arial"/>
                <w:b/>
                <w:sz w:val="18"/>
                <w:szCs w:val="18"/>
                <w:lang w:eastAsia="en-GB"/>
              </w:rPr>
            </w:pPr>
            <w:r w:rsidRPr="00064185">
              <w:rPr>
                <w:rFonts w:eastAsia="Calibri" w:cs="Arial"/>
                <w:b/>
                <w:sz w:val="18"/>
                <w:szCs w:val="18"/>
                <w:lang w:eastAsia="en-GB"/>
              </w:rPr>
              <w:t>Silverfish &amp; Cockroaches,  weekly</w:t>
            </w:r>
          </w:p>
        </w:tc>
        <w:tc>
          <w:tcPr>
            <w:tcW w:w="902" w:type="pct"/>
            <w:shd w:val="clear" w:color="auto" w:fill="FFFFFF"/>
            <w:vAlign w:val="center"/>
          </w:tcPr>
          <w:p w14:paraId="53E2BE79" w14:textId="77777777" w:rsidR="005E317E" w:rsidRPr="00064185" w:rsidRDefault="005E317E" w:rsidP="00EA61D8">
            <w:pPr>
              <w:autoSpaceDE w:val="0"/>
              <w:autoSpaceDN w:val="0"/>
              <w:adjustRightInd w:val="0"/>
              <w:spacing w:before="60" w:after="60" w:line="260" w:lineRule="atLeast"/>
              <w:rPr>
                <w:rFonts w:eastAsia="Calibri"/>
                <w:sz w:val="18"/>
                <w:lang w:eastAsia="en-GB"/>
              </w:rPr>
            </w:pPr>
            <w:r w:rsidRPr="00064185">
              <w:t>5.0E-2</w:t>
            </w:r>
          </w:p>
        </w:tc>
        <w:tc>
          <w:tcPr>
            <w:tcW w:w="902" w:type="pct"/>
            <w:shd w:val="clear" w:color="auto" w:fill="FFFFFF"/>
            <w:vAlign w:val="center"/>
          </w:tcPr>
          <w:p w14:paraId="3CB1F9C7" w14:textId="77777777" w:rsidR="005E317E" w:rsidRPr="00064185" w:rsidRDefault="005E317E" w:rsidP="00EA61D8">
            <w:pPr>
              <w:rPr>
                <w:b/>
              </w:rPr>
            </w:pPr>
            <w:r w:rsidRPr="00064185">
              <w:rPr>
                <w:b/>
              </w:rPr>
              <w:t>112</w:t>
            </w:r>
          </w:p>
        </w:tc>
        <w:tc>
          <w:tcPr>
            <w:tcW w:w="899" w:type="pct"/>
            <w:shd w:val="clear" w:color="auto" w:fill="FFFFFF"/>
            <w:vAlign w:val="center"/>
          </w:tcPr>
          <w:p w14:paraId="12C82E9F" w14:textId="77777777" w:rsidR="005E317E" w:rsidRPr="00064185" w:rsidRDefault="005E317E" w:rsidP="00EA61D8">
            <w:pPr>
              <w:rPr>
                <w:b/>
              </w:rPr>
            </w:pPr>
            <w:r w:rsidRPr="00064185">
              <w:rPr>
                <w:b/>
              </w:rPr>
              <w:t>36.66</w:t>
            </w:r>
          </w:p>
        </w:tc>
        <w:tc>
          <w:tcPr>
            <w:tcW w:w="962" w:type="pct"/>
            <w:vAlign w:val="center"/>
          </w:tcPr>
          <w:p w14:paraId="24B14FBF" w14:textId="77777777" w:rsidR="005E317E" w:rsidRPr="00064185" w:rsidRDefault="005E317E" w:rsidP="00EA61D8">
            <w:pPr>
              <w:rPr>
                <w:b/>
              </w:rPr>
            </w:pPr>
            <w:r w:rsidRPr="00064185">
              <w:rPr>
                <w:b/>
              </w:rPr>
              <w:t>2.80</w:t>
            </w:r>
          </w:p>
        </w:tc>
      </w:tr>
      <w:tr w:rsidR="00064185" w:rsidRPr="00064185" w14:paraId="5DFFDE6A" w14:textId="77777777" w:rsidTr="005E317E">
        <w:trPr>
          <w:cantSplit/>
          <w:trHeight w:val="292"/>
        </w:trPr>
        <w:tc>
          <w:tcPr>
            <w:tcW w:w="1335" w:type="pct"/>
            <w:shd w:val="clear" w:color="auto" w:fill="FFFFFF"/>
            <w:vAlign w:val="center"/>
          </w:tcPr>
          <w:p w14:paraId="46A6D5C3" w14:textId="77777777" w:rsidR="005E317E" w:rsidRPr="00064185" w:rsidRDefault="005E317E" w:rsidP="00EA61D8">
            <w:pPr>
              <w:spacing w:before="60" w:after="60" w:line="276" w:lineRule="auto"/>
              <w:ind w:right="113"/>
              <w:rPr>
                <w:rFonts w:eastAsia="Calibri" w:cs="Arial"/>
                <w:b/>
                <w:sz w:val="18"/>
                <w:szCs w:val="18"/>
                <w:lang w:eastAsia="en-GB"/>
              </w:rPr>
            </w:pPr>
            <w:r w:rsidRPr="00064185">
              <w:rPr>
                <w:rFonts w:eastAsia="Calibri" w:cs="Arial"/>
                <w:b/>
                <w:sz w:val="18"/>
                <w:szCs w:val="18"/>
                <w:lang w:eastAsia="en-GB"/>
              </w:rPr>
              <w:t>Wood lice &amp; Cockroaches,      twice a year</w:t>
            </w:r>
          </w:p>
        </w:tc>
        <w:tc>
          <w:tcPr>
            <w:tcW w:w="902" w:type="pct"/>
            <w:shd w:val="clear" w:color="auto" w:fill="FFFFFF"/>
            <w:vAlign w:val="center"/>
          </w:tcPr>
          <w:p w14:paraId="096377E1" w14:textId="77777777" w:rsidR="005E317E" w:rsidRPr="00064185" w:rsidRDefault="005E317E" w:rsidP="00EA61D8">
            <w:pPr>
              <w:autoSpaceDE w:val="0"/>
              <w:autoSpaceDN w:val="0"/>
              <w:adjustRightInd w:val="0"/>
              <w:spacing w:before="60" w:after="60" w:line="260" w:lineRule="atLeast"/>
            </w:pPr>
            <w:r w:rsidRPr="00064185">
              <w:t>3.64E-3</w:t>
            </w:r>
          </w:p>
        </w:tc>
        <w:tc>
          <w:tcPr>
            <w:tcW w:w="902" w:type="pct"/>
            <w:shd w:val="clear" w:color="auto" w:fill="FFFFFF"/>
            <w:vAlign w:val="center"/>
          </w:tcPr>
          <w:p w14:paraId="47FAA4A4" w14:textId="77777777" w:rsidR="005E317E" w:rsidRPr="00064185" w:rsidRDefault="005E317E" w:rsidP="00EA61D8">
            <w:pPr>
              <w:rPr>
                <w:b/>
              </w:rPr>
            </w:pPr>
            <w:r w:rsidRPr="00064185">
              <w:rPr>
                <w:b/>
              </w:rPr>
              <w:t>8.25</w:t>
            </w:r>
          </w:p>
        </w:tc>
        <w:tc>
          <w:tcPr>
            <w:tcW w:w="899" w:type="pct"/>
            <w:shd w:val="clear" w:color="auto" w:fill="FFFFFF"/>
            <w:vAlign w:val="center"/>
          </w:tcPr>
          <w:p w14:paraId="758B005D" w14:textId="77777777" w:rsidR="005E317E" w:rsidRPr="00064185" w:rsidRDefault="005E317E" w:rsidP="00EA61D8">
            <w:pPr>
              <w:rPr>
                <w:b/>
              </w:rPr>
            </w:pPr>
            <w:r w:rsidRPr="00064185">
              <w:rPr>
                <w:b/>
              </w:rPr>
              <w:t>2.71</w:t>
            </w:r>
          </w:p>
        </w:tc>
        <w:tc>
          <w:tcPr>
            <w:tcW w:w="962" w:type="pct"/>
            <w:vAlign w:val="center"/>
          </w:tcPr>
          <w:p w14:paraId="7099F95A" w14:textId="77777777" w:rsidR="005E317E" w:rsidRPr="00064185" w:rsidRDefault="005E317E" w:rsidP="00EA61D8">
            <w:r w:rsidRPr="00064185">
              <w:t>0.21</w:t>
            </w:r>
          </w:p>
        </w:tc>
      </w:tr>
      <w:tr w:rsidR="00064185" w:rsidRPr="00064185" w14:paraId="12799CC3" w14:textId="77777777" w:rsidTr="005E317E">
        <w:trPr>
          <w:cantSplit/>
          <w:trHeight w:val="410"/>
        </w:trPr>
        <w:tc>
          <w:tcPr>
            <w:tcW w:w="5000" w:type="pct"/>
            <w:gridSpan w:val="5"/>
            <w:shd w:val="clear" w:color="auto" w:fill="FFFFFF"/>
            <w:vAlign w:val="center"/>
          </w:tcPr>
          <w:p w14:paraId="3C0477ED" w14:textId="569BA72F" w:rsidR="005E317E" w:rsidRPr="00064185" w:rsidRDefault="005E317E" w:rsidP="00EA61D8">
            <w:pPr>
              <w:rPr>
                <w:highlight w:val="yellow"/>
              </w:rPr>
            </w:pPr>
            <w:r w:rsidRPr="00064185">
              <w:rPr>
                <w:rFonts w:eastAsia="Calibri" w:cs="Arial"/>
                <w:b/>
                <w:bCs/>
                <w:sz w:val="18"/>
                <w:szCs w:val="18"/>
                <w:lang w:eastAsia="en-GB"/>
              </w:rPr>
              <w:t xml:space="preserve">Spraying indoors, direct treatment of </w:t>
            </w:r>
            <w:r w:rsidR="00C82869" w:rsidRPr="00064185">
              <w:rPr>
                <w:rFonts w:eastAsia="Calibri" w:cs="Arial"/>
                <w:b/>
                <w:bCs/>
                <w:sz w:val="18"/>
                <w:szCs w:val="18"/>
                <w:lang w:eastAsia="en-GB"/>
              </w:rPr>
              <w:t>target organisms</w:t>
            </w:r>
          </w:p>
        </w:tc>
      </w:tr>
      <w:tr w:rsidR="00064185" w:rsidRPr="00064185" w14:paraId="7FC83F8F" w14:textId="77777777" w:rsidTr="005E317E">
        <w:trPr>
          <w:cantSplit/>
          <w:trHeight w:val="292"/>
        </w:trPr>
        <w:tc>
          <w:tcPr>
            <w:tcW w:w="1335" w:type="pct"/>
            <w:shd w:val="clear" w:color="auto" w:fill="FFFFFF"/>
            <w:vAlign w:val="center"/>
          </w:tcPr>
          <w:p w14:paraId="5E7F9A43" w14:textId="77777777" w:rsidR="005E317E" w:rsidRPr="00064185" w:rsidRDefault="005E317E" w:rsidP="00EA61D8">
            <w:pPr>
              <w:spacing w:before="60" w:after="60" w:line="276" w:lineRule="auto"/>
              <w:ind w:right="113"/>
              <w:rPr>
                <w:rFonts w:eastAsia="Calibri" w:cs="Arial"/>
                <w:b/>
                <w:sz w:val="18"/>
                <w:szCs w:val="18"/>
                <w:lang w:eastAsia="en-GB"/>
              </w:rPr>
            </w:pPr>
            <w:r w:rsidRPr="00064185">
              <w:rPr>
                <w:rFonts w:eastAsia="Calibri" w:cs="Arial"/>
                <w:b/>
                <w:sz w:val="18"/>
                <w:szCs w:val="18"/>
                <w:lang w:eastAsia="en-GB"/>
              </w:rPr>
              <w:t>Silverfish &amp; Cockroaches, weekly</w:t>
            </w:r>
          </w:p>
        </w:tc>
        <w:tc>
          <w:tcPr>
            <w:tcW w:w="902" w:type="pct"/>
            <w:shd w:val="clear" w:color="auto" w:fill="FFFFFF"/>
            <w:vAlign w:val="center"/>
          </w:tcPr>
          <w:p w14:paraId="604DE9BC" w14:textId="77777777" w:rsidR="005E317E" w:rsidRPr="00064185" w:rsidRDefault="005E317E" w:rsidP="00EA61D8">
            <w:pPr>
              <w:rPr>
                <w:highlight w:val="yellow"/>
              </w:rPr>
            </w:pPr>
            <w:r w:rsidRPr="00064185">
              <w:t>6.0E-2</w:t>
            </w:r>
          </w:p>
        </w:tc>
        <w:tc>
          <w:tcPr>
            <w:tcW w:w="902" w:type="pct"/>
            <w:shd w:val="clear" w:color="auto" w:fill="FFFFFF"/>
            <w:vAlign w:val="center"/>
          </w:tcPr>
          <w:p w14:paraId="280CB2A1" w14:textId="77777777" w:rsidR="005E317E" w:rsidRPr="00064185" w:rsidRDefault="005E317E" w:rsidP="00EA61D8">
            <w:pPr>
              <w:rPr>
                <w:b/>
                <w:highlight w:val="yellow"/>
              </w:rPr>
            </w:pPr>
            <w:r w:rsidRPr="00064185">
              <w:rPr>
                <w:b/>
              </w:rPr>
              <w:t>137.5</w:t>
            </w:r>
          </w:p>
        </w:tc>
        <w:tc>
          <w:tcPr>
            <w:tcW w:w="899" w:type="pct"/>
            <w:shd w:val="clear" w:color="auto" w:fill="FFFFFF"/>
            <w:vAlign w:val="center"/>
          </w:tcPr>
          <w:p w14:paraId="0A2DA275" w14:textId="77777777" w:rsidR="005E317E" w:rsidRPr="00064185" w:rsidRDefault="005E317E" w:rsidP="00EA61D8">
            <w:pPr>
              <w:rPr>
                <w:b/>
                <w:highlight w:val="yellow"/>
              </w:rPr>
            </w:pPr>
            <w:r w:rsidRPr="00064185">
              <w:rPr>
                <w:b/>
              </w:rPr>
              <w:t>45.12</w:t>
            </w:r>
          </w:p>
        </w:tc>
        <w:tc>
          <w:tcPr>
            <w:tcW w:w="962" w:type="pct"/>
            <w:shd w:val="clear" w:color="auto" w:fill="FFFFFF"/>
            <w:vAlign w:val="center"/>
          </w:tcPr>
          <w:p w14:paraId="13BE1F6C" w14:textId="77777777" w:rsidR="005E317E" w:rsidRPr="00064185" w:rsidRDefault="005E317E" w:rsidP="00EA61D8">
            <w:pPr>
              <w:rPr>
                <w:b/>
                <w:highlight w:val="yellow"/>
              </w:rPr>
            </w:pPr>
            <w:r w:rsidRPr="00064185">
              <w:rPr>
                <w:b/>
              </w:rPr>
              <w:t>3.45</w:t>
            </w:r>
          </w:p>
        </w:tc>
      </w:tr>
      <w:tr w:rsidR="00064185" w:rsidRPr="00064185" w14:paraId="4A2863AD" w14:textId="77777777" w:rsidTr="005E317E">
        <w:trPr>
          <w:cantSplit/>
          <w:trHeight w:val="292"/>
        </w:trPr>
        <w:tc>
          <w:tcPr>
            <w:tcW w:w="1335" w:type="pct"/>
            <w:shd w:val="clear" w:color="auto" w:fill="FFFFFF"/>
            <w:vAlign w:val="center"/>
          </w:tcPr>
          <w:p w14:paraId="403B3C2C" w14:textId="77777777" w:rsidR="005E317E" w:rsidRPr="00064185" w:rsidRDefault="005E317E" w:rsidP="00EA61D8">
            <w:pPr>
              <w:spacing w:before="60" w:after="60" w:line="276" w:lineRule="auto"/>
              <w:ind w:right="113"/>
              <w:rPr>
                <w:rFonts w:eastAsia="Calibri" w:cs="Arial"/>
                <w:b/>
                <w:sz w:val="18"/>
                <w:szCs w:val="18"/>
                <w:lang w:eastAsia="en-GB"/>
              </w:rPr>
            </w:pPr>
            <w:r w:rsidRPr="00064185">
              <w:rPr>
                <w:rFonts w:eastAsia="Calibri" w:cs="Arial"/>
                <w:b/>
                <w:sz w:val="18"/>
                <w:szCs w:val="18"/>
                <w:lang w:eastAsia="en-GB"/>
              </w:rPr>
              <w:t>Cockroaches,     twice a year</w:t>
            </w:r>
          </w:p>
        </w:tc>
        <w:tc>
          <w:tcPr>
            <w:tcW w:w="902" w:type="pct"/>
            <w:shd w:val="clear" w:color="auto" w:fill="FFFFFF"/>
            <w:vAlign w:val="center"/>
          </w:tcPr>
          <w:p w14:paraId="3B803B20" w14:textId="77777777" w:rsidR="005E317E" w:rsidRPr="00064185" w:rsidRDefault="005E317E" w:rsidP="00EA61D8">
            <w:r w:rsidRPr="00064185">
              <w:t>4.52E-3</w:t>
            </w:r>
          </w:p>
        </w:tc>
        <w:tc>
          <w:tcPr>
            <w:tcW w:w="902" w:type="pct"/>
            <w:shd w:val="clear" w:color="auto" w:fill="FFFFFF"/>
            <w:vAlign w:val="center"/>
          </w:tcPr>
          <w:p w14:paraId="41691DFB" w14:textId="77777777" w:rsidR="005E317E" w:rsidRPr="00064185" w:rsidRDefault="005E317E" w:rsidP="00EA61D8">
            <w:pPr>
              <w:rPr>
                <w:b/>
              </w:rPr>
            </w:pPr>
            <w:r w:rsidRPr="00064185">
              <w:rPr>
                <w:b/>
              </w:rPr>
              <w:t>10.2</w:t>
            </w:r>
          </w:p>
        </w:tc>
        <w:tc>
          <w:tcPr>
            <w:tcW w:w="899" w:type="pct"/>
            <w:shd w:val="clear" w:color="auto" w:fill="FFFFFF"/>
            <w:vAlign w:val="center"/>
          </w:tcPr>
          <w:p w14:paraId="78AFFA7A" w14:textId="77777777" w:rsidR="005E317E" w:rsidRPr="00064185" w:rsidRDefault="005E317E" w:rsidP="00EA61D8">
            <w:pPr>
              <w:rPr>
                <w:b/>
              </w:rPr>
            </w:pPr>
            <w:r w:rsidRPr="00064185">
              <w:rPr>
                <w:b/>
              </w:rPr>
              <w:t>3.34</w:t>
            </w:r>
          </w:p>
        </w:tc>
        <w:tc>
          <w:tcPr>
            <w:tcW w:w="962" w:type="pct"/>
            <w:shd w:val="clear" w:color="auto" w:fill="FFFFFF"/>
            <w:vAlign w:val="center"/>
          </w:tcPr>
          <w:p w14:paraId="1229016D" w14:textId="77777777" w:rsidR="005E317E" w:rsidRPr="00064185" w:rsidRDefault="005E317E" w:rsidP="00EA61D8">
            <w:r w:rsidRPr="00064185">
              <w:t>0.26</w:t>
            </w:r>
          </w:p>
        </w:tc>
      </w:tr>
      <w:tr w:rsidR="00064185" w:rsidRPr="00064185" w14:paraId="05FE4B08" w14:textId="77777777" w:rsidTr="005E317E">
        <w:trPr>
          <w:cantSplit/>
          <w:trHeight w:val="292"/>
        </w:trPr>
        <w:tc>
          <w:tcPr>
            <w:tcW w:w="1335" w:type="pct"/>
            <w:shd w:val="clear" w:color="auto" w:fill="FFFFFF"/>
            <w:vAlign w:val="center"/>
          </w:tcPr>
          <w:p w14:paraId="0A84BCB7" w14:textId="77777777" w:rsidR="005E317E" w:rsidRPr="00064185" w:rsidRDefault="005E317E" w:rsidP="00EA61D8">
            <w:pPr>
              <w:spacing w:before="60" w:after="60" w:line="276" w:lineRule="auto"/>
              <w:ind w:right="113"/>
              <w:rPr>
                <w:rFonts w:eastAsia="Calibri" w:cs="Arial"/>
                <w:b/>
                <w:sz w:val="18"/>
                <w:szCs w:val="18"/>
                <w:lang w:eastAsia="en-GB"/>
              </w:rPr>
            </w:pPr>
            <w:r w:rsidRPr="00064185">
              <w:rPr>
                <w:rFonts w:eastAsia="Calibri" w:cs="Arial"/>
                <w:b/>
                <w:sz w:val="18"/>
                <w:szCs w:val="18"/>
                <w:lang w:eastAsia="en-GB"/>
              </w:rPr>
              <w:t>Wood lice,          twice a year</w:t>
            </w:r>
          </w:p>
        </w:tc>
        <w:tc>
          <w:tcPr>
            <w:tcW w:w="902" w:type="pct"/>
            <w:shd w:val="clear" w:color="auto" w:fill="FFFFFF"/>
            <w:vAlign w:val="center"/>
          </w:tcPr>
          <w:p w14:paraId="21487C4B" w14:textId="77777777" w:rsidR="005E317E" w:rsidRPr="00064185" w:rsidRDefault="005E317E" w:rsidP="00EA61D8">
            <w:pPr>
              <w:rPr>
                <w:highlight w:val="yellow"/>
              </w:rPr>
            </w:pPr>
            <w:r w:rsidRPr="00064185">
              <w:t>6.20E-3</w:t>
            </w:r>
          </w:p>
        </w:tc>
        <w:tc>
          <w:tcPr>
            <w:tcW w:w="902" w:type="pct"/>
            <w:shd w:val="clear" w:color="auto" w:fill="FFFFFF"/>
            <w:vAlign w:val="center"/>
          </w:tcPr>
          <w:p w14:paraId="74D50B7B" w14:textId="77777777" w:rsidR="005E317E" w:rsidRPr="00064185" w:rsidRDefault="005E317E" w:rsidP="00EA61D8">
            <w:pPr>
              <w:rPr>
                <w:b/>
                <w:highlight w:val="yellow"/>
              </w:rPr>
            </w:pPr>
            <w:r w:rsidRPr="00064185">
              <w:rPr>
                <w:b/>
              </w:rPr>
              <w:t>14.05</w:t>
            </w:r>
          </w:p>
        </w:tc>
        <w:tc>
          <w:tcPr>
            <w:tcW w:w="899" w:type="pct"/>
            <w:shd w:val="clear" w:color="auto" w:fill="FFFFFF"/>
            <w:vAlign w:val="center"/>
          </w:tcPr>
          <w:p w14:paraId="2C265D67" w14:textId="77777777" w:rsidR="005E317E" w:rsidRPr="00064185" w:rsidRDefault="005E317E" w:rsidP="00EA61D8">
            <w:pPr>
              <w:rPr>
                <w:b/>
                <w:highlight w:val="yellow"/>
              </w:rPr>
            </w:pPr>
            <w:r w:rsidRPr="00064185">
              <w:rPr>
                <w:b/>
              </w:rPr>
              <w:t>4.60</w:t>
            </w:r>
          </w:p>
        </w:tc>
        <w:tc>
          <w:tcPr>
            <w:tcW w:w="962" w:type="pct"/>
            <w:shd w:val="clear" w:color="auto" w:fill="FFFFFF"/>
            <w:vAlign w:val="center"/>
          </w:tcPr>
          <w:p w14:paraId="56DA0BAA" w14:textId="77777777" w:rsidR="005E317E" w:rsidRPr="00064185" w:rsidRDefault="005E317E" w:rsidP="00EA61D8">
            <w:pPr>
              <w:rPr>
                <w:highlight w:val="yellow"/>
              </w:rPr>
            </w:pPr>
            <w:r w:rsidRPr="00064185">
              <w:t>0.35</w:t>
            </w:r>
          </w:p>
        </w:tc>
      </w:tr>
      <w:tr w:rsidR="00064185" w:rsidRPr="00064185" w14:paraId="68DD950B" w14:textId="77777777" w:rsidTr="005E317E">
        <w:trPr>
          <w:cantSplit/>
          <w:trHeight w:val="405"/>
        </w:trPr>
        <w:tc>
          <w:tcPr>
            <w:tcW w:w="5000" w:type="pct"/>
            <w:gridSpan w:val="5"/>
            <w:shd w:val="clear" w:color="auto" w:fill="FFFFFF"/>
            <w:vAlign w:val="center"/>
          </w:tcPr>
          <w:p w14:paraId="07913652" w14:textId="77777777" w:rsidR="005E317E" w:rsidRPr="00064185" w:rsidRDefault="005E317E" w:rsidP="00EA61D8">
            <w:pPr>
              <w:rPr>
                <w:highlight w:val="yellow"/>
              </w:rPr>
            </w:pPr>
            <w:r w:rsidRPr="00064185">
              <w:rPr>
                <w:rFonts w:eastAsia="Calibri" w:cs="Arial"/>
                <w:b/>
                <w:sz w:val="18"/>
                <w:szCs w:val="18"/>
                <w:lang w:eastAsia="en-GB"/>
              </w:rPr>
              <w:t xml:space="preserve">Spraying, outdoors, </w:t>
            </w:r>
            <w:r w:rsidRPr="00064185">
              <w:rPr>
                <w:rFonts w:eastAsia="Calibri" w:cs="Arial"/>
                <w:b/>
                <w:bCs/>
                <w:sz w:val="18"/>
                <w:szCs w:val="18"/>
                <w:lang w:eastAsia="en-GB"/>
              </w:rPr>
              <w:t>residual treatment</w:t>
            </w:r>
          </w:p>
        </w:tc>
      </w:tr>
      <w:tr w:rsidR="00064185" w:rsidRPr="00064185" w14:paraId="6A382510" w14:textId="77777777" w:rsidTr="005E317E">
        <w:trPr>
          <w:cantSplit/>
          <w:trHeight w:val="494"/>
        </w:trPr>
        <w:tc>
          <w:tcPr>
            <w:tcW w:w="1335" w:type="pct"/>
            <w:shd w:val="clear" w:color="auto" w:fill="FFFFFF"/>
            <w:vAlign w:val="center"/>
          </w:tcPr>
          <w:p w14:paraId="17ABBC1D" w14:textId="0BE0D9AB" w:rsidR="005E317E" w:rsidRPr="00064185" w:rsidRDefault="005E317E" w:rsidP="00EA61D8">
            <w:pPr>
              <w:spacing w:before="60" w:after="60" w:line="276" w:lineRule="auto"/>
              <w:rPr>
                <w:rFonts w:eastAsia="Calibri" w:cs="Arial"/>
                <w:b/>
                <w:sz w:val="18"/>
                <w:szCs w:val="18"/>
                <w:lang w:eastAsia="en-GB"/>
              </w:rPr>
            </w:pPr>
            <w:r w:rsidRPr="00064185">
              <w:rPr>
                <w:rFonts w:eastAsia="Calibri" w:cs="Arial"/>
                <w:b/>
                <w:sz w:val="18"/>
                <w:szCs w:val="18"/>
                <w:lang w:eastAsia="en-GB"/>
              </w:rPr>
              <w:t>Ants</w:t>
            </w:r>
            <w:r w:rsidR="008B2137" w:rsidRPr="00064185">
              <w:rPr>
                <w:rFonts w:eastAsia="Calibri" w:cs="Arial"/>
                <w:b/>
                <w:sz w:val="18"/>
                <w:szCs w:val="18"/>
                <w:lang w:eastAsia="en-GB"/>
              </w:rPr>
              <w:t>,</w:t>
            </w:r>
            <w:r w:rsidRPr="00064185">
              <w:rPr>
                <w:rFonts w:eastAsia="Calibri" w:cs="Arial"/>
                <w:b/>
                <w:sz w:val="18"/>
                <w:szCs w:val="18"/>
                <w:lang w:eastAsia="en-GB"/>
              </w:rPr>
              <w:t xml:space="preserve"> </w:t>
            </w:r>
            <w:r w:rsidRPr="00064185">
              <w:rPr>
                <w:sz w:val="16"/>
                <w:szCs w:val="16"/>
              </w:rPr>
              <w:t>(urban area)</w:t>
            </w:r>
            <w:r w:rsidR="007D6BB5" w:rsidRPr="00064185">
              <w:rPr>
                <w:sz w:val="16"/>
                <w:szCs w:val="16"/>
              </w:rPr>
              <w:t xml:space="preserve">, </w:t>
            </w:r>
            <w:r w:rsidR="007D6BB5" w:rsidRPr="00064185">
              <w:rPr>
                <w:rFonts w:eastAsia="Calibri" w:cs="Arial"/>
                <w:b/>
                <w:sz w:val="18"/>
                <w:szCs w:val="18"/>
                <w:lang w:eastAsia="en-GB"/>
              </w:rPr>
              <w:t>max. 11 appl./year</w:t>
            </w:r>
          </w:p>
        </w:tc>
        <w:tc>
          <w:tcPr>
            <w:tcW w:w="902" w:type="pct"/>
            <w:shd w:val="clear" w:color="auto" w:fill="FFFFFF"/>
            <w:vAlign w:val="center"/>
          </w:tcPr>
          <w:p w14:paraId="325C5457" w14:textId="77777777" w:rsidR="005E317E" w:rsidRPr="00064185" w:rsidRDefault="005E317E" w:rsidP="00EA61D8">
            <w:r w:rsidRPr="00064185">
              <w:t>5.2E-3</w:t>
            </w:r>
          </w:p>
        </w:tc>
        <w:tc>
          <w:tcPr>
            <w:tcW w:w="902" w:type="pct"/>
            <w:shd w:val="clear" w:color="auto" w:fill="FFFFFF"/>
            <w:vAlign w:val="center"/>
          </w:tcPr>
          <w:p w14:paraId="1B1C631A" w14:textId="77777777" w:rsidR="005E317E" w:rsidRPr="00064185" w:rsidRDefault="005E317E" w:rsidP="00EA61D8">
            <w:pPr>
              <w:rPr>
                <w:b/>
              </w:rPr>
            </w:pPr>
            <w:r w:rsidRPr="00064185">
              <w:rPr>
                <w:b/>
              </w:rPr>
              <w:t>11.75</w:t>
            </w:r>
          </w:p>
        </w:tc>
        <w:tc>
          <w:tcPr>
            <w:tcW w:w="899" w:type="pct"/>
            <w:shd w:val="clear" w:color="auto" w:fill="FFFFFF"/>
            <w:vAlign w:val="center"/>
          </w:tcPr>
          <w:p w14:paraId="2B129997" w14:textId="77777777" w:rsidR="005E317E" w:rsidRPr="00064185" w:rsidRDefault="005E317E" w:rsidP="00EA61D8">
            <w:pPr>
              <w:rPr>
                <w:b/>
              </w:rPr>
            </w:pPr>
            <w:r w:rsidRPr="00064185">
              <w:rPr>
                <w:b/>
              </w:rPr>
              <w:t>4.25</w:t>
            </w:r>
          </w:p>
        </w:tc>
        <w:tc>
          <w:tcPr>
            <w:tcW w:w="962" w:type="pct"/>
            <w:shd w:val="clear" w:color="auto" w:fill="FFFFFF"/>
            <w:vAlign w:val="center"/>
          </w:tcPr>
          <w:p w14:paraId="039AF1BA" w14:textId="77777777" w:rsidR="005E317E" w:rsidRPr="00064185" w:rsidRDefault="005E317E" w:rsidP="00EA61D8">
            <w:r w:rsidRPr="00064185">
              <w:t>0.29</w:t>
            </w:r>
          </w:p>
        </w:tc>
      </w:tr>
      <w:tr w:rsidR="00064185" w:rsidRPr="00064185" w14:paraId="120233C5" w14:textId="77777777" w:rsidTr="005E317E">
        <w:trPr>
          <w:cantSplit/>
          <w:trHeight w:val="416"/>
        </w:trPr>
        <w:tc>
          <w:tcPr>
            <w:tcW w:w="1335" w:type="pct"/>
            <w:shd w:val="clear" w:color="auto" w:fill="FFFFFF"/>
            <w:vAlign w:val="center"/>
          </w:tcPr>
          <w:p w14:paraId="06F2D55F" w14:textId="4C0B2BF8" w:rsidR="005E317E" w:rsidRPr="00064185" w:rsidRDefault="005E317E" w:rsidP="00EA61D8">
            <w:pPr>
              <w:spacing w:before="60" w:after="60" w:line="276" w:lineRule="auto"/>
              <w:rPr>
                <w:rFonts w:eastAsia="Calibri" w:cs="Arial"/>
                <w:b/>
                <w:sz w:val="18"/>
                <w:szCs w:val="18"/>
                <w:lang w:eastAsia="en-GB"/>
              </w:rPr>
            </w:pPr>
            <w:r w:rsidRPr="00064185">
              <w:rPr>
                <w:rFonts w:eastAsia="Calibri" w:cs="Arial"/>
                <w:b/>
                <w:sz w:val="18"/>
                <w:szCs w:val="18"/>
                <w:lang w:eastAsia="en-GB"/>
              </w:rPr>
              <w:t>Ants</w:t>
            </w:r>
            <w:r w:rsidR="008B2137" w:rsidRPr="00064185">
              <w:rPr>
                <w:rFonts w:eastAsia="Calibri" w:cs="Arial"/>
                <w:b/>
                <w:sz w:val="18"/>
                <w:szCs w:val="18"/>
                <w:lang w:eastAsia="en-GB"/>
              </w:rPr>
              <w:t>,</w:t>
            </w:r>
            <w:r w:rsidRPr="00064185">
              <w:rPr>
                <w:rFonts w:eastAsia="Calibri" w:cs="Arial"/>
                <w:b/>
                <w:sz w:val="18"/>
                <w:szCs w:val="18"/>
                <w:lang w:eastAsia="en-GB"/>
              </w:rPr>
              <w:t xml:space="preserve"> </w:t>
            </w:r>
            <w:r w:rsidRPr="00064185">
              <w:rPr>
                <w:sz w:val="16"/>
                <w:szCs w:val="16"/>
              </w:rPr>
              <w:t>(rural area)</w:t>
            </w:r>
            <w:r w:rsidR="007D6BB5" w:rsidRPr="00064185">
              <w:rPr>
                <w:sz w:val="16"/>
                <w:szCs w:val="16"/>
              </w:rPr>
              <w:t xml:space="preserve">, </w:t>
            </w:r>
            <w:r w:rsidR="007D6BB5" w:rsidRPr="00064185">
              <w:rPr>
                <w:rFonts w:eastAsia="Calibri" w:cs="Arial"/>
                <w:b/>
                <w:sz w:val="18"/>
                <w:szCs w:val="18"/>
                <w:lang w:eastAsia="en-GB"/>
              </w:rPr>
              <w:t>max. 11 appl./year</w:t>
            </w:r>
          </w:p>
        </w:tc>
        <w:tc>
          <w:tcPr>
            <w:tcW w:w="902" w:type="pct"/>
            <w:shd w:val="clear" w:color="auto" w:fill="FFFFFF"/>
            <w:vAlign w:val="center"/>
          </w:tcPr>
          <w:p w14:paraId="2CF048F9" w14:textId="77777777" w:rsidR="005E317E" w:rsidRPr="00064185" w:rsidRDefault="005E317E" w:rsidP="00EA61D8">
            <w:pPr>
              <w:rPr>
                <w:rFonts w:eastAsia="Calibri"/>
                <w:lang w:eastAsia="en-US"/>
              </w:rPr>
            </w:pPr>
            <w:r w:rsidRPr="00064185">
              <w:rPr>
                <w:rFonts w:eastAsia="Calibri"/>
                <w:lang w:eastAsia="en-US"/>
              </w:rPr>
              <w:t>-</w:t>
            </w:r>
          </w:p>
        </w:tc>
        <w:tc>
          <w:tcPr>
            <w:tcW w:w="902" w:type="pct"/>
            <w:shd w:val="clear" w:color="auto" w:fill="FFFFFF"/>
            <w:vAlign w:val="center"/>
          </w:tcPr>
          <w:p w14:paraId="192C396C" w14:textId="77777777" w:rsidR="005E317E" w:rsidRPr="00064185" w:rsidRDefault="005E317E" w:rsidP="00EA61D8">
            <w:pPr>
              <w:rPr>
                <w:rFonts w:eastAsia="Calibri"/>
                <w:lang w:eastAsia="en-US"/>
              </w:rPr>
            </w:pPr>
            <w:r w:rsidRPr="00064185">
              <w:rPr>
                <w:rFonts w:eastAsia="Calibri"/>
                <w:lang w:eastAsia="en-US"/>
              </w:rPr>
              <w:t>-</w:t>
            </w:r>
          </w:p>
        </w:tc>
        <w:tc>
          <w:tcPr>
            <w:tcW w:w="899" w:type="pct"/>
            <w:shd w:val="clear" w:color="auto" w:fill="FFFFFF"/>
            <w:vAlign w:val="center"/>
          </w:tcPr>
          <w:p w14:paraId="50A3AA37" w14:textId="77777777" w:rsidR="005E317E" w:rsidRPr="00064185" w:rsidRDefault="005E317E" w:rsidP="00EA61D8">
            <w:pPr>
              <w:rPr>
                <w:rFonts w:eastAsia="Calibri"/>
                <w:lang w:eastAsia="en-US"/>
              </w:rPr>
            </w:pPr>
            <w:r w:rsidRPr="00064185">
              <w:rPr>
                <w:rFonts w:eastAsia="Calibri"/>
                <w:lang w:eastAsia="en-US"/>
              </w:rPr>
              <w:t>-</w:t>
            </w:r>
          </w:p>
        </w:tc>
        <w:tc>
          <w:tcPr>
            <w:tcW w:w="962" w:type="pct"/>
            <w:shd w:val="clear" w:color="auto" w:fill="FFFFFF"/>
            <w:vAlign w:val="center"/>
          </w:tcPr>
          <w:p w14:paraId="31C5F2D9" w14:textId="77777777" w:rsidR="005E317E" w:rsidRPr="00064185" w:rsidRDefault="005E317E" w:rsidP="00EA61D8">
            <w:pPr>
              <w:rPr>
                <w:rFonts w:eastAsia="Calibri"/>
                <w:b/>
                <w:lang w:eastAsia="en-US"/>
              </w:rPr>
            </w:pPr>
            <w:r w:rsidRPr="00064185">
              <w:rPr>
                <w:b/>
              </w:rPr>
              <w:t>1.29</w:t>
            </w:r>
          </w:p>
        </w:tc>
      </w:tr>
    </w:tbl>
    <w:p w14:paraId="7988C43C" w14:textId="24230E99" w:rsidR="005E317E" w:rsidRPr="00064185" w:rsidRDefault="005E317E" w:rsidP="00EA61D8">
      <w:pPr>
        <w:spacing w:line="260" w:lineRule="atLeast"/>
        <w:rPr>
          <w:rFonts w:eastAsia="Calibri"/>
          <w:lang w:eastAsia="en-US"/>
        </w:rPr>
      </w:pPr>
      <w:r w:rsidRPr="00064185">
        <w:rPr>
          <w:sz w:val="16"/>
          <w:szCs w:val="16"/>
        </w:rPr>
        <w:t>- Compartment not exposed</w:t>
      </w:r>
      <w:r w:rsidR="007D6BB5" w:rsidRPr="00064185">
        <w:rPr>
          <w:sz w:val="16"/>
          <w:szCs w:val="16"/>
        </w:rPr>
        <w:t xml:space="preserve"> </w:t>
      </w:r>
    </w:p>
    <w:p w14:paraId="0EDD306E" w14:textId="77777777" w:rsidR="005E317E" w:rsidRPr="00064185" w:rsidRDefault="005E317E" w:rsidP="00EA61D8">
      <w:pPr>
        <w:rPr>
          <w:rFonts w:eastAsia="Calibri"/>
          <w:lang w:eastAsia="en-US"/>
        </w:rPr>
      </w:pPr>
    </w:p>
    <w:p w14:paraId="0B977E1D" w14:textId="77777777" w:rsidR="003D2677" w:rsidRPr="00064185" w:rsidRDefault="003D2677" w:rsidP="00EA61D8">
      <w:pPr>
        <w:rPr>
          <w:highlight w:val="yellow"/>
          <w:u w:val="single"/>
        </w:rPr>
      </w:pPr>
    </w:p>
    <w:p w14:paraId="6C4B8282" w14:textId="4BE2CF27" w:rsidR="00A17B30" w:rsidRPr="00064185" w:rsidRDefault="00A17B30" w:rsidP="00EA61D8">
      <w:pPr>
        <w:rPr>
          <w:b/>
        </w:rPr>
      </w:pPr>
      <w:r w:rsidRPr="00064185">
        <w:rPr>
          <w:b/>
        </w:rPr>
        <w:t xml:space="preserve">Conclusion: </w:t>
      </w:r>
      <w:r w:rsidR="009E41F2" w:rsidRPr="00064185">
        <w:rPr>
          <w:b/>
        </w:rPr>
        <w:t xml:space="preserve">  </w:t>
      </w:r>
    </w:p>
    <w:p w14:paraId="3EFFC7BF" w14:textId="3CBF3C9F" w:rsidR="00B72A8C" w:rsidRPr="00064185" w:rsidRDefault="008B6D00" w:rsidP="00EA61D8">
      <w:pPr>
        <w:rPr>
          <w:szCs w:val="22"/>
        </w:rPr>
      </w:pPr>
      <w:r w:rsidRPr="00064185">
        <w:rPr>
          <w:rFonts w:eastAsia="Calibri"/>
          <w:lang w:eastAsia="en-US"/>
        </w:rPr>
        <w:t xml:space="preserve">Acceptable risk </w:t>
      </w:r>
      <w:r w:rsidR="00F44427" w:rsidRPr="00064185">
        <w:rPr>
          <w:rFonts w:eastAsia="Calibri"/>
          <w:lang w:eastAsia="en-US"/>
        </w:rPr>
        <w:t xml:space="preserve">(PEC/PNEC &lt;1) </w:t>
      </w:r>
      <w:r w:rsidRPr="00064185">
        <w:rPr>
          <w:rFonts w:eastAsia="Calibri"/>
          <w:lang w:eastAsia="en-US"/>
        </w:rPr>
        <w:t xml:space="preserve">was calculated </w:t>
      </w:r>
      <w:r w:rsidR="00F44427" w:rsidRPr="00064185">
        <w:rPr>
          <w:rFonts w:eastAsia="Calibri"/>
          <w:lang w:eastAsia="en-US"/>
        </w:rPr>
        <w:t xml:space="preserve">for all scenarios </w:t>
      </w:r>
      <w:r w:rsidR="007A2878" w:rsidRPr="00064185">
        <w:rPr>
          <w:rFonts w:eastAsia="Calibri"/>
          <w:lang w:eastAsia="en-US"/>
        </w:rPr>
        <w:t>in</w:t>
      </w:r>
      <w:r w:rsidRPr="00064185">
        <w:rPr>
          <w:rFonts w:eastAsia="Calibri"/>
          <w:lang w:eastAsia="en-US"/>
        </w:rPr>
        <w:t xml:space="preserve"> </w:t>
      </w:r>
      <w:r w:rsidR="00F44427" w:rsidRPr="00064185">
        <w:rPr>
          <w:rFonts w:eastAsia="Calibri"/>
          <w:lang w:eastAsia="en-US"/>
        </w:rPr>
        <w:t>STP</w:t>
      </w:r>
      <w:r w:rsidR="00D052DB" w:rsidRPr="00064185">
        <w:rPr>
          <w:rFonts w:eastAsia="Calibri"/>
          <w:lang w:eastAsia="en-US"/>
        </w:rPr>
        <w:t>.</w:t>
      </w:r>
      <w:r w:rsidR="00F44427" w:rsidRPr="00064185">
        <w:rPr>
          <w:rFonts w:eastAsia="Calibri"/>
          <w:lang w:eastAsia="en-US"/>
        </w:rPr>
        <w:t xml:space="preserve"> </w:t>
      </w:r>
    </w:p>
    <w:p w14:paraId="062DDEA2" w14:textId="77777777" w:rsidR="005C3612" w:rsidRPr="00064185" w:rsidRDefault="005C3612" w:rsidP="000835FA">
      <w:pPr>
        <w:jc w:val="both"/>
        <w:rPr>
          <w:szCs w:val="22"/>
        </w:rPr>
      </w:pPr>
    </w:p>
    <w:p w14:paraId="3F9220F7" w14:textId="759EB4CA" w:rsidR="00F44427" w:rsidRPr="00064185" w:rsidRDefault="00F44427" w:rsidP="000835FA">
      <w:pPr>
        <w:jc w:val="both"/>
      </w:pPr>
      <w:r w:rsidRPr="00064185">
        <w:rPr>
          <w:szCs w:val="22"/>
        </w:rPr>
        <w:t xml:space="preserve">All calculated groundwater PEC values are &lt;0.1 µg/l, also indicating acceptable </w:t>
      </w:r>
      <w:r w:rsidRPr="00064185">
        <w:t>risk.</w:t>
      </w:r>
    </w:p>
    <w:p w14:paraId="51883D4C" w14:textId="77777777" w:rsidR="005C3612" w:rsidRPr="00064185" w:rsidRDefault="005C3612" w:rsidP="000835FA">
      <w:pPr>
        <w:jc w:val="both"/>
      </w:pPr>
    </w:p>
    <w:p w14:paraId="0B814BEF" w14:textId="3E4F8007" w:rsidR="00F44427" w:rsidRPr="00064185" w:rsidRDefault="00F44427" w:rsidP="000835FA">
      <w:pPr>
        <w:spacing w:line="260" w:lineRule="atLeast"/>
        <w:jc w:val="both"/>
      </w:pPr>
      <w:r w:rsidRPr="00064185">
        <w:t>A</w:t>
      </w:r>
      <w:r w:rsidR="00B72A8C" w:rsidRPr="00064185">
        <w:t>dditionally a</w:t>
      </w:r>
      <w:r w:rsidRPr="00064185">
        <w:t xml:space="preserve">cceptable risk was proven for </w:t>
      </w:r>
      <w:r w:rsidRPr="00064185">
        <w:rPr>
          <w:rFonts w:eastAsia="Calibri"/>
          <w:lang w:eastAsia="en-US"/>
        </w:rPr>
        <w:t>soil for residual treatment, indoors against ants</w:t>
      </w:r>
      <w:r w:rsidR="008B2137" w:rsidRPr="00064185">
        <w:rPr>
          <w:rFonts w:eastAsia="Calibri"/>
          <w:lang w:eastAsia="en-US"/>
        </w:rPr>
        <w:t xml:space="preserve"> (max. 11 applications a year)</w:t>
      </w:r>
      <w:r w:rsidRPr="00064185">
        <w:rPr>
          <w:rFonts w:eastAsia="Calibri"/>
          <w:lang w:eastAsia="en-US"/>
        </w:rPr>
        <w:t xml:space="preserve">, wood lice and cockroaches (application twice a year), for direct treatment of target organisms, indoors for woodlice and cockroaches (application twice a year) and for outdoor residual treatment against ants in urban areas. </w:t>
      </w:r>
    </w:p>
    <w:p w14:paraId="122EACBE" w14:textId="2F1AAA74" w:rsidR="00F44427" w:rsidRPr="00064185" w:rsidRDefault="00F44427" w:rsidP="000835FA">
      <w:pPr>
        <w:jc w:val="both"/>
      </w:pPr>
    </w:p>
    <w:p w14:paraId="0BCEFE30" w14:textId="447B0F20" w:rsidR="00F44427" w:rsidRPr="00064185" w:rsidRDefault="00F44427" w:rsidP="000835FA">
      <w:pPr>
        <w:jc w:val="both"/>
        <w:rPr>
          <w:rFonts w:eastAsia="Calibri"/>
          <w:lang w:eastAsia="en-US"/>
        </w:rPr>
      </w:pPr>
      <w:r w:rsidRPr="00064185">
        <w:rPr>
          <w:rFonts w:eastAsia="Calibri"/>
          <w:lang w:eastAsia="en-US"/>
        </w:rPr>
        <w:t xml:space="preserve">PEC/PNEC values indicating unacceptable risk </w:t>
      </w:r>
      <w:r w:rsidR="007A2878" w:rsidRPr="00064185">
        <w:rPr>
          <w:rFonts w:eastAsia="Calibri"/>
          <w:lang w:eastAsia="en-US"/>
        </w:rPr>
        <w:t xml:space="preserve">(slightly &gt;1) </w:t>
      </w:r>
      <w:r w:rsidRPr="00064185">
        <w:rPr>
          <w:rFonts w:eastAsia="Calibri"/>
          <w:lang w:eastAsia="en-US"/>
        </w:rPr>
        <w:t xml:space="preserve">were calculated for soil for weekly indoor </w:t>
      </w:r>
      <w:r w:rsidR="007A2878" w:rsidRPr="00064185">
        <w:rPr>
          <w:rFonts w:eastAsia="Calibri"/>
          <w:lang w:eastAsia="en-US"/>
        </w:rPr>
        <w:t>residual and</w:t>
      </w:r>
      <w:r w:rsidRPr="00064185">
        <w:rPr>
          <w:rFonts w:eastAsia="Calibri"/>
          <w:lang w:eastAsia="en-US"/>
        </w:rPr>
        <w:t xml:space="preserve"> direct treatment of target organisms against silverfish and cockroaches and for residual treatment of ants</w:t>
      </w:r>
      <w:r w:rsidR="00B72A8C" w:rsidRPr="00064185">
        <w:rPr>
          <w:rFonts w:eastAsia="Calibri"/>
          <w:lang w:eastAsia="en-US"/>
        </w:rPr>
        <w:t>, outdoors</w:t>
      </w:r>
      <w:r w:rsidRPr="00064185">
        <w:rPr>
          <w:rFonts w:eastAsia="Calibri"/>
          <w:lang w:eastAsia="en-US"/>
        </w:rPr>
        <w:t xml:space="preserve"> in rural areas.</w:t>
      </w:r>
    </w:p>
    <w:p w14:paraId="3944CD33" w14:textId="77777777" w:rsidR="00B64F90" w:rsidRPr="00064185" w:rsidRDefault="00B64F90" w:rsidP="000835FA">
      <w:pPr>
        <w:jc w:val="both"/>
        <w:rPr>
          <w:rFonts w:eastAsia="Calibri"/>
          <w:lang w:eastAsia="en-US"/>
        </w:rPr>
      </w:pPr>
    </w:p>
    <w:p w14:paraId="4E39701E" w14:textId="75F528FA" w:rsidR="00F44427" w:rsidRPr="00064185" w:rsidRDefault="00F44427" w:rsidP="000835FA">
      <w:pPr>
        <w:jc w:val="both"/>
        <w:rPr>
          <w:rFonts w:eastAsia="Calibri"/>
          <w:lang w:eastAsia="en-US"/>
        </w:rPr>
      </w:pPr>
      <w:r w:rsidRPr="00064185">
        <w:rPr>
          <w:rFonts w:eastAsia="Calibri"/>
          <w:lang w:eastAsia="en-US"/>
        </w:rPr>
        <w:t>For surface water and sediment all calculated risk ratios, are &gt;1, indicating unacceptable risk for aquatic and sediment non-target organisms in all scenarios</w:t>
      </w:r>
      <w:r w:rsidR="008B2137" w:rsidRPr="00064185">
        <w:rPr>
          <w:rFonts w:eastAsia="Calibri"/>
          <w:lang w:eastAsia="en-US"/>
        </w:rPr>
        <w:t>.</w:t>
      </w:r>
    </w:p>
    <w:p w14:paraId="2CCE007B" w14:textId="77777777" w:rsidR="008B2137" w:rsidRPr="00064185" w:rsidRDefault="008B2137" w:rsidP="00EA61D8">
      <w:pPr>
        <w:rPr>
          <w:rFonts w:eastAsia="Calibri"/>
          <w:lang w:eastAsia="en-US"/>
        </w:rPr>
      </w:pPr>
    </w:p>
    <w:p w14:paraId="57432A23" w14:textId="40F8CAE0" w:rsidR="001E11DB" w:rsidRPr="00064185" w:rsidRDefault="001E11DB" w:rsidP="000835FA">
      <w:pPr>
        <w:jc w:val="both"/>
        <w:rPr>
          <w:rFonts w:eastAsia="Calibri"/>
          <w:lang w:eastAsia="en-US"/>
        </w:rPr>
      </w:pPr>
      <w:r w:rsidRPr="00064185">
        <w:t>Calculated r</w:t>
      </w:r>
      <w:r w:rsidRPr="00064185">
        <w:rPr>
          <w:rFonts w:eastAsia="Calibri"/>
          <w:lang w:eastAsia="en-US"/>
        </w:rPr>
        <w:t xml:space="preserve">isk ratios for secondary poisoning, through the consumption of directly contaminated ants and earthworms as well as for </w:t>
      </w:r>
      <w:r w:rsidRPr="00064185">
        <w:t xml:space="preserve">the potential of bioaccumulation via the aquatic and terrestrial food chain </w:t>
      </w:r>
      <w:r w:rsidRPr="00064185">
        <w:rPr>
          <w:rFonts w:eastAsia="Calibri"/>
          <w:lang w:eastAsia="en-US"/>
        </w:rPr>
        <w:t>were &lt;1 for birds and mammals for all calculated scenarios.</w:t>
      </w:r>
    </w:p>
    <w:p w14:paraId="5CCA056F" w14:textId="64078968" w:rsidR="00F44427" w:rsidRPr="00064185" w:rsidRDefault="00F44427" w:rsidP="000835FA">
      <w:pPr>
        <w:jc w:val="both"/>
        <w:rPr>
          <w:rFonts w:eastAsia="Calibri"/>
          <w:lang w:eastAsia="en-US"/>
        </w:rPr>
      </w:pPr>
    </w:p>
    <w:p w14:paraId="14912EEA" w14:textId="15C04165" w:rsidR="00DE34D1" w:rsidRPr="00064185" w:rsidRDefault="001348AB" w:rsidP="000835FA">
      <w:pPr>
        <w:spacing w:line="260" w:lineRule="atLeast"/>
        <w:jc w:val="both"/>
      </w:pPr>
      <w:r w:rsidRPr="00064185">
        <w:t>The following r</w:t>
      </w:r>
      <w:r w:rsidR="00DE34D1" w:rsidRPr="00064185">
        <w:t>isk mitigation measures are proposed in order to reduce the calculated risk in the aqua</w:t>
      </w:r>
      <w:r w:rsidRPr="00064185">
        <w:t>tic and terrestrial compartment</w:t>
      </w:r>
      <w:r w:rsidR="00F96D7E" w:rsidRPr="00064185">
        <w:t xml:space="preserve"> to</w:t>
      </w:r>
      <w:r w:rsidR="00A15AE6" w:rsidRPr="00064185">
        <w:t xml:space="preserve"> acceptable level</w:t>
      </w:r>
      <w:r w:rsidR="00F96D7E" w:rsidRPr="00064185">
        <w:t>s</w:t>
      </w:r>
      <w:r w:rsidRPr="00064185">
        <w:t>:</w:t>
      </w:r>
    </w:p>
    <w:p w14:paraId="20C1717F" w14:textId="77777777" w:rsidR="00DE34D1" w:rsidRPr="00064185" w:rsidRDefault="00DE34D1" w:rsidP="000835FA">
      <w:pPr>
        <w:spacing w:line="260" w:lineRule="atLeast"/>
        <w:jc w:val="both"/>
        <w:rPr>
          <w:rFonts w:eastAsia="Calibri"/>
          <w:lang w:val="en-US" w:eastAsia="en-US"/>
        </w:rPr>
      </w:pPr>
    </w:p>
    <w:p w14:paraId="3E40584A" w14:textId="41CBA88E" w:rsidR="001F5B0E" w:rsidRPr="00064185" w:rsidRDefault="001F5B0E" w:rsidP="000835FA">
      <w:pPr>
        <w:pStyle w:val="Textkrper2"/>
        <w:numPr>
          <w:ilvl w:val="0"/>
          <w:numId w:val="23"/>
        </w:numPr>
        <w:jc w:val="both"/>
        <w:rPr>
          <w:rFonts w:eastAsia="Calibri"/>
          <w:i w:val="0"/>
          <w:color w:val="auto"/>
          <w:lang w:eastAsia="en-US"/>
        </w:rPr>
      </w:pPr>
      <w:r w:rsidRPr="00064185">
        <w:rPr>
          <w:rFonts w:eastAsia="Calibri"/>
          <w:i w:val="0"/>
          <w:color w:val="auto"/>
        </w:rPr>
        <w:t>Apply only in areas that are not liable to submersion or becoming wet, i.e. protected from rain floods</w:t>
      </w:r>
      <w:r w:rsidR="00696731" w:rsidRPr="00064185">
        <w:rPr>
          <w:i w:val="0"/>
          <w:color w:val="auto"/>
        </w:rPr>
        <w:t xml:space="preserve"> and cleaning water</w:t>
      </w:r>
      <w:r w:rsidR="008B2137" w:rsidRPr="00064185">
        <w:rPr>
          <w:i w:val="0"/>
          <w:color w:val="auto"/>
        </w:rPr>
        <w:t>.</w:t>
      </w:r>
      <w:r w:rsidRPr="00064185">
        <w:rPr>
          <w:rFonts w:eastAsia="Calibri"/>
          <w:i w:val="0"/>
          <w:color w:val="auto"/>
          <w:lang w:eastAsia="en-US"/>
        </w:rPr>
        <w:t xml:space="preserve"> </w:t>
      </w:r>
    </w:p>
    <w:p w14:paraId="0B8A40C7" w14:textId="70E9ED23" w:rsidR="001F5B0E" w:rsidRPr="000E17AE" w:rsidRDefault="0055331D" w:rsidP="000835FA">
      <w:pPr>
        <w:widowControl w:val="0"/>
        <w:numPr>
          <w:ilvl w:val="0"/>
          <w:numId w:val="23"/>
        </w:numPr>
        <w:autoSpaceDE w:val="0"/>
        <w:autoSpaceDN w:val="0"/>
        <w:adjustRightInd w:val="0"/>
        <w:spacing w:before="60" w:after="60"/>
        <w:contextualSpacing/>
        <w:jc w:val="both"/>
        <w:rPr>
          <w:rFonts w:cs="Times"/>
          <w:bCs/>
          <w:szCs w:val="29"/>
        </w:rPr>
      </w:pPr>
      <w:r w:rsidRPr="000E17AE">
        <w:rPr>
          <w:rFonts w:cs="Arial"/>
          <w:lang w:val="en-US"/>
        </w:rPr>
        <w:t>The application is restricted to areas that are not wet cleaned</w:t>
      </w:r>
      <w:r w:rsidR="00A15AE6" w:rsidRPr="000E17AE">
        <w:rPr>
          <w:rFonts w:cs="Arial"/>
          <w:lang w:val="en-US"/>
        </w:rPr>
        <w:t xml:space="preserve"> e.g. </w:t>
      </w:r>
      <w:r w:rsidR="00424068" w:rsidRPr="000E17AE">
        <w:rPr>
          <w:rFonts w:cs="Arial"/>
        </w:rPr>
        <w:t xml:space="preserve">in cracks and crevices, closed bath tubes, areas next to, behind and under furniture. </w:t>
      </w:r>
    </w:p>
    <w:p w14:paraId="77136040" w14:textId="2496F560" w:rsidR="00F72DF3" w:rsidRPr="00064185" w:rsidRDefault="00F72DF3" w:rsidP="000835FA">
      <w:pPr>
        <w:pStyle w:val="Textkrper2"/>
        <w:numPr>
          <w:ilvl w:val="0"/>
          <w:numId w:val="23"/>
        </w:numPr>
        <w:jc w:val="both"/>
        <w:rPr>
          <w:i w:val="0"/>
          <w:color w:val="auto"/>
          <w:lang w:val="en-US"/>
        </w:rPr>
      </w:pPr>
      <w:r w:rsidRPr="00064185">
        <w:rPr>
          <w:i w:val="0"/>
          <w:color w:val="auto"/>
          <w:lang w:val="en-US"/>
        </w:rPr>
        <w:t xml:space="preserve">Do not use, where release to drains (sewers) </w:t>
      </w:r>
      <w:r w:rsidR="008B2137" w:rsidRPr="00064185">
        <w:rPr>
          <w:i w:val="0"/>
          <w:color w:val="auto"/>
          <w:lang w:val="en-US"/>
        </w:rPr>
        <w:t>cannot be prevented.</w:t>
      </w:r>
    </w:p>
    <w:p w14:paraId="4D8FC597" w14:textId="77777777" w:rsidR="00956357" w:rsidRPr="00064185" w:rsidRDefault="00956357" w:rsidP="000835FA">
      <w:pPr>
        <w:jc w:val="both"/>
        <w:rPr>
          <w:rFonts w:eastAsia="Calibri"/>
          <w:lang w:eastAsia="en-US"/>
        </w:rPr>
      </w:pPr>
      <w:bookmarkStart w:id="75" w:name="_Toc389728863"/>
    </w:p>
    <w:p w14:paraId="31CB4E4F" w14:textId="67AF6F5D" w:rsidR="000C4389" w:rsidRPr="00064185" w:rsidRDefault="00956357" w:rsidP="000835FA">
      <w:pPr>
        <w:jc w:val="both"/>
        <w:rPr>
          <w:rFonts w:eastAsia="Calibri"/>
          <w:lang w:eastAsia="en-US"/>
        </w:rPr>
      </w:pPr>
      <w:r w:rsidRPr="00064185">
        <w:rPr>
          <w:rFonts w:eastAsia="Calibri"/>
          <w:lang w:eastAsia="en-US"/>
        </w:rPr>
        <w:t xml:space="preserve">Direct treatment of target organisms is not authorised as the proposed restriction to areas that are not wet cleaned is not feasible for the mobile species and the non-professional user. </w:t>
      </w:r>
      <w:r w:rsidR="000C4389" w:rsidRPr="00064185">
        <w:rPr>
          <w:rFonts w:eastAsia="Calibri"/>
          <w:lang w:eastAsia="en-US"/>
        </w:rPr>
        <w:br w:type="page"/>
      </w:r>
    </w:p>
    <w:p w14:paraId="0D2D3AE2" w14:textId="71930FA0" w:rsidR="000C4389" w:rsidRPr="00064185" w:rsidRDefault="000C4389" w:rsidP="00EA61D8">
      <w:pPr>
        <w:rPr>
          <w:rFonts w:eastAsia="Calibri"/>
          <w:lang w:eastAsia="en-US"/>
        </w:rPr>
      </w:pPr>
    </w:p>
    <w:p w14:paraId="3603D218" w14:textId="77777777" w:rsidR="00A53EE0" w:rsidRPr="00064185" w:rsidRDefault="00A53EE0" w:rsidP="00EA61D8">
      <w:pPr>
        <w:pStyle w:val="berschrift2"/>
        <w:numPr>
          <w:ilvl w:val="1"/>
          <w:numId w:val="4"/>
        </w:numPr>
        <w:rPr>
          <w:color w:val="auto"/>
          <w:lang w:val="en-GB"/>
        </w:rPr>
      </w:pPr>
      <w:bookmarkStart w:id="76" w:name="_Toc440879619"/>
      <w:bookmarkStart w:id="77" w:name="_Toc440889932"/>
      <w:bookmarkStart w:id="78" w:name="_Toc530563635"/>
      <w:r w:rsidRPr="00064185">
        <w:rPr>
          <w:color w:val="auto"/>
          <w:lang w:val="en-GB"/>
        </w:rPr>
        <w:t>General information about the product application</w:t>
      </w:r>
      <w:bookmarkEnd w:id="75"/>
      <w:bookmarkEnd w:id="76"/>
      <w:bookmarkEnd w:id="77"/>
      <w:bookmarkEnd w:id="78"/>
    </w:p>
    <w:p w14:paraId="4B9FA076" w14:textId="77777777" w:rsidR="00A53EE0" w:rsidRPr="00064185" w:rsidRDefault="00A53EE0" w:rsidP="00EA61D8">
      <w:pPr>
        <w:pStyle w:val="berschrift3"/>
        <w:rPr>
          <w:rFonts w:eastAsia="Calibri"/>
          <w:lang w:eastAsia="en-US"/>
        </w:rPr>
      </w:pPr>
      <w:bookmarkStart w:id="79" w:name="_Toc389728865"/>
      <w:bookmarkStart w:id="80" w:name="_Toc403472715"/>
      <w:bookmarkStart w:id="81" w:name="_Toc440879620"/>
      <w:bookmarkStart w:id="82" w:name="_Toc440889933"/>
      <w:bookmarkStart w:id="83" w:name="_Toc530563636"/>
      <w:r w:rsidRPr="00064185">
        <w:rPr>
          <w:rFonts w:eastAsia="Calibri"/>
          <w:lang w:eastAsia="en-US"/>
        </w:rPr>
        <w:t>Administrative information</w:t>
      </w:r>
      <w:bookmarkEnd w:id="79"/>
      <w:bookmarkEnd w:id="80"/>
      <w:bookmarkEnd w:id="81"/>
      <w:bookmarkEnd w:id="82"/>
      <w:bookmarkEnd w:id="83"/>
    </w:p>
    <w:p w14:paraId="45DB9C1E" w14:textId="77777777" w:rsidR="00A53EE0" w:rsidRPr="00064185" w:rsidRDefault="00A53EE0" w:rsidP="00EA61D8">
      <w:pPr>
        <w:pStyle w:val="berschrift4"/>
        <w:numPr>
          <w:ilvl w:val="0"/>
          <w:numId w:val="7"/>
        </w:numPr>
        <w:jc w:val="left"/>
        <w:rPr>
          <w:rFonts w:cs="Arial"/>
          <w:bCs/>
          <w:iCs/>
          <w:szCs w:val="28"/>
        </w:rPr>
      </w:pPr>
      <w:bookmarkStart w:id="84" w:name="_Toc389728866"/>
      <w:bookmarkStart w:id="85" w:name="_Toc403472716"/>
      <w:bookmarkStart w:id="86" w:name="_Toc440879621"/>
      <w:bookmarkStart w:id="87" w:name="_Toc440889934"/>
      <w:bookmarkStart w:id="88" w:name="_Toc530563637"/>
      <w:r w:rsidRPr="00064185">
        <w:t>Trade name of the product</w:t>
      </w:r>
      <w:bookmarkEnd w:id="84"/>
      <w:bookmarkEnd w:id="85"/>
      <w:bookmarkEnd w:id="86"/>
      <w:bookmarkEnd w:id="87"/>
      <w:bookmarkEnd w:id="88"/>
    </w:p>
    <w:tbl>
      <w:tblPr>
        <w:tblW w:w="5000" w:type="pct"/>
        <w:tblCellMar>
          <w:left w:w="0" w:type="dxa"/>
          <w:right w:w="0" w:type="dxa"/>
        </w:tblCellMar>
        <w:tblLook w:val="04A0" w:firstRow="1" w:lastRow="0" w:firstColumn="1" w:lastColumn="0" w:noHBand="0" w:noVBand="1"/>
      </w:tblPr>
      <w:tblGrid>
        <w:gridCol w:w="4883"/>
        <w:gridCol w:w="4411"/>
      </w:tblGrid>
      <w:tr w:rsidR="00064185" w:rsidRPr="00064185" w14:paraId="2E5F4D12" w14:textId="77777777" w:rsidTr="3EE6AFE7">
        <w:trPr>
          <w:tblHeader/>
        </w:trPr>
        <w:tc>
          <w:tcPr>
            <w:tcW w:w="2627" w:type="pct"/>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hideMark/>
          </w:tcPr>
          <w:p w14:paraId="15010F28" w14:textId="77777777" w:rsidR="00A53EE0" w:rsidRPr="00064185" w:rsidRDefault="00A53EE0" w:rsidP="00EA61D8">
            <w:pPr>
              <w:widowControl w:val="0"/>
              <w:autoSpaceDE w:val="0"/>
              <w:autoSpaceDN w:val="0"/>
              <w:adjustRightInd w:val="0"/>
              <w:spacing w:line="260" w:lineRule="atLeast"/>
              <w:rPr>
                <w:rFonts w:eastAsia="Calibri" w:cs="Times"/>
                <w:bCs/>
                <w:szCs w:val="29"/>
                <w:lang w:val="de-DE"/>
              </w:rPr>
            </w:pPr>
            <w:bookmarkStart w:id="89" w:name="d0e13"/>
            <w:r w:rsidRPr="00064185">
              <w:rPr>
                <w:rFonts w:eastAsia="Calibri"/>
                <w:b/>
                <w:bCs/>
                <w:szCs w:val="24"/>
                <w:lang w:eastAsia="en-GB"/>
              </w:rPr>
              <w:t>Trade name</w:t>
            </w:r>
            <w:r w:rsidRPr="00064185">
              <w:rPr>
                <w:rFonts w:eastAsia="Calibri"/>
                <w:b/>
                <w:bCs/>
                <w:szCs w:val="24"/>
                <w:vertAlign w:val="superscript"/>
                <w:lang w:eastAsia="en-GB"/>
              </w:rPr>
              <w:footnoteReference w:id="3"/>
            </w:r>
          </w:p>
        </w:tc>
        <w:tc>
          <w:tcPr>
            <w:tcW w:w="2373" w:type="pct"/>
            <w:tcBorders>
              <w:top w:val="single" w:sz="4" w:space="0" w:color="000000"/>
              <w:left w:val="nil"/>
              <w:bottom w:val="single" w:sz="4" w:space="0" w:color="000000"/>
              <w:right w:val="single" w:sz="4" w:space="0" w:color="000000"/>
            </w:tcBorders>
            <w:shd w:val="clear" w:color="auto" w:fill="FFFFCC"/>
            <w:tcMar>
              <w:top w:w="40" w:type="dxa"/>
              <w:left w:w="40" w:type="dxa"/>
              <w:bottom w:w="40" w:type="dxa"/>
              <w:right w:w="40" w:type="dxa"/>
            </w:tcMar>
            <w:hideMark/>
          </w:tcPr>
          <w:p w14:paraId="64AF265B" w14:textId="77777777" w:rsidR="00A53EE0" w:rsidRPr="00064185" w:rsidRDefault="00A53EE0" w:rsidP="00EA61D8">
            <w:pPr>
              <w:widowControl w:val="0"/>
              <w:autoSpaceDE w:val="0"/>
              <w:autoSpaceDN w:val="0"/>
              <w:adjustRightInd w:val="0"/>
              <w:spacing w:line="260" w:lineRule="atLeast"/>
              <w:rPr>
                <w:rFonts w:eastAsia="Calibri" w:cs="Times"/>
                <w:bCs/>
                <w:szCs w:val="29"/>
                <w:lang w:val="de-DE"/>
              </w:rPr>
            </w:pPr>
            <w:r w:rsidRPr="00064185">
              <w:rPr>
                <w:rFonts w:eastAsia="Calibri"/>
                <w:b/>
                <w:bCs/>
                <w:szCs w:val="24"/>
                <w:lang w:eastAsia="en-GB"/>
              </w:rPr>
              <w:t>Country (if relevant)</w:t>
            </w:r>
          </w:p>
        </w:tc>
      </w:tr>
      <w:tr w:rsidR="00064185" w:rsidRPr="00064185" w14:paraId="13C477FA" w14:textId="77777777" w:rsidTr="3EE6AFE7">
        <w:tc>
          <w:tcPr>
            <w:tcW w:w="262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1C877B" w14:textId="77777777" w:rsidR="00A53EE0" w:rsidRPr="00064185" w:rsidRDefault="00234984" w:rsidP="00EA61D8">
            <w:pPr>
              <w:widowControl w:val="0"/>
              <w:autoSpaceDE w:val="0"/>
              <w:autoSpaceDN w:val="0"/>
              <w:adjustRightInd w:val="0"/>
              <w:spacing w:line="260" w:lineRule="atLeast"/>
              <w:rPr>
                <w:rFonts w:eastAsia="Calibri" w:cs="Times"/>
                <w:bCs/>
                <w:szCs w:val="29"/>
                <w:lang w:val="de-DE"/>
              </w:rPr>
            </w:pPr>
            <w:bookmarkStart w:id="90" w:name="d0e26"/>
            <w:bookmarkEnd w:id="89"/>
            <w:r w:rsidRPr="00064185">
              <w:t>COMPO Ameisen-Stop</w:t>
            </w:r>
          </w:p>
        </w:tc>
        <w:tc>
          <w:tcPr>
            <w:tcW w:w="2373"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6862849" w14:textId="77777777" w:rsidR="00A53EE0" w:rsidRPr="00064185" w:rsidRDefault="00591EC5" w:rsidP="00EA61D8">
            <w:pPr>
              <w:widowControl w:val="0"/>
              <w:autoSpaceDE w:val="0"/>
              <w:autoSpaceDN w:val="0"/>
              <w:adjustRightInd w:val="0"/>
              <w:spacing w:line="260" w:lineRule="atLeast"/>
              <w:rPr>
                <w:rFonts w:eastAsia="Calibri" w:cs="Times"/>
                <w:bCs/>
                <w:szCs w:val="29"/>
                <w:lang w:val="de-DE"/>
              </w:rPr>
            </w:pPr>
            <w:r w:rsidRPr="00064185">
              <w:rPr>
                <w:rFonts w:eastAsia="Calibri" w:cs="Times"/>
                <w:bCs/>
                <w:szCs w:val="29"/>
                <w:lang w:val="de-DE"/>
              </w:rPr>
              <w:t>Austria</w:t>
            </w:r>
          </w:p>
        </w:tc>
      </w:tr>
      <w:tr w:rsidR="00064185" w:rsidRPr="00064185" w14:paraId="311A6714" w14:textId="77777777" w:rsidTr="3EE6AFE7">
        <w:tc>
          <w:tcPr>
            <w:tcW w:w="262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3B643F" w14:textId="77777777" w:rsidR="00D24187" w:rsidRPr="00064185" w:rsidRDefault="00D24187" w:rsidP="00EA61D8">
            <w:pPr>
              <w:spacing w:before="60" w:after="60"/>
              <w:rPr>
                <w:lang w:val="de-DE"/>
              </w:rPr>
            </w:pPr>
            <w:r w:rsidRPr="00064185">
              <w:rPr>
                <w:lang w:val="de-DE"/>
              </w:rPr>
              <w:t>COMPO Ungeziefer-Stop</w:t>
            </w:r>
          </w:p>
        </w:tc>
        <w:tc>
          <w:tcPr>
            <w:tcW w:w="2373"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81A817" w14:textId="77777777" w:rsidR="00D24187" w:rsidRPr="00064185" w:rsidRDefault="00AF0D41" w:rsidP="00EA61D8">
            <w:pPr>
              <w:widowControl w:val="0"/>
              <w:autoSpaceDE w:val="0"/>
              <w:autoSpaceDN w:val="0"/>
              <w:adjustRightInd w:val="0"/>
              <w:spacing w:line="260" w:lineRule="atLeast"/>
              <w:rPr>
                <w:rFonts w:eastAsia="Calibri" w:cs="Times"/>
                <w:bCs/>
                <w:szCs w:val="29"/>
                <w:lang w:val="de-DE"/>
              </w:rPr>
            </w:pPr>
            <w:r w:rsidRPr="00064185">
              <w:rPr>
                <w:rFonts w:eastAsia="Calibri" w:cs="Times"/>
                <w:bCs/>
                <w:szCs w:val="29"/>
                <w:lang w:val="de-DE"/>
              </w:rPr>
              <w:t>Austria</w:t>
            </w:r>
          </w:p>
        </w:tc>
      </w:tr>
      <w:tr w:rsidR="00064185" w:rsidRPr="00064185" w14:paraId="59CCE3AC" w14:textId="77777777" w:rsidTr="3EE6AFE7">
        <w:tc>
          <w:tcPr>
            <w:tcW w:w="262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F1333F" w14:textId="77777777" w:rsidR="00D24187" w:rsidRPr="00064185" w:rsidRDefault="00D24187" w:rsidP="00EA61D8">
            <w:pPr>
              <w:spacing w:before="60" w:after="60"/>
            </w:pPr>
            <w:r w:rsidRPr="00064185">
              <w:t xml:space="preserve">COMPO Ungeziefer-Spray </w:t>
            </w:r>
          </w:p>
        </w:tc>
        <w:tc>
          <w:tcPr>
            <w:tcW w:w="2373"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C47CE95" w14:textId="77777777" w:rsidR="00D24187" w:rsidRPr="00064185" w:rsidRDefault="00591EC5" w:rsidP="00EA61D8">
            <w:pPr>
              <w:widowControl w:val="0"/>
              <w:autoSpaceDE w:val="0"/>
              <w:autoSpaceDN w:val="0"/>
              <w:adjustRightInd w:val="0"/>
              <w:spacing w:line="260" w:lineRule="atLeast"/>
              <w:rPr>
                <w:rFonts w:eastAsia="Calibri" w:cs="Times"/>
                <w:bCs/>
                <w:szCs w:val="29"/>
                <w:lang w:val="de-DE"/>
              </w:rPr>
            </w:pPr>
            <w:r w:rsidRPr="00064185">
              <w:rPr>
                <w:rFonts w:eastAsia="Calibri" w:cs="Times"/>
                <w:bCs/>
                <w:szCs w:val="29"/>
                <w:lang w:val="de-DE"/>
              </w:rPr>
              <w:t>Austria</w:t>
            </w:r>
          </w:p>
        </w:tc>
      </w:tr>
      <w:tr w:rsidR="00064185" w:rsidRPr="00064185" w14:paraId="1A35080E" w14:textId="77777777" w:rsidTr="3EE6AFE7">
        <w:tc>
          <w:tcPr>
            <w:tcW w:w="262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472A82" w14:textId="77777777" w:rsidR="00D24187" w:rsidRPr="00064185" w:rsidRDefault="00D24187" w:rsidP="00EA61D8">
            <w:pPr>
              <w:spacing w:before="60" w:after="60"/>
              <w:rPr>
                <w:lang w:val="de-DE"/>
              </w:rPr>
            </w:pPr>
            <w:r w:rsidRPr="00064185">
              <w:rPr>
                <w:lang w:val="de-DE"/>
              </w:rPr>
              <w:t xml:space="preserve">COMPO Ameisen-Spray </w:t>
            </w:r>
          </w:p>
        </w:tc>
        <w:tc>
          <w:tcPr>
            <w:tcW w:w="2373"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9367BB7" w14:textId="77777777" w:rsidR="00D24187" w:rsidRPr="00064185" w:rsidRDefault="00591EC5" w:rsidP="00EA61D8">
            <w:pPr>
              <w:widowControl w:val="0"/>
              <w:autoSpaceDE w:val="0"/>
              <w:autoSpaceDN w:val="0"/>
              <w:adjustRightInd w:val="0"/>
              <w:spacing w:line="260" w:lineRule="atLeast"/>
              <w:rPr>
                <w:rFonts w:eastAsia="Calibri" w:cs="Times"/>
                <w:bCs/>
                <w:szCs w:val="29"/>
                <w:lang w:val="de-DE"/>
              </w:rPr>
            </w:pPr>
            <w:r w:rsidRPr="00064185">
              <w:rPr>
                <w:rFonts w:eastAsia="Calibri" w:cs="Times"/>
                <w:bCs/>
                <w:szCs w:val="29"/>
                <w:lang w:val="de-DE"/>
              </w:rPr>
              <w:t>Austria</w:t>
            </w:r>
          </w:p>
        </w:tc>
      </w:tr>
      <w:tr w:rsidR="00064185" w:rsidRPr="00064185" w14:paraId="7BFA68F7" w14:textId="77777777" w:rsidTr="3EE6AFE7">
        <w:tc>
          <w:tcPr>
            <w:tcW w:w="262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82BC20" w14:textId="77777777" w:rsidR="00D24187" w:rsidRPr="00064185" w:rsidRDefault="00D24187" w:rsidP="00EA61D8">
            <w:pPr>
              <w:widowControl w:val="0"/>
              <w:autoSpaceDE w:val="0"/>
              <w:autoSpaceDN w:val="0"/>
              <w:adjustRightInd w:val="0"/>
              <w:spacing w:line="260" w:lineRule="atLeast"/>
            </w:pPr>
            <w:r w:rsidRPr="00064185">
              <w:rPr>
                <w:lang w:val="en-US"/>
              </w:rPr>
              <w:t>Ameisen-Spray</w:t>
            </w:r>
          </w:p>
        </w:tc>
        <w:tc>
          <w:tcPr>
            <w:tcW w:w="2373"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5781CEC" w14:textId="77777777" w:rsidR="00D24187" w:rsidRPr="00064185" w:rsidRDefault="00591EC5" w:rsidP="00EA61D8">
            <w:pPr>
              <w:widowControl w:val="0"/>
              <w:autoSpaceDE w:val="0"/>
              <w:autoSpaceDN w:val="0"/>
              <w:adjustRightInd w:val="0"/>
              <w:spacing w:line="260" w:lineRule="atLeast"/>
              <w:rPr>
                <w:rFonts w:eastAsia="Calibri" w:cs="Times"/>
                <w:bCs/>
                <w:szCs w:val="29"/>
                <w:lang w:val="de-DE"/>
              </w:rPr>
            </w:pPr>
            <w:r w:rsidRPr="00064185">
              <w:rPr>
                <w:rFonts w:eastAsia="Calibri" w:cs="Times"/>
                <w:bCs/>
                <w:szCs w:val="29"/>
                <w:lang w:val="de-DE"/>
              </w:rPr>
              <w:t>Austria</w:t>
            </w:r>
          </w:p>
        </w:tc>
      </w:tr>
      <w:tr w:rsidR="00993B58" w:rsidRPr="00064185" w14:paraId="438153D0" w14:textId="77777777" w:rsidTr="3EE6AFE7">
        <w:tc>
          <w:tcPr>
            <w:tcW w:w="262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99C6C3" w14:textId="77777777" w:rsidR="00D24187" w:rsidRPr="00064185" w:rsidRDefault="00D24187" w:rsidP="00EA61D8">
            <w:pPr>
              <w:widowControl w:val="0"/>
              <w:autoSpaceDE w:val="0"/>
              <w:autoSpaceDN w:val="0"/>
              <w:adjustRightInd w:val="0"/>
              <w:spacing w:line="260" w:lineRule="atLeast"/>
              <w:rPr>
                <w:lang w:val="en-US"/>
              </w:rPr>
            </w:pPr>
            <w:r w:rsidRPr="00064185">
              <w:rPr>
                <w:lang w:val="en-US"/>
              </w:rPr>
              <w:t>Ungeziefer-Spray</w:t>
            </w:r>
          </w:p>
        </w:tc>
        <w:tc>
          <w:tcPr>
            <w:tcW w:w="2373"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6B0A92" w14:textId="77777777" w:rsidR="00D24187" w:rsidRPr="00064185" w:rsidRDefault="00591EC5" w:rsidP="00EA61D8">
            <w:pPr>
              <w:widowControl w:val="0"/>
              <w:autoSpaceDE w:val="0"/>
              <w:autoSpaceDN w:val="0"/>
              <w:adjustRightInd w:val="0"/>
              <w:spacing w:line="260" w:lineRule="atLeast"/>
              <w:rPr>
                <w:rFonts w:eastAsia="Calibri" w:cs="Times"/>
                <w:bCs/>
                <w:szCs w:val="29"/>
                <w:lang w:val="de-DE"/>
              </w:rPr>
            </w:pPr>
            <w:r w:rsidRPr="00064185">
              <w:rPr>
                <w:rFonts w:eastAsia="Calibri" w:cs="Times"/>
                <w:bCs/>
                <w:szCs w:val="29"/>
                <w:lang w:val="de-DE"/>
              </w:rPr>
              <w:t>Austria</w:t>
            </w:r>
          </w:p>
        </w:tc>
      </w:tr>
    </w:tbl>
    <w:p w14:paraId="4A87C700" w14:textId="77777777" w:rsidR="00AA4B32" w:rsidRPr="00064185" w:rsidRDefault="00AA4B32" w:rsidP="00EA61D8">
      <w:pPr>
        <w:spacing w:line="260" w:lineRule="atLeast"/>
        <w:rPr>
          <w:rFonts w:eastAsia="Calibri"/>
          <w:lang w:eastAsia="en-US"/>
        </w:rPr>
      </w:pPr>
      <w:bookmarkStart w:id="91" w:name="_Toc366658857"/>
      <w:bookmarkStart w:id="92" w:name="d0e59"/>
      <w:bookmarkEnd w:id="90"/>
    </w:p>
    <w:p w14:paraId="55EA39E5" w14:textId="77777777" w:rsidR="00A53EE0" w:rsidRPr="00064185" w:rsidRDefault="00A53EE0" w:rsidP="00EA61D8">
      <w:pPr>
        <w:pStyle w:val="berschrift4"/>
        <w:jc w:val="left"/>
      </w:pPr>
      <w:bookmarkStart w:id="93" w:name="_Toc389728867"/>
      <w:bookmarkStart w:id="94" w:name="_Toc403472717"/>
      <w:bookmarkStart w:id="95" w:name="_Toc440879622"/>
      <w:bookmarkStart w:id="96" w:name="_Toc440889935"/>
      <w:bookmarkStart w:id="97" w:name="_Toc530563638"/>
      <w:r w:rsidRPr="00064185">
        <w:t>Authorisation holder</w:t>
      </w:r>
      <w:bookmarkEnd w:id="91"/>
      <w:bookmarkEnd w:id="93"/>
      <w:bookmarkEnd w:id="94"/>
      <w:bookmarkEnd w:id="95"/>
      <w:bookmarkEnd w:id="96"/>
      <w:bookmarkEnd w:id="97"/>
    </w:p>
    <w:tbl>
      <w:tblPr>
        <w:tblW w:w="5000" w:type="pct"/>
        <w:tblCellMar>
          <w:left w:w="0" w:type="dxa"/>
          <w:right w:w="0" w:type="dxa"/>
        </w:tblCellMar>
        <w:tblLook w:val="04A0" w:firstRow="1" w:lastRow="0" w:firstColumn="1" w:lastColumn="0" w:noHBand="0" w:noVBand="1"/>
      </w:tblPr>
      <w:tblGrid>
        <w:gridCol w:w="3807"/>
        <w:gridCol w:w="1076"/>
        <w:gridCol w:w="4411"/>
      </w:tblGrid>
      <w:tr w:rsidR="00064185" w:rsidRPr="00064185" w14:paraId="6E3B49E9" w14:textId="77777777" w:rsidTr="00DA465D">
        <w:tc>
          <w:tcPr>
            <w:tcW w:w="2048" w:type="pct"/>
            <w:vMerge w:val="restart"/>
            <w:tcBorders>
              <w:top w:val="single" w:sz="4" w:space="0" w:color="000000"/>
              <w:left w:val="single" w:sz="4" w:space="0" w:color="000000"/>
              <w:bottom w:val="single" w:sz="4" w:space="0" w:color="000000"/>
              <w:right w:val="single" w:sz="4" w:space="0" w:color="000000"/>
            </w:tcBorders>
            <w:tcMar>
              <w:top w:w="40" w:type="dxa"/>
              <w:left w:w="40" w:type="dxa"/>
              <w:bottom w:w="0" w:type="dxa"/>
              <w:right w:w="40" w:type="dxa"/>
            </w:tcMar>
            <w:hideMark/>
          </w:tcPr>
          <w:bookmarkEnd w:id="92"/>
          <w:p w14:paraId="15BBD971" w14:textId="77777777" w:rsidR="00A53EE0" w:rsidRPr="00064185" w:rsidRDefault="00A53EE0" w:rsidP="00EA61D8">
            <w:pPr>
              <w:widowControl w:val="0"/>
              <w:autoSpaceDE w:val="0"/>
              <w:autoSpaceDN w:val="0"/>
              <w:adjustRightInd w:val="0"/>
              <w:spacing w:line="260" w:lineRule="atLeast"/>
              <w:rPr>
                <w:rFonts w:eastAsia="Calibri" w:cs="Times"/>
                <w:bCs/>
                <w:szCs w:val="29"/>
                <w:lang w:val="en-US"/>
              </w:rPr>
            </w:pPr>
            <w:r w:rsidRPr="00064185">
              <w:rPr>
                <w:rFonts w:eastAsia="Calibri"/>
                <w:bCs/>
                <w:szCs w:val="24"/>
                <w:lang w:eastAsia="en-GB"/>
              </w:rPr>
              <w:t>Name and address of the authorisation holder</w:t>
            </w:r>
          </w:p>
        </w:tc>
        <w:tc>
          <w:tcPr>
            <w:tcW w:w="579" w:type="pct"/>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2916FF5" w14:textId="77777777" w:rsidR="00A53EE0" w:rsidRPr="00064185" w:rsidRDefault="00A53EE0" w:rsidP="00EA61D8">
            <w:pPr>
              <w:widowControl w:val="0"/>
              <w:autoSpaceDE w:val="0"/>
              <w:autoSpaceDN w:val="0"/>
              <w:adjustRightInd w:val="0"/>
              <w:spacing w:line="260" w:lineRule="atLeast"/>
              <w:rPr>
                <w:rFonts w:eastAsia="Calibri" w:cs="Times"/>
                <w:bCs/>
                <w:szCs w:val="29"/>
                <w:lang w:val="de-DE"/>
              </w:rPr>
            </w:pPr>
            <w:r w:rsidRPr="00064185">
              <w:rPr>
                <w:rFonts w:eastAsia="Calibri"/>
                <w:bCs/>
                <w:szCs w:val="24"/>
                <w:lang w:eastAsia="en-GB"/>
              </w:rPr>
              <w:t>Name</w:t>
            </w:r>
          </w:p>
        </w:tc>
        <w:tc>
          <w:tcPr>
            <w:tcW w:w="2372"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080F4C8" w14:textId="77777777" w:rsidR="00A53EE0" w:rsidRPr="00064185" w:rsidRDefault="005324F3" w:rsidP="00EA61D8">
            <w:pPr>
              <w:widowControl w:val="0"/>
              <w:autoSpaceDE w:val="0"/>
              <w:autoSpaceDN w:val="0"/>
              <w:adjustRightInd w:val="0"/>
              <w:rPr>
                <w:rFonts w:cs="Times"/>
                <w:bCs/>
                <w:lang w:val="de-DE"/>
              </w:rPr>
            </w:pPr>
            <w:r w:rsidRPr="00064185">
              <w:t>COMPO Austria GmbH</w:t>
            </w:r>
          </w:p>
        </w:tc>
      </w:tr>
      <w:tr w:rsidR="00064185" w:rsidRPr="00064185" w14:paraId="7957E524" w14:textId="77777777" w:rsidTr="00DA465D">
        <w:tc>
          <w:tcPr>
            <w:tcW w:w="2048" w:type="pct"/>
            <w:vMerge/>
            <w:tcBorders>
              <w:top w:val="single" w:sz="4" w:space="0" w:color="000000"/>
              <w:left w:val="single" w:sz="4" w:space="0" w:color="000000"/>
              <w:bottom w:val="single" w:sz="4" w:space="0" w:color="000000"/>
              <w:right w:val="single" w:sz="4" w:space="0" w:color="000000"/>
            </w:tcBorders>
            <w:vAlign w:val="center"/>
            <w:hideMark/>
          </w:tcPr>
          <w:p w14:paraId="738F64C1" w14:textId="77777777" w:rsidR="00A53EE0" w:rsidRPr="00064185" w:rsidRDefault="00A53EE0" w:rsidP="00EA61D8">
            <w:pPr>
              <w:spacing w:line="260" w:lineRule="atLeast"/>
              <w:rPr>
                <w:rFonts w:eastAsia="Calibri" w:cs="Times"/>
                <w:bCs/>
                <w:szCs w:val="29"/>
                <w:lang w:val="de-DE"/>
              </w:rPr>
            </w:pPr>
          </w:p>
        </w:tc>
        <w:tc>
          <w:tcPr>
            <w:tcW w:w="579" w:type="pct"/>
            <w:tcBorders>
              <w:top w:val="nil"/>
              <w:left w:val="nil"/>
              <w:bottom w:val="single" w:sz="4" w:space="0" w:color="000000"/>
              <w:right w:val="single" w:sz="4" w:space="0" w:color="000000"/>
            </w:tcBorders>
            <w:tcMar>
              <w:top w:w="40" w:type="dxa"/>
              <w:left w:w="40" w:type="dxa"/>
              <w:bottom w:w="40" w:type="dxa"/>
              <w:right w:w="40" w:type="dxa"/>
            </w:tcMar>
            <w:hideMark/>
          </w:tcPr>
          <w:p w14:paraId="5F194842" w14:textId="77777777" w:rsidR="00A53EE0" w:rsidRPr="00064185" w:rsidRDefault="00A53EE0" w:rsidP="00EA61D8">
            <w:pPr>
              <w:widowControl w:val="0"/>
              <w:autoSpaceDE w:val="0"/>
              <w:autoSpaceDN w:val="0"/>
              <w:adjustRightInd w:val="0"/>
              <w:spacing w:line="260" w:lineRule="atLeast"/>
              <w:rPr>
                <w:rFonts w:eastAsia="Calibri" w:cs="Times"/>
                <w:bCs/>
                <w:szCs w:val="29"/>
                <w:lang w:val="de-DE"/>
              </w:rPr>
            </w:pPr>
            <w:r w:rsidRPr="00064185">
              <w:rPr>
                <w:rFonts w:eastAsia="Calibri"/>
                <w:bCs/>
                <w:szCs w:val="24"/>
                <w:lang w:eastAsia="en-GB"/>
              </w:rPr>
              <w:t>Address</w:t>
            </w:r>
          </w:p>
        </w:tc>
        <w:tc>
          <w:tcPr>
            <w:tcW w:w="2372" w:type="pct"/>
            <w:tcBorders>
              <w:top w:val="nil"/>
              <w:left w:val="nil"/>
              <w:bottom w:val="single" w:sz="4" w:space="0" w:color="000000"/>
              <w:right w:val="single" w:sz="4" w:space="0" w:color="000000"/>
            </w:tcBorders>
            <w:tcMar>
              <w:top w:w="40" w:type="dxa"/>
              <w:left w:w="40" w:type="dxa"/>
              <w:bottom w:w="40" w:type="dxa"/>
              <w:right w:w="40" w:type="dxa"/>
            </w:tcMar>
          </w:tcPr>
          <w:p w14:paraId="67F5E776" w14:textId="77777777" w:rsidR="005324F3" w:rsidRPr="00064185" w:rsidRDefault="005324F3" w:rsidP="00EA61D8">
            <w:pPr>
              <w:rPr>
                <w:bCs/>
                <w:szCs w:val="24"/>
              </w:rPr>
            </w:pPr>
            <w:r w:rsidRPr="00064185">
              <w:rPr>
                <w:bCs/>
                <w:szCs w:val="24"/>
              </w:rPr>
              <w:t>Hietzinger Hauptstrasse 119</w:t>
            </w:r>
          </w:p>
          <w:p w14:paraId="5FBD91C0" w14:textId="77777777" w:rsidR="005324F3" w:rsidRPr="00064185" w:rsidRDefault="005324F3" w:rsidP="00EA61D8">
            <w:pPr>
              <w:rPr>
                <w:bCs/>
                <w:szCs w:val="24"/>
              </w:rPr>
            </w:pPr>
            <w:r w:rsidRPr="00064185">
              <w:rPr>
                <w:bCs/>
                <w:szCs w:val="24"/>
              </w:rPr>
              <w:t>1131 Wien</w:t>
            </w:r>
          </w:p>
          <w:p w14:paraId="068D6492" w14:textId="77777777" w:rsidR="00A53EE0" w:rsidRPr="00064185" w:rsidRDefault="005324F3" w:rsidP="00EA61D8">
            <w:pPr>
              <w:widowControl w:val="0"/>
              <w:autoSpaceDE w:val="0"/>
              <w:autoSpaceDN w:val="0"/>
              <w:adjustRightInd w:val="0"/>
              <w:spacing w:line="260" w:lineRule="atLeast"/>
              <w:rPr>
                <w:rFonts w:eastAsia="Calibri" w:cs="Times"/>
                <w:bCs/>
                <w:szCs w:val="29"/>
                <w:lang w:val="de-DE"/>
              </w:rPr>
            </w:pPr>
            <w:r w:rsidRPr="00064185">
              <w:rPr>
                <w:bCs/>
                <w:szCs w:val="24"/>
              </w:rPr>
              <w:t>AUSTRIA</w:t>
            </w:r>
          </w:p>
        </w:tc>
      </w:tr>
      <w:tr w:rsidR="00064185" w:rsidRPr="00064185" w14:paraId="22F0ACED" w14:textId="77777777" w:rsidTr="00DA465D">
        <w:tc>
          <w:tcPr>
            <w:tcW w:w="2048" w:type="pct"/>
            <w:tcBorders>
              <w:top w:val="single" w:sz="4" w:space="0" w:color="000000"/>
              <w:left w:val="single" w:sz="4" w:space="0" w:color="000000"/>
              <w:bottom w:val="single" w:sz="4" w:space="0" w:color="000000"/>
              <w:right w:val="single" w:sz="4" w:space="0" w:color="000000"/>
            </w:tcBorders>
          </w:tcPr>
          <w:p w14:paraId="3BFE8772" w14:textId="77777777" w:rsidR="00A53EE0" w:rsidRPr="00064185" w:rsidRDefault="00A53EE0" w:rsidP="00EA61D8">
            <w:pPr>
              <w:spacing w:line="260" w:lineRule="atLeast"/>
              <w:rPr>
                <w:rFonts w:eastAsia="Calibri" w:cs="Times"/>
                <w:b/>
                <w:bCs/>
                <w:szCs w:val="29"/>
                <w:lang w:val="de-DE"/>
              </w:rPr>
            </w:pPr>
            <w:r w:rsidRPr="00064185">
              <w:rPr>
                <w:rFonts w:eastAsia="Calibri"/>
                <w:lang w:eastAsia="en-US"/>
              </w:rPr>
              <w:t>Telephone:</w:t>
            </w:r>
          </w:p>
        </w:tc>
        <w:tc>
          <w:tcPr>
            <w:tcW w:w="2952" w:type="pct"/>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E9EF383" w14:textId="77777777" w:rsidR="00A53EE0" w:rsidRPr="00064185" w:rsidRDefault="00A53EE0" w:rsidP="00EA61D8">
            <w:pPr>
              <w:widowControl w:val="0"/>
              <w:autoSpaceDE w:val="0"/>
              <w:autoSpaceDN w:val="0"/>
              <w:adjustRightInd w:val="0"/>
              <w:spacing w:line="260" w:lineRule="atLeast"/>
              <w:rPr>
                <w:rFonts w:eastAsia="Calibri" w:cs="Times"/>
                <w:bCs/>
                <w:szCs w:val="29"/>
                <w:lang w:val="de-DE"/>
              </w:rPr>
            </w:pPr>
          </w:p>
        </w:tc>
      </w:tr>
      <w:tr w:rsidR="00064185" w:rsidRPr="00064185" w14:paraId="52E30D8E" w14:textId="77777777" w:rsidTr="00DA465D">
        <w:tc>
          <w:tcPr>
            <w:tcW w:w="2048" w:type="pct"/>
            <w:tcBorders>
              <w:top w:val="single" w:sz="4" w:space="0" w:color="000000"/>
              <w:left w:val="single" w:sz="4" w:space="0" w:color="000000"/>
              <w:bottom w:val="single" w:sz="4" w:space="0" w:color="000000"/>
              <w:right w:val="single" w:sz="4" w:space="0" w:color="000000"/>
            </w:tcBorders>
          </w:tcPr>
          <w:p w14:paraId="0626CCC1" w14:textId="77777777" w:rsidR="00A53EE0" w:rsidRPr="00064185" w:rsidRDefault="00A53EE0" w:rsidP="00EA61D8">
            <w:pPr>
              <w:spacing w:line="260" w:lineRule="atLeast"/>
              <w:rPr>
                <w:rFonts w:eastAsia="Calibri" w:cs="Times"/>
                <w:b/>
                <w:bCs/>
                <w:szCs w:val="29"/>
                <w:lang w:val="de-DE"/>
              </w:rPr>
            </w:pPr>
            <w:r w:rsidRPr="00064185">
              <w:rPr>
                <w:rFonts w:eastAsia="Calibri"/>
                <w:lang w:eastAsia="en-US"/>
              </w:rPr>
              <w:t>Fax:</w:t>
            </w:r>
          </w:p>
        </w:tc>
        <w:tc>
          <w:tcPr>
            <w:tcW w:w="2952" w:type="pct"/>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89B4A0" w14:textId="73E6BFD4" w:rsidR="00A53EE0" w:rsidRPr="00064185" w:rsidRDefault="005324F3" w:rsidP="00EA61D8">
            <w:r w:rsidRPr="00064185">
              <w:rPr>
                <w:bCs/>
                <w:szCs w:val="24"/>
              </w:rPr>
              <w:t>+43 1 876 6393-116</w:t>
            </w:r>
          </w:p>
        </w:tc>
      </w:tr>
      <w:tr w:rsidR="00064185" w:rsidRPr="00064185" w14:paraId="6231F8BB" w14:textId="77777777" w:rsidTr="00DA465D">
        <w:tc>
          <w:tcPr>
            <w:tcW w:w="2048" w:type="pct"/>
            <w:tcBorders>
              <w:top w:val="single" w:sz="4" w:space="0" w:color="000000"/>
              <w:left w:val="single" w:sz="4" w:space="0" w:color="000000"/>
              <w:bottom w:val="single" w:sz="4" w:space="0" w:color="000000"/>
              <w:right w:val="single" w:sz="4" w:space="0" w:color="000000"/>
            </w:tcBorders>
          </w:tcPr>
          <w:p w14:paraId="6B8BD999" w14:textId="77777777" w:rsidR="00A53EE0" w:rsidRPr="00064185" w:rsidRDefault="00A53EE0" w:rsidP="00EA61D8">
            <w:pPr>
              <w:spacing w:line="260" w:lineRule="atLeast"/>
              <w:rPr>
                <w:rFonts w:eastAsia="Calibri" w:cs="Times"/>
                <w:b/>
                <w:bCs/>
                <w:szCs w:val="29"/>
                <w:lang w:val="de-DE"/>
              </w:rPr>
            </w:pPr>
            <w:r w:rsidRPr="00064185">
              <w:rPr>
                <w:rFonts w:eastAsia="Calibri"/>
                <w:lang w:eastAsia="en-US"/>
              </w:rPr>
              <w:t>E-mail address:</w:t>
            </w:r>
          </w:p>
        </w:tc>
        <w:tc>
          <w:tcPr>
            <w:tcW w:w="2952" w:type="pct"/>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F27BAB1" w14:textId="4EC55192" w:rsidR="00A53EE0" w:rsidRPr="00064185" w:rsidRDefault="005324F3" w:rsidP="00EA61D8">
            <w:pPr>
              <w:widowControl w:val="0"/>
              <w:autoSpaceDE w:val="0"/>
              <w:autoSpaceDN w:val="0"/>
              <w:adjustRightInd w:val="0"/>
              <w:spacing w:line="260" w:lineRule="atLeast"/>
              <w:rPr>
                <w:rFonts w:eastAsia="Calibri" w:cs="Times"/>
                <w:bCs/>
                <w:szCs w:val="29"/>
                <w:lang w:val="it-IT"/>
              </w:rPr>
            </w:pPr>
            <w:r w:rsidRPr="00064185">
              <w:rPr>
                <w:bCs/>
                <w:szCs w:val="24"/>
                <w:lang w:val="it-IT"/>
              </w:rPr>
              <w:t>info@compo.at</w:t>
            </w:r>
          </w:p>
        </w:tc>
      </w:tr>
      <w:tr w:rsidR="00064185" w:rsidRPr="00064185" w14:paraId="1A81120A" w14:textId="77777777" w:rsidTr="00DA465D">
        <w:tc>
          <w:tcPr>
            <w:tcW w:w="2048" w:type="pct"/>
            <w:tcBorders>
              <w:top w:val="single" w:sz="4" w:space="0" w:color="000000"/>
              <w:left w:val="single" w:sz="4" w:space="0" w:color="000000"/>
              <w:bottom w:val="single" w:sz="4" w:space="0" w:color="000000"/>
              <w:right w:val="single" w:sz="4" w:space="0" w:color="000000"/>
            </w:tcBorders>
          </w:tcPr>
          <w:p w14:paraId="32201572" w14:textId="77777777" w:rsidR="00A53EE0" w:rsidRPr="00064185" w:rsidRDefault="00A53EE0" w:rsidP="00EA61D8">
            <w:pPr>
              <w:spacing w:line="260" w:lineRule="atLeast"/>
              <w:rPr>
                <w:rFonts w:eastAsia="Calibri"/>
                <w:lang w:eastAsia="en-US"/>
              </w:rPr>
            </w:pPr>
            <w:r w:rsidRPr="00064185">
              <w:rPr>
                <w:rFonts w:eastAsia="Calibri"/>
                <w:lang w:eastAsia="en-US"/>
              </w:rPr>
              <w:t>Pre-submission phase started on:</w:t>
            </w:r>
          </w:p>
        </w:tc>
        <w:tc>
          <w:tcPr>
            <w:tcW w:w="2952" w:type="pct"/>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3E38564" w14:textId="77777777" w:rsidR="00A53EE0" w:rsidRPr="00064185" w:rsidRDefault="00A53EE0" w:rsidP="00EA61D8">
            <w:pPr>
              <w:widowControl w:val="0"/>
              <w:autoSpaceDE w:val="0"/>
              <w:autoSpaceDN w:val="0"/>
              <w:adjustRightInd w:val="0"/>
              <w:spacing w:line="260" w:lineRule="atLeast"/>
              <w:rPr>
                <w:rFonts w:eastAsia="Calibri" w:cs="Times"/>
                <w:bCs/>
                <w:szCs w:val="29"/>
                <w:lang w:val="en-US"/>
              </w:rPr>
            </w:pPr>
          </w:p>
        </w:tc>
      </w:tr>
      <w:tr w:rsidR="00064185" w:rsidRPr="00064185" w14:paraId="6BAD3E42" w14:textId="77777777" w:rsidTr="00DA465D">
        <w:tc>
          <w:tcPr>
            <w:tcW w:w="2048" w:type="pct"/>
            <w:tcBorders>
              <w:top w:val="single" w:sz="4" w:space="0" w:color="000000"/>
              <w:left w:val="single" w:sz="4" w:space="0" w:color="000000"/>
              <w:bottom w:val="single" w:sz="4" w:space="0" w:color="000000"/>
              <w:right w:val="single" w:sz="4" w:space="0" w:color="000000"/>
            </w:tcBorders>
          </w:tcPr>
          <w:p w14:paraId="649DD2C3" w14:textId="77777777" w:rsidR="00A53EE0" w:rsidRPr="00064185" w:rsidRDefault="00A53EE0" w:rsidP="00EA61D8">
            <w:pPr>
              <w:spacing w:line="260" w:lineRule="atLeast"/>
              <w:rPr>
                <w:rFonts w:eastAsia="Calibri"/>
                <w:lang w:eastAsia="en-US"/>
              </w:rPr>
            </w:pPr>
            <w:r w:rsidRPr="00064185">
              <w:rPr>
                <w:rFonts w:eastAsia="Calibri"/>
                <w:lang w:eastAsia="en-US"/>
              </w:rPr>
              <w:t>Pre-submission phase concluded on:</w:t>
            </w:r>
          </w:p>
        </w:tc>
        <w:tc>
          <w:tcPr>
            <w:tcW w:w="2952" w:type="pct"/>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5AB6779" w14:textId="77777777" w:rsidR="00A53EE0" w:rsidRPr="00064185" w:rsidRDefault="00A53EE0" w:rsidP="00EA61D8">
            <w:pPr>
              <w:widowControl w:val="0"/>
              <w:autoSpaceDE w:val="0"/>
              <w:autoSpaceDN w:val="0"/>
              <w:adjustRightInd w:val="0"/>
              <w:spacing w:line="260" w:lineRule="atLeast"/>
              <w:rPr>
                <w:rFonts w:eastAsia="Calibri" w:cs="Times"/>
                <w:bCs/>
                <w:szCs w:val="29"/>
                <w:lang w:val="en-US"/>
              </w:rPr>
            </w:pPr>
          </w:p>
        </w:tc>
      </w:tr>
      <w:tr w:rsidR="00993B58" w:rsidRPr="00064185" w14:paraId="3AC0FFD6" w14:textId="77777777" w:rsidTr="00DA465D">
        <w:tc>
          <w:tcPr>
            <w:tcW w:w="2048" w:type="pct"/>
            <w:tcBorders>
              <w:top w:val="single" w:sz="4" w:space="0" w:color="000000"/>
              <w:left w:val="single" w:sz="4" w:space="0" w:color="000000"/>
              <w:bottom w:val="single" w:sz="4" w:space="0" w:color="000000"/>
              <w:right w:val="single" w:sz="4" w:space="0" w:color="000000"/>
            </w:tcBorders>
          </w:tcPr>
          <w:p w14:paraId="703A57BE" w14:textId="77777777" w:rsidR="00A53EE0" w:rsidRPr="00064185" w:rsidRDefault="00A53EE0" w:rsidP="00EA61D8">
            <w:pPr>
              <w:spacing w:line="260" w:lineRule="atLeast"/>
              <w:rPr>
                <w:rFonts w:eastAsia="Calibri"/>
                <w:lang w:eastAsia="en-US"/>
              </w:rPr>
            </w:pPr>
            <w:r w:rsidRPr="00064185">
              <w:rPr>
                <w:rFonts w:eastAsia="Calibri"/>
                <w:lang w:eastAsia="en-US"/>
              </w:rPr>
              <w:t>Case number in R4BP3:</w:t>
            </w:r>
          </w:p>
        </w:tc>
        <w:tc>
          <w:tcPr>
            <w:tcW w:w="2952" w:type="pct"/>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9451847" w14:textId="77777777" w:rsidR="00A53EE0" w:rsidRPr="00064185" w:rsidRDefault="005324F3" w:rsidP="00EA61D8">
            <w:pPr>
              <w:widowControl w:val="0"/>
              <w:autoSpaceDE w:val="0"/>
              <w:autoSpaceDN w:val="0"/>
              <w:adjustRightInd w:val="0"/>
              <w:spacing w:line="260" w:lineRule="atLeast"/>
              <w:rPr>
                <w:rFonts w:eastAsia="Calibri" w:cs="Times"/>
                <w:bCs/>
                <w:szCs w:val="29"/>
                <w:lang w:val="de-DE"/>
              </w:rPr>
            </w:pPr>
            <w:r w:rsidRPr="00064185">
              <w:rPr>
                <w:rFonts w:eastAsia="Calibri" w:cs="Times"/>
                <w:bCs/>
                <w:szCs w:val="29"/>
                <w:lang w:val="de-DE"/>
              </w:rPr>
              <w:t>BC-ND000941-57</w:t>
            </w:r>
          </w:p>
        </w:tc>
      </w:tr>
    </w:tbl>
    <w:p w14:paraId="19237662" w14:textId="77777777" w:rsidR="00A53EE0" w:rsidRPr="00064185" w:rsidRDefault="00A53EE0" w:rsidP="00EA61D8">
      <w:pPr>
        <w:spacing w:line="260" w:lineRule="atLeast"/>
        <w:rPr>
          <w:rFonts w:eastAsia="Calibri"/>
          <w:lang w:eastAsia="en-US"/>
        </w:rPr>
      </w:pPr>
      <w:bookmarkStart w:id="98" w:name="_Toc387244927"/>
      <w:bookmarkStart w:id="99" w:name="_Toc387250751"/>
      <w:bookmarkStart w:id="100" w:name="_Toc388374050"/>
      <w:bookmarkEnd w:id="98"/>
      <w:bookmarkEnd w:id="99"/>
      <w:bookmarkEnd w:id="100"/>
    </w:p>
    <w:p w14:paraId="00814594" w14:textId="77777777" w:rsidR="00AA4B32" w:rsidRPr="00064185" w:rsidRDefault="00AA4B32" w:rsidP="00EA61D8">
      <w:pPr>
        <w:spacing w:line="260" w:lineRule="atLeast"/>
        <w:rPr>
          <w:rFonts w:eastAsia="Calibri"/>
          <w:lang w:eastAsia="en-US"/>
        </w:rPr>
      </w:pPr>
    </w:p>
    <w:p w14:paraId="7A56E62D" w14:textId="77777777" w:rsidR="00A53EE0" w:rsidRPr="00064185" w:rsidRDefault="00A53EE0" w:rsidP="00EA61D8">
      <w:pPr>
        <w:pStyle w:val="berschrift4"/>
        <w:jc w:val="left"/>
        <w:rPr>
          <w:lang w:val="en-GB"/>
        </w:rPr>
      </w:pPr>
      <w:bookmarkStart w:id="101" w:name="_Toc389728868"/>
      <w:bookmarkStart w:id="102" w:name="_Toc403472718"/>
      <w:bookmarkStart w:id="103" w:name="_Toc440879623"/>
      <w:bookmarkStart w:id="104" w:name="_Toc440889936"/>
      <w:bookmarkStart w:id="105" w:name="_Toc530563639"/>
      <w:r w:rsidRPr="00064185">
        <w:rPr>
          <w:lang w:val="en-GB"/>
        </w:rPr>
        <w:t>Applicant (if different from authorisation holder)</w:t>
      </w:r>
      <w:bookmarkEnd w:id="101"/>
      <w:bookmarkEnd w:id="102"/>
      <w:bookmarkEnd w:id="103"/>
      <w:bookmarkEnd w:id="104"/>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467"/>
        <w:gridCol w:w="6963"/>
      </w:tblGrid>
      <w:tr w:rsidR="00064185" w:rsidRPr="00064185" w14:paraId="26F98232" w14:textId="77777777" w:rsidTr="00DA465D">
        <w:tc>
          <w:tcPr>
            <w:tcW w:w="1308" w:type="pct"/>
          </w:tcPr>
          <w:p w14:paraId="72C93B04" w14:textId="77777777" w:rsidR="00A53EE0" w:rsidRPr="00064185" w:rsidRDefault="00A53EE0" w:rsidP="00EA61D8">
            <w:pPr>
              <w:spacing w:line="260" w:lineRule="atLeast"/>
              <w:rPr>
                <w:rFonts w:eastAsia="Calibri"/>
                <w:lang w:eastAsia="en-US"/>
              </w:rPr>
            </w:pPr>
            <w:r w:rsidRPr="00064185">
              <w:rPr>
                <w:rFonts w:eastAsia="Calibri"/>
                <w:lang w:eastAsia="en-US"/>
              </w:rPr>
              <w:t>Company Name:</w:t>
            </w:r>
          </w:p>
        </w:tc>
        <w:tc>
          <w:tcPr>
            <w:tcW w:w="3692" w:type="pct"/>
          </w:tcPr>
          <w:p w14:paraId="2CE9F8C6" w14:textId="77777777" w:rsidR="00A53EE0" w:rsidRPr="00064185" w:rsidRDefault="00591EC5" w:rsidP="00EA61D8">
            <w:pPr>
              <w:spacing w:line="260" w:lineRule="atLeast"/>
              <w:rPr>
                <w:rFonts w:eastAsia="Calibri"/>
                <w:lang w:eastAsia="en-US"/>
              </w:rPr>
            </w:pPr>
            <w:r w:rsidRPr="00064185">
              <w:t>COMPO GmbH</w:t>
            </w:r>
          </w:p>
        </w:tc>
      </w:tr>
      <w:tr w:rsidR="00064185" w:rsidRPr="00064185" w14:paraId="23FAEDD5" w14:textId="77777777" w:rsidTr="00DA465D">
        <w:tc>
          <w:tcPr>
            <w:tcW w:w="1308" w:type="pct"/>
          </w:tcPr>
          <w:p w14:paraId="4D048FD4" w14:textId="77777777" w:rsidR="00A53EE0" w:rsidRPr="00064185" w:rsidRDefault="00A53EE0" w:rsidP="00EA61D8">
            <w:pPr>
              <w:spacing w:line="260" w:lineRule="atLeast"/>
              <w:rPr>
                <w:rFonts w:eastAsia="Calibri"/>
                <w:lang w:eastAsia="en-US"/>
              </w:rPr>
            </w:pPr>
            <w:r w:rsidRPr="00064185">
              <w:rPr>
                <w:rFonts w:eastAsia="Calibri"/>
                <w:lang w:eastAsia="en-US"/>
              </w:rPr>
              <w:t>Address:</w:t>
            </w:r>
          </w:p>
        </w:tc>
        <w:tc>
          <w:tcPr>
            <w:tcW w:w="3692" w:type="pct"/>
          </w:tcPr>
          <w:p w14:paraId="430EA5C9" w14:textId="77777777" w:rsidR="00A53EE0" w:rsidRPr="00064185" w:rsidRDefault="00591EC5" w:rsidP="00EA61D8">
            <w:pPr>
              <w:spacing w:line="260" w:lineRule="atLeast"/>
              <w:rPr>
                <w:rFonts w:eastAsia="Calibri"/>
                <w:lang w:eastAsia="en-US"/>
              </w:rPr>
            </w:pPr>
            <w:r w:rsidRPr="00064185">
              <w:t>Gildenstr. 38</w:t>
            </w:r>
          </w:p>
        </w:tc>
      </w:tr>
      <w:tr w:rsidR="00064185" w:rsidRPr="00064185" w14:paraId="4FE847CB" w14:textId="77777777" w:rsidTr="00DA465D">
        <w:tc>
          <w:tcPr>
            <w:tcW w:w="1308" w:type="pct"/>
          </w:tcPr>
          <w:p w14:paraId="6C82C7BD" w14:textId="77777777" w:rsidR="00A53EE0" w:rsidRPr="00064185" w:rsidRDefault="00A53EE0" w:rsidP="00EA61D8">
            <w:pPr>
              <w:spacing w:line="260" w:lineRule="atLeast"/>
              <w:rPr>
                <w:rFonts w:eastAsia="Calibri"/>
                <w:lang w:eastAsia="en-US"/>
              </w:rPr>
            </w:pPr>
            <w:r w:rsidRPr="00064185">
              <w:rPr>
                <w:rFonts w:eastAsia="Calibri"/>
                <w:lang w:eastAsia="en-US"/>
              </w:rPr>
              <w:t>City:</w:t>
            </w:r>
          </w:p>
        </w:tc>
        <w:tc>
          <w:tcPr>
            <w:tcW w:w="3692" w:type="pct"/>
          </w:tcPr>
          <w:p w14:paraId="703582D0" w14:textId="77777777" w:rsidR="00A53EE0" w:rsidRPr="00064185" w:rsidRDefault="00591EC5" w:rsidP="00EA61D8">
            <w:pPr>
              <w:spacing w:line="260" w:lineRule="atLeast"/>
              <w:rPr>
                <w:rFonts w:eastAsia="Calibri"/>
                <w:lang w:eastAsia="en-US"/>
              </w:rPr>
            </w:pPr>
            <w:r w:rsidRPr="00064185">
              <w:t>Münster</w:t>
            </w:r>
          </w:p>
        </w:tc>
      </w:tr>
      <w:tr w:rsidR="00064185" w:rsidRPr="00064185" w14:paraId="4CCD7136" w14:textId="77777777" w:rsidTr="00DA465D">
        <w:tc>
          <w:tcPr>
            <w:tcW w:w="1308" w:type="pct"/>
          </w:tcPr>
          <w:p w14:paraId="1D1715AF" w14:textId="77777777" w:rsidR="00A53EE0" w:rsidRPr="00064185" w:rsidRDefault="00A53EE0" w:rsidP="00EA61D8">
            <w:pPr>
              <w:spacing w:line="260" w:lineRule="atLeast"/>
              <w:rPr>
                <w:rFonts w:eastAsia="Calibri"/>
                <w:lang w:eastAsia="en-US"/>
              </w:rPr>
            </w:pPr>
            <w:r w:rsidRPr="00064185">
              <w:rPr>
                <w:rFonts w:eastAsia="Calibri"/>
                <w:lang w:eastAsia="en-US"/>
              </w:rPr>
              <w:t>Postal Code:</w:t>
            </w:r>
          </w:p>
        </w:tc>
        <w:tc>
          <w:tcPr>
            <w:tcW w:w="3692" w:type="pct"/>
          </w:tcPr>
          <w:p w14:paraId="19A7935F" w14:textId="77777777" w:rsidR="00A53EE0" w:rsidRPr="00064185" w:rsidRDefault="00591EC5" w:rsidP="00EA61D8">
            <w:pPr>
              <w:spacing w:line="260" w:lineRule="atLeast"/>
              <w:rPr>
                <w:rFonts w:eastAsia="Calibri"/>
                <w:lang w:eastAsia="en-US"/>
              </w:rPr>
            </w:pPr>
            <w:r w:rsidRPr="00064185">
              <w:t>48157</w:t>
            </w:r>
          </w:p>
        </w:tc>
      </w:tr>
      <w:tr w:rsidR="00064185" w:rsidRPr="00064185" w14:paraId="53023D83" w14:textId="77777777" w:rsidTr="00DA465D">
        <w:tc>
          <w:tcPr>
            <w:tcW w:w="1308" w:type="pct"/>
          </w:tcPr>
          <w:p w14:paraId="007D0C52" w14:textId="77777777" w:rsidR="00A53EE0" w:rsidRPr="00064185" w:rsidRDefault="00A53EE0" w:rsidP="00EA61D8">
            <w:pPr>
              <w:spacing w:line="260" w:lineRule="atLeast"/>
              <w:rPr>
                <w:rFonts w:eastAsia="Calibri"/>
                <w:lang w:eastAsia="en-US"/>
              </w:rPr>
            </w:pPr>
            <w:r w:rsidRPr="00064185">
              <w:rPr>
                <w:rFonts w:eastAsia="Calibri"/>
                <w:lang w:eastAsia="en-US"/>
              </w:rPr>
              <w:t>Country:</w:t>
            </w:r>
          </w:p>
        </w:tc>
        <w:tc>
          <w:tcPr>
            <w:tcW w:w="3692" w:type="pct"/>
          </w:tcPr>
          <w:p w14:paraId="584E6840" w14:textId="77777777" w:rsidR="00A53EE0" w:rsidRPr="00064185" w:rsidRDefault="00591EC5" w:rsidP="00EA61D8">
            <w:pPr>
              <w:spacing w:line="260" w:lineRule="atLeast"/>
              <w:rPr>
                <w:rFonts w:eastAsia="Calibri"/>
                <w:lang w:eastAsia="en-US"/>
              </w:rPr>
            </w:pPr>
            <w:r w:rsidRPr="00064185">
              <w:t>Germany</w:t>
            </w:r>
          </w:p>
        </w:tc>
      </w:tr>
      <w:tr w:rsidR="00064185" w:rsidRPr="00064185" w14:paraId="7E731648" w14:textId="77777777" w:rsidTr="00DA465D">
        <w:tc>
          <w:tcPr>
            <w:tcW w:w="1308" w:type="pct"/>
          </w:tcPr>
          <w:p w14:paraId="17FE9CDD" w14:textId="77777777" w:rsidR="00A53EE0" w:rsidRPr="00064185" w:rsidRDefault="00A53EE0" w:rsidP="00EA61D8">
            <w:pPr>
              <w:spacing w:line="260" w:lineRule="atLeast"/>
              <w:rPr>
                <w:rFonts w:eastAsia="Calibri"/>
                <w:lang w:eastAsia="en-US"/>
              </w:rPr>
            </w:pPr>
            <w:r w:rsidRPr="00064185">
              <w:rPr>
                <w:rFonts w:eastAsia="Calibri"/>
                <w:lang w:eastAsia="en-US"/>
              </w:rPr>
              <w:t>Telephone:</w:t>
            </w:r>
          </w:p>
        </w:tc>
        <w:tc>
          <w:tcPr>
            <w:tcW w:w="3692" w:type="pct"/>
          </w:tcPr>
          <w:p w14:paraId="1DD48EB2" w14:textId="00286C54" w:rsidR="00A53EE0" w:rsidRPr="00064185" w:rsidRDefault="00A66F8E" w:rsidP="00EA61D8">
            <w:pPr>
              <w:spacing w:line="260" w:lineRule="atLeast"/>
              <w:rPr>
                <w:rFonts w:eastAsia="Calibri"/>
                <w:lang w:eastAsia="en-US"/>
              </w:rPr>
            </w:pPr>
            <w:r w:rsidRPr="00064185">
              <w:t>+ 49 (0) 251 3277 368</w:t>
            </w:r>
          </w:p>
        </w:tc>
      </w:tr>
      <w:tr w:rsidR="00064185" w:rsidRPr="00064185" w14:paraId="35497129" w14:textId="77777777" w:rsidTr="00DA465D">
        <w:tc>
          <w:tcPr>
            <w:tcW w:w="1308" w:type="pct"/>
          </w:tcPr>
          <w:p w14:paraId="202ABD45" w14:textId="77777777" w:rsidR="00A53EE0" w:rsidRPr="00064185" w:rsidRDefault="00A53EE0" w:rsidP="00EA61D8">
            <w:pPr>
              <w:spacing w:line="260" w:lineRule="atLeast"/>
              <w:rPr>
                <w:rFonts w:eastAsia="Calibri"/>
                <w:lang w:eastAsia="en-US"/>
              </w:rPr>
            </w:pPr>
            <w:r w:rsidRPr="00064185">
              <w:rPr>
                <w:rFonts w:eastAsia="Calibri"/>
                <w:lang w:eastAsia="en-US"/>
              </w:rPr>
              <w:lastRenderedPageBreak/>
              <w:t>Fax:</w:t>
            </w:r>
          </w:p>
        </w:tc>
        <w:tc>
          <w:tcPr>
            <w:tcW w:w="3692" w:type="pct"/>
          </w:tcPr>
          <w:p w14:paraId="22ABD650" w14:textId="6D859F60" w:rsidR="00A53EE0" w:rsidRPr="00064185" w:rsidRDefault="00A66F8E" w:rsidP="00EA61D8">
            <w:pPr>
              <w:spacing w:line="260" w:lineRule="atLeast"/>
              <w:rPr>
                <w:rFonts w:eastAsia="Calibri"/>
                <w:lang w:eastAsia="en-US"/>
              </w:rPr>
            </w:pPr>
            <w:r w:rsidRPr="00064185">
              <w:t>+ 49 (0) 251 3277 1368</w:t>
            </w:r>
          </w:p>
        </w:tc>
      </w:tr>
      <w:tr w:rsidR="00064185" w:rsidRPr="00064185" w14:paraId="46252B64" w14:textId="77777777" w:rsidTr="00DA465D">
        <w:tc>
          <w:tcPr>
            <w:tcW w:w="1308" w:type="pct"/>
          </w:tcPr>
          <w:p w14:paraId="5D871147" w14:textId="77777777" w:rsidR="00A53EE0" w:rsidRPr="00064185" w:rsidRDefault="00A53EE0" w:rsidP="00EA61D8">
            <w:pPr>
              <w:spacing w:line="260" w:lineRule="atLeast"/>
              <w:rPr>
                <w:rFonts w:eastAsia="Calibri"/>
                <w:lang w:eastAsia="en-US"/>
              </w:rPr>
            </w:pPr>
            <w:r w:rsidRPr="00064185">
              <w:rPr>
                <w:rFonts w:eastAsia="Calibri"/>
                <w:lang w:eastAsia="en-US"/>
              </w:rPr>
              <w:t>E-mail address:</w:t>
            </w:r>
          </w:p>
        </w:tc>
        <w:tc>
          <w:tcPr>
            <w:tcW w:w="3692" w:type="pct"/>
          </w:tcPr>
          <w:p w14:paraId="21AEB367" w14:textId="197FFFF6" w:rsidR="00A53EE0" w:rsidRPr="00064185" w:rsidRDefault="00BF1940" w:rsidP="00EA61D8">
            <w:pPr>
              <w:spacing w:line="260" w:lineRule="atLeast"/>
              <w:rPr>
                <w:rFonts w:eastAsia="Calibri"/>
                <w:lang w:eastAsia="en-US"/>
              </w:rPr>
            </w:pPr>
            <w:r w:rsidRPr="00064185">
              <w:rPr>
                <w:rFonts w:cs="Arial"/>
              </w:rPr>
              <w:t>eva.mandrisch@compo.de</w:t>
            </w:r>
          </w:p>
        </w:tc>
      </w:tr>
      <w:tr w:rsidR="00A53EE0" w:rsidRPr="00064185" w14:paraId="43573921" w14:textId="77777777" w:rsidTr="00DA465D">
        <w:tc>
          <w:tcPr>
            <w:tcW w:w="1308" w:type="pct"/>
          </w:tcPr>
          <w:p w14:paraId="1AFE8548" w14:textId="77777777" w:rsidR="00A53EE0" w:rsidRPr="00064185" w:rsidRDefault="00A53EE0" w:rsidP="00EA61D8">
            <w:pPr>
              <w:spacing w:line="260" w:lineRule="atLeast"/>
              <w:rPr>
                <w:rFonts w:eastAsia="Calibri"/>
                <w:lang w:eastAsia="en-US"/>
              </w:rPr>
            </w:pPr>
            <w:r w:rsidRPr="00064185">
              <w:rPr>
                <w:rFonts w:eastAsia="Calibri"/>
                <w:lang w:eastAsia="en-US"/>
              </w:rPr>
              <w:t>Letter of appointment for the applicant to represent the authorisation holder provided (yes/no):</w:t>
            </w:r>
          </w:p>
        </w:tc>
        <w:tc>
          <w:tcPr>
            <w:tcW w:w="3692" w:type="pct"/>
          </w:tcPr>
          <w:p w14:paraId="314BC87D" w14:textId="2BC544F8" w:rsidR="00A53EE0" w:rsidRPr="00064185" w:rsidRDefault="00322FEB" w:rsidP="00EA61D8">
            <w:pPr>
              <w:spacing w:line="260" w:lineRule="atLeast"/>
              <w:rPr>
                <w:rFonts w:eastAsia="Calibri"/>
                <w:lang w:eastAsia="en-US"/>
              </w:rPr>
            </w:pPr>
            <w:r w:rsidRPr="00064185">
              <w:rPr>
                <w:rFonts w:eastAsia="Calibri"/>
                <w:lang w:eastAsia="en-US"/>
              </w:rPr>
              <w:t>no</w:t>
            </w:r>
          </w:p>
        </w:tc>
      </w:tr>
    </w:tbl>
    <w:p w14:paraId="0437790A" w14:textId="77777777" w:rsidR="00A53EE0" w:rsidRPr="00064185" w:rsidRDefault="00A53EE0" w:rsidP="00EA61D8">
      <w:pPr>
        <w:spacing w:line="260" w:lineRule="atLeast"/>
        <w:rPr>
          <w:rFonts w:eastAsia="Calibri"/>
          <w:lang w:eastAsia="en-US"/>
        </w:rPr>
      </w:pPr>
      <w:bookmarkStart w:id="106" w:name="_Toc387244929"/>
      <w:bookmarkStart w:id="107" w:name="_Toc387250753"/>
      <w:bookmarkStart w:id="108" w:name="_Toc387244930"/>
      <w:bookmarkStart w:id="109" w:name="_Toc387250754"/>
      <w:bookmarkEnd w:id="106"/>
      <w:bookmarkEnd w:id="107"/>
      <w:bookmarkEnd w:id="108"/>
      <w:bookmarkEnd w:id="109"/>
    </w:p>
    <w:p w14:paraId="5F2B2423" w14:textId="77777777" w:rsidR="00554DD9" w:rsidRPr="00064185" w:rsidRDefault="00554DD9" w:rsidP="00EA61D8">
      <w:pPr>
        <w:spacing w:line="260" w:lineRule="atLeast"/>
        <w:rPr>
          <w:rFonts w:eastAsia="Calibri"/>
          <w:lang w:eastAsia="en-US"/>
        </w:rPr>
      </w:pPr>
    </w:p>
    <w:p w14:paraId="151632B3" w14:textId="77777777" w:rsidR="00A53EE0" w:rsidRPr="00064185" w:rsidRDefault="00A53EE0" w:rsidP="00EA61D8">
      <w:pPr>
        <w:pStyle w:val="berschrift4"/>
        <w:jc w:val="left"/>
        <w:rPr>
          <w:lang w:val="en-GB"/>
        </w:rPr>
      </w:pPr>
      <w:bookmarkStart w:id="110" w:name="_Toc389728869"/>
      <w:bookmarkStart w:id="111" w:name="_Toc403472719"/>
      <w:bookmarkStart w:id="112" w:name="_Toc440879624"/>
      <w:bookmarkStart w:id="113" w:name="_Toc440889937"/>
      <w:bookmarkStart w:id="114" w:name="_Toc530563640"/>
      <w:r w:rsidRPr="00064185">
        <w:rPr>
          <w:lang w:val="en-GB"/>
        </w:rPr>
        <w:t>Person authorised for communication on behalf of the applicant</w:t>
      </w:r>
      <w:bookmarkEnd w:id="110"/>
      <w:bookmarkEnd w:id="111"/>
      <w:bookmarkEnd w:id="112"/>
      <w:bookmarkEnd w:id="113"/>
      <w:bookmarkEnd w:id="114"/>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476"/>
        <w:gridCol w:w="6952"/>
      </w:tblGrid>
      <w:tr w:rsidR="00064185" w:rsidRPr="00064185" w14:paraId="01E6BB01" w14:textId="77777777" w:rsidTr="3EE6AFE7">
        <w:tc>
          <w:tcPr>
            <w:tcW w:w="1313" w:type="pct"/>
          </w:tcPr>
          <w:p w14:paraId="0FA3CAA8" w14:textId="77777777" w:rsidR="00322FEB" w:rsidRPr="00064185" w:rsidRDefault="00322FEB" w:rsidP="00EA61D8">
            <w:pPr>
              <w:keepNext/>
              <w:keepLines/>
              <w:widowControl w:val="0"/>
              <w:spacing w:line="260" w:lineRule="atLeast"/>
              <w:rPr>
                <w:rFonts w:eastAsia="Calibri"/>
                <w:lang w:eastAsia="en-US"/>
              </w:rPr>
            </w:pPr>
            <w:r w:rsidRPr="00064185">
              <w:rPr>
                <w:rFonts w:eastAsia="Calibri"/>
                <w:lang w:eastAsia="en-US"/>
              </w:rPr>
              <w:t>Name:</w:t>
            </w:r>
          </w:p>
        </w:tc>
        <w:tc>
          <w:tcPr>
            <w:tcW w:w="3687" w:type="pct"/>
          </w:tcPr>
          <w:p w14:paraId="1A6B1989" w14:textId="41B3273B" w:rsidR="00322FEB" w:rsidRPr="00064185" w:rsidRDefault="00BF1940" w:rsidP="00EA61D8">
            <w:pPr>
              <w:keepNext/>
              <w:keepLines/>
              <w:widowControl w:val="0"/>
              <w:spacing w:line="260" w:lineRule="atLeast"/>
              <w:rPr>
                <w:rFonts w:eastAsia="Calibri"/>
                <w:lang w:val="de-AT" w:eastAsia="en-US"/>
              </w:rPr>
            </w:pPr>
            <w:r w:rsidRPr="00064185">
              <w:t>Eva Mandrisch</w:t>
            </w:r>
          </w:p>
        </w:tc>
      </w:tr>
      <w:tr w:rsidR="00064185" w:rsidRPr="00064185" w14:paraId="799C65C5" w14:textId="77777777" w:rsidTr="3EE6AFE7">
        <w:tc>
          <w:tcPr>
            <w:tcW w:w="1313" w:type="pct"/>
          </w:tcPr>
          <w:p w14:paraId="0BA0CCE4" w14:textId="77777777" w:rsidR="00322FEB" w:rsidRPr="00064185" w:rsidRDefault="00322FEB" w:rsidP="00EA61D8">
            <w:pPr>
              <w:keepNext/>
              <w:keepLines/>
              <w:widowControl w:val="0"/>
              <w:spacing w:line="260" w:lineRule="atLeast"/>
              <w:rPr>
                <w:rFonts w:eastAsia="Calibri"/>
                <w:lang w:eastAsia="en-US"/>
              </w:rPr>
            </w:pPr>
            <w:r w:rsidRPr="00064185">
              <w:rPr>
                <w:rFonts w:eastAsia="Calibri"/>
                <w:lang w:eastAsia="en-US"/>
              </w:rPr>
              <w:t>Function:</w:t>
            </w:r>
          </w:p>
        </w:tc>
        <w:tc>
          <w:tcPr>
            <w:tcW w:w="3687" w:type="pct"/>
          </w:tcPr>
          <w:p w14:paraId="2E8BE88A" w14:textId="5EB377B5" w:rsidR="00322FEB" w:rsidRPr="00064185" w:rsidRDefault="00322FEB" w:rsidP="00EA61D8">
            <w:pPr>
              <w:keepNext/>
              <w:keepLines/>
              <w:widowControl w:val="0"/>
              <w:spacing w:line="260" w:lineRule="atLeast"/>
              <w:rPr>
                <w:rFonts w:eastAsia="Calibri"/>
                <w:lang w:eastAsia="en-US"/>
              </w:rPr>
            </w:pPr>
          </w:p>
        </w:tc>
      </w:tr>
      <w:tr w:rsidR="00064185" w:rsidRPr="00064185" w14:paraId="454CC677" w14:textId="77777777" w:rsidTr="3EE6AFE7">
        <w:tc>
          <w:tcPr>
            <w:tcW w:w="1313" w:type="pct"/>
          </w:tcPr>
          <w:p w14:paraId="7FF92711" w14:textId="77777777" w:rsidR="00322FEB" w:rsidRPr="00064185" w:rsidRDefault="00322FEB" w:rsidP="00EA61D8">
            <w:pPr>
              <w:keepNext/>
              <w:keepLines/>
              <w:widowControl w:val="0"/>
              <w:spacing w:line="260" w:lineRule="atLeast"/>
              <w:rPr>
                <w:rFonts w:eastAsia="Calibri"/>
                <w:lang w:eastAsia="en-US"/>
              </w:rPr>
            </w:pPr>
            <w:r w:rsidRPr="00064185">
              <w:rPr>
                <w:rFonts w:eastAsia="Calibri"/>
                <w:lang w:eastAsia="en-US"/>
              </w:rPr>
              <w:t>Address:</w:t>
            </w:r>
          </w:p>
        </w:tc>
        <w:tc>
          <w:tcPr>
            <w:tcW w:w="3687" w:type="pct"/>
          </w:tcPr>
          <w:p w14:paraId="7B8272F6" w14:textId="4222BD56" w:rsidR="00322FEB" w:rsidRPr="00064185" w:rsidRDefault="00322FEB" w:rsidP="00EA61D8">
            <w:pPr>
              <w:keepNext/>
              <w:keepLines/>
              <w:widowControl w:val="0"/>
              <w:spacing w:line="260" w:lineRule="atLeast"/>
              <w:rPr>
                <w:rFonts w:eastAsia="Calibri"/>
                <w:lang w:eastAsia="en-US"/>
              </w:rPr>
            </w:pPr>
          </w:p>
        </w:tc>
      </w:tr>
      <w:tr w:rsidR="00064185" w:rsidRPr="00064185" w14:paraId="611F505F" w14:textId="77777777" w:rsidTr="3EE6AFE7">
        <w:tc>
          <w:tcPr>
            <w:tcW w:w="1313" w:type="pct"/>
          </w:tcPr>
          <w:p w14:paraId="2D66A7C9" w14:textId="77777777" w:rsidR="00322FEB" w:rsidRPr="00064185" w:rsidRDefault="00322FEB" w:rsidP="00EA61D8">
            <w:pPr>
              <w:keepNext/>
              <w:keepLines/>
              <w:widowControl w:val="0"/>
              <w:spacing w:line="260" w:lineRule="atLeast"/>
              <w:rPr>
                <w:rFonts w:eastAsia="Calibri"/>
                <w:lang w:eastAsia="en-US"/>
              </w:rPr>
            </w:pPr>
            <w:r w:rsidRPr="00064185">
              <w:rPr>
                <w:rFonts w:eastAsia="Calibri"/>
                <w:lang w:eastAsia="en-US"/>
              </w:rPr>
              <w:t>City:</w:t>
            </w:r>
          </w:p>
        </w:tc>
        <w:tc>
          <w:tcPr>
            <w:tcW w:w="3687" w:type="pct"/>
          </w:tcPr>
          <w:p w14:paraId="5C93E95C" w14:textId="77777777" w:rsidR="00322FEB" w:rsidRPr="00064185" w:rsidRDefault="00322FEB" w:rsidP="00EA61D8">
            <w:pPr>
              <w:keepNext/>
              <w:keepLines/>
              <w:widowControl w:val="0"/>
              <w:spacing w:line="260" w:lineRule="atLeast"/>
              <w:rPr>
                <w:rFonts w:eastAsia="Calibri"/>
                <w:lang w:eastAsia="en-US"/>
              </w:rPr>
            </w:pPr>
          </w:p>
        </w:tc>
      </w:tr>
      <w:tr w:rsidR="00064185" w:rsidRPr="00064185" w14:paraId="060FF64B" w14:textId="77777777" w:rsidTr="3EE6AFE7">
        <w:tc>
          <w:tcPr>
            <w:tcW w:w="1313" w:type="pct"/>
          </w:tcPr>
          <w:p w14:paraId="095B29F3" w14:textId="77777777" w:rsidR="00322FEB" w:rsidRPr="00064185" w:rsidRDefault="00322FEB" w:rsidP="00EA61D8">
            <w:pPr>
              <w:spacing w:line="260" w:lineRule="atLeast"/>
              <w:rPr>
                <w:rFonts w:eastAsia="Calibri"/>
                <w:lang w:eastAsia="en-US"/>
              </w:rPr>
            </w:pPr>
            <w:r w:rsidRPr="00064185">
              <w:rPr>
                <w:rFonts w:eastAsia="Calibri"/>
                <w:lang w:eastAsia="en-US"/>
              </w:rPr>
              <w:t>Postal Code:</w:t>
            </w:r>
          </w:p>
        </w:tc>
        <w:tc>
          <w:tcPr>
            <w:tcW w:w="3687" w:type="pct"/>
          </w:tcPr>
          <w:p w14:paraId="72047261" w14:textId="77777777" w:rsidR="00322FEB" w:rsidRPr="00064185" w:rsidRDefault="00322FEB" w:rsidP="00EA61D8">
            <w:pPr>
              <w:spacing w:line="260" w:lineRule="atLeast"/>
              <w:rPr>
                <w:rFonts w:eastAsia="Calibri"/>
                <w:lang w:eastAsia="en-US"/>
              </w:rPr>
            </w:pPr>
          </w:p>
        </w:tc>
      </w:tr>
      <w:tr w:rsidR="00064185" w:rsidRPr="00064185" w14:paraId="754119D5" w14:textId="77777777" w:rsidTr="3EE6AFE7">
        <w:tc>
          <w:tcPr>
            <w:tcW w:w="1313" w:type="pct"/>
          </w:tcPr>
          <w:p w14:paraId="2D685518" w14:textId="77777777" w:rsidR="00322FEB" w:rsidRPr="00064185" w:rsidRDefault="00322FEB" w:rsidP="00EA61D8">
            <w:pPr>
              <w:spacing w:line="260" w:lineRule="atLeast"/>
              <w:rPr>
                <w:rFonts w:eastAsia="Calibri"/>
                <w:lang w:eastAsia="en-US"/>
              </w:rPr>
            </w:pPr>
            <w:r w:rsidRPr="00064185">
              <w:rPr>
                <w:rFonts w:eastAsia="Calibri"/>
                <w:lang w:eastAsia="en-US"/>
              </w:rPr>
              <w:t>Country:</w:t>
            </w:r>
          </w:p>
        </w:tc>
        <w:tc>
          <w:tcPr>
            <w:tcW w:w="3687" w:type="pct"/>
          </w:tcPr>
          <w:p w14:paraId="0AD8BEEC" w14:textId="77777777" w:rsidR="00322FEB" w:rsidRPr="00064185" w:rsidRDefault="00322FEB" w:rsidP="00EA61D8">
            <w:pPr>
              <w:spacing w:line="260" w:lineRule="atLeast"/>
              <w:rPr>
                <w:rFonts w:eastAsia="Calibri"/>
                <w:lang w:eastAsia="en-US"/>
              </w:rPr>
            </w:pPr>
          </w:p>
        </w:tc>
      </w:tr>
      <w:tr w:rsidR="00064185" w:rsidRPr="00064185" w14:paraId="0571C932" w14:textId="77777777" w:rsidTr="3EE6AFE7">
        <w:tc>
          <w:tcPr>
            <w:tcW w:w="1313" w:type="pct"/>
          </w:tcPr>
          <w:p w14:paraId="5D88EE72" w14:textId="77777777" w:rsidR="00322FEB" w:rsidRPr="00064185" w:rsidRDefault="00322FEB" w:rsidP="00EA61D8">
            <w:pPr>
              <w:spacing w:line="260" w:lineRule="atLeast"/>
              <w:rPr>
                <w:rFonts w:eastAsia="Calibri"/>
                <w:lang w:eastAsia="en-US"/>
              </w:rPr>
            </w:pPr>
            <w:r w:rsidRPr="00064185">
              <w:rPr>
                <w:rFonts w:eastAsia="Calibri"/>
                <w:lang w:eastAsia="en-US"/>
              </w:rPr>
              <w:t>Telephone:</w:t>
            </w:r>
          </w:p>
        </w:tc>
        <w:tc>
          <w:tcPr>
            <w:tcW w:w="3687" w:type="pct"/>
          </w:tcPr>
          <w:p w14:paraId="6B12CEAD" w14:textId="36DED7AA" w:rsidR="00322FEB" w:rsidRPr="00064185" w:rsidRDefault="00322FEB" w:rsidP="00EA61D8">
            <w:pPr>
              <w:spacing w:line="260" w:lineRule="atLeast"/>
              <w:rPr>
                <w:rFonts w:eastAsia="Calibri"/>
                <w:lang w:eastAsia="en-US"/>
              </w:rPr>
            </w:pPr>
            <w:r w:rsidRPr="00064185">
              <w:rPr>
                <w:rFonts w:eastAsia="FangSong"/>
              </w:rPr>
              <w:t>+</w:t>
            </w:r>
            <w:r w:rsidR="0095529B" w:rsidRPr="00064185">
              <w:t xml:space="preserve"> </w:t>
            </w:r>
            <w:r w:rsidRPr="00064185">
              <w:rPr>
                <w:rFonts w:eastAsia="FangSong"/>
              </w:rPr>
              <w:t xml:space="preserve">49 </w:t>
            </w:r>
            <w:r w:rsidR="0095529B" w:rsidRPr="00064185">
              <w:t xml:space="preserve">(0) </w:t>
            </w:r>
            <w:r w:rsidRPr="00064185">
              <w:rPr>
                <w:rFonts w:eastAsia="FangSong"/>
              </w:rPr>
              <w:t xml:space="preserve">251 3277 </w:t>
            </w:r>
            <w:r w:rsidR="0095529B" w:rsidRPr="00064185">
              <w:t>368</w:t>
            </w:r>
          </w:p>
        </w:tc>
      </w:tr>
      <w:tr w:rsidR="00064185" w:rsidRPr="00064185" w14:paraId="61DA831B" w14:textId="77777777" w:rsidTr="3EE6AFE7">
        <w:tc>
          <w:tcPr>
            <w:tcW w:w="1313" w:type="pct"/>
          </w:tcPr>
          <w:p w14:paraId="79403F54" w14:textId="77777777" w:rsidR="00322FEB" w:rsidRPr="00064185" w:rsidRDefault="00322FEB" w:rsidP="00EA61D8">
            <w:pPr>
              <w:spacing w:line="260" w:lineRule="atLeast"/>
              <w:rPr>
                <w:rFonts w:eastAsia="Calibri"/>
                <w:lang w:eastAsia="en-US"/>
              </w:rPr>
            </w:pPr>
            <w:r w:rsidRPr="00064185">
              <w:rPr>
                <w:rFonts w:eastAsia="Calibri"/>
                <w:lang w:eastAsia="en-US"/>
              </w:rPr>
              <w:t>Fax:</w:t>
            </w:r>
          </w:p>
        </w:tc>
        <w:tc>
          <w:tcPr>
            <w:tcW w:w="3687" w:type="pct"/>
          </w:tcPr>
          <w:p w14:paraId="482F1812" w14:textId="77777777" w:rsidR="00322FEB" w:rsidRPr="00064185" w:rsidRDefault="00322FEB" w:rsidP="00EA61D8">
            <w:pPr>
              <w:rPr>
                <w:lang w:val="fr-FR"/>
              </w:rPr>
            </w:pPr>
          </w:p>
        </w:tc>
      </w:tr>
      <w:tr w:rsidR="00322FEB" w:rsidRPr="00064185" w14:paraId="6255EC62" w14:textId="77777777" w:rsidTr="3EE6AFE7">
        <w:tc>
          <w:tcPr>
            <w:tcW w:w="1313" w:type="pct"/>
          </w:tcPr>
          <w:p w14:paraId="16E48411" w14:textId="77777777" w:rsidR="00322FEB" w:rsidRPr="00064185" w:rsidRDefault="00322FEB" w:rsidP="00EA61D8">
            <w:pPr>
              <w:spacing w:line="260" w:lineRule="atLeast"/>
              <w:rPr>
                <w:rFonts w:eastAsia="Calibri"/>
                <w:lang w:eastAsia="en-US"/>
              </w:rPr>
            </w:pPr>
            <w:r w:rsidRPr="00064185">
              <w:rPr>
                <w:rFonts w:eastAsia="Calibri"/>
                <w:lang w:eastAsia="en-US"/>
              </w:rPr>
              <w:t>E-mail address:</w:t>
            </w:r>
          </w:p>
        </w:tc>
        <w:tc>
          <w:tcPr>
            <w:tcW w:w="3687" w:type="pct"/>
          </w:tcPr>
          <w:p w14:paraId="2780A9B3" w14:textId="1E90D78E" w:rsidR="00322FEB" w:rsidRPr="00064185" w:rsidRDefault="00BF1940" w:rsidP="00EA61D8">
            <w:pPr>
              <w:spacing w:line="260" w:lineRule="atLeast"/>
              <w:rPr>
                <w:rFonts w:eastAsia="Calibri"/>
                <w:lang w:val="de-AT" w:eastAsia="en-US"/>
              </w:rPr>
            </w:pPr>
            <w:r w:rsidRPr="00064185">
              <w:rPr>
                <w:rFonts w:cs="Arial"/>
              </w:rPr>
              <w:t>eva.mandrisch@compo.de</w:t>
            </w:r>
          </w:p>
        </w:tc>
      </w:tr>
    </w:tbl>
    <w:p w14:paraId="155A5EEB" w14:textId="77777777" w:rsidR="00A53EE0" w:rsidRPr="00064185" w:rsidRDefault="00A53EE0" w:rsidP="00EA61D8">
      <w:pPr>
        <w:spacing w:line="260" w:lineRule="atLeast"/>
        <w:rPr>
          <w:rFonts w:eastAsia="Calibri"/>
          <w:lang w:val="de-AT" w:eastAsia="en-US"/>
        </w:rPr>
      </w:pPr>
      <w:bookmarkStart w:id="115" w:name="_Toc387244932"/>
      <w:bookmarkStart w:id="116" w:name="_Toc387250756"/>
      <w:bookmarkStart w:id="117" w:name="_Toc388374053"/>
      <w:bookmarkEnd w:id="115"/>
      <w:bookmarkEnd w:id="116"/>
      <w:bookmarkEnd w:id="117"/>
    </w:p>
    <w:p w14:paraId="46F825C0" w14:textId="77777777" w:rsidR="00554DD9" w:rsidRPr="00064185" w:rsidRDefault="00554DD9" w:rsidP="00EA61D8">
      <w:pPr>
        <w:spacing w:line="260" w:lineRule="atLeast"/>
        <w:rPr>
          <w:rFonts w:eastAsia="Calibri"/>
          <w:lang w:val="de-AT" w:eastAsia="en-US"/>
        </w:rPr>
      </w:pPr>
    </w:p>
    <w:p w14:paraId="38CD226C" w14:textId="77777777" w:rsidR="00A53EE0" w:rsidRPr="00064185" w:rsidRDefault="00A53EE0" w:rsidP="00EA61D8">
      <w:pPr>
        <w:pStyle w:val="berschrift4"/>
        <w:jc w:val="left"/>
      </w:pPr>
      <w:bookmarkStart w:id="118" w:name="_Toc389728870"/>
      <w:bookmarkStart w:id="119" w:name="_Toc403472720"/>
      <w:bookmarkStart w:id="120" w:name="_Toc440879625"/>
      <w:bookmarkStart w:id="121" w:name="_Toc440889938"/>
      <w:bookmarkStart w:id="122" w:name="_Toc530563641"/>
      <w:r w:rsidRPr="00064185">
        <w:t>Manufacturer(s) of the product</w:t>
      </w:r>
      <w:bookmarkEnd w:id="118"/>
      <w:bookmarkEnd w:id="119"/>
      <w:bookmarkEnd w:id="120"/>
      <w:bookmarkEnd w:id="121"/>
      <w:bookmarkEnd w:id="122"/>
    </w:p>
    <w:tbl>
      <w:tblPr>
        <w:tblW w:w="5000" w:type="pct"/>
        <w:tblCellMar>
          <w:left w:w="0" w:type="dxa"/>
          <w:right w:w="0" w:type="dxa"/>
        </w:tblCellMar>
        <w:tblLook w:val="0000" w:firstRow="0" w:lastRow="0" w:firstColumn="0" w:lastColumn="0" w:noHBand="0" w:noVBand="0"/>
      </w:tblPr>
      <w:tblGrid>
        <w:gridCol w:w="3807"/>
        <w:gridCol w:w="5487"/>
      </w:tblGrid>
      <w:tr w:rsidR="00064185" w:rsidRPr="00064185" w14:paraId="788C16CE" w14:textId="77777777" w:rsidTr="00DA465D">
        <w:tc>
          <w:tcPr>
            <w:tcW w:w="204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AE63C0" w14:textId="77777777" w:rsidR="002E3F7F" w:rsidRPr="00064185" w:rsidRDefault="002E3F7F" w:rsidP="00EA61D8">
            <w:bookmarkStart w:id="123" w:name="d0e404"/>
            <w:bookmarkStart w:id="124" w:name="d0e239"/>
            <w:r w:rsidRPr="00064185">
              <w:rPr>
                <w:bCs/>
                <w:szCs w:val="24"/>
              </w:rPr>
              <w:t>Name of manufacturer</w:t>
            </w:r>
          </w:p>
        </w:tc>
        <w:tc>
          <w:tcPr>
            <w:tcW w:w="2952"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D358069" w14:textId="77777777" w:rsidR="002E3F7F" w:rsidRPr="00064185" w:rsidRDefault="002E3F7F" w:rsidP="00EA61D8">
            <w:r w:rsidRPr="00064185">
              <w:t xml:space="preserve">COMPO GmbH </w:t>
            </w:r>
          </w:p>
        </w:tc>
      </w:tr>
      <w:bookmarkEnd w:id="123"/>
      <w:tr w:rsidR="00064185" w:rsidRPr="00064185" w14:paraId="7CECAB9E" w14:textId="77777777" w:rsidTr="00DA465D">
        <w:tc>
          <w:tcPr>
            <w:tcW w:w="2048"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53D4CC" w14:textId="77777777" w:rsidR="002E3F7F" w:rsidRPr="00064185" w:rsidRDefault="002E3F7F" w:rsidP="00EA61D8">
            <w:r w:rsidRPr="00064185">
              <w:rPr>
                <w:bCs/>
                <w:szCs w:val="24"/>
              </w:rPr>
              <w:t>Address of manufacturer</w:t>
            </w:r>
          </w:p>
        </w:tc>
        <w:tc>
          <w:tcPr>
            <w:tcW w:w="2952" w:type="pct"/>
            <w:tcBorders>
              <w:top w:val="nil"/>
              <w:left w:val="nil"/>
              <w:bottom w:val="single" w:sz="4" w:space="0" w:color="000000"/>
              <w:right w:val="single" w:sz="4" w:space="0" w:color="000000"/>
            </w:tcBorders>
            <w:tcMar>
              <w:top w:w="40" w:type="dxa"/>
              <w:left w:w="40" w:type="dxa"/>
              <w:bottom w:w="40" w:type="dxa"/>
              <w:right w:w="40" w:type="dxa"/>
            </w:tcMar>
          </w:tcPr>
          <w:p w14:paraId="7817689A" w14:textId="77777777" w:rsidR="002E3F7F" w:rsidRPr="00064185" w:rsidRDefault="00890CA1" w:rsidP="00EA61D8">
            <w:pPr>
              <w:rPr>
                <w:lang w:val="en-US"/>
              </w:rPr>
            </w:pPr>
            <w:r w:rsidRPr="00064185">
              <w:rPr>
                <w:bCs/>
                <w:szCs w:val="24"/>
                <w:lang w:val="en-US"/>
              </w:rPr>
              <w:t>Address</w:t>
            </w:r>
            <w:r w:rsidR="002E3F7F" w:rsidRPr="00064185">
              <w:rPr>
                <w:bCs/>
                <w:szCs w:val="24"/>
                <w:lang w:val="en-US"/>
              </w:rPr>
              <w:t xml:space="preserve">: </w:t>
            </w:r>
            <w:r w:rsidR="002E3F7F" w:rsidRPr="00064185">
              <w:rPr>
                <w:lang w:val="en-US"/>
              </w:rPr>
              <w:t>Gildenstr. 38</w:t>
            </w:r>
          </w:p>
          <w:p w14:paraId="3514DBA0" w14:textId="77777777" w:rsidR="002E3F7F" w:rsidRPr="00064185" w:rsidRDefault="002E3F7F" w:rsidP="00EA61D8">
            <w:pPr>
              <w:rPr>
                <w:lang w:val="en-US"/>
              </w:rPr>
            </w:pPr>
            <w:r w:rsidRPr="00064185">
              <w:rPr>
                <w:bCs/>
                <w:szCs w:val="24"/>
                <w:lang w:val="en-US"/>
              </w:rPr>
              <w:t xml:space="preserve">Postal code: </w:t>
            </w:r>
            <w:r w:rsidRPr="00064185">
              <w:rPr>
                <w:lang w:val="en-US"/>
              </w:rPr>
              <w:t>48157</w:t>
            </w:r>
          </w:p>
          <w:p w14:paraId="7C3A5061" w14:textId="77777777" w:rsidR="002E3F7F" w:rsidRPr="00064185" w:rsidRDefault="002E3F7F" w:rsidP="00EA61D8">
            <w:pPr>
              <w:rPr>
                <w:lang w:val="en-US"/>
              </w:rPr>
            </w:pPr>
            <w:r w:rsidRPr="00064185">
              <w:rPr>
                <w:bCs/>
                <w:szCs w:val="24"/>
                <w:lang w:val="en-US"/>
              </w:rPr>
              <w:t xml:space="preserve">Town: </w:t>
            </w:r>
            <w:r w:rsidRPr="00064185">
              <w:rPr>
                <w:lang w:val="en-US"/>
              </w:rPr>
              <w:t>Münster</w:t>
            </w:r>
          </w:p>
          <w:p w14:paraId="544F2FE1" w14:textId="011925A8" w:rsidR="007B0867" w:rsidRPr="00064185" w:rsidRDefault="002E3F7F" w:rsidP="00EA61D8">
            <w:pPr>
              <w:rPr>
                <w:lang w:val="en-US"/>
              </w:rPr>
            </w:pPr>
            <w:r w:rsidRPr="00064185">
              <w:rPr>
                <w:bCs/>
                <w:szCs w:val="24"/>
                <w:lang w:val="en-US"/>
              </w:rPr>
              <w:t>Country: Germany</w:t>
            </w:r>
          </w:p>
        </w:tc>
      </w:tr>
      <w:tr w:rsidR="00064185" w:rsidRPr="00064185" w14:paraId="1C2E2215" w14:textId="77777777" w:rsidTr="00DA465D">
        <w:tc>
          <w:tcPr>
            <w:tcW w:w="2048"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80C748" w14:textId="77777777" w:rsidR="002E3F7F" w:rsidRPr="00064185" w:rsidRDefault="002E3F7F" w:rsidP="00EA61D8">
            <w:r w:rsidRPr="00064185">
              <w:rPr>
                <w:bCs/>
                <w:szCs w:val="24"/>
              </w:rPr>
              <w:t>Location of manufacturing sites</w:t>
            </w:r>
          </w:p>
        </w:tc>
        <w:tc>
          <w:tcPr>
            <w:tcW w:w="2952" w:type="pct"/>
            <w:tcBorders>
              <w:top w:val="nil"/>
              <w:left w:val="nil"/>
              <w:bottom w:val="single" w:sz="4" w:space="0" w:color="000000"/>
              <w:right w:val="single" w:sz="4" w:space="0" w:color="000000"/>
            </w:tcBorders>
            <w:tcMar>
              <w:top w:w="40" w:type="dxa"/>
              <w:left w:w="40" w:type="dxa"/>
              <w:bottom w:w="40" w:type="dxa"/>
              <w:right w:w="40" w:type="dxa"/>
            </w:tcMar>
          </w:tcPr>
          <w:p w14:paraId="4D69EACC" w14:textId="77777777" w:rsidR="002E3F7F" w:rsidRPr="00064185" w:rsidRDefault="002E3F7F" w:rsidP="00EA61D8">
            <w:pPr>
              <w:rPr>
                <w:bCs/>
                <w:szCs w:val="24"/>
                <w:lang w:val="en-US"/>
              </w:rPr>
            </w:pPr>
            <w:r w:rsidRPr="00064185">
              <w:rPr>
                <w:bCs/>
                <w:szCs w:val="24"/>
                <w:lang w:val="en-US"/>
              </w:rPr>
              <w:t>BiB</w:t>
            </w:r>
          </w:p>
          <w:p w14:paraId="7361858C" w14:textId="77777777" w:rsidR="002E3F7F" w:rsidRPr="00064185" w:rsidRDefault="00890CA1" w:rsidP="00EA61D8">
            <w:pPr>
              <w:rPr>
                <w:lang w:val="en-US"/>
              </w:rPr>
            </w:pPr>
            <w:r w:rsidRPr="00064185">
              <w:rPr>
                <w:bCs/>
                <w:szCs w:val="24"/>
                <w:lang w:val="en-US"/>
              </w:rPr>
              <w:t>Address</w:t>
            </w:r>
            <w:r w:rsidR="002E3F7F" w:rsidRPr="00064185">
              <w:rPr>
                <w:bCs/>
                <w:szCs w:val="24"/>
                <w:lang w:val="en-US"/>
              </w:rPr>
              <w:t>: Randweg 7</w:t>
            </w:r>
          </w:p>
          <w:p w14:paraId="7F4D4C35" w14:textId="77777777" w:rsidR="002E3F7F" w:rsidRPr="00064185" w:rsidRDefault="002E3F7F" w:rsidP="00EA61D8">
            <w:pPr>
              <w:rPr>
                <w:lang w:val="en-US"/>
              </w:rPr>
            </w:pPr>
            <w:r w:rsidRPr="00064185">
              <w:rPr>
                <w:bCs/>
                <w:szCs w:val="24"/>
                <w:lang w:val="en-US"/>
              </w:rPr>
              <w:t>Postal code: 6045 JK</w:t>
            </w:r>
          </w:p>
          <w:p w14:paraId="5371934D" w14:textId="77777777" w:rsidR="002E3F7F" w:rsidRPr="00064185" w:rsidRDefault="002E3F7F" w:rsidP="00EA61D8">
            <w:pPr>
              <w:rPr>
                <w:lang w:val="en-US"/>
              </w:rPr>
            </w:pPr>
            <w:r w:rsidRPr="00064185">
              <w:rPr>
                <w:bCs/>
                <w:szCs w:val="24"/>
                <w:lang w:val="en-US"/>
              </w:rPr>
              <w:t>Town: Roermond</w:t>
            </w:r>
          </w:p>
          <w:p w14:paraId="472CC92A" w14:textId="77777777" w:rsidR="002E3F7F" w:rsidRPr="00064185" w:rsidRDefault="002E3F7F" w:rsidP="00EA61D8">
            <w:pPr>
              <w:rPr>
                <w:lang w:val="en-US"/>
              </w:rPr>
            </w:pPr>
            <w:r w:rsidRPr="00064185">
              <w:rPr>
                <w:bCs/>
                <w:szCs w:val="24"/>
                <w:lang w:val="en-US"/>
              </w:rPr>
              <w:t>Country: Netherlands</w:t>
            </w:r>
          </w:p>
        </w:tc>
      </w:tr>
      <w:tr w:rsidR="00064185" w:rsidRPr="00064185" w14:paraId="16AA11B0" w14:textId="77777777" w:rsidTr="00DA465D">
        <w:tc>
          <w:tcPr>
            <w:tcW w:w="204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DE4098" w14:textId="77777777" w:rsidR="002E3F7F" w:rsidRPr="00064185" w:rsidRDefault="002E3F7F" w:rsidP="00EA61D8">
            <w:pPr>
              <w:rPr>
                <w:bCs/>
                <w:szCs w:val="24"/>
                <w:lang w:val="fr-FR"/>
              </w:rPr>
            </w:pPr>
          </w:p>
        </w:tc>
        <w:tc>
          <w:tcPr>
            <w:tcW w:w="2952"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960CD33" w14:textId="77777777" w:rsidR="002E3F7F" w:rsidRPr="00064185" w:rsidRDefault="002E3F7F" w:rsidP="00EA61D8">
            <w:pPr>
              <w:rPr>
                <w:bCs/>
                <w:szCs w:val="24"/>
                <w:lang w:val="en-US"/>
              </w:rPr>
            </w:pPr>
            <w:r w:rsidRPr="00064185">
              <w:rPr>
                <w:bCs/>
                <w:szCs w:val="24"/>
                <w:lang w:val="en-US"/>
              </w:rPr>
              <w:t>FormiChem GmbH</w:t>
            </w:r>
          </w:p>
          <w:p w14:paraId="71AD1064" w14:textId="77777777" w:rsidR="002E3F7F" w:rsidRPr="00064185" w:rsidRDefault="00890CA1" w:rsidP="00EA61D8">
            <w:pPr>
              <w:rPr>
                <w:lang w:val="en-US"/>
              </w:rPr>
            </w:pPr>
            <w:r w:rsidRPr="00064185">
              <w:rPr>
                <w:bCs/>
                <w:szCs w:val="24"/>
                <w:lang w:val="en-US"/>
              </w:rPr>
              <w:t>Address</w:t>
            </w:r>
            <w:r w:rsidR="002E3F7F" w:rsidRPr="00064185">
              <w:rPr>
                <w:bCs/>
                <w:szCs w:val="24"/>
                <w:lang w:val="en-US"/>
              </w:rPr>
              <w:t>: Anna-von-Philipp-Str. B33</w:t>
            </w:r>
          </w:p>
          <w:p w14:paraId="175AB7A1" w14:textId="77777777" w:rsidR="002E3F7F" w:rsidRPr="00064185" w:rsidRDefault="002E3F7F" w:rsidP="00EA61D8">
            <w:pPr>
              <w:rPr>
                <w:lang w:val="en-US"/>
              </w:rPr>
            </w:pPr>
            <w:r w:rsidRPr="00064185">
              <w:rPr>
                <w:bCs/>
                <w:szCs w:val="24"/>
                <w:lang w:val="en-US"/>
              </w:rPr>
              <w:t>Postal code: 86633</w:t>
            </w:r>
          </w:p>
          <w:p w14:paraId="0E43532A" w14:textId="77777777" w:rsidR="002E3F7F" w:rsidRPr="00064185" w:rsidRDefault="002E3F7F" w:rsidP="00EA61D8">
            <w:pPr>
              <w:rPr>
                <w:lang w:val="en-US"/>
              </w:rPr>
            </w:pPr>
            <w:r w:rsidRPr="00064185">
              <w:rPr>
                <w:bCs/>
                <w:szCs w:val="24"/>
                <w:lang w:val="en-US"/>
              </w:rPr>
              <w:t>Town: Neuburg a.d. Donau</w:t>
            </w:r>
          </w:p>
          <w:p w14:paraId="47DA2429" w14:textId="77777777" w:rsidR="002E3F7F" w:rsidRPr="00064185" w:rsidRDefault="002E3F7F" w:rsidP="00EA61D8">
            <w:pPr>
              <w:rPr>
                <w:lang w:val="en-US"/>
              </w:rPr>
            </w:pPr>
            <w:r w:rsidRPr="00064185">
              <w:rPr>
                <w:bCs/>
                <w:szCs w:val="24"/>
                <w:lang w:val="en-US"/>
              </w:rPr>
              <w:t>Country: Germany</w:t>
            </w:r>
          </w:p>
        </w:tc>
      </w:tr>
      <w:tr w:rsidR="00993B58" w:rsidRPr="00064185" w14:paraId="21169B7E" w14:textId="77777777" w:rsidTr="00DA465D">
        <w:tc>
          <w:tcPr>
            <w:tcW w:w="2048"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7549C8" w14:textId="77777777" w:rsidR="002E3F7F" w:rsidRPr="00064185" w:rsidRDefault="002E3F7F" w:rsidP="00EA61D8">
            <w:pPr>
              <w:rPr>
                <w:bCs/>
                <w:szCs w:val="24"/>
                <w:lang w:val="en-US"/>
              </w:rPr>
            </w:pPr>
          </w:p>
        </w:tc>
        <w:tc>
          <w:tcPr>
            <w:tcW w:w="2952"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F9C4403" w14:textId="77777777" w:rsidR="002E3F7F" w:rsidRPr="00064185" w:rsidRDefault="002E3F7F" w:rsidP="00EA61D8">
            <w:pPr>
              <w:rPr>
                <w:bCs/>
                <w:szCs w:val="24"/>
                <w:lang w:val="de-DE"/>
              </w:rPr>
            </w:pPr>
            <w:r w:rsidRPr="00064185">
              <w:rPr>
                <w:bCs/>
                <w:szCs w:val="24"/>
                <w:lang w:val="de-DE"/>
              </w:rPr>
              <w:t>Schirm GmbH</w:t>
            </w:r>
          </w:p>
          <w:p w14:paraId="38EA166F" w14:textId="77777777" w:rsidR="002E3F7F" w:rsidRPr="00064185" w:rsidRDefault="00890CA1" w:rsidP="00EA61D8">
            <w:pPr>
              <w:rPr>
                <w:lang w:val="de-DE"/>
              </w:rPr>
            </w:pPr>
            <w:r w:rsidRPr="00064185">
              <w:rPr>
                <w:bCs/>
                <w:szCs w:val="24"/>
                <w:lang w:val="de-DE"/>
              </w:rPr>
              <w:t>Address</w:t>
            </w:r>
            <w:r w:rsidR="002E3F7F" w:rsidRPr="00064185">
              <w:rPr>
                <w:bCs/>
                <w:szCs w:val="24"/>
                <w:lang w:val="de-DE"/>
              </w:rPr>
              <w:t>: Standort Baar-Ebenhausen</w:t>
            </w:r>
          </w:p>
          <w:p w14:paraId="076B7705" w14:textId="77777777" w:rsidR="002E3F7F" w:rsidRPr="00064185" w:rsidRDefault="002E3F7F" w:rsidP="00EA61D8">
            <w:pPr>
              <w:rPr>
                <w:lang w:val="de-DE"/>
              </w:rPr>
            </w:pPr>
            <w:r w:rsidRPr="00064185">
              <w:rPr>
                <w:bCs/>
                <w:szCs w:val="24"/>
                <w:lang w:val="de-DE"/>
              </w:rPr>
              <w:t>Dieselstraße 8</w:t>
            </w:r>
          </w:p>
          <w:p w14:paraId="40C1B45D" w14:textId="77777777" w:rsidR="002E3F7F" w:rsidRPr="00064185" w:rsidRDefault="002E3F7F" w:rsidP="00EA61D8">
            <w:pPr>
              <w:rPr>
                <w:lang w:val="de-DE"/>
              </w:rPr>
            </w:pPr>
            <w:r w:rsidRPr="00064185">
              <w:rPr>
                <w:bCs/>
                <w:szCs w:val="24"/>
                <w:lang w:val="de-DE"/>
              </w:rPr>
              <w:t>Postal code: 85107</w:t>
            </w:r>
          </w:p>
          <w:p w14:paraId="62311A71" w14:textId="77777777" w:rsidR="002E3F7F" w:rsidRPr="00064185" w:rsidRDefault="002E3F7F" w:rsidP="00EA61D8">
            <w:pPr>
              <w:rPr>
                <w:lang w:val="de-DE"/>
              </w:rPr>
            </w:pPr>
            <w:r w:rsidRPr="00064185">
              <w:rPr>
                <w:bCs/>
                <w:szCs w:val="24"/>
                <w:lang w:val="de-DE"/>
              </w:rPr>
              <w:t>Town: Baar-Ebenhausen</w:t>
            </w:r>
          </w:p>
          <w:p w14:paraId="10D045E8" w14:textId="77777777" w:rsidR="002E3F7F" w:rsidRPr="00064185" w:rsidRDefault="002E3F7F" w:rsidP="00EA61D8">
            <w:pPr>
              <w:rPr>
                <w:lang w:val="en-US"/>
              </w:rPr>
            </w:pPr>
            <w:r w:rsidRPr="00064185">
              <w:rPr>
                <w:bCs/>
                <w:szCs w:val="24"/>
                <w:lang w:val="en-US"/>
              </w:rPr>
              <w:t>Country: Germany</w:t>
            </w:r>
          </w:p>
        </w:tc>
      </w:tr>
    </w:tbl>
    <w:p w14:paraId="1EE1CA28" w14:textId="77777777" w:rsidR="00A53EE0" w:rsidRPr="00064185" w:rsidRDefault="00A53EE0" w:rsidP="00EA61D8">
      <w:pPr>
        <w:pStyle w:val="berschrift4"/>
        <w:jc w:val="left"/>
      </w:pPr>
      <w:bookmarkStart w:id="125" w:name="_Toc387244935"/>
      <w:bookmarkStart w:id="126" w:name="_Toc387250759"/>
      <w:bookmarkStart w:id="127" w:name="_Toc388281243"/>
      <w:bookmarkStart w:id="128" w:name="_Toc388281699"/>
      <w:bookmarkStart w:id="129" w:name="_Toc388282181"/>
      <w:bookmarkStart w:id="130" w:name="_Toc388282629"/>
      <w:bookmarkStart w:id="131" w:name="_Toc387244936"/>
      <w:bookmarkStart w:id="132" w:name="_Toc387250760"/>
      <w:bookmarkStart w:id="133" w:name="_Toc388281244"/>
      <w:bookmarkStart w:id="134" w:name="_Toc388281700"/>
      <w:bookmarkStart w:id="135" w:name="_Toc388282182"/>
      <w:bookmarkStart w:id="136" w:name="_Toc388282630"/>
      <w:bookmarkStart w:id="137" w:name="_Toc387244937"/>
      <w:bookmarkStart w:id="138" w:name="_Toc387250761"/>
      <w:bookmarkStart w:id="139" w:name="_Toc388281245"/>
      <w:bookmarkStart w:id="140" w:name="_Toc388281701"/>
      <w:bookmarkStart w:id="141" w:name="_Toc388282183"/>
      <w:bookmarkStart w:id="142" w:name="_Toc388282631"/>
      <w:bookmarkStart w:id="143" w:name="_Toc387244938"/>
      <w:bookmarkStart w:id="144" w:name="_Toc387250762"/>
      <w:bookmarkStart w:id="145" w:name="_Toc388281246"/>
      <w:bookmarkStart w:id="146" w:name="_Toc388281702"/>
      <w:bookmarkStart w:id="147" w:name="_Toc388282184"/>
      <w:bookmarkStart w:id="148" w:name="_Toc388282632"/>
      <w:bookmarkStart w:id="149" w:name="_Toc387244939"/>
      <w:bookmarkStart w:id="150" w:name="_Toc387250763"/>
      <w:bookmarkStart w:id="151" w:name="_Toc388281247"/>
      <w:bookmarkStart w:id="152" w:name="_Toc388281703"/>
      <w:bookmarkStart w:id="153" w:name="_Toc388282185"/>
      <w:bookmarkStart w:id="154" w:name="_Toc388282633"/>
      <w:bookmarkStart w:id="155" w:name="_Toc387244940"/>
      <w:bookmarkStart w:id="156" w:name="_Toc387250764"/>
      <w:bookmarkStart w:id="157" w:name="_Toc388281248"/>
      <w:bookmarkStart w:id="158" w:name="_Toc388281704"/>
      <w:bookmarkStart w:id="159" w:name="_Toc388282186"/>
      <w:bookmarkStart w:id="160" w:name="_Toc388282634"/>
      <w:bookmarkStart w:id="161" w:name="_Toc387244941"/>
      <w:bookmarkStart w:id="162" w:name="_Toc387250765"/>
      <w:bookmarkStart w:id="163" w:name="_Toc388281249"/>
      <w:bookmarkStart w:id="164" w:name="_Toc388281705"/>
      <w:bookmarkStart w:id="165" w:name="_Toc388282187"/>
      <w:bookmarkStart w:id="166" w:name="_Toc388282635"/>
      <w:bookmarkStart w:id="167" w:name="_Toc389728872"/>
      <w:bookmarkStart w:id="168" w:name="_Toc403472721"/>
      <w:bookmarkStart w:id="169" w:name="_Toc440879626"/>
      <w:bookmarkStart w:id="170" w:name="_Toc440889939"/>
      <w:bookmarkStart w:id="171" w:name="_Toc53056364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064185">
        <w:lastRenderedPageBreak/>
        <w:t>Candidate(s) for substitution</w:t>
      </w:r>
      <w:bookmarkEnd w:id="167"/>
      <w:bookmarkEnd w:id="168"/>
      <w:bookmarkEnd w:id="169"/>
      <w:bookmarkEnd w:id="170"/>
      <w:bookmarkEnd w:id="171"/>
      <w:r w:rsidRPr="00064185">
        <w:t xml:space="preserve"> </w:t>
      </w:r>
    </w:p>
    <w:p w14:paraId="57153546" w14:textId="5283A470" w:rsidR="00A53EE0" w:rsidRPr="00064185" w:rsidRDefault="002541F3" w:rsidP="000835FA">
      <w:pPr>
        <w:jc w:val="both"/>
        <w:rPr>
          <w:rFonts w:eastAsia="Calibri"/>
          <w:iCs/>
          <w:lang w:eastAsia="en-US"/>
        </w:rPr>
      </w:pPr>
      <w:r w:rsidRPr="00064185">
        <w:rPr>
          <w:rFonts w:eastAsia="Calibri"/>
          <w:iCs/>
          <w:lang w:eastAsia="en-US"/>
        </w:rPr>
        <w:t>The active substance is a candidate for substitution according to Article 10, 1(d) of Regulation (EU) No. 528/2012</w:t>
      </w:r>
      <w:r w:rsidR="00FF5ABE" w:rsidRPr="00064185">
        <w:rPr>
          <w:rFonts w:eastAsia="Calibri"/>
          <w:iCs/>
          <w:lang w:eastAsia="en-US"/>
        </w:rPr>
        <w:t>. I</w:t>
      </w:r>
      <w:r w:rsidRPr="00064185">
        <w:rPr>
          <w:rFonts w:eastAsia="Calibri"/>
          <w:iCs/>
          <w:lang w:eastAsia="en-US"/>
        </w:rPr>
        <w:t xml:space="preserve">t meets the criteria for being B and T in accordance with Annex XIII to Regulation (EC) No. 1907/2006. </w:t>
      </w:r>
    </w:p>
    <w:p w14:paraId="61428B54" w14:textId="4E9CAA97" w:rsidR="00F558E6" w:rsidRPr="00064185" w:rsidRDefault="00F558E6" w:rsidP="000835FA">
      <w:pPr>
        <w:jc w:val="both"/>
        <w:rPr>
          <w:rFonts w:eastAsia="Calibri"/>
          <w:iCs/>
          <w:lang w:eastAsia="en-US"/>
        </w:rPr>
      </w:pPr>
    </w:p>
    <w:p w14:paraId="7D4B58DA" w14:textId="77777777" w:rsidR="00F558E6" w:rsidRPr="00064185" w:rsidRDefault="00F558E6" w:rsidP="000835FA">
      <w:pPr>
        <w:jc w:val="both"/>
        <w:rPr>
          <w:rFonts w:eastAsia="Calibri"/>
          <w:iCs/>
          <w:lang w:eastAsia="en-US"/>
        </w:rPr>
      </w:pPr>
    </w:p>
    <w:p w14:paraId="0356926B" w14:textId="77777777" w:rsidR="00F558E6" w:rsidRPr="00064185" w:rsidRDefault="00F558E6" w:rsidP="00EA61D8">
      <w:pPr>
        <w:rPr>
          <w:rFonts w:eastAsia="Calibri"/>
          <w:iCs/>
          <w:lang w:eastAsia="en-US"/>
        </w:rPr>
      </w:pPr>
    </w:p>
    <w:p w14:paraId="63A9A8FA" w14:textId="2556516B" w:rsidR="00A53EE0" w:rsidRPr="00064185" w:rsidRDefault="00A53EE0" w:rsidP="00EA61D8">
      <w:pPr>
        <w:pStyle w:val="berschrift3"/>
        <w:rPr>
          <w:rFonts w:eastAsia="Calibri"/>
          <w:lang w:val="en-GB" w:eastAsia="en-US"/>
        </w:rPr>
      </w:pPr>
      <w:bookmarkStart w:id="172" w:name="_Toc387244943"/>
      <w:bookmarkStart w:id="173" w:name="_Toc388281250"/>
      <w:bookmarkStart w:id="174" w:name="_Toc388281706"/>
      <w:bookmarkStart w:id="175" w:name="_Toc388282188"/>
      <w:bookmarkStart w:id="176" w:name="_Toc388282636"/>
      <w:bookmarkStart w:id="177" w:name="_Toc388284908"/>
      <w:bookmarkStart w:id="178" w:name="_Toc389726028"/>
      <w:bookmarkStart w:id="179" w:name="_Toc389727080"/>
      <w:bookmarkStart w:id="180" w:name="_Toc389727438"/>
      <w:bookmarkStart w:id="181" w:name="_Toc389727797"/>
      <w:bookmarkStart w:id="182" w:name="_Toc389728156"/>
      <w:bookmarkStart w:id="183" w:name="_Toc389728516"/>
      <w:bookmarkStart w:id="184" w:name="_Toc389728874"/>
      <w:bookmarkStart w:id="185" w:name="_Toc387244959"/>
      <w:bookmarkStart w:id="186" w:name="_Toc387250768"/>
      <w:bookmarkStart w:id="187" w:name="_Toc388281266"/>
      <w:bookmarkStart w:id="188" w:name="_Toc388281722"/>
      <w:bookmarkStart w:id="189" w:name="_Toc388282204"/>
      <w:bookmarkStart w:id="190" w:name="_Toc388282652"/>
      <w:bookmarkStart w:id="191" w:name="_Toc388284924"/>
      <w:bookmarkStart w:id="192" w:name="_Toc388374069"/>
      <w:bookmarkStart w:id="193" w:name="_Toc389728890"/>
      <w:bookmarkStart w:id="194" w:name="_Toc440879627"/>
      <w:bookmarkStart w:id="195" w:name="_Toc440889940"/>
      <w:bookmarkStart w:id="196" w:name="_Toc530563643"/>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064185">
        <w:rPr>
          <w:rFonts w:eastAsia="Calibri"/>
          <w:lang w:val="en-GB" w:eastAsia="en-US"/>
        </w:rPr>
        <w:t>Product composition and formulation</w:t>
      </w:r>
      <w:bookmarkEnd w:id="193"/>
      <w:bookmarkEnd w:id="194"/>
      <w:bookmarkEnd w:id="195"/>
      <w:bookmarkEnd w:id="196"/>
    </w:p>
    <w:p w14:paraId="63CBFA2A" w14:textId="77777777" w:rsidR="00A53EE0" w:rsidRPr="00064185" w:rsidRDefault="00A53EE0" w:rsidP="00EA61D8">
      <w:pPr>
        <w:spacing w:line="260" w:lineRule="atLeast"/>
        <w:rPr>
          <w:rFonts w:eastAsia="Calibri"/>
          <w:lang w:eastAsia="en-US"/>
        </w:rPr>
      </w:pPr>
    </w:p>
    <w:p w14:paraId="2348FD51" w14:textId="77777777" w:rsidR="00A53EE0" w:rsidRPr="00064185" w:rsidRDefault="00A53EE0" w:rsidP="000835FA">
      <w:pPr>
        <w:spacing w:line="260" w:lineRule="atLeast"/>
        <w:jc w:val="both"/>
        <w:rPr>
          <w:rFonts w:eastAsia="Calibri"/>
          <w:lang w:eastAsia="en-US"/>
        </w:rPr>
      </w:pPr>
      <w:r w:rsidRPr="00064185">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422AE105" w14:textId="77777777" w:rsidR="00A53EE0" w:rsidRPr="00064185" w:rsidRDefault="00A53EE0" w:rsidP="00EA61D8">
      <w:pPr>
        <w:spacing w:line="260" w:lineRule="atLeast"/>
        <w:ind w:left="720"/>
        <w:rPr>
          <w:rFonts w:eastAsia="Calibri"/>
          <w:lang w:eastAsia="fr-FR"/>
        </w:rPr>
      </w:pPr>
      <w:r w:rsidRPr="00064185">
        <w:rPr>
          <w:rFonts w:eastAsia="Calibri"/>
          <w:lang w:eastAsia="en-US"/>
        </w:rPr>
        <w:t xml:space="preserve">Yes </w:t>
      </w:r>
      <w:r w:rsidRPr="00064185">
        <w:rPr>
          <w:rFonts w:eastAsia="Calibri"/>
          <w:lang w:eastAsia="en-US"/>
        </w:rPr>
        <w:tab/>
      </w:r>
      <w:r w:rsidRPr="00064185">
        <w:rPr>
          <w:rFonts w:eastAsia="Calibri"/>
          <w:lang w:eastAsia="fr-FR"/>
        </w:rPr>
        <w:fldChar w:fldCharType="begin">
          <w:ffData>
            <w:name w:val="Check1"/>
            <w:enabled/>
            <w:calcOnExit w:val="0"/>
            <w:checkBox>
              <w:sizeAuto/>
              <w:default w:val="0"/>
              <w:checked w:val="0"/>
            </w:checkBox>
          </w:ffData>
        </w:fldChar>
      </w:r>
      <w:r w:rsidRPr="00064185">
        <w:rPr>
          <w:rFonts w:eastAsia="Calibri"/>
          <w:lang w:eastAsia="fr-FR"/>
        </w:rPr>
        <w:instrText xml:space="preserve"> FORMCHECKBOX </w:instrText>
      </w:r>
      <w:r w:rsidR="00002033">
        <w:rPr>
          <w:rFonts w:eastAsia="Calibri"/>
          <w:lang w:eastAsia="fr-FR"/>
        </w:rPr>
      </w:r>
      <w:r w:rsidR="00002033">
        <w:rPr>
          <w:rFonts w:eastAsia="Calibri"/>
          <w:lang w:eastAsia="fr-FR"/>
        </w:rPr>
        <w:fldChar w:fldCharType="separate"/>
      </w:r>
      <w:r w:rsidRPr="00064185">
        <w:rPr>
          <w:rFonts w:eastAsia="Calibri"/>
          <w:lang w:eastAsia="fr-FR"/>
        </w:rPr>
        <w:fldChar w:fldCharType="end"/>
      </w:r>
    </w:p>
    <w:p w14:paraId="0207596F" w14:textId="77777777" w:rsidR="00A53EE0" w:rsidRDefault="00A53EE0" w:rsidP="00EA61D8">
      <w:pPr>
        <w:spacing w:line="260" w:lineRule="atLeast"/>
        <w:ind w:left="720"/>
        <w:rPr>
          <w:rFonts w:eastAsia="Calibri"/>
          <w:lang w:eastAsia="fr-FR"/>
        </w:rPr>
      </w:pPr>
      <w:r w:rsidRPr="00064185">
        <w:rPr>
          <w:rFonts w:eastAsia="Calibri"/>
          <w:lang w:eastAsia="en-US"/>
        </w:rPr>
        <w:t xml:space="preserve">No </w:t>
      </w:r>
      <w:r w:rsidRPr="00064185">
        <w:rPr>
          <w:rFonts w:eastAsia="Calibri"/>
          <w:lang w:eastAsia="en-US"/>
        </w:rPr>
        <w:tab/>
      </w:r>
      <w:r w:rsidR="005A3867" w:rsidRPr="00064185">
        <w:rPr>
          <w:rFonts w:eastAsia="Calibri"/>
          <w:lang w:eastAsia="fr-FR"/>
        </w:rPr>
        <w:fldChar w:fldCharType="begin">
          <w:ffData>
            <w:name w:val="Check1"/>
            <w:enabled/>
            <w:calcOnExit w:val="0"/>
            <w:checkBox>
              <w:sizeAuto/>
              <w:default w:val="1"/>
            </w:checkBox>
          </w:ffData>
        </w:fldChar>
      </w:r>
      <w:bookmarkStart w:id="197" w:name="Check1"/>
      <w:r w:rsidR="005A3867" w:rsidRPr="00064185">
        <w:rPr>
          <w:rFonts w:eastAsia="Calibri"/>
          <w:lang w:eastAsia="fr-FR"/>
        </w:rPr>
        <w:instrText xml:space="preserve"> FORMCHECKBOX </w:instrText>
      </w:r>
      <w:r w:rsidR="00002033">
        <w:rPr>
          <w:rFonts w:eastAsia="Calibri"/>
          <w:lang w:eastAsia="fr-FR"/>
        </w:rPr>
      </w:r>
      <w:r w:rsidR="00002033">
        <w:rPr>
          <w:rFonts w:eastAsia="Calibri"/>
          <w:lang w:eastAsia="fr-FR"/>
        </w:rPr>
        <w:fldChar w:fldCharType="separate"/>
      </w:r>
      <w:r w:rsidR="005A3867" w:rsidRPr="00064185">
        <w:rPr>
          <w:rFonts w:eastAsia="Calibri"/>
          <w:lang w:eastAsia="fr-FR"/>
        </w:rPr>
        <w:fldChar w:fldCharType="end"/>
      </w:r>
      <w:bookmarkEnd w:id="197"/>
    </w:p>
    <w:p w14:paraId="5AC9C0CA" w14:textId="77777777" w:rsidR="00CD287F" w:rsidRPr="00064185" w:rsidRDefault="00CD287F" w:rsidP="00EA61D8">
      <w:pPr>
        <w:spacing w:line="260" w:lineRule="atLeast"/>
        <w:ind w:left="720"/>
        <w:rPr>
          <w:rFonts w:eastAsia="Calibri"/>
          <w:lang w:eastAsia="fr-FR"/>
        </w:rPr>
      </w:pPr>
    </w:p>
    <w:p w14:paraId="6EFE97EA" w14:textId="77777777" w:rsidR="00AA4B32" w:rsidRPr="00064185" w:rsidRDefault="00AA4B32" w:rsidP="00EA61D8">
      <w:pPr>
        <w:spacing w:line="260" w:lineRule="atLeast"/>
        <w:rPr>
          <w:rFonts w:eastAsia="Calibri"/>
          <w:lang w:eastAsia="fr-FR"/>
        </w:rPr>
      </w:pPr>
    </w:p>
    <w:p w14:paraId="3816ECBD" w14:textId="77777777" w:rsidR="00A53EE0" w:rsidRPr="00064185" w:rsidRDefault="00A53EE0" w:rsidP="00EA61D8">
      <w:pPr>
        <w:pStyle w:val="berschrift4"/>
        <w:numPr>
          <w:ilvl w:val="0"/>
          <w:numId w:val="8"/>
        </w:numPr>
        <w:jc w:val="left"/>
      </w:pPr>
      <w:bookmarkStart w:id="198" w:name="_Toc389728891"/>
      <w:bookmarkStart w:id="199" w:name="_Toc403472722"/>
      <w:bookmarkStart w:id="200" w:name="_Toc440879628"/>
      <w:bookmarkStart w:id="201" w:name="_Toc440889941"/>
      <w:bookmarkStart w:id="202" w:name="_Toc530563644"/>
      <w:r w:rsidRPr="00064185">
        <w:t>Identity of the active substance</w:t>
      </w:r>
      <w:bookmarkEnd w:id="198"/>
      <w:bookmarkEnd w:id="199"/>
      <w:bookmarkEnd w:id="200"/>
      <w:bookmarkEnd w:id="201"/>
      <w:bookmarkEnd w:id="2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53"/>
      </w:tblGrid>
      <w:tr w:rsidR="00064185" w:rsidRPr="00064185" w14:paraId="1DE41EAD" w14:textId="77777777" w:rsidTr="00922E8F">
        <w:tc>
          <w:tcPr>
            <w:tcW w:w="9430" w:type="dxa"/>
            <w:gridSpan w:val="2"/>
            <w:shd w:val="clear" w:color="auto" w:fill="FFFFCC"/>
          </w:tcPr>
          <w:p w14:paraId="6284DB76" w14:textId="77777777" w:rsidR="00A53EE0" w:rsidRPr="00064185" w:rsidRDefault="00A53EE0" w:rsidP="00EA61D8">
            <w:pPr>
              <w:spacing w:line="260" w:lineRule="atLeast"/>
              <w:rPr>
                <w:rFonts w:eastAsia="Calibri"/>
                <w:b/>
                <w:lang w:eastAsia="en-US"/>
              </w:rPr>
            </w:pPr>
            <w:r w:rsidRPr="00064185">
              <w:rPr>
                <w:rFonts w:eastAsia="Calibri"/>
                <w:b/>
                <w:lang w:eastAsia="en-US"/>
              </w:rPr>
              <w:t>Main constituent(s)</w:t>
            </w:r>
          </w:p>
        </w:tc>
      </w:tr>
      <w:tr w:rsidR="00064185" w:rsidRPr="00064185" w14:paraId="570F3CFE" w14:textId="77777777" w:rsidTr="00922E8F">
        <w:tc>
          <w:tcPr>
            <w:tcW w:w="4077" w:type="dxa"/>
            <w:shd w:val="clear" w:color="auto" w:fill="auto"/>
          </w:tcPr>
          <w:p w14:paraId="5379A066" w14:textId="77777777" w:rsidR="00A53EE0" w:rsidRPr="00064185" w:rsidRDefault="00A53EE0" w:rsidP="00EA61D8">
            <w:pPr>
              <w:spacing w:line="260" w:lineRule="atLeast"/>
              <w:rPr>
                <w:rFonts w:eastAsia="Calibri"/>
                <w:b/>
                <w:lang w:eastAsia="en-US"/>
              </w:rPr>
            </w:pPr>
            <w:r w:rsidRPr="00064185">
              <w:rPr>
                <w:rFonts w:eastAsia="Calibri"/>
                <w:b/>
                <w:lang w:eastAsia="en-US"/>
              </w:rPr>
              <w:t>ISO name</w:t>
            </w:r>
          </w:p>
        </w:tc>
        <w:tc>
          <w:tcPr>
            <w:tcW w:w="5353" w:type="dxa"/>
            <w:shd w:val="clear" w:color="auto" w:fill="auto"/>
          </w:tcPr>
          <w:p w14:paraId="7C0B42D1" w14:textId="77777777" w:rsidR="00A53EE0" w:rsidRPr="00064185" w:rsidRDefault="005A3867" w:rsidP="00EA61D8">
            <w:pPr>
              <w:spacing w:line="260" w:lineRule="atLeast"/>
              <w:rPr>
                <w:rFonts w:eastAsia="Calibri"/>
                <w:lang w:eastAsia="en-US"/>
              </w:rPr>
            </w:pPr>
            <w:r w:rsidRPr="00064185">
              <w:rPr>
                <w:rFonts w:eastAsia="Calibri"/>
                <w:i/>
                <w:lang w:eastAsia="en-US"/>
              </w:rPr>
              <w:t>lambda</w:t>
            </w:r>
            <w:r w:rsidRPr="00064185">
              <w:rPr>
                <w:rFonts w:eastAsia="Calibri"/>
                <w:lang w:eastAsia="en-US"/>
              </w:rPr>
              <w:t>-cyhalothrin</w:t>
            </w:r>
          </w:p>
        </w:tc>
      </w:tr>
      <w:tr w:rsidR="00064185" w:rsidRPr="00064185" w14:paraId="1C35A12E" w14:textId="77777777" w:rsidTr="00922E8F">
        <w:tc>
          <w:tcPr>
            <w:tcW w:w="4077" w:type="dxa"/>
            <w:shd w:val="clear" w:color="auto" w:fill="auto"/>
          </w:tcPr>
          <w:p w14:paraId="7EA3B9DB" w14:textId="77777777" w:rsidR="00A53EE0" w:rsidRPr="00064185" w:rsidRDefault="00A53EE0" w:rsidP="00EA61D8">
            <w:pPr>
              <w:spacing w:line="260" w:lineRule="atLeast"/>
              <w:rPr>
                <w:rFonts w:eastAsia="Calibri"/>
                <w:b/>
                <w:lang w:eastAsia="en-US"/>
              </w:rPr>
            </w:pPr>
            <w:r w:rsidRPr="00064185">
              <w:rPr>
                <w:rFonts w:eastAsia="Calibri"/>
                <w:b/>
                <w:lang w:eastAsia="en-US"/>
              </w:rPr>
              <w:t>IUPAC or EC name</w:t>
            </w:r>
          </w:p>
        </w:tc>
        <w:tc>
          <w:tcPr>
            <w:tcW w:w="5353" w:type="dxa"/>
            <w:shd w:val="clear" w:color="auto" w:fill="auto"/>
          </w:tcPr>
          <w:p w14:paraId="6A1E01BD" w14:textId="334ED235" w:rsidR="00A53EE0" w:rsidRPr="00064185" w:rsidRDefault="00332EC4" w:rsidP="00EA61D8">
            <w:pPr>
              <w:spacing w:line="260" w:lineRule="atLeast"/>
              <w:rPr>
                <w:rFonts w:eastAsia="Calibri"/>
                <w:lang w:eastAsia="en-US"/>
              </w:rPr>
            </w:pPr>
            <w:r w:rsidRPr="00064185">
              <w:rPr>
                <w:rFonts w:eastAsia="Calibri"/>
                <w:lang w:eastAsia="en-US"/>
              </w:rPr>
              <w:t>Reaction mass of (R)-α-cyano-3-phenoxybenzyl (1S,3S)-3-[(Z)-2-chloro-3,3,3-trifluoropropenyl]-2,2-dimethylcyclopropanecarboxylate and (S)-α-cyano-3-phenoxybenzyl (1R,3R)-3-[(Z)-2-chloro-3,3,3-trifluoropropenyl]-2,2-dimethylcyclopropanecarboxylate</w:t>
            </w:r>
            <w:r w:rsidR="00B2793B" w:rsidRPr="00064185">
              <w:rPr>
                <w:rFonts w:eastAsia="Calibri"/>
                <w:lang w:eastAsia="en-US"/>
              </w:rPr>
              <w:t xml:space="preserve"> </w:t>
            </w:r>
            <w:r w:rsidRPr="00064185">
              <w:rPr>
                <w:rFonts w:eastAsia="Calibri"/>
                <w:lang w:eastAsia="en-US"/>
              </w:rPr>
              <w:t>(1:1)</w:t>
            </w:r>
          </w:p>
        </w:tc>
      </w:tr>
      <w:tr w:rsidR="00064185" w:rsidRPr="00064185" w14:paraId="1D57EB2D" w14:textId="77777777" w:rsidTr="00922E8F">
        <w:tc>
          <w:tcPr>
            <w:tcW w:w="4077" w:type="dxa"/>
            <w:shd w:val="clear" w:color="auto" w:fill="auto"/>
          </w:tcPr>
          <w:p w14:paraId="50751C4E" w14:textId="77777777" w:rsidR="00A53EE0" w:rsidRPr="00064185" w:rsidRDefault="00A53EE0" w:rsidP="00EA61D8">
            <w:pPr>
              <w:spacing w:line="260" w:lineRule="atLeast"/>
              <w:rPr>
                <w:rFonts w:eastAsia="Calibri"/>
                <w:b/>
                <w:lang w:eastAsia="en-US"/>
              </w:rPr>
            </w:pPr>
            <w:r w:rsidRPr="00064185">
              <w:rPr>
                <w:rFonts w:eastAsia="Calibri"/>
                <w:b/>
                <w:lang w:eastAsia="en-US"/>
              </w:rPr>
              <w:t>EC number</w:t>
            </w:r>
          </w:p>
        </w:tc>
        <w:tc>
          <w:tcPr>
            <w:tcW w:w="5353" w:type="dxa"/>
            <w:shd w:val="clear" w:color="auto" w:fill="auto"/>
          </w:tcPr>
          <w:p w14:paraId="37CBB7D3" w14:textId="77777777" w:rsidR="00A53EE0" w:rsidRPr="00064185" w:rsidRDefault="005A3867" w:rsidP="00EA61D8">
            <w:pPr>
              <w:spacing w:line="260" w:lineRule="atLeast"/>
              <w:rPr>
                <w:rFonts w:eastAsia="Calibri"/>
                <w:lang w:eastAsia="en-US"/>
              </w:rPr>
            </w:pPr>
            <w:r w:rsidRPr="00064185">
              <w:rPr>
                <w:rFonts w:eastAsia="Calibri"/>
                <w:lang w:eastAsia="en-US"/>
              </w:rPr>
              <w:t>415-130-7</w:t>
            </w:r>
          </w:p>
        </w:tc>
      </w:tr>
      <w:tr w:rsidR="00064185" w:rsidRPr="00064185" w14:paraId="49E2A68E" w14:textId="77777777" w:rsidTr="00922E8F">
        <w:tc>
          <w:tcPr>
            <w:tcW w:w="4077" w:type="dxa"/>
            <w:shd w:val="clear" w:color="auto" w:fill="auto"/>
          </w:tcPr>
          <w:p w14:paraId="50E5E8CD" w14:textId="77777777" w:rsidR="00A53EE0" w:rsidRPr="00064185" w:rsidRDefault="00A53EE0" w:rsidP="00EA61D8">
            <w:pPr>
              <w:spacing w:line="260" w:lineRule="atLeast"/>
              <w:rPr>
                <w:rFonts w:eastAsia="Calibri"/>
                <w:b/>
                <w:lang w:eastAsia="en-US"/>
              </w:rPr>
            </w:pPr>
            <w:r w:rsidRPr="00064185">
              <w:rPr>
                <w:rFonts w:eastAsia="Calibri"/>
                <w:b/>
                <w:lang w:eastAsia="en-US"/>
              </w:rPr>
              <w:t>CAS number</w:t>
            </w:r>
          </w:p>
        </w:tc>
        <w:tc>
          <w:tcPr>
            <w:tcW w:w="5353" w:type="dxa"/>
            <w:shd w:val="clear" w:color="auto" w:fill="auto"/>
          </w:tcPr>
          <w:p w14:paraId="1F20D6F1" w14:textId="77777777" w:rsidR="00A53EE0" w:rsidRPr="00064185" w:rsidRDefault="005A3867" w:rsidP="00EA61D8">
            <w:pPr>
              <w:spacing w:line="260" w:lineRule="atLeast"/>
              <w:rPr>
                <w:rFonts w:eastAsia="Calibri"/>
                <w:lang w:eastAsia="en-US"/>
              </w:rPr>
            </w:pPr>
            <w:r w:rsidRPr="00064185">
              <w:rPr>
                <w:rFonts w:eastAsia="Calibri"/>
                <w:lang w:eastAsia="en-US"/>
              </w:rPr>
              <w:t>91465-08-6</w:t>
            </w:r>
          </w:p>
        </w:tc>
      </w:tr>
      <w:tr w:rsidR="00064185" w:rsidRPr="00064185" w14:paraId="09B6DE69" w14:textId="77777777" w:rsidTr="00922E8F">
        <w:tc>
          <w:tcPr>
            <w:tcW w:w="4077" w:type="dxa"/>
            <w:shd w:val="clear" w:color="auto" w:fill="auto"/>
          </w:tcPr>
          <w:p w14:paraId="171C689C" w14:textId="77777777" w:rsidR="00A53EE0" w:rsidRPr="00064185" w:rsidRDefault="00A53EE0" w:rsidP="00EA61D8">
            <w:pPr>
              <w:spacing w:line="260" w:lineRule="atLeast"/>
              <w:rPr>
                <w:rFonts w:eastAsia="Calibri"/>
                <w:b/>
                <w:lang w:eastAsia="en-US"/>
              </w:rPr>
            </w:pPr>
            <w:r w:rsidRPr="00064185">
              <w:rPr>
                <w:rFonts w:eastAsia="Calibri"/>
                <w:b/>
                <w:lang w:eastAsia="en-US"/>
              </w:rPr>
              <w:t>Index number in Annex VI of CLP</w:t>
            </w:r>
          </w:p>
        </w:tc>
        <w:tc>
          <w:tcPr>
            <w:tcW w:w="5353" w:type="dxa"/>
            <w:shd w:val="clear" w:color="auto" w:fill="auto"/>
          </w:tcPr>
          <w:p w14:paraId="37E5E60A" w14:textId="77777777" w:rsidR="00A53EE0" w:rsidRPr="00064185" w:rsidRDefault="002E4C74" w:rsidP="00EA61D8">
            <w:pPr>
              <w:spacing w:line="260" w:lineRule="atLeast"/>
              <w:rPr>
                <w:rFonts w:eastAsia="Calibri"/>
                <w:lang w:eastAsia="en-US"/>
              </w:rPr>
            </w:pPr>
            <w:r w:rsidRPr="00064185">
              <w:rPr>
                <w:rFonts w:eastAsia="Calibri"/>
                <w:lang w:eastAsia="en-US"/>
              </w:rPr>
              <w:t>607-252-00-6</w:t>
            </w:r>
          </w:p>
        </w:tc>
      </w:tr>
      <w:tr w:rsidR="00064185" w:rsidRPr="00064185" w14:paraId="513F606E" w14:textId="77777777" w:rsidTr="00922E8F">
        <w:tc>
          <w:tcPr>
            <w:tcW w:w="4077" w:type="dxa"/>
            <w:shd w:val="clear" w:color="auto" w:fill="auto"/>
          </w:tcPr>
          <w:p w14:paraId="477F0E47" w14:textId="77777777" w:rsidR="00A53EE0" w:rsidRPr="00064185" w:rsidRDefault="00A53EE0" w:rsidP="00EA61D8">
            <w:pPr>
              <w:spacing w:line="260" w:lineRule="atLeast"/>
              <w:rPr>
                <w:rFonts w:eastAsia="Calibri"/>
                <w:b/>
                <w:lang w:eastAsia="en-US"/>
              </w:rPr>
            </w:pPr>
            <w:r w:rsidRPr="00064185">
              <w:rPr>
                <w:rFonts w:eastAsia="Calibri"/>
                <w:b/>
                <w:lang w:eastAsia="en-US"/>
              </w:rPr>
              <w:t>Minimum purity / content</w:t>
            </w:r>
          </w:p>
        </w:tc>
        <w:tc>
          <w:tcPr>
            <w:tcW w:w="5353" w:type="dxa"/>
            <w:shd w:val="clear" w:color="auto" w:fill="auto"/>
          </w:tcPr>
          <w:p w14:paraId="7053931B" w14:textId="77777777" w:rsidR="00A53EE0" w:rsidRPr="00064185" w:rsidRDefault="005A3867" w:rsidP="00EA61D8">
            <w:pPr>
              <w:spacing w:line="260" w:lineRule="atLeast"/>
              <w:rPr>
                <w:rFonts w:eastAsia="Calibri"/>
                <w:lang w:eastAsia="en-US"/>
              </w:rPr>
            </w:pPr>
            <w:r w:rsidRPr="00064185">
              <w:t>min. 900 g/kg</w:t>
            </w:r>
          </w:p>
        </w:tc>
      </w:tr>
      <w:tr w:rsidR="00A53EE0" w:rsidRPr="00064185" w14:paraId="2A168A44" w14:textId="77777777" w:rsidTr="00922E8F">
        <w:trPr>
          <w:trHeight w:val="2080"/>
        </w:trPr>
        <w:tc>
          <w:tcPr>
            <w:tcW w:w="4077" w:type="dxa"/>
            <w:shd w:val="clear" w:color="auto" w:fill="auto"/>
          </w:tcPr>
          <w:p w14:paraId="07632BEA" w14:textId="77777777" w:rsidR="00A53EE0" w:rsidRPr="00064185" w:rsidRDefault="00A53EE0" w:rsidP="00EA61D8">
            <w:pPr>
              <w:spacing w:line="260" w:lineRule="atLeast"/>
              <w:rPr>
                <w:rFonts w:eastAsia="Calibri"/>
                <w:b/>
                <w:lang w:eastAsia="en-US"/>
              </w:rPr>
            </w:pPr>
            <w:r w:rsidRPr="00064185">
              <w:rPr>
                <w:rFonts w:eastAsia="Calibri"/>
                <w:b/>
                <w:lang w:eastAsia="en-US"/>
              </w:rPr>
              <w:t>Structural formula</w:t>
            </w:r>
          </w:p>
        </w:tc>
        <w:tc>
          <w:tcPr>
            <w:tcW w:w="5353" w:type="dxa"/>
            <w:shd w:val="clear" w:color="auto" w:fill="auto"/>
          </w:tcPr>
          <w:p w14:paraId="02985C38" w14:textId="700402FC" w:rsidR="00A53EE0" w:rsidRPr="00064185" w:rsidRDefault="005B20BE" w:rsidP="00EA61D8">
            <w:pPr>
              <w:spacing w:line="260" w:lineRule="atLeast"/>
              <w:rPr>
                <w:rFonts w:eastAsia="Calibri"/>
                <w:lang w:eastAsia="en-US"/>
              </w:rPr>
            </w:pPr>
            <w:r w:rsidRPr="00064185">
              <w:rPr>
                <w:rFonts w:eastAsia="Calibri"/>
                <w:noProof/>
                <w:lang w:val="de-AT" w:eastAsia="de-AT"/>
              </w:rPr>
              <w:drawing>
                <wp:inline distT="0" distB="0" distL="0" distR="0" wp14:anchorId="1B658A5F" wp14:editId="433C0120">
                  <wp:extent cx="3219450" cy="24193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0" cy="2419350"/>
                          </a:xfrm>
                          <a:prstGeom prst="rect">
                            <a:avLst/>
                          </a:prstGeom>
                          <a:noFill/>
                          <a:ln>
                            <a:noFill/>
                          </a:ln>
                        </pic:spPr>
                      </pic:pic>
                    </a:graphicData>
                  </a:graphic>
                </wp:inline>
              </w:drawing>
            </w:r>
          </w:p>
        </w:tc>
      </w:tr>
    </w:tbl>
    <w:p w14:paraId="3DC315D7" w14:textId="77777777" w:rsidR="00A53EE0" w:rsidRPr="00064185" w:rsidRDefault="00A53EE0" w:rsidP="00EA61D8">
      <w:pPr>
        <w:spacing w:line="260" w:lineRule="atLeast"/>
        <w:rPr>
          <w:rFonts w:eastAsia="Calibri"/>
          <w:lang w:eastAsia="fr-FR"/>
        </w:rPr>
      </w:pPr>
    </w:p>
    <w:p w14:paraId="02B693E9" w14:textId="77777777" w:rsidR="002A43A7" w:rsidRPr="00064185" w:rsidRDefault="002A43A7" w:rsidP="00EA61D8">
      <w:pPr>
        <w:spacing w:line="260" w:lineRule="atLeast"/>
        <w:rPr>
          <w:rFonts w:eastAsia="Calibri"/>
          <w:lang w:eastAsia="fr-FR"/>
        </w:rPr>
      </w:pPr>
    </w:p>
    <w:p w14:paraId="0029C05C" w14:textId="77777777" w:rsidR="00A53EE0" w:rsidRPr="00064185" w:rsidRDefault="00A53EE0" w:rsidP="00EA61D8">
      <w:pPr>
        <w:pStyle w:val="berschrift4"/>
        <w:jc w:val="left"/>
        <w:rPr>
          <w:lang w:val="en-GB"/>
        </w:rPr>
      </w:pPr>
      <w:bookmarkStart w:id="203" w:name="_Toc389725110"/>
      <w:bookmarkStart w:id="204" w:name="_Toc389726046"/>
      <w:bookmarkStart w:id="205" w:name="_Toc389727098"/>
      <w:bookmarkStart w:id="206" w:name="_Toc389727456"/>
      <w:bookmarkStart w:id="207" w:name="_Toc389727815"/>
      <w:bookmarkStart w:id="208" w:name="_Toc389728174"/>
      <w:bookmarkStart w:id="209" w:name="_Toc389728534"/>
      <w:bookmarkStart w:id="210" w:name="_Toc389728892"/>
      <w:bookmarkStart w:id="211" w:name="_Toc387244961"/>
      <w:bookmarkStart w:id="212" w:name="_Toc387250770"/>
      <w:bookmarkStart w:id="213" w:name="_Toc388281268"/>
      <w:bookmarkStart w:id="214" w:name="_Toc388281724"/>
      <w:bookmarkStart w:id="215" w:name="_Toc388282206"/>
      <w:bookmarkStart w:id="216" w:name="_Toc388282654"/>
      <w:bookmarkStart w:id="217" w:name="_Toc387244962"/>
      <w:bookmarkStart w:id="218" w:name="_Toc387250771"/>
      <w:bookmarkStart w:id="219" w:name="_Toc388281269"/>
      <w:bookmarkStart w:id="220" w:name="_Toc388281725"/>
      <w:bookmarkStart w:id="221" w:name="_Toc388282207"/>
      <w:bookmarkStart w:id="222" w:name="_Toc388282655"/>
      <w:bookmarkStart w:id="223" w:name="_Toc388281270"/>
      <w:bookmarkStart w:id="224" w:name="_Toc388281726"/>
      <w:bookmarkStart w:id="225" w:name="_Toc388282208"/>
      <w:bookmarkStart w:id="226" w:name="_Toc388282656"/>
      <w:bookmarkStart w:id="227" w:name="d0e353"/>
      <w:bookmarkStart w:id="228" w:name="_Toc366658861"/>
      <w:bookmarkStart w:id="229" w:name="_Toc389728893"/>
      <w:bookmarkStart w:id="230" w:name="_Toc403472723"/>
      <w:bookmarkStart w:id="231" w:name="_Toc440879629"/>
      <w:bookmarkStart w:id="232" w:name="_Toc440889942"/>
      <w:bookmarkStart w:id="233" w:name="_Toc53056364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064185">
        <w:rPr>
          <w:lang w:val="en-GB"/>
        </w:rPr>
        <w:lastRenderedPageBreak/>
        <w:t>Qualitative and quantitative information on the composition of the biocidal product</w:t>
      </w:r>
      <w:bookmarkEnd w:id="227"/>
      <w:bookmarkEnd w:id="228"/>
      <w:bookmarkEnd w:id="229"/>
      <w:bookmarkEnd w:id="230"/>
      <w:bookmarkEnd w:id="231"/>
      <w:bookmarkEnd w:id="232"/>
      <w:bookmarkEnd w:id="233"/>
    </w:p>
    <w:p w14:paraId="5CC5486F" w14:textId="77777777" w:rsidR="00A53EE0" w:rsidRPr="00064185" w:rsidRDefault="00A53EE0" w:rsidP="00EA61D8">
      <w:pPr>
        <w:spacing w:after="120" w:line="260" w:lineRule="atLeast"/>
        <w:rPr>
          <w:rFonts w:eastAsia="Calibri" w:cs="Times"/>
          <w:bCs/>
          <w:szCs w:val="29"/>
        </w:rPr>
      </w:pPr>
      <w:r w:rsidRPr="00064185">
        <w:rPr>
          <w:rFonts w:eastAsia="Calibri" w:cs="Times"/>
          <w:bCs/>
          <w:szCs w:val="29"/>
        </w:rPr>
        <w:t>Please see the confidential annex for further details.</w:t>
      </w:r>
    </w:p>
    <w:p w14:paraId="1778C151" w14:textId="77777777" w:rsidR="00A53EE0" w:rsidRPr="00064185" w:rsidRDefault="00A53EE0" w:rsidP="00EA61D8">
      <w:pPr>
        <w:spacing w:line="260" w:lineRule="atLeast"/>
        <w:rPr>
          <w:rFonts w:eastAsia="Calibri"/>
          <w:lang w:eastAsia="en-US"/>
        </w:rPr>
      </w:pPr>
    </w:p>
    <w:p w14:paraId="0E9CED03" w14:textId="77777777" w:rsidR="00A53EE0" w:rsidRPr="00064185" w:rsidRDefault="00A53EE0" w:rsidP="00EA61D8">
      <w:pPr>
        <w:pStyle w:val="berschrift4"/>
        <w:jc w:val="left"/>
      </w:pPr>
      <w:bookmarkStart w:id="234" w:name="_Toc389728894"/>
      <w:bookmarkStart w:id="235" w:name="_Toc403472724"/>
      <w:bookmarkStart w:id="236" w:name="_Toc440879630"/>
      <w:bookmarkStart w:id="237" w:name="_Toc440889943"/>
      <w:bookmarkStart w:id="238" w:name="_Toc530563646"/>
      <w:r w:rsidRPr="00064185">
        <w:t>Information on technical equivalence</w:t>
      </w:r>
      <w:bookmarkEnd w:id="234"/>
      <w:bookmarkEnd w:id="235"/>
      <w:bookmarkEnd w:id="236"/>
      <w:bookmarkEnd w:id="237"/>
      <w:bookmarkEnd w:id="238"/>
    </w:p>
    <w:p w14:paraId="353D427D" w14:textId="77777777" w:rsidR="00A53EE0" w:rsidRPr="00064185" w:rsidRDefault="000B636C" w:rsidP="000835FA">
      <w:pPr>
        <w:spacing w:line="260" w:lineRule="atLeast"/>
        <w:jc w:val="both"/>
        <w:rPr>
          <w:rFonts w:eastAsia="Calibri"/>
          <w:lang w:eastAsia="en-US"/>
        </w:rPr>
      </w:pPr>
      <w:r w:rsidRPr="00064185">
        <w:rPr>
          <w:rFonts w:eastAsia="Calibri"/>
          <w:lang w:eastAsia="en-US"/>
        </w:rPr>
        <w:t>Not applicable</w:t>
      </w:r>
      <w:r w:rsidR="00212B75" w:rsidRPr="00064185">
        <w:rPr>
          <w:rFonts w:eastAsia="Calibri"/>
          <w:lang w:eastAsia="en-US"/>
        </w:rPr>
        <w:t xml:space="preserve"> because the source of active substance was the same as was evaluated for inclusion in the Union list of approved active substances.</w:t>
      </w:r>
    </w:p>
    <w:p w14:paraId="5869A82A" w14:textId="77777777" w:rsidR="004F22D1" w:rsidRPr="00064185" w:rsidRDefault="004F22D1" w:rsidP="00EA61D8">
      <w:pPr>
        <w:spacing w:line="260" w:lineRule="atLeast"/>
        <w:rPr>
          <w:rFonts w:eastAsia="Calibri"/>
          <w:lang w:eastAsia="en-US"/>
        </w:rPr>
      </w:pPr>
    </w:p>
    <w:p w14:paraId="0A2C8A4F" w14:textId="77777777" w:rsidR="00A53EE0" w:rsidRPr="00064185" w:rsidRDefault="00A53EE0" w:rsidP="00EA61D8">
      <w:pPr>
        <w:pStyle w:val="berschrift4"/>
        <w:jc w:val="left"/>
        <w:rPr>
          <w:lang w:val="en-GB"/>
        </w:rPr>
      </w:pPr>
      <w:bookmarkStart w:id="239" w:name="_Toc389728895"/>
      <w:bookmarkStart w:id="240" w:name="_Toc403472725"/>
      <w:bookmarkStart w:id="241" w:name="_Toc440879631"/>
      <w:bookmarkStart w:id="242" w:name="_Toc440889944"/>
      <w:bookmarkStart w:id="243" w:name="_Toc530563647"/>
      <w:r w:rsidRPr="00064185">
        <w:rPr>
          <w:lang w:val="en-GB"/>
        </w:rPr>
        <w:t>Information on the substance(s) of concern</w:t>
      </w:r>
      <w:bookmarkEnd w:id="239"/>
      <w:bookmarkEnd w:id="240"/>
      <w:bookmarkEnd w:id="241"/>
      <w:bookmarkEnd w:id="242"/>
      <w:bookmarkEnd w:id="243"/>
    </w:p>
    <w:p w14:paraId="531D399C" w14:textId="77777777" w:rsidR="001E41A1" w:rsidRPr="00064185" w:rsidRDefault="00B2793B" w:rsidP="000835FA">
      <w:pPr>
        <w:widowControl w:val="0"/>
        <w:spacing w:line="260" w:lineRule="atLeast"/>
        <w:jc w:val="both"/>
        <w:rPr>
          <w:rFonts w:eastAsia="Calibri"/>
          <w:lang w:eastAsia="en-US"/>
        </w:rPr>
      </w:pPr>
      <w:r w:rsidRPr="00064185">
        <w:rPr>
          <w:rFonts w:eastAsia="Calibri"/>
          <w:lang w:eastAsia="en-US"/>
        </w:rPr>
        <w:t>The biocidal product does not contain substances of concern.</w:t>
      </w:r>
      <w:r w:rsidR="001E41A1" w:rsidRPr="00064185">
        <w:rPr>
          <w:rFonts w:eastAsia="Calibri"/>
          <w:lang w:eastAsia="en-US"/>
        </w:rPr>
        <w:t xml:space="preserve"> </w:t>
      </w:r>
      <w:r w:rsidR="001E41A1" w:rsidRPr="00064185">
        <w:rPr>
          <w:rFonts w:eastAsia="Calibri" w:cs="Times"/>
          <w:bCs/>
          <w:szCs w:val="29"/>
        </w:rPr>
        <w:t>For further information please refer to the confidential annex.</w:t>
      </w:r>
    </w:p>
    <w:p w14:paraId="6B2BF956" w14:textId="77777777" w:rsidR="0043231A" w:rsidRPr="00064185" w:rsidRDefault="0043231A" w:rsidP="00EA61D8">
      <w:pPr>
        <w:spacing w:after="120" w:line="260" w:lineRule="atLeast"/>
        <w:rPr>
          <w:rFonts w:eastAsia="Calibri" w:cs="Times"/>
          <w:bCs/>
          <w:szCs w:val="29"/>
        </w:rPr>
      </w:pPr>
    </w:p>
    <w:p w14:paraId="11095A79" w14:textId="77777777" w:rsidR="00A53EE0" w:rsidRPr="00064185" w:rsidRDefault="00A53EE0" w:rsidP="00EA61D8">
      <w:pPr>
        <w:pStyle w:val="berschrift4"/>
        <w:jc w:val="left"/>
      </w:pPr>
      <w:bookmarkStart w:id="244" w:name="_Toc389728896"/>
      <w:bookmarkStart w:id="245" w:name="_Toc403472726"/>
      <w:bookmarkStart w:id="246" w:name="_Toc440879632"/>
      <w:bookmarkStart w:id="247" w:name="_Toc440889945"/>
      <w:bookmarkStart w:id="248" w:name="_Toc530563648"/>
      <w:r w:rsidRPr="00064185">
        <w:t>Type of formulation</w:t>
      </w:r>
      <w:bookmarkEnd w:id="244"/>
      <w:bookmarkEnd w:id="245"/>
      <w:bookmarkEnd w:id="246"/>
      <w:bookmarkEnd w:id="247"/>
      <w:bookmarkEnd w:id="248"/>
    </w:p>
    <w:tbl>
      <w:tblPr>
        <w:tblW w:w="5000" w:type="pct"/>
        <w:tblCellMar>
          <w:left w:w="0" w:type="dxa"/>
          <w:right w:w="0" w:type="dxa"/>
        </w:tblCellMar>
        <w:tblLook w:val="04A0" w:firstRow="1" w:lastRow="0" w:firstColumn="1" w:lastColumn="0" w:noHBand="0" w:noVBand="1"/>
      </w:tblPr>
      <w:tblGrid>
        <w:gridCol w:w="9294"/>
      </w:tblGrid>
      <w:tr w:rsidR="00993B58" w:rsidRPr="00064185" w14:paraId="74F8132B" w14:textId="77777777" w:rsidTr="00FF31A8">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EE07BBF" w14:textId="28293D23" w:rsidR="00A53EE0" w:rsidRPr="00064185" w:rsidRDefault="005414D2" w:rsidP="00EA61D8">
            <w:pPr>
              <w:spacing w:line="260" w:lineRule="atLeast"/>
              <w:rPr>
                <w:rFonts w:eastAsia="Calibri"/>
                <w:bCs/>
                <w:lang w:eastAsia="en-US"/>
              </w:rPr>
            </w:pPr>
            <w:bookmarkStart w:id="249" w:name="d0e440"/>
            <w:r w:rsidRPr="00064185">
              <w:rPr>
                <w:bCs/>
                <w:szCs w:val="24"/>
              </w:rPr>
              <w:t>AL Any other liquid</w:t>
            </w:r>
            <w:r w:rsidR="000835FA" w:rsidRPr="00064185">
              <w:rPr>
                <w:bCs/>
                <w:szCs w:val="24"/>
              </w:rPr>
              <w:t>; ready to use spray</w:t>
            </w:r>
          </w:p>
        </w:tc>
      </w:tr>
    </w:tbl>
    <w:p w14:paraId="6C044F15" w14:textId="77777777" w:rsidR="000B636C" w:rsidRPr="00064185" w:rsidRDefault="000B636C" w:rsidP="00EA61D8">
      <w:pPr>
        <w:pStyle w:val="berschrift3"/>
        <w:numPr>
          <w:ilvl w:val="0"/>
          <w:numId w:val="0"/>
        </w:numPr>
        <w:ind w:left="567"/>
        <w:rPr>
          <w:rFonts w:eastAsia="Calibri"/>
          <w:lang w:val="en-GB" w:eastAsia="en-US"/>
        </w:rPr>
      </w:pPr>
      <w:bookmarkStart w:id="250" w:name="_Toc388281275"/>
      <w:bookmarkStart w:id="251" w:name="_Toc388281731"/>
      <w:bookmarkStart w:id="252" w:name="_Toc388282213"/>
      <w:bookmarkStart w:id="253" w:name="_Toc388282661"/>
      <w:bookmarkStart w:id="254" w:name="_Toc388284930"/>
      <w:bookmarkStart w:id="255" w:name="_Toc388374075"/>
      <w:bookmarkStart w:id="256" w:name="_Toc388281276"/>
      <w:bookmarkStart w:id="257" w:name="_Toc388281732"/>
      <w:bookmarkStart w:id="258" w:name="_Toc388282214"/>
      <w:bookmarkStart w:id="259" w:name="_Toc388282662"/>
      <w:bookmarkStart w:id="260" w:name="_Toc388284931"/>
      <w:bookmarkStart w:id="261" w:name="_Toc388281277"/>
      <w:bookmarkStart w:id="262" w:name="_Toc388281733"/>
      <w:bookmarkStart w:id="263" w:name="_Toc388282215"/>
      <w:bookmarkStart w:id="264" w:name="_Toc388282663"/>
      <w:bookmarkStart w:id="265" w:name="_Toc388284932"/>
      <w:bookmarkStart w:id="266" w:name="_Toc388374077"/>
      <w:bookmarkStart w:id="267" w:name="_Toc377644220"/>
      <w:bookmarkStart w:id="268" w:name="_Toc377644817"/>
      <w:bookmarkStart w:id="269" w:name="_Toc377646047"/>
      <w:bookmarkStart w:id="270" w:name="_Toc377648982"/>
      <w:bookmarkStart w:id="271" w:name="_Toc377650835"/>
      <w:bookmarkStart w:id="272" w:name="_Toc377650962"/>
      <w:bookmarkStart w:id="273" w:name="_Toc377653231"/>
      <w:bookmarkStart w:id="274" w:name="_Toc378351536"/>
      <w:bookmarkStart w:id="275" w:name="_Toc378681285"/>
      <w:bookmarkStart w:id="276" w:name="_Toc378682205"/>
      <w:bookmarkStart w:id="277" w:name="_Toc378683652"/>
      <w:bookmarkStart w:id="278" w:name="_Toc378685340"/>
      <w:bookmarkStart w:id="279" w:name="_Toc378685476"/>
      <w:bookmarkStart w:id="280" w:name="_Toc378691685"/>
      <w:bookmarkStart w:id="281" w:name="_Toc378692142"/>
      <w:bookmarkStart w:id="282" w:name="_Toc378692279"/>
      <w:bookmarkStart w:id="283" w:name="_Toc378692416"/>
      <w:bookmarkStart w:id="284" w:name="_Toc378761118"/>
      <w:bookmarkStart w:id="285" w:name="_Toc378761261"/>
      <w:bookmarkStart w:id="286" w:name="_Toc378761404"/>
      <w:bookmarkStart w:id="287" w:name="_Toc378761547"/>
      <w:bookmarkStart w:id="288" w:name="_Toc378761860"/>
      <w:bookmarkStart w:id="289" w:name="_Toc378762000"/>
      <w:bookmarkStart w:id="290" w:name="_Toc378762138"/>
      <w:bookmarkStart w:id="291" w:name="_Toc378765615"/>
      <w:bookmarkStart w:id="292" w:name="_Toc378767363"/>
      <w:bookmarkStart w:id="293" w:name="_Toc378774958"/>
      <w:bookmarkStart w:id="294" w:name="_Toc378776153"/>
      <w:bookmarkStart w:id="295" w:name="_Toc378841233"/>
      <w:bookmarkStart w:id="296" w:name="_Toc378858832"/>
      <w:bookmarkStart w:id="297" w:name="_Toc378859060"/>
      <w:bookmarkStart w:id="298" w:name="_Toc377646048"/>
      <w:bookmarkStart w:id="299" w:name="_Toc377648983"/>
      <w:bookmarkStart w:id="300" w:name="_Toc377650836"/>
      <w:bookmarkStart w:id="301" w:name="_Toc377650963"/>
      <w:bookmarkStart w:id="302" w:name="_Toc377653232"/>
      <w:bookmarkStart w:id="303" w:name="_Toc378351537"/>
      <w:bookmarkStart w:id="304" w:name="_Toc378681286"/>
      <w:bookmarkStart w:id="305" w:name="_Toc378682206"/>
      <w:bookmarkStart w:id="306" w:name="_Toc378683653"/>
      <w:bookmarkStart w:id="307" w:name="_Toc378685341"/>
      <w:bookmarkStart w:id="308" w:name="_Toc378685477"/>
      <w:bookmarkStart w:id="309" w:name="_Toc378691686"/>
      <w:bookmarkStart w:id="310" w:name="_Toc378692143"/>
      <w:bookmarkStart w:id="311" w:name="_Toc378692280"/>
      <w:bookmarkStart w:id="312" w:name="_Toc378692417"/>
      <w:bookmarkStart w:id="313" w:name="_Toc378761119"/>
      <w:bookmarkStart w:id="314" w:name="_Toc378761262"/>
      <w:bookmarkStart w:id="315" w:name="_Toc378761405"/>
      <w:bookmarkStart w:id="316" w:name="_Toc378761548"/>
      <w:bookmarkStart w:id="317" w:name="_Toc378761861"/>
      <w:bookmarkStart w:id="318" w:name="_Toc378762001"/>
      <w:bookmarkStart w:id="319" w:name="_Toc378762139"/>
      <w:bookmarkStart w:id="320" w:name="_Toc378765616"/>
      <w:bookmarkStart w:id="321" w:name="_Toc378767364"/>
      <w:bookmarkStart w:id="322" w:name="_Toc378774959"/>
      <w:bookmarkStart w:id="323" w:name="_Toc378776154"/>
      <w:bookmarkStart w:id="324" w:name="_Toc378841234"/>
      <w:bookmarkStart w:id="325" w:name="_Toc378858833"/>
      <w:bookmarkStart w:id="326" w:name="_Toc378859061"/>
      <w:bookmarkStart w:id="327" w:name="_Toc377646049"/>
      <w:bookmarkStart w:id="328" w:name="_Toc377648984"/>
      <w:bookmarkStart w:id="329" w:name="_Toc377650837"/>
      <w:bookmarkStart w:id="330" w:name="_Toc377650964"/>
      <w:bookmarkStart w:id="331" w:name="_Toc377653233"/>
      <w:bookmarkStart w:id="332" w:name="_Toc378351538"/>
      <w:bookmarkStart w:id="333" w:name="_Toc378681287"/>
      <w:bookmarkStart w:id="334" w:name="_Toc378682207"/>
      <w:bookmarkStart w:id="335" w:name="_Toc378683654"/>
      <w:bookmarkStart w:id="336" w:name="_Toc378685342"/>
      <w:bookmarkStart w:id="337" w:name="_Toc378685478"/>
      <w:bookmarkStart w:id="338" w:name="_Toc378691687"/>
      <w:bookmarkStart w:id="339" w:name="_Toc378692144"/>
      <w:bookmarkStart w:id="340" w:name="_Toc378692281"/>
      <w:bookmarkStart w:id="341" w:name="_Toc378692418"/>
      <w:bookmarkStart w:id="342" w:name="_Toc378761120"/>
      <w:bookmarkStart w:id="343" w:name="_Toc378761263"/>
      <w:bookmarkStart w:id="344" w:name="_Toc378761406"/>
      <w:bookmarkStart w:id="345" w:name="_Toc378761549"/>
      <w:bookmarkStart w:id="346" w:name="_Toc378761862"/>
      <w:bookmarkStart w:id="347" w:name="_Toc378762002"/>
      <w:bookmarkStart w:id="348" w:name="_Toc378762140"/>
      <w:bookmarkStart w:id="349" w:name="_Toc378765617"/>
      <w:bookmarkStart w:id="350" w:name="_Toc378767365"/>
      <w:bookmarkStart w:id="351" w:name="_Toc378774960"/>
      <w:bookmarkStart w:id="352" w:name="_Toc378776155"/>
      <w:bookmarkStart w:id="353" w:name="_Toc378841235"/>
      <w:bookmarkStart w:id="354" w:name="_Toc378858834"/>
      <w:bookmarkStart w:id="355" w:name="_Toc378859062"/>
      <w:bookmarkStart w:id="356" w:name="_Toc377646050"/>
      <w:bookmarkStart w:id="357" w:name="_Toc377648985"/>
      <w:bookmarkStart w:id="358" w:name="_Toc377650838"/>
      <w:bookmarkStart w:id="359" w:name="_Toc377650965"/>
      <w:bookmarkStart w:id="360" w:name="_Toc377653234"/>
      <w:bookmarkStart w:id="361" w:name="_Toc378351539"/>
      <w:bookmarkStart w:id="362" w:name="_Toc378681288"/>
      <w:bookmarkStart w:id="363" w:name="_Toc378682208"/>
      <w:bookmarkStart w:id="364" w:name="_Toc378683655"/>
      <w:bookmarkStart w:id="365" w:name="_Toc378685343"/>
      <w:bookmarkStart w:id="366" w:name="_Toc378685479"/>
      <w:bookmarkStart w:id="367" w:name="_Toc378691688"/>
      <w:bookmarkStart w:id="368" w:name="_Toc378692145"/>
      <w:bookmarkStart w:id="369" w:name="_Toc378692282"/>
      <w:bookmarkStart w:id="370" w:name="_Toc378692419"/>
      <w:bookmarkStart w:id="371" w:name="_Toc378761121"/>
      <w:bookmarkStart w:id="372" w:name="_Toc378761264"/>
      <w:bookmarkStart w:id="373" w:name="_Toc378761407"/>
      <w:bookmarkStart w:id="374" w:name="_Toc378761550"/>
      <w:bookmarkStart w:id="375" w:name="_Toc378761863"/>
      <w:bookmarkStart w:id="376" w:name="_Toc378762003"/>
      <w:bookmarkStart w:id="377" w:name="_Toc378762141"/>
      <w:bookmarkStart w:id="378" w:name="_Toc378765618"/>
      <w:bookmarkStart w:id="379" w:name="_Toc378767366"/>
      <w:bookmarkStart w:id="380" w:name="_Toc378774961"/>
      <w:bookmarkStart w:id="381" w:name="_Toc378776156"/>
      <w:bookmarkStart w:id="382" w:name="_Toc378841236"/>
      <w:bookmarkStart w:id="383" w:name="_Toc378858835"/>
      <w:bookmarkStart w:id="384" w:name="_Toc378859063"/>
      <w:bookmarkStart w:id="385" w:name="_Toc388281278"/>
      <w:bookmarkStart w:id="386" w:name="_Toc388281734"/>
      <w:bookmarkStart w:id="387" w:name="_Toc388282216"/>
      <w:bookmarkStart w:id="388" w:name="_Toc388282664"/>
      <w:bookmarkStart w:id="389" w:name="_Toc388284933"/>
      <w:bookmarkStart w:id="390" w:name="_Toc388281292"/>
      <w:bookmarkStart w:id="391" w:name="_Toc388281748"/>
      <w:bookmarkStart w:id="392" w:name="_Toc388282230"/>
      <w:bookmarkStart w:id="393" w:name="_Toc388282678"/>
      <w:bookmarkStart w:id="394" w:name="_Toc388284947"/>
      <w:bookmarkStart w:id="395" w:name="_Toc388374088"/>
      <w:bookmarkStart w:id="396" w:name="_Toc388281295"/>
      <w:bookmarkStart w:id="397" w:name="_Toc388281751"/>
      <w:bookmarkStart w:id="398" w:name="_Toc388282233"/>
      <w:bookmarkStart w:id="399" w:name="_Toc388282681"/>
      <w:bookmarkStart w:id="400" w:name="_Toc388284950"/>
      <w:bookmarkStart w:id="401" w:name="_Toc388374090"/>
      <w:bookmarkStart w:id="402" w:name="_Toc388281298"/>
      <w:bookmarkStart w:id="403" w:name="_Toc388281754"/>
      <w:bookmarkStart w:id="404" w:name="_Toc388282236"/>
      <w:bookmarkStart w:id="405" w:name="_Toc388282684"/>
      <w:bookmarkStart w:id="406" w:name="_Toc388284953"/>
      <w:bookmarkStart w:id="407" w:name="_Toc388374092"/>
      <w:bookmarkStart w:id="408" w:name="_Toc388281301"/>
      <w:bookmarkStart w:id="409" w:name="_Toc388281757"/>
      <w:bookmarkStart w:id="410" w:name="_Toc388282239"/>
      <w:bookmarkStart w:id="411" w:name="_Toc388282687"/>
      <w:bookmarkStart w:id="412" w:name="_Toc388284956"/>
      <w:bookmarkStart w:id="413" w:name="_Toc388374094"/>
      <w:bookmarkStart w:id="414" w:name="_Toc388281313"/>
      <w:bookmarkStart w:id="415" w:name="_Toc388281769"/>
      <w:bookmarkStart w:id="416" w:name="_Toc388282251"/>
      <w:bookmarkStart w:id="417" w:name="_Toc388282699"/>
      <w:bookmarkStart w:id="418" w:name="_Toc388284968"/>
      <w:bookmarkStart w:id="419" w:name="_Toc388374102"/>
      <w:bookmarkStart w:id="420" w:name="_Toc389728897"/>
      <w:bookmarkStart w:id="421" w:name="_Toc403472727"/>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44178145" w14:textId="77777777" w:rsidR="00D17FEC" w:rsidRPr="00064185" w:rsidRDefault="00D17FEC" w:rsidP="00EA61D8">
      <w:pPr>
        <w:pStyle w:val="Absatz"/>
        <w:rPr>
          <w:rFonts w:eastAsia="Calibri"/>
          <w:lang w:eastAsia="en-US"/>
        </w:rPr>
      </w:pPr>
    </w:p>
    <w:p w14:paraId="6DB0965B" w14:textId="77777777" w:rsidR="00C65753" w:rsidRPr="00064185" w:rsidRDefault="00C65753" w:rsidP="00EA61D8">
      <w:pPr>
        <w:pStyle w:val="berschrift3"/>
        <w:tabs>
          <w:tab w:val="clear" w:pos="1701"/>
        </w:tabs>
        <w:ind w:left="720" w:hanging="720"/>
        <w:rPr>
          <w:lang w:val="en-GB"/>
        </w:rPr>
      </w:pPr>
      <w:bookmarkStart w:id="422" w:name="_Toc423017259"/>
      <w:bookmarkStart w:id="423" w:name="_Toc425344101"/>
      <w:bookmarkStart w:id="424" w:name="_Toc530563649"/>
      <w:bookmarkEnd w:id="420"/>
      <w:bookmarkEnd w:id="421"/>
      <w:r w:rsidRPr="00064185">
        <w:rPr>
          <w:lang w:val="en-GB"/>
        </w:rPr>
        <w:t>Intended use(s) as applied for by the applicant</w:t>
      </w:r>
      <w:bookmarkEnd w:id="422"/>
      <w:bookmarkEnd w:id="423"/>
      <w:bookmarkEnd w:id="424"/>
      <w:r w:rsidRPr="00064185">
        <w:rPr>
          <w:lang w:val="en-GB"/>
        </w:rPr>
        <w:t xml:space="preserve"> </w:t>
      </w:r>
    </w:p>
    <w:p w14:paraId="5FE478D6" w14:textId="77777777" w:rsidR="00F33507" w:rsidRPr="00064185" w:rsidRDefault="00F33507" w:rsidP="00EA61D8">
      <w:pPr>
        <w:pStyle w:val="Beschriftung"/>
        <w:spacing w:after="0"/>
        <w:ind w:left="0" w:firstLine="0"/>
        <w:rPr>
          <w:rFonts w:ascii="Verdana" w:hAnsi="Verdana"/>
          <w:b/>
          <w:sz w:val="22"/>
          <w:szCs w:val="22"/>
        </w:rPr>
      </w:pPr>
    </w:p>
    <w:p w14:paraId="4EC3F0AC" w14:textId="77777777" w:rsidR="00F33507" w:rsidRPr="00064185" w:rsidRDefault="00F33507" w:rsidP="00EA61D8">
      <w:pPr>
        <w:pStyle w:val="Absatz"/>
        <w:rPr>
          <w:lang w:eastAsia="en-US"/>
        </w:rPr>
      </w:pPr>
    </w:p>
    <w:p w14:paraId="4DF4E5E7" w14:textId="77777777" w:rsidR="00F33507" w:rsidRPr="00064185" w:rsidRDefault="00F33507" w:rsidP="00EA61D8">
      <w:pPr>
        <w:spacing w:line="260" w:lineRule="atLeast"/>
        <w:rPr>
          <w:rFonts w:eastAsia="Calibri"/>
          <w:b/>
          <w:sz w:val="22"/>
          <w:lang w:eastAsia="en-US"/>
        </w:rPr>
      </w:pPr>
      <w:r w:rsidRPr="00064185">
        <w:rPr>
          <w:rFonts w:eastAsia="Calibri"/>
          <w:b/>
          <w:sz w:val="22"/>
          <w:lang w:eastAsia="en-US"/>
        </w:rPr>
        <w:t xml:space="preserve">Table 1: Use 1 – Insecticide </w:t>
      </w:r>
      <w:r w:rsidRPr="00064185">
        <w:rPr>
          <w:rFonts w:eastAsia="Calibri"/>
          <w:b/>
          <w:sz w:val="22"/>
          <w:szCs w:val="22"/>
          <w:lang w:eastAsia="en-US"/>
        </w:rPr>
        <w:t>and product to control other arthropods</w:t>
      </w:r>
      <w:r w:rsidRPr="00064185">
        <w:rPr>
          <w:rFonts w:eastAsia="Calibri"/>
          <w:b/>
          <w:lang w:eastAsia="en-US"/>
        </w:rPr>
        <w:t xml:space="preserve"> </w:t>
      </w:r>
      <w:r w:rsidRPr="00064185">
        <w:rPr>
          <w:rFonts w:eastAsia="Calibri"/>
          <w:b/>
          <w:sz w:val="22"/>
          <w:lang w:eastAsia="en-US"/>
        </w:rPr>
        <w:t>– garden ants, silverfishes, woodlice and cockroaches – general public – spraying – indoor</w:t>
      </w:r>
    </w:p>
    <w:tbl>
      <w:tblPr>
        <w:tblW w:w="5000" w:type="pct"/>
        <w:tblCellMar>
          <w:left w:w="0" w:type="dxa"/>
          <w:right w:w="0" w:type="dxa"/>
        </w:tblCellMar>
        <w:tblLook w:val="04A0" w:firstRow="1" w:lastRow="0" w:firstColumn="1" w:lastColumn="0" w:noHBand="0" w:noVBand="1"/>
      </w:tblPr>
      <w:tblGrid>
        <w:gridCol w:w="2788"/>
        <w:gridCol w:w="6506"/>
      </w:tblGrid>
      <w:tr w:rsidR="00064185" w:rsidRPr="00064185" w14:paraId="6CF95F9E" w14:textId="77777777" w:rsidTr="00454F09">
        <w:trPr>
          <w:cantSplit/>
        </w:trPr>
        <w:tc>
          <w:tcPr>
            <w:tcW w:w="1500"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4724AC94" w14:textId="77777777" w:rsidR="00F33507" w:rsidRPr="00064185" w:rsidRDefault="00F33507" w:rsidP="00EA61D8">
            <w:pPr>
              <w:spacing w:line="260" w:lineRule="atLeast"/>
              <w:rPr>
                <w:rFonts w:eastAsia="Calibri"/>
                <w:bCs/>
                <w:lang w:val="de-DE" w:eastAsia="en-US"/>
              </w:rPr>
            </w:pPr>
            <w:r w:rsidRPr="00064185">
              <w:rPr>
                <w:rFonts w:eastAsia="Calibri"/>
                <w:bCs/>
                <w:lang w:eastAsia="en-US"/>
              </w:rPr>
              <w:t>Product Type</w:t>
            </w:r>
          </w:p>
        </w:tc>
        <w:tc>
          <w:tcPr>
            <w:tcW w:w="3500"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64FD858D" w14:textId="77777777" w:rsidR="00F33507" w:rsidRPr="00064185" w:rsidRDefault="00F33507" w:rsidP="00EA61D8">
            <w:pPr>
              <w:spacing w:line="260" w:lineRule="atLeast"/>
              <w:rPr>
                <w:rFonts w:eastAsia="Calibri"/>
                <w:bCs/>
                <w:lang w:eastAsia="en-US"/>
              </w:rPr>
            </w:pPr>
            <w:r w:rsidRPr="00064185">
              <w:rPr>
                <w:rFonts w:eastAsia="Calibri"/>
                <w:bCs/>
                <w:lang w:eastAsia="en-US"/>
              </w:rPr>
              <w:t>PT 18 Insecticides, acaricides and products to control other arthropods (Pest control)</w:t>
            </w:r>
          </w:p>
        </w:tc>
      </w:tr>
      <w:tr w:rsidR="00064185" w:rsidRPr="00064185" w14:paraId="0878DCB6" w14:textId="77777777" w:rsidTr="00454F09">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5D611BB" w14:textId="77777777" w:rsidR="00F33507" w:rsidRPr="00064185" w:rsidRDefault="00F33507" w:rsidP="00EA61D8">
            <w:pPr>
              <w:spacing w:line="260" w:lineRule="atLeast"/>
              <w:rPr>
                <w:rFonts w:eastAsia="Calibri"/>
                <w:bCs/>
                <w:lang w:val="en-US" w:eastAsia="en-US"/>
              </w:rPr>
            </w:pPr>
            <w:r w:rsidRPr="00064185">
              <w:rPr>
                <w:rFonts w:eastAsia="Calibri"/>
                <w:bCs/>
                <w:lang w:eastAsia="en-US"/>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0730AF9" w14:textId="77777777" w:rsidR="00F33507" w:rsidRPr="00064185" w:rsidRDefault="00F33507" w:rsidP="00EA61D8">
            <w:pPr>
              <w:spacing w:line="260" w:lineRule="atLeast"/>
              <w:rPr>
                <w:rFonts w:eastAsia="Calibri"/>
                <w:bCs/>
                <w:lang w:eastAsia="en-US"/>
              </w:rPr>
            </w:pPr>
            <w:r w:rsidRPr="00064185">
              <w:rPr>
                <w:rFonts w:eastAsia="Calibri"/>
                <w:bCs/>
                <w:lang w:eastAsia="en-US"/>
              </w:rPr>
              <w:t xml:space="preserve">Insecticides and product to control other arthropods </w:t>
            </w:r>
          </w:p>
        </w:tc>
      </w:tr>
      <w:tr w:rsidR="00064185" w:rsidRPr="00064185" w14:paraId="025ADFA6" w14:textId="77777777" w:rsidTr="00454F09">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FB7D51C" w14:textId="77777777" w:rsidR="00F33507" w:rsidRPr="00064185" w:rsidRDefault="00F33507" w:rsidP="00EA61D8">
            <w:pPr>
              <w:spacing w:line="260" w:lineRule="atLeast"/>
              <w:rPr>
                <w:rFonts w:eastAsia="Calibri"/>
                <w:bCs/>
                <w:lang w:val="en-US" w:eastAsia="en-US"/>
              </w:rPr>
            </w:pPr>
            <w:r w:rsidRPr="00064185">
              <w:rPr>
                <w:rFonts w:eastAsia="Calibri"/>
                <w:bCs/>
                <w:lang w:eastAsia="en-US"/>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6A776657" w14:textId="7829EAEE" w:rsidR="00F33507" w:rsidRPr="00064185" w:rsidRDefault="00F33507" w:rsidP="00EA61D8">
            <w:pPr>
              <w:rPr>
                <w:bCs/>
                <w:szCs w:val="24"/>
                <w:lang w:val="en-US"/>
              </w:rPr>
            </w:pPr>
            <w:r w:rsidRPr="00064185">
              <w:rPr>
                <w:bCs/>
                <w:szCs w:val="24"/>
                <w:lang w:val="en-US"/>
              </w:rPr>
              <w:t xml:space="preserve">Scientific name: Formicinae: </w:t>
            </w:r>
            <w:r w:rsidRPr="00064185">
              <w:rPr>
                <w:bCs/>
                <w:i/>
                <w:szCs w:val="24"/>
                <w:lang w:val="en-US"/>
              </w:rPr>
              <w:t>Lasius niger</w:t>
            </w:r>
          </w:p>
          <w:p w14:paraId="019E0947" w14:textId="77777777" w:rsidR="00F33507" w:rsidRPr="00064185" w:rsidRDefault="00F33507" w:rsidP="00EA61D8">
            <w:pPr>
              <w:rPr>
                <w:bCs/>
                <w:szCs w:val="24"/>
                <w:lang w:val="en-US"/>
              </w:rPr>
            </w:pPr>
            <w:r w:rsidRPr="00064185">
              <w:rPr>
                <w:bCs/>
                <w:szCs w:val="24"/>
                <w:lang w:val="en-US"/>
              </w:rPr>
              <w:t xml:space="preserve">Common name: </w:t>
            </w:r>
            <w:r w:rsidRPr="00064185">
              <w:rPr>
                <w:b/>
                <w:bCs/>
                <w:szCs w:val="24"/>
                <w:lang w:val="en-US"/>
              </w:rPr>
              <w:t>garden ant</w:t>
            </w:r>
          </w:p>
          <w:p w14:paraId="26D68AF6" w14:textId="77777777" w:rsidR="00F33507" w:rsidRPr="00064185" w:rsidRDefault="00F33507" w:rsidP="00EA61D8">
            <w:pPr>
              <w:rPr>
                <w:bCs/>
                <w:szCs w:val="24"/>
                <w:lang w:val="en-US"/>
              </w:rPr>
            </w:pPr>
            <w:r w:rsidRPr="00064185">
              <w:rPr>
                <w:bCs/>
                <w:szCs w:val="24"/>
                <w:lang w:val="en-US"/>
              </w:rPr>
              <w:t>Development stage: ant colony</w:t>
            </w:r>
          </w:p>
          <w:p w14:paraId="0F9DD29E" w14:textId="77777777" w:rsidR="00F33507" w:rsidRPr="00064185" w:rsidRDefault="00F33507" w:rsidP="00EA61D8">
            <w:pPr>
              <w:rPr>
                <w:lang w:val="en-US"/>
              </w:rPr>
            </w:pPr>
          </w:p>
          <w:p w14:paraId="34A5AECF" w14:textId="77777777" w:rsidR="00F33507" w:rsidRPr="00064185" w:rsidRDefault="00F33507" w:rsidP="00EA61D8">
            <w:pPr>
              <w:rPr>
                <w:bCs/>
                <w:szCs w:val="24"/>
                <w:lang w:val="en-US"/>
              </w:rPr>
            </w:pPr>
            <w:r w:rsidRPr="00064185">
              <w:rPr>
                <w:bCs/>
                <w:szCs w:val="24"/>
                <w:lang w:val="en-US"/>
              </w:rPr>
              <w:t xml:space="preserve">Scientific name: Lepismatidae: </w:t>
            </w:r>
            <w:r w:rsidRPr="00064185">
              <w:rPr>
                <w:bCs/>
                <w:i/>
                <w:szCs w:val="24"/>
                <w:lang w:val="en-US"/>
              </w:rPr>
              <w:t>Lepisma saccharina</w:t>
            </w:r>
          </w:p>
          <w:p w14:paraId="53300E42" w14:textId="77777777" w:rsidR="00F33507" w:rsidRPr="00064185" w:rsidRDefault="00F33507" w:rsidP="00EA61D8">
            <w:pPr>
              <w:rPr>
                <w:bCs/>
                <w:szCs w:val="24"/>
                <w:lang w:val="en-US"/>
              </w:rPr>
            </w:pPr>
            <w:r w:rsidRPr="00064185">
              <w:rPr>
                <w:bCs/>
                <w:szCs w:val="24"/>
                <w:lang w:val="en-US"/>
              </w:rPr>
              <w:t xml:space="preserve">Common name: Lepismatid: </w:t>
            </w:r>
            <w:r w:rsidRPr="00064185">
              <w:rPr>
                <w:b/>
                <w:bCs/>
                <w:szCs w:val="24"/>
                <w:lang w:val="en-US"/>
              </w:rPr>
              <w:t>silverfishes</w:t>
            </w:r>
          </w:p>
          <w:p w14:paraId="759FCE01" w14:textId="77777777" w:rsidR="00F33507" w:rsidRPr="00064185" w:rsidRDefault="00F33507" w:rsidP="00EA61D8">
            <w:pPr>
              <w:rPr>
                <w:bCs/>
                <w:szCs w:val="24"/>
                <w:lang w:val="en-US"/>
              </w:rPr>
            </w:pPr>
            <w:r w:rsidRPr="00064185">
              <w:rPr>
                <w:bCs/>
                <w:szCs w:val="24"/>
                <w:lang w:val="en-US"/>
              </w:rPr>
              <w:t>Development stage: larvae and adults</w:t>
            </w:r>
          </w:p>
          <w:p w14:paraId="0EAF0496" w14:textId="77777777" w:rsidR="00F33507" w:rsidRPr="00064185" w:rsidRDefault="00F33507" w:rsidP="00EA61D8">
            <w:pPr>
              <w:rPr>
                <w:lang w:val="en-US"/>
              </w:rPr>
            </w:pPr>
          </w:p>
          <w:p w14:paraId="6B4FAAA8" w14:textId="77777777" w:rsidR="00F33507" w:rsidRPr="00064185" w:rsidRDefault="00F33507" w:rsidP="00EA61D8">
            <w:pPr>
              <w:rPr>
                <w:bCs/>
                <w:szCs w:val="24"/>
                <w:lang w:val="en-US"/>
              </w:rPr>
            </w:pPr>
            <w:r w:rsidRPr="00064185">
              <w:rPr>
                <w:bCs/>
                <w:szCs w:val="24"/>
                <w:lang w:val="en-US"/>
              </w:rPr>
              <w:t xml:space="preserve">Scientific name: Porcellionidae: </w:t>
            </w:r>
            <w:r w:rsidRPr="00064185">
              <w:rPr>
                <w:bCs/>
                <w:i/>
                <w:szCs w:val="24"/>
                <w:lang w:val="en-US"/>
              </w:rPr>
              <w:t>Porcellio scaber</w:t>
            </w:r>
          </w:p>
          <w:p w14:paraId="6A52E9C3" w14:textId="77777777" w:rsidR="00F33507" w:rsidRPr="00064185" w:rsidRDefault="00F33507" w:rsidP="00EA61D8">
            <w:pPr>
              <w:rPr>
                <w:bCs/>
                <w:szCs w:val="24"/>
                <w:lang w:val="en-US"/>
              </w:rPr>
            </w:pPr>
            <w:r w:rsidRPr="00064185">
              <w:rPr>
                <w:bCs/>
                <w:szCs w:val="24"/>
                <w:lang w:val="en-US"/>
              </w:rPr>
              <w:t xml:space="preserve">Common name: </w:t>
            </w:r>
            <w:r w:rsidRPr="00064185">
              <w:rPr>
                <w:b/>
                <w:bCs/>
                <w:szCs w:val="24"/>
                <w:lang w:val="en-US"/>
              </w:rPr>
              <w:t>woodlice</w:t>
            </w:r>
          </w:p>
          <w:p w14:paraId="09DECC10" w14:textId="77777777" w:rsidR="00F33507" w:rsidRPr="00064185" w:rsidRDefault="00F33507" w:rsidP="00EA61D8">
            <w:pPr>
              <w:rPr>
                <w:bCs/>
                <w:szCs w:val="24"/>
                <w:lang w:val="en-US"/>
              </w:rPr>
            </w:pPr>
            <w:r w:rsidRPr="00064185">
              <w:rPr>
                <w:bCs/>
                <w:szCs w:val="24"/>
                <w:lang w:val="en-US"/>
              </w:rPr>
              <w:t>Development stage: adults (larvae and adults)</w:t>
            </w:r>
          </w:p>
          <w:p w14:paraId="43473CB5" w14:textId="77777777" w:rsidR="00F33507" w:rsidRPr="00064185" w:rsidRDefault="00F33507" w:rsidP="00EA61D8">
            <w:pPr>
              <w:rPr>
                <w:lang w:val="en-US"/>
              </w:rPr>
            </w:pPr>
          </w:p>
          <w:p w14:paraId="1EF0BCC1" w14:textId="77777777" w:rsidR="00F33507" w:rsidRPr="00064185" w:rsidRDefault="00F33507" w:rsidP="00EA61D8">
            <w:pPr>
              <w:rPr>
                <w:bCs/>
                <w:szCs w:val="24"/>
                <w:lang w:val="it-IT"/>
              </w:rPr>
            </w:pPr>
            <w:proofErr w:type="gramStart"/>
            <w:r w:rsidRPr="00064185">
              <w:rPr>
                <w:bCs/>
                <w:szCs w:val="24"/>
                <w:lang w:val="it-IT"/>
              </w:rPr>
              <w:t xml:space="preserve">Scientific name: Blattodea: </w:t>
            </w:r>
            <w:r w:rsidRPr="00064185">
              <w:rPr>
                <w:bCs/>
                <w:i/>
                <w:szCs w:val="24"/>
                <w:lang w:val="it-IT"/>
              </w:rPr>
              <w:t>Blattella germanica, Blatta orientalis, Periplaneta americana</w:t>
            </w:r>
            <w:proofErr w:type="gramEnd"/>
          </w:p>
          <w:p w14:paraId="1485F927" w14:textId="77777777" w:rsidR="00F33507" w:rsidRPr="00064185" w:rsidRDefault="00F33507" w:rsidP="00EA61D8">
            <w:pPr>
              <w:rPr>
                <w:bCs/>
                <w:szCs w:val="24"/>
                <w:lang w:val="en-US"/>
              </w:rPr>
            </w:pPr>
            <w:r w:rsidRPr="00064185">
              <w:rPr>
                <w:bCs/>
                <w:szCs w:val="24"/>
                <w:lang w:val="en-US"/>
              </w:rPr>
              <w:t xml:space="preserve">Common name: </w:t>
            </w:r>
            <w:r w:rsidRPr="00064185">
              <w:rPr>
                <w:b/>
                <w:bCs/>
                <w:szCs w:val="24"/>
                <w:lang w:val="en-US"/>
              </w:rPr>
              <w:t>cockroaches</w:t>
            </w:r>
          </w:p>
          <w:p w14:paraId="72B41A1E" w14:textId="77777777" w:rsidR="00F33507" w:rsidRPr="00064185" w:rsidRDefault="00F33507" w:rsidP="00EA61D8">
            <w:pPr>
              <w:spacing w:line="260" w:lineRule="atLeast"/>
              <w:rPr>
                <w:rFonts w:eastAsia="Calibri"/>
                <w:bCs/>
                <w:lang w:eastAsia="en-US"/>
              </w:rPr>
            </w:pPr>
            <w:r w:rsidRPr="00064185">
              <w:rPr>
                <w:bCs/>
                <w:szCs w:val="24"/>
                <w:lang w:val="en-US"/>
              </w:rPr>
              <w:t>Development stage: adult</w:t>
            </w:r>
          </w:p>
        </w:tc>
      </w:tr>
      <w:tr w:rsidR="00064185" w:rsidRPr="00064185" w14:paraId="3AD62CB9" w14:textId="77777777" w:rsidTr="00454F09">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3428266" w14:textId="77777777" w:rsidR="00F33507" w:rsidRPr="00064185" w:rsidRDefault="00F33507" w:rsidP="00EA61D8">
            <w:pPr>
              <w:spacing w:line="260" w:lineRule="atLeast"/>
              <w:rPr>
                <w:rFonts w:eastAsia="Calibri"/>
                <w:bCs/>
                <w:lang w:val="de-DE" w:eastAsia="en-US"/>
              </w:rPr>
            </w:pPr>
            <w:r w:rsidRPr="00064185">
              <w:rPr>
                <w:rFonts w:eastAsia="Calibri"/>
                <w:bCs/>
                <w:lang w:eastAsia="en-US"/>
              </w:rPr>
              <w:lastRenderedPageBreak/>
              <w:t xml:space="preserve"> 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59916B81" w14:textId="77777777" w:rsidR="00F33507" w:rsidRPr="00064185" w:rsidRDefault="00F33507" w:rsidP="00EA61D8">
            <w:pPr>
              <w:spacing w:line="260" w:lineRule="atLeast"/>
              <w:rPr>
                <w:rFonts w:eastAsia="Calibri"/>
                <w:bCs/>
                <w:lang w:eastAsia="en-US"/>
              </w:rPr>
            </w:pPr>
            <w:r w:rsidRPr="00064185">
              <w:rPr>
                <w:rFonts w:eastAsia="Calibri"/>
                <w:bCs/>
                <w:lang w:eastAsia="en-US"/>
              </w:rPr>
              <w:t>Indoor use</w:t>
            </w:r>
          </w:p>
        </w:tc>
      </w:tr>
      <w:tr w:rsidR="00064185" w:rsidRPr="00064185" w14:paraId="4D137F56" w14:textId="77777777" w:rsidTr="00454F09">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57E8E86" w14:textId="77777777" w:rsidR="00F33507" w:rsidRPr="00064185" w:rsidRDefault="00F33507" w:rsidP="00EA61D8">
            <w:pPr>
              <w:spacing w:line="260" w:lineRule="atLeast"/>
              <w:rPr>
                <w:rFonts w:eastAsia="Calibri"/>
                <w:bCs/>
                <w:lang w:val="de-DE" w:eastAsia="en-US"/>
              </w:rPr>
            </w:pPr>
            <w:r w:rsidRPr="00064185">
              <w:rPr>
                <w:rFonts w:eastAsia="Calibri"/>
                <w:bCs/>
                <w:lang w:eastAsia="en-US"/>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232E71F0" w14:textId="77777777" w:rsidR="00F33507" w:rsidRPr="00064185" w:rsidRDefault="00F33507" w:rsidP="00EA61D8">
            <w:pPr>
              <w:rPr>
                <w:bCs/>
                <w:szCs w:val="24"/>
                <w:lang w:val="en-US"/>
              </w:rPr>
            </w:pPr>
            <w:r w:rsidRPr="00064185">
              <w:rPr>
                <w:bCs/>
                <w:szCs w:val="24"/>
                <w:u w:val="single"/>
                <w:lang w:val="en-US"/>
              </w:rPr>
              <w:t>Method of application:</w:t>
            </w:r>
            <w:r w:rsidRPr="00064185">
              <w:rPr>
                <w:bCs/>
                <w:szCs w:val="24"/>
                <w:lang w:val="en-US"/>
              </w:rPr>
              <w:t xml:space="preserve"> </w:t>
            </w:r>
            <w:r w:rsidRPr="00064185">
              <w:rPr>
                <w:b/>
                <w:bCs/>
                <w:szCs w:val="24"/>
                <w:lang w:val="en-US"/>
              </w:rPr>
              <w:t>spraying</w:t>
            </w:r>
          </w:p>
          <w:p w14:paraId="47D5D410" w14:textId="77777777" w:rsidR="00F33507" w:rsidRPr="00064185" w:rsidRDefault="00F33507" w:rsidP="00EA61D8">
            <w:pPr>
              <w:rPr>
                <w:bCs/>
                <w:szCs w:val="24"/>
                <w:lang w:val="en-US"/>
              </w:rPr>
            </w:pPr>
          </w:p>
          <w:p w14:paraId="7135356A" w14:textId="77777777" w:rsidR="00F33507" w:rsidRPr="00064185" w:rsidRDefault="00F33507" w:rsidP="00EA61D8">
            <w:pPr>
              <w:rPr>
                <w:lang w:val="en-US"/>
              </w:rPr>
            </w:pPr>
            <w:r w:rsidRPr="00064185">
              <w:rPr>
                <w:bCs/>
                <w:szCs w:val="24"/>
                <w:u w:val="single"/>
                <w:lang w:val="en-US"/>
              </w:rPr>
              <w:t>Detailed description of the method:</w:t>
            </w:r>
          </w:p>
          <w:p w14:paraId="214F07EA" w14:textId="77777777" w:rsidR="00F33507" w:rsidRPr="00064185" w:rsidRDefault="00F33507" w:rsidP="00EA61D8">
            <w:pPr>
              <w:rPr>
                <w:lang w:val="en-US"/>
              </w:rPr>
            </w:pPr>
            <w:r w:rsidRPr="00064185">
              <w:rPr>
                <w:bCs/>
                <w:szCs w:val="24"/>
                <w:lang w:val="en-US"/>
              </w:rPr>
              <w:t>Application is conducted on the target organism or on spots of ground floor area where target organisms have been observed.</w:t>
            </w:r>
          </w:p>
          <w:p w14:paraId="6FEF5EC4" w14:textId="77777777" w:rsidR="00F33507" w:rsidRPr="00064185" w:rsidRDefault="00F33507" w:rsidP="00EA61D8">
            <w:pPr>
              <w:rPr>
                <w:lang w:val="en-US"/>
              </w:rPr>
            </w:pPr>
            <w:r w:rsidRPr="00064185">
              <w:rPr>
                <w:bCs/>
                <w:szCs w:val="24"/>
                <w:lang w:val="en-US"/>
              </w:rPr>
              <w:t>For killing ant nests, COM 116 02 I AL is sprayed on routes and nest entries of ants in areas protected from cleaning wash. Best application time is in the morning or evening when ants are staying in the nests.</w:t>
            </w:r>
          </w:p>
        </w:tc>
      </w:tr>
      <w:tr w:rsidR="00064185" w:rsidRPr="00064185" w14:paraId="4618C3B9" w14:textId="77777777" w:rsidTr="00454F09">
        <w:trPr>
          <w:cantSplit/>
        </w:trPr>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008E315" w14:textId="77777777" w:rsidR="00F33507" w:rsidRPr="00064185" w:rsidRDefault="00F33507" w:rsidP="00EA61D8">
            <w:pPr>
              <w:spacing w:line="260" w:lineRule="atLeast"/>
              <w:rPr>
                <w:rFonts w:eastAsia="Calibri"/>
                <w:bCs/>
                <w:lang w:val="en-US" w:eastAsia="en-US"/>
              </w:rPr>
            </w:pPr>
            <w:r w:rsidRPr="00064185">
              <w:rPr>
                <w:rFonts w:eastAsia="Calibri"/>
                <w:bCs/>
                <w:lang w:eastAsia="en-US"/>
              </w:rPr>
              <w:t>Application rate(s) and frequency</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FFC5220" w14:textId="77777777" w:rsidR="00F33507" w:rsidRPr="00064185" w:rsidRDefault="00F33507" w:rsidP="00EA61D8">
            <w:pPr>
              <w:rPr>
                <w:b/>
                <w:bCs/>
                <w:szCs w:val="24"/>
                <w:lang w:val="en-US"/>
              </w:rPr>
            </w:pPr>
            <w:r w:rsidRPr="00064185">
              <w:rPr>
                <w:b/>
                <w:bCs/>
                <w:szCs w:val="24"/>
                <w:lang w:val="en-US"/>
              </w:rPr>
              <w:t>The application rate:</w:t>
            </w:r>
          </w:p>
          <w:p w14:paraId="3DE789FE" w14:textId="77777777" w:rsidR="00F33507" w:rsidRPr="00064185" w:rsidRDefault="00F33507" w:rsidP="00EA61D8">
            <w:pPr>
              <w:rPr>
                <w:b/>
                <w:bCs/>
                <w:szCs w:val="24"/>
                <w:lang w:val="en-US"/>
              </w:rPr>
            </w:pPr>
          </w:p>
          <w:p w14:paraId="76A599D4" w14:textId="77777777" w:rsidR="00F33507" w:rsidRPr="00064185" w:rsidRDefault="00F33507" w:rsidP="00EA61D8">
            <w:pPr>
              <w:rPr>
                <w:bCs/>
                <w:szCs w:val="24"/>
                <w:lang w:val="en-US"/>
              </w:rPr>
            </w:pPr>
            <w:r w:rsidRPr="00064185">
              <w:rPr>
                <w:bCs/>
                <w:szCs w:val="24"/>
                <w:u w:val="single"/>
                <w:lang w:val="en-US"/>
              </w:rPr>
              <w:t>Ants:</w:t>
            </w:r>
            <w:r w:rsidRPr="00064185">
              <w:rPr>
                <w:bCs/>
                <w:szCs w:val="24"/>
                <w:lang w:val="en-US"/>
              </w:rPr>
              <w:t xml:space="preserve"> 10 strokes for 1 m route correspond to 10 g product</w:t>
            </w:r>
          </w:p>
          <w:p w14:paraId="4A0B61EF" w14:textId="77777777" w:rsidR="00F33507" w:rsidRPr="00064185" w:rsidRDefault="00F33507" w:rsidP="00EA61D8">
            <w:pPr>
              <w:rPr>
                <w:bCs/>
                <w:szCs w:val="24"/>
                <w:lang w:val="en-US"/>
              </w:rPr>
            </w:pPr>
          </w:p>
          <w:p w14:paraId="31B8FAD9" w14:textId="77777777" w:rsidR="00F33507" w:rsidRPr="00064185" w:rsidRDefault="00F33507" w:rsidP="00EA61D8">
            <w:pPr>
              <w:rPr>
                <w:bCs/>
                <w:szCs w:val="24"/>
                <w:u w:val="single"/>
                <w:lang w:val="en-US"/>
              </w:rPr>
            </w:pPr>
            <w:r w:rsidRPr="00064185">
              <w:rPr>
                <w:bCs/>
                <w:szCs w:val="24"/>
                <w:u w:val="single"/>
                <w:lang w:val="en-US"/>
              </w:rPr>
              <w:t>Silverfishes, Wood lice, Cockroaches:</w:t>
            </w:r>
            <w:r w:rsidRPr="00064185">
              <w:rPr>
                <w:bCs/>
                <w:szCs w:val="24"/>
                <w:lang w:val="en-US"/>
              </w:rPr>
              <w:t xml:space="preserve"> </w:t>
            </w:r>
          </w:p>
          <w:p w14:paraId="207C1553" w14:textId="77777777" w:rsidR="00F33507" w:rsidRPr="00064185" w:rsidRDefault="00F33507" w:rsidP="00EA61D8">
            <w:pPr>
              <w:rPr>
                <w:bCs/>
                <w:szCs w:val="24"/>
              </w:rPr>
            </w:pPr>
            <w:r w:rsidRPr="00064185">
              <w:rPr>
                <w:bCs/>
                <w:szCs w:val="24"/>
              </w:rPr>
              <w:t>Treat spotwise surfaces from a distance of ca. 30 cm with the trigger sprayer applying 5 to 6 strokes. Apply only where insects are expected running over or treat individuals directly.</w:t>
            </w:r>
          </w:p>
          <w:p w14:paraId="534AD75C" w14:textId="77777777" w:rsidR="00F33507" w:rsidRPr="00064185" w:rsidRDefault="00F33507" w:rsidP="00EA61D8">
            <w:pPr>
              <w:rPr>
                <w:b/>
                <w:bCs/>
                <w:szCs w:val="24"/>
                <w:lang w:val="en-US"/>
              </w:rPr>
            </w:pPr>
          </w:p>
          <w:p w14:paraId="7934C5D3" w14:textId="77777777" w:rsidR="00F33507" w:rsidRPr="00064185" w:rsidRDefault="00F33507" w:rsidP="00EA61D8">
            <w:pPr>
              <w:rPr>
                <w:bCs/>
                <w:szCs w:val="24"/>
                <w:lang w:val="en-US"/>
              </w:rPr>
            </w:pPr>
            <w:r w:rsidRPr="00064185">
              <w:rPr>
                <w:b/>
                <w:bCs/>
                <w:szCs w:val="24"/>
                <w:lang w:val="en-US"/>
              </w:rPr>
              <w:t xml:space="preserve">Number and timing of application: </w:t>
            </w:r>
            <w:r w:rsidRPr="00064185">
              <w:rPr>
                <w:bCs/>
                <w:szCs w:val="24"/>
                <w:lang w:val="en-US"/>
              </w:rPr>
              <w:t>One application provides long-lasting protection (between 1 and 26 weeks depending on the pest and the type of surface, s. table below) if left until no insects appear any longer. Treated areas should be protected from cleaning to provide the long lasting effect of the product.</w:t>
            </w:r>
          </w:p>
          <w:tbl>
            <w:tblPr>
              <w:tblW w:w="6244" w:type="dxa"/>
              <w:tblCellMar>
                <w:left w:w="70" w:type="dxa"/>
                <w:right w:w="70" w:type="dxa"/>
              </w:tblCellMar>
              <w:tblLook w:val="04A0" w:firstRow="1" w:lastRow="0" w:firstColumn="1" w:lastColumn="0" w:noHBand="0" w:noVBand="1"/>
            </w:tblPr>
            <w:tblGrid>
              <w:gridCol w:w="1078"/>
              <w:gridCol w:w="1374"/>
              <w:gridCol w:w="1701"/>
              <w:gridCol w:w="2091"/>
            </w:tblGrid>
            <w:tr w:rsidR="00064185" w:rsidRPr="00064185" w14:paraId="255E6CAE" w14:textId="77777777" w:rsidTr="00454F09">
              <w:trPr>
                <w:trHeight w:val="630"/>
              </w:trPr>
              <w:tc>
                <w:tcPr>
                  <w:tcW w:w="107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89634F2" w14:textId="77777777" w:rsidR="00F33507" w:rsidRPr="00064185" w:rsidRDefault="00F33507" w:rsidP="00EA61D8">
                  <w:pPr>
                    <w:rPr>
                      <w:rFonts w:ascii="Calibri" w:hAnsi="Calibri"/>
                      <w:b/>
                      <w:sz w:val="18"/>
                      <w:szCs w:val="18"/>
                    </w:rPr>
                  </w:pPr>
                  <w:r w:rsidRPr="00064185">
                    <w:rPr>
                      <w:rFonts w:ascii="Calibri" w:hAnsi="Calibri"/>
                      <w:b/>
                      <w:sz w:val="18"/>
                      <w:szCs w:val="18"/>
                    </w:rPr>
                    <w:t>Pest species</w:t>
                  </w:r>
                </w:p>
              </w:tc>
              <w:tc>
                <w:tcPr>
                  <w:tcW w:w="1374" w:type="dxa"/>
                  <w:tcBorders>
                    <w:top w:val="single" w:sz="4" w:space="0" w:color="auto"/>
                    <w:bottom w:val="single" w:sz="4" w:space="0" w:color="auto"/>
                    <w:right w:val="single" w:sz="4" w:space="0" w:color="auto"/>
                  </w:tcBorders>
                  <w:shd w:val="clear" w:color="000000" w:fill="F2F2F2"/>
                  <w:vAlign w:val="center"/>
                  <w:hideMark/>
                </w:tcPr>
                <w:p w14:paraId="357A2D83" w14:textId="77777777" w:rsidR="00F33507" w:rsidRPr="00064185" w:rsidRDefault="00F33507" w:rsidP="00EA61D8">
                  <w:pPr>
                    <w:rPr>
                      <w:rFonts w:ascii="Calibri" w:hAnsi="Calibri"/>
                      <w:b/>
                      <w:sz w:val="18"/>
                      <w:szCs w:val="18"/>
                      <w:lang w:val="en-US"/>
                    </w:rPr>
                  </w:pPr>
                  <w:r w:rsidRPr="00064185">
                    <w:rPr>
                      <w:rFonts w:ascii="Calibri" w:hAnsi="Calibri"/>
                      <w:b/>
                      <w:sz w:val="18"/>
                      <w:szCs w:val="18"/>
                      <w:lang w:val="en-US"/>
                    </w:rPr>
                    <w:t>Knockdown after direct application on pest species</w:t>
                  </w:r>
                </w:p>
              </w:tc>
              <w:tc>
                <w:tcPr>
                  <w:tcW w:w="1701" w:type="dxa"/>
                  <w:tcBorders>
                    <w:top w:val="single" w:sz="4" w:space="0" w:color="auto"/>
                    <w:bottom w:val="single" w:sz="4" w:space="0" w:color="auto"/>
                    <w:right w:val="single" w:sz="4" w:space="0" w:color="auto"/>
                  </w:tcBorders>
                  <w:shd w:val="clear" w:color="000000" w:fill="F2F2F2"/>
                  <w:vAlign w:val="center"/>
                  <w:hideMark/>
                </w:tcPr>
                <w:p w14:paraId="2B30CF56" w14:textId="77777777" w:rsidR="00F33507" w:rsidRPr="00064185" w:rsidRDefault="00F33507" w:rsidP="00EA61D8">
                  <w:pPr>
                    <w:rPr>
                      <w:rFonts w:ascii="Calibri" w:hAnsi="Calibri"/>
                      <w:b/>
                      <w:sz w:val="18"/>
                      <w:szCs w:val="18"/>
                      <w:lang w:val="en-US"/>
                    </w:rPr>
                  </w:pPr>
                  <w:r w:rsidRPr="00064185">
                    <w:rPr>
                      <w:rFonts w:ascii="Calibri" w:hAnsi="Calibri"/>
                      <w:b/>
                      <w:sz w:val="18"/>
                      <w:szCs w:val="18"/>
                      <w:lang w:val="en-US"/>
                    </w:rPr>
                    <w:t>Time until 100% control (treatment of surface area)</w:t>
                  </w:r>
                </w:p>
              </w:tc>
              <w:tc>
                <w:tcPr>
                  <w:tcW w:w="2091" w:type="dxa"/>
                  <w:tcBorders>
                    <w:top w:val="single" w:sz="4" w:space="0" w:color="auto"/>
                    <w:bottom w:val="single" w:sz="4" w:space="0" w:color="auto"/>
                    <w:right w:val="single" w:sz="4" w:space="0" w:color="auto"/>
                  </w:tcBorders>
                  <w:shd w:val="clear" w:color="000000" w:fill="F2F2F2"/>
                  <w:vAlign w:val="center"/>
                  <w:hideMark/>
                </w:tcPr>
                <w:p w14:paraId="0A8EDA6E" w14:textId="77777777" w:rsidR="00F33507" w:rsidRPr="00064185" w:rsidRDefault="00F33507" w:rsidP="00EA61D8">
                  <w:pPr>
                    <w:rPr>
                      <w:rFonts w:ascii="Calibri" w:hAnsi="Calibri"/>
                      <w:b/>
                      <w:sz w:val="18"/>
                      <w:szCs w:val="18"/>
                      <w:lang w:val="en-US"/>
                    </w:rPr>
                  </w:pPr>
                  <w:r w:rsidRPr="00064185">
                    <w:rPr>
                      <w:rFonts w:ascii="Calibri" w:hAnsi="Calibri"/>
                      <w:b/>
                      <w:sz w:val="18"/>
                      <w:szCs w:val="18"/>
                      <w:lang w:val="en-US"/>
                    </w:rPr>
                    <w:t>Time until which product remains efficient on treated areas</w:t>
                  </w:r>
                </w:p>
              </w:tc>
            </w:tr>
            <w:tr w:rsidR="00064185" w:rsidRPr="00064185" w14:paraId="5B559DA8" w14:textId="77777777" w:rsidTr="00454F09">
              <w:trPr>
                <w:trHeight w:val="315"/>
              </w:trPr>
              <w:tc>
                <w:tcPr>
                  <w:tcW w:w="1078" w:type="dxa"/>
                  <w:tcBorders>
                    <w:left w:val="single" w:sz="4" w:space="0" w:color="auto"/>
                    <w:bottom w:val="single" w:sz="4" w:space="0" w:color="auto"/>
                    <w:right w:val="single" w:sz="4" w:space="0" w:color="auto"/>
                  </w:tcBorders>
                  <w:noWrap/>
                  <w:vAlign w:val="center"/>
                  <w:hideMark/>
                </w:tcPr>
                <w:p w14:paraId="327C03F6" w14:textId="77777777" w:rsidR="00F33507" w:rsidRPr="00064185" w:rsidRDefault="00F33507" w:rsidP="00EA61D8">
                  <w:pPr>
                    <w:rPr>
                      <w:rFonts w:ascii="Calibri" w:hAnsi="Calibri"/>
                      <w:b/>
                      <w:sz w:val="18"/>
                      <w:szCs w:val="18"/>
                    </w:rPr>
                  </w:pPr>
                  <w:r w:rsidRPr="00064185">
                    <w:rPr>
                      <w:rFonts w:ascii="Calibri" w:hAnsi="Calibri"/>
                      <w:b/>
                      <w:sz w:val="18"/>
                      <w:szCs w:val="18"/>
                    </w:rPr>
                    <w:t>Ants</w:t>
                  </w:r>
                </w:p>
              </w:tc>
              <w:tc>
                <w:tcPr>
                  <w:tcW w:w="1374" w:type="dxa"/>
                  <w:tcBorders>
                    <w:bottom w:val="single" w:sz="4" w:space="0" w:color="auto"/>
                    <w:right w:val="single" w:sz="4" w:space="0" w:color="auto"/>
                  </w:tcBorders>
                  <w:noWrap/>
                  <w:vAlign w:val="center"/>
                  <w:hideMark/>
                </w:tcPr>
                <w:p w14:paraId="5AB0C969" w14:textId="77777777" w:rsidR="00F33507" w:rsidRPr="00064185" w:rsidRDefault="00F33507" w:rsidP="00EA61D8">
                  <w:pPr>
                    <w:rPr>
                      <w:rFonts w:ascii="Calibri" w:hAnsi="Calibri"/>
                      <w:sz w:val="18"/>
                      <w:szCs w:val="18"/>
                    </w:rPr>
                  </w:pPr>
                  <w:r w:rsidRPr="00064185">
                    <w:rPr>
                      <w:rFonts w:ascii="Calibri" w:hAnsi="Calibri"/>
                      <w:sz w:val="18"/>
                      <w:szCs w:val="18"/>
                    </w:rPr>
                    <w:t>not tested</w:t>
                  </w:r>
                </w:p>
              </w:tc>
              <w:tc>
                <w:tcPr>
                  <w:tcW w:w="1701" w:type="dxa"/>
                  <w:tcBorders>
                    <w:bottom w:val="single" w:sz="4" w:space="0" w:color="auto"/>
                    <w:right w:val="single" w:sz="4" w:space="0" w:color="auto"/>
                  </w:tcBorders>
                  <w:noWrap/>
                  <w:vAlign w:val="center"/>
                  <w:hideMark/>
                </w:tcPr>
                <w:p w14:paraId="4B2BA134" w14:textId="77777777" w:rsidR="00F33507" w:rsidRPr="00064185" w:rsidRDefault="00F33507" w:rsidP="00EA61D8">
                  <w:pPr>
                    <w:rPr>
                      <w:rFonts w:ascii="Calibri" w:hAnsi="Calibri"/>
                      <w:sz w:val="18"/>
                      <w:szCs w:val="18"/>
                      <w:lang w:val="en-US"/>
                    </w:rPr>
                  </w:pPr>
                  <w:r w:rsidRPr="00064185">
                    <w:rPr>
                      <w:rFonts w:ascii="Calibri" w:hAnsi="Calibri"/>
                      <w:sz w:val="18"/>
                      <w:szCs w:val="18"/>
                      <w:lang w:val="en-US"/>
                    </w:rPr>
                    <w:t>nest kill within 21 d</w:t>
                  </w:r>
                </w:p>
              </w:tc>
              <w:tc>
                <w:tcPr>
                  <w:tcW w:w="2091" w:type="dxa"/>
                  <w:tcBorders>
                    <w:bottom w:val="single" w:sz="4" w:space="0" w:color="auto"/>
                    <w:right w:val="single" w:sz="4" w:space="0" w:color="auto"/>
                  </w:tcBorders>
                  <w:noWrap/>
                  <w:vAlign w:val="center"/>
                  <w:hideMark/>
                </w:tcPr>
                <w:p w14:paraId="63D41C7C" w14:textId="77777777" w:rsidR="00F33507" w:rsidRPr="00064185" w:rsidRDefault="00F33507" w:rsidP="00EA61D8">
                  <w:pPr>
                    <w:rPr>
                      <w:rFonts w:ascii="Calibri" w:hAnsi="Calibri"/>
                      <w:sz w:val="18"/>
                      <w:szCs w:val="18"/>
                      <w:lang w:val="en-US"/>
                    </w:rPr>
                  </w:pPr>
                  <w:r w:rsidRPr="00064185">
                    <w:rPr>
                      <w:rFonts w:ascii="Calibri" w:hAnsi="Calibri"/>
                      <w:sz w:val="18"/>
                      <w:szCs w:val="18"/>
                      <w:lang w:val="en-US"/>
                    </w:rPr>
                    <w:t>not relevant since application will result in complete nest destruction =&gt; no re-colonisation</w:t>
                  </w:r>
                </w:p>
              </w:tc>
            </w:tr>
            <w:tr w:rsidR="00064185" w:rsidRPr="00064185" w14:paraId="05F98C7B" w14:textId="77777777" w:rsidTr="00454F09">
              <w:trPr>
                <w:trHeight w:val="630"/>
              </w:trPr>
              <w:tc>
                <w:tcPr>
                  <w:tcW w:w="1078" w:type="dxa"/>
                  <w:tcBorders>
                    <w:left w:val="single" w:sz="4" w:space="0" w:color="auto"/>
                    <w:bottom w:val="single" w:sz="4" w:space="0" w:color="auto"/>
                    <w:right w:val="single" w:sz="4" w:space="0" w:color="auto"/>
                  </w:tcBorders>
                  <w:noWrap/>
                  <w:vAlign w:val="center"/>
                  <w:hideMark/>
                </w:tcPr>
                <w:p w14:paraId="7E8E2359" w14:textId="77777777" w:rsidR="00F33507" w:rsidRPr="00064185" w:rsidRDefault="00F33507" w:rsidP="00EA61D8">
                  <w:pPr>
                    <w:rPr>
                      <w:rFonts w:ascii="Calibri" w:hAnsi="Calibri"/>
                      <w:b/>
                      <w:sz w:val="18"/>
                      <w:szCs w:val="18"/>
                      <w:lang w:val="en-US"/>
                    </w:rPr>
                  </w:pPr>
                  <w:r w:rsidRPr="00064185">
                    <w:rPr>
                      <w:rFonts w:ascii="Calibri" w:hAnsi="Calibri"/>
                      <w:b/>
                      <w:sz w:val="18"/>
                      <w:szCs w:val="18"/>
                      <w:lang w:val="en-US"/>
                    </w:rPr>
                    <w:t>Silverfish</w:t>
                  </w:r>
                </w:p>
              </w:tc>
              <w:tc>
                <w:tcPr>
                  <w:tcW w:w="1374" w:type="dxa"/>
                  <w:tcBorders>
                    <w:bottom w:val="single" w:sz="4" w:space="0" w:color="auto"/>
                    <w:right w:val="single" w:sz="4" w:space="0" w:color="auto"/>
                  </w:tcBorders>
                  <w:noWrap/>
                  <w:vAlign w:val="center"/>
                  <w:hideMark/>
                </w:tcPr>
                <w:p w14:paraId="2DEF0E0F" w14:textId="77777777" w:rsidR="00F33507" w:rsidRPr="00064185" w:rsidRDefault="00F33507" w:rsidP="00EA61D8">
                  <w:pPr>
                    <w:rPr>
                      <w:rFonts w:ascii="Calibri" w:hAnsi="Calibri"/>
                      <w:sz w:val="18"/>
                      <w:szCs w:val="18"/>
                      <w:lang w:val="en-US"/>
                    </w:rPr>
                  </w:pPr>
                  <w:r w:rsidRPr="00064185">
                    <w:rPr>
                      <w:rFonts w:ascii="Calibri" w:hAnsi="Calibri"/>
                      <w:sz w:val="18"/>
                      <w:szCs w:val="18"/>
                      <w:lang w:val="en-US"/>
                    </w:rPr>
                    <w:t>within 3 min</w:t>
                  </w:r>
                </w:p>
              </w:tc>
              <w:tc>
                <w:tcPr>
                  <w:tcW w:w="1701" w:type="dxa"/>
                  <w:tcBorders>
                    <w:bottom w:val="single" w:sz="4" w:space="0" w:color="auto"/>
                    <w:right w:val="single" w:sz="4" w:space="0" w:color="auto"/>
                  </w:tcBorders>
                  <w:vAlign w:val="center"/>
                  <w:hideMark/>
                </w:tcPr>
                <w:p w14:paraId="46FB31B0" w14:textId="77777777" w:rsidR="00F33507" w:rsidRPr="00064185" w:rsidRDefault="00F33507" w:rsidP="00EA61D8">
                  <w:pPr>
                    <w:rPr>
                      <w:rFonts w:ascii="Calibri" w:hAnsi="Calibri"/>
                      <w:sz w:val="18"/>
                      <w:szCs w:val="18"/>
                      <w:lang w:val="en-US"/>
                    </w:rPr>
                  </w:pPr>
                  <w:r w:rsidRPr="00064185">
                    <w:rPr>
                      <w:rFonts w:ascii="Calibri" w:hAnsi="Calibri"/>
                      <w:sz w:val="18"/>
                      <w:szCs w:val="18"/>
                      <w:lang w:val="en-US"/>
                    </w:rPr>
                    <w:t>20 min (e.g. glazed tiles) - 60 Min (e.g. vinyl flooring)</w:t>
                  </w:r>
                </w:p>
              </w:tc>
              <w:tc>
                <w:tcPr>
                  <w:tcW w:w="2091" w:type="dxa"/>
                  <w:tcBorders>
                    <w:bottom w:val="single" w:sz="4" w:space="0" w:color="auto"/>
                    <w:right w:val="single" w:sz="4" w:space="0" w:color="auto"/>
                  </w:tcBorders>
                  <w:noWrap/>
                  <w:vAlign w:val="center"/>
                  <w:hideMark/>
                </w:tcPr>
                <w:p w14:paraId="2DADF76B" w14:textId="77777777" w:rsidR="00F33507" w:rsidRPr="00064185" w:rsidRDefault="00F33507" w:rsidP="00EA61D8">
                  <w:pPr>
                    <w:rPr>
                      <w:rFonts w:ascii="Calibri" w:hAnsi="Calibri"/>
                      <w:sz w:val="18"/>
                      <w:szCs w:val="18"/>
                      <w:lang w:val="en-US"/>
                    </w:rPr>
                  </w:pPr>
                  <w:r w:rsidRPr="00064185">
                    <w:rPr>
                      <w:rFonts w:ascii="Calibri" w:hAnsi="Calibri"/>
                      <w:sz w:val="18"/>
                      <w:szCs w:val="18"/>
                      <w:lang w:val="en-US"/>
                    </w:rPr>
                    <w:t>at least 2 weeks</w:t>
                  </w:r>
                </w:p>
              </w:tc>
            </w:tr>
            <w:tr w:rsidR="00064185" w:rsidRPr="00064185" w14:paraId="111E41C3" w14:textId="77777777" w:rsidTr="00454F09">
              <w:trPr>
                <w:trHeight w:val="630"/>
              </w:trPr>
              <w:tc>
                <w:tcPr>
                  <w:tcW w:w="1078" w:type="dxa"/>
                  <w:tcBorders>
                    <w:left w:val="single" w:sz="4" w:space="0" w:color="auto"/>
                    <w:bottom w:val="single" w:sz="4" w:space="0" w:color="auto"/>
                    <w:right w:val="single" w:sz="4" w:space="0" w:color="auto"/>
                  </w:tcBorders>
                  <w:noWrap/>
                  <w:vAlign w:val="center"/>
                  <w:hideMark/>
                </w:tcPr>
                <w:p w14:paraId="518EFE89" w14:textId="77777777" w:rsidR="00F33507" w:rsidRPr="00064185" w:rsidRDefault="00F33507" w:rsidP="00EA61D8">
                  <w:pPr>
                    <w:rPr>
                      <w:rFonts w:ascii="Calibri" w:hAnsi="Calibri"/>
                      <w:b/>
                      <w:sz w:val="18"/>
                      <w:szCs w:val="18"/>
                      <w:lang w:val="en-US"/>
                    </w:rPr>
                  </w:pPr>
                  <w:r w:rsidRPr="00064185">
                    <w:rPr>
                      <w:rFonts w:ascii="Calibri" w:hAnsi="Calibri"/>
                      <w:b/>
                      <w:sz w:val="18"/>
                      <w:szCs w:val="18"/>
                      <w:lang w:val="en-US"/>
                    </w:rPr>
                    <w:t>Wood lice</w:t>
                  </w:r>
                </w:p>
              </w:tc>
              <w:tc>
                <w:tcPr>
                  <w:tcW w:w="1374" w:type="dxa"/>
                  <w:tcBorders>
                    <w:bottom w:val="single" w:sz="4" w:space="0" w:color="auto"/>
                    <w:right w:val="single" w:sz="4" w:space="0" w:color="auto"/>
                  </w:tcBorders>
                  <w:noWrap/>
                  <w:vAlign w:val="center"/>
                  <w:hideMark/>
                </w:tcPr>
                <w:p w14:paraId="75C79BEB" w14:textId="77777777" w:rsidR="00F33507" w:rsidRPr="00064185" w:rsidRDefault="00F33507" w:rsidP="00EA61D8">
                  <w:pPr>
                    <w:rPr>
                      <w:rFonts w:ascii="Calibri" w:hAnsi="Calibri"/>
                      <w:sz w:val="18"/>
                      <w:szCs w:val="18"/>
                      <w:lang w:val="en-US"/>
                    </w:rPr>
                  </w:pPr>
                  <w:r w:rsidRPr="00064185">
                    <w:rPr>
                      <w:rFonts w:ascii="Calibri" w:hAnsi="Calibri"/>
                      <w:sz w:val="18"/>
                      <w:szCs w:val="18"/>
                      <w:lang w:val="en-US"/>
                    </w:rPr>
                    <w:t xml:space="preserve">70% knock down efficacy was given within 15 minutes. </w:t>
                  </w:r>
                  <w:r w:rsidRPr="00064185">
                    <w:rPr>
                      <w:rFonts w:ascii="Calibri" w:hAnsi="Calibri"/>
                      <w:sz w:val="18"/>
                      <w:szCs w:val="18"/>
                      <w:lang w:val="en-US"/>
                    </w:rPr>
                    <w:br/>
                    <w:t>After 24 hours mortality was 100%</w:t>
                  </w:r>
                </w:p>
              </w:tc>
              <w:tc>
                <w:tcPr>
                  <w:tcW w:w="1701" w:type="dxa"/>
                  <w:tcBorders>
                    <w:bottom w:val="single" w:sz="4" w:space="0" w:color="auto"/>
                    <w:right w:val="single" w:sz="4" w:space="0" w:color="auto"/>
                  </w:tcBorders>
                  <w:vAlign w:val="center"/>
                  <w:hideMark/>
                </w:tcPr>
                <w:p w14:paraId="05B57186" w14:textId="77777777" w:rsidR="00F33507" w:rsidRPr="00064185" w:rsidRDefault="00F33507" w:rsidP="00EA61D8">
                  <w:pPr>
                    <w:rPr>
                      <w:rFonts w:ascii="Calibri" w:hAnsi="Calibri"/>
                      <w:sz w:val="18"/>
                      <w:szCs w:val="18"/>
                      <w:lang w:val="en-US"/>
                    </w:rPr>
                  </w:pPr>
                  <w:r w:rsidRPr="00064185">
                    <w:rPr>
                      <w:rFonts w:ascii="Calibri" w:hAnsi="Calibri"/>
                      <w:sz w:val="18"/>
                      <w:szCs w:val="18"/>
                      <w:lang w:val="en-US"/>
                    </w:rPr>
                    <w:t>2h (e.g. glazed tiles) - 24 h (e.g. vinyl flooring)</w:t>
                  </w:r>
                </w:p>
              </w:tc>
              <w:tc>
                <w:tcPr>
                  <w:tcW w:w="2091" w:type="dxa"/>
                  <w:tcBorders>
                    <w:bottom w:val="single" w:sz="4" w:space="0" w:color="auto"/>
                    <w:right w:val="single" w:sz="4" w:space="0" w:color="auto"/>
                  </w:tcBorders>
                  <w:noWrap/>
                  <w:vAlign w:val="center"/>
                  <w:hideMark/>
                </w:tcPr>
                <w:p w14:paraId="1CD0CB91" w14:textId="77777777" w:rsidR="00F33507" w:rsidRPr="00064185" w:rsidRDefault="00F33507" w:rsidP="00EA61D8">
                  <w:pPr>
                    <w:rPr>
                      <w:rFonts w:ascii="Calibri" w:hAnsi="Calibri"/>
                      <w:sz w:val="18"/>
                      <w:szCs w:val="18"/>
                    </w:rPr>
                  </w:pPr>
                  <w:r w:rsidRPr="00064185">
                    <w:rPr>
                      <w:rFonts w:ascii="Calibri" w:hAnsi="Calibri"/>
                      <w:sz w:val="18"/>
                      <w:szCs w:val="18"/>
                    </w:rPr>
                    <w:t>at least 26 weeks (</w:t>
                  </w:r>
                  <w:r w:rsidRPr="00064185">
                    <w:rPr>
                      <w:rFonts w:ascii="Calibri" w:hAnsi="Calibri"/>
                      <w:sz w:val="18"/>
                      <w:szCs w:val="18"/>
                      <w:lang w:val="en-US"/>
                    </w:rPr>
                    <w:t>vinyl flooring)</w:t>
                  </w:r>
                </w:p>
              </w:tc>
            </w:tr>
            <w:tr w:rsidR="00064185" w:rsidRPr="00064185" w14:paraId="0B48F56D" w14:textId="77777777" w:rsidTr="00454F09">
              <w:trPr>
                <w:trHeight w:val="630"/>
              </w:trPr>
              <w:tc>
                <w:tcPr>
                  <w:tcW w:w="1078" w:type="dxa"/>
                  <w:tcBorders>
                    <w:left w:val="single" w:sz="4" w:space="0" w:color="auto"/>
                    <w:bottom w:val="single" w:sz="4" w:space="0" w:color="auto"/>
                    <w:right w:val="single" w:sz="4" w:space="0" w:color="auto"/>
                  </w:tcBorders>
                  <w:noWrap/>
                  <w:vAlign w:val="center"/>
                  <w:hideMark/>
                </w:tcPr>
                <w:p w14:paraId="50CD7F46" w14:textId="77777777" w:rsidR="00F33507" w:rsidRPr="00064185" w:rsidRDefault="00F33507" w:rsidP="00EA61D8">
                  <w:pPr>
                    <w:rPr>
                      <w:rFonts w:ascii="Calibri" w:hAnsi="Calibri"/>
                      <w:b/>
                      <w:sz w:val="18"/>
                      <w:szCs w:val="18"/>
                    </w:rPr>
                  </w:pPr>
                  <w:r w:rsidRPr="00064185">
                    <w:rPr>
                      <w:rFonts w:ascii="Calibri" w:hAnsi="Calibri"/>
                      <w:b/>
                      <w:sz w:val="18"/>
                      <w:szCs w:val="18"/>
                    </w:rPr>
                    <w:t>Cockroaches</w:t>
                  </w:r>
                </w:p>
              </w:tc>
              <w:tc>
                <w:tcPr>
                  <w:tcW w:w="1374" w:type="dxa"/>
                  <w:tcBorders>
                    <w:bottom w:val="single" w:sz="4" w:space="0" w:color="auto"/>
                    <w:right w:val="single" w:sz="4" w:space="0" w:color="auto"/>
                  </w:tcBorders>
                  <w:noWrap/>
                  <w:vAlign w:val="center"/>
                  <w:hideMark/>
                </w:tcPr>
                <w:p w14:paraId="76988B6D" w14:textId="77777777" w:rsidR="00F33507" w:rsidRPr="00064185" w:rsidRDefault="00F33507" w:rsidP="00EA61D8">
                  <w:pPr>
                    <w:rPr>
                      <w:rFonts w:ascii="Calibri" w:hAnsi="Calibri"/>
                      <w:sz w:val="18"/>
                      <w:szCs w:val="18"/>
                    </w:rPr>
                  </w:pPr>
                  <w:r w:rsidRPr="00064185">
                    <w:rPr>
                      <w:rFonts w:ascii="Calibri" w:hAnsi="Calibri"/>
                      <w:sz w:val="18"/>
                      <w:szCs w:val="18"/>
                    </w:rPr>
                    <w:t>within 33 min (</w:t>
                  </w:r>
                  <w:r w:rsidRPr="00064185">
                    <w:rPr>
                      <w:rFonts w:ascii="Calibri" w:hAnsi="Calibri"/>
                      <w:i/>
                      <w:sz w:val="18"/>
                      <w:szCs w:val="18"/>
                    </w:rPr>
                    <w:t>Blatta orientalis</w:t>
                  </w:r>
                  <w:r w:rsidRPr="00064185">
                    <w:rPr>
                      <w:rFonts w:ascii="Calibri" w:hAnsi="Calibri"/>
                      <w:sz w:val="18"/>
                      <w:szCs w:val="18"/>
                    </w:rPr>
                    <w:t>)</w:t>
                  </w:r>
                </w:p>
              </w:tc>
              <w:tc>
                <w:tcPr>
                  <w:tcW w:w="1701" w:type="dxa"/>
                  <w:tcBorders>
                    <w:bottom w:val="single" w:sz="4" w:space="0" w:color="auto"/>
                    <w:right w:val="single" w:sz="4" w:space="0" w:color="auto"/>
                  </w:tcBorders>
                  <w:vAlign w:val="center"/>
                  <w:hideMark/>
                </w:tcPr>
                <w:p w14:paraId="5529BD1F" w14:textId="77777777" w:rsidR="00F33507" w:rsidRPr="00064185" w:rsidRDefault="00F33507" w:rsidP="00EA61D8">
                  <w:pPr>
                    <w:rPr>
                      <w:rFonts w:ascii="Calibri" w:hAnsi="Calibri"/>
                      <w:sz w:val="18"/>
                      <w:szCs w:val="18"/>
                      <w:lang w:val="en-US"/>
                    </w:rPr>
                  </w:pPr>
                  <w:r w:rsidRPr="00064185">
                    <w:rPr>
                      <w:rFonts w:ascii="Calibri" w:hAnsi="Calibri"/>
                      <w:sz w:val="18"/>
                      <w:szCs w:val="18"/>
                      <w:lang w:val="en-US"/>
                    </w:rPr>
                    <w:t>15 min (e.g. glazed tiles) - 36 h (e.g. vinyl flooring)</w:t>
                  </w:r>
                </w:p>
              </w:tc>
              <w:tc>
                <w:tcPr>
                  <w:tcW w:w="2091" w:type="dxa"/>
                  <w:tcBorders>
                    <w:bottom w:val="single" w:sz="4" w:space="0" w:color="auto"/>
                    <w:right w:val="single" w:sz="4" w:space="0" w:color="auto"/>
                  </w:tcBorders>
                  <w:vAlign w:val="center"/>
                  <w:hideMark/>
                </w:tcPr>
                <w:p w14:paraId="3D493716" w14:textId="77777777" w:rsidR="00F33507" w:rsidRPr="00064185" w:rsidRDefault="00F33507" w:rsidP="00EA61D8">
                  <w:pPr>
                    <w:rPr>
                      <w:rFonts w:ascii="Calibri" w:hAnsi="Calibri"/>
                      <w:sz w:val="18"/>
                      <w:szCs w:val="18"/>
                      <w:lang w:val="en-US"/>
                    </w:rPr>
                  </w:pPr>
                  <w:r w:rsidRPr="00064185">
                    <w:rPr>
                      <w:rFonts w:ascii="Calibri" w:hAnsi="Calibri"/>
                      <w:sz w:val="18"/>
                      <w:szCs w:val="18"/>
                      <w:lang w:val="en-US"/>
                    </w:rPr>
                    <w:t>at least 24 weeks (e.g. glazed tiles)</w:t>
                  </w:r>
                </w:p>
                <w:p w14:paraId="3CD32541" w14:textId="77777777" w:rsidR="00F33507" w:rsidRPr="00064185" w:rsidRDefault="00F33507" w:rsidP="00EA61D8">
                  <w:pPr>
                    <w:rPr>
                      <w:rFonts w:ascii="Calibri" w:hAnsi="Calibri"/>
                      <w:sz w:val="18"/>
                      <w:szCs w:val="18"/>
                      <w:lang w:val="en-US"/>
                    </w:rPr>
                  </w:pPr>
                  <w:r w:rsidRPr="00064185">
                    <w:rPr>
                      <w:rFonts w:ascii="Calibri" w:hAnsi="Calibri"/>
                      <w:sz w:val="18"/>
                      <w:szCs w:val="18"/>
                      <w:lang w:val="en-US"/>
                    </w:rPr>
                    <w:t>at least 1-6 week (e.g. vinyl flooring)</w:t>
                  </w:r>
                </w:p>
              </w:tc>
            </w:tr>
          </w:tbl>
          <w:p w14:paraId="08FBFCAA" w14:textId="77777777" w:rsidR="00F33507" w:rsidRPr="00064185" w:rsidRDefault="00F33507" w:rsidP="00EA61D8">
            <w:pPr>
              <w:rPr>
                <w:lang w:val="en-US"/>
              </w:rPr>
            </w:pPr>
          </w:p>
        </w:tc>
      </w:tr>
      <w:tr w:rsidR="00064185" w:rsidRPr="00064185" w14:paraId="4F8F9629" w14:textId="77777777" w:rsidTr="00454F09">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F19725D" w14:textId="77777777" w:rsidR="00F33507" w:rsidRPr="00064185" w:rsidRDefault="00F33507" w:rsidP="00EA61D8">
            <w:pPr>
              <w:spacing w:line="260" w:lineRule="atLeast"/>
              <w:rPr>
                <w:rFonts w:eastAsia="Calibri"/>
                <w:bCs/>
                <w:lang w:val="de-DE" w:eastAsia="en-US"/>
              </w:rPr>
            </w:pPr>
            <w:r w:rsidRPr="00064185">
              <w:rPr>
                <w:rFonts w:eastAsia="Calibri"/>
                <w:bCs/>
                <w:lang w:eastAsia="en-US"/>
              </w:rPr>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4E4531AD" w14:textId="77777777" w:rsidR="00F33507" w:rsidRPr="00064185" w:rsidRDefault="00F33507" w:rsidP="00EA61D8">
            <w:pPr>
              <w:spacing w:line="260" w:lineRule="atLeast"/>
              <w:rPr>
                <w:rFonts w:eastAsia="Calibri"/>
                <w:bCs/>
                <w:lang w:val="de-DE" w:eastAsia="en-US"/>
              </w:rPr>
            </w:pPr>
            <w:r w:rsidRPr="00064185">
              <w:rPr>
                <w:bCs/>
                <w:szCs w:val="24"/>
              </w:rPr>
              <w:t>General public (non-professional)</w:t>
            </w:r>
          </w:p>
        </w:tc>
      </w:tr>
      <w:tr w:rsidR="00F33507" w:rsidRPr="00064185" w14:paraId="7642F4BA" w14:textId="77777777" w:rsidTr="00454F09">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2807457" w14:textId="77777777" w:rsidR="00F33507" w:rsidRPr="00064185" w:rsidRDefault="00F33507" w:rsidP="00EA61D8">
            <w:pPr>
              <w:spacing w:line="260" w:lineRule="atLeast"/>
              <w:rPr>
                <w:rFonts w:eastAsia="Calibri"/>
                <w:bCs/>
                <w:lang w:val="en-US" w:eastAsia="en-US"/>
              </w:rPr>
            </w:pPr>
            <w:r w:rsidRPr="00064185">
              <w:rPr>
                <w:rFonts w:eastAsia="Calibri"/>
                <w:bCs/>
                <w:lang w:eastAsia="en-US"/>
              </w:rPr>
              <w:t>Pack sizes and packaging material</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24FC1875" w14:textId="77777777" w:rsidR="00F33507" w:rsidRPr="00064185" w:rsidRDefault="00F33507" w:rsidP="00EA61D8">
            <w:pPr>
              <w:spacing w:line="260" w:lineRule="atLeast"/>
              <w:rPr>
                <w:rFonts w:eastAsia="Calibri"/>
                <w:bCs/>
                <w:lang w:eastAsia="en-US"/>
              </w:rPr>
            </w:pPr>
            <w:r w:rsidRPr="00064185">
              <w:t>Please see the relevant section.</w:t>
            </w:r>
          </w:p>
        </w:tc>
      </w:tr>
    </w:tbl>
    <w:p w14:paraId="01B37491" w14:textId="77777777" w:rsidR="00F33507" w:rsidRPr="00064185" w:rsidRDefault="00F33507" w:rsidP="00EA61D8">
      <w:pPr>
        <w:spacing w:line="260" w:lineRule="atLeast"/>
        <w:rPr>
          <w:rFonts w:eastAsia="Calibri"/>
          <w:lang w:eastAsia="en-US"/>
        </w:rPr>
      </w:pPr>
    </w:p>
    <w:p w14:paraId="2E19CEA5" w14:textId="77777777" w:rsidR="00F33507" w:rsidRPr="00064185" w:rsidRDefault="00F33507" w:rsidP="00EA61D8">
      <w:pPr>
        <w:pStyle w:val="Beschriftung"/>
        <w:spacing w:after="0"/>
        <w:ind w:left="0" w:firstLine="0"/>
        <w:rPr>
          <w:rFonts w:ascii="Verdana" w:hAnsi="Verdana"/>
          <w:b/>
          <w:sz w:val="22"/>
          <w:szCs w:val="22"/>
        </w:rPr>
      </w:pPr>
    </w:p>
    <w:p w14:paraId="6CA1B9AC" w14:textId="77777777" w:rsidR="00F33507" w:rsidRPr="00064185" w:rsidRDefault="00F33507" w:rsidP="00EA61D8">
      <w:pPr>
        <w:pStyle w:val="Beschriftung"/>
        <w:spacing w:after="0"/>
        <w:ind w:left="0" w:firstLine="0"/>
        <w:rPr>
          <w:rFonts w:ascii="Verdana" w:hAnsi="Verdana"/>
          <w:b/>
          <w:sz w:val="22"/>
          <w:szCs w:val="22"/>
        </w:rPr>
      </w:pPr>
    </w:p>
    <w:p w14:paraId="2A850158" w14:textId="6B8F3DBC" w:rsidR="00C65753" w:rsidRPr="00064185" w:rsidRDefault="00C65753" w:rsidP="00EA61D8">
      <w:pPr>
        <w:pStyle w:val="Beschriftung"/>
        <w:spacing w:after="0"/>
        <w:ind w:left="0" w:firstLine="0"/>
        <w:rPr>
          <w:rFonts w:ascii="Verdana" w:hAnsi="Verdana"/>
          <w:b/>
          <w:sz w:val="22"/>
          <w:szCs w:val="22"/>
        </w:rPr>
      </w:pPr>
    </w:p>
    <w:p w14:paraId="052AD644" w14:textId="77777777" w:rsidR="00C65753" w:rsidRPr="00064185" w:rsidRDefault="00C65753" w:rsidP="00EA61D8">
      <w:pPr>
        <w:pStyle w:val="Absatz"/>
        <w:rPr>
          <w:rFonts w:eastAsia="Calibri"/>
          <w:lang w:eastAsia="en-US"/>
        </w:rPr>
      </w:pPr>
    </w:p>
    <w:p w14:paraId="4C54B0B3" w14:textId="77777777" w:rsidR="00D17FEC" w:rsidRPr="00064185" w:rsidRDefault="00D17FEC" w:rsidP="00EA61D8">
      <w:pPr>
        <w:spacing w:line="260" w:lineRule="atLeast"/>
        <w:rPr>
          <w:rFonts w:eastAsia="Calibri"/>
          <w:b/>
          <w:sz w:val="24"/>
          <w:lang w:eastAsia="en-US"/>
        </w:rPr>
      </w:pPr>
    </w:p>
    <w:p w14:paraId="6F54B220" w14:textId="77777777" w:rsidR="00F33507" w:rsidRPr="00064185" w:rsidRDefault="00F33507" w:rsidP="00EA61D8">
      <w:pPr>
        <w:spacing w:line="260" w:lineRule="atLeast"/>
        <w:rPr>
          <w:rFonts w:eastAsia="Calibri"/>
          <w:b/>
          <w:sz w:val="22"/>
          <w:lang w:eastAsia="en-US"/>
        </w:rPr>
      </w:pPr>
      <w:r w:rsidRPr="00064185">
        <w:rPr>
          <w:rFonts w:eastAsia="Calibri"/>
          <w:b/>
          <w:sz w:val="22"/>
          <w:lang w:eastAsia="en-US"/>
        </w:rPr>
        <w:t>Table 2: Use 2 – Insecticide – garden ants – general public – spraying - outdoor</w:t>
      </w:r>
    </w:p>
    <w:tbl>
      <w:tblPr>
        <w:tblW w:w="5000" w:type="pct"/>
        <w:tblCellMar>
          <w:left w:w="0" w:type="dxa"/>
          <w:right w:w="0" w:type="dxa"/>
        </w:tblCellMar>
        <w:tblLook w:val="04A0" w:firstRow="1" w:lastRow="0" w:firstColumn="1" w:lastColumn="0" w:noHBand="0" w:noVBand="1"/>
      </w:tblPr>
      <w:tblGrid>
        <w:gridCol w:w="2788"/>
        <w:gridCol w:w="6506"/>
      </w:tblGrid>
      <w:tr w:rsidR="00064185" w:rsidRPr="00064185" w14:paraId="7140C658" w14:textId="77777777" w:rsidTr="00454F09">
        <w:trPr>
          <w:cantSplit/>
        </w:trPr>
        <w:tc>
          <w:tcPr>
            <w:tcW w:w="1500" w:type="pct"/>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hideMark/>
          </w:tcPr>
          <w:p w14:paraId="1F427B4D" w14:textId="77777777" w:rsidR="00F33507" w:rsidRPr="00064185" w:rsidRDefault="00F33507" w:rsidP="00EA61D8">
            <w:pPr>
              <w:spacing w:line="260" w:lineRule="atLeast"/>
              <w:rPr>
                <w:rFonts w:eastAsia="Calibri"/>
                <w:bCs/>
                <w:lang w:val="de-DE" w:eastAsia="en-US"/>
              </w:rPr>
            </w:pPr>
            <w:r w:rsidRPr="00064185">
              <w:rPr>
                <w:rFonts w:eastAsia="Calibri"/>
                <w:bCs/>
                <w:lang w:eastAsia="en-US"/>
              </w:rPr>
              <w:t>Product Type</w:t>
            </w:r>
          </w:p>
        </w:tc>
        <w:tc>
          <w:tcPr>
            <w:tcW w:w="3500" w:type="pct"/>
            <w:tcBorders>
              <w:top w:val="single" w:sz="4" w:space="0" w:color="000000"/>
              <w:left w:val="nil"/>
              <w:bottom w:val="single" w:sz="4" w:space="0" w:color="000000"/>
              <w:right w:val="single" w:sz="4" w:space="0" w:color="000000"/>
            </w:tcBorders>
            <w:shd w:val="clear" w:color="auto" w:fill="FFFFCC"/>
            <w:tcMar>
              <w:top w:w="40" w:type="dxa"/>
              <w:left w:w="40" w:type="dxa"/>
              <w:bottom w:w="40" w:type="dxa"/>
              <w:right w:w="40" w:type="dxa"/>
            </w:tcMar>
          </w:tcPr>
          <w:p w14:paraId="5480EE3F" w14:textId="77777777" w:rsidR="00F33507" w:rsidRPr="00064185" w:rsidRDefault="00F33507" w:rsidP="00EA61D8">
            <w:pPr>
              <w:spacing w:line="260" w:lineRule="atLeast"/>
              <w:rPr>
                <w:rFonts w:eastAsia="Calibri"/>
                <w:bCs/>
                <w:lang w:eastAsia="en-US"/>
              </w:rPr>
            </w:pPr>
            <w:r w:rsidRPr="00064185">
              <w:rPr>
                <w:rFonts w:eastAsia="Calibri"/>
                <w:bCs/>
                <w:lang w:eastAsia="en-US"/>
              </w:rPr>
              <w:t>PT 18 Insecticides, acaricides and products to control other arthropods (Pest control)</w:t>
            </w:r>
          </w:p>
        </w:tc>
      </w:tr>
      <w:tr w:rsidR="00064185" w:rsidRPr="00064185" w14:paraId="2BAEAE50" w14:textId="77777777" w:rsidTr="00454F09">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D06078B" w14:textId="77777777" w:rsidR="00F33507" w:rsidRPr="00064185" w:rsidRDefault="00F33507" w:rsidP="00EA61D8">
            <w:pPr>
              <w:spacing w:line="260" w:lineRule="atLeast"/>
              <w:rPr>
                <w:rFonts w:eastAsia="Calibri"/>
                <w:bCs/>
                <w:lang w:val="en-US" w:eastAsia="en-US"/>
              </w:rPr>
            </w:pPr>
            <w:r w:rsidRPr="00064185">
              <w:rPr>
                <w:rFonts w:eastAsia="Calibri"/>
                <w:bCs/>
                <w:lang w:eastAsia="en-US"/>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4B5C36CA" w14:textId="77777777" w:rsidR="00F33507" w:rsidRPr="00064185" w:rsidRDefault="00F33507" w:rsidP="00EA61D8">
            <w:pPr>
              <w:rPr>
                <w:rFonts w:eastAsia="Calibri"/>
                <w:bCs/>
                <w:lang w:eastAsia="en-US"/>
              </w:rPr>
            </w:pPr>
            <w:r w:rsidRPr="00064185">
              <w:rPr>
                <w:rFonts w:eastAsia="Calibri"/>
                <w:bCs/>
                <w:lang w:eastAsia="en-US"/>
              </w:rPr>
              <w:t>Insecticide</w:t>
            </w:r>
          </w:p>
        </w:tc>
      </w:tr>
      <w:tr w:rsidR="00064185" w:rsidRPr="00064185" w14:paraId="6F56FC64" w14:textId="77777777" w:rsidTr="00454F09">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761FF1D" w14:textId="77777777" w:rsidR="00F33507" w:rsidRPr="00064185" w:rsidRDefault="00F33507" w:rsidP="00EA61D8">
            <w:pPr>
              <w:spacing w:line="260" w:lineRule="atLeast"/>
              <w:rPr>
                <w:rFonts w:eastAsia="Calibri"/>
                <w:bCs/>
                <w:lang w:val="en-US" w:eastAsia="en-US"/>
              </w:rPr>
            </w:pPr>
            <w:r w:rsidRPr="00064185">
              <w:rPr>
                <w:rFonts w:eastAsia="Calibri"/>
                <w:bCs/>
                <w:lang w:eastAsia="en-US"/>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584E363" w14:textId="77777777" w:rsidR="00F33507" w:rsidRPr="00064185" w:rsidRDefault="00F33507" w:rsidP="00EA61D8">
            <w:pPr>
              <w:rPr>
                <w:bCs/>
                <w:szCs w:val="24"/>
                <w:lang w:val="en-US"/>
              </w:rPr>
            </w:pPr>
            <w:r w:rsidRPr="00064185">
              <w:rPr>
                <w:bCs/>
                <w:szCs w:val="24"/>
                <w:lang w:val="en-US"/>
              </w:rPr>
              <w:t xml:space="preserve">Scientific name: Formicinae: </w:t>
            </w:r>
            <w:r w:rsidRPr="00CD287F">
              <w:rPr>
                <w:bCs/>
                <w:i/>
                <w:szCs w:val="24"/>
                <w:lang w:val="en-US"/>
              </w:rPr>
              <w:t>Lasius niger</w:t>
            </w:r>
          </w:p>
          <w:p w14:paraId="46141D5D" w14:textId="77777777" w:rsidR="00F33507" w:rsidRPr="00064185" w:rsidRDefault="00F33507" w:rsidP="00EA61D8">
            <w:pPr>
              <w:rPr>
                <w:bCs/>
                <w:szCs w:val="24"/>
                <w:lang w:val="en-US"/>
              </w:rPr>
            </w:pPr>
            <w:r w:rsidRPr="00064185">
              <w:rPr>
                <w:bCs/>
                <w:szCs w:val="24"/>
                <w:lang w:val="en-US"/>
              </w:rPr>
              <w:t xml:space="preserve">Common name: </w:t>
            </w:r>
            <w:r w:rsidRPr="00064185">
              <w:rPr>
                <w:b/>
                <w:bCs/>
                <w:szCs w:val="24"/>
                <w:lang w:val="en-US"/>
              </w:rPr>
              <w:t>garden ant</w:t>
            </w:r>
          </w:p>
          <w:p w14:paraId="0CB74ECE" w14:textId="77777777" w:rsidR="00F33507" w:rsidRPr="00064185" w:rsidRDefault="00F33507" w:rsidP="00EA61D8">
            <w:pPr>
              <w:rPr>
                <w:bCs/>
                <w:szCs w:val="24"/>
                <w:lang w:val="en-US"/>
              </w:rPr>
            </w:pPr>
            <w:r w:rsidRPr="00064185">
              <w:rPr>
                <w:bCs/>
                <w:szCs w:val="24"/>
                <w:lang w:val="en-US"/>
              </w:rPr>
              <w:t>Development stage: ant colony</w:t>
            </w:r>
          </w:p>
        </w:tc>
      </w:tr>
      <w:tr w:rsidR="00064185" w:rsidRPr="00064185" w14:paraId="1637FB53" w14:textId="77777777" w:rsidTr="00454F09">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71D7412" w14:textId="77777777" w:rsidR="00F33507" w:rsidRPr="00064185" w:rsidRDefault="00F33507" w:rsidP="00EA61D8">
            <w:pPr>
              <w:spacing w:line="260" w:lineRule="atLeast"/>
              <w:rPr>
                <w:rFonts w:eastAsia="Calibri"/>
                <w:bCs/>
                <w:lang w:val="de-DE" w:eastAsia="en-US"/>
              </w:rPr>
            </w:pPr>
            <w:r w:rsidRPr="00064185">
              <w:rPr>
                <w:rFonts w:eastAsia="Calibri"/>
                <w:bCs/>
                <w:lang w:eastAsia="en-US"/>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FFADE89" w14:textId="77777777" w:rsidR="00F33507" w:rsidRPr="00064185" w:rsidRDefault="00F33507" w:rsidP="00EA61D8">
            <w:pPr>
              <w:spacing w:line="260" w:lineRule="atLeast"/>
              <w:rPr>
                <w:rFonts w:eastAsia="Calibri"/>
                <w:bCs/>
                <w:lang w:eastAsia="en-US"/>
              </w:rPr>
            </w:pPr>
            <w:r w:rsidRPr="00064185">
              <w:rPr>
                <w:rFonts w:eastAsia="Calibri"/>
                <w:bCs/>
                <w:lang w:eastAsia="en-US"/>
              </w:rPr>
              <w:t>Outdoor use</w:t>
            </w:r>
          </w:p>
        </w:tc>
      </w:tr>
      <w:tr w:rsidR="00064185" w:rsidRPr="00064185" w14:paraId="317AE10E" w14:textId="77777777" w:rsidTr="00454F09">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CB1528D" w14:textId="77777777" w:rsidR="00F33507" w:rsidRPr="00064185" w:rsidRDefault="00F33507" w:rsidP="00EA61D8">
            <w:pPr>
              <w:spacing w:line="260" w:lineRule="atLeast"/>
              <w:rPr>
                <w:rFonts w:eastAsia="Calibri"/>
                <w:bCs/>
                <w:lang w:val="de-DE" w:eastAsia="en-US"/>
              </w:rPr>
            </w:pPr>
            <w:r w:rsidRPr="00064185">
              <w:rPr>
                <w:rFonts w:eastAsia="Calibri"/>
                <w:bCs/>
                <w:lang w:eastAsia="en-US"/>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9B8DC4A" w14:textId="77777777" w:rsidR="00F33507" w:rsidRPr="00064185" w:rsidRDefault="00F33507" w:rsidP="00EA61D8">
            <w:pPr>
              <w:rPr>
                <w:bCs/>
                <w:szCs w:val="24"/>
                <w:lang w:val="en-US"/>
              </w:rPr>
            </w:pPr>
            <w:r w:rsidRPr="00064185">
              <w:rPr>
                <w:bCs/>
                <w:szCs w:val="24"/>
                <w:u w:val="single"/>
                <w:lang w:val="en-US"/>
              </w:rPr>
              <w:t>Method of application:</w:t>
            </w:r>
            <w:r w:rsidRPr="00064185">
              <w:rPr>
                <w:lang w:val="en-US"/>
              </w:rPr>
              <w:t xml:space="preserve"> </w:t>
            </w:r>
            <w:r w:rsidRPr="00064185">
              <w:rPr>
                <w:b/>
                <w:bCs/>
                <w:szCs w:val="24"/>
                <w:lang w:val="en-US"/>
              </w:rPr>
              <w:t>spraying</w:t>
            </w:r>
          </w:p>
          <w:p w14:paraId="03E7E079" w14:textId="77777777" w:rsidR="00F33507" w:rsidRPr="00064185" w:rsidRDefault="00F33507" w:rsidP="00EA61D8">
            <w:pPr>
              <w:rPr>
                <w:bCs/>
                <w:szCs w:val="24"/>
                <w:lang w:val="en-US"/>
              </w:rPr>
            </w:pPr>
          </w:p>
          <w:p w14:paraId="719B3069" w14:textId="77777777" w:rsidR="00F33507" w:rsidRPr="00064185" w:rsidRDefault="00F33507" w:rsidP="00EA61D8">
            <w:pPr>
              <w:rPr>
                <w:lang w:val="en-US"/>
              </w:rPr>
            </w:pPr>
            <w:r w:rsidRPr="00064185">
              <w:rPr>
                <w:bCs/>
                <w:szCs w:val="24"/>
                <w:u w:val="single"/>
                <w:lang w:val="en-US"/>
              </w:rPr>
              <w:t>Detailed description of the method:</w:t>
            </w:r>
          </w:p>
          <w:p w14:paraId="699D1DA9" w14:textId="77777777" w:rsidR="00F33507" w:rsidRPr="00064185" w:rsidRDefault="00F33507" w:rsidP="00EA61D8">
            <w:pPr>
              <w:rPr>
                <w:lang w:val="en-US"/>
              </w:rPr>
            </w:pPr>
            <w:r w:rsidRPr="00064185">
              <w:rPr>
                <w:bCs/>
                <w:szCs w:val="24"/>
                <w:lang w:val="en-US"/>
              </w:rPr>
              <w:t xml:space="preserve">Application is conducted on the target organism or on spots of </w:t>
            </w:r>
            <w:r w:rsidRPr="00064185">
              <w:rPr>
                <w:lang w:val="en-US"/>
              </w:rPr>
              <w:t>ground area</w:t>
            </w:r>
            <w:r w:rsidRPr="00064185">
              <w:rPr>
                <w:bCs/>
                <w:szCs w:val="24"/>
                <w:lang w:val="en-US"/>
              </w:rPr>
              <w:t xml:space="preserve"> where target organisms have been observed.</w:t>
            </w:r>
          </w:p>
          <w:p w14:paraId="4B87BD6D" w14:textId="12B009B4" w:rsidR="00F33507" w:rsidRPr="00064185" w:rsidRDefault="00F33507" w:rsidP="00EA61D8">
            <w:pPr>
              <w:rPr>
                <w:lang w:val="en-US"/>
              </w:rPr>
            </w:pPr>
            <w:r w:rsidRPr="00064185">
              <w:rPr>
                <w:bCs/>
                <w:szCs w:val="24"/>
                <w:lang w:val="en-US"/>
              </w:rPr>
              <w:t>For killing ant nests, COM 116 02 I AL is sprayed on routes and nest entries of ants. T</w:t>
            </w:r>
            <w:r w:rsidRPr="00064185">
              <w:rPr>
                <w:rFonts w:eastAsia="Calibri"/>
                <w:lang w:eastAsia="en-US"/>
              </w:rPr>
              <w:t xml:space="preserve">he product shall only be applied </w:t>
            </w:r>
            <w:r w:rsidRPr="00064185">
              <w:rPr>
                <w:bCs/>
                <w:szCs w:val="24"/>
                <w:lang w:val="en-US"/>
              </w:rPr>
              <w:t xml:space="preserve">on paved surfaces </w:t>
            </w:r>
            <w:r w:rsidR="00775BEC" w:rsidRPr="00064185">
              <w:rPr>
                <w:bCs/>
                <w:szCs w:val="24"/>
                <w:lang w:val="en-US"/>
              </w:rPr>
              <w:t>like terraces</w:t>
            </w:r>
            <w:r w:rsidRPr="00064185">
              <w:rPr>
                <w:bCs/>
                <w:szCs w:val="24"/>
                <w:lang w:val="en-US"/>
              </w:rPr>
              <w:t>. Best application time is in the morning or evening when ants are staying in the nests.</w:t>
            </w:r>
          </w:p>
        </w:tc>
      </w:tr>
      <w:tr w:rsidR="00064185" w:rsidRPr="00064185" w14:paraId="6823ED8A" w14:textId="77777777" w:rsidTr="00454F09">
        <w:trPr>
          <w:cantSplit/>
        </w:trPr>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218A37C" w14:textId="77777777" w:rsidR="00F33507" w:rsidRPr="00064185" w:rsidRDefault="00F33507" w:rsidP="00EA61D8">
            <w:pPr>
              <w:spacing w:line="260" w:lineRule="atLeast"/>
              <w:rPr>
                <w:rFonts w:eastAsia="Calibri"/>
                <w:bCs/>
                <w:lang w:val="en-US" w:eastAsia="en-US"/>
              </w:rPr>
            </w:pPr>
            <w:r w:rsidRPr="00064185">
              <w:rPr>
                <w:rFonts w:eastAsia="Calibri"/>
                <w:bCs/>
                <w:lang w:eastAsia="en-US"/>
              </w:rPr>
              <w:t>Application rate(s) and frequency</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644BE3E" w14:textId="77777777" w:rsidR="00F33507" w:rsidRPr="00064185" w:rsidRDefault="00F33507" w:rsidP="00EA61D8">
            <w:pPr>
              <w:rPr>
                <w:b/>
                <w:bCs/>
                <w:szCs w:val="24"/>
                <w:lang w:val="en-US"/>
              </w:rPr>
            </w:pPr>
            <w:r w:rsidRPr="00064185">
              <w:rPr>
                <w:b/>
                <w:bCs/>
                <w:szCs w:val="24"/>
                <w:lang w:val="en-US"/>
              </w:rPr>
              <w:t>The application rate:</w:t>
            </w:r>
          </w:p>
          <w:p w14:paraId="6642FD1B" w14:textId="77777777" w:rsidR="00F33507" w:rsidRPr="00064185" w:rsidRDefault="00F33507" w:rsidP="00EA61D8">
            <w:pPr>
              <w:rPr>
                <w:bCs/>
                <w:szCs w:val="24"/>
                <w:lang w:val="en-US"/>
              </w:rPr>
            </w:pPr>
            <w:r w:rsidRPr="00064185">
              <w:rPr>
                <w:bCs/>
                <w:szCs w:val="24"/>
                <w:lang w:val="en-US"/>
              </w:rPr>
              <w:t>10 strokes for 1 m route correspond to 10 g product</w:t>
            </w:r>
          </w:p>
          <w:p w14:paraId="32F4D192" w14:textId="77777777" w:rsidR="00F33507" w:rsidRPr="00064185" w:rsidRDefault="00F33507" w:rsidP="00EA61D8">
            <w:pPr>
              <w:rPr>
                <w:bCs/>
                <w:szCs w:val="24"/>
              </w:rPr>
            </w:pPr>
          </w:p>
          <w:p w14:paraId="7518A2EE" w14:textId="77777777" w:rsidR="00F33507" w:rsidRPr="00064185" w:rsidRDefault="00F33507" w:rsidP="00EA61D8">
            <w:pPr>
              <w:rPr>
                <w:bCs/>
                <w:szCs w:val="24"/>
                <w:lang w:val="en-US"/>
              </w:rPr>
            </w:pPr>
            <w:r w:rsidRPr="00064185">
              <w:rPr>
                <w:b/>
                <w:bCs/>
                <w:szCs w:val="24"/>
                <w:lang w:val="en-US"/>
              </w:rPr>
              <w:t xml:space="preserve">Number and timing of application: </w:t>
            </w:r>
            <w:r w:rsidRPr="00064185">
              <w:rPr>
                <w:bCs/>
                <w:szCs w:val="24"/>
                <w:lang w:val="en-US"/>
              </w:rPr>
              <w:t>One application provides long-lasting protection (s. table below) if left until no insects appear any longer. Treated areas should be protected from cleaning to provide the long lasting effect of the product.</w:t>
            </w:r>
          </w:p>
          <w:tbl>
            <w:tblPr>
              <w:tblW w:w="6244" w:type="dxa"/>
              <w:tblCellMar>
                <w:left w:w="70" w:type="dxa"/>
                <w:right w:w="70" w:type="dxa"/>
              </w:tblCellMar>
              <w:tblLook w:val="04A0" w:firstRow="1" w:lastRow="0" w:firstColumn="1" w:lastColumn="0" w:noHBand="0" w:noVBand="1"/>
            </w:tblPr>
            <w:tblGrid>
              <w:gridCol w:w="1078"/>
              <w:gridCol w:w="1134"/>
              <w:gridCol w:w="1582"/>
              <w:gridCol w:w="2450"/>
            </w:tblGrid>
            <w:tr w:rsidR="00064185" w:rsidRPr="00064185" w14:paraId="72095C8D" w14:textId="77777777" w:rsidTr="00454F09">
              <w:trPr>
                <w:trHeight w:val="630"/>
              </w:trPr>
              <w:tc>
                <w:tcPr>
                  <w:tcW w:w="107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D2F7CF2" w14:textId="77777777" w:rsidR="00F33507" w:rsidRPr="00064185" w:rsidRDefault="00F33507" w:rsidP="00EA61D8">
                  <w:pPr>
                    <w:rPr>
                      <w:rFonts w:ascii="Calibri" w:hAnsi="Calibri"/>
                      <w:b/>
                      <w:sz w:val="18"/>
                      <w:szCs w:val="18"/>
                    </w:rPr>
                  </w:pPr>
                  <w:r w:rsidRPr="00064185">
                    <w:rPr>
                      <w:rFonts w:ascii="Calibri" w:hAnsi="Calibri"/>
                      <w:b/>
                      <w:sz w:val="18"/>
                      <w:szCs w:val="18"/>
                    </w:rPr>
                    <w:t>Pest species</w:t>
                  </w:r>
                </w:p>
              </w:tc>
              <w:tc>
                <w:tcPr>
                  <w:tcW w:w="1134" w:type="dxa"/>
                  <w:tcBorders>
                    <w:top w:val="single" w:sz="4" w:space="0" w:color="auto"/>
                    <w:bottom w:val="single" w:sz="4" w:space="0" w:color="auto"/>
                    <w:right w:val="single" w:sz="4" w:space="0" w:color="auto"/>
                  </w:tcBorders>
                  <w:shd w:val="clear" w:color="000000" w:fill="F2F2F2"/>
                  <w:vAlign w:val="center"/>
                  <w:hideMark/>
                </w:tcPr>
                <w:p w14:paraId="31D92CC0" w14:textId="77777777" w:rsidR="00F33507" w:rsidRPr="00064185" w:rsidRDefault="00F33507" w:rsidP="00EA61D8">
                  <w:pPr>
                    <w:rPr>
                      <w:rFonts w:ascii="Calibri" w:hAnsi="Calibri"/>
                      <w:b/>
                      <w:sz w:val="18"/>
                      <w:szCs w:val="18"/>
                      <w:lang w:val="en-US"/>
                    </w:rPr>
                  </w:pPr>
                  <w:r w:rsidRPr="00064185">
                    <w:rPr>
                      <w:rFonts w:ascii="Calibri" w:hAnsi="Calibri"/>
                      <w:b/>
                      <w:sz w:val="18"/>
                      <w:szCs w:val="18"/>
                      <w:lang w:val="en-US"/>
                    </w:rPr>
                    <w:t>Knockdown after direct application on pest species</w:t>
                  </w:r>
                </w:p>
              </w:tc>
              <w:tc>
                <w:tcPr>
                  <w:tcW w:w="1582" w:type="dxa"/>
                  <w:tcBorders>
                    <w:top w:val="single" w:sz="4" w:space="0" w:color="auto"/>
                    <w:bottom w:val="single" w:sz="4" w:space="0" w:color="auto"/>
                    <w:right w:val="single" w:sz="4" w:space="0" w:color="auto"/>
                  </w:tcBorders>
                  <w:shd w:val="clear" w:color="000000" w:fill="F2F2F2"/>
                  <w:vAlign w:val="center"/>
                  <w:hideMark/>
                </w:tcPr>
                <w:p w14:paraId="73969D9C" w14:textId="77777777" w:rsidR="00F33507" w:rsidRPr="00064185" w:rsidRDefault="00F33507" w:rsidP="00EA61D8">
                  <w:pPr>
                    <w:rPr>
                      <w:rFonts w:ascii="Calibri" w:hAnsi="Calibri"/>
                      <w:b/>
                      <w:sz w:val="18"/>
                      <w:szCs w:val="18"/>
                      <w:lang w:val="en-US"/>
                    </w:rPr>
                  </w:pPr>
                  <w:r w:rsidRPr="00064185">
                    <w:rPr>
                      <w:rFonts w:ascii="Calibri" w:hAnsi="Calibri"/>
                      <w:b/>
                      <w:sz w:val="18"/>
                      <w:szCs w:val="18"/>
                      <w:lang w:val="en-US"/>
                    </w:rPr>
                    <w:t>Time until 100% control (treatment of surface area)</w:t>
                  </w:r>
                </w:p>
              </w:tc>
              <w:tc>
                <w:tcPr>
                  <w:tcW w:w="2450" w:type="dxa"/>
                  <w:tcBorders>
                    <w:top w:val="single" w:sz="4" w:space="0" w:color="auto"/>
                    <w:bottom w:val="single" w:sz="4" w:space="0" w:color="auto"/>
                    <w:right w:val="single" w:sz="4" w:space="0" w:color="auto"/>
                  </w:tcBorders>
                  <w:shd w:val="clear" w:color="000000" w:fill="F2F2F2"/>
                  <w:vAlign w:val="center"/>
                  <w:hideMark/>
                </w:tcPr>
                <w:p w14:paraId="74295E08" w14:textId="77777777" w:rsidR="00F33507" w:rsidRPr="00064185" w:rsidRDefault="00F33507" w:rsidP="00EA61D8">
                  <w:pPr>
                    <w:rPr>
                      <w:rFonts w:ascii="Calibri" w:hAnsi="Calibri"/>
                      <w:b/>
                      <w:sz w:val="18"/>
                      <w:szCs w:val="18"/>
                      <w:lang w:val="en-US"/>
                    </w:rPr>
                  </w:pPr>
                  <w:r w:rsidRPr="00064185">
                    <w:rPr>
                      <w:rFonts w:ascii="Calibri" w:hAnsi="Calibri"/>
                      <w:b/>
                      <w:sz w:val="18"/>
                      <w:szCs w:val="18"/>
                      <w:lang w:val="en-US"/>
                    </w:rPr>
                    <w:t>Time until which product remains efficient on treated areas</w:t>
                  </w:r>
                </w:p>
              </w:tc>
            </w:tr>
            <w:tr w:rsidR="00064185" w:rsidRPr="00064185" w14:paraId="750F9B15" w14:textId="77777777" w:rsidTr="00454F09">
              <w:trPr>
                <w:trHeight w:val="315"/>
              </w:trPr>
              <w:tc>
                <w:tcPr>
                  <w:tcW w:w="1078" w:type="dxa"/>
                  <w:tcBorders>
                    <w:left w:val="single" w:sz="4" w:space="0" w:color="auto"/>
                    <w:bottom w:val="single" w:sz="4" w:space="0" w:color="auto"/>
                    <w:right w:val="single" w:sz="4" w:space="0" w:color="auto"/>
                  </w:tcBorders>
                  <w:noWrap/>
                  <w:vAlign w:val="center"/>
                  <w:hideMark/>
                </w:tcPr>
                <w:p w14:paraId="6C3092F8" w14:textId="77777777" w:rsidR="00F33507" w:rsidRPr="00064185" w:rsidRDefault="00F33507" w:rsidP="00EA61D8">
                  <w:pPr>
                    <w:rPr>
                      <w:rFonts w:ascii="Calibri" w:hAnsi="Calibri"/>
                      <w:b/>
                      <w:sz w:val="18"/>
                      <w:szCs w:val="18"/>
                    </w:rPr>
                  </w:pPr>
                  <w:r w:rsidRPr="00064185">
                    <w:rPr>
                      <w:rFonts w:ascii="Calibri" w:hAnsi="Calibri"/>
                      <w:b/>
                      <w:sz w:val="18"/>
                      <w:szCs w:val="18"/>
                    </w:rPr>
                    <w:t>Ants</w:t>
                  </w:r>
                </w:p>
              </w:tc>
              <w:tc>
                <w:tcPr>
                  <w:tcW w:w="1134" w:type="dxa"/>
                  <w:tcBorders>
                    <w:bottom w:val="single" w:sz="4" w:space="0" w:color="auto"/>
                    <w:right w:val="single" w:sz="4" w:space="0" w:color="auto"/>
                  </w:tcBorders>
                  <w:noWrap/>
                  <w:vAlign w:val="center"/>
                  <w:hideMark/>
                </w:tcPr>
                <w:p w14:paraId="1E8316C7" w14:textId="77777777" w:rsidR="00F33507" w:rsidRPr="00064185" w:rsidRDefault="00F33507" w:rsidP="00EA61D8">
                  <w:pPr>
                    <w:rPr>
                      <w:rFonts w:ascii="Calibri" w:hAnsi="Calibri"/>
                      <w:sz w:val="18"/>
                      <w:szCs w:val="18"/>
                    </w:rPr>
                  </w:pPr>
                  <w:r w:rsidRPr="00064185">
                    <w:rPr>
                      <w:rFonts w:ascii="Calibri" w:hAnsi="Calibri"/>
                      <w:sz w:val="18"/>
                      <w:szCs w:val="18"/>
                    </w:rPr>
                    <w:t>not tested</w:t>
                  </w:r>
                </w:p>
              </w:tc>
              <w:tc>
                <w:tcPr>
                  <w:tcW w:w="1582" w:type="dxa"/>
                  <w:tcBorders>
                    <w:bottom w:val="single" w:sz="4" w:space="0" w:color="auto"/>
                    <w:right w:val="single" w:sz="4" w:space="0" w:color="auto"/>
                  </w:tcBorders>
                  <w:noWrap/>
                  <w:vAlign w:val="center"/>
                  <w:hideMark/>
                </w:tcPr>
                <w:p w14:paraId="260D8C50" w14:textId="77777777" w:rsidR="00F33507" w:rsidRPr="00064185" w:rsidRDefault="00F33507" w:rsidP="00EA61D8">
                  <w:pPr>
                    <w:rPr>
                      <w:rFonts w:ascii="Calibri" w:hAnsi="Calibri"/>
                      <w:sz w:val="18"/>
                      <w:szCs w:val="18"/>
                      <w:lang w:val="en-US"/>
                    </w:rPr>
                  </w:pPr>
                  <w:r w:rsidRPr="00064185">
                    <w:rPr>
                      <w:rFonts w:ascii="Calibri" w:hAnsi="Calibri"/>
                      <w:sz w:val="18"/>
                      <w:szCs w:val="18"/>
                      <w:lang w:val="en-US"/>
                    </w:rPr>
                    <w:t>nest kill within 21 d</w:t>
                  </w:r>
                </w:p>
              </w:tc>
              <w:tc>
                <w:tcPr>
                  <w:tcW w:w="2450" w:type="dxa"/>
                  <w:tcBorders>
                    <w:bottom w:val="single" w:sz="4" w:space="0" w:color="auto"/>
                    <w:right w:val="single" w:sz="4" w:space="0" w:color="auto"/>
                  </w:tcBorders>
                  <w:noWrap/>
                  <w:vAlign w:val="center"/>
                  <w:hideMark/>
                </w:tcPr>
                <w:p w14:paraId="70CC9F7E" w14:textId="217D4FC6" w:rsidR="00F33507" w:rsidRPr="00064185" w:rsidRDefault="00F33507" w:rsidP="00EA61D8">
                  <w:pPr>
                    <w:rPr>
                      <w:rFonts w:ascii="Calibri" w:hAnsi="Calibri"/>
                      <w:sz w:val="18"/>
                      <w:szCs w:val="18"/>
                      <w:lang w:val="en-US"/>
                    </w:rPr>
                  </w:pPr>
                  <w:r w:rsidRPr="00064185">
                    <w:rPr>
                      <w:rFonts w:ascii="Calibri" w:hAnsi="Calibri"/>
                      <w:sz w:val="18"/>
                      <w:szCs w:val="18"/>
                      <w:lang w:val="en-US"/>
                    </w:rPr>
                    <w:t>not relevant since application will result in complete n</w:t>
                  </w:r>
                  <w:r w:rsidR="003A2184" w:rsidRPr="00064185">
                    <w:rPr>
                      <w:rFonts w:ascii="Calibri" w:hAnsi="Calibri"/>
                      <w:sz w:val="18"/>
                      <w:szCs w:val="18"/>
                      <w:lang w:val="en-US"/>
                    </w:rPr>
                    <w:t>est destruction =&gt; no re-coloniz</w:t>
                  </w:r>
                  <w:r w:rsidRPr="00064185">
                    <w:rPr>
                      <w:rFonts w:ascii="Calibri" w:hAnsi="Calibri"/>
                      <w:sz w:val="18"/>
                      <w:szCs w:val="18"/>
                      <w:lang w:val="en-US"/>
                    </w:rPr>
                    <w:t>ation</w:t>
                  </w:r>
                </w:p>
              </w:tc>
            </w:tr>
          </w:tbl>
          <w:p w14:paraId="72BD6DA3" w14:textId="77777777" w:rsidR="00F33507" w:rsidRPr="00064185" w:rsidRDefault="00F33507" w:rsidP="00EA61D8">
            <w:pPr>
              <w:rPr>
                <w:lang w:val="en-US"/>
              </w:rPr>
            </w:pPr>
          </w:p>
        </w:tc>
      </w:tr>
      <w:tr w:rsidR="00064185" w:rsidRPr="00064185" w14:paraId="79645A42" w14:textId="77777777" w:rsidTr="00454F09">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55CB38E" w14:textId="77777777" w:rsidR="00F33507" w:rsidRPr="00064185" w:rsidRDefault="00F33507" w:rsidP="00EA61D8">
            <w:pPr>
              <w:spacing w:line="260" w:lineRule="atLeast"/>
              <w:rPr>
                <w:rFonts w:eastAsia="Calibri"/>
                <w:bCs/>
                <w:lang w:val="de-DE" w:eastAsia="en-US"/>
              </w:rPr>
            </w:pPr>
            <w:r w:rsidRPr="00064185">
              <w:rPr>
                <w:rFonts w:eastAsia="Calibri"/>
                <w:bCs/>
                <w:lang w:eastAsia="en-US"/>
              </w:rPr>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1061220F" w14:textId="77777777" w:rsidR="00F33507" w:rsidRPr="00064185" w:rsidRDefault="00F33507" w:rsidP="00EA61D8">
            <w:pPr>
              <w:spacing w:line="260" w:lineRule="atLeast"/>
              <w:rPr>
                <w:rFonts w:eastAsia="Calibri"/>
                <w:bCs/>
                <w:lang w:val="de-DE" w:eastAsia="en-US"/>
              </w:rPr>
            </w:pPr>
            <w:r w:rsidRPr="00064185">
              <w:rPr>
                <w:bCs/>
                <w:szCs w:val="24"/>
              </w:rPr>
              <w:t>General public (non-professional)</w:t>
            </w:r>
          </w:p>
        </w:tc>
      </w:tr>
      <w:tr w:rsidR="00F33507" w:rsidRPr="00064185" w14:paraId="5FA2A852" w14:textId="77777777" w:rsidTr="00454F09">
        <w:trPr>
          <w:cantSplit/>
        </w:trPr>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9E79AC1" w14:textId="77777777" w:rsidR="00F33507" w:rsidRPr="00064185" w:rsidRDefault="00F33507" w:rsidP="00EA61D8">
            <w:pPr>
              <w:spacing w:line="260" w:lineRule="atLeast"/>
              <w:rPr>
                <w:rFonts w:eastAsia="Calibri"/>
                <w:bCs/>
                <w:lang w:val="en-US" w:eastAsia="en-US"/>
              </w:rPr>
            </w:pPr>
            <w:r w:rsidRPr="00064185">
              <w:rPr>
                <w:rFonts w:eastAsia="Calibri"/>
                <w:bCs/>
                <w:lang w:eastAsia="en-US"/>
              </w:rPr>
              <w:t>Pack sizes and packaging material</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5288C7E" w14:textId="77777777" w:rsidR="00F33507" w:rsidRPr="00064185" w:rsidRDefault="00F33507" w:rsidP="00EA61D8">
            <w:pPr>
              <w:spacing w:line="260" w:lineRule="atLeast"/>
              <w:rPr>
                <w:rFonts w:eastAsia="Calibri"/>
                <w:bCs/>
                <w:lang w:eastAsia="en-US"/>
              </w:rPr>
            </w:pPr>
            <w:r w:rsidRPr="00064185">
              <w:t>Please see the relevant section.</w:t>
            </w:r>
          </w:p>
        </w:tc>
      </w:tr>
    </w:tbl>
    <w:p w14:paraId="7E2036DD" w14:textId="77777777" w:rsidR="00F33507" w:rsidRPr="00064185" w:rsidRDefault="00F33507" w:rsidP="00EA61D8">
      <w:pPr>
        <w:spacing w:line="260" w:lineRule="atLeast"/>
        <w:rPr>
          <w:rFonts w:eastAsia="Calibri"/>
          <w:lang w:eastAsia="en-US"/>
        </w:rPr>
      </w:pPr>
    </w:p>
    <w:p w14:paraId="3AD11A66" w14:textId="77777777" w:rsidR="000C1634" w:rsidRPr="00064185" w:rsidRDefault="000C1634" w:rsidP="00EA61D8">
      <w:pPr>
        <w:spacing w:line="260" w:lineRule="atLeast"/>
        <w:rPr>
          <w:rFonts w:eastAsia="Calibri"/>
          <w:b/>
          <w:sz w:val="24"/>
          <w:lang w:eastAsia="en-US"/>
        </w:rPr>
      </w:pPr>
    </w:p>
    <w:p w14:paraId="07C1129C" w14:textId="0119CFE8" w:rsidR="00935F33" w:rsidRPr="00064185" w:rsidRDefault="00935F33" w:rsidP="00EA61D8">
      <w:pPr>
        <w:spacing w:line="260" w:lineRule="atLeast"/>
        <w:rPr>
          <w:rFonts w:eastAsia="Calibri"/>
          <w:b/>
          <w:sz w:val="24"/>
          <w:lang w:eastAsia="en-US"/>
        </w:rPr>
      </w:pPr>
    </w:p>
    <w:p w14:paraId="24663C08" w14:textId="77777777" w:rsidR="00935F33" w:rsidRPr="00064185" w:rsidRDefault="00935F33" w:rsidP="00EA61D8">
      <w:pPr>
        <w:spacing w:line="260" w:lineRule="atLeast"/>
        <w:rPr>
          <w:rFonts w:eastAsia="Calibri"/>
          <w:b/>
          <w:sz w:val="24"/>
          <w:lang w:eastAsia="en-US"/>
        </w:rPr>
      </w:pPr>
    </w:p>
    <w:p w14:paraId="3F97A24E" w14:textId="77777777" w:rsidR="00935F33" w:rsidRPr="00064185" w:rsidRDefault="00935F33" w:rsidP="00EA61D8">
      <w:pPr>
        <w:spacing w:line="260" w:lineRule="atLeast"/>
        <w:rPr>
          <w:rFonts w:eastAsia="Calibri"/>
          <w:b/>
          <w:sz w:val="24"/>
          <w:lang w:eastAsia="en-US"/>
        </w:rPr>
      </w:pPr>
    </w:p>
    <w:p w14:paraId="7EFA2978" w14:textId="77777777" w:rsidR="00935F33" w:rsidRPr="00064185" w:rsidRDefault="00935F33" w:rsidP="00EA61D8">
      <w:pPr>
        <w:spacing w:line="260" w:lineRule="atLeast"/>
        <w:rPr>
          <w:rFonts w:eastAsia="Calibri"/>
          <w:b/>
          <w:sz w:val="24"/>
          <w:lang w:eastAsia="en-US"/>
        </w:rPr>
      </w:pPr>
    </w:p>
    <w:p w14:paraId="55FB307B" w14:textId="77777777" w:rsidR="00935F33" w:rsidRPr="00064185" w:rsidRDefault="00935F33" w:rsidP="00EA61D8">
      <w:pPr>
        <w:spacing w:line="260" w:lineRule="atLeast"/>
        <w:rPr>
          <w:rFonts w:eastAsia="Calibri"/>
          <w:b/>
          <w:sz w:val="24"/>
          <w:lang w:eastAsia="en-US"/>
        </w:rPr>
      </w:pPr>
    </w:p>
    <w:p w14:paraId="6D607628" w14:textId="2D27CF2B" w:rsidR="00061409" w:rsidRPr="00064185" w:rsidRDefault="00F35147" w:rsidP="00EA61D8">
      <w:pPr>
        <w:pStyle w:val="berschrift3"/>
        <w:tabs>
          <w:tab w:val="clear" w:pos="1701"/>
        </w:tabs>
        <w:ind w:left="720" w:hanging="720"/>
      </w:pPr>
      <w:bookmarkStart w:id="425" w:name="_Toc425344076"/>
      <w:bookmarkStart w:id="426" w:name="_Toc530563650"/>
      <w:bookmarkEnd w:id="425"/>
      <w:r w:rsidRPr="00064185">
        <w:lastRenderedPageBreak/>
        <w:t>Authori</w:t>
      </w:r>
      <w:r w:rsidR="00061409" w:rsidRPr="00064185">
        <w:t>sed use</w:t>
      </w:r>
      <w:bookmarkEnd w:id="426"/>
    </w:p>
    <w:p w14:paraId="61620F4A" w14:textId="37C20FB9" w:rsidR="00061409" w:rsidRPr="00064185" w:rsidRDefault="00061409" w:rsidP="00EA61D8">
      <w:pPr>
        <w:spacing w:line="260" w:lineRule="atLeast"/>
        <w:rPr>
          <w:rFonts w:eastAsia="Calibri" w:cs="Arial"/>
          <w:b/>
        </w:rPr>
      </w:pPr>
      <w:r w:rsidRPr="00064185">
        <w:rPr>
          <w:rFonts w:eastAsia="Calibri" w:cs="Arial"/>
          <w:b/>
        </w:rPr>
        <w:t>Use 1 - Insecticide and product to control other arthropods – garden ants, silverfishes, woodlice and cockroaches –</w:t>
      </w:r>
      <w:r w:rsidR="00D549C0" w:rsidRPr="00064185">
        <w:rPr>
          <w:rFonts w:eastAsia="Calibri" w:cs="Arial"/>
          <w:b/>
        </w:rPr>
        <w:t xml:space="preserve"> </w:t>
      </w:r>
      <w:r w:rsidR="00DA1B58" w:rsidRPr="00064185">
        <w:rPr>
          <w:rFonts w:eastAsia="Calibri" w:cs="Arial"/>
          <w:b/>
        </w:rPr>
        <w:t>non-professionals</w:t>
      </w:r>
      <w:r w:rsidR="00D549C0" w:rsidRPr="00064185">
        <w:rPr>
          <w:rFonts w:eastAsia="Calibri" w:cs="Arial"/>
          <w:b/>
        </w:rPr>
        <w:t xml:space="preserve"> </w:t>
      </w:r>
      <w:r w:rsidRPr="00064185">
        <w:rPr>
          <w:rFonts w:eastAsia="Calibri" w:cs="Arial"/>
          <w:b/>
        </w:rPr>
        <w:t>– spraying - indoor</w:t>
      </w:r>
    </w:p>
    <w:tbl>
      <w:tblPr>
        <w:tblW w:w="5000" w:type="pct"/>
        <w:tblCellMar>
          <w:left w:w="0" w:type="dxa"/>
          <w:right w:w="0" w:type="dxa"/>
        </w:tblCellMar>
        <w:tblLook w:val="04A0" w:firstRow="1" w:lastRow="0" w:firstColumn="1" w:lastColumn="0" w:noHBand="0" w:noVBand="1"/>
      </w:tblPr>
      <w:tblGrid>
        <w:gridCol w:w="2446"/>
        <w:gridCol w:w="6848"/>
      </w:tblGrid>
      <w:tr w:rsidR="00064185" w:rsidRPr="00064185" w14:paraId="10232E1E" w14:textId="77777777" w:rsidTr="00450CBF">
        <w:trPr>
          <w:cantSplit/>
        </w:trPr>
        <w:tc>
          <w:tcPr>
            <w:tcW w:w="1316" w:type="pct"/>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hideMark/>
          </w:tcPr>
          <w:p w14:paraId="09F167D9" w14:textId="77777777" w:rsidR="00061409" w:rsidRPr="00064185" w:rsidRDefault="00061409" w:rsidP="00EA61D8">
            <w:pPr>
              <w:spacing w:line="260" w:lineRule="atLeast"/>
              <w:rPr>
                <w:rFonts w:eastAsia="Calibri" w:cs="Arial"/>
                <w:bCs/>
                <w:lang w:val="de-DE"/>
              </w:rPr>
            </w:pPr>
            <w:r w:rsidRPr="00064185">
              <w:rPr>
                <w:rFonts w:eastAsia="Calibri" w:cs="Arial"/>
                <w:bCs/>
              </w:rPr>
              <w:t>Product Type</w:t>
            </w:r>
          </w:p>
        </w:tc>
        <w:tc>
          <w:tcPr>
            <w:tcW w:w="3684" w:type="pct"/>
            <w:tcBorders>
              <w:top w:val="single" w:sz="4" w:space="0" w:color="000000"/>
              <w:left w:val="nil"/>
              <w:bottom w:val="single" w:sz="4" w:space="0" w:color="000000"/>
              <w:right w:val="single" w:sz="4" w:space="0" w:color="000000"/>
            </w:tcBorders>
            <w:shd w:val="clear" w:color="auto" w:fill="FFFFCC"/>
            <w:tcMar>
              <w:top w:w="40" w:type="dxa"/>
              <w:left w:w="40" w:type="dxa"/>
              <w:bottom w:w="40" w:type="dxa"/>
              <w:right w:w="40" w:type="dxa"/>
            </w:tcMar>
          </w:tcPr>
          <w:p w14:paraId="0D299AC5" w14:textId="77777777" w:rsidR="00061409" w:rsidRPr="00064185" w:rsidRDefault="00061409" w:rsidP="00EA61D8">
            <w:pPr>
              <w:spacing w:line="260" w:lineRule="atLeast"/>
              <w:rPr>
                <w:rFonts w:eastAsia="Calibri" w:cs="Arial"/>
                <w:bCs/>
              </w:rPr>
            </w:pPr>
            <w:r w:rsidRPr="00064185">
              <w:rPr>
                <w:rFonts w:eastAsia="Calibri" w:cs="Arial"/>
                <w:bCs/>
              </w:rPr>
              <w:t>PT 18 Insecticides, acaricides and products to control other arthropods (Pest control)</w:t>
            </w:r>
          </w:p>
        </w:tc>
      </w:tr>
      <w:tr w:rsidR="00064185" w:rsidRPr="00064185" w14:paraId="25C78321" w14:textId="77777777" w:rsidTr="00450CBF">
        <w:trPr>
          <w:cantSplit/>
        </w:trPr>
        <w:tc>
          <w:tcPr>
            <w:tcW w:w="1316"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0ACF15E" w14:textId="29BBD0E4" w:rsidR="00061409" w:rsidRPr="00064185" w:rsidRDefault="00061409" w:rsidP="00EA61D8">
            <w:pPr>
              <w:spacing w:line="260" w:lineRule="atLeast"/>
              <w:rPr>
                <w:rFonts w:eastAsia="Calibri" w:cs="Arial"/>
                <w:bCs/>
                <w:lang w:val="en-US"/>
              </w:rPr>
            </w:pPr>
            <w:r w:rsidRPr="00064185">
              <w:rPr>
                <w:rFonts w:eastAsia="Calibri" w:cs="Arial"/>
                <w:bCs/>
              </w:rPr>
              <w:t>Where relevant, an exact description of the authorised use</w:t>
            </w:r>
          </w:p>
        </w:tc>
        <w:tc>
          <w:tcPr>
            <w:tcW w:w="3684" w:type="pct"/>
            <w:tcBorders>
              <w:top w:val="nil"/>
              <w:left w:val="nil"/>
              <w:bottom w:val="single" w:sz="4" w:space="0" w:color="000000"/>
              <w:right w:val="single" w:sz="4" w:space="0" w:color="000000"/>
            </w:tcBorders>
            <w:tcMar>
              <w:top w:w="40" w:type="dxa"/>
              <w:left w:w="40" w:type="dxa"/>
              <w:bottom w:w="40" w:type="dxa"/>
              <w:right w:w="40" w:type="dxa"/>
            </w:tcMar>
          </w:tcPr>
          <w:p w14:paraId="75B46D06" w14:textId="77777777" w:rsidR="00061409" w:rsidRPr="00064185" w:rsidRDefault="00061409" w:rsidP="00EA61D8">
            <w:pPr>
              <w:spacing w:line="260" w:lineRule="atLeast"/>
              <w:rPr>
                <w:rFonts w:eastAsia="Calibri" w:cs="Arial"/>
                <w:bCs/>
              </w:rPr>
            </w:pPr>
            <w:r w:rsidRPr="00064185">
              <w:rPr>
                <w:rFonts w:eastAsia="Calibri" w:cs="Arial"/>
                <w:bCs/>
              </w:rPr>
              <w:t>Insecticide and product to control other arthropods</w:t>
            </w:r>
          </w:p>
        </w:tc>
      </w:tr>
      <w:tr w:rsidR="00064185" w:rsidRPr="00064185" w14:paraId="4A3D36A7" w14:textId="77777777" w:rsidTr="00450CBF">
        <w:trPr>
          <w:cantSplit/>
        </w:trPr>
        <w:tc>
          <w:tcPr>
            <w:tcW w:w="1316"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1FE5DE1" w14:textId="77777777" w:rsidR="00061409" w:rsidRPr="00064185" w:rsidRDefault="00061409" w:rsidP="00EA61D8">
            <w:pPr>
              <w:spacing w:line="260" w:lineRule="atLeast"/>
              <w:rPr>
                <w:rFonts w:eastAsia="Calibri" w:cs="Arial"/>
                <w:bCs/>
                <w:lang w:val="en-US"/>
              </w:rPr>
            </w:pPr>
            <w:r w:rsidRPr="00064185">
              <w:rPr>
                <w:rFonts w:eastAsia="Calibri" w:cs="Arial"/>
                <w:bCs/>
              </w:rPr>
              <w:t>Target organism (including development stage)</w:t>
            </w:r>
          </w:p>
        </w:tc>
        <w:tc>
          <w:tcPr>
            <w:tcW w:w="3684" w:type="pct"/>
            <w:tcBorders>
              <w:top w:val="nil"/>
              <w:left w:val="nil"/>
              <w:bottom w:val="single" w:sz="4" w:space="0" w:color="000000"/>
              <w:right w:val="single" w:sz="4" w:space="0" w:color="000000"/>
            </w:tcBorders>
            <w:tcMar>
              <w:top w:w="40" w:type="dxa"/>
              <w:left w:w="40" w:type="dxa"/>
              <w:bottom w:w="40" w:type="dxa"/>
              <w:right w:w="40" w:type="dxa"/>
            </w:tcMar>
          </w:tcPr>
          <w:p w14:paraId="1071B4BE" w14:textId="77777777" w:rsidR="000E17AE" w:rsidRDefault="00061409" w:rsidP="00EA61D8">
            <w:pPr>
              <w:rPr>
                <w:rFonts w:cs="Arial"/>
                <w:bCs/>
                <w:i/>
                <w:lang w:val="en-US"/>
              </w:rPr>
            </w:pPr>
            <w:r w:rsidRPr="00064185">
              <w:rPr>
                <w:rFonts w:cs="Arial"/>
                <w:bCs/>
                <w:lang w:val="en-US"/>
              </w:rPr>
              <w:t xml:space="preserve">Scientific name: Formicinae: </w:t>
            </w:r>
            <w:r w:rsidRPr="00064185">
              <w:rPr>
                <w:rFonts w:cs="Arial"/>
                <w:bCs/>
                <w:i/>
                <w:lang w:val="en-US"/>
              </w:rPr>
              <w:t xml:space="preserve">Lasius </w:t>
            </w:r>
            <w:r w:rsidR="00FA4615" w:rsidRPr="00064185">
              <w:rPr>
                <w:rFonts w:cs="Arial"/>
                <w:bCs/>
                <w:i/>
                <w:lang w:val="en-US"/>
              </w:rPr>
              <w:t>sp.</w:t>
            </w:r>
          </w:p>
          <w:p w14:paraId="178B5C8C" w14:textId="752F99F0" w:rsidR="00061409" w:rsidRPr="00064185" w:rsidRDefault="00061409" w:rsidP="00EA61D8">
            <w:pPr>
              <w:rPr>
                <w:rFonts w:cs="Arial"/>
                <w:bCs/>
                <w:lang w:val="en-US"/>
              </w:rPr>
            </w:pPr>
            <w:r w:rsidRPr="00064185">
              <w:rPr>
                <w:rFonts w:cs="Arial"/>
                <w:bCs/>
                <w:lang w:val="en-US"/>
              </w:rPr>
              <w:t xml:space="preserve">Common name: </w:t>
            </w:r>
            <w:r w:rsidRPr="00064185">
              <w:rPr>
                <w:rFonts w:cs="Arial"/>
                <w:b/>
                <w:bCs/>
                <w:lang w:val="en-US"/>
              </w:rPr>
              <w:t>garden ant</w:t>
            </w:r>
            <w:r w:rsidR="00250466" w:rsidRPr="00064185">
              <w:rPr>
                <w:rFonts w:cs="Arial"/>
                <w:b/>
                <w:bCs/>
                <w:lang w:val="en-US"/>
              </w:rPr>
              <w:t>s</w:t>
            </w:r>
          </w:p>
          <w:p w14:paraId="586A1C5B" w14:textId="77777777" w:rsidR="00061409" w:rsidRPr="00064185" w:rsidRDefault="00061409" w:rsidP="00EA61D8">
            <w:pPr>
              <w:rPr>
                <w:rFonts w:cs="Arial"/>
                <w:bCs/>
                <w:lang w:val="en-US"/>
              </w:rPr>
            </w:pPr>
            <w:r w:rsidRPr="00064185">
              <w:rPr>
                <w:rFonts w:cs="Arial"/>
                <w:bCs/>
                <w:lang w:val="en-US"/>
              </w:rPr>
              <w:t>Development stage: ant colony</w:t>
            </w:r>
          </w:p>
          <w:p w14:paraId="79CEC36B" w14:textId="77777777" w:rsidR="00061409" w:rsidRPr="00064185" w:rsidRDefault="00061409" w:rsidP="00EA61D8">
            <w:pPr>
              <w:rPr>
                <w:rFonts w:cs="Arial"/>
                <w:lang w:val="en-US"/>
              </w:rPr>
            </w:pPr>
          </w:p>
          <w:p w14:paraId="0C2BE373" w14:textId="35CE866D" w:rsidR="00061409" w:rsidRPr="00064185" w:rsidRDefault="00061409" w:rsidP="00EA61D8">
            <w:pPr>
              <w:rPr>
                <w:rFonts w:cs="Arial"/>
                <w:bCs/>
                <w:lang w:val="en-US"/>
              </w:rPr>
            </w:pPr>
            <w:r w:rsidRPr="00064185">
              <w:rPr>
                <w:rFonts w:cs="Arial"/>
                <w:bCs/>
                <w:lang w:val="en-US"/>
              </w:rPr>
              <w:t xml:space="preserve">Scientific name: Lepismatidae: </w:t>
            </w:r>
            <w:r w:rsidRPr="00064185">
              <w:rPr>
                <w:rFonts w:cs="Arial"/>
                <w:bCs/>
                <w:i/>
                <w:lang w:val="en-US"/>
              </w:rPr>
              <w:t>Lepisma saccharina</w:t>
            </w:r>
          </w:p>
          <w:p w14:paraId="0AC164C2" w14:textId="6AF85C2A" w:rsidR="00061409" w:rsidRPr="00064185" w:rsidRDefault="00061409" w:rsidP="00EA61D8">
            <w:pPr>
              <w:rPr>
                <w:rFonts w:cs="Arial"/>
                <w:bCs/>
                <w:lang w:val="en-US"/>
              </w:rPr>
            </w:pPr>
            <w:r w:rsidRPr="00064185">
              <w:rPr>
                <w:rFonts w:cs="Arial"/>
                <w:bCs/>
                <w:lang w:val="en-US"/>
              </w:rPr>
              <w:t xml:space="preserve">Common name: Lepismatid: </w:t>
            </w:r>
            <w:r w:rsidRPr="00064185">
              <w:rPr>
                <w:rFonts w:cs="Arial"/>
                <w:b/>
                <w:bCs/>
                <w:lang w:val="en-US"/>
              </w:rPr>
              <w:t>silverfishes</w:t>
            </w:r>
          </w:p>
          <w:p w14:paraId="38431FDF" w14:textId="54F4A7E0" w:rsidR="00061409" w:rsidRPr="00064185" w:rsidRDefault="00061409" w:rsidP="00EA61D8">
            <w:pPr>
              <w:rPr>
                <w:rFonts w:cs="Arial"/>
                <w:bCs/>
                <w:lang w:val="en-US"/>
              </w:rPr>
            </w:pPr>
            <w:r w:rsidRPr="00064185">
              <w:rPr>
                <w:rFonts w:cs="Arial"/>
                <w:bCs/>
                <w:lang w:val="en-US"/>
              </w:rPr>
              <w:t>Development stage: larvae and adults</w:t>
            </w:r>
          </w:p>
          <w:p w14:paraId="022A8D1A" w14:textId="48D91683" w:rsidR="00061409" w:rsidRPr="00064185" w:rsidRDefault="00061409" w:rsidP="00EA61D8">
            <w:pPr>
              <w:rPr>
                <w:rFonts w:cs="Arial"/>
                <w:lang w:val="en-US"/>
              </w:rPr>
            </w:pPr>
          </w:p>
          <w:p w14:paraId="3573BED1" w14:textId="77777777" w:rsidR="00061409" w:rsidRPr="00064185" w:rsidRDefault="00061409" w:rsidP="00EA61D8">
            <w:pPr>
              <w:rPr>
                <w:rFonts w:cs="Arial"/>
                <w:bCs/>
                <w:i/>
                <w:lang w:val="en-US"/>
              </w:rPr>
            </w:pPr>
            <w:r w:rsidRPr="00064185">
              <w:rPr>
                <w:rFonts w:cs="Arial"/>
                <w:bCs/>
                <w:lang w:val="en-US"/>
              </w:rPr>
              <w:t xml:space="preserve">Scientific name: Porcellionidae: </w:t>
            </w:r>
            <w:r w:rsidRPr="00064185">
              <w:rPr>
                <w:rFonts w:cs="Arial"/>
                <w:bCs/>
                <w:i/>
                <w:lang w:val="en-US"/>
              </w:rPr>
              <w:t>Porcellio scaber</w:t>
            </w:r>
          </w:p>
          <w:p w14:paraId="346C1D63" w14:textId="77777777" w:rsidR="00061409" w:rsidRPr="00064185" w:rsidRDefault="00061409" w:rsidP="00EA61D8">
            <w:pPr>
              <w:rPr>
                <w:rFonts w:cs="Arial"/>
                <w:bCs/>
                <w:lang w:val="en-US"/>
              </w:rPr>
            </w:pPr>
            <w:r w:rsidRPr="00064185">
              <w:rPr>
                <w:rFonts w:cs="Arial"/>
                <w:bCs/>
                <w:lang w:val="en-US"/>
              </w:rPr>
              <w:t xml:space="preserve">Common name: </w:t>
            </w:r>
            <w:r w:rsidRPr="00064185">
              <w:rPr>
                <w:rFonts w:cs="Arial"/>
                <w:b/>
                <w:bCs/>
                <w:lang w:val="en-US"/>
              </w:rPr>
              <w:t>woodlice</w:t>
            </w:r>
          </w:p>
          <w:p w14:paraId="32B0380E" w14:textId="020E87A7" w:rsidR="00061409" w:rsidRPr="00064185" w:rsidRDefault="00061409" w:rsidP="00EA61D8">
            <w:pPr>
              <w:rPr>
                <w:rFonts w:cs="Arial"/>
                <w:bCs/>
                <w:lang w:val="en-US"/>
              </w:rPr>
            </w:pPr>
            <w:r w:rsidRPr="00064185">
              <w:rPr>
                <w:rFonts w:cs="Arial"/>
                <w:bCs/>
                <w:lang w:val="en-US"/>
              </w:rPr>
              <w:t>Development stage: larvae and adults</w:t>
            </w:r>
          </w:p>
          <w:p w14:paraId="2D6349CD" w14:textId="77777777" w:rsidR="00061409" w:rsidRPr="00064185" w:rsidRDefault="00061409" w:rsidP="00EA61D8">
            <w:pPr>
              <w:rPr>
                <w:rFonts w:cs="Arial"/>
                <w:lang w:val="en-US"/>
              </w:rPr>
            </w:pPr>
          </w:p>
          <w:p w14:paraId="551319B5" w14:textId="77777777" w:rsidR="00061409" w:rsidRPr="00064185" w:rsidRDefault="00061409" w:rsidP="00EA61D8">
            <w:pPr>
              <w:rPr>
                <w:rFonts w:cs="Arial"/>
                <w:bCs/>
                <w:lang w:val="it-IT"/>
              </w:rPr>
            </w:pPr>
            <w:proofErr w:type="gramStart"/>
            <w:r w:rsidRPr="00064185">
              <w:rPr>
                <w:rFonts w:cs="Arial"/>
                <w:bCs/>
                <w:lang w:val="it-IT"/>
              </w:rPr>
              <w:t xml:space="preserve">Scientific name: Blattodea: </w:t>
            </w:r>
            <w:r w:rsidRPr="00064185">
              <w:rPr>
                <w:rFonts w:cs="Arial"/>
                <w:bCs/>
                <w:i/>
                <w:lang w:val="it-IT"/>
              </w:rPr>
              <w:t>Blattella germanica, Blatta orientalis, Periplaneta americana</w:t>
            </w:r>
            <w:proofErr w:type="gramEnd"/>
          </w:p>
          <w:p w14:paraId="58CE2598" w14:textId="77777777" w:rsidR="00061409" w:rsidRPr="00064185" w:rsidRDefault="00061409" w:rsidP="00EA61D8">
            <w:pPr>
              <w:rPr>
                <w:rFonts w:cs="Arial"/>
                <w:bCs/>
                <w:lang w:val="en-US"/>
              </w:rPr>
            </w:pPr>
            <w:r w:rsidRPr="00064185">
              <w:rPr>
                <w:rFonts w:cs="Arial"/>
                <w:bCs/>
                <w:lang w:val="en-US"/>
              </w:rPr>
              <w:t xml:space="preserve">Common name: </w:t>
            </w:r>
            <w:r w:rsidRPr="00064185">
              <w:rPr>
                <w:rFonts w:cs="Arial"/>
                <w:b/>
                <w:bCs/>
                <w:lang w:val="en-US"/>
              </w:rPr>
              <w:t>cockroaches</w:t>
            </w:r>
          </w:p>
          <w:p w14:paraId="7785272F" w14:textId="77D4632C" w:rsidR="00061409" w:rsidRPr="00064185" w:rsidRDefault="00DF2232" w:rsidP="00EA61D8">
            <w:pPr>
              <w:spacing w:line="260" w:lineRule="atLeast"/>
              <w:rPr>
                <w:rFonts w:eastAsia="Calibri" w:cs="Arial"/>
                <w:bCs/>
              </w:rPr>
            </w:pPr>
            <w:r w:rsidRPr="00064185">
              <w:rPr>
                <w:rFonts w:cs="Arial"/>
                <w:bCs/>
                <w:lang w:val="en-US"/>
              </w:rPr>
              <w:t xml:space="preserve">Development stage: </w:t>
            </w:r>
            <w:r w:rsidR="00F27451" w:rsidRPr="00064185">
              <w:rPr>
                <w:rFonts w:cs="Arial"/>
                <w:bCs/>
                <w:lang w:val="en-US"/>
              </w:rPr>
              <w:t>larvae (</w:t>
            </w:r>
            <w:r w:rsidRPr="00064185">
              <w:rPr>
                <w:rFonts w:cs="Arial"/>
                <w:bCs/>
                <w:lang w:val="en-US"/>
              </w:rPr>
              <w:t>nymphal stage</w:t>
            </w:r>
            <w:r w:rsidR="00F27451" w:rsidRPr="00064185">
              <w:rPr>
                <w:rFonts w:cs="Arial"/>
                <w:bCs/>
              </w:rPr>
              <w:t>)</w:t>
            </w:r>
          </w:p>
        </w:tc>
      </w:tr>
      <w:tr w:rsidR="00064185" w:rsidRPr="00064185" w14:paraId="3CC95400" w14:textId="77777777" w:rsidTr="00450CBF">
        <w:trPr>
          <w:cantSplit/>
        </w:trPr>
        <w:tc>
          <w:tcPr>
            <w:tcW w:w="1316"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96672D2" w14:textId="77777777" w:rsidR="00061409" w:rsidRPr="00064185" w:rsidRDefault="00061409" w:rsidP="00EA61D8">
            <w:pPr>
              <w:spacing w:line="260" w:lineRule="atLeast"/>
              <w:rPr>
                <w:rFonts w:eastAsia="Calibri" w:cs="Arial"/>
                <w:bCs/>
                <w:lang w:val="de-DE"/>
              </w:rPr>
            </w:pPr>
            <w:r w:rsidRPr="00064185">
              <w:rPr>
                <w:rFonts w:eastAsia="Calibri" w:cs="Arial"/>
                <w:bCs/>
              </w:rPr>
              <w:t>Field of use</w:t>
            </w:r>
          </w:p>
        </w:tc>
        <w:tc>
          <w:tcPr>
            <w:tcW w:w="3684" w:type="pct"/>
            <w:tcBorders>
              <w:top w:val="nil"/>
              <w:left w:val="nil"/>
              <w:bottom w:val="single" w:sz="4" w:space="0" w:color="000000"/>
              <w:right w:val="single" w:sz="4" w:space="0" w:color="000000"/>
            </w:tcBorders>
            <w:tcMar>
              <w:top w:w="40" w:type="dxa"/>
              <w:left w:w="40" w:type="dxa"/>
              <w:bottom w:w="40" w:type="dxa"/>
              <w:right w:w="40" w:type="dxa"/>
            </w:tcMar>
          </w:tcPr>
          <w:p w14:paraId="5A4FA712" w14:textId="77777777" w:rsidR="00061409" w:rsidRPr="00064185" w:rsidRDefault="00061409" w:rsidP="00EA61D8">
            <w:pPr>
              <w:spacing w:line="260" w:lineRule="atLeast"/>
              <w:rPr>
                <w:rFonts w:eastAsia="Calibri" w:cs="Arial"/>
                <w:bCs/>
              </w:rPr>
            </w:pPr>
            <w:r w:rsidRPr="00064185">
              <w:rPr>
                <w:rFonts w:eastAsia="Calibri" w:cs="Arial"/>
                <w:bCs/>
              </w:rPr>
              <w:t>Indoor use</w:t>
            </w:r>
          </w:p>
        </w:tc>
      </w:tr>
      <w:tr w:rsidR="00064185" w:rsidRPr="00064185" w14:paraId="52D3FBB8" w14:textId="77777777" w:rsidTr="000E17AE">
        <w:trPr>
          <w:cantSplit/>
          <w:trHeight w:val="2277"/>
        </w:trPr>
        <w:tc>
          <w:tcPr>
            <w:tcW w:w="1316"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2A86483" w14:textId="77777777" w:rsidR="00061409" w:rsidRPr="00064185" w:rsidRDefault="00061409" w:rsidP="00EA61D8">
            <w:pPr>
              <w:spacing w:line="260" w:lineRule="atLeast"/>
              <w:rPr>
                <w:rFonts w:eastAsia="Calibri" w:cs="Arial"/>
                <w:bCs/>
                <w:lang w:val="de-DE"/>
              </w:rPr>
            </w:pPr>
            <w:r w:rsidRPr="00064185">
              <w:rPr>
                <w:rFonts w:eastAsia="Calibri" w:cs="Arial"/>
                <w:bCs/>
              </w:rPr>
              <w:t>Application method(s)</w:t>
            </w:r>
          </w:p>
        </w:tc>
        <w:tc>
          <w:tcPr>
            <w:tcW w:w="3684" w:type="pct"/>
            <w:tcBorders>
              <w:top w:val="nil"/>
              <w:left w:val="nil"/>
              <w:bottom w:val="single" w:sz="4" w:space="0" w:color="000000"/>
              <w:right w:val="single" w:sz="4" w:space="0" w:color="000000"/>
            </w:tcBorders>
            <w:tcMar>
              <w:top w:w="40" w:type="dxa"/>
              <w:left w:w="40" w:type="dxa"/>
              <w:bottom w:w="40" w:type="dxa"/>
              <w:right w:w="40" w:type="dxa"/>
            </w:tcMar>
          </w:tcPr>
          <w:p w14:paraId="10560A90" w14:textId="36C94EF8" w:rsidR="0059252D" w:rsidRPr="00064185" w:rsidRDefault="00061409" w:rsidP="00EA61D8">
            <w:pPr>
              <w:rPr>
                <w:rFonts w:cs="Arial"/>
                <w:b/>
                <w:bCs/>
                <w:lang w:val="en-US"/>
              </w:rPr>
            </w:pPr>
            <w:r w:rsidRPr="00064185">
              <w:rPr>
                <w:rFonts w:cs="Arial"/>
                <w:bCs/>
                <w:u w:val="single"/>
                <w:lang w:val="en-US"/>
              </w:rPr>
              <w:t>Method of application:</w:t>
            </w:r>
            <w:r w:rsidRPr="00064185">
              <w:rPr>
                <w:rFonts w:cs="Arial"/>
                <w:lang w:val="en-US"/>
              </w:rPr>
              <w:t xml:space="preserve"> </w:t>
            </w:r>
            <w:r w:rsidRPr="00064185">
              <w:rPr>
                <w:rFonts w:cs="Arial"/>
                <w:b/>
                <w:bCs/>
                <w:lang w:val="en-US"/>
              </w:rPr>
              <w:t>spraying</w:t>
            </w:r>
          </w:p>
          <w:p w14:paraId="5631C5F3" w14:textId="77777777" w:rsidR="00061409" w:rsidRPr="00064185" w:rsidRDefault="00061409" w:rsidP="00EA61D8">
            <w:pPr>
              <w:rPr>
                <w:u w:val="single"/>
                <w:lang w:val="en-US"/>
              </w:rPr>
            </w:pPr>
            <w:r w:rsidRPr="00064185">
              <w:rPr>
                <w:rFonts w:cs="Arial"/>
                <w:bCs/>
                <w:u w:val="single"/>
                <w:lang w:val="en-US"/>
              </w:rPr>
              <w:t>Detailed description of the method:</w:t>
            </w:r>
          </w:p>
          <w:p w14:paraId="1E05FF5F" w14:textId="77777777" w:rsidR="0059252D" w:rsidRPr="00064185" w:rsidRDefault="0059252D" w:rsidP="00EA61D8">
            <w:pPr>
              <w:rPr>
                <w:rFonts w:cs="Arial"/>
                <w:bCs/>
                <w:u w:val="single"/>
                <w:lang w:val="en-US"/>
              </w:rPr>
            </w:pPr>
            <w:r w:rsidRPr="00064185">
              <w:rPr>
                <w:rFonts w:cs="Arial"/>
                <w:bCs/>
                <w:u w:val="single"/>
                <w:lang w:val="en-US"/>
              </w:rPr>
              <w:t xml:space="preserve">Ants: </w:t>
            </w:r>
          </w:p>
          <w:p w14:paraId="6722AB0A" w14:textId="6996CF34" w:rsidR="0059252D" w:rsidRPr="00064185" w:rsidRDefault="0059252D" w:rsidP="00EA61D8">
            <w:pPr>
              <w:rPr>
                <w:rFonts w:cs="Arial"/>
                <w:bCs/>
                <w:lang w:val="en-US"/>
              </w:rPr>
            </w:pPr>
            <w:r w:rsidRPr="00064185">
              <w:rPr>
                <w:lang w:val="en-US"/>
              </w:rPr>
              <w:t xml:space="preserve">For killing ant nests, COM 116 02 I AL is sprayed on </w:t>
            </w:r>
            <w:r w:rsidRPr="00064185">
              <w:rPr>
                <w:rFonts w:cs="Arial"/>
                <w:bCs/>
                <w:lang w:val="en-US"/>
              </w:rPr>
              <w:t xml:space="preserve">ant </w:t>
            </w:r>
            <w:r w:rsidRPr="00064185" w:rsidDel="00340E39">
              <w:rPr>
                <w:lang w:val="en-US"/>
              </w:rPr>
              <w:t xml:space="preserve">routes </w:t>
            </w:r>
            <w:r w:rsidR="00295483" w:rsidRPr="00064185">
              <w:rPr>
                <w:rFonts w:cs="Arial"/>
                <w:bCs/>
                <w:lang w:val="en-US"/>
              </w:rPr>
              <w:t>on</w:t>
            </w:r>
            <w:r w:rsidR="00074ABB" w:rsidRPr="00064185">
              <w:rPr>
                <w:rFonts w:cs="Arial"/>
                <w:bCs/>
                <w:lang w:val="en-US"/>
              </w:rPr>
              <w:t xml:space="preserve"> indoor hard surfaces</w:t>
            </w:r>
            <w:r w:rsidRPr="00064185">
              <w:rPr>
                <w:rFonts w:cs="Arial"/>
                <w:bCs/>
                <w:lang w:val="en-US"/>
              </w:rPr>
              <w:t xml:space="preserve">. </w:t>
            </w:r>
          </w:p>
          <w:p w14:paraId="7EB4D0CF" w14:textId="77777777" w:rsidR="0059252D" w:rsidRPr="00064185" w:rsidRDefault="0059252D" w:rsidP="00EA61D8">
            <w:pPr>
              <w:rPr>
                <w:rFonts w:cs="Arial"/>
                <w:lang w:val="en-US"/>
              </w:rPr>
            </w:pPr>
          </w:p>
          <w:p w14:paraId="688C3F54" w14:textId="309F5E58" w:rsidR="0059252D" w:rsidRPr="00064185" w:rsidRDefault="00D72BD9" w:rsidP="00EA61D8">
            <w:pPr>
              <w:rPr>
                <w:rFonts w:cs="Arial"/>
                <w:bCs/>
                <w:u w:val="single"/>
                <w:lang w:val="en-US"/>
              </w:rPr>
            </w:pPr>
            <w:r w:rsidRPr="00064185">
              <w:rPr>
                <w:rFonts w:cs="Arial"/>
                <w:bCs/>
                <w:u w:val="single"/>
                <w:lang w:val="en-US"/>
              </w:rPr>
              <w:t>Silverfishes, woo</w:t>
            </w:r>
            <w:r w:rsidR="000C5393" w:rsidRPr="00064185">
              <w:rPr>
                <w:rFonts w:cs="Arial"/>
                <w:bCs/>
                <w:u w:val="single"/>
                <w:lang w:val="en-US"/>
              </w:rPr>
              <w:t>d</w:t>
            </w:r>
            <w:r w:rsidRPr="00064185">
              <w:rPr>
                <w:rFonts w:cs="Arial"/>
                <w:bCs/>
                <w:u w:val="single"/>
                <w:lang w:val="en-US"/>
              </w:rPr>
              <w:t>l</w:t>
            </w:r>
            <w:r w:rsidR="000C5393" w:rsidRPr="00064185">
              <w:rPr>
                <w:rFonts w:cs="Arial"/>
                <w:bCs/>
                <w:u w:val="single"/>
                <w:lang w:val="en-US"/>
              </w:rPr>
              <w:t>ice</w:t>
            </w:r>
            <w:r w:rsidR="00F27451" w:rsidRPr="00064185">
              <w:rPr>
                <w:rFonts w:cs="Arial"/>
                <w:bCs/>
                <w:u w:val="single"/>
                <w:lang w:val="en-US"/>
              </w:rPr>
              <w:t xml:space="preserve"> and</w:t>
            </w:r>
            <w:r w:rsidR="000C5393" w:rsidRPr="00064185">
              <w:rPr>
                <w:rFonts w:cs="Arial"/>
                <w:bCs/>
                <w:u w:val="single"/>
                <w:lang w:val="en-US"/>
              </w:rPr>
              <w:t xml:space="preserve"> cockroaches: </w:t>
            </w:r>
          </w:p>
          <w:p w14:paraId="35D54C11" w14:textId="18F76B8B" w:rsidR="00061409" w:rsidRPr="00064185" w:rsidRDefault="00061409" w:rsidP="006255E9">
            <w:pPr>
              <w:rPr>
                <w:rFonts w:cs="Arial"/>
                <w:lang w:val="en-US"/>
              </w:rPr>
            </w:pPr>
            <w:r w:rsidRPr="00064185">
              <w:rPr>
                <w:lang w:val="en-US"/>
              </w:rPr>
              <w:t>Application is conducted on spots of ground area</w:t>
            </w:r>
            <w:r w:rsidR="005A7E50" w:rsidRPr="00064185">
              <w:rPr>
                <w:lang w:val="en-US"/>
              </w:rPr>
              <w:t>s</w:t>
            </w:r>
            <w:r w:rsidR="00702B50" w:rsidRPr="00064185">
              <w:rPr>
                <w:lang w:val="en-US"/>
              </w:rPr>
              <w:t xml:space="preserve"> (residual treatment)</w:t>
            </w:r>
            <w:r w:rsidRPr="00064185">
              <w:rPr>
                <w:lang w:val="en-US"/>
              </w:rPr>
              <w:t xml:space="preserve"> where target organisms have been observed</w:t>
            </w:r>
            <w:r w:rsidRPr="00064185">
              <w:rPr>
                <w:rFonts w:cs="Arial"/>
                <w:bCs/>
                <w:lang w:val="en-US"/>
              </w:rPr>
              <w:t>.</w:t>
            </w:r>
          </w:p>
        </w:tc>
      </w:tr>
      <w:tr w:rsidR="00064185" w:rsidRPr="00064185" w14:paraId="5A6F00B4" w14:textId="77777777" w:rsidTr="00450CBF">
        <w:trPr>
          <w:cantSplit/>
        </w:trPr>
        <w:tc>
          <w:tcPr>
            <w:tcW w:w="131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96CAFFD" w14:textId="77777777" w:rsidR="00061409" w:rsidRPr="00064185" w:rsidRDefault="00061409" w:rsidP="00EA61D8">
            <w:pPr>
              <w:spacing w:line="260" w:lineRule="atLeast"/>
              <w:rPr>
                <w:rFonts w:eastAsia="Calibri" w:cs="Arial"/>
                <w:bCs/>
                <w:lang w:val="en-US"/>
              </w:rPr>
            </w:pPr>
            <w:r w:rsidRPr="00064185">
              <w:rPr>
                <w:rFonts w:eastAsia="Calibri" w:cs="Arial"/>
                <w:bCs/>
              </w:rPr>
              <w:lastRenderedPageBreak/>
              <w:t>Application rate(s) and frequency</w:t>
            </w:r>
          </w:p>
        </w:tc>
        <w:tc>
          <w:tcPr>
            <w:tcW w:w="3684"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9A85733" w14:textId="77777777" w:rsidR="00061409" w:rsidRPr="00064185" w:rsidRDefault="00061409" w:rsidP="00EA61D8">
            <w:pPr>
              <w:rPr>
                <w:rFonts w:cs="Arial"/>
                <w:b/>
                <w:bCs/>
                <w:lang w:val="en-US"/>
              </w:rPr>
            </w:pPr>
            <w:r w:rsidRPr="00064185">
              <w:rPr>
                <w:rFonts w:cs="Arial"/>
                <w:b/>
                <w:bCs/>
                <w:lang w:val="en-US"/>
              </w:rPr>
              <w:t>The application rate:</w:t>
            </w:r>
          </w:p>
          <w:p w14:paraId="36386E21" w14:textId="77777777" w:rsidR="0059252D" w:rsidRPr="00064185" w:rsidRDefault="00061409" w:rsidP="00EA61D8">
            <w:pPr>
              <w:rPr>
                <w:lang w:val="en-US"/>
              </w:rPr>
            </w:pPr>
            <w:r w:rsidRPr="00064185">
              <w:rPr>
                <w:u w:val="single"/>
                <w:lang w:val="en-US"/>
              </w:rPr>
              <w:t>Ants:</w:t>
            </w:r>
            <w:r w:rsidRPr="00064185">
              <w:rPr>
                <w:lang w:val="en-US"/>
              </w:rPr>
              <w:t xml:space="preserve"> </w:t>
            </w:r>
          </w:p>
          <w:p w14:paraId="5A2614A5" w14:textId="2DE5C606" w:rsidR="00061409" w:rsidRPr="00064185" w:rsidRDefault="00061409" w:rsidP="00EA61D8">
            <w:pPr>
              <w:ind w:left="389"/>
              <w:rPr>
                <w:rFonts w:cs="Arial"/>
                <w:bCs/>
                <w:lang w:val="en-US"/>
              </w:rPr>
            </w:pPr>
            <w:r w:rsidRPr="00064185">
              <w:rPr>
                <w:lang w:val="en-US"/>
              </w:rPr>
              <w:t xml:space="preserve">10 strokes for 1 m route correspond to 10 g product </w:t>
            </w:r>
            <w:r w:rsidRPr="00064185">
              <w:rPr>
                <w:rFonts w:cs="Arial"/>
                <w:bCs/>
                <w:lang w:val="en-US"/>
              </w:rPr>
              <w:t>(44.5 g/m²)</w:t>
            </w:r>
          </w:p>
          <w:p w14:paraId="09452F16" w14:textId="77777777" w:rsidR="00DF7F11" w:rsidRPr="00064185" w:rsidRDefault="00DF7F11" w:rsidP="00EA61D8">
            <w:pPr>
              <w:rPr>
                <w:rFonts w:cs="Arial"/>
                <w:bCs/>
                <w:lang w:val="en-US"/>
              </w:rPr>
            </w:pPr>
          </w:p>
          <w:p w14:paraId="34BDD3B8" w14:textId="5B96FFC4" w:rsidR="00F62F77" w:rsidRPr="00064185" w:rsidRDefault="00061409" w:rsidP="00EA61D8">
            <w:pPr>
              <w:rPr>
                <w:u w:val="single"/>
                <w:lang w:val="en-US"/>
              </w:rPr>
            </w:pPr>
            <w:r w:rsidRPr="00064185">
              <w:rPr>
                <w:u w:val="single"/>
                <w:lang w:val="en-US"/>
              </w:rPr>
              <w:t>Silv</w:t>
            </w:r>
            <w:r w:rsidR="005F4515" w:rsidRPr="00064185">
              <w:rPr>
                <w:u w:val="single"/>
                <w:lang w:val="en-US"/>
              </w:rPr>
              <w:t xml:space="preserve">erfishes, </w:t>
            </w:r>
            <w:r w:rsidR="00F27451" w:rsidRPr="00064185">
              <w:rPr>
                <w:u w:val="single"/>
                <w:lang w:val="en-US"/>
              </w:rPr>
              <w:t>w</w:t>
            </w:r>
            <w:r w:rsidR="005F4515" w:rsidRPr="00064185">
              <w:rPr>
                <w:u w:val="single"/>
                <w:lang w:val="en-US"/>
              </w:rPr>
              <w:t>ood</w:t>
            </w:r>
            <w:r w:rsidR="00F27451" w:rsidRPr="00064185">
              <w:rPr>
                <w:u w:val="single"/>
                <w:lang w:val="en-US"/>
              </w:rPr>
              <w:t>lice and c</w:t>
            </w:r>
            <w:r w:rsidR="005F4515" w:rsidRPr="00064185">
              <w:rPr>
                <w:u w:val="single"/>
                <w:lang w:val="en-US"/>
              </w:rPr>
              <w:t>ockroaches</w:t>
            </w:r>
            <w:r w:rsidRPr="00064185">
              <w:rPr>
                <w:u w:val="single"/>
                <w:lang w:val="en-US"/>
              </w:rPr>
              <w:t>:</w:t>
            </w:r>
            <w:r w:rsidRPr="00064185">
              <w:rPr>
                <w:lang w:val="en-US"/>
              </w:rPr>
              <w:t xml:space="preserve"> </w:t>
            </w:r>
          </w:p>
          <w:p w14:paraId="6FE30196" w14:textId="66E574AF" w:rsidR="0059252D" w:rsidRPr="00064185" w:rsidRDefault="00A62A41" w:rsidP="00EA61D8">
            <w:pPr>
              <w:ind w:left="389"/>
              <w:rPr>
                <w:rFonts w:cs="Arial"/>
                <w:bCs/>
                <w:u w:val="single"/>
                <w:lang w:val="en-US"/>
              </w:rPr>
            </w:pPr>
            <w:r w:rsidRPr="00064185">
              <w:rPr>
                <w:u w:val="single"/>
                <w:lang w:val="en-US"/>
              </w:rPr>
              <w:t>R</w:t>
            </w:r>
            <w:r w:rsidR="00061409" w:rsidRPr="00064185">
              <w:rPr>
                <w:u w:val="single"/>
                <w:lang w:val="en-US"/>
              </w:rPr>
              <w:t>esidual treatment</w:t>
            </w:r>
            <w:r w:rsidR="00061409" w:rsidRPr="00064185">
              <w:rPr>
                <w:rFonts w:cs="Arial"/>
                <w:bCs/>
                <w:u w:val="single"/>
                <w:lang w:val="en-US"/>
              </w:rPr>
              <w:t xml:space="preserve">: </w:t>
            </w:r>
          </w:p>
          <w:p w14:paraId="5E46CE91" w14:textId="72ED9C07" w:rsidR="00061409" w:rsidRPr="00064185" w:rsidRDefault="00F62F77" w:rsidP="00EA61D8">
            <w:pPr>
              <w:ind w:left="389"/>
            </w:pPr>
            <w:r w:rsidRPr="00064185">
              <w:rPr>
                <w:rFonts w:cs="Arial"/>
                <w:bCs/>
                <w:lang w:val="en-US"/>
              </w:rPr>
              <w:t>T</w:t>
            </w:r>
            <w:r w:rsidR="00061409" w:rsidRPr="00064185">
              <w:rPr>
                <w:rFonts w:cs="Arial"/>
                <w:bCs/>
              </w:rPr>
              <w:t>reat</w:t>
            </w:r>
            <w:r w:rsidR="00061409" w:rsidRPr="00064185">
              <w:t xml:space="preserve"> surfaces from a distance of ca. 30 cm with the trigger sprayer applying </w:t>
            </w:r>
            <w:r w:rsidR="005F4515" w:rsidRPr="00064185">
              <w:t>spotwise</w:t>
            </w:r>
            <w:r w:rsidR="00FE6332" w:rsidRPr="00064185">
              <w:t xml:space="preserve"> </w:t>
            </w:r>
            <w:r w:rsidR="00061409" w:rsidRPr="00064185">
              <w:t xml:space="preserve">5 to 6 strokes </w:t>
            </w:r>
            <w:r w:rsidR="00FE6332" w:rsidRPr="00064185">
              <w:t>(</w:t>
            </w:r>
            <w:r w:rsidR="00B953E5" w:rsidRPr="00064185">
              <w:t>100 g/m²</w:t>
            </w:r>
            <w:r w:rsidR="00061409" w:rsidRPr="00064185">
              <w:t xml:space="preserve">). Apply only where insects are expected running over. </w:t>
            </w:r>
          </w:p>
          <w:p w14:paraId="3E2C1790" w14:textId="77777777" w:rsidR="00DF7F11" w:rsidRPr="00064185" w:rsidRDefault="00DF7F11" w:rsidP="00EA61D8">
            <w:pPr>
              <w:rPr>
                <w:b/>
                <w:lang w:val="en-US"/>
              </w:rPr>
            </w:pPr>
          </w:p>
          <w:p w14:paraId="78539520" w14:textId="77777777" w:rsidR="00061409" w:rsidRPr="00064185" w:rsidRDefault="00061409" w:rsidP="00EA61D8">
            <w:pPr>
              <w:rPr>
                <w:rFonts w:cs="Arial"/>
                <w:b/>
                <w:bCs/>
                <w:lang w:val="en-US"/>
              </w:rPr>
            </w:pPr>
            <w:r w:rsidRPr="00064185">
              <w:rPr>
                <w:rFonts w:cs="Arial"/>
                <w:b/>
                <w:bCs/>
                <w:lang w:val="en-US"/>
              </w:rPr>
              <w:t>Number and timing of application:</w:t>
            </w:r>
          </w:p>
          <w:p w14:paraId="76BBA559" w14:textId="77777777" w:rsidR="0059252D" w:rsidRPr="00064185" w:rsidRDefault="00061409" w:rsidP="00EA61D8">
            <w:pPr>
              <w:pStyle w:val="Column3"/>
              <w:ind w:left="0"/>
              <w:rPr>
                <w:rFonts w:ascii="Verdana" w:eastAsia="Times New Roman" w:hAnsi="Verdana" w:cs="Arial"/>
                <w:bCs/>
                <w:sz w:val="20"/>
                <w:szCs w:val="20"/>
                <w:u w:val="single"/>
                <w:lang w:val="en-US" w:eastAsia="de-DE"/>
              </w:rPr>
            </w:pPr>
            <w:r w:rsidRPr="00064185">
              <w:rPr>
                <w:rFonts w:ascii="Verdana" w:eastAsia="Times New Roman" w:hAnsi="Verdana" w:cs="Arial"/>
                <w:bCs/>
                <w:sz w:val="20"/>
                <w:szCs w:val="20"/>
                <w:u w:val="single"/>
                <w:lang w:val="en-US" w:eastAsia="de-DE"/>
              </w:rPr>
              <w:t xml:space="preserve">Against ants: </w:t>
            </w:r>
          </w:p>
          <w:p w14:paraId="398CE436" w14:textId="15C7F77F" w:rsidR="00061409" w:rsidRPr="00064185" w:rsidRDefault="006C27ED" w:rsidP="00EA61D8">
            <w:pPr>
              <w:pStyle w:val="Column3"/>
              <w:ind w:left="0"/>
              <w:rPr>
                <w:rFonts w:ascii="Verdana" w:eastAsia="Times New Roman" w:hAnsi="Verdana" w:cs="Arial"/>
                <w:bCs/>
                <w:sz w:val="20"/>
                <w:szCs w:val="20"/>
                <w:lang w:val="en-US" w:eastAsia="de-DE"/>
              </w:rPr>
            </w:pPr>
            <w:r w:rsidRPr="00064185">
              <w:rPr>
                <w:rFonts w:ascii="Verdana" w:eastAsia="Times New Roman" w:hAnsi="Verdana" w:cs="Arial"/>
                <w:bCs/>
                <w:sz w:val="20"/>
                <w:szCs w:val="20"/>
                <w:lang w:val="en-US" w:eastAsia="de-DE"/>
              </w:rPr>
              <w:t>M</w:t>
            </w:r>
            <w:r w:rsidR="006739C7" w:rsidRPr="00064185">
              <w:rPr>
                <w:rFonts w:ascii="Verdana" w:eastAsia="Times New Roman" w:hAnsi="Verdana" w:cs="Arial"/>
                <w:bCs/>
                <w:sz w:val="20"/>
                <w:szCs w:val="20"/>
                <w:lang w:val="en-US" w:eastAsia="de-DE"/>
              </w:rPr>
              <w:t xml:space="preserve">aximum </w:t>
            </w:r>
            <w:r w:rsidR="004B74F5" w:rsidRPr="00064185">
              <w:rPr>
                <w:rFonts w:ascii="Verdana" w:hAnsi="Verdana"/>
                <w:sz w:val="20"/>
                <w:szCs w:val="20"/>
                <w:lang w:val="en-US" w:eastAsia="de-AT"/>
              </w:rPr>
              <w:t>once per month during season of ant activity</w:t>
            </w:r>
            <w:r w:rsidR="00D8565A" w:rsidRPr="00064185">
              <w:rPr>
                <w:rFonts w:ascii="Verdana" w:hAnsi="Verdana"/>
                <w:sz w:val="20"/>
                <w:szCs w:val="20"/>
                <w:lang w:val="en-US" w:eastAsia="de-AT"/>
              </w:rPr>
              <w:t>.</w:t>
            </w:r>
            <w:r w:rsidR="004B74F5" w:rsidRPr="00064185">
              <w:rPr>
                <w:rFonts w:ascii="Verdana" w:hAnsi="Verdana"/>
                <w:sz w:val="20"/>
                <w:szCs w:val="20"/>
                <w:lang w:val="en-US" w:eastAsia="de-AT"/>
              </w:rPr>
              <w:t xml:space="preserve"> </w:t>
            </w:r>
          </w:p>
          <w:p w14:paraId="02551B87" w14:textId="77777777" w:rsidR="00D8565A" w:rsidRPr="00064185" w:rsidRDefault="00D8565A" w:rsidP="00EA61D8">
            <w:pPr>
              <w:pStyle w:val="Column3"/>
              <w:ind w:left="0"/>
              <w:rPr>
                <w:rFonts w:ascii="Verdana" w:eastAsia="Times New Roman" w:hAnsi="Verdana" w:cs="Arial"/>
                <w:bCs/>
                <w:sz w:val="20"/>
                <w:szCs w:val="20"/>
                <w:lang w:val="en-US" w:eastAsia="de-DE"/>
              </w:rPr>
            </w:pPr>
          </w:p>
          <w:p w14:paraId="6D68C77A" w14:textId="18E1E6BA" w:rsidR="00D8565A" w:rsidRPr="00064185" w:rsidRDefault="00867BB9" w:rsidP="00EA61D8">
            <w:pPr>
              <w:pStyle w:val="Column3"/>
              <w:ind w:left="0"/>
              <w:rPr>
                <w:rFonts w:ascii="Verdana" w:eastAsia="Times New Roman" w:hAnsi="Verdana"/>
                <w:sz w:val="20"/>
                <w:u w:val="single"/>
                <w:lang w:val="en-US" w:eastAsia="de-DE"/>
              </w:rPr>
            </w:pPr>
            <w:r w:rsidRPr="00064185">
              <w:rPr>
                <w:rFonts w:ascii="Verdana" w:eastAsia="Times New Roman" w:hAnsi="Verdana"/>
                <w:sz w:val="20"/>
                <w:u w:val="single"/>
                <w:lang w:val="en-US" w:eastAsia="de-DE"/>
              </w:rPr>
              <w:t xml:space="preserve">Against </w:t>
            </w:r>
            <w:r w:rsidRPr="00064185">
              <w:rPr>
                <w:rFonts w:ascii="Verdana" w:eastAsia="Times New Roman" w:hAnsi="Verdana" w:cs="Arial"/>
                <w:bCs/>
                <w:sz w:val="20"/>
                <w:szCs w:val="20"/>
                <w:u w:val="single"/>
                <w:lang w:val="en-US" w:eastAsia="de-DE"/>
              </w:rPr>
              <w:t>silverfish</w:t>
            </w:r>
            <w:r w:rsidR="00EF4E98" w:rsidRPr="00064185">
              <w:rPr>
                <w:rFonts w:ascii="Verdana" w:eastAsia="Times New Roman" w:hAnsi="Verdana" w:cs="Arial"/>
                <w:bCs/>
                <w:sz w:val="20"/>
                <w:szCs w:val="20"/>
                <w:u w:val="single"/>
                <w:lang w:val="en-US" w:eastAsia="de-DE"/>
              </w:rPr>
              <w:t>es:</w:t>
            </w:r>
          </w:p>
          <w:p w14:paraId="0B7181CD" w14:textId="275A2057" w:rsidR="00867BB9" w:rsidRPr="00064185" w:rsidRDefault="00D8565A" w:rsidP="00EA61D8">
            <w:pPr>
              <w:pStyle w:val="Column3"/>
              <w:ind w:left="0"/>
              <w:rPr>
                <w:rFonts w:ascii="Verdana" w:eastAsia="Times New Roman" w:hAnsi="Verdana" w:cs="Arial"/>
                <w:bCs/>
                <w:sz w:val="20"/>
                <w:szCs w:val="20"/>
                <w:lang w:val="en-US" w:eastAsia="de-DE"/>
              </w:rPr>
            </w:pPr>
            <w:r w:rsidRPr="00064185">
              <w:rPr>
                <w:rFonts w:ascii="Verdana" w:eastAsia="Times New Roman" w:hAnsi="Verdana" w:cs="Arial"/>
                <w:bCs/>
                <w:sz w:val="20"/>
                <w:szCs w:val="20"/>
                <w:lang w:val="en-US" w:eastAsia="de-DE"/>
              </w:rPr>
              <w:t>E</w:t>
            </w:r>
            <w:r w:rsidR="00867BB9" w:rsidRPr="00064185">
              <w:rPr>
                <w:rFonts w:ascii="Verdana" w:eastAsia="Times New Roman" w:hAnsi="Verdana" w:cs="Arial"/>
                <w:bCs/>
                <w:sz w:val="20"/>
                <w:szCs w:val="20"/>
                <w:lang w:val="en-US" w:eastAsia="de-DE"/>
              </w:rPr>
              <w:t>very 2 weeks, if pest occurs again</w:t>
            </w:r>
            <w:r w:rsidRPr="00064185">
              <w:rPr>
                <w:rFonts w:ascii="Verdana" w:eastAsia="Times New Roman" w:hAnsi="Verdana" w:cs="Arial"/>
                <w:bCs/>
                <w:sz w:val="20"/>
                <w:szCs w:val="20"/>
                <w:lang w:val="en-US" w:eastAsia="de-DE"/>
              </w:rPr>
              <w:t>.</w:t>
            </w:r>
            <w:r w:rsidR="00867BB9" w:rsidRPr="00064185">
              <w:rPr>
                <w:rFonts w:ascii="Verdana" w:eastAsia="Times New Roman" w:hAnsi="Verdana" w:cs="Arial"/>
                <w:bCs/>
                <w:sz w:val="20"/>
                <w:szCs w:val="20"/>
                <w:lang w:val="en-US" w:eastAsia="de-DE"/>
              </w:rPr>
              <w:t xml:space="preserve"> </w:t>
            </w:r>
          </w:p>
          <w:p w14:paraId="285B60E9" w14:textId="77777777" w:rsidR="0059252D" w:rsidRPr="00064185" w:rsidRDefault="0059252D" w:rsidP="00EA61D8">
            <w:pPr>
              <w:pStyle w:val="Column3"/>
              <w:ind w:left="0"/>
              <w:rPr>
                <w:rFonts w:ascii="Verdana" w:eastAsia="Times New Roman" w:hAnsi="Verdana" w:cs="Arial"/>
                <w:bCs/>
                <w:sz w:val="20"/>
                <w:szCs w:val="20"/>
                <w:lang w:val="en-US" w:eastAsia="de-DE"/>
              </w:rPr>
            </w:pPr>
          </w:p>
          <w:p w14:paraId="187BE280" w14:textId="54A1A3BC" w:rsidR="0059252D" w:rsidRPr="00064185" w:rsidRDefault="00061409" w:rsidP="00EA61D8">
            <w:pPr>
              <w:pStyle w:val="Column3"/>
              <w:ind w:left="0"/>
              <w:rPr>
                <w:rFonts w:ascii="Verdana" w:eastAsia="Times New Roman" w:hAnsi="Verdana" w:cs="Arial"/>
                <w:bCs/>
                <w:sz w:val="20"/>
                <w:szCs w:val="20"/>
                <w:u w:val="single"/>
                <w:lang w:val="en-US" w:eastAsia="de-DE"/>
              </w:rPr>
            </w:pPr>
            <w:r w:rsidRPr="00064185">
              <w:rPr>
                <w:rFonts w:ascii="Verdana" w:eastAsia="Times New Roman" w:hAnsi="Verdana" w:cs="Arial"/>
                <w:bCs/>
                <w:sz w:val="20"/>
                <w:szCs w:val="20"/>
                <w:u w:val="single"/>
                <w:lang w:val="en-US" w:eastAsia="de-DE"/>
              </w:rPr>
              <w:t xml:space="preserve">Against woodlice: </w:t>
            </w:r>
          </w:p>
          <w:p w14:paraId="6D1BC18F" w14:textId="508D856F" w:rsidR="00061409" w:rsidRPr="00064185" w:rsidRDefault="00D8565A" w:rsidP="00EA61D8">
            <w:pPr>
              <w:pStyle w:val="Column3"/>
              <w:ind w:left="0"/>
              <w:rPr>
                <w:rFonts w:ascii="Verdana" w:eastAsia="Times New Roman" w:hAnsi="Verdana" w:cs="Arial"/>
                <w:bCs/>
                <w:sz w:val="20"/>
                <w:szCs w:val="20"/>
                <w:lang w:val="en-US" w:eastAsia="de-DE"/>
              </w:rPr>
            </w:pPr>
            <w:r w:rsidRPr="00064185">
              <w:rPr>
                <w:rFonts w:ascii="Verdana" w:eastAsia="Times New Roman" w:hAnsi="Verdana" w:cs="Arial"/>
                <w:bCs/>
                <w:sz w:val="20"/>
                <w:szCs w:val="20"/>
                <w:lang w:val="en-US" w:eastAsia="de-DE"/>
              </w:rPr>
              <w:t>E</w:t>
            </w:r>
            <w:r w:rsidR="006D6A0F" w:rsidRPr="00064185">
              <w:rPr>
                <w:rFonts w:ascii="Verdana" w:eastAsia="Times New Roman" w:hAnsi="Verdana" w:cs="Arial"/>
                <w:bCs/>
                <w:sz w:val="20"/>
                <w:szCs w:val="20"/>
                <w:lang w:val="en-US" w:eastAsia="de-DE"/>
              </w:rPr>
              <w:t>very 26 weeks, if pest occurs again</w:t>
            </w:r>
            <w:r w:rsidRPr="00064185">
              <w:rPr>
                <w:rFonts w:ascii="Verdana" w:eastAsia="Times New Roman" w:hAnsi="Verdana" w:cs="Arial"/>
                <w:bCs/>
                <w:sz w:val="20"/>
                <w:szCs w:val="20"/>
                <w:lang w:val="en-US" w:eastAsia="de-DE"/>
              </w:rPr>
              <w:t>.</w:t>
            </w:r>
          </w:p>
          <w:p w14:paraId="5107BF58" w14:textId="77777777" w:rsidR="00D8565A" w:rsidRPr="00064185" w:rsidRDefault="00D8565A" w:rsidP="00EA61D8">
            <w:pPr>
              <w:pStyle w:val="Column3"/>
              <w:ind w:left="0"/>
              <w:rPr>
                <w:rFonts w:ascii="Verdana" w:eastAsia="Times New Roman" w:hAnsi="Verdana" w:cs="Arial"/>
                <w:bCs/>
                <w:sz w:val="20"/>
                <w:szCs w:val="20"/>
                <w:lang w:val="en-US" w:eastAsia="de-DE"/>
              </w:rPr>
            </w:pPr>
          </w:p>
          <w:p w14:paraId="50CCCAA9" w14:textId="77777777" w:rsidR="00D8565A" w:rsidRPr="00064185" w:rsidRDefault="00061409" w:rsidP="00EA61D8">
            <w:pPr>
              <w:pStyle w:val="Column3"/>
              <w:ind w:left="0"/>
              <w:rPr>
                <w:rFonts w:ascii="Verdana" w:eastAsia="Times New Roman" w:hAnsi="Verdana" w:cs="Arial"/>
                <w:bCs/>
                <w:sz w:val="20"/>
                <w:szCs w:val="20"/>
                <w:u w:val="single"/>
                <w:lang w:val="en-US" w:eastAsia="de-DE"/>
              </w:rPr>
            </w:pPr>
            <w:r w:rsidRPr="00064185">
              <w:rPr>
                <w:rFonts w:ascii="Verdana" w:eastAsia="Times New Roman" w:hAnsi="Verdana" w:cs="Arial"/>
                <w:bCs/>
                <w:sz w:val="20"/>
                <w:szCs w:val="20"/>
                <w:u w:val="single"/>
                <w:lang w:val="en-US" w:eastAsia="de-DE"/>
              </w:rPr>
              <w:t xml:space="preserve">Against cockroaches: </w:t>
            </w:r>
          </w:p>
          <w:p w14:paraId="259EDC1D" w14:textId="71B7141A" w:rsidR="00061409" w:rsidRPr="00064185" w:rsidRDefault="00D8565A" w:rsidP="006255E9">
            <w:pPr>
              <w:pStyle w:val="Column3"/>
              <w:ind w:left="0"/>
              <w:rPr>
                <w:rFonts w:cs="Arial"/>
                <w:lang w:val="en-US"/>
              </w:rPr>
            </w:pPr>
            <w:r w:rsidRPr="00064185">
              <w:rPr>
                <w:rFonts w:ascii="Verdana" w:eastAsia="Times New Roman" w:hAnsi="Verdana" w:cs="Arial"/>
                <w:bCs/>
                <w:sz w:val="20"/>
                <w:szCs w:val="20"/>
                <w:lang w:val="en-US" w:eastAsia="de-DE"/>
              </w:rPr>
              <w:t>E</w:t>
            </w:r>
            <w:r w:rsidR="00867BB9" w:rsidRPr="00064185">
              <w:rPr>
                <w:rFonts w:ascii="Verdana" w:eastAsia="Times New Roman" w:hAnsi="Verdana" w:cs="Arial"/>
                <w:bCs/>
                <w:sz w:val="20"/>
                <w:szCs w:val="20"/>
                <w:lang w:val="en-US" w:eastAsia="de-DE"/>
              </w:rPr>
              <w:t xml:space="preserve">very </w:t>
            </w:r>
            <w:r w:rsidR="00061409" w:rsidRPr="00064185">
              <w:rPr>
                <w:rFonts w:ascii="Verdana" w:eastAsia="Times New Roman" w:hAnsi="Verdana" w:cs="Arial"/>
                <w:bCs/>
                <w:sz w:val="20"/>
                <w:szCs w:val="20"/>
                <w:lang w:val="en-US" w:eastAsia="de-DE"/>
              </w:rPr>
              <w:t>week</w:t>
            </w:r>
            <w:r w:rsidR="00867BB9" w:rsidRPr="00064185">
              <w:rPr>
                <w:rFonts w:ascii="Verdana" w:eastAsia="Times New Roman" w:hAnsi="Verdana" w:cs="Arial"/>
                <w:bCs/>
                <w:sz w:val="20"/>
                <w:szCs w:val="20"/>
                <w:lang w:val="en-US" w:eastAsia="de-DE"/>
              </w:rPr>
              <w:t xml:space="preserve"> (porous ground e.g.</w:t>
            </w:r>
            <w:r w:rsidR="00EF4E98" w:rsidRPr="00064185">
              <w:rPr>
                <w:rFonts w:ascii="Verdana" w:eastAsia="Times New Roman" w:hAnsi="Verdana" w:cs="Arial"/>
                <w:bCs/>
                <w:sz w:val="20"/>
                <w:szCs w:val="20"/>
                <w:lang w:val="en-US" w:eastAsia="de-DE"/>
              </w:rPr>
              <w:t xml:space="preserve"> </w:t>
            </w:r>
            <w:r w:rsidR="00867BB9" w:rsidRPr="00064185">
              <w:rPr>
                <w:rFonts w:ascii="Verdana" w:eastAsia="Times New Roman" w:hAnsi="Verdana" w:cs="Arial"/>
                <w:bCs/>
                <w:sz w:val="20"/>
                <w:szCs w:val="20"/>
                <w:lang w:val="en-US" w:eastAsia="de-DE"/>
              </w:rPr>
              <w:t>vinyl)</w:t>
            </w:r>
            <w:proofErr w:type="gramStart"/>
            <w:r w:rsidR="00A62A41" w:rsidRPr="00064185">
              <w:rPr>
                <w:rFonts w:ascii="Verdana" w:eastAsia="Times New Roman" w:hAnsi="Verdana" w:cs="Arial"/>
                <w:bCs/>
                <w:sz w:val="20"/>
                <w:szCs w:val="20"/>
                <w:lang w:val="en-US" w:eastAsia="de-DE"/>
              </w:rPr>
              <w:t>;</w:t>
            </w:r>
            <w:r w:rsidR="00867BB9" w:rsidRPr="00064185" w:rsidDel="006255E9">
              <w:rPr>
                <w:rFonts w:ascii="Verdana" w:eastAsia="Times New Roman" w:hAnsi="Verdana" w:cs="Arial"/>
                <w:bCs/>
                <w:sz w:val="20"/>
                <w:szCs w:val="20"/>
                <w:lang w:val="en-US" w:eastAsia="de-DE"/>
              </w:rPr>
              <w:t>every</w:t>
            </w:r>
            <w:proofErr w:type="gramEnd"/>
            <w:r w:rsidR="00867BB9" w:rsidRPr="00064185" w:rsidDel="006255E9">
              <w:rPr>
                <w:rFonts w:ascii="Verdana" w:eastAsia="Times New Roman" w:hAnsi="Verdana" w:cs="Arial"/>
                <w:bCs/>
                <w:sz w:val="20"/>
                <w:szCs w:val="20"/>
                <w:lang w:val="en-US" w:eastAsia="de-DE"/>
              </w:rPr>
              <w:t xml:space="preserve"> 24 weeks </w:t>
            </w:r>
            <w:r w:rsidR="00867BB9" w:rsidRPr="00064185">
              <w:rPr>
                <w:rFonts w:ascii="Verdana" w:eastAsia="Times New Roman" w:hAnsi="Verdana" w:cs="Arial"/>
                <w:bCs/>
                <w:sz w:val="20"/>
                <w:szCs w:val="20"/>
                <w:lang w:val="en-US" w:eastAsia="de-DE"/>
              </w:rPr>
              <w:t>(non-porous ground e.g. glazed tiles), if pest occurs again.</w:t>
            </w:r>
          </w:p>
        </w:tc>
      </w:tr>
      <w:tr w:rsidR="00064185" w:rsidRPr="00064185" w14:paraId="5927C341" w14:textId="77777777" w:rsidTr="00450CBF">
        <w:trPr>
          <w:cantSplit/>
        </w:trPr>
        <w:tc>
          <w:tcPr>
            <w:tcW w:w="1316"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F7ACDC2" w14:textId="77777777" w:rsidR="00061409" w:rsidRPr="00064185" w:rsidRDefault="00061409" w:rsidP="00EA61D8">
            <w:pPr>
              <w:spacing w:line="260" w:lineRule="atLeast"/>
              <w:rPr>
                <w:rFonts w:eastAsia="Calibri" w:cs="Arial"/>
                <w:bCs/>
                <w:lang w:val="de-DE"/>
              </w:rPr>
            </w:pPr>
            <w:r w:rsidRPr="00064185">
              <w:rPr>
                <w:rFonts w:eastAsia="Calibri" w:cs="Arial"/>
                <w:bCs/>
              </w:rPr>
              <w:t>Category(ies) of users</w:t>
            </w:r>
          </w:p>
        </w:tc>
        <w:tc>
          <w:tcPr>
            <w:tcW w:w="3684" w:type="pct"/>
            <w:tcBorders>
              <w:top w:val="nil"/>
              <w:left w:val="nil"/>
              <w:bottom w:val="single" w:sz="4" w:space="0" w:color="000000"/>
              <w:right w:val="single" w:sz="4" w:space="0" w:color="000000"/>
            </w:tcBorders>
            <w:tcMar>
              <w:top w:w="40" w:type="dxa"/>
              <w:left w:w="40" w:type="dxa"/>
              <w:bottom w:w="40" w:type="dxa"/>
              <w:right w:w="40" w:type="dxa"/>
            </w:tcMar>
          </w:tcPr>
          <w:p w14:paraId="5534798C" w14:textId="2AE1F2B7" w:rsidR="00061409" w:rsidRPr="00064185" w:rsidRDefault="00A37466" w:rsidP="00EA61D8">
            <w:pPr>
              <w:spacing w:line="260" w:lineRule="atLeast"/>
              <w:rPr>
                <w:rFonts w:eastAsia="Calibri" w:cs="Arial"/>
                <w:bCs/>
                <w:lang w:val="de-DE"/>
              </w:rPr>
            </w:pPr>
            <w:r w:rsidRPr="00064185">
              <w:rPr>
                <w:rFonts w:cs="Arial"/>
                <w:bCs/>
              </w:rPr>
              <w:t>N</w:t>
            </w:r>
            <w:r w:rsidR="00061409" w:rsidRPr="00064185">
              <w:rPr>
                <w:rFonts w:cs="Arial"/>
                <w:bCs/>
              </w:rPr>
              <w:t>on-professional</w:t>
            </w:r>
            <w:r w:rsidR="00DA1B58" w:rsidRPr="00064185">
              <w:rPr>
                <w:rFonts w:cs="Arial"/>
                <w:bCs/>
              </w:rPr>
              <w:t>s</w:t>
            </w:r>
          </w:p>
        </w:tc>
      </w:tr>
      <w:tr w:rsidR="00061409" w:rsidRPr="00064185" w14:paraId="306E12A9" w14:textId="77777777" w:rsidTr="00450CBF">
        <w:trPr>
          <w:cantSplit/>
        </w:trPr>
        <w:tc>
          <w:tcPr>
            <w:tcW w:w="1316"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57A74D2" w14:textId="77777777" w:rsidR="00061409" w:rsidRPr="00064185" w:rsidRDefault="00061409" w:rsidP="00EA61D8">
            <w:pPr>
              <w:spacing w:line="260" w:lineRule="atLeast"/>
              <w:rPr>
                <w:rFonts w:eastAsia="Calibri" w:cs="Arial"/>
                <w:bCs/>
                <w:lang w:val="en-US"/>
              </w:rPr>
            </w:pPr>
            <w:r w:rsidRPr="00064185">
              <w:rPr>
                <w:rFonts w:eastAsia="Calibri" w:cs="Arial"/>
                <w:bCs/>
              </w:rPr>
              <w:t>Pack sizes and packaging material</w:t>
            </w:r>
          </w:p>
        </w:tc>
        <w:tc>
          <w:tcPr>
            <w:tcW w:w="3684" w:type="pct"/>
            <w:tcBorders>
              <w:top w:val="nil"/>
              <w:left w:val="nil"/>
              <w:bottom w:val="single" w:sz="4" w:space="0" w:color="000000"/>
              <w:right w:val="single" w:sz="4" w:space="0" w:color="000000"/>
            </w:tcBorders>
            <w:tcMar>
              <w:top w:w="40" w:type="dxa"/>
              <w:left w:w="40" w:type="dxa"/>
              <w:bottom w:w="40" w:type="dxa"/>
              <w:right w:w="40" w:type="dxa"/>
            </w:tcMar>
          </w:tcPr>
          <w:p w14:paraId="25E07ED2" w14:textId="77777777" w:rsidR="00061409" w:rsidRPr="00064185" w:rsidRDefault="00061409" w:rsidP="00EA61D8">
            <w:pPr>
              <w:spacing w:line="260" w:lineRule="atLeast"/>
              <w:rPr>
                <w:rFonts w:eastAsia="Calibri" w:cs="Arial"/>
                <w:bCs/>
              </w:rPr>
            </w:pPr>
            <w:r w:rsidRPr="00064185">
              <w:rPr>
                <w:rFonts w:cs="Arial"/>
              </w:rPr>
              <w:t>Please see the relevant section.</w:t>
            </w:r>
          </w:p>
        </w:tc>
      </w:tr>
    </w:tbl>
    <w:p w14:paraId="5BF2380D" w14:textId="74B7CC84" w:rsidR="00450CBF" w:rsidRPr="00064185" w:rsidRDefault="00450CBF" w:rsidP="00EA61D8">
      <w:pPr>
        <w:keepNext/>
        <w:spacing w:after="255" w:line="255" w:lineRule="exact"/>
        <w:ind w:left="709"/>
        <w:outlineLvl w:val="4"/>
        <w:rPr>
          <w:rFonts w:eastAsia="Calibri"/>
        </w:rPr>
      </w:pPr>
    </w:p>
    <w:p w14:paraId="74EE398C" w14:textId="46AE5DAA" w:rsidR="00450CBF" w:rsidRPr="00064185" w:rsidRDefault="00450CBF" w:rsidP="00EA61D8">
      <w:pPr>
        <w:keepNext/>
        <w:numPr>
          <w:ilvl w:val="3"/>
          <w:numId w:val="3"/>
        </w:numPr>
        <w:spacing w:after="255" w:line="255" w:lineRule="exact"/>
        <w:outlineLvl w:val="4"/>
        <w:rPr>
          <w:rFonts w:eastAsia="Calibri"/>
        </w:rPr>
      </w:pPr>
      <w:r w:rsidRPr="00064185">
        <w:rPr>
          <w:rFonts w:eastAsia="Calibri"/>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50CBF" w:rsidRPr="00064185" w14:paraId="357BE226" w14:textId="77777777" w:rsidTr="005571C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22A0B3" w14:textId="77777777" w:rsidR="00450CBF" w:rsidRPr="00064185" w:rsidRDefault="006C0C16" w:rsidP="00EA61D8">
            <w:pPr>
              <w:spacing w:line="260" w:lineRule="atLeast"/>
              <w:rPr>
                <w:rFonts w:eastAsia="Calibri"/>
                <w:lang w:eastAsia="en-GB"/>
              </w:rPr>
            </w:pPr>
            <w:r w:rsidRPr="00064185">
              <w:rPr>
                <w:rFonts w:eastAsia="Calibri"/>
              </w:rPr>
              <w:t>---</w:t>
            </w:r>
          </w:p>
        </w:tc>
      </w:tr>
    </w:tbl>
    <w:p w14:paraId="788F8A47" w14:textId="2CBE38D9" w:rsidR="00450CBF" w:rsidRPr="00064185" w:rsidRDefault="00450CBF" w:rsidP="00EA61D8">
      <w:pPr>
        <w:keepNext/>
        <w:spacing w:after="255" w:line="255" w:lineRule="exact"/>
        <w:outlineLvl w:val="4"/>
        <w:rPr>
          <w:rFonts w:eastAsia="Calibri"/>
        </w:rPr>
      </w:pPr>
    </w:p>
    <w:p w14:paraId="35B8BEBA" w14:textId="77777777" w:rsidR="00450CBF" w:rsidRPr="00064185" w:rsidRDefault="00450CBF" w:rsidP="00EA61D8">
      <w:pPr>
        <w:keepNext/>
        <w:numPr>
          <w:ilvl w:val="3"/>
          <w:numId w:val="3"/>
        </w:numPr>
        <w:spacing w:after="255" w:line="255" w:lineRule="exact"/>
        <w:outlineLvl w:val="4"/>
        <w:rPr>
          <w:rFonts w:eastAsia="Calibri"/>
        </w:rPr>
      </w:pPr>
      <w:r w:rsidRPr="00064185">
        <w:rPr>
          <w:rFonts w:eastAsia="Calibri"/>
        </w:rPr>
        <w:t>Use-specific risk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50CBF" w:rsidRPr="00064185" w14:paraId="7EDE927E" w14:textId="77777777" w:rsidTr="005571C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47C1B1" w14:textId="14A5FA5F" w:rsidR="00450CBF" w:rsidRPr="00064185" w:rsidRDefault="0007028C" w:rsidP="00EA61D8">
            <w:pPr>
              <w:widowControl w:val="0"/>
              <w:autoSpaceDE w:val="0"/>
              <w:autoSpaceDN w:val="0"/>
              <w:adjustRightInd w:val="0"/>
              <w:spacing w:before="60" w:after="60"/>
              <w:contextualSpacing/>
              <w:rPr>
                <w:rFonts w:cs="Times"/>
                <w:bCs/>
                <w:szCs w:val="29"/>
              </w:rPr>
            </w:pPr>
            <w:r w:rsidRPr="00064185">
              <w:t xml:space="preserve">--- </w:t>
            </w:r>
          </w:p>
        </w:tc>
      </w:tr>
    </w:tbl>
    <w:p w14:paraId="3BA6DAE5" w14:textId="77777777" w:rsidR="00450CBF" w:rsidRPr="00064185" w:rsidRDefault="00450CBF" w:rsidP="00EA61D8">
      <w:pPr>
        <w:keepNext/>
        <w:spacing w:after="255" w:line="255" w:lineRule="exact"/>
        <w:ind w:left="709"/>
        <w:outlineLvl w:val="4"/>
        <w:rPr>
          <w:rFonts w:eastAsia="Calibri"/>
        </w:rPr>
      </w:pPr>
    </w:p>
    <w:p w14:paraId="0B28450F" w14:textId="77777777" w:rsidR="00450CBF" w:rsidRPr="00064185" w:rsidRDefault="00450CBF" w:rsidP="00EA61D8">
      <w:pPr>
        <w:keepNext/>
        <w:numPr>
          <w:ilvl w:val="3"/>
          <w:numId w:val="3"/>
        </w:numPr>
        <w:spacing w:after="255" w:line="255" w:lineRule="exact"/>
        <w:outlineLvl w:val="4"/>
        <w:rPr>
          <w:rFonts w:eastAsia="Calibri"/>
        </w:rPr>
      </w:pPr>
      <w:r w:rsidRPr="00064185">
        <w:rPr>
          <w:rFonts w:eastAsia="Calibri"/>
        </w:rPr>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50CBF" w:rsidRPr="00064185" w14:paraId="1E282325" w14:textId="77777777" w:rsidTr="005571C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EDF6F7" w14:textId="77777777" w:rsidR="00450CBF" w:rsidRPr="00064185" w:rsidRDefault="00450CBF" w:rsidP="00EA61D8">
            <w:pPr>
              <w:widowControl w:val="0"/>
              <w:autoSpaceDE w:val="0"/>
              <w:autoSpaceDN w:val="0"/>
              <w:adjustRightInd w:val="0"/>
              <w:spacing w:before="60" w:after="60"/>
              <w:rPr>
                <w:rFonts w:cs="Times"/>
                <w:bCs/>
                <w:szCs w:val="29"/>
              </w:rPr>
            </w:pPr>
            <w:r w:rsidRPr="00064185">
              <w:rPr>
                <w:rFonts w:cs="Times"/>
                <w:bCs/>
                <w:szCs w:val="29"/>
              </w:rPr>
              <w:t>---</w:t>
            </w:r>
          </w:p>
        </w:tc>
      </w:tr>
    </w:tbl>
    <w:p w14:paraId="04D90BE0" w14:textId="77777777" w:rsidR="00450CBF" w:rsidRPr="00064185" w:rsidRDefault="00450CBF" w:rsidP="00EA61D8">
      <w:pPr>
        <w:keepNext/>
        <w:spacing w:after="255" w:line="255" w:lineRule="exact"/>
        <w:ind w:left="709"/>
        <w:outlineLvl w:val="4"/>
        <w:rPr>
          <w:rFonts w:eastAsia="Calibri"/>
        </w:rPr>
      </w:pPr>
    </w:p>
    <w:p w14:paraId="15A94427" w14:textId="77777777" w:rsidR="00450CBF" w:rsidRPr="00064185" w:rsidRDefault="00450CBF" w:rsidP="00EA61D8">
      <w:pPr>
        <w:keepNext/>
        <w:numPr>
          <w:ilvl w:val="3"/>
          <w:numId w:val="3"/>
        </w:numPr>
        <w:spacing w:after="255" w:line="255" w:lineRule="exact"/>
        <w:outlineLvl w:val="4"/>
        <w:rPr>
          <w:rFonts w:eastAsia="Calibri"/>
        </w:rPr>
      </w:pPr>
      <w:r w:rsidRPr="00064185">
        <w:rPr>
          <w:rFonts w:eastAsia="Calibri"/>
        </w:rPr>
        <w:t xml:space="preserve">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50CBF" w:rsidRPr="00064185" w14:paraId="69926C99" w14:textId="77777777" w:rsidTr="005571C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A8535A" w14:textId="07FDCA14" w:rsidR="00450CBF" w:rsidRPr="00064185" w:rsidRDefault="0044041B" w:rsidP="00EA61D8">
            <w:pPr>
              <w:spacing w:before="100" w:beforeAutospacing="1" w:after="100" w:afterAutospacing="1"/>
              <w:rPr>
                <w:lang w:eastAsia="en-GB"/>
              </w:rPr>
            </w:pPr>
            <w:r w:rsidRPr="00064185">
              <w:rPr>
                <w:rFonts w:cs="Times"/>
                <w:bCs/>
                <w:szCs w:val="29"/>
              </w:rPr>
              <w:t>---</w:t>
            </w:r>
          </w:p>
        </w:tc>
      </w:tr>
    </w:tbl>
    <w:p w14:paraId="315D1FAC" w14:textId="77777777" w:rsidR="00450CBF" w:rsidRPr="00064185" w:rsidRDefault="00450CBF" w:rsidP="00EA61D8">
      <w:pPr>
        <w:keepNext/>
        <w:spacing w:after="255" w:line="255" w:lineRule="exact"/>
        <w:ind w:left="709"/>
        <w:outlineLvl w:val="4"/>
        <w:rPr>
          <w:rFonts w:eastAsia="Calibri"/>
        </w:rPr>
      </w:pPr>
    </w:p>
    <w:p w14:paraId="09CEA51B" w14:textId="3441EFBC" w:rsidR="00061409" w:rsidRPr="00064185" w:rsidRDefault="00450CBF" w:rsidP="00EA61D8">
      <w:pPr>
        <w:keepNext/>
        <w:numPr>
          <w:ilvl w:val="3"/>
          <w:numId w:val="3"/>
        </w:numPr>
        <w:spacing w:after="255" w:line="255" w:lineRule="exact"/>
        <w:outlineLvl w:val="4"/>
        <w:rPr>
          <w:rFonts w:eastAsia="Calibri"/>
        </w:rPr>
      </w:pPr>
      <w:r w:rsidRPr="00064185">
        <w:rPr>
          <w:rFonts w:eastAsia="Calibri"/>
        </w:rPr>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64185" w:rsidRPr="00064185" w14:paraId="64FB5F70" w14:textId="77777777" w:rsidTr="008431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014685" w14:textId="5D766BC1" w:rsidR="0044041B" w:rsidRPr="00064185" w:rsidRDefault="0044041B" w:rsidP="00EA61D8">
            <w:pPr>
              <w:spacing w:before="100" w:beforeAutospacing="1" w:after="100" w:afterAutospacing="1"/>
              <w:rPr>
                <w:lang w:eastAsia="en-GB"/>
              </w:rPr>
            </w:pPr>
            <w:r w:rsidRPr="00064185">
              <w:rPr>
                <w:rFonts w:cs="Times"/>
                <w:bCs/>
                <w:szCs w:val="29"/>
              </w:rPr>
              <w:t>---</w:t>
            </w:r>
          </w:p>
        </w:tc>
      </w:tr>
    </w:tbl>
    <w:p w14:paraId="57A0A9C4" w14:textId="3D7FB310" w:rsidR="00061409" w:rsidRPr="00064185" w:rsidRDefault="00061409" w:rsidP="00EA61D8">
      <w:pPr>
        <w:spacing w:line="260" w:lineRule="atLeast"/>
        <w:rPr>
          <w:rFonts w:eastAsia="Calibri" w:cs="Arial"/>
          <w:b/>
        </w:rPr>
      </w:pPr>
      <w:r w:rsidRPr="00064185">
        <w:rPr>
          <w:rFonts w:ascii="Arial" w:eastAsia="Calibri" w:hAnsi="Arial" w:cs="Arial"/>
        </w:rPr>
        <w:br w:type="page"/>
      </w:r>
      <w:r w:rsidRPr="00064185">
        <w:rPr>
          <w:rFonts w:eastAsia="Calibri" w:cs="Arial"/>
          <w:b/>
        </w:rPr>
        <w:lastRenderedPageBreak/>
        <w:t>Use 2 – Insecticide – garden ants –</w:t>
      </w:r>
      <w:r w:rsidR="00D549C0" w:rsidRPr="00064185">
        <w:rPr>
          <w:rFonts w:eastAsia="Calibri" w:cs="Arial"/>
          <w:b/>
        </w:rPr>
        <w:t xml:space="preserve"> non-professional</w:t>
      </w:r>
      <w:r w:rsidR="00DA1B58" w:rsidRPr="00064185">
        <w:rPr>
          <w:rFonts w:eastAsia="Calibri" w:cs="Arial"/>
          <w:b/>
        </w:rPr>
        <w:t>s</w:t>
      </w:r>
      <w:r w:rsidR="00D549C0" w:rsidRPr="00064185">
        <w:rPr>
          <w:rFonts w:eastAsia="Calibri" w:cs="Arial"/>
          <w:b/>
        </w:rPr>
        <w:t xml:space="preserve"> </w:t>
      </w:r>
      <w:r w:rsidRPr="00064185">
        <w:rPr>
          <w:rFonts w:eastAsia="Calibri" w:cs="Arial"/>
          <w:b/>
        </w:rPr>
        <w:t>– spraying - outdoor</w:t>
      </w:r>
    </w:p>
    <w:tbl>
      <w:tblPr>
        <w:tblW w:w="5000" w:type="pct"/>
        <w:tblCellMar>
          <w:left w:w="0" w:type="dxa"/>
          <w:right w:w="0" w:type="dxa"/>
        </w:tblCellMar>
        <w:tblLook w:val="04A0" w:firstRow="1" w:lastRow="0" w:firstColumn="1" w:lastColumn="0" w:noHBand="0" w:noVBand="1"/>
      </w:tblPr>
      <w:tblGrid>
        <w:gridCol w:w="2788"/>
        <w:gridCol w:w="6506"/>
      </w:tblGrid>
      <w:tr w:rsidR="00064185" w:rsidRPr="00064185" w14:paraId="2F457363" w14:textId="77777777" w:rsidTr="003379E0">
        <w:trPr>
          <w:cantSplit/>
        </w:trPr>
        <w:tc>
          <w:tcPr>
            <w:tcW w:w="1500" w:type="pct"/>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hideMark/>
          </w:tcPr>
          <w:p w14:paraId="499D9D71" w14:textId="77777777" w:rsidR="00061409" w:rsidRPr="00064185" w:rsidRDefault="00061409" w:rsidP="00EA61D8">
            <w:pPr>
              <w:spacing w:line="260" w:lineRule="atLeast"/>
              <w:rPr>
                <w:rFonts w:eastAsia="Calibri" w:cs="Arial"/>
                <w:bCs/>
                <w:lang w:val="de-DE"/>
              </w:rPr>
            </w:pPr>
            <w:r w:rsidRPr="00064185">
              <w:rPr>
                <w:rFonts w:eastAsia="Calibri" w:cs="Arial"/>
                <w:bCs/>
              </w:rPr>
              <w:t>Product Type</w:t>
            </w:r>
          </w:p>
        </w:tc>
        <w:tc>
          <w:tcPr>
            <w:tcW w:w="3500" w:type="pct"/>
            <w:tcBorders>
              <w:top w:val="single" w:sz="4" w:space="0" w:color="000000"/>
              <w:left w:val="nil"/>
              <w:bottom w:val="single" w:sz="4" w:space="0" w:color="000000"/>
              <w:right w:val="single" w:sz="4" w:space="0" w:color="000000"/>
            </w:tcBorders>
            <w:shd w:val="clear" w:color="auto" w:fill="FFFFCC"/>
            <w:tcMar>
              <w:top w:w="40" w:type="dxa"/>
              <w:left w:w="40" w:type="dxa"/>
              <w:bottom w:w="40" w:type="dxa"/>
              <w:right w:w="40" w:type="dxa"/>
            </w:tcMar>
          </w:tcPr>
          <w:p w14:paraId="3EADDEB4" w14:textId="77777777" w:rsidR="00061409" w:rsidRPr="00064185" w:rsidRDefault="00061409" w:rsidP="00EA61D8">
            <w:pPr>
              <w:spacing w:line="260" w:lineRule="atLeast"/>
              <w:rPr>
                <w:rFonts w:eastAsia="Calibri" w:cs="Arial"/>
                <w:bCs/>
              </w:rPr>
            </w:pPr>
            <w:r w:rsidRPr="00064185">
              <w:rPr>
                <w:rFonts w:eastAsia="Calibri" w:cs="Arial"/>
                <w:bCs/>
              </w:rPr>
              <w:t>PT 18 Insecticides, acaricides and products to control other arthropods (Pest control)</w:t>
            </w:r>
          </w:p>
        </w:tc>
      </w:tr>
      <w:tr w:rsidR="00064185" w:rsidRPr="00064185" w14:paraId="379F41F0" w14:textId="77777777" w:rsidTr="003379E0">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6686832" w14:textId="77777777" w:rsidR="00061409" w:rsidRPr="00064185" w:rsidRDefault="00061409" w:rsidP="00EA61D8">
            <w:pPr>
              <w:spacing w:line="260" w:lineRule="atLeast"/>
              <w:rPr>
                <w:rFonts w:eastAsia="Calibri" w:cs="Arial"/>
                <w:bCs/>
                <w:lang w:val="en-US"/>
              </w:rPr>
            </w:pPr>
            <w:r w:rsidRPr="00064185">
              <w:rPr>
                <w:rFonts w:eastAsia="Calibri" w:cs="Arial"/>
                <w:bCs/>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E7207BA" w14:textId="77777777" w:rsidR="00061409" w:rsidRPr="00064185" w:rsidRDefault="00061409" w:rsidP="00EA61D8">
            <w:pPr>
              <w:spacing w:line="260" w:lineRule="atLeast"/>
              <w:rPr>
                <w:rFonts w:eastAsia="Calibri" w:cs="Arial"/>
                <w:bCs/>
              </w:rPr>
            </w:pPr>
            <w:r w:rsidRPr="00064185">
              <w:rPr>
                <w:rFonts w:eastAsia="Calibri" w:cs="Arial"/>
                <w:bCs/>
              </w:rPr>
              <w:t>Insecticide</w:t>
            </w:r>
          </w:p>
        </w:tc>
      </w:tr>
      <w:tr w:rsidR="00064185" w:rsidRPr="00064185" w14:paraId="253DA62C" w14:textId="77777777" w:rsidTr="003379E0">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3B16615" w14:textId="77777777" w:rsidR="00061409" w:rsidRPr="00064185" w:rsidRDefault="00061409" w:rsidP="00EA61D8">
            <w:pPr>
              <w:spacing w:line="260" w:lineRule="atLeast"/>
              <w:rPr>
                <w:rFonts w:eastAsia="Calibri" w:cs="Arial"/>
                <w:bCs/>
                <w:lang w:val="en-US"/>
              </w:rPr>
            </w:pPr>
            <w:r w:rsidRPr="00064185">
              <w:rPr>
                <w:rFonts w:eastAsia="Calibri" w:cs="Arial"/>
                <w:bCs/>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7A621EC" w14:textId="178B0BAE" w:rsidR="00061409" w:rsidRPr="00064185" w:rsidRDefault="00061409" w:rsidP="00EA61D8">
            <w:pPr>
              <w:rPr>
                <w:rFonts w:cs="Arial"/>
                <w:bCs/>
                <w:lang w:val="en-US"/>
              </w:rPr>
            </w:pPr>
            <w:r w:rsidRPr="00064185">
              <w:rPr>
                <w:rFonts w:cs="Arial"/>
                <w:bCs/>
                <w:lang w:val="en-US"/>
              </w:rPr>
              <w:t xml:space="preserve">Scientific name: Formicinae: </w:t>
            </w:r>
            <w:r w:rsidRPr="00064185">
              <w:rPr>
                <w:rFonts w:cs="Arial"/>
                <w:bCs/>
                <w:i/>
                <w:lang w:val="en-US"/>
              </w:rPr>
              <w:t xml:space="preserve">Lasius </w:t>
            </w:r>
            <w:r w:rsidR="00A62A41" w:rsidRPr="00064185">
              <w:rPr>
                <w:rFonts w:cs="Arial"/>
                <w:bCs/>
                <w:i/>
                <w:lang w:val="en-US"/>
              </w:rPr>
              <w:t xml:space="preserve">sp. </w:t>
            </w:r>
          </w:p>
          <w:p w14:paraId="3B7042F6" w14:textId="65109BCF" w:rsidR="00061409" w:rsidRPr="00064185" w:rsidRDefault="00061409" w:rsidP="00EA61D8">
            <w:pPr>
              <w:rPr>
                <w:rFonts w:cs="Arial"/>
                <w:bCs/>
                <w:lang w:val="en-US"/>
              </w:rPr>
            </w:pPr>
            <w:r w:rsidRPr="00064185">
              <w:rPr>
                <w:rFonts w:cs="Arial"/>
                <w:bCs/>
                <w:lang w:val="en-US"/>
              </w:rPr>
              <w:t xml:space="preserve">Common name: </w:t>
            </w:r>
            <w:r w:rsidRPr="00064185">
              <w:rPr>
                <w:rFonts w:cs="Arial"/>
                <w:b/>
                <w:bCs/>
                <w:lang w:val="en-US"/>
              </w:rPr>
              <w:t>garden ant</w:t>
            </w:r>
            <w:r w:rsidR="00982822" w:rsidRPr="00064185">
              <w:rPr>
                <w:rFonts w:cs="Arial"/>
                <w:b/>
                <w:bCs/>
                <w:lang w:val="en-US"/>
              </w:rPr>
              <w:t>s</w:t>
            </w:r>
          </w:p>
          <w:p w14:paraId="5CC5A451" w14:textId="77777777" w:rsidR="00061409" w:rsidRPr="00064185" w:rsidRDefault="00061409" w:rsidP="00EA61D8">
            <w:pPr>
              <w:rPr>
                <w:rFonts w:cs="Arial"/>
                <w:bCs/>
                <w:lang w:val="en-US"/>
              </w:rPr>
            </w:pPr>
            <w:r w:rsidRPr="00064185">
              <w:rPr>
                <w:rFonts w:cs="Arial"/>
                <w:bCs/>
                <w:lang w:val="en-US"/>
              </w:rPr>
              <w:t>Development stage: ant colony</w:t>
            </w:r>
          </w:p>
        </w:tc>
      </w:tr>
      <w:tr w:rsidR="00064185" w:rsidRPr="00064185" w14:paraId="2D159A80" w14:textId="77777777" w:rsidTr="003379E0">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91CAB4B" w14:textId="77777777" w:rsidR="00061409" w:rsidRPr="00064185" w:rsidRDefault="00061409" w:rsidP="00EA61D8">
            <w:pPr>
              <w:spacing w:line="260" w:lineRule="atLeast"/>
              <w:rPr>
                <w:rFonts w:eastAsia="Calibri" w:cs="Arial"/>
                <w:bCs/>
                <w:lang w:val="de-DE"/>
              </w:rPr>
            </w:pPr>
            <w:r w:rsidRPr="00064185">
              <w:rPr>
                <w:rFonts w:eastAsia="Calibri" w:cs="Arial"/>
                <w:bCs/>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6BE436C2" w14:textId="77777777" w:rsidR="00061409" w:rsidRPr="00064185" w:rsidRDefault="00061409" w:rsidP="00EA61D8">
            <w:pPr>
              <w:spacing w:line="260" w:lineRule="atLeast"/>
              <w:rPr>
                <w:rFonts w:eastAsia="Calibri" w:cs="Arial"/>
                <w:bCs/>
              </w:rPr>
            </w:pPr>
            <w:r w:rsidRPr="00064185">
              <w:rPr>
                <w:rFonts w:eastAsia="Calibri" w:cs="Arial"/>
                <w:bCs/>
              </w:rPr>
              <w:t>Outdoor use</w:t>
            </w:r>
          </w:p>
        </w:tc>
      </w:tr>
      <w:tr w:rsidR="00064185" w:rsidRPr="00064185" w14:paraId="0B932852" w14:textId="77777777" w:rsidTr="003379E0">
        <w:trPr>
          <w:cantSplit/>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0D4FB3D" w14:textId="77777777" w:rsidR="00061409" w:rsidRPr="00064185" w:rsidRDefault="00061409" w:rsidP="00EA61D8">
            <w:pPr>
              <w:spacing w:line="260" w:lineRule="atLeast"/>
              <w:rPr>
                <w:rFonts w:eastAsia="Calibri" w:cs="Arial"/>
                <w:bCs/>
                <w:lang w:val="de-DE"/>
              </w:rPr>
            </w:pPr>
            <w:r w:rsidRPr="00064185">
              <w:rPr>
                <w:rFonts w:eastAsia="Calibri" w:cs="Arial"/>
                <w:bCs/>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5B72BB9" w14:textId="77777777" w:rsidR="00061409" w:rsidRPr="00064185" w:rsidRDefault="00061409" w:rsidP="00EA61D8">
            <w:pPr>
              <w:rPr>
                <w:lang w:val="en-US"/>
              </w:rPr>
            </w:pPr>
            <w:r w:rsidRPr="00064185">
              <w:rPr>
                <w:u w:val="single"/>
                <w:lang w:val="en-US"/>
              </w:rPr>
              <w:t>Method of application:</w:t>
            </w:r>
            <w:r w:rsidRPr="00064185">
              <w:rPr>
                <w:lang w:val="en-US"/>
              </w:rPr>
              <w:t xml:space="preserve"> </w:t>
            </w:r>
            <w:r w:rsidRPr="00064185">
              <w:rPr>
                <w:b/>
                <w:lang w:val="en-US"/>
              </w:rPr>
              <w:t>spraying</w:t>
            </w:r>
          </w:p>
          <w:p w14:paraId="0F154CE0" w14:textId="77777777" w:rsidR="00061409" w:rsidRPr="00064185" w:rsidRDefault="00061409" w:rsidP="00EA61D8">
            <w:pPr>
              <w:rPr>
                <w:lang w:val="en-US"/>
              </w:rPr>
            </w:pPr>
            <w:r w:rsidRPr="00064185">
              <w:rPr>
                <w:u w:val="single"/>
                <w:lang w:val="en-US"/>
              </w:rPr>
              <w:t>Detailed description of the method:</w:t>
            </w:r>
          </w:p>
          <w:p w14:paraId="79F33DFA" w14:textId="0D2C83CB" w:rsidR="004B7651" w:rsidRPr="00064185" w:rsidRDefault="00061409" w:rsidP="00EA61D8">
            <w:pPr>
              <w:rPr>
                <w:lang w:val="en-US"/>
              </w:rPr>
            </w:pPr>
            <w:r w:rsidRPr="00064185">
              <w:rPr>
                <w:lang w:val="en-US"/>
              </w:rPr>
              <w:t xml:space="preserve">For killing ant nests, COM 116 02 I AL is sprayed on </w:t>
            </w:r>
            <w:r w:rsidR="007172D4" w:rsidRPr="00064185">
              <w:rPr>
                <w:rFonts w:cs="Arial"/>
                <w:bCs/>
                <w:lang w:val="en-US"/>
              </w:rPr>
              <w:t>ant</w:t>
            </w:r>
            <w:r w:rsidR="007172D4" w:rsidRPr="00064185" w:rsidDel="007172D4">
              <w:rPr>
                <w:lang w:val="en-US"/>
              </w:rPr>
              <w:t xml:space="preserve"> </w:t>
            </w:r>
            <w:r w:rsidRPr="00064185" w:rsidDel="007172D4">
              <w:rPr>
                <w:lang w:val="en-US"/>
              </w:rPr>
              <w:t xml:space="preserve">routes </w:t>
            </w:r>
            <w:r w:rsidR="00113965" w:rsidRPr="00064185" w:rsidDel="00340E39">
              <w:rPr>
                <w:lang w:val="en-US"/>
              </w:rPr>
              <w:t xml:space="preserve">and </w:t>
            </w:r>
            <w:r w:rsidR="00113965" w:rsidRPr="00064185">
              <w:rPr>
                <w:lang w:val="en-US"/>
              </w:rPr>
              <w:t>nest entries</w:t>
            </w:r>
            <w:r w:rsidR="00113965" w:rsidRPr="00064185" w:rsidDel="001F790E">
              <w:rPr>
                <w:lang w:val="en-US"/>
              </w:rPr>
              <w:t xml:space="preserve"> </w:t>
            </w:r>
            <w:r w:rsidR="00EF4E98" w:rsidRPr="00064185">
              <w:rPr>
                <w:lang w:val="en-US"/>
              </w:rPr>
              <w:t>on paved surfaces like terraces</w:t>
            </w:r>
            <w:r w:rsidRPr="00064185">
              <w:rPr>
                <w:lang w:val="en-US"/>
              </w:rPr>
              <w:t xml:space="preserve">. </w:t>
            </w:r>
          </w:p>
          <w:p w14:paraId="1CDAA907" w14:textId="62AD4E8D" w:rsidR="00061409" w:rsidRPr="00064185" w:rsidRDefault="00061409" w:rsidP="00EA61D8">
            <w:pPr>
              <w:rPr>
                <w:rFonts w:cs="Arial"/>
                <w:lang w:val="en-US"/>
              </w:rPr>
            </w:pPr>
            <w:r w:rsidRPr="00064185">
              <w:rPr>
                <w:lang w:val="en-US"/>
              </w:rPr>
              <w:t>Best application time is in the morning or evening when ants are staying in the nests.</w:t>
            </w:r>
          </w:p>
        </w:tc>
      </w:tr>
      <w:tr w:rsidR="00064185" w:rsidRPr="00064185" w14:paraId="6B0E1BA4" w14:textId="77777777" w:rsidTr="003379E0">
        <w:trPr>
          <w:cantSplit/>
        </w:trPr>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77E7CCD" w14:textId="77777777" w:rsidR="00061409" w:rsidRPr="00064185" w:rsidRDefault="00061409" w:rsidP="00EA61D8">
            <w:pPr>
              <w:spacing w:line="260" w:lineRule="atLeast"/>
              <w:rPr>
                <w:rFonts w:eastAsia="Calibri" w:cs="Arial"/>
                <w:bCs/>
                <w:lang w:val="en-US"/>
              </w:rPr>
            </w:pPr>
            <w:r w:rsidRPr="00064185">
              <w:rPr>
                <w:rFonts w:eastAsia="Calibri" w:cs="Arial"/>
                <w:bCs/>
              </w:rPr>
              <w:t>Application rate(s) and frequency</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A8681FD" w14:textId="77777777" w:rsidR="00061409" w:rsidRPr="00064185" w:rsidRDefault="00061409" w:rsidP="00EA61D8">
            <w:pPr>
              <w:rPr>
                <w:rFonts w:cs="Arial"/>
                <w:b/>
                <w:bCs/>
                <w:lang w:val="en-US"/>
              </w:rPr>
            </w:pPr>
            <w:r w:rsidRPr="00064185">
              <w:rPr>
                <w:rFonts w:cs="Arial"/>
                <w:b/>
                <w:bCs/>
                <w:lang w:val="en-US"/>
              </w:rPr>
              <w:t>The application rate:</w:t>
            </w:r>
          </w:p>
          <w:p w14:paraId="5535A59E" w14:textId="0AF9B343" w:rsidR="00061409" w:rsidRPr="00064185" w:rsidRDefault="00061409" w:rsidP="00EA61D8">
            <w:pPr>
              <w:rPr>
                <w:rFonts w:cs="Arial"/>
                <w:bCs/>
              </w:rPr>
            </w:pPr>
            <w:r w:rsidRPr="00064185">
              <w:rPr>
                <w:lang w:val="en-US"/>
              </w:rPr>
              <w:t xml:space="preserve">10 strokes for 1 m route </w:t>
            </w:r>
            <w:r w:rsidR="00113965" w:rsidRPr="00064185">
              <w:rPr>
                <w:lang w:val="en-US"/>
              </w:rPr>
              <w:t xml:space="preserve">and nest entries </w:t>
            </w:r>
            <w:r w:rsidRPr="00064185">
              <w:rPr>
                <w:lang w:val="en-US"/>
              </w:rPr>
              <w:t>correspond to 10 g product</w:t>
            </w:r>
            <w:r w:rsidRPr="00064185">
              <w:rPr>
                <w:rFonts w:cs="Arial"/>
                <w:bCs/>
                <w:lang w:val="en-US"/>
              </w:rPr>
              <w:t xml:space="preserve"> (44.5 </w:t>
            </w:r>
            <w:r w:rsidRPr="00064185">
              <w:rPr>
                <w:rFonts w:cs="Arial"/>
                <w:bCs/>
              </w:rPr>
              <w:t>g/m</w:t>
            </w:r>
            <w:r w:rsidRPr="00064185">
              <w:rPr>
                <w:rFonts w:cs="Arial"/>
                <w:bCs/>
                <w:vertAlign w:val="superscript"/>
              </w:rPr>
              <w:t>2</w:t>
            </w:r>
            <w:r w:rsidRPr="00064185">
              <w:rPr>
                <w:rFonts w:cs="Arial"/>
                <w:bCs/>
              </w:rPr>
              <w:t>).</w:t>
            </w:r>
          </w:p>
          <w:p w14:paraId="2AB0482F" w14:textId="57313DF2" w:rsidR="00113965" w:rsidRPr="00064185" w:rsidRDefault="00113965" w:rsidP="00EA61D8">
            <w:pPr>
              <w:spacing w:line="260" w:lineRule="atLeast"/>
              <w:rPr>
                <w:rFonts w:cs="Arial"/>
                <w:bCs/>
                <w:lang w:val="en-US"/>
              </w:rPr>
            </w:pPr>
          </w:p>
          <w:p w14:paraId="061F8F05" w14:textId="77777777" w:rsidR="00061409" w:rsidRPr="00064185" w:rsidRDefault="00061409" w:rsidP="00EA61D8">
            <w:pPr>
              <w:rPr>
                <w:rFonts w:cs="Arial"/>
                <w:b/>
                <w:bCs/>
                <w:lang w:val="en-US"/>
              </w:rPr>
            </w:pPr>
            <w:r w:rsidRPr="00064185">
              <w:rPr>
                <w:rFonts w:cs="Arial"/>
                <w:b/>
                <w:bCs/>
                <w:lang w:val="en-US"/>
              </w:rPr>
              <w:t xml:space="preserve">Number and timing of application: </w:t>
            </w:r>
          </w:p>
          <w:p w14:paraId="134577B5" w14:textId="1F7DB8FD" w:rsidR="00061409" w:rsidRPr="00064185" w:rsidRDefault="004B7651" w:rsidP="00EA61D8">
            <w:pPr>
              <w:pStyle w:val="Column3"/>
              <w:ind w:left="0"/>
              <w:rPr>
                <w:rFonts w:ascii="Verdana" w:eastAsia="Times New Roman" w:hAnsi="Verdana" w:cs="Arial"/>
                <w:bCs/>
                <w:sz w:val="20"/>
                <w:szCs w:val="20"/>
                <w:lang w:val="en-US" w:eastAsia="de-DE"/>
              </w:rPr>
            </w:pPr>
            <w:r w:rsidRPr="00064185">
              <w:rPr>
                <w:rFonts w:ascii="Verdana" w:eastAsia="Times New Roman" w:hAnsi="Verdana" w:cs="Arial"/>
                <w:bCs/>
                <w:sz w:val="20"/>
                <w:szCs w:val="20"/>
                <w:lang w:val="en-US" w:eastAsia="de-DE"/>
              </w:rPr>
              <w:t xml:space="preserve">Maximum </w:t>
            </w:r>
            <w:r w:rsidRPr="00064185">
              <w:rPr>
                <w:rFonts w:ascii="Verdana" w:hAnsi="Verdana"/>
                <w:sz w:val="20"/>
                <w:szCs w:val="20"/>
                <w:lang w:val="en-US" w:eastAsia="de-AT"/>
              </w:rPr>
              <w:t xml:space="preserve">once per month during season of ant activity. </w:t>
            </w:r>
          </w:p>
        </w:tc>
      </w:tr>
      <w:tr w:rsidR="00064185" w:rsidRPr="00064185" w14:paraId="35918EEB" w14:textId="77777777" w:rsidTr="003379E0">
        <w:trPr>
          <w:cantSplit/>
        </w:trPr>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74747F5" w14:textId="77777777" w:rsidR="00061409" w:rsidRPr="00064185" w:rsidRDefault="00061409" w:rsidP="00EA61D8">
            <w:pPr>
              <w:spacing w:line="260" w:lineRule="atLeast"/>
              <w:rPr>
                <w:rFonts w:eastAsia="Calibri" w:cs="Arial"/>
                <w:bCs/>
                <w:lang w:val="de-DE"/>
              </w:rPr>
            </w:pPr>
            <w:r w:rsidRPr="00064185">
              <w:rPr>
                <w:rFonts w:eastAsia="Calibri" w:cs="Arial"/>
                <w:bCs/>
              </w:rPr>
              <w:t>Category(ies) of users</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4A052B4" w14:textId="67053963" w:rsidR="00061409" w:rsidRPr="00064185" w:rsidRDefault="00A37466" w:rsidP="00EA61D8">
            <w:pPr>
              <w:spacing w:line="260" w:lineRule="atLeast"/>
              <w:rPr>
                <w:rFonts w:eastAsia="Calibri" w:cs="Arial"/>
                <w:bCs/>
                <w:lang w:val="de-DE"/>
              </w:rPr>
            </w:pPr>
            <w:r w:rsidRPr="00064185">
              <w:rPr>
                <w:rFonts w:cs="Arial"/>
                <w:bCs/>
              </w:rPr>
              <w:t>N</w:t>
            </w:r>
            <w:r w:rsidR="00061409" w:rsidRPr="00064185">
              <w:rPr>
                <w:rFonts w:cs="Arial"/>
                <w:bCs/>
              </w:rPr>
              <w:t>on-professional</w:t>
            </w:r>
            <w:r w:rsidR="00DA1B58" w:rsidRPr="00064185">
              <w:rPr>
                <w:rFonts w:cs="Arial"/>
                <w:bCs/>
              </w:rPr>
              <w:t>s</w:t>
            </w:r>
          </w:p>
        </w:tc>
      </w:tr>
      <w:tr w:rsidR="00061409" w:rsidRPr="00064185" w14:paraId="0A8C8F07" w14:textId="77777777" w:rsidTr="003379E0">
        <w:trPr>
          <w:cantSplit/>
        </w:trPr>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C24AACF" w14:textId="77777777" w:rsidR="00061409" w:rsidRPr="00064185" w:rsidRDefault="00061409" w:rsidP="00EA61D8">
            <w:pPr>
              <w:spacing w:line="260" w:lineRule="atLeast"/>
              <w:rPr>
                <w:rFonts w:eastAsia="Calibri" w:cs="Arial"/>
                <w:bCs/>
                <w:lang w:val="en-US"/>
              </w:rPr>
            </w:pPr>
            <w:r w:rsidRPr="00064185">
              <w:rPr>
                <w:rFonts w:eastAsia="Calibri" w:cs="Arial"/>
                <w:bCs/>
              </w:rPr>
              <w:t>Pack sizes and packaging material</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5B98E16" w14:textId="77777777" w:rsidR="00061409" w:rsidRPr="00064185" w:rsidRDefault="00061409" w:rsidP="00EA61D8">
            <w:pPr>
              <w:spacing w:line="260" w:lineRule="atLeast"/>
              <w:rPr>
                <w:rFonts w:eastAsia="Calibri" w:cs="Arial"/>
                <w:bCs/>
              </w:rPr>
            </w:pPr>
            <w:r w:rsidRPr="00064185">
              <w:rPr>
                <w:rFonts w:cs="Arial"/>
              </w:rPr>
              <w:t>Please see the relevant section.</w:t>
            </w:r>
          </w:p>
        </w:tc>
      </w:tr>
    </w:tbl>
    <w:p w14:paraId="4D57B963" w14:textId="77777777" w:rsidR="00061409" w:rsidRPr="00064185" w:rsidRDefault="00061409" w:rsidP="00EA61D8">
      <w:pPr>
        <w:spacing w:line="260" w:lineRule="atLeast"/>
        <w:rPr>
          <w:rFonts w:eastAsia="Calibri" w:cs="Arial"/>
        </w:rPr>
      </w:pPr>
    </w:p>
    <w:p w14:paraId="396FED7F" w14:textId="2EA22442" w:rsidR="00061409" w:rsidRPr="00064185" w:rsidRDefault="00462920" w:rsidP="00EA61D8">
      <w:pPr>
        <w:rPr>
          <w:rFonts w:ascii="Arial" w:hAnsi="Arial" w:cs="Arial"/>
        </w:rPr>
      </w:pPr>
      <w:r w:rsidRPr="00064185">
        <w:rPr>
          <w:rFonts w:ascii="Arial" w:hAnsi="Arial" w:cs="Arial"/>
        </w:rPr>
        <w:t xml:space="preserve"> </w:t>
      </w:r>
    </w:p>
    <w:p w14:paraId="3A32A8D5" w14:textId="77777777" w:rsidR="009D5569" w:rsidRPr="00064185" w:rsidRDefault="009D5569" w:rsidP="00EA61D8">
      <w:pPr>
        <w:rPr>
          <w:rFonts w:ascii="Arial" w:hAnsi="Arial" w:cs="Arial"/>
        </w:rPr>
      </w:pPr>
    </w:p>
    <w:p w14:paraId="3D09B139" w14:textId="77777777" w:rsidR="009D5569" w:rsidRPr="00064185" w:rsidRDefault="009D5569" w:rsidP="00EA61D8">
      <w:pPr>
        <w:keepNext/>
        <w:numPr>
          <w:ilvl w:val="3"/>
          <w:numId w:val="20"/>
        </w:numPr>
        <w:spacing w:after="255" w:line="255" w:lineRule="exact"/>
        <w:outlineLvl w:val="4"/>
        <w:rPr>
          <w:rFonts w:eastAsia="Calibri"/>
        </w:rPr>
      </w:pPr>
      <w:r w:rsidRPr="00064185">
        <w:rPr>
          <w:rFonts w:eastAsia="Calibri"/>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5569" w:rsidRPr="00064185" w14:paraId="0467AF7E" w14:textId="77777777" w:rsidTr="005571C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5FA5C8" w14:textId="76C7FD85" w:rsidR="009D5569" w:rsidRPr="00064185" w:rsidRDefault="00236D99" w:rsidP="00EA61D8">
            <w:pPr>
              <w:pStyle w:val="Kommentartext"/>
              <w:rPr>
                <w:lang w:val="en-US"/>
              </w:rPr>
            </w:pPr>
            <w:r w:rsidRPr="00064185">
              <w:rPr>
                <w:lang w:val="en-US"/>
              </w:rPr>
              <w:t>---</w:t>
            </w:r>
          </w:p>
        </w:tc>
      </w:tr>
    </w:tbl>
    <w:p w14:paraId="18C43357" w14:textId="77777777" w:rsidR="009D5569" w:rsidRPr="00064185" w:rsidRDefault="009D5569" w:rsidP="00EA61D8">
      <w:pPr>
        <w:spacing w:line="260" w:lineRule="atLeast"/>
        <w:rPr>
          <w:rFonts w:eastAsia="Calibri"/>
          <w:lang w:eastAsia="en-US"/>
        </w:rPr>
      </w:pPr>
    </w:p>
    <w:p w14:paraId="39F25DC8" w14:textId="77777777" w:rsidR="009D5569" w:rsidRPr="00064185" w:rsidRDefault="009D5569" w:rsidP="00EA61D8">
      <w:pPr>
        <w:keepNext/>
        <w:numPr>
          <w:ilvl w:val="3"/>
          <w:numId w:val="20"/>
        </w:numPr>
        <w:spacing w:after="255" w:line="255" w:lineRule="exact"/>
        <w:outlineLvl w:val="4"/>
        <w:rPr>
          <w:rFonts w:eastAsia="Calibri"/>
        </w:rPr>
      </w:pPr>
      <w:r w:rsidRPr="00064185">
        <w:rPr>
          <w:rFonts w:eastAsia="Calibri"/>
        </w:rPr>
        <w:t>Use-specific risk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5569" w:rsidRPr="00064185" w14:paraId="265262DD" w14:textId="77777777" w:rsidTr="005571C3">
        <w:trPr>
          <w:trHeight w:val="467"/>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049EF2" w14:textId="163EF2F4" w:rsidR="00F8092A" w:rsidRPr="00064185" w:rsidRDefault="00236D99" w:rsidP="00EA61D8">
            <w:pPr>
              <w:widowControl w:val="0"/>
              <w:autoSpaceDE w:val="0"/>
              <w:autoSpaceDN w:val="0"/>
              <w:adjustRightInd w:val="0"/>
              <w:spacing w:before="60" w:after="60"/>
              <w:contextualSpacing/>
              <w:rPr>
                <w:rFonts w:cs="Times"/>
                <w:bCs/>
                <w:szCs w:val="29"/>
              </w:rPr>
            </w:pPr>
            <w:r w:rsidRPr="00064185">
              <w:rPr>
                <w:rFonts w:cs="Times"/>
                <w:bCs/>
                <w:szCs w:val="29"/>
              </w:rPr>
              <w:t>---</w:t>
            </w:r>
          </w:p>
        </w:tc>
      </w:tr>
    </w:tbl>
    <w:p w14:paraId="41A76D8F" w14:textId="77777777" w:rsidR="009D5569" w:rsidRPr="00064185" w:rsidRDefault="009D5569" w:rsidP="00EA61D8">
      <w:pPr>
        <w:keepNext/>
        <w:spacing w:after="255" w:line="255" w:lineRule="exact"/>
        <w:ind w:left="709"/>
        <w:outlineLvl w:val="4"/>
        <w:rPr>
          <w:rFonts w:eastAsia="Calibri"/>
        </w:rPr>
      </w:pPr>
    </w:p>
    <w:p w14:paraId="4F22E668" w14:textId="77777777" w:rsidR="009D5569" w:rsidRPr="00064185" w:rsidRDefault="009D5569" w:rsidP="00EA61D8">
      <w:pPr>
        <w:keepNext/>
        <w:numPr>
          <w:ilvl w:val="3"/>
          <w:numId w:val="20"/>
        </w:numPr>
        <w:spacing w:after="255" w:line="255" w:lineRule="exact"/>
        <w:outlineLvl w:val="4"/>
        <w:rPr>
          <w:rFonts w:eastAsia="Calibri"/>
        </w:rPr>
      </w:pPr>
      <w:r w:rsidRPr="00064185">
        <w:rPr>
          <w:rFonts w:eastAsia="Calibri"/>
        </w:rPr>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5569" w:rsidRPr="00064185" w14:paraId="2F833347" w14:textId="77777777" w:rsidTr="005571C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EE0D5C" w14:textId="77777777" w:rsidR="009D5569" w:rsidRPr="00064185" w:rsidRDefault="009D5569" w:rsidP="00EA61D8">
            <w:pPr>
              <w:widowControl w:val="0"/>
              <w:autoSpaceDE w:val="0"/>
              <w:autoSpaceDN w:val="0"/>
              <w:adjustRightInd w:val="0"/>
              <w:spacing w:before="60" w:after="60"/>
            </w:pPr>
            <w:r w:rsidRPr="00064185">
              <w:t>---</w:t>
            </w:r>
          </w:p>
        </w:tc>
      </w:tr>
    </w:tbl>
    <w:p w14:paraId="5752EEC0" w14:textId="77777777" w:rsidR="009D5569" w:rsidRPr="00064185" w:rsidRDefault="009D5569" w:rsidP="00EA61D8">
      <w:pPr>
        <w:keepNext/>
        <w:spacing w:after="255" w:line="255" w:lineRule="exact"/>
        <w:ind w:left="709"/>
        <w:outlineLvl w:val="4"/>
        <w:rPr>
          <w:rFonts w:eastAsia="Calibri"/>
        </w:rPr>
      </w:pPr>
    </w:p>
    <w:p w14:paraId="239E324A" w14:textId="77777777" w:rsidR="009D5569" w:rsidRPr="00064185" w:rsidRDefault="009D5569" w:rsidP="00EA61D8">
      <w:pPr>
        <w:keepNext/>
        <w:numPr>
          <w:ilvl w:val="3"/>
          <w:numId w:val="20"/>
        </w:numPr>
        <w:spacing w:after="255" w:line="255" w:lineRule="exact"/>
        <w:outlineLvl w:val="4"/>
        <w:rPr>
          <w:rFonts w:eastAsia="Calibri"/>
        </w:rPr>
      </w:pPr>
      <w:r w:rsidRPr="00064185">
        <w:rPr>
          <w:rFonts w:eastAsia="Calibri"/>
        </w:rPr>
        <w:t xml:space="preserve">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5569" w:rsidRPr="00064185" w14:paraId="0CE5678F" w14:textId="77777777" w:rsidTr="005571C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FC0200" w14:textId="77777777" w:rsidR="009D5569" w:rsidRPr="00064185" w:rsidRDefault="009D5569" w:rsidP="00EA61D8">
            <w:pPr>
              <w:spacing w:before="60" w:after="60"/>
              <w:rPr>
                <w:rFonts w:cs="Times"/>
                <w:bCs/>
                <w:szCs w:val="29"/>
              </w:rPr>
            </w:pPr>
            <w:r w:rsidRPr="00064185">
              <w:rPr>
                <w:rFonts w:cs="Times"/>
                <w:bCs/>
                <w:szCs w:val="29"/>
              </w:rPr>
              <w:t>---</w:t>
            </w:r>
          </w:p>
        </w:tc>
      </w:tr>
    </w:tbl>
    <w:p w14:paraId="57C29D35" w14:textId="77777777" w:rsidR="009D5569" w:rsidRPr="00064185" w:rsidRDefault="009D5569" w:rsidP="00EA61D8">
      <w:pPr>
        <w:keepNext/>
        <w:spacing w:after="255" w:line="255" w:lineRule="exact"/>
        <w:ind w:left="709"/>
        <w:outlineLvl w:val="4"/>
        <w:rPr>
          <w:rFonts w:eastAsia="Calibri"/>
        </w:rPr>
      </w:pPr>
    </w:p>
    <w:p w14:paraId="6015E64D" w14:textId="77777777" w:rsidR="009D5569" w:rsidRPr="00064185" w:rsidRDefault="009D5569" w:rsidP="00EA61D8">
      <w:pPr>
        <w:keepNext/>
        <w:numPr>
          <w:ilvl w:val="3"/>
          <w:numId w:val="20"/>
        </w:numPr>
        <w:spacing w:after="255" w:line="255" w:lineRule="exact"/>
        <w:outlineLvl w:val="4"/>
        <w:rPr>
          <w:rFonts w:eastAsia="Calibri"/>
        </w:rPr>
      </w:pPr>
      <w:r w:rsidRPr="00064185">
        <w:rPr>
          <w:rFonts w:eastAsia="Calibri"/>
        </w:rPr>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5569" w:rsidRPr="00064185" w14:paraId="474C4F26" w14:textId="77777777" w:rsidTr="005571C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30EEF7" w14:textId="77777777" w:rsidR="009D5569" w:rsidRPr="00064185" w:rsidRDefault="009D5569" w:rsidP="00EA61D8">
            <w:pPr>
              <w:spacing w:before="60" w:after="60"/>
              <w:rPr>
                <w:rFonts w:cs="Times"/>
                <w:bCs/>
                <w:szCs w:val="29"/>
              </w:rPr>
            </w:pPr>
            <w:r w:rsidRPr="00064185">
              <w:rPr>
                <w:rFonts w:cs="Times"/>
                <w:bCs/>
                <w:szCs w:val="29"/>
              </w:rPr>
              <w:t>---</w:t>
            </w:r>
          </w:p>
        </w:tc>
      </w:tr>
    </w:tbl>
    <w:p w14:paraId="55854157" w14:textId="77777777" w:rsidR="009D5569" w:rsidRPr="00064185" w:rsidRDefault="009D5569" w:rsidP="00EA61D8">
      <w:pPr>
        <w:keepNext/>
        <w:spacing w:after="240"/>
        <w:outlineLvl w:val="2"/>
        <w:rPr>
          <w:rFonts w:eastAsia="Calibri"/>
          <w:b/>
          <w:i/>
          <w:sz w:val="22"/>
          <w:lang w:eastAsia="en-US"/>
        </w:rPr>
      </w:pPr>
    </w:p>
    <w:p w14:paraId="7A446094" w14:textId="1B32E901" w:rsidR="00C24120" w:rsidRPr="00064185" w:rsidRDefault="00CE1F7D" w:rsidP="00EA61D8">
      <w:pPr>
        <w:keepNext/>
        <w:numPr>
          <w:ilvl w:val="3"/>
          <w:numId w:val="0"/>
        </w:numPr>
        <w:spacing w:before="240" w:after="120"/>
        <w:ind w:left="864" w:hanging="864"/>
        <w:outlineLvl w:val="3"/>
        <w:rPr>
          <w:rFonts w:eastAsia="Calibri"/>
          <w:szCs w:val="24"/>
        </w:rPr>
      </w:pPr>
      <w:bookmarkStart w:id="427" w:name="_Toc530563651"/>
      <w:r w:rsidRPr="00064185">
        <w:rPr>
          <w:rFonts w:eastAsia="Calibri"/>
          <w:szCs w:val="24"/>
        </w:rPr>
        <w:t>2.2.4.11</w:t>
      </w:r>
      <w:r w:rsidR="005A7E50" w:rsidRPr="00064185">
        <w:rPr>
          <w:rFonts w:eastAsia="Calibri"/>
          <w:szCs w:val="24"/>
        </w:rPr>
        <w:tab/>
      </w:r>
      <w:r w:rsidR="005A7E50" w:rsidRPr="00064185">
        <w:rPr>
          <w:rFonts w:eastAsia="Calibri"/>
          <w:szCs w:val="24"/>
        </w:rPr>
        <w:tab/>
      </w:r>
      <w:r w:rsidR="00C24120" w:rsidRPr="00064185">
        <w:rPr>
          <w:rFonts w:eastAsia="Calibri"/>
          <w:szCs w:val="24"/>
        </w:rPr>
        <w:t>Where specific to the use, the conditions of storage and shelf-life of the product under normal conditions of storage</w:t>
      </w:r>
      <w:bookmarkEnd w:id="42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24120" w:rsidRPr="00064185" w14:paraId="49B55ABC" w14:textId="77777777" w:rsidTr="008E23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3A0A99" w14:textId="77777777" w:rsidR="00C24120" w:rsidRPr="00064185" w:rsidRDefault="00C24120" w:rsidP="00EA61D8">
            <w:pPr>
              <w:widowControl w:val="0"/>
              <w:autoSpaceDE w:val="0"/>
              <w:autoSpaceDN w:val="0"/>
              <w:adjustRightInd w:val="0"/>
              <w:spacing w:before="60" w:after="60"/>
              <w:rPr>
                <w:rFonts w:cs="Times"/>
                <w:bCs/>
                <w:szCs w:val="29"/>
              </w:rPr>
            </w:pPr>
            <w:r w:rsidRPr="00064185">
              <w:rPr>
                <w:rFonts w:cs="Times"/>
                <w:bCs/>
                <w:szCs w:val="29"/>
              </w:rPr>
              <w:t>---</w:t>
            </w:r>
          </w:p>
        </w:tc>
      </w:tr>
    </w:tbl>
    <w:p w14:paraId="4D66BF41" w14:textId="77777777" w:rsidR="00C24120" w:rsidRPr="00064185" w:rsidRDefault="00C24120" w:rsidP="00EA61D8">
      <w:pPr>
        <w:widowControl w:val="0"/>
        <w:autoSpaceDE w:val="0"/>
        <w:autoSpaceDN w:val="0"/>
        <w:adjustRightInd w:val="0"/>
        <w:rPr>
          <w:rFonts w:cs="Times"/>
          <w:bCs/>
          <w:szCs w:val="29"/>
        </w:rPr>
      </w:pPr>
    </w:p>
    <w:p w14:paraId="79C3FC19" w14:textId="77777777" w:rsidR="00C24120" w:rsidRPr="00064185" w:rsidRDefault="00C24120" w:rsidP="00EA61D8">
      <w:pPr>
        <w:spacing w:line="260" w:lineRule="atLeast"/>
        <w:rPr>
          <w:rFonts w:eastAsia="Calibri"/>
          <w:lang w:eastAsia="en-US"/>
        </w:rPr>
      </w:pPr>
    </w:p>
    <w:p w14:paraId="15F6F582" w14:textId="77777777" w:rsidR="00061409" w:rsidRPr="00064185" w:rsidRDefault="00061409" w:rsidP="00EA61D8">
      <w:pPr>
        <w:pStyle w:val="Absatz"/>
      </w:pPr>
    </w:p>
    <w:p w14:paraId="1C7BFB26" w14:textId="21160A66" w:rsidR="009D5569" w:rsidRPr="00064185" w:rsidRDefault="009D5569" w:rsidP="00EA61D8">
      <w:pPr>
        <w:rPr>
          <w:rFonts w:eastAsia="Calibri"/>
          <w:lang w:eastAsia="en-US"/>
        </w:rPr>
      </w:pPr>
      <w:r w:rsidRPr="00064185">
        <w:rPr>
          <w:rFonts w:eastAsia="Calibri"/>
          <w:lang w:eastAsia="en-US"/>
        </w:rPr>
        <w:br w:type="page"/>
      </w:r>
    </w:p>
    <w:p w14:paraId="65999DEE" w14:textId="77777777" w:rsidR="00061409" w:rsidRPr="00064185" w:rsidRDefault="00061409" w:rsidP="00EA61D8">
      <w:pPr>
        <w:spacing w:line="260" w:lineRule="atLeast"/>
        <w:rPr>
          <w:rFonts w:eastAsia="Calibri"/>
          <w:lang w:eastAsia="en-US"/>
        </w:rPr>
      </w:pPr>
    </w:p>
    <w:p w14:paraId="45A2D403" w14:textId="77777777" w:rsidR="000512C8" w:rsidRPr="00064185" w:rsidRDefault="000512C8" w:rsidP="00EA61D8">
      <w:pPr>
        <w:spacing w:line="260" w:lineRule="atLeast"/>
        <w:rPr>
          <w:rFonts w:eastAsia="Calibri"/>
          <w:lang w:eastAsia="en-US"/>
        </w:rPr>
      </w:pPr>
    </w:p>
    <w:p w14:paraId="12AC5607" w14:textId="3E15EFF0" w:rsidR="00A53EE0" w:rsidRPr="00064185" w:rsidRDefault="00A53EE0" w:rsidP="00EA61D8">
      <w:pPr>
        <w:pStyle w:val="berschrift3"/>
        <w:rPr>
          <w:rFonts w:eastAsia="Calibri"/>
          <w:lang w:val="en-GB" w:eastAsia="en-US"/>
        </w:rPr>
      </w:pPr>
      <w:bookmarkStart w:id="428" w:name="_Toc389728898"/>
      <w:bookmarkStart w:id="429" w:name="_Toc403472728"/>
      <w:bookmarkStart w:id="430" w:name="_Toc440879634"/>
      <w:bookmarkStart w:id="431" w:name="_Toc440889947"/>
      <w:bookmarkStart w:id="432" w:name="_Toc530563652"/>
      <w:r w:rsidRPr="00064185">
        <w:rPr>
          <w:rFonts w:eastAsia="Calibri"/>
          <w:lang w:val="en-GB" w:eastAsia="en-US"/>
        </w:rPr>
        <w:t>Hazard and precautionary statements</w:t>
      </w:r>
      <w:bookmarkEnd w:id="428"/>
      <w:bookmarkEnd w:id="429"/>
      <w:bookmarkEnd w:id="430"/>
      <w:bookmarkEnd w:id="431"/>
      <w:bookmarkEnd w:id="432"/>
    </w:p>
    <w:p w14:paraId="786D0356" w14:textId="77777777" w:rsidR="00A53EE0" w:rsidRPr="00064185" w:rsidRDefault="00A53EE0" w:rsidP="00EA61D8">
      <w:pPr>
        <w:pStyle w:val="berschrift4"/>
        <w:numPr>
          <w:ilvl w:val="0"/>
          <w:numId w:val="9"/>
        </w:numPr>
        <w:jc w:val="left"/>
        <w:rPr>
          <w:lang w:val="en-GB"/>
        </w:rPr>
      </w:pPr>
      <w:bookmarkStart w:id="433" w:name="_Toc389728899"/>
      <w:bookmarkStart w:id="434" w:name="_Toc403472729"/>
      <w:bookmarkStart w:id="435" w:name="_Toc440879635"/>
      <w:bookmarkStart w:id="436" w:name="_Toc440889948"/>
      <w:bookmarkStart w:id="437" w:name="_Toc530563653"/>
      <w:r w:rsidRPr="00064185">
        <w:rPr>
          <w:lang w:val="en-GB"/>
        </w:rPr>
        <w:t>Proposed classification and labelling of the biocidal product</w:t>
      </w:r>
      <w:bookmarkEnd w:id="433"/>
      <w:bookmarkEnd w:id="434"/>
      <w:bookmarkEnd w:id="435"/>
      <w:bookmarkEnd w:id="436"/>
      <w:bookmarkEnd w:id="437"/>
    </w:p>
    <w:p w14:paraId="0925EE4F" w14:textId="77777777" w:rsidR="00A53EE0" w:rsidRPr="00064185" w:rsidRDefault="00A53EE0" w:rsidP="00EA61D8">
      <w:pPr>
        <w:spacing w:line="260" w:lineRule="atLeast"/>
        <w:rPr>
          <w:rFonts w:eastAsia="Calibri"/>
          <w:b/>
          <w:bCs/>
          <w:i/>
          <w:lang w:eastAsia="en-US"/>
        </w:rPr>
      </w:pPr>
      <w:r w:rsidRPr="00064185">
        <w:rPr>
          <w:rFonts w:eastAsia="Calibri"/>
          <w:b/>
          <w:bCs/>
          <w:i/>
          <w:lang w:eastAsia="en-US"/>
        </w:rPr>
        <w:t>Classification and Labelling according to Regulation (EC) No 1272/2008:</w:t>
      </w:r>
    </w:p>
    <w:p w14:paraId="0F340E1D" w14:textId="77777777" w:rsidR="00A53EE0" w:rsidRPr="00064185" w:rsidRDefault="00A53EE0" w:rsidP="00EA61D8">
      <w:pPr>
        <w:spacing w:line="260" w:lineRule="atLeast"/>
        <w:rPr>
          <w:rFonts w:eastAsia="Calibri"/>
          <w:b/>
          <w:bCs/>
          <w:lang w:eastAsia="en-US"/>
        </w:rPr>
      </w:pPr>
    </w:p>
    <w:tbl>
      <w:tblPr>
        <w:tblW w:w="5000" w:type="pct"/>
        <w:jc w:val="center"/>
        <w:tblLook w:val="04A0" w:firstRow="1" w:lastRow="0" w:firstColumn="1" w:lastColumn="0" w:noHBand="0" w:noVBand="1"/>
      </w:tblPr>
      <w:tblGrid>
        <w:gridCol w:w="2953"/>
        <w:gridCol w:w="6477"/>
      </w:tblGrid>
      <w:tr w:rsidR="00064185" w:rsidRPr="00064185" w14:paraId="4B85D8DE" w14:textId="77777777" w:rsidTr="00D01C8A">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FFFFCC"/>
            <w:hideMark/>
          </w:tcPr>
          <w:p w14:paraId="5B0E37F7" w14:textId="77777777" w:rsidR="00A53EE0" w:rsidRPr="00064185" w:rsidRDefault="00A53EE0" w:rsidP="00EA61D8">
            <w:pPr>
              <w:widowControl w:val="0"/>
              <w:autoSpaceDE w:val="0"/>
              <w:autoSpaceDN w:val="0"/>
              <w:adjustRightInd w:val="0"/>
              <w:rPr>
                <w:rFonts w:cs="Times"/>
                <w:b/>
                <w:bCs/>
                <w:szCs w:val="29"/>
                <w:lang w:eastAsia="fi-FI"/>
              </w:rPr>
            </w:pPr>
            <w:r w:rsidRPr="00064185">
              <w:rPr>
                <w:rFonts w:cs="Times"/>
                <w:b/>
                <w:bCs/>
                <w:szCs w:val="29"/>
                <w:lang w:eastAsia="en-US"/>
              </w:rPr>
              <w:t>Classification</w:t>
            </w:r>
          </w:p>
        </w:tc>
      </w:tr>
      <w:tr w:rsidR="00064185" w:rsidRPr="00064185" w14:paraId="4683C743" w14:textId="77777777" w:rsidTr="00D01C8A">
        <w:trPr>
          <w:cantSplit/>
          <w:tblHeader/>
          <w:jc w:val="center"/>
        </w:trPr>
        <w:tc>
          <w:tcPr>
            <w:tcW w:w="1566" w:type="pct"/>
            <w:tcBorders>
              <w:top w:val="single" w:sz="2" w:space="0" w:color="auto"/>
              <w:left w:val="single" w:sz="2" w:space="0" w:color="auto"/>
              <w:bottom w:val="single" w:sz="2" w:space="0" w:color="auto"/>
              <w:right w:val="single" w:sz="2" w:space="0" w:color="auto"/>
            </w:tcBorders>
            <w:hideMark/>
          </w:tcPr>
          <w:p w14:paraId="68DDAA31" w14:textId="77777777" w:rsidR="00A53EE0" w:rsidRPr="00064185" w:rsidRDefault="00A53EE0" w:rsidP="00EA61D8">
            <w:pPr>
              <w:widowControl w:val="0"/>
              <w:autoSpaceDE w:val="0"/>
              <w:autoSpaceDN w:val="0"/>
              <w:adjustRightInd w:val="0"/>
              <w:rPr>
                <w:rFonts w:cs="Times"/>
                <w:bCs/>
                <w:szCs w:val="29"/>
                <w:lang w:eastAsia="fi-FI"/>
              </w:rPr>
            </w:pPr>
            <w:r w:rsidRPr="00064185">
              <w:rPr>
                <w:rFonts w:cs="Times"/>
                <w:bCs/>
                <w:szCs w:val="29"/>
                <w:lang w:eastAsia="en-US"/>
              </w:rPr>
              <w:t>Hazard category</w:t>
            </w:r>
          </w:p>
        </w:tc>
        <w:tc>
          <w:tcPr>
            <w:tcW w:w="3434" w:type="pct"/>
            <w:tcBorders>
              <w:top w:val="single" w:sz="2" w:space="0" w:color="auto"/>
              <w:left w:val="single" w:sz="2" w:space="0" w:color="auto"/>
              <w:bottom w:val="single" w:sz="2" w:space="0" w:color="auto"/>
              <w:right w:val="single" w:sz="2" w:space="0" w:color="auto"/>
            </w:tcBorders>
          </w:tcPr>
          <w:p w14:paraId="1AD70912" w14:textId="77777777" w:rsidR="00A53EE0" w:rsidRPr="00064185" w:rsidRDefault="00605B25" w:rsidP="00EA61D8">
            <w:pPr>
              <w:widowControl w:val="0"/>
              <w:autoSpaceDE w:val="0"/>
              <w:autoSpaceDN w:val="0"/>
              <w:adjustRightInd w:val="0"/>
              <w:rPr>
                <w:rFonts w:cs="Times"/>
                <w:bCs/>
                <w:szCs w:val="29"/>
                <w:lang w:eastAsia="fi-FI"/>
              </w:rPr>
            </w:pPr>
            <w:r w:rsidRPr="00064185">
              <w:rPr>
                <w:bCs/>
                <w:szCs w:val="24"/>
              </w:rPr>
              <w:t>Aquatic Acute 1</w:t>
            </w:r>
          </w:p>
        </w:tc>
      </w:tr>
      <w:tr w:rsidR="00064185" w:rsidRPr="00064185" w14:paraId="1408CF20" w14:textId="77777777" w:rsidTr="00D01C8A">
        <w:trPr>
          <w:cantSplit/>
          <w:tblHeader/>
          <w:jc w:val="center"/>
        </w:trPr>
        <w:tc>
          <w:tcPr>
            <w:tcW w:w="1566" w:type="pct"/>
            <w:tcBorders>
              <w:top w:val="single" w:sz="2" w:space="0" w:color="auto"/>
              <w:left w:val="single" w:sz="2" w:space="0" w:color="auto"/>
              <w:bottom w:val="single" w:sz="2" w:space="0" w:color="auto"/>
              <w:right w:val="single" w:sz="2" w:space="0" w:color="auto"/>
            </w:tcBorders>
            <w:hideMark/>
          </w:tcPr>
          <w:p w14:paraId="4880395E" w14:textId="77777777" w:rsidR="00A53EE0" w:rsidRPr="00064185" w:rsidRDefault="00A53EE0" w:rsidP="00EA61D8">
            <w:pPr>
              <w:widowControl w:val="0"/>
              <w:autoSpaceDE w:val="0"/>
              <w:autoSpaceDN w:val="0"/>
              <w:adjustRightInd w:val="0"/>
              <w:rPr>
                <w:rFonts w:cs="Times"/>
                <w:bCs/>
                <w:szCs w:val="29"/>
                <w:lang w:eastAsia="fi-FI"/>
              </w:rPr>
            </w:pPr>
            <w:r w:rsidRPr="00064185">
              <w:rPr>
                <w:rFonts w:cs="Times"/>
                <w:bCs/>
                <w:szCs w:val="29"/>
                <w:lang w:eastAsia="en-US"/>
              </w:rPr>
              <w:t>Hazard statement</w:t>
            </w:r>
          </w:p>
        </w:tc>
        <w:tc>
          <w:tcPr>
            <w:tcW w:w="3434" w:type="pct"/>
            <w:tcBorders>
              <w:top w:val="single" w:sz="2" w:space="0" w:color="auto"/>
              <w:left w:val="single" w:sz="2" w:space="0" w:color="auto"/>
              <w:bottom w:val="single" w:sz="2" w:space="0" w:color="auto"/>
              <w:right w:val="single" w:sz="2" w:space="0" w:color="auto"/>
            </w:tcBorders>
          </w:tcPr>
          <w:p w14:paraId="7A25B7CB" w14:textId="77777777" w:rsidR="00A53EE0" w:rsidRPr="00064185" w:rsidRDefault="00605B25" w:rsidP="00EA61D8">
            <w:pPr>
              <w:widowControl w:val="0"/>
              <w:autoSpaceDE w:val="0"/>
              <w:autoSpaceDN w:val="0"/>
              <w:adjustRightInd w:val="0"/>
              <w:rPr>
                <w:rFonts w:cs="Times"/>
                <w:bCs/>
                <w:szCs w:val="29"/>
                <w:lang w:eastAsia="fi-FI"/>
              </w:rPr>
            </w:pPr>
            <w:r w:rsidRPr="00064185">
              <w:rPr>
                <w:bCs/>
                <w:szCs w:val="24"/>
                <w:lang w:val="en-US"/>
              </w:rPr>
              <w:t>H400: Very toxic to aquatic life.</w:t>
            </w:r>
          </w:p>
        </w:tc>
      </w:tr>
      <w:tr w:rsidR="00064185" w:rsidRPr="00064185" w14:paraId="428B5FC2" w14:textId="77777777" w:rsidTr="00D01C8A">
        <w:trPr>
          <w:cantSplit/>
          <w:tblHeader/>
          <w:jc w:val="center"/>
        </w:trPr>
        <w:tc>
          <w:tcPr>
            <w:tcW w:w="1566" w:type="pct"/>
            <w:tcBorders>
              <w:top w:val="single" w:sz="2" w:space="0" w:color="auto"/>
              <w:left w:val="single" w:sz="2" w:space="0" w:color="auto"/>
              <w:bottom w:val="single" w:sz="2" w:space="0" w:color="auto"/>
              <w:right w:val="single" w:sz="2" w:space="0" w:color="auto"/>
            </w:tcBorders>
          </w:tcPr>
          <w:p w14:paraId="30FEB327" w14:textId="77777777" w:rsidR="00605B25" w:rsidRPr="00064185" w:rsidRDefault="00605B25" w:rsidP="00EA61D8">
            <w:pPr>
              <w:widowControl w:val="0"/>
              <w:autoSpaceDE w:val="0"/>
              <w:autoSpaceDN w:val="0"/>
              <w:adjustRightInd w:val="0"/>
              <w:rPr>
                <w:rFonts w:cs="Times"/>
                <w:bCs/>
                <w:szCs w:val="29"/>
                <w:lang w:eastAsia="fi-FI"/>
              </w:rPr>
            </w:pPr>
            <w:r w:rsidRPr="00064185">
              <w:rPr>
                <w:rFonts w:cs="Times"/>
                <w:bCs/>
                <w:szCs w:val="29"/>
                <w:lang w:eastAsia="en-US"/>
              </w:rPr>
              <w:t>Hazard category</w:t>
            </w:r>
          </w:p>
        </w:tc>
        <w:tc>
          <w:tcPr>
            <w:tcW w:w="3434" w:type="pct"/>
            <w:tcBorders>
              <w:top w:val="single" w:sz="2" w:space="0" w:color="auto"/>
              <w:left w:val="single" w:sz="2" w:space="0" w:color="auto"/>
              <w:bottom w:val="single" w:sz="2" w:space="0" w:color="auto"/>
              <w:right w:val="single" w:sz="2" w:space="0" w:color="auto"/>
            </w:tcBorders>
          </w:tcPr>
          <w:p w14:paraId="362B9F4F" w14:textId="77777777" w:rsidR="00605B25" w:rsidRPr="00064185" w:rsidRDefault="00605B25" w:rsidP="00EA61D8">
            <w:pPr>
              <w:widowControl w:val="0"/>
              <w:autoSpaceDE w:val="0"/>
              <w:autoSpaceDN w:val="0"/>
              <w:adjustRightInd w:val="0"/>
              <w:rPr>
                <w:rFonts w:cs="Times"/>
                <w:bCs/>
                <w:szCs w:val="29"/>
                <w:lang w:eastAsia="fi-FI"/>
              </w:rPr>
            </w:pPr>
            <w:r w:rsidRPr="00064185">
              <w:rPr>
                <w:bCs/>
                <w:szCs w:val="24"/>
              </w:rPr>
              <w:t>Aquatic Chronic 1</w:t>
            </w:r>
          </w:p>
        </w:tc>
      </w:tr>
      <w:tr w:rsidR="00064185" w:rsidRPr="00064185" w14:paraId="613597D7" w14:textId="77777777" w:rsidTr="00D01C8A">
        <w:trPr>
          <w:cantSplit/>
          <w:tblHeader/>
          <w:jc w:val="center"/>
        </w:trPr>
        <w:tc>
          <w:tcPr>
            <w:tcW w:w="1566" w:type="pct"/>
            <w:tcBorders>
              <w:top w:val="single" w:sz="2" w:space="0" w:color="auto"/>
              <w:left w:val="single" w:sz="2" w:space="0" w:color="auto"/>
              <w:bottom w:val="single" w:sz="2" w:space="0" w:color="auto"/>
              <w:right w:val="single" w:sz="2" w:space="0" w:color="auto"/>
            </w:tcBorders>
          </w:tcPr>
          <w:p w14:paraId="77E568F2" w14:textId="77777777" w:rsidR="00605B25" w:rsidRPr="00064185" w:rsidRDefault="00605B25" w:rsidP="00EA61D8">
            <w:pPr>
              <w:widowControl w:val="0"/>
              <w:autoSpaceDE w:val="0"/>
              <w:autoSpaceDN w:val="0"/>
              <w:adjustRightInd w:val="0"/>
              <w:rPr>
                <w:rFonts w:cs="Times"/>
                <w:bCs/>
                <w:szCs w:val="29"/>
                <w:lang w:eastAsia="fi-FI"/>
              </w:rPr>
            </w:pPr>
            <w:r w:rsidRPr="00064185">
              <w:rPr>
                <w:rFonts w:cs="Times"/>
                <w:bCs/>
                <w:szCs w:val="29"/>
                <w:lang w:eastAsia="en-US"/>
              </w:rPr>
              <w:t>Hazard statement</w:t>
            </w:r>
          </w:p>
        </w:tc>
        <w:tc>
          <w:tcPr>
            <w:tcW w:w="3434" w:type="pct"/>
            <w:tcBorders>
              <w:top w:val="single" w:sz="2" w:space="0" w:color="auto"/>
              <w:left w:val="single" w:sz="2" w:space="0" w:color="auto"/>
              <w:bottom w:val="single" w:sz="2" w:space="0" w:color="auto"/>
              <w:right w:val="single" w:sz="2" w:space="0" w:color="auto"/>
            </w:tcBorders>
          </w:tcPr>
          <w:p w14:paraId="36F7F317" w14:textId="77777777" w:rsidR="00605B25" w:rsidRPr="00064185" w:rsidRDefault="00605B25" w:rsidP="00EA61D8">
            <w:pPr>
              <w:widowControl w:val="0"/>
              <w:autoSpaceDE w:val="0"/>
              <w:autoSpaceDN w:val="0"/>
              <w:adjustRightInd w:val="0"/>
              <w:rPr>
                <w:rFonts w:cs="Times"/>
                <w:bCs/>
                <w:szCs w:val="29"/>
                <w:lang w:eastAsia="fi-FI"/>
              </w:rPr>
            </w:pPr>
            <w:r w:rsidRPr="00064185">
              <w:rPr>
                <w:bCs/>
                <w:szCs w:val="24"/>
                <w:lang w:val="en-US"/>
              </w:rPr>
              <w:t>H410: Very toxic to aquatic life with long lasting effects.</w:t>
            </w:r>
          </w:p>
        </w:tc>
      </w:tr>
      <w:tr w:rsidR="00064185" w:rsidRPr="00064185" w14:paraId="37ECAE5B" w14:textId="77777777" w:rsidTr="00D01C8A">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tcPr>
          <w:p w14:paraId="600EEED1" w14:textId="77777777" w:rsidR="00A53EE0" w:rsidRPr="00064185" w:rsidRDefault="00A53EE0" w:rsidP="00EA61D8">
            <w:pPr>
              <w:widowControl w:val="0"/>
              <w:autoSpaceDE w:val="0"/>
              <w:autoSpaceDN w:val="0"/>
              <w:adjustRightInd w:val="0"/>
              <w:rPr>
                <w:rFonts w:cs="Times"/>
                <w:bCs/>
                <w:szCs w:val="29"/>
                <w:lang w:eastAsia="fi-FI"/>
              </w:rPr>
            </w:pPr>
          </w:p>
        </w:tc>
      </w:tr>
      <w:tr w:rsidR="00064185" w:rsidRPr="00064185" w14:paraId="557EC165" w14:textId="77777777" w:rsidTr="00D01C8A">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FFFFCC"/>
            <w:hideMark/>
          </w:tcPr>
          <w:p w14:paraId="0DE99827" w14:textId="77777777" w:rsidR="00A53EE0" w:rsidRPr="00064185" w:rsidRDefault="00A53EE0" w:rsidP="00EA61D8">
            <w:pPr>
              <w:widowControl w:val="0"/>
              <w:autoSpaceDE w:val="0"/>
              <w:autoSpaceDN w:val="0"/>
              <w:adjustRightInd w:val="0"/>
              <w:rPr>
                <w:rFonts w:cs="Times"/>
                <w:b/>
                <w:bCs/>
                <w:szCs w:val="29"/>
                <w:lang w:eastAsia="fi-FI"/>
              </w:rPr>
            </w:pPr>
            <w:r w:rsidRPr="00064185">
              <w:rPr>
                <w:rFonts w:cs="Times"/>
                <w:b/>
                <w:bCs/>
                <w:szCs w:val="29"/>
                <w:lang w:eastAsia="en-US"/>
              </w:rPr>
              <w:t>Labelling</w:t>
            </w:r>
          </w:p>
        </w:tc>
      </w:tr>
      <w:tr w:rsidR="00064185" w:rsidRPr="00064185" w14:paraId="248D8FD1" w14:textId="77777777" w:rsidTr="00D01C8A">
        <w:trPr>
          <w:cantSplit/>
          <w:tblHeader/>
          <w:jc w:val="center"/>
        </w:trPr>
        <w:tc>
          <w:tcPr>
            <w:tcW w:w="1566" w:type="pct"/>
            <w:tcBorders>
              <w:top w:val="single" w:sz="2" w:space="0" w:color="auto"/>
              <w:left w:val="single" w:sz="2" w:space="0" w:color="auto"/>
              <w:bottom w:val="single" w:sz="2" w:space="0" w:color="auto"/>
              <w:right w:val="single" w:sz="2" w:space="0" w:color="auto"/>
            </w:tcBorders>
            <w:hideMark/>
          </w:tcPr>
          <w:p w14:paraId="7ACE267D" w14:textId="77777777" w:rsidR="00A53EE0" w:rsidRPr="00064185" w:rsidRDefault="00A53EE0" w:rsidP="00EA61D8">
            <w:pPr>
              <w:widowControl w:val="0"/>
              <w:autoSpaceDE w:val="0"/>
              <w:autoSpaceDN w:val="0"/>
              <w:adjustRightInd w:val="0"/>
              <w:rPr>
                <w:rFonts w:cs="Times"/>
                <w:bCs/>
                <w:szCs w:val="29"/>
                <w:lang w:eastAsia="en-US"/>
              </w:rPr>
            </w:pPr>
            <w:r w:rsidRPr="00064185">
              <w:rPr>
                <w:rFonts w:cs="Times"/>
                <w:bCs/>
                <w:szCs w:val="29"/>
                <w:lang w:eastAsia="en-US"/>
              </w:rPr>
              <w:t>Signal words</w:t>
            </w:r>
          </w:p>
        </w:tc>
        <w:tc>
          <w:tcPr>
            <w:tcW w:w="3434" w:type="pct"/>
            <w:tcBorders>
              <w:top w:val="single" w:sz="2" w:space="0" w:color="auto"/>
              <w:left w:val="single" w:sz="2" w:space="0" w:color="auto"/>
              <w:bottom w:val="single" w:sz="2" w:space="0" w:color="auto"/>
              <w:right w:val="single" w:sz="2" w:space="0" w:color="auto"/>
            </w:tcBorders>
          </w:tcPr>
          <w:p w14:paraId="51A791B4" w14:textId="77777777" w:rsidR="00A53EE0" w:rsidRPr="00064185" w:rsidRDefault="00605B25" w:rsidP="00EA61D8">
            <w:pPr>
              <w:widowControl w:val="0"/>
              <w:autoSpaceDE w:val="0"/>
              <w:autoSpaceDN w:val="0"/>
              <w:adjustRightInd w:val="0"/>
              <w:rPr>
                <w:rFonts w:cs="Times"/>
                <w:bCs/>
                <w:szCs w:val="29"/>
                <w:lang w:eastAsia="fi-FI"/>
              </w:rPr>
            </w:pPr>
            <w:r w:rsidRPr="00064185">
              <w:rPr>
                <w:bCs/>
                <w:szCs w:val="24"/>
                <w:lang w:val="en-US"/>
              </w:rPr>
              <w:t>Warning</w:t>
            </w:r>
          </w:p>
        </w:tc>
      </w:tr>
      <w:tr w:rsidR="00064185" w:rsidRPr="00064185" w14:paraId="4CCDD6D8" w14:textId="77777777" w:rsidTr="00D01C8A">
        <w:trPr>
          <w:cantSplit/>
          <w:tblHeader/>
          <w:jc w:val="center"/>
        </w:trPr>
        <w:tc>
          <w:tcPr>
            <w:tcW w:w="1566" w:type="pct"/>
            <w:tcBorders>
              <w:top w:val="single" w:sz="2" w:space="0" w:color="auto"/>
              <w:left w:val="single" w:sz="2" w:space="0" w:color="auto"/>
              <w:bottom w:val="single" w:sz="2" w:space="0" w:color="auto"/>
              <w:right w:val="single" w:sz="2" w:space="0" w:color="auto"/>
            </w:tcBorders>
          </w:tcPr>
          <w:p w14:paraId="2F25632C" w14:textId="31C079DD" w:rsidR="00A72B20" w:rsidRPr="00064185" w:rsidRDefault="00A72B20" w:rsidP="00EA61D8">
            <w:pPr>
              <w:widowControl w:val="0"/>
              <w:autoSpaceDE w:val="0"/>
              <w:autoSpaceDN w:val="0"/>
              <w:adjustRightInd w:val="0"/>
              <w:rPr>
                <w:rFonts w:cs="Times"/>
                <w:bCs/>
                <w:szCs w:val="29"/>
                <w:lang w:eastAsia="en-US"/>
              </w:rPr>
            </w:pPr>
            <w:r w:rsidRPr="00064185">
              <w:rPr>
                <w:rFonts w:cs="Times"/>
                <w:bCs/>
                <w:szCs w:val="29"/>
                <w:lang w:eastAsia="en-US"/>
              </w:rPr>
              <w:t>Pictogram</w:t>
            </w:r>
          </w:p>
        </w:tc>
        <w:tc>
          <w:tcPr>
            <w:tcW w:w="3434" w:type="pct"/>
            <w:tcBorders>
              <w:top w:val="single" w:sz="2" w:space="0" w:color="auto"/>
              <w:left w:val="single" w:sz="2" w:space="0" w:color="auto"/>
              <w:bottom w:val="single" w:sz="2" w:space="0" w:color="auto"/>
              <w:right w:val="single" w:sz="2" w:space="0" w:color="auto"/>
            </w:tcBorders>
          </w:tcPr>
          <w:p w14:paraId="485A5724" w14:textId="7C23025A" w:rsidR="00A72B20" w:rsidRPr="00064185" w:rsidRDefault="009D5569" w:rsidP="00EA61D8">
            <w:pPr>
              <w:widowControl w:val="0"/>
              <w:autoSpaceDE w:val="0"/>
              <w:autoSpaceDN w:val="0"/>
              <w:adjustRightInd w:val="0"/>
              <w:rPr>
                <w:bCs/>
                <w:szCs w:val="24"/>
                <w:lang w:val="en-US"/>
              </w:rPr>
            </w:pPr>
            <w:r w:rsidRPr="00064185">
              <w:rPr>
                <w:bCs/>
                <w:szCs w:val="24"/>
                <w:lang w:val="en-US"/>
              </w:rPr>
              <w:t xml:space="preserve">GHS09 </w:t>
            </w:r>
          </w:p>
        </w:tc>
      </w:tr>
      <w:tr w:rsidR="00064185" w:rsidRPr="00064185" w14:paraId="3BC0FEEE" w14:textId="77777777" w:rsidTr="00D01C8A">
        <w:trPr>
          <w:cantSplit/>
          <w:tblHeader/>
          <w:jc w:val="center"/>
        </w:trPr>
        <w:tc>
          <w:tcPr>
            <w:tcW w:w="1566" w:type="pct"/>
            <w:tcBorders>
              <w:top w:val="single" w:sz="2" w:space="0" w:color="auto"/>
              <w:left w:val="single" w:sz="2" w:space="0" w:color="auto"/>
              <w:bottom w:val="single" w:sz="2" w:space="0" w:color="auto"/>
              <w:right w:val="single" w:sz="2" w:space="0" w:color="auto"/>
            </w:tcBorders>
            <w:hideMark/>
          </w:tcPr>
          <w:p w14:paraId="65D30E34" w14:textId="77777777" w:rsidR="00A53EE0" w:rsidRPr="00064185" w:rsidRDefault="00A53EE0" w:rsidP="00EA61D8">
            <w:pPr>
              <w:widowControl w:val="0"/>
              <w:autoSpaceDE w:val="0"/>
              <w:autoSpaceDN w:val="0"/>
              <w:adjustRightInd w:val="0"/>
              <w:rPr>
                <w:rFonts w:cs="Times"/>
                <w:bCs/>
                <w:szCs w:val="29"/>
                <w:lang w:eastAsia="en-US"/>
              </w:rPr>
            </w:pPr>
            <w:r w:rsidRPr="00064185">
              <w:rPr>
                <w:rFonts w:cs="Times"/>
                <w:bCs/>
                <w:szCs w:val="29"/>
                <w:lang w:eastAsia="en-US"/>
              </w:rPr>
              <w:t>Hazard statements</w:t>
            </w:r>
          </w:p>
        </w:tc>
        <w:tc>
          <w:tcPr>
            <w:tcW w:w="3434" w:type="pct"/>
            <w:tcBorders>
              <w:top w:val="single" w:sz="2" w:space="0" w:color="auto"/>
              <w:left w:val="single" w:sz="2" w:space="0" w:color="auto"/>
              <w:bottom w:val="single" w:sz="2" w:space="0" w:color="auto"/>
              <w:right w:val="single" w:sz="2" w:space="0" w:color="auto"/>
            </w:tcBorders>
          </w:tcPr>
          <w:p w14:paraId="446EC1CC" w14:textId="77777777" w:rsidR="00A53EE0" w:rsidRPr="00064185" w:rsidRDefault="00605B25" w:rsidP="00EA61D8">
            <w:pPr>
              <w:widowControl w:val="0"/>
              <w:autoSpaceDE w:val="0"/>
              <w:autoSpaceDN w:val="0"/>
              <w:adjustRightInd w:val="0"/>
              <w:rPr>
                <w:bCs/>
                <w:szCs w:val="24"/>
                <w:lang w:val="en-US"/>
              </w:rPr>
            </w:pPr>
            <w:r w:rsidRPr="00064185">
              <w:rPr>
                <w:bCs/>
                <w:szCs w:val="24"/>
                <w:lang w:val="en-US"/>
              </w:rPr>
              <w:t>H410: Very toxic to aquatic life with long lasting effects.</w:t>
            </w:r>
          </w:p>
          <w:p w14:paraId="6CD4D374" w14:textId="1CC0E735" w:rsidR="008A0B0B" w:rsidRPr="00064185" w:rsidRDefault="008A0B0B" w:rsidP="00EA61D8">
            <w:pPr>
              <w:spacing w:line="260" w:lineRule="atLeast"/>
              <w:rPr>
                <w:rFonts w:cs="Times"/>
                <w:bCs/>
                <w:szCs w:val="29"/>
                <w:lang w:eastAsia="fi-FI"/>
              </w:rPr>
            </w:pPr>
            <w:r w:rsidRPr="00064185">
              <w:rPr>
                <w:rFonts w:cs="Times"/>
                <w:bCs/>
                <w:szCs w:val="29"/>
                <w:lang w:eastAsia="fi-FI"/>
              </w:rPr>
              <w:t>EUH208: Contains 1</w:t>
            </w:r>
            <w:proofErr w:type="gramStart"/>
            <w:r w:rsidRPr="00064185">
              <w:rPr>
                <w:rFonts w:cs="Times"/>
                <w:bCs/>
                <w:szCs w:val="29"/>
                <w:lang w:eastAsia="fi-FI"/>
              </w:rPr>
              <w:t>,2</w:t>
            </w:r>
            <w:proofErr w:type="gramEnd"/>
            <w:r w:rsidRPr="00064185">
              <w:rPr>
                <w:rFonts w:cs="Times"/>
                <w:bCs/>
                <w:szCs w:val="29"/>
                <w:lang w:eastAsia="fi-FI"/>
              </w:rPr>
              <w:t>-benzisothiazolin-3-one. May produce an allergic reaction.</w:t>
            </w:r>
          </w:p>
        </w:tc>
      </w:tr>
      <w:tr w:rsidR="00064185" w:rsidRPr="00064185" w14:paraId="30C4BB43" w14:textId="77777777" w:rsidTr="00D01C8A">
        <w:trPr>
          <w:cantSplit/>
          <w:tblHeader/>
          <w:jc w:val="center"/>
        </w:trPr>
        <w:tc>
          <w:tcPr>
            <w:tcW w:w="1566" w:type="pct"/>
            <w:tcBorders>
              <w:top w:val="single" w:sz="2" w:space="0" w:color="auto"/>
              <w:left w:val="single" w:sz="2" w:space="0" w:color="auto"/>
              <w:bottom w:val="single" w:sz="2" w:space="0" w:color="auto"/>
              <w:right w:val="single" w:sz="2" w:space="0" w:color="auto"/>
            </w:tcBorders>
            <w:hideMark/>
          </w:tcPr>
          <w:p w14:paraId="7600B89D" w14:textId="77777777" w:rsidR="00A53EE0" w:rsidRPr="00064185" w:rsidRDefault="00A53EE0" w:rsidP="00EA61D8">
            <w:pPr>
              <w:widowControl w:val="0"/>
              <w:autoSpaceDE w:val="0"/>
              <w:autoSpaceDN w:val="0"/>
              <w:adjustRightInd w:val="0"/>
              <w:rPr>
                <w:rFonts w:cs="Times"/>
                <w:bCs/>
                <w:szCs w:val="29"/>
                <w:lang w:eastAsia="en-US"/>
              </w:rPr>
            </w:pPr>
            <w:r w:rsidRPr="00064185">
              <w:rPr>
                <w:rFonts w:cs="Times"/>
                <w:bCs/>
                <w:szCs w:val="29"/>
                <w:lang w:eastAsia="en-US"/>
              </w:rPr>
              <w:t>Precautionary statements</w:t>
            </w:r>
          </w:p>
        </w:tc>
        <w:tc>
          <w:tcPr>
            <w:tcW w:w="3434" w:type="pct"/>
            <w:tcBorders>
              <w:top w:val="single" w:sz="2" w:space="0" w:color="auto"/>
              <w:left w:val="single" w:sz="2" w:space="0" w:color="auto"/>
              <w:bottom w:val="single" w:sz="2" w:space="0" w:color="auto"/>
              <w:right w:val="single" w:sz="2" w:space="0" w:color="auto"/>
            </w:tcBorders>
          </w:tcPr>
          <w:p w14:paraId="3159159A" w14:textId="77777777" w:rsidR="00A34AAB" w:rsidRPr="00064185" w:rsidRDefault="00A34AAB" w:rsidP="00EA61D8">
            <w:pPr>
              <w:tabs>
                <w:tab w:val="left" w:pos="500"/>
              </w:tabs>
              <w:ind w:left="500" w:hanging="500"/>
            </w:pPr>
            <w:r w:rsidRPr="00064185">
              <w:rPr>
                <w:bCs/>
                <w:szCs w:val="24"/>
                <w:lang w:val="en-US"/>
              </w:rPr>
              <w:t xml:space="preserve">P102: </w:t>
            </w:r>
            <w:r w:rsidRPr="00064185">
              <w:t xml:space="preserve">Keep out of reach of children. </w:t>
            </w:r>
          </w:p>
          <w:p w14:paraId="419E90E2" w14:textId="77777777" w:rsidR="00A34AAB" w:rsidRPr="00064185" w:rsidRDefault="00A34AAB" w:rsidP="00EA61D8">
            <w:pPr>
              <w:tabs>
                <w:tab w:val="left" w:pos="500"/>
              </w:tabs>
              <w:ind w:left="500" w:hanging="500"/>
            </w:pPr>
            <w:r w:rsidRPr="00064185">
              <w:t>P103 Read label before use.</w:t>
            </w:r>
          </w:p>
          <w:p w14:paraId="7B290311" w14:textId="77777777" w:rsidR="00A34AAB" w:rsidRPr="00064185" w:rsidRDefault="00A34AAB" w:rsidP="00EA61D8">
            <w:pPr>
              <w:tabs>
                <w:tab w:val="left" w:pos="500"/>
              </w:tabs>
              <w:ind w:left="500" w:hanging="500"/>
              <w:rPr>
                <w:bCs/>
                <w:szCs w:val="24"/>
                <w:lang w:val="en-US"/>
              </w:rPr>
            </w:pPr>
            <w:r w:rsidRPr="00064185">
              <w:t>P270: Do not eat, drink or smoke when using the product.</w:t>
            </w:r>
          </w:p>
          <w:p w14:paraId="59579E48" w14:textId="3772E425" w:rsidR="00A34AAB" w:rsidRPr="00064185" w:rsidRDefault="00A34AAB" w:rsidP="00EA61D8">
            <w:pPr>
              <w:tabs>
                <w:tab w:val="left" w:pos="500"/>
              </w:tabs>
              <w:ind w:left="500" w:hanging="500"/>
              <w:rPr>
                <w:lang w:val="en-US"/>
              </w:rPr>
            </w:pPr>
            <w:r w:rsidRPr="00064185">
              <w:rPr>
                <w:bCs/>
                <w:szCs w:val="24"/>
                <w:lang w:val="en-US"/>
              </w:rPr>
              <w:t>P273: Avoid release to the environment.</w:t>
            </w:r>
          </w:p>
          <w:p w14:paraId="116026FF" w14:textId="4D742E13" w:rsidR="00A34AAB" w:rsidRPr="00064185" w:rsidRDefault="00A34AAB" w:rsidP="00EA61D8">
            <w:pPr>
              <w:widowControl w:val="0"/>
              <w:autoSpaceDE w:val="0"/>
              <w:autoSpaceDN w:val="0"/>
              <w:adjustRightInd w:val="0"/>
              <w:rPr>
                <w:rFonts w:cs="Times"/>
                <w:bCs/>
                <w:szCs w:val="29"/>
                <w:lang w:eastAsia="fi-FI"/>
              </w:rPr>
            </w:pPr>
            <w:r w:rsidRPr="00064185">
              <w:rPr>
                <w:bCs/>
                <w:szCs w:val="24"/>
                <w:lang w:val="en-US"/>
              </w:rPr>
              <w:t>P501: Dispose of contents/container to … in accordance with local/regional/national/international regulation (to be specified).</w:t>
            </w:r>
          </w:p>
        </w:tc>
      </w:tr>
      <w:tr w:rsidR="00064185" w:rsidRPr="00064185" w14:paraId="6266E40D" w14:textId="77777777" w:rsidTr="00D01C8A">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tcPr>
          <w:p w14:paraId="0650BCC7" w14:textId="77777777" w:rsidR="00A53EE0" w:rsidRPr="00064185" w:rsidRDefault="00A53EE0" w:rsidP="00EA61D8">
            <w:pPr>
              <w:widowControl w:val="0"/>
              <w:autoSpaceDE w:val="0"/>
              <w:autoSpaceDN w:val="0"/>
              <w:adjustRightInd w:val="0"/>
              <w:rPr>
                <w:rFonts w:cs="Times"/>
                <w:bCs/>
                <w:szCs w:val="29"/>
                <w:lang w:eastAsia="fi-FI"/>
              </w:rPr>
            </w:pPr>
          </w:p>
        </w:tc>
      </w:tr>
      <w:tr w:rsidR="00993B58" w:rsidRPr="00064185" w14:paraId="5C2CADEC" w14:textId="77777777" w:rsidTr="00D01C8A">
        <w:trPr>
          <w:cantSplit/>
          <w:tblHeader/>
          <w:jc w:val="center"/>
        </w:trPr>
        <w:tc>
          <w:tcPr>
            <w:tcW w:w="1566" w:type="pct"/>
            <w:tcBorders>
              <w:top w:val="single" w:sz="2" w:space="0" w:color="auto"/>
              <w:left w:val="single" w:sz="2" w:space="0" w:color="auto"/>
              <w:bottom w:val="single" w:sz="2" w:space="0" w:color="auto"/>
              <w:right w:val="single" w:sz="2" w:space="0" w:color="auto"/>
            </w:tcBorders>
            <w:hideMark/>
          </w:tcPr>
          <w:p w14:paraId="2047A4AF" w14:textId="77777777" w:rsidR="00A53EE0" w:rsidRPr="00064185" w:rsidRDefault="00A53EE0" w:rsidP="00EA61D8">
            <w:pPr>
              <w:widowControl w:val="0"/>
              <w:autoSpaceDE w:val="0"/>
              <w:autoSpaceDN w:val="0"/>
              <w:adjustRightInd w:val="0"/>
              <w:rPr>
                <w:rFonts w:cs="Times"/>
                <w:bCs/>
                <w:szCs w:val="29"/>
                <w:lang w:eastAsia="fi-FI"/>
              </w:rPr>
            </w:pPr>
            <w:r w:rsidRPr="00064185">
              <w:rPr>
                <w:rFonts w:cs="Times"/>
                <w:bCs/>
                <w:szCs w:val="29"/>
                <w:lang w:eastAsia="en-US"/>
              </w:rPr>
              <w:t>Note</w:t>
            </w:r>
          </w:p>
        </w:tc>
        <w:tc>
          <w:tcPr>
            <w:tcW w:w="3434" w:type="pct"/>
            <w:tcBorders>
              <w:top w:val="single" w:sz="2" w:space="0" w:color="auto"/>
              <w:left w:val="single" w:sz="2" w:space="0" w:color="auto"/>
              <w:bottom w:val="single" w:sz="2" w:space="0" w:color="auto"/>
              <w:right w:val="single" w:sz="2" w:space="0" w:color="auto"/>
            </w:tcBorders>
          </w:tcPr>
          <w:p w14:paraId="77859EDE" w14:textId="77777777" w:rsidR="00A53EE0" w:rsidRPr="00064185" w:rsidRDefault="00605B25" w:rsidP="00EA61D8">
            <w:pPr>
              <w:widowControl w:val="0"/>
              <w:autoSpaceDE w:val="0"/>
              <w:autoSpaceDN w:val="0"/>
              <w:adjustRightInd w:val="0"/>
              <w:rPr>
                <w:rFonts w:cs="Times"/>
                <w:b/>
                <w:bCs/>
                <w:szCs w:val="29"/>
                <w:lang w:eastAsia="fi-FI"/>
              </w:rPr>
            </w:pPr>
            <w:r w:rsidRPr="00064185">
              <w:rPr>
                <w:rFonts w:cs="Times"/>
                <w:b/>
                <w:bCs/>
                <w:szCs w:val="29"/>
                <w:lang w:eastAsia="fi-FI"/>
              </w:rPr>
              <w:t>‒</w:t>
            </w:r>
          </w:p>
        </w:tc>
      </w:tr>
    </w:tbl>
    <w:p w14:paraId="47E6D373" w14:textId="77777777" w:rsidR="00DF7F11" w:rsidRPr="00064185" w:rsidRDefault="00DF7F11" w:rsidP="00EA61D8">
      <w:pPr>
        <w:pStyle w:val="berschrift4"/>
        <w:numPr>
          <w:ilvl w:val="0"/>
          <w:numId w:val="0"/>
        </w:numPr>
        <w:jc w:val="left"/>
      </w:pPr>
      <w:bookmarkStart w:id="438" w:name="_Toc389728900"/>
      <w:bookmarkStart w:id="439" w:name="_Toc403472730"/>
      <w:bookmarkStart w:id="440" w:name="_Toc440879636"/>
      <w:bookmarkStart w:id="441" w:name="_Toc440889949"/>
    </w:p>
    <w:p w14:paraId="745899E2" w14:textId="77777777" w:rsidR="00A53EE0" w:rsidRPr="000E17AE" w:rsidRDefault="00A53EE0" w:rsidP="00EA61D8">
      <w:pPr>
        <w:pStyle w:val="berschrift4"/>
        <w:jc w:val="left"/>
        <w:rPr>
          <w:lang w:val="en-GB"/>
        </w:rPr>
      </w:pPr>
      <w:bookmarkStart w:id="442" w:name="_Toc530563654"/>
      <w:r w:rsidRPr="000E17AE">
        <w:rPr>
          <w:lang w:val="en-GB"/>
        </w:rPr>
        <w:t>Packaging of the biocidal product</w:t>
      </w:r>
      <w:bookmarkEnd w:id="438"/>
      <w:bookmarkEnd w:id="439"/>
      <w:bookmarkEnd w:id="440"/>
      <w:bookmarkEnd w:id="441"/>
      <w:bookmarkEnd w:id="4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673"/>
        <w:gridCol w:w="1430"/>
        <w:gridCol w:w="1411"/>
        <w:gridCol w:w="1741"/>
        <w:gridCol w:w="1745"/>
      </w:tblGrid>
      <w:tr w:rsidR="00064185" w:rsidRPr="00064185" w14:paraId="69DDD01C" w14:textId="77777777" w:rsidTr="00554DD9">
        <w:tc>
          <w:tcPr>
            <w:tcW w:w="758" w:type="pct"/>
            <w:shd w:val="clear" w:color="auto" w:fill="FFFFCC"/>
          </w:tcPr>
          <w:p w14:paraId="061464EC" w14:textId="77777777" w:rsidR="00A53EE0" w:rsidRPr="00064185" w:rsidRDefault="00A53EE0" w:rsidP="00EA61D8">
            <w:pPr>
              <w:keepNext/>
              <w:keepLines/>
              <w:widowControl w:val="0"/>
              <w:spacing w:line="260" w:lineRule="atLeast"/>
              <w:rPr>
                <w:rFonts w:eastAsia="Calibri"/>
                <w:b/>
                <w:sz w:val="18"/>
                <w:lang w:eastAsia="en-US"/>
              </w:rPr>
            </w:pPr>
            <w:r w:rsidRPr="00064185">
              <w:rPr>
                <w:rFonts w:eastAsia="Calibri"/>
                <w:b/>
                <w:sz w:val="18"/>
                <w:lang w:eastAsia="en-US"/>
              </w:rPr>
              <w:t>Type of packaging</w:t>
            </w:r>
            <w:r w:rsidRPr="00064185" w:rsidDel="00F33E33">
              <w:rPr>
                <w:rFonts w:eastAsia="Calibri"/>
                <w:b/>
                <w:sz w:val="18"/>
                <w:lang w:eastAsia="en-US"/>
              </w:rPr>
              <w:t xml:space="preserve"> </w:t>
            </w:r>
          </w:p>
        </w:tc>
        <w:tc>
          <w:tcPr>
            <w:tcW w:w="887" w:type="pct"/>
            <w:shd w:val="clear" w:color="auto" w:fill="FFFFCC"/>
          </w:tcPr>
          <w:p w14:paraId="577061EA" w14:textId="77777777" w:rsidR="00A53EE0" w:rsidRPr="00064185" w:rsidRDefault="00A53EE0" w:rsidP="00EA61D8">
            <w:pPr>
              <w:keepNext/>
              <w:keepLines/>
              <w:widowControl w:val="0"/>
              <w:spacing w:line="260" w:lineRule="atLeast"/>
              <w:rPr>
                <w:rFonts w:eastAsia="Calibri"/>
                <w:b/>
                <w:sz w:val="18"/>
                <w:lang w:eastAsia="en-US"/>
              </w:rPr>
            </w:pPr>
            <w:r w:rsidRPr="00064185">
              <w:rPr>
                <w:rFonts w:eastAsia="Calibri"/>
                <w:b/>
                <w:sz w:val="18"/>
                <w:lang w:eastAsia="en-US"/>
              </w:rPr>
              <w:t>Size/volume</w:t>
            </w:r>
            <w:r w:rsidRPr="00064185" w:rsidDel="00F33E33">
              <w:rPr>
                <w:rFonts w:eastAsia="Calibri"/>
                <w:b/>
                <w:sz w:val="18"/>
                <w:lang w:eastAsia="en-US"/>
              </w:rPr>
              <w:t xml:space="preserve"> </w:t>
            </w:r>
            <w:r w:rsidRPr="00064185">
              <w:rPr>
                <w:rFonts w:eastAsia="Calibri"/>
                <w:b/>
                <w:sz w:val="18"/>
                <w:lang w:eastAsia="en-US"/>
              </w:rPr>
              <w:t>of the packaging</w:t>
            </w:r>
          </w:p>
        </w:tc>
        <w:tc>
          <w:tcPr>
            <w:tcW w:w="758" w:type="pct"/>
            <w:shd w:val="clear" w:color="auto" w:fill="FFFFCC"/>
          </w:tcPr>
          <w:p w14:paraId="0D691FFC" w14:textId="77777777" w:rsidR="00A53EE0" w:rsidRPr="00064185" w:rsidRDefault="00A53EE0" w:rsidP="00EA61D8">
            <w:pPr>
              <w:keepNext/>
              <w:keepLines/>
              <w:widowControl w:val="0"/>
              <w:spacing w:line="260" w:lineRule="atLeast"/>
              <w:rPr>
                <w:rFonts w:eastAsia="Calibri"/>
                <w:b/>
                <w:sz w:val="18"/>
                <w:lang w:eastAsia="en-US"/>
              </w:rPr>
            </w:pPr>
            <w:r w:rsidRPr="00064185">
              <w:rPr>
                <w:rFonts w:eastAsia="Calibri"/>
                <w:b/>
                <w:sz w:val="18"/>
                <w:lang w:eastAsia="en-US"/>
              </w:rPr>
              <w:t>Material of the packaging</w:t>
            </w:r>
          </w:p>
        </w:tc>
        <w:tc>
          <w:tcPr>
            <w:tcW w:w="748" w:type="pct"/>
            <w:shd w:val="clear" w:color="auto" w:fill="FFFFCC"/>
          </w:tcPr>
          <w:p w14:paraId="14FCAF16" w14:textId="77777777" w:rsidR="00A53EE0" w:rsidRPr="00064185" w:rsidRDefault="00A53EE0" w:rsidP="00EA61D8">
            <w:pPr>
              <w:keepNext/>
              <w:keepLines/>
              <w:widowControl w:val="0"/>
              <w:spacing w:line="260" w:lineRule="atLeast"/>
              <w:rPr>
                <w:rFonts w:eastAsia="Calibri"/>
                <w:b/>
                <w:sz w:val="18"/>
                <w:lang w:eastAsia="en-US"/>
              </w:rPr>
            </w:pPr>
            <w:r w:rsidRPr="00064185">
              <w:rPr>
                <w:rFonts w:eastAsia="Calibri"/>
                <w:b/>
                <w:sz w:val="18"/>
                <w:lang w:eastAsia="en-US"/>
              </w:rPr>
              <w:t>Type and material of closure(s)</w:t>
            </w:r>
          </w:p>
        </w:tc>
        <w:tc>
          <w:tcPr>
            <w:tcW w:w="923" w:type="pct"/>
            <w:shd w:val="clear" w:color="auto" w:fill="FFFFCC"/>
          </w:tcPr>
          <w:p w14:paraId="3CD59CBC" w14:textId="77777777" w:rsidR="00A53EE0" w:rsidRPr="00064185" w:rsidRDefault="00A53EE0" w:rsidP="00EA61D8">
            <w:pPr>
              <w:keepNext/>
              <w:keepLines/>
              <w:widowControl w:val="0"/>
              <w:spacing w:line="260" w:lineRule="atLeast"/>
              <w:rPr>
                <w:rFonts w:eastAsia="Calibri"/>
                <w:b/>
                <w:sz w:val="18"/>
                <w:lang w:val="fr-BE" w:eastAsia="en-US"/>
              </w:rPr>
            </w:pPr>
            <w:r w:rsidRPr="00064185">
              <w:rPr>
                <w:rFonts w:eastAsia="Calibri"/>
                <w:b/>
                <w:sz w:val="18"/>
                <w:lang w:val="fr-BE" w:eastAsia="en-US"/>
              </w:rPr>
              <w:t>Intended user (e.g. professional, non-professional)</w:t>
            </w:r>
          </w:p>
        </w:tc>
        <w:tc>
          <w:tcPr>
            <w:tcW w:w="925" w:type="pct"/>
            <w:shd w:val="clear" w:color="auto" w:fill="FFFFCC"/>
          </w:tcPr>
          <w:p w14:paraId="69EAA58C" w14:textId="77777777" w:rsidR="00A53EE0" w:rsidRPr="00064185" w:rsidRDefault="00A53EE0" w:rsidP="00EA61D8">
            <w:pPr>
              <w:keepNext/>
              <w:keepLines/>
              <w:widowControl w:val="0"/>
              <w:spacing w:line="260" w:lineRule="atLeast"/>
              <w:rPr>
                <w:rFonts w:eastAsia="Calibri"/>
                <w:b/>
                <w:sz w:val="18"/>
                <w:lang w:eastAsia="en-US"/>
              </w:rPr>
            </w:pPr>
            <w:r w:rsidRPr="00064185">
              <w:rPr>
                <w:rFonts w:eastAsia="Calibri"/>
                <w:b/>
                <w:sz w:val="18"/>
                <w:lang w:eastAsia="en-US"/>
              </w:rPr>
              <w:t>Compatibility of the product with the proposed packaging materials (Yes/No)</w:t>
            </w:r>
          </w:p>
        </w:tc>
      </w:tr>
      <w:tr w:rsidR="00A53EE0" w:rsidRPr="00064185" w14:paraId="3F268667" w14:textId="77777777" w:rsidTr="00554DD9">
        <w:tc>
          <w:tcPr>
            <w:tcW w:w="758" w:type="pct"/>
            <w:shd w:val="clear" w:color="auto" w:fill="auto"/>
          </w:tcPr>
          <w:p w14:paraId="7D85C3B8" w14:textId="77777777" w:rsidR="00A53EE0" w:rsidRPr="00064185" w:rsidRDefault="00DD6B4B" w:rsidP="00EA61D8">
            <w:pPr>
              <w:keepNext/>
              <w:keepLines/>
              <w:widowControl w:val="0"/>
              <w:spacing w:line="260" w:lineRule="atLeast"/>
              <w:rPr>
                <w:rFonts w:eastAsia="Calibri"/>
                <w:lang w:eastAsia="en-US"/>
              </w:rPr>
            </w:pPr>
            <w:r w:rsidRPr="00064185">
              <w:t>Trigger bottle</w:t>
            </w:r>
          </w:p>
        </w:tc>
        <w:tc>
          <w:tcPr>
            <w:tcW w:w="887" w:type="pct"/>
            <w:shd w:val="clear" w:color="auto" w:fill="auto"/>
          </w:tcPr>
          <w:p w14:paraId="6DB0DFF2" w14:textId="77777777" w:rsidR="00EB264E" w:rsidRPr="00064185" w:rsidRDefault="00DD6B4B" w:rsidP="00EA61D8">
            <w:pPr>
              <w:keepNext/>
              <w:keepLines/>
              <w:widowControl w:val="0"/>
              <w:spacing w:line="260" w:lineRule="atLeast"/>
            </w:pPr>
            <w:r w:rsidRPr="00064185">
              <w:t>200</w:t>
            </w:r>
            <w:r w:rsidR="00EB264E" w:rsidRPr="00064185">
              <w:t xml:space="preserve"> ml; </w:t>
            </w:r>
          </w:p>
          <w:p w14:paraId="358C3B34" w14:textId="77777777" w:rsidR="00EB264E" w:rsidRPr="00064185" w:rsidRDefault="00EB264E" w:rsidP="00EA61D8">
            <w:pPr>
              <w:keepNext/>
              <w:keepLines/>
              <w:widowControl w:val="0"/>
              <w:spacing w:line="260" w:lineRule="atLeast"/>
            </w:pPr>
            <w:r w:rsidRPr="00064185">
              <w:t xml:space="preserve">250 ml; </w:t>
            </w:r>
          </w:p>
          <w:p w14:paraId="5FC81022" w14:textId="77777777" w:rsidR="00EB264E" w:rsidRPr="00064185" w:rsidRDefault="00EB264E" w:rsidP="00EA61D8">
            <w:pPr>
              <w:keepNext/>
              <w:keepLines/>
              <w:widowControl w:val="0"/>
              <w:spacing w:line="260" w:lineRule="atLeast"/>
            </w:pPr>
            <w:r w:rsidRPr="00064185">
              <w:t xml:space="preserve">300 ml; </w:t>
            </w:r>
          </w:p>
          <w:p w14:paraId="191FC4D1" w14:textId="77777777" w:rsidR="00EB264E" w:rsidRPr="00064185" w:rsidRDefault="00EB264E" w:rsidP="00EA61D8">
            <w:pPr>
              <w:keepNext/>
              <w:keepLines/>
              <w:widowControl w:val="0"/>
              <w:spacing w:line="260" w:lineRule="atLeast"/>
            </w:pPr>
            <w:r w:rsidRPr="00064185">
              <w:t xml:space="preserve">400 ml; </w:t>
            </w:r>
          </w:p>
          <w:p w14:paraId="72CE3EF2" w14:textId="77777777" w:rsidR="00EB264E" w:rsidRPr="00064185" w:rsidRDefault="00EB264E" w:rsidP="00EA61D8">
            <w:pPr>
              <w:keepNext/>
              <w:keepLines/>
              <w:widowControl w:val="0"/>
              <w:spacing w:line="260" w:lineRule="atLeast"/>
            </w:pPr>
            <w:r w:rsidRPr="00064185">
              <w:t xml:space="preserve">500 ml; </w:t>
            </w:r>
          </w:p>
          <w:p w14:paraId="6D51AC84" w14:textId="77777777" w:rsidR="00EB264E" w:rsidRPr="00064185" w:rsidRDefault="00EB264E" w:rsidP="00EA61D8">
            <w:pPr>
              <w:keepNext/>
              <w:keepLines/>
              <w:widowControl w:val="0"/>
              <w:spacing w:line="260" w:lineRule="atLeast"/>
            </w:pPr>
            <w:r w:rsidRPr="00064185">
              <w:t xml:space="preserve">750 ml; </w:t>
            </w:r>
          </w:p>
          <w:p w14:paraId="715445A7" w14:textId="77777777" w:rsidR="00EB264E" w:rsidRPr="00064185" w:rsidRDefault="00EB264E" w:rsidP="00EA61D8">
            <w:pPr>
              <w:keepNext/>
              <w:keepLines/>
              <w:widowControl w:val="0"/>
              <w:spacing w:line="260" w:lineRule="atLeast"/>
            </w:pPr>
            <w:r w:rsidRPr="00064185">
              <w:t xml:space="preserve">900 ml; </w:t>
            </w:r>
          </w:p>
          <w:p w14:paraId="0FB26C39" w14:textId="5CAF98D3" w:rsidR="00A53EE0" w:rsidRPr="00064185" w:rsidRDefault="00DD6B4B" w:rsidP="00EA61D8">
            <w:pPr>
              <w:keepNext/>
              <w:keepLines/>
              <w:widowControl w:val="0"/>
              <w:spacing w:line="260" w:lineRule="atLeast"/>
              <w:rPr>
                <w:rFonts w:eastAsia="Calibri"/>
                <w:lang w:eastAsia="en-US"/>
              </w:rPr>
            </w:pPr>
            <w:r w:rsidRPr="00064185">
              <w:t>1000 m</w:t>
            </w:r>
            <w:r w:rsidR="00BC5C05" w:rsidRPr="00064185">
              <w:t>l</w:t>
            </w:r>
          </w:p>
        </w:tc>
        <w:tc>
          <w:tcPr>
            <w:tcW w:w="758" w:type="pct"/>
            <w:shd w:val="clear" w:color="auto" w:fill="auto"/>
          </w:tcPr>
          <w:p w14:paraId="4AEE7C48" w14:textId="77777777" w:rsidR="00A53EE0" w:rsidRPr="00064185" w:rsidRDefault="00DD6B4B" w:rsidP="00EA61D8">
            <w:pPr>
              <w:keepNext/>
              <w:keepLines/>
              <w:widowControl w:val="0"/>
              <w:spacing w:line="260" w:lineRule="atLeast"/>
              <w:rPr>
                <w:rFonts w:eastAsia="Calibri"/>
                <w:lang w:eastAsia="en-US"/>
              </w:rPr>
            </w:pPr>
            <w:r w:rsidRPr="00064185">
              <w:rPr>
                <w:rFonts w:eastAsia="Calibri"/>
                <w:lang w:eastAsia="en-US"/>
              </w:rPr>
              <w:t>PET</w:t>
            </w:r>
          </w:p>
        </w:tc>
        <w:tc>
          <w:tcPr>
            <w:tcW w:w="748" w:type="pct"/>
            <w:shd w:val="clear" w:color="auto" w:fill="auto"/>
          </w:tcPr>
          <w:p w14:paraId="3A22AB20" w14:textId="77777777" w:rsidR="00A53EE0" w:rsidRPr="00064185" w:rsidRDefault="00DD6B4B" w:rsidP="00EA61D8">
            <w:pPr>
              <w:keepNext/>
              <w:keepLines/>
              <w:widowControl w:val="0"/>
              <w:spacing w:line="260" w:lineRule="atLeast"/>
              <w:rPr>
                <w:rFonts w:eastAsia="Calibri"/>
                <w:lang w:eastAsia="en-US"/>
              </w:rPr>
            </w:pPr>
            <w:r w:rsidRPr="00064185">
              <w:rPr>
                <w:rFonts w:eastAsia="Calibri"/>
                <w:lang w:eastAsia="en-US"/>
              </w:rPr>
              <w:t>Trigger is made of PP</w:t>
            </w:r>
          </w:p>
        </w:tc>
        <w:tc>
          <w:tcPr>
            <w:tcW w:w="923" w:type="pct"/>
            <w:shd w:val="clear" w:color="auto" w:fill="auto"/>
          </w:tcPr>
          <w:p w14:paraId="5F0BC3B7" w14:textId="77777777" w:rsidR="00A53EE0" w:rsidRPr="00064185" w:rsidRDefault="00DD6B4B" w:rsidP="00EA61D8">
            <w:pPr>
              <w:keepNext/>
              <w:keepLines/>
              <w:widowControl w:val="0"/>
              <w:spacing w:line="260" w:lineRule="atLeast"/>
              <w:rPr>
                <w:rFonts w:eastAsia="Calibri"/>
                <w:lang w:eastAsia="en-US"/>
              </w:rPr>
            </w:pPr>
            <w:r w:rsidRPr="00064185">
              <w:rPr>
                <w:rFonts w:eastAsia="Calibri"/>
                <w:lang w:val="fr-BE" w:eastAsia="en-US"/>
              </w:rPr>
              <w:t>non-professional</w:t>
            </w:r>
          </w:p>
        </w:tc>
        <w:tc>
          <w:tcPr>
            <w:tcW w:w="925" w:type="pct"/>
          </w:tcPr>
          <w:p w14:paraId="61601C32" w14:textId="77777777" w:rsidR="00A53EE0" w:rsidRPr="00064185" w:rsidRDefault="00DD6B4B" w:rsidP="00EA61D8">
            <w:pPr>
              <w:keepNext/>
              <w:keepLines/>
              <w:widowControl w:val="0"/>
              <w:spacing w:line="260" w:lineRule="atLeast"/>
              <w:rPr>
                <w:rFonts w:eastAsia="Calibri"/>
                <w:lang w:eastAsia="en-US"/>
              </w:rPr>
            </w:pPr>
            <w:r w:rsidRPr="00064185">
              <w:rPr>
                <w:rFonts w:eastAsia="Calibri"/>
                <w:lang w:eastAsia="en-US"/>
              </w:rPr>
              <w:t>Yes</w:t>
            </w:r>
          </w:p>
        </w:tc>
      </w:tr>
    </w:tbl>
    <w:p w14:paraId="4C4BCAC8" w14:textId="77777777" w:rsidR="000E17AE" w:rsidRDefault="000E17AE" w:rsidP="000E17AE">
      <w:pPr>
        <w:pStyle w:val="berschrift3"/>
        <w:numPr>
          <w:ilvl w:val="0"/>
          <w:numId w:val="0"/>
        </w:numPr>
        <w:ind w:left="567"/>
        <w:rPr>
          <w:rFonts w:eastAsia="Calibri"/>
          <w:lang w:eastAsia="en-US"/>
        </w:rPr>
      </w:pPr>
      <w:bookmarkStart w:id="443" w:name="_Toc389728901"/>
      <w:bookmarkStart w:id="444" w:name="_Toc440879637"/>
      <w:bookmarkStart w:id="445" w:name="_Toc440889950"/>
      <w:bookmarkStart w:id="446" w:name="_Toc530563655"/>
    </w:p>
    <w:p w14:paraId="1A9D6653" w14:textId="400042D1" w:rsidR="00A53EE0" w:rsidRPr="00064185" w:rsidRDefault="003879FE" w:rsidP="00EA61D8">
      <w:pPr>
        <w:pStyle w:val="berschrift3"/>
        <w:rPr>
          <w:rFonts w:eastAsia="Calibri"/>
          <w:lang w:eastAsia="en-US"/>
        </w:rPr>
      </w:pPr>
      <w:r w:rsidRPr="00064185">
        <w:rPr>
          <w:rFonts w:eastAsia="Calibri"/>
          <w:lang w:eastAsia="en-US"/>
        </w:rPr>
        <w:t>General d</w:t>
      </w:r>
      <w:r w:rsidR="00A53EE0" w:rsidRPr="00064185">
        <w:rPr>
          <w:rFonts w:eastAsia="Calibri"/>
          <w:lang w:eastAsia="en-US"/>
        </w:rPr>
        <w:t>irections for use</w:t>
      </w:r>
      <w:bookmarkEnd w:id="443"/>
      <w:bookmarkEnd w:id="444"/>
      <w:bookmarkEnd w:id="445"/>
      <w:bookmarkEnd w:id="446"/>
    </w:p>
    <w:p w14:paraId="236B4303" w14:textId="34D94FEF" w:rsidR="00A53EE0" w:rsidRPr="00064185" w:rsidRDefault="00A53EE0" w:rsidP="00EA61D8">
      <w:pPr>
        <w:pStyle w:val="berschrift4"/>
        <w:numPr>
          <w:ilvl w:val="0"/>
          <w:numId w:val="10"/>
        </w:numPr>
        <w:jc w:val="left"/>
      </w:pPr>
      <w:bookmarkStart w:id="447" w:name="_Toc388281318"/>
      <w:bookmarkStart w:id="448" w:name="_Toc388281774"/>
      <w:bookmarkStart w:id="449" w:name="_Toc388282256"/>
      <w:bookmarkStart w:id="450" w:name="_Toc388282704"/>
      <w:bookmarkStart w:id="451" w:name="_Toc388281319"/>
      <w:bookmarkStart w:id="452" w:name="_Toc388281775"/>
      <w:bookmarkStart w:id="453" w:name="_Toc388282257"/>
      <w:bookmarkStart w:id="454" w:name="_Toc388282705"/>
      <w:bookmarkStart w:id="455" w:name="_Toc388281320"/>
      <w:bookmarkStart w:id="456" w:name="_Toc388281776"/>
      <w:bookmarkStart w:id="457" w:name="_Toc388282258"/>
      <w:bookmarkStart w:id="458" w:name="_Toc388282706"/>
      <w:bookmarkStart w:id="459" w:name="_Toc388281321"/>
      <w:bookmarkStart w:id="460" w:name="_Toc388281777"/>
      <w:bookmarkStart w:id="461" w:name="_Toc388282259"/>
      <w:bookmarkStart w:id="462" w:name="_Toc388282707"/>
      <w:bookmarkStart w:id="463" w:name="_Toc366658866"/>
      <w:bookmarkStart w:id="464" w:name="_Toc389728902"/>
      <w:bookmarkStart w:id="465" w:name="_Toc403472731"/>
      <w:bookmarkStart w:id="466" w:name="_Toc440879638"/>
      <w:bookmarkStart w:id="467" w:name="_Toc440889951"/>
      <w:bookmarkStart w:id="468" w:name="_Toc530563656"/>
      <w:bookmarkStart w:id="469" w:name="d0e1879"/>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064185">
        <w:t>Instructions for use</w:t>
      </w:r>
      <w:bookmarkEnd w:id="463"/>
      <w:bookmarkEnd w:id="464"/>
      <w:bookmarkEnd w:id="465"/>
      <w:bookmarkEnd w:id="466"/>
      <w:bookmarkEnd w:id="467"/>
      <w:bookmarkEnd w:id="468"/>
    </w:p>
    <w:tbl>
      <w:tblPr>
        <w:tblW w:w="5000" w:type="pct"/>
        <w:tblCellMar>
          <w:left w:w="0" w:type="dxa"/>
          <w:right w:w="0" w:type="dxa"/>
        </w:tblCellMar>
        <w:tblLook w:val="04A0" w:firstRow="1" w:lastRow="0" w:firstColumn="1" w:lastColumn="0" w:noHBand="0" w:noVBand="1"/>
      </w:tblPr>
      <w:tblGrid>
        <w:gridCol w:w="9294"/>
      </w:tblGrid>
      <w:tr w:rsidR="00993B58" w:rsidRPr="00064185" w14:paraId="75C0A4C5" w14:textId="77777777" w:rsidTr="00554DD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B829B5D" w14:textId="77777777" w:rsidR="003B4BD7" w:rsidRPr="00064185" w:rsidRDefault="00012BA8" w:rsidP="00EA61D8">
            <w:pPr>
              <w:pStyle w:val="Kommentartext"/>
              <w:numPr>
                <w:ilvl w:val="0"/>
                <w:numId w:val="19"/>
              </w:numPr>
              <w:rPr>
                <w:lang w:val="en-US"/>
              </w:rPr>
            </w:pPr>
            <w:bookmarkStart w:id="470" w:name="d0e1894"/>
            <w:bookmarkEnd w:id="469"/>
            <w:r w:rsidRPr="00064185">
              <w:rPr>
                <w:lang w:val="en-US"/>
              </w:rPr>
              <w:t xml:space="preserve">Avoid any unnecessary contact with the product or treated surface. Misuse can cause damage to </w:t>
            </w:r>
            <w:r w:rsidR="00236D99" w:rsidRPr="00064185">
              <w:rPr>
                <w:lang w:val="en-US"/>
              </w:rPr>
              <w:t>one’s health</w:t>
            </w:r>
            <w:r w:rsidRPr="00064185">
              <w:rPr>
                <w:lang w:val="en-US"/>
              </w:rPr>
              <w:t xml:space="preserve">. </w:t>
            </w:r>
          </w:p>
          <w:p w14:paraId="6AF7DDCD" w14:textId="77777777" w:rsidR="003B4BD7" w:rsidRPr="00064185" w:rsidRDefault="00012BA8" w:rsidP="00EA61D8">
            <w:pPr>
              <w:pStyle w:val="Kommentartext"/>
              <w:numPr>
                <w:ilvl w:val="0"/>
                <w:numId w:val="19"/>
              </w:numPr>
              <w:rPr>
                <w:lang w:val="en-US"/>
              </w:rPr>
            </w:pPr>
            <w:r w:rsidRPr="00064185">
              <w:rPr>
                <w:lang w:val="en-US"/>
              </w:rPr>
              <w:t>Avoid contact with the skin.</w:t>
            </w:r>
            <w:r w:rsidR="00F344CE" w:rsidRPr="00064185">
              <w:t xml:space="preserve"> </w:t>
            </w:r>
          </w:p>
          <w:p w14:paraId="7DF27ABF" w14:textId="4204EC78" w:rsidR="00012BA8" w:rsidRPr="00064185" w:rsidRDefault="00F344CE" w:rsidP="00EA61D8">
            <w:pPr>
              <w:pStyle w:val="Kommentartext"/>
              <w:numPr>
                <w:ilvl w:val="0"/>
                <w:numId w:val="19"/>
              </w:numPr>
              <w:rPr>
                <w:lang w:val="en-US"/>
              </w:rPr>
            </w:pPr>
            <w:r w:rsidRPr="00064185">
              <w:t>Do not breathe spray.</w:t>
            </w:r>
          </w:p>
          <w:p w14:paraId="43B105D8" w14:textId="77777777" w:rsidR="00012BA8" w:rsidRPr="00064185" w:rsidRDefault="00012BA8" w:rsidP="00EA61D8">
            <w:pPr>
              <w:numPr>
                <w:ilvl w:val="0"/>
                <w:numId w:val="19"/>
              </w:numPr>
              <w:spacing w:line="260" w:lineRule="atLeast"/>
              <w:rPr>
                <w:rFonts w:eastAsia="Calibri"/>
                <w:lang w:eastAsia="en-US"/>
              </w:rPr>
            </w:pPr>
            <w:r w:rsidRPr="00064185">
              <w:rPr>
                <w:lang w:val="en-US"/>
              </w:rPr>
              <w:t xml:space="preserve">May only be applied where </w:t>
            </w:r>
            <w:r w:rsidRPr="00064185">
              <w:rPr>
                <w:rFonts w:eastAsia="Calibri"/>
                <w:lang w:eastAsia="en-US"/>
              </w:rPr>
              <w:t>contamination of food, feed, drinks and edible plants as well as growing areas for edible plants can be excluded.</w:t>
            </w:r>
          </w:p>
          <w:p w14:paraId="2A502926" w14:textId="77777777" w:rsidR="00012BA8" w:rsidRPr="00064185" w:rsidRDefault="00012BA8" w:rsidP="00EA61D8">
            <w:pPr>
              <w:pStyle w:val="Kommentartext"/>
              <w:numPr>
                <w:ilvl w:val="0"/>
                <w:numId w:val="19"/>
              </w:numPr>
              <w:rPr>
                <w:lang w:val="en-US"/>
              </w:rPr>
            </w:pPr>
            <w:r w:rsidRPr="00064185">
              <w:rPr>
                <w:lang w:val="en-US"/>
              </w:rPr>
              <w:t>Wash hands after use.</w:t>
            </w:r>
          </w:p>
          <w:p w14:paraId="604753CB" w14:textId="77777777" w:rsidR="00012BA8" w:rsidRPr="00064185" w:rsidRDefault="00012BA8" w:rsidP="00EA61D8">
            <w:pPr>
              <w:pStyle w:val="Kommentartext"/>
              <w:numPr>
                <w:ilvl w:val="0"/>
                <w:numId w:val="19"/>
              </w:numPr>
              <w:rPr>
                <w:lang w:val="en-US"/>
              </w:rPr>
            </w:pPr>
            <w:r w:rsidRPr="00064185">
              <w:rPr>
                <w:lang w:val="en-US"/>
              </w:rPr>
              <w:t>Keep away product, its remaining as well as emptied container and packages from water bodies.</w:t>
            </w:r>
          </w:p>
          <w:p w14:paraId="40F4A3B0" w14:textId="4CF0FF01" w:rsidR="00F344CE" w:rsidRPr="00064185" w:rsidRDefault="00F8092A" w:rsidP="00EA61D8">
            <w:pPr>
              <w:pStyle w:val="Kommentartext"/>
              <w:numPr>
                <w:ilvl w:val="0"/>
                <w:numId w:val="19"/>
              </w:numPr>
              <w:rPr>
                <w:lang w:val="en-US"/>
              </w:rPr>
            </w:pPr>
            <w:r w:rsidRPr="00064185">
              <w:rPr>
                <w:rFonts w:eastAsia="Calibri"/>
                <w:lang w:eastAsia="en-US"/>
              </w:rPr>
              <w:t>Treated areas should be protected from cleaning to provide the long lasting effect of the product.</w:t>
            </w:r>
          </w:p>
          <w:p w14:paraId="062185FA" w14:textId="77777777" w:rsidR="00F344CE" w:rsidRPr="00064185" w:rsidRDefault="00F344CE" w:rsidP="00EA61D8">
            <w:pPr>
              <w:pStyle w:val="Listenabsatz"/>
              <w:numPr>
                <w:ilvl w:val="0"/>
                <w:numId w:val="19"/>
              </w:numPr>
              <w:rPr>
                <w:lang w:val="en-US"/>
              </w:rPr>
            </w:pPr>
            <w:r w:rsidRPr="00064185">
              <w:rPr>
                <w:lang w:val="en-US"/>
              </w:rPr>
              <w:t xml:space="preserve">Inform the authorisation holder if the treatment is ineffective. </w:t>
            </w:r>
          </w:p>
          <w:p w14:paraId="2ED1298E" w14:textId="77777777" w:rsidR="00B72A8C" w:rsidRPr="00064185" w:rsidRDefault="00F344CE" w:rsidP="00EA61D8">
            <w:pPr>
              <w:pStyle w:val="Listenabsatz"/>
              <w:numPr>
                <w:ilvl w:val="0"/>
                <w:numId w:val="19"/>
              </w:numPr>
              <w:rPr>
                <w:lang w:val="en-US"/>
              </w:rPr>
            </w:pPr>
            <w:r w:rsidRPr="00064185">
              <w:rPr>
                <w:lang w:val="en-US"/>
              </w:rPr>
              <w:t>If the infestation persists despite following the instructions of the label, contact a pest control professional.</w:t>
            </w:r>
          </w:p>
          <w:p w14:paraId="5910D4CD" w14:textId="53D35E06" w:rsidR="00FA4615" w:rsidRPr="00064185" w:rsidRDefault="00FA4615" w:rsidP="00EA61D8">
            <w:pPr>
              <w:pStyle w:val="Listenabsatz"/>
              <w:numPr>
                <w:ilvl w:val="0"/>
                <w:numId w:val="19"/>
              </w:numPr>
              <w:rPr>
                <w:rFonts w:eastAsia="Calibri"/>
                <w:lang w:val="en-US"/>
              </w:rPr>
            </w:pPr>
            <w:r w:rsidRPr="00064185">
              <w:rPr>
                <w:rFonts w:eastAsia="Calibri"/>
                <w:lang w:val="en-US"/>
              </w:rPr>
              <w:t>Adopt integrated pest management methods such as alternation between treatment strategies during the treatment regime (biological, chemical and mechanical), taking into account local specificities (climatic conditions, target species, conditions of use, etc.</w:t>
            </w:r>
          </w:p>
        </w:tc>
      </w:tr>
    </w:tbl>
    <w:p w14:paraId="7A7E13C5" w14:textId="77777777" w:rsidR="00A53EE0" w:rsidRPr="00064185" w:rsidRDefault="00A53EE0" w:rsidP="00EA61D8">
      <w:pPr>
        <w:spacing w:line="260" w:lineRule="atLeast"/>
        <w:rPr>
          <w:rFonts w:eastAsia="Calibri"/>
          <w:lang w:eastAsia="en-US"/>
        </w:rPr>
      </w:pPr>
      <w:bookmarkStart w:id="471" w:name="d0e2020"/>
      <w:bookmarkStart w:id="472" w:name="_Toc366658867"/>
      <w:bookmarkEnd w:id="470"/>
    </w:p>
    <w:p w14:paraId="5D0F4B12" w14:textId="77777777" w:rsidR="00D7273F" w:rsidRPr="00064185" w:rsidRDefault="00D7273F" w:rsidP="00EA61D8">
      <w:pPr>
        <w:spacing w:line="260" w:lineRule="atLeast"/>
        <w:rPr>
          <w:rFonts w:eastAsia="Calibri"/>
          <w:lang w:eastAsia="en-US"/>
        </w:rPr>
      </w:pPr>
    </w:p>
    <w:p w14:paraId="51C976A9" w14:textId="2F0A86FF" w:rsidR="00A4778D" w:rsidRPr="00064185" w:rsidRDefault="003879FE" w:rsidP="00EA61D8">
      <w:pPr>
        <w:pStyle w:val="berschrift4"/>
        <w:jc w:val="left"/>
      </w:pPr>
      <w:bookmarkStart w:id="473" w:name="_Toc530563657"/>
      <w:r w:rsidRPr="00064185">
        <w:t>Risk mitigation measures</w:t>
      </w:r>
      <w:bookmarkEnd w:id="4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430"/>
      </w:tblGrid>
      <w:tr w:rsidR="008B73FB" w:rsidRPr="00064185" w14:paraId="57F18E8E" w14:textId="77777777" w:rsidTr="008B73FB">
        <w:trPr>
          <w:trHeight w:val="73"/>
        </w:trPr>
        <w:tc>
          <w:tcPr>
            <w:tcW w:w="5000" w:type="pct"/>
          </w:tcPr>
          <w:p w14:paraId="18093F18" w14:textId="6D78FE94" w:rsidR="006738A8" w:rsidRPr="000E17AE" w:rsidRDefault="006738A8" w:rsidP="00EA61D8">
            <w:pPr>
              <w:widowControl w:val="0"/>
              <w:numPr>
                <w:ilvl w:val="0"/>
                <w:numId w:val="19"/>
              </w:numPr>
              <w:autoSpaceDE w:val="0"/>
              <w:autoSpaceDN w:val="0"/>
              <w:adjustRightInd w:val="0"/>
              <w:spacing w:before="60" w:after="60"/>
              <w:contextualSpacing/>
              <w:rPr>
                <w:rFonts w:cs="Times"/>
                <w:bCs/>
                <w:szCs w:val="29"/>
              </w:rPr>
            </w:pPr>
            <w:r w:rsidRPr="00064185">
              <w:rPr>
                <w:rFonts w:cs="Arial"/>
                <w:lang w:val="en-US"/>
              </w:rPr>
              <w:t xml:space="preserve">The application is restricted to areas that are not wet </w:t>
            </w:r>
            <w:r w:rsidRPr="000E17AE">
              <w:rPr>
                <w:rFonts w:cs="Arial"/>
                <w:lang w:val="en-US"/>
              </w:rPr>
              <w:t>cleaned</w:t>
            </w:r>
            <w:r w:rsidR="000E17AE">
              <w:rPr>
                <w:rFonts w:cs="Arial"/>
                <w:lang w:val="en-US"/>
              </w:rPr>
              <w:t>,</w:t>
            </w:r>
            <w:r w:rsidR="00D00286" w:rsidRPr="000E17AE">
              <w:rPr>
                <w:rFonts w:cs="Arial"/>
                <w:lang w:val="en-US"/>
              </w:rPr>
              <w:t xml:space="preserve"> </w:t>
            </w:r>
            <w:r w:rsidR="00D00286" w:rsidRPr="000E17AE">
              <w:t>e.g. in cracks and crevices, closed bath tubes, areas next to, behind and under furniture</w:t>
            </w:r>
          </w:p>
          <w:p w14:paraId="46ABE0AF" w14:textId="13202629" w:rsidR="003E0CBC" w:rsidRPr="00064185" w:rsidRDefault="003E0CBC" w:rsidP="00EA61D8">
            <w:pPr>
              <w:pStyle w:val="Listenabsatz"/>
              <w:numPr>
                <w:ilvl w:val="0"/>
                <w:numId w:val="19"/>
              </w:numPr>
              <w:spacing w:line="260" w:lineRule="atLeast"/>
              <w:rPr>
                <w:rFonts w:eastAsia="Calibri"/>
                <w:lang w:eastAsia="en-US"/>
              </w:rPr>
            </w:pPr>
            <w:r w:rsidRPr="00064185">
              <w:rPr>
                <w:rFonts w:eastAsia="Calibri"/>
                <w:lang w:eastAsia="en-US"/>
              </w:rPr>
              <w:t>Do not use where release to drains (sewer) cannot be prevented.</w:t>
            </w:r>
          </w:p>
          <w:p w14:paraId="61DE1554" w14:textId="3EBC08FA" w:rsidR="00CE1F7D" w:rsidRPr="00064185" w:rsidRDefault="00CE1F7D" w:rsidP="00EA61D8">
            <w:pPr>
              <w:pStyle w:val="Textkrper2"/>
              <w:numPr>
                <w:ilvl w:val="0"/>
                <w:numId w:val="19"/>
              </w:numPr>
              <w:spacing w:line="260" w:lineRule="atLeast"/>
              <w:rPr>
                <w:rFonts w:eastAsia="Calibri"/>
                <w:color w:val="auto"/>
                <w:lang w:eastAsia="en-US"/>
              </w:rPr>
            </w:pPr>
            <w:r w:rsidRPr="00064185">
              <w:rPr>
                <w:rFonts w:eastAsia="Calibri"/>
                <w:i w:val="0"/>
                <w:color w:val="auto"/>
              </w:rPr>
              <w:t xml:space="preserve">Apply only in areas that are not liable to submersion or becoming wet, i.e. </w:t>
            </w:r>
            <w:r w:rsidRPr="00064185">
              <w:rPr>
                <w:rFonts w:eastAsia="Calibri"/>
                <w:i w:val="0"/>
                <w:color w:val="auto"/>
              </w:rPr>
              <w:lastRenderedPageBreak/>
              <w:t>protected from rain floods</w:t>
            </w:r>
            <w:r w:rsidRPr="00064185">
              <w:rPr>
                <w:i w:val="0"/>
                <w:color w:val="auto"/>
              </w:rPr>
              <w:t xml:space="preserve"> and cleaning water.</w:t>
            </w:r>
            <w:r w:rsidRPr="00064185">
              <w:rPr>
                <w:rFonts w:eastAsia="Calibri"/>
                <w:i w:val="0"/>
                <w:color w:val="auto"/>
                <w:lang w:eastAsia="en-US"/>
              </w:rPr>
              <w:t xml:space="preserve"> </w:t>
            </w:r>
          </w:p>
          <w:p w14:paraId="56B0CE92" w14:textId="042A178E" w:rsidR="008B73FB" w:rsidRPr="00064185" w:rsidRDefault="00572DB0" w:rsidP="00EA61D8">
            <w:pPr>
              <w:pStyle w:val="Kommentartext"/>
              <w:numPr>
                <w:ilvl w:val="0"/>
                <w:numId w:val="19"/>
              </w:numPr>
              <w:rPr>
                <w:lang w:val="en-US"/>
              </w:rPr>
            </w:pPr>
            <w:r w:rsidRPr="00064185">
              <w:rPr>
                <w:rFonts w:eastAsia="Calibri"/>
                <w:lang w:eastAsia="en-US"/>
              </w:rPr>
              <w:t>Due to the risk for poisoning the product may only be applied, where access of pets, livestock and children can be excluded.</w:t>
            </w:r>
          </w:p>
        </w:tc>
      </w:tr>
    </w:tbl>
    <w:p w14:paraId="68F6BD6B" w14:textId="77777777" w:rsidR="00F77C7E" w:rsidRPr="00064185" w:rsidRDefault="00F77C7E" w:rsidP="00EA61D8">
      <w:pPr>
        <w:spacing w:line="260" w:lineRule="atLeast"/>
        <w:rPr>
          <w:rFonts w:eastAsia="Calibri"/>
          <w:b/>
          <w:bCs/>
          <w:szCs w:val="24"/>
          <w:lang w:eastAsia="en-GB"/>
        </w:rPr>
      </w:pPr>
    </w:p>
    <w:p w14:paraId="35904F80" w14:textId="77777777" w:rsidR="003863AF" w:rsidRPr="00064185" w:rsidRDefault="003863AF" w:rsidP="00EA61D8">
      <w:pPr>
        <w:spacing w:line="260" w:lineRule="atLeast"/>
        <w:rPr>
          <w:rFonts w:eastAsia="Calibri"/>
          <w:lang w:eastAsia="en-US"/>
        </w:rPr>
      </w:pPr>
    </w:p>
    <w:p w14:paraId="52EAF906" w14:textId="77777777" w:rsidR="00A53EE0" w:rsidRPr="00064185" w:rsidRDefault="00A53EE0" w:rsidP="00EA61D8">
      <w:pPr>
        <w:pStyle w:val="berschrift4"/>
        <w:jc w:val="left"/>
        <w:rPr>
          <w:lang w:val="en-GB"/>
        </w:rPr>
      </w:pPr>
      <w:bookmarkStart w:id="474" w:name="_Toc389728903"/>
      <w:bookmarkStart w:id="475" w:name="_Toc403472732"/>
      <w:bookmarkStart w:id="476" w:name="_Toc440879639"/>
      <w:bookmarkStart w:id="477" w:name="_Toc440889952"/>
      <w:bookmarkStart w:id="478" w:name="_Toc530563658"/>
      <w:r w:rsidRPr="00064185">
        <w:rPr>
          <w:lang w:val="en-GB"/>
        </w:rPr>
        <w:t>Particulars of likely direct or indirect effects, first aid instructions and emergency measures to protect the environment</w:t>
      </w:r>
      <w:bookmarkEnd w:id="471"/>
      <w:bookmarkEnd w:id="472"/>
      <w:bookmarkEnd w:id="474"/>
      <w:bookmarkEnd w:id="475"/>
      <w:bookmarkEnd w:id="476"/>
      <w:bookmarkEnd w:id="477"/>
      <w:bookmarkEnd w:id="478"/>
    </w:p>
    <w:tbl>
      <w:tblPr>
        <w:tblW w:w="5000" w:type="pct"/>
        <w:tblCellMar>
          <w:left w:w="0" w:type="dxa"/>
          <w:right w:w="0" w:type="dxa"/>
        </w:tblCellMar>
        <w:tblLook w:val="04A0" w:firstRow="1" w:lastRow="0" w:firstColumn="1" w:lastColumn="0" w:noHBand="0" w:noVBand="1"/>
      </w:tblPr>
      <w:tblGrid>
        <w:gridCol w:w="9294"/>
      </w:tblGrid>
      <w:tr w:rsidR="00993B58" w:rsidRPr="00064185" w14:paraId="19DFC149" w14:textId="77777777" w:rsidTr="00554DD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ECAF8F9" w14:textId="77777777" w:rsidR="00FA4615" w:rsidRPr="00064185" w:rsidRDefault="00A4778D" w:rsidP="00EA61D8">
            <w:pPr>
              <w:rPr>
                <w:b/>
                <w:bCs/>
                <w:szCs w:val="24"/>
                <w:lang w:val="en-US"/>
              </w:rPr>
            </w:pPr>
            <w:r w:rsidRPr="00064185">
              <w:rPr>
                <w:b/>
                <w:bCs/>
                <w:szCs w:val="24"/>
                <w:lang w:val="en-US"/>
              </w:rPr>
              <w:t xml:space="preserve">Particulars of likely direct or indirect effects: </w:t>
            </w:r>
          </w:p>
          <w:p w14:paraId="1B602F8D" w14:textId="7BBE5EC4" w:rsidR="00A4778D" w:rsidRPr="00064185" w:rsidRDefault="00A4778D" w:rsidP="00FA4615">
            <w:pPr>
              <w:pStyle w:val="Listenabsatz"/>
              <w:numPr>
                <w:ilvl w:val="0"/>
                <w:numId w:val="29"/>
              </w:numPr>
              <w:rPr>
                <w:bCs/>
                <w:szCs w:val="24"/>
                <w:lang w:val="en-US"/>
              </w:rPr>
            </w:pPr>
            <w:r w:rsidRPr="00064185">
              <w:rPr>
                <w:bCs/>
                <w:szCs w:val="24"/>
                <w:lang w:val="en-US"/>
              </w:rPr>
              <w:t>Not known if the product is used properly according to the product label.</w:t>
            </w:r>
          </w:p>
          <w:p w14:paraId="540CFBEE" w14:textId="77777777" w:rsidR="00A4778D" w:rsidRPr="00064185" w:rsidRDefault="00A4778D" w:rsidP="00EA61D8">
            <w:pPr>
              <w:rPr>
                <w:lang w:val="en-US"/>
              </w:rPr>
            </w:pPr>
          </w:p>
          <w:p w14:paraId="1129ACC9" w14:textId="77777777" w:rsidR="00A4778D" w:rsidRPr="00064185" w:rsidRDefault="00A4778D" w:rsidP="00EA61D8">
            <w:pPr>
              <w:rPr>
                <w:b/>
                <w:bCs/>
                <w:szCs w:val="24"/>
                <w:lang w:val="en-US"/>
              </w:rPr>
            </w:pPr>
            <w:r w:rsidRPr="00064185">
              <w:rPr>
                <w:b/>
                <w:bCs/>
                <w:szCs w:val="24"/>
                <w:lang w:val="en-US"/>
              </w:rPr>
              <w:t xml:space="preserve">First aid instructions: </w:t>
            </w:r>
          </w:p>
          <w:p w14:paraId="5D5AE68D" w14:textId="77777777" w:rsidR="00F421ED" w:rsidRPr="00064185" w:rsidRDefault="00F421ED" w:rsidP="00EA61D8">
            <w:pPr>
              <w:pStyle w:val="Listenabsatz"/>
              <w:numPr>
                <w:ilvl w:val="0"/>
                <w:numId w:val="21"/>
              </w:numPr>
              <w:spacing w:before="120"/>
            </w:pPr>
            <w:r w:rsidRPr="00064185">
              <w:t xml:space="preserve">If inhaled: Keep patient calm, remove to fresh air, </w:t>
            </w:r>
            <w:proofErr w:type="gramStart"/>
            <w:r w:rsidRPr="00064185">
              <w:t>seek</w:t>
            </w:r>
            <w:proofErr w:type="gramEnd"/>
            <w:r w:rsidRPr="00064185">
              <w:t xml:space="preserve"> medical attention. </w:t>
            </w:r>
          </w:p>
          <w:p w14:paraId="5B57414D" w14:textId="77777777" w:rsidR="006248E9" w:rsidRPr="00064185" w:rsidRDefault="006248E9" w:rsidP="00EA61D8">
            <w:pPr>
              <w:pStyle w:val="Listenabsatz"/>
              <w:numPr>
                <w:ilvl w:val="0"/>
                <w:numId w:val="21"/>
              </w:numPr>
              <w:spacing w:before="120"/>
            </w:pPr>
            <w:r w:rsidRPr="00064185">
              <w:t xml:space="preserve">After contact with skin: Wash thoroughly with soap and water. </w:t>
            </w:r>
          </w:p>
          <w:p w14:paraId="769A23C5" w14:textId="7E3A1488" w:rsidR="006248E9" w:rsidRPr="00064185" w:rsidRDefault="006248E9" w:rsidP="00EA61D8">
            <w:pPr>
              <w:pStyle w:val="Listenabsatz"/>
              <w:numPr>
                <w:ilvl w:val="0"/>
                <w:numId w:val="21"/>
              </w:numPr>
              <w:spacing w:before="120"/>
            </w:pPr>
            <w:r w:rsidRPr="00064185">
              <w:t>May cause temporary and reversible itching, tingling, burning, or numbness of exposed skin, called paraesthesia. These skin contact paresthesia effects are transient, and normal</w:t>
            </w:r>
            <w:r w:rsidR="00572DB0" w:rsidRPr="00064185">
              <w:t>ly disappear within 24 hours. Tr</w:t>
            </w:r>
            <w:r w:rsidRPr="00064185">
              <w:t xml:space="preserve">eat symptomatically. </w:t>
            </w:r>
          </w:p>
          <w:p w14:paraId="0599A278" w14:textId="6FF85A10" w:rsidR="00A4778D" w:rsidRPr="00064185" w:rsidRDefault="00F3548F" w:rsidP="00EA61D8">
            <w:pPr>
              <w:pStyle w:val="Listenabsatz"/>
              <w:numPr>
                <w:ilvl w:val="0"/>
                <w:numId w:val="21"/>
              </w:numPr>
              <w:spacing w:before="120"/>
            </w:pPr>
            <w:r w:rsidRPr="00064185">
              <w:t>After eye contact:</w:t>
            </w:r>
            <w:r w:rsidR="00A4778D" w:rsidRPr="00064185">
              <w:t xml:space="preserve"> </w:t>
            </w:r>
            <w:r w:rsidRPr="00064185">
              <w:t>R</w:t>
            </w:r>
            <w:r w:rsidR="00A4778D" w:rsidRPr="00064185">
              <w:t xml:space="preserve">inse with plenty of water. </w:t>
            </w:r>
          </w:p>
          <w:p w14:paraId="71FA7A75" w14:textId="3011CA4E" w:rsidR="00A4778D" w:rsidRPr="00064185" w:rsidRDefault="00F3548F" w:rsidP="00EA61D8">
            <w:pPr>
              <w:pStyle w:val="Listenabsatz"/>
              <w:numPr>
                <w:ilvl w:val="0"/>
                <w:numId w:val="21"/>
              </w:numPr>
              <w:spacing w:before="120"/>
            </w:pPr>
            <w:r w:rsidRPr="00064185">
              <w:t>If swallowed: S</w:t>
            </w:r>
            <w:r w:rsidR="00A4778D" w:rsidRPr="00064185">
              <w:t>eek medical advice immediately and show this container or label.</w:t>
            </w:r>
          </w:p>
          <w:p w14:paraId="3138C26E" w14:textId="77777777" w:rsidR="00A4778D" w:rsidRPr="00064185" w:rsidRDefault="00A4778D" w:rsidP="00EA61D8">
            <w:pPr>
              <w:rPr>
                <w:lang w:val="en-US"/>
              </w:rPr>
            </w:pPr>
          </w:p>
          <w:p w14:paraId="151DC7A9" w14:textId="77777777" w:rsidR="00827564" w:rsidRPr="00064185" w:rsidRDefault="00A4778D" w:rsidP="00EA61D8">
            <w:pPr>
              <w:widowControl w:val="0"/>
              <w:autoSpaceDE w:val="0"/>
              <w:autoSpaceDN w:val="0"/>
              <w:adjustRightInd w:val="0"/>
              <w:spacing w:line="260" w:lineRule="atLeast"/>
              <w:rPr>
                <w:b/>
                <w:bCs/>
                <w:szCs w:val="24"/>
                <w:lang w:val="en-US"/>
              </w:rPr>
            </w:pPr>
            <w:r w:rsidRPr="00064185">
              <w:rPr>
                <w:b/>
                <w:bCs/>
                <w:szCs w:val="24"/>
                <w:lang w:val="en-US"/>
              </w:rPr>
              <w:t xml:space="preserve">Emergency measures to protect the environment: </w:t>
            </w:r>
          </w:p>
          <w:p w14:paraId="2D30A39F" w14:textId="77777777" w:rsidR="00A53EE0" w:rsidRPr="00064185" w:rsidRDefault="003E0CBC" w:rsidP="00EA61D8">
            <w:pPr>
              <w:pStyle w:val="Listenabsatz"/>
              <w:widowControl w:val="0"/>
              <w:autoSpaceDE w:val="0"/>
              <w:autoSpaceDN w:val="0"/>
              <w:adjustRightInd w:val="0"/>
              <w:spacing w:line="260" w:lineRule="atLeast"/>
              <w:rPr>
                <w:rFonts w:eastAsia="Calibri" w:cs="Times"/>
                <w:bCs/>
                <w:szCs w:val="22"/>
                <w:lang w:val="en-US"/>
              </w:rPr>
            </w:pPr>
            <w:r w:rsidRPr="00064185">
              <w:rPr>
                <w:rFonts w:eastAsia="Calibri" w:cs="Times"/>
                <w:bCs/>
                <w:szCs w:val="22"/>
                <w:lang w:val="en-US"/>
              </w:rPr>
              <w:t>---</w:t>
            </w:r>
          </w:p>
          <w:p w14:paraId="6987CD66" w14:textId="091D9345" w:rsidR="00827564" w:rsidRPr="00064185" w:rsidRDefault="00827564" w:rsidP="00986D52">
            <w:pPr>
              <w:pStyle w:val="Kommentartext"/>
              <w:rPr>
                <w:b/>
                <w:lang w:val="de-AT"/>
              </w:rPr>
            </w:pPr>
          </w:p>
        </w:tc>
      </w:tr>
    </w:tbl>
    <w:p w14:paraId="3806D155" w14:textId="77777777" w:rsidR="00A53EE0" w:rsidRPr="00064185" w:rsidRDefault="00A53EE0" w:rsidP="00EA61D8">
      <w:pPr>
        <w:spacing w:line="260" w:lineRule="atLeast"/>
        <w:rPr>
          <w:rFonts w:eastAsia="Calibri"/>
          <w:lang w:eastAsia="en-US"/>
        </w:rPr>
      </w:pPr>
    </w:p>
    <w:p w14:paraId="78996C1D" w14:textId="77777777" w:rsidR="00A53EE0" w:rsidRPr="00064185" w:rsidRDefault="00A53EE0" w:rsidP="00EA61D8">
      <w:pPr>
        <w:spacing w:line="260" w:lineRule="atLeast"/>
        <w:rPr>
          <w:rFonts w:eastAsia="Calibri"/>
          <w:lang w:eastAsia="en-US"/>
        </w:rPr>
      </w:pPr>
    </w:p>
    <w:p w14:paraId="30D58441" w14:textId="77777777" w:rsidR="00A53EE0" w:rsidRPr="00064185" w:rsidRDefault="00A53EE0" w:rsidP="00EA61D8">
      <w:pPr>
        <w:pStyle w:val="berschrift4"/>
        <w:jc w:val="left"/>
        <w:rPr>
          <w:lang w:val="en-GB"/>
        </w:rPr>
      </w:pPr>
      <w:bookmarkStart w:id="479" w:name="d0e2078"/>
      <w:bookmarkStart w:id="480" w:name="_Toc366658868"/>
      <w:bookmarkStart w:id="481" w:name="_Toc389728904"/>
      <w:bookmarkStart w:id="482" w:name="_Toc403472733"/>
      <w:bookmarkStart w:id="483" w:name="_Toc440879640"/>
      <w:bookmarkStart w:id="484" w:name="_Toc440889953"/>
      <w:bookmarkStart w:id="485" w:name="_Toc530563659"/>
      <w:r w:rsidRPr="00064185">
        <w:rPr>
          <w:lang w:val="en-GB"/>
        </w:rPr>
        <w:t>Instructions for safe disposal of the product and its packaging</w:t>
      </w:r>
      <w:bookmarkEnd w:id="479"/>
      <w:bookmarkEnd w:id="480"/>
      <w:bookmarkEnd w:id="481"/>
      <w:bookmarkEnd w:id="482"/>
      <w:bookmarkEnd w:id="483"/>
      <w:bookmarkEnd w:id="484"/>
      <w:bookmarkEnd w:id="485"/>
    </w:p>
    <w:tbl>
      <w:tblPr>
        <w:tblW w:w="5000" w:type="pct"/>
        <w:tblCellMar>
          <w:left w:w="0" w:type="dxa"/>
          <w:right w:w="0" w:type="dxa"/>
        </w:tblCellMar>
        <w:tblLook w:val="04A0" w:firstRow="1" w:lastRow="0" w:firstColumn="1" w:lastColumn="0" w:noHBand="0" w:noVBand="1"/>
      </w:tblPr>
      <w:tblGrid>
        <w:gridCol w:w="9294"/>
      </w:tblGrid>
      <w:tr w:rsidR="00993B58" w:rsidRPr="00064185" w14:paraId="33054893" w14:textId="77777777" w:rsidTr="00554DD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1D8BE31" w14:textId="22F9D796" w:rsidR="007B2C83" w:rsidRPr="00064185" w:rsidRDefault="009A7FBF" w:rsidP="00EA61D8">
            <w:pPr>
              <w:pStyle w:val="Listenabsatz"/>
              <w:widowControl w:val="0"/>
              <w:numPr>
                <w:ilvl w:val="0"/>
                <w:numId w:val="22"/>
              </w:numPr>
              <w:autoSpaceDE w:val="0"/>
              <w:autoSpaceDN w:val="0"/>
              <w:adjustRightInd w:val="0"/>
              <w:spacing w:line="260" w:lineRule="atLeast"/>
            </w:pPr>
            <w:bookmarkStart w:id="486" w:name="d0e2081"/>
            <w:r w:rsidRPr="00064185">
              <w:rPr>
                <w:rFonts w:eastAsia="Calibri"/>
              </w:rPr>
              <w:t xml:space="preserve">Dispose </w:t>
            </w:r>
            <w:r w:rsidR="004C54C7" w:rsidRPr="00064185">
              <w:rPr>
                <w:rFonts w:eastAsia="Calibri"/>
              </w:rPr>
              <w:t xml:space="preserve">of </w:t>
            </w:r>
            <w:r w:rsidR="00584792" w:rsidRPr="00064185">
              <w:rPr>
                <w:rFonts w:eastAsia="Calibri"/>
              </w:rPr>
              <w:t xml:space="preserve">unused </w:t>
            </w:r>
            <w:r w:rsidR="00A4778D" w:rsidRPr="00064185">
              <w:rPr>
                <w:rFonts w:eastAsia="Calibri"/>
              </w:rPr>
              <w:t xml:space="preserve">product </w:t>
            </w:r>
            <w:r w:rsidR="002B4F36" w:rsidRPr="00064185">
              <w:t xml:space="preserve">in its container </w:t>
            </w:r>
            <w:r w:rsidR="000E33D2" w:rsidRPr="00064185">
              <w:t>according to national and local requirements</w:t>
            </w:r>
            <w:r w:rsidR="000744C6" w:rsidRPr="00064185">
              <w:t>.</w:t>
            </w:r>
          </w:p>
        </w:tc>
      </w:tr>
    </w:tbl>
    <w:p w14:paraId="6CBE0305" w14:textId="77777777" w:rsidR="00A53EE0" w:rsidRPr="00064185" w:rsidRDefault="00A53EE0" w:rsidP="00EA61D8">
      <w:pPr>
        <w:spacing w:line="260" w:lineRule="atLeast"/>
        <w:rPr>
          <w:rFonts w:eastAsia="Calibri"/>
          <w:lang w:eastAsia="en-US"/>
        </w:rPr>
      </w:pPr>
      <w:bookmarkStart w:id="487" w:name="d0e2096"/>
      <w:bookmarkStart w:id="488" w:name="_Toc366658869"/>
      <w:bookmarkEnd w:id="486"/>
    </w:p>
    <w:p w14:paraId="5086CBEE" w14:textId="77777777" w:rsidR="00FF31A8" w:rsidRPr="00064185" w:rsidRDefault="00FF31A8" w:rsidP="00EA61D8">
      <w:pPr>
        <w:spacing w:line="260" w:lineRule="atLeast"/>
        <w:rPr>
          <w:rFonts w:eastAsia="Calibri"/>
          <w:lang w:eastAsia="en-US"/>
        </w:rPr>
      </w:pPr>
    </w:p>
    <w:p w14:paraId="5E4A3FB4" w14:textId="77777777" w:rsidR="00A53EE0" w:rsidRPr="00064185" w:rsidRDefault="00A53EE0" w:rsidP="00EA61D8">
      <w:pPr>
        <w:pStyle w:val="berschrift4"/>
        <w:jc w:val="left"/>
        <w:rPr>
          <w:lang w:val="en-GB"/>
        </w:rPr>
      </w:pPr>
      <w:bookmarkStart w:id="489" w:name="_Toc389728905"/>
      <w:bookmarkStart w:id="490" w:name="_Toc403472734"/>
      <w:bookmarkStart w:id="491" w:name="_Toc440879641"/>
      <w:bookmarkStart w:id="492" w:name="_Toc440889954"/>
      <w:bookmarkStart w:id="493" w:name="_Toc530563660"/>
      <w:r w:rsidRPr="00064185">
        <w:rPr>
          <w:lang w:val="en-GB"/>
        </w:rPr>
        <w:t>Conditions of storage and shelf-life of the product under normal conditions of storage</w:t>
      </w:r>
      <w:bookmarkEnd w:id="487"/>
      <w:bookmarkEnd w:id="488"/>
      <w:bookmarkEnd w:id="489"/>
      <w:bookmarkEnd w:id="490"/>
      <w:bookmarkEnd w:id="491"/>
      <w:bookmarkEnd w:id="492"/>
      <w:bookmarkEnd w:id="493"/>
    </w:p>
    <w:tbl>
      <w:tblPr>
        <w:tblW w:w="5000" w:type="pct"/>
        <w:tblCellMar>
          <w:left w:w="0" w:type="dxa"/>
          <w:right w:w="0" w:type="dxa"/>
        </w:tblCellMar>
        <w:tblLook w:val="04A0" w:firstRow="1" w:lastRow="0" w:firstColumn="1" w:lastColumn="0" w:noHBand="0" w:noVBand="1"/>
      </w:tblPr>
      <w:tblGrid>
        <w:gridCol w:w="9294"/>
      </w:tblGrid>
      <w:tr w:rsidR="00993B58" w:rsidRPr="00064185" w14:paraId="695C0969" w14:textId="77777777" w:rsidTr="00554DD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CBD0095" w14:textId="77777777" w:rsidR="0095217F" w:rsidRPr="00064185" w:rsidRDefault="00AA111C" w:rsidP="00EA61D8">
            <w:pPr>
              <w:rPr>
                <w:lang w:val="en-US"/>
              </w:rPr>
            </w:pPr>
            <w:r w:rsidRPr="00064185">
              <w:rPr>
                <w:b/>
                <w:lang w:val="en-US"/>
              </w:rPr>
              <w:t>Requirements for storage areas and containers</w:t>
            </w:r>
            <w:r w:rsidRPr="00064185">
              <w:rPr>
                <w:lang w:val="en-US"/>
              </w:rPr>
              <w:t xml:space="preserve">: </w:t>
            </w:r>
          </w:p>
          <w:p w14:paraId="617AB8DA" w14:textId="09CC21E8" w:rsidR="00AA111C" w:rsidRPr="00064185" w:rsidRDefault="00AA111C" w:rsidP="00EA61D8">
            <w:pPr>
              <w:rPr>
                <w:lang w:val="en-US"/>
              </w:rPr>
            </w:pPr>
            <w:r w:rsidRPr="00064185">
              <w:rPr>
                <w:lang w:val="en-US"/>
              </w:rPr>
              <w:t>Keep product in original container only, tightly closed, in a safe place. Store in a cool</w:t>
            </w:r>
            <w:r w:rsidR="00586977" w:rsidRPr="00064185">
              <w:rPr>
                <w:lang w:val="en-US"/>
              </w:rPr>
              <w:t>,</w:t>
            </w:r>
            <w:r w:rsidRPr="00064185">
              <w:rPr>
                <w:lang w:val="en-US"/>
              </w:rPr>
              <w:t xml:space="preserve"> dry</w:t>
            </w:r>
            <w:r w:rsidR="00586977" w:rsidRPr="00064185">
              <w:rPr>
                <w:lang w:val="en-US"/>
              </w:rPr>
              <w:t xml:space="preserve"> and</w:t>
            </w:r>
            <w:r w:rsidRPr="00064185">
              <w:rPr>
                <w:lang w:val="en-US"/>
              </w:rPr>
              <w:t xml:space="preserve"> frost</w:t>
            </w:r>
            <w:r w:rsidR="00586977" w:rsidRPr="00064185">
              <w:rPr>
                <w:lang w:val="en-US"/>
              </w:rPr>
              <w:t>-protected</w:t>
            </w:r>
            <w:r w:rsidR="001437D9" w:rsidRPr="00064185">
              <w:rPr>
                <w:lang w:val="en-US"/>
              </w:rPr>
              <w:t xml:space="preserve"> </w:t>
            </w:r>
            <w:r w:rsidRPr="00064185">
              <w:rPr>
                <w:lang w:val="en-US"/>
              </w:rPr>
              <w:t>place. Keep away from direct sunlight.</w:t>
            </w:r>
          </w:p>
          <w:p w14:paraId="3C126294" w14:textId="77777777" w:rsidR="00AA111C" w:rsidRPr="00064185" w:rsidRDefault="00AA111C" w:rsidP="00EA61D8">
            <w:pPr>
              <w:rPr>
                <w:lang w:val="en-US"/>
              </w:rPr>
            </w:pPr>
          </w:p>
          <w:p w14:paraId="0F648FD1" w14:textId="77777777" w:rsidR="0095217F" w:rsidRPr="00064185" w:rsidRDefault="00AA111C" w:rsidP="00EA61D8">
            <w:pPr>
              <w:rPr>
                <w:lang w:val="en-US"/>
              </w:rPr>
            </w:pPr>
            <w:r w:rsidRPr="00064185">
              <w:rPr>
                <w:b/>
                <w:lang w:val="en-US"/>
              </w:rPr>
              <w:t>Further information on storage conditions:</w:t>
            </w:r>
            <w:r w:rsidRPr="00064185">
              <w:rPr>
                <w:lang w:val="en-US"/>
              </w:rPr>
              <w:t xml:space="preserve"> </w:t>
            </w:r>
          </w:p>
          <w:p w14:paraId="285CAA5F" w14:textId="1FEDEC57" w:rsidR="00AA111C" w:rsidRPr="00064185" w:rsidRDefault="00AA111C" w:rsidP="00EA61D8">
            <w:pPr>
              <w:rPr>
                <w:lang w:val="en-US"/>
              </w:rPr>
            </w:pPr>
            <w:r w:rsidRPr="00064185">
              <w:rPr>
                <w:lang w:val="en-US"/>
              </w:rPr>
              <w:t>Keep away from food, drink and animal feed.</w:t>
            </w:r>
          </w:p>
          <w:p w14:paraId="0600D9DA" w14:textId="6B87ED3C" w:rsidR="00AA111C" w:rsidRPr="00064185" w:rsidRDefault="00AA111C" w:rsidP="00EA61D8">
            <w:pPr>
              <w:rPr>
                <w:lang w:val="en-US"/>
              </w:rPr>
            </w:pPr>
            <w:r w:rsidRPr="00064185">
              <w:rPr>
                <w:lang w:val="en-US"/>
              </w:rPr>
              <w:t xml:space="preserve">Storage period: </w:t>
            </w:r>
            <w:r w:rsidR="00CA3291" w:rsidRPr="00064185">
              <w:rPr>
                <w:lang w:val="en-US"/>
              </w:rPr>
              <w:t>4</w:t>
            </w:r>
            <w:r w:rsidRPr="00064185">
              <w:rPr>
                <w:lang w:val="en-US"/>
              </w:rPr>
              <w:t xml:space="preserve"> years.</w:t>
            </w:r>
          </w:p>
          <w:p w14:paraId="76DF2359" w14:textId="652CC642" w:rsidR="00A53EE0" w:rsidRPr="00064185" w:rsidRDefault="00921C43" w:rsidP="00EA61D8">
            <w:pPr>
              <w:widowControl w:val="0"/>
              <w:autoSpaceDE w:val="0"/>
              <w:autoSpaceDN w:val="0"/>
              <w:adjustRightInd w:val="0"/>
              <w:spacing w:line="260" w:lineRule="atLeast"/>
              <w:rPr>
                <w:rFonts w:eastAsia="Calibri" w:cs="Times"/>
                <w:bCs/>
                <w:szCs w:val="22"/>
              </w:rPr>
            </w:pPr>
            <w:r w:rsidRPr="00064185">
              <w:rPr>
                <w:lang w:val="en-US"/>
              </w:rPr>
              <w:t>Storage temperature:</w:t>
            </w:r>
            <w:r w:rsidR="000C2AA8" w:rsidRPr="00064185">
              <w:rPr>
                <w:rFonts w:eastAsia="Calibri"/>
                <w:lang w:val="en-US" w:eastAsia="en-US"/>
              </w:rPr>
              <w:t xml:space="preserve"> 5-30°C</w:t>
            </w:r>
          </w:p>
        </w:tc>
      </w:tr>
    </w:tbl>
    <w:p w14:paraId="0AE1F98F" w14:textId="77777777" w:rsidR="00A53EE0" w:rsidRPr="00064185" w:rsidRDefault="00A53EE0" w:rsidP="00EA61D8">
      <w:pPr>
        <w:spacing w:line="260" w:lineRule="atLeast"/>
        <w:rPr>
          <w:rFonts w:eastAsia="Calibri"/>
          <w:lang w:eastAsia="en-US"/>
        </w:rPr>
      </w:pPr>
    </w:p>
    <w:p w14:paraId="1A2F9275" w14:textId="77777777" w:rsidR="00BC3510" w:rsidRPr="00064185" w:rsidRDefault="00BC3510" w:rsidP="00EA61D8">
      <w:pPr>
        <w:spacing w:line="260" w:lineRule="atLeast"/>
        <w:rPr>
          <w:rFonts w:eastAsia="Calibri"/>
          <w:lang w:eastAsia="en-US"/>
        </w:rPr>
      </w:pPr>
    </w:p>
    <w:p w14:paraId="5DE2F99C" w14:textId="77777777" w:rsidR="00A32FB1" w:rsidRPr="00064185" w:rsidRDefault="00A32FB1" w:rsidP="00EA61D8">
      <w:pPr>
        <w:spacing w:line="260" w:lineRule="atLeast"/>
        <w:rPr>
          <w:rFonts w:eastAsia="Calibri"/>
          <w:lang w:eastAsia="en-US"/>
        </w:rPr>
      </w:pPr>
    </w:p>
    <w:p w14:paraId="2E124C20" w14:textId="77777777" w:rsidR="00A53EE0" w:rsidRPr="00064185" w:rsidRDefault="00A53EE0" w:rsidP="00EA61D8">
      <w:pPr>
        <w:pStyle w:val="berschrift3"/>
        <w:rPr>
          <w:rFonts w:eastAsia="Calibri"/>
          <w:lang w:eastAsia="en-US"/>
        </w:rPr>
      </w:pPr>
      <w:bookmarkStart w:id="494" w:name="_Toc387244977"/>
      <w:bookmarkStart w:id="495" w:name="_Toc388281327"/>
      <w:bookmarkStart w:id="496" w:name="_Toc388281783"/>
      <w:bookmarkStart w:id="497" w:name="_Toc388282265"/>
      <w:bookmarkStart w:id="498" w:name="_Toc388282713"/>
      <w:bookmarkStart w:id="499" w:name="_Toc388284979"/>
      <w:bookmarkStart w:id="500" w:name="_Toc388374113"/>
      <w:bookmarkStart w:id="501" w:name="_Toc387244978"/>
      <w:bookmarkStart w:id="502" w:name="_Toc388281328"/>
      <w:bookmarkStart w:id="503" w:name="_Toc388281784"/>
      <w:bookmarkStart w:id="504" w:name="_Toc388282266"/>
      <w:bookmarkStart w:id="505" w:name="_Toc388282714"/>
      <w:bookmarkStart w:id="506" w:name="_Toc388284980"/>
      <w:bookmarkStart w:id="507" w:name="_Toc387245003"/>
      <w:bookmarkStart w:id="508" w:name="_Toc388281353"/>
      <w:bookmarkStart w:id="509" w:name="_Toc388281809"/>
      <w:bookmarkStart w:id="510" w:name="_Toc388282291"/>
      <w:bookmarkStart w:id="511" w:name="_Toc388282739"/>
      <w:bookmarkStart w:id="512" w:name="_Toc388285005"/>
      <w:bookmarkStart w:id="513" w:name="_Toc388374131"/>
      <w:bookmarkStart w:id="514" w:name="_Toc387245028"/>
      <w:bookmarkStart w:id="515" w:name="_Toc388281378"/>
      <w:bookmarkStart w:id="516" w:name="_Toc388281834"/>
      <w:bookmarkStart w:id="517" w:name="_Toc388282316"/>
      <w:bookmarkStart w:id="518" w:name="_Toc388282764"/>
      <w:bookmarkStart w:id="519" w:name="_Toc388285030"/>
      <w:bookmarkStart w:id="520" w:name="_Toc388374148"/>
      <w:bookmarkStart w:id="521" w:name="_Toc387245029"/>
      <w:bookmarkStart w:id="522" w:name="_Toc388281379"/>
      <w:bookmarkStart w:id="523" w:name="_Toc388281835"/>
      <w:bookmarkStart w:id="524" w:name="_Toc388282317"/>
      <w:bookmarkStart w:id="525" w:name="_Toc388282765"/>
      <w:bookmarkStart w:id="526" w:name="_Toc388285031"/>
      <w:bookmarkStart w:id="527" w:name="_Toc388374149"/>
      <w:bookmarkStart w:id="528" w:name="_Toc387245030"/>
      <w:bookmarkStart w:id="529" w:name="_Toc388281380"/>
      <w:bookmarkStart w:id="530" w:name="_Toc388281836"/>
      <w:bookmarkStart w:id="531" w:name="_Toc388282318"/>
      <w:bookmarkStart w:id="532" w:name="_Toc388282766"/>
      <w:bookmarkStart w:id="533" w:name="_Toc388285032"/>
      <w:bookmarkStart w:id="534" w:name="_Toc388374150"/>
      <w:bookmarkStart w:id="535" w:name="_Toc387245031"/>
      <w:bookmarkStart w:id="536" w:name="_Toc388281381"/>
      <w:bookmarkStart w:id="537" w:name="_Toc388281837"/>
      <w:bookmarkStart w:id="538" w:name="_Toc388282319"/>
      <w:bookmarkStart w:id="539" w:name="_Toc388282767"/>
      <w:bookmarkStart w:id="540" w:name="_Toc388285033"/>
      <w:bookmarkStart w:id="541" w:name="_Toc388374151"/>
      <w:bookmarkStart w:id="542" w:name="_Toc387245032"/>
      <w:bookmarkStart w:id="543" w:name="_Toc388281382"/>
      <w:bookmarkStart w:id="544" w:name="_Toc388281838"/>
      <w:bookmarkStart w:id="545" w:name="_Toc388282320"/>
      <w:bookmarkStart w:id="546" w:name="_Toc388282768"/>
      <w:bookmarkStart w:id="547" w:name="_Toc388285034"/>
      <w:bookmarkStart w:id="548" w:name="_Toc388374152"/>
      <w:bookmarkStart w:id="549" w:name="_Toc387245033"/>
      <w:bookmarkStart w:id="550" w:name="_Toc388281383"/>
      <w:bookmarkStart w:id="551" w:name="_Toc388281839"/>
      <w:bookmarkStart w:id="552" w:name="_Toc388282321"/>
      <w:bookmarkStart w:id="553" w:name="_Toc388282769"/>
      <w:bookmarkStart w:id="554" w:name="_Toc388285035"/>
      <w:bookmarkStart w:id="555" w:name="_Toc387245106"/>
      <w:bookmarkStart w:id="556" w:name="_Toc388281456"/>
      <w:bookmarkStart w:id="557" w:name="_Toc388281912"/>
      <w:bookmarkStart w:id="558" w:name="_Toc388282394"/>
      <w:bookmarkStart w:id="559" w:name="_Toc388282842"/>
      <w:bookmarkStart w:id="560" w:name="_Toc388285108"/>
      <w:bookmarkStart w:id="561" w:name="_Toc388374208"/>
      <w:bookmarkStart w:id="562" w:name="_Toc377646054"/>
      <w:bookmarkStart w:id="563" w:name="_Toc377648989"/>
      <w:bookmarkStart w:id="564" w:name="_Toc377650842"/>
      <w:bookmarkStart w:id="565" w:name="_Toc377650969"/>
      <w:bookmarkStart w:id="566" w:name="_Toc377653238"/>
      <w:bookmarkStart w:id="567" w:name="_Toc378351543"/>
      <w:bookmarkStart w:id="568" w:name="_Toc378681292"/>
      <w:bookmarkStart w:id="569" w:name="_Toc378682212"/>
      <w:bookmarkStart w:id="570" w:name="_Toc378683659"/>
      <w:bookmarkStart w:id="571" w:name="_Toc378685347"/>
      <w:bookmarkStart w:id="572" w:name="_Toc378685483"/>
      <w:bookmarkStart w:id="573" w:name="_Toc378691692"/>
      <w:bookmarkStart w:id="574" w:name="_Toc378692149"/>
      <w:bookmarkStart w:id="575" w:name="_Toc378692286"/>
      <w:bookmarkStart w:id="576" w:name="_Toc378692423"/>
      <w:bookmarkStart w:id="577" w:name="_Toc378761125"/>
      <w:bookmarkStart w:id="578" w:name="_Toc378761268"/>
      <w:bookmarkStart w:id="579" w:name="_Toc378761411"/>
      <w:bookmarkStart w:id="580" w:name="_Toc378761554"/>
      <w:bookmarkStart w:id="581" w:name="_Toc378761867"/>
      <w:bookmarkStart w:id="582" w:name="_Toc378762007"/>
      <w:bookmarkStart w:id="583" w:name="_Toc378762145"/>
      <w:bookmarkStart w:id="584" w:name="_Toc378765622"/>
      <w:bookmarkStart w:id="585" w:name="_Toc378767370"/>
      <w:bookmarkStart w:id="586" w:name="_Toc378774965"/>
      <w:bookmarkStart w:id="587" w:name="_Toc378776160"/>
      <w:bookmarkStart w:id="588" w:name="_Toc378841240"/>
      <w:bookmarkStart w:id="589" w:name="_Toc378858839"/>
      <w:bookmarkStart w:id="590" w:name="_Toc378859067"/>
      <w:bookmarkStart w:id="591" w:name="_Toc377646055"/>
      <w:bookmarkStart w:id="592" w:name="_Toc377648990"/>
      <w:bookmarkStart w:id="593" w:name="_Toc377650843"/>
      <w:bookmarkStart w:id="594" w:name="_Toc377650970"/>
      <w:bookmarkStart w:id="595" w:name="_Toc377653239"/>
      <w:bookmarkStart w:id="596" w:name="_Toc378351544"/>
      <w:bookmarkStart w:id="597" w:name="_Toc378681293"/>
      <w:bookmarkStart w:id="598" w:name="_Toc378682213"/>
      <w:bookmarkStart w:id="599" w:name="_Toc378683660"/>
      <w:bookmarkStart w:id="600" w:name="_Toc378685348"/>
      <w:bookmarkStart w:id="601" w:name="_Toc378685484"/>
      <w:bookmarkStart w:id="602" w:name="_Toc378691693"/>
      <w:bookmarkStart w:id="603" w:name="_Toc378692150"/>
      <w:bookmarkStart w:id="604" w:name="_Toc378692287"/>
      <w:bookmarkStart w:id="605" w:name="_Toc378692424"/>
      <w:bookmarkStart w:id="606" w:name="_Toc378761126"/>
      <w:bookmarkStart w:id="607" w:name="_Toc378761269"/>
      <w:bookmarkStart w:id="608" w:name="_Toc378761412"/>
      <w:bookmarkStart w:id="609" w:name="_Toc378761555"/>
      <w:bookmarkStart w:id="610" w:name="_Toc378761868"/>
      <w:bookmarkStart w:id="611" w:name="_Toc378762008"/>
      <w:bookmarkStart w:id="612" w:name="_Toc378762146"/>
      <w:bookmarkStart w:id="613" w:name="_Toc378765623"/>
      <w:bookmarkStart w:id="614" w:name="_Toc378767371"/>
      <w:bookmarkStart w:id="615" w:name="_Toc378774966"/>
      <w:bookmarkStart w:id="616" w:name="_Toc378776161"/>
      <w:bookmarkStart w:id="617" w:name="_Toc378841241"/>
      <w:bookmarkStart w:id="618" w:name="_Toc378858840"/>
      <w:bookmarkStart w:id="619" w:name="_Toc378859068"/>
      <w:bookmarkStart w:id="620" w:name="_Toc377646056"/>
      <w:bookmarkStart w:id="621" w:name="_Toc377648991"/>
      <w:bookmarkStart w:id="622" w:name="_Toc377650844"/>
      <w:bookmarkStart w:id="623" w:name="_Toc377650971"/>
      <w:bookmarkStart w:id="624" w:name="_Toc377653240"/>
      <w:bookmarkStart w:id="625" w:name="_Toc378351545"/>
      <w:bookmarkStart w:id="626" w:name="_Toc378681294"/>
      <w:bookmarkStart w:id="627" w:name="_Toc378682214"/>
      <w:bookmarkStart w:id="628" w:name="_Toc378683661"/>
      <w:bookmarkStart w:id="629" w:name="_Toc378685349"/>
      <w:bookmarkStart w:id="630" w:name="_Toc378685485"/>
      <w:bookmarkStart w:id="631" w:name="_Toc378691694"/>
      <w:bookmarkStart w:id="632" w:name="_Toc378692151"/>
      <w:bookmarkStart w:id="633" w:name="_Toc378692288"/>
      <w:bookmarkStart w:id="634" w:name="_Toc378692425"/>
      <w:bookmarkStart w:id="635" w:name="_Toc378761127"/>
      <w:bookmarkStart w:id="636" w:name="_Toc378761270"/>
      <w:bookmarkStart w:id="637" w:name="_Toc378761413"/>
      <w:bookmarkStart w:id="638" w:name="_Toc378761556"/>
      <w:bookmarkStart w:id="639" w:name="_Toc378761869"/>
      <w:bookmarkStart w:id="640" w:name="_Toc378762009"/>
      <w:bookmarkStart w:id="641" w:name="_Toc378762147"/>
      <w:bookmarkStart w:id="642" w:name="_Toc378765624"/>
      <w:bookmarkStart w:id="643" w:name="_Toc378767372"/>
      <w:bookmarkStart w:id="644" w:name="_Toc378774967"/>
      <w:bookmarkStart w:id="645" w:name="_Toc378776162"/>
      <w:bookmarkStart w:id="646" w:name="_Toc378841242"/>
      <w:bookmarkStart w:id="647" w:name="_Toc378858841"/>
      <w:bookmarkStart w:id="648" w:name="_Toc378859069"/>
      <w:bookmarkStart w:id="649" w:name="_Toc377646057"/>
      <w:bookmarkStart w:id="650" w:name="_Toc377648992"/>
      <w:bookmarkStart w:id="651" w:name="_Toc377650845"/>
      <w:bookmarkStart w:id="652" w:name="_Toc377650972"/>
      <w:bookmarkStart w:id="653" w:name="_Toc377653241"/>
      <w:bookmarkStart w:id="654" w:name="_Toc378351546"/>
      <w:bookmarkStart w:id="655" w:name="_Toc378681295"/>
      <w:bookmarkStart w:id="656" w:name="_Toc378682215"/>
      <w:bookmarkStart w:id="657" w:name="_Toc378683662"/>
      <w:bookmarkStart w:id="658" w:name="_Toc378685350"/>
      <w:bookmarkStart w:id="659" w:name="_Toc378685486"/>
      <w:bookmarkStart w:id="660" w:name="_Toc378691695"/>
      <w:bookmarkStart w:id="661" w:name="_Toc378692152"/>
      <w:bookmarkStart w:id="662" w:name="_Toc378692289"/>
      <w:bookmarkStart w:id="663" w:name="_Toc378692426"/>
      <w:bookmarkStart w:id="664" w:name="_Toc378761128"/>
      <w:bookmarkStart w:id="665" w:name="_Toc378761271"/>
      <w:bookmarkStart w:id="666" w:name="_Toc378761414"/>
      <w:bookmarkStart w:id="667" w:name="_Toc378761557"/>
      <w:bookmarkStart w:id="668" w:name="_Toc378761870"/>
      <w:bookmarkStart w:id="669" w:name="_Toc378762010"/>
      <w:bookmarkStart w:id="670" w:name="_Toc378762148"/>
      <w:bookmarkStart w:id="671" w:name="_Toc378765625"/>
      <w:bookmarkStart w:id="672" w:name="_Toc378767373"/>
      <w:bookmarkStart w:id="673" w:name="_Toc378774968"/>
      <w:bookmarkStart w:id="674" w:name="_Toc378776163"/>
      <w:bookmarkStart w:id="675" w:name="_Toc378841243"/>
      <w:bookmarkStart w:id="676" w:name="_Toc378858842"/>
      <w:bookmarkStart w:id="677" w:name="_Toc378859070"/>
      <w:bookmarkStart w:id="678" w:name="_Toc377646058"/>
      <w:bookmarkStart w:id="679" w:name="_Toc377648993"/>
      <w:bookmarkStart w:id="680" w:name="_Toc377650846"/>
      <w:bookmarkStart w:id="681" w:name="_Toc377650973"/>
      <w:bookmarkStart w:id="682" w:name="_Toc377653242"/>
      <w:bookmarkStart w:id="683" w:name="_Toc378351547"/>
      <w:bookmarkStart w:id="684" w:name="_Toc378681296"/>
      <w:bookmarkStart w:id="685" w:name="_Toc378682216"/>
      <w:bookmarkStart w:id="686" w:name="_Toc378683663"/>
      <w:bookmarkStart w:id="687" w:name="_Toc378685351"/>
      <w:bookmarkStart w:id="688" w:name="_Toc378685487"/>
      <w:bookmarkStart w:id="689" w:name="_Toc378691696"/>
      <w:bookmarkStart w:id="690" w:name="_Toc378692153"/>
      <w:bookmarkStart w:id="691" w:name="_Toc378692290"/>
      <w:bookmarkStart w:id="692" w:name="_Toc378692427"/>
      <w:bookmarkStart w:id="693" w:name="_Toc378761129"/>
      <w:bookmarkStart w:id="694" w:name="_Toc378761272"/>
      <w:bookmarkStart w:id="695" w:name="_Toc378761415"/>
      <w:bookmarkStart w:id="696" w:name="_Toc378761558"/>
      <w:bookmarkStart w:id="697" w:name="_Toc378761871"/>
      <w:bookmarkStart w:id="698" w:name="_Toc378762011"/>
      <w:bookmarkStart w:id="699" w:name="_Toc378762149"/>
      <w:bookmarkStart w:id="700" w:name="_Toc378765626"/>
      <w:bookmarkStart w:id="701" w:name="_Toc378767374"/>
      <w:bookmarkStart w:id="702" w:name="_Toc378774969"/>
      <w:bookmarkStart w:id="703" w:name="_Toc378776164"/>
      <w:bookmarkStart w:id="704" w:name="_Toc378841244"/>
      <w:bookmarkStart w:id="705" w:name="_Toc378858843"/>
      <w:bookmarkStart w:id="706" w:name="_Toc378859071"/>
      <w:bookmarkStart w:id="707" w:name="_Toc377646059"/>
      <w:bookmarkStart w:id="708" w:name="_Toc377648994"/>
      <w:bookmarkStart w:id="709" w:name="_Toc377650847"/>
      <w:bookmarkStart w:id="710" w:name="_Toc377650974"/>
      <w:bookmarkStart w:id="711" w:name="_Toc377653243"/>
      <w:bookmarkStart w:id="712" w:name="_Toc378351548"/>
      <w:bookmarkStart w:id="713" w:name="_Toc378681297"/>
      <w:bookmarkStart w:id="714" w:name="_Toc378682217"/>
      <w:bookmarkStart w:id="715" w:name="_Toc378683664"/>
      <w:bookmarkStart w:id="716" w:name="_Toc378685352"/>
      <w:bookmarkStart w:id="717" w:name="_Toc378685488"/>
      <w:bookmarkStart w:id="718" w:name="_Toc378691697"/>
      <w:bookmarkStart w:id="719" w:name="_Toc378692154"/>
      <w:bookmarkStart w:id="720" w:name="_Toc378692291"/>
      <w:bookmarkStart w:id="721" w:name="_Toc378692428"/>
      <w:bookmarkStart w:id="722" w:name="_Toc378761130"/>
      <w:bookmarkStart w:id="723" w:name="_Toc378761273"/>
      <w:bookmarkStart w:id="724" w:name="_Toc378761416"/>
      <w:bookmarkStart w:id="725" w:name="_Toc378761559"/>
      <w:bookmarkStart w:id="726" w:name="_Toc378761872"/>
      <w:bookmarkStart w:id="727" w:name="_Toc378762012"/>
      <w:bookmarkStart w:id="728" w:name="_Toc378762150"/>
      <w:bookmarkStart w:id="729" w:name="_Toc378765627"/>
      <w:bookmarkStart w:id="730" w:name="_Toc378767375"/>
      <w:bookmarkStart w:id="731" w:name="_Toc378774970"/>
      <w:bookmarkStart w:id="732" w:name="_Toc378776165"/>
      <w:bookmarkStart w:id="733" w:name="_Toc378841245"/>
      <w:bookmarkStart w:id="734" w:name="_Toc378858844"/>
      <w:bookmarkStart w:id="735" w:name="_Toc378859072"/>
      <w:bookmarkStart w:id="736" w:name="_Toc377646060"/>
      <w:bookmarkStart w:id="737" w:name="_Toc377648995"/>
      <w:bookmarkStart w:id="738" w:name="_Toc377650848"/>
      <w:bookmarkStart w:id="739" w:name="_Toc377650975"/>
      <w:bookmarkStart w:id="740" w:name="_Toc377653244"/>
      <w:bookmarkStart w:id="741" w:name="_Toc378351549"/>
      <w:bookmarkStart w:id="742" w:name="_Toc378681298"/>
      <w:bookmarkStart w:id="743" w:name="_Toc378682218"/>
      <w:bookmarkStart w:id="744" w:name="_Toc378683665"/>
      <w:bookmarkStart w:id="745" w:name="_Toc378685353"/>
      <w:bookmarkStart w:id="746" w:name="_Toc378685489"/>
      <w:bookmarkStart w:id="747" w:name="_Toc378691698"/>
      <w:bookmarkStart w:id="748" w:name="_Toc378692155"/>
      <w:bookmarkStart w:id="749" w:name="_Toc378692292"/>
      <w:bookmarkStart w:id="750" w:name="_Toc378692429"/>
      <w:bookmarkStart w:id="751" w:name="_Toc378761131"/>
      <w:bookmarkStart w:id="752" w:name="_Toc378761274"/>
      <w:bookmarkStart w:id="753" w:name="_Toc378761417"/>
      <w:bookmarkStart w:id="754" w:name="_Toc378761560"/>
      <w:bookmarkStart w:id="755" w:name="_Toc378761873"/>
      <w:bookmarkStart w:id="756" w:name="_Toc378762013"/>
      <w:bookmarkStart w:id="757" w:name="_Toc378762151"/>
      <w:bookmarkStart w:id="758" w:name="_Toc378765628"/>
      <w:bookmarkStart w:id="759" w:name="_Toc378767376"/>
      <w:bookmarkStart w:id="760" w:name="_Toc378774971"/>
      <w:bookmarkStart w:id="761" w:name="_Toc378776166"/>
      <w:bookmarkStart w:id="762" w:name="_Toc378841246"/>
      <w:bookmarkStart w:id="763" w:name="_Toc378858845"/>
      <w:bookmarkStart w:id="764" w:name="_Toc378859073"/>
      <w:bookmarkStart w:id="765" w:name="_Toc387245107"/>
      <w:bookmarkStart w:id="766" w:name="_Toc388281457"/>
      <w:bookmarkStart w:id="767" w:name="_Toc388281913"/>
      <w:bookmarkStart w:id="768" w:name="_Toc388282395"/>
      <w:bookmarkStart w:id="769" w:name="_Toc388282843"/>
      <w:bookmarkStart w:id="770" w:name="_Toc388285109"/>
      <w:bookmarkStart w:id="771" w:name="_Toc387245108"/>
      <w:bookmarkStart w:id="772" w:name="_Toc388281458"/>
      <w:bookmarkStart w:id="773" w:name="_Toc388281914"/>
      <w:bookmarkStart w:id="774" w:name="_Toc388282396"/>
      <w:bookmarkStart w:id="775" w:name="_Toc388282844"/>
      <w:bookmarkStart w:id="776" w:name="_Toc388285110"/>
      <w:bookmarkStart w:id="777" w:name="_Toc387245109"/>
      <w:bookmarkStart w:id="778" w:name="_Toc388281459"/>
      <w:bookmarkStart w:id="779" w:name="_Toc388281915"/>
      <w:bookmarkStart w:id="780" w:name="_Toc388282397"/>
      <w:bookmarkStart w:id="781" w:name="_Toc388282845"/>
      <w:bookmarkStart w:id="782" w:name="_Toc388285111"/>
      <w:bookmarkStart w:id="783" w:name="_Toc388374211"/>
      <w:bookmarkStart w:id="784" w:name="_Toc387245110"/>
      <w:bookmarkStart w:id="785" w:name="_Toc388281460"/>
      <w:bookmarkStart w:id="786" w:name="_Toc388281916"/>
      <w:bookmarkStart w:id="787" w:name="_Toc388282398"/>
      <w:bookmarkStart w:id="788" w:name="_Toc388282846"/>
      <w:bookmarkStart w:id="789" w:name="_Toc388285112"/>
      <w:bookmarkStart w:id="790" w:name="_Toc388374212"/>
      <w:bookmarkStart w:id="791" w:name="_Toc387245111"/>
      <w:bookmarkStart w:id="792" w:name="_Toc388281461"/>
      <w:bookmarkStart w:id="793" w:name="_Toc388281917"/>
      <w:bookmarkStart w:id="794" w:name="_Toc388282399"/>
      <w:bookmarkStart w:id="795" w:name="_Toc388282847"/>
      <w:bookmarkStart w:id="796" w:name="_Toc388285113"/>
      <w:bookmarkStart w:id="797" w:name="_Toc387245148"/>
      <w:bookmarkStart w:id="798" w:name="_Toc387250792"/>
      <w:bookmarkStart w:id="799" w:name="_Toc388281498"/>
      <w:bookmarkStart w:id="800" w:name="_Toc388281954"/>
      <w:bookmarkStart w:id="801" w:name="_Toc388282436"/>
      <w:bookmarkStart w:id="802" w:name="_Toc388282884"/>
      <w:bookmarkStart w:id="803" w:name="_Toc388285150"/>
      <w:bookmarkStart w:id="804" w:name="_Toc388374241"/>
      <w:bookmarkStart w:id="805" w:name="_Toc387245149"/>
      <w:bookmarkStart w:id="806" w:name="_Toc387250793"/>
      <w:bookmarkStart w:id="807" w:name="_Toc388281499"/>
      <w:bookmarkStart w:id="808" w:name="_Toc388281955"/>
      <w:bookmarkStart w:id="809" w:name="_Toc388282437"/>
      <w:bookmarkStart w:id="810" w:name="_Toc388282885"/>
      <w:bookmarkStart w:id="811" w:name="_Toc388285151"/>
      <w:bookmarkStart w:id="812" w:name="_Toc388374242"/>
      <w:bookmarkStart w:id="813" w:name="_Toc389728907"/>
      <w:bookmarkStart w:id="814" w:name="_Toc403472735"/>
      <w:bookmarkStart w:id="815" w:name="_Toc440879642"/>
      <w:bookmarkStart w:id="816" w:name="_Toc440889955"/>
      <w:bookmarkStart w:id="817" w:name="_Toc530563661"/>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064185">
        <w:rPr>
          <w:rFonts w:eastAsia="Calibri"/>
          <w:lang w:eastAsia="en-US"/>
        </w:rPr>
        <w:lastRenderedPageBreak/>
        <w:t>Documentation</w:t>
      </w:r>
      <w:bookmarkEnd w:id="813"/>
      <w:bookmarkEnd w:id="814"/>
      <w:bookmarkEnd w:id="815"/>
      <w:bookmarkEnd w:id="816"/>
      <w:bookmarkEnd w:id="817"/>
      <w:r w:rsidRPr="00064185">
        <w:rPr>
          <w:rFonts w:eastAsia="Calibri"/>
          <w:lang w:eastAsia="en-US"/>
        </w:rPr>
        <w:t xml:space="preserve"> </w:t>
      </w:r>
    </w:p>
    <w:p w14:paraId="0EFF3541" w14:textId="77777777" w:rsidR="00A53EE0" w:rsidRPr="00064185" w:rsidRDefault="00A53EE0" w:rsidP="00EA61D8">
      <w:pPr>
        <w:pStyle w:val="berschrift4"/>
        <w:numPr>
          <w:ilvl w:val="0"/>
          <w:numId w:val="11"/>
        </w:numPr>
        <w:jc w:val="left"/>
        <w:rPr>
          <w:lang w:val="en-GB"/>
        </w:rPr>
      </w:pPr>
      <w:bookmarkStart w:id="818" w:name="_Toc387245151"/>
      <w:bookmarkStart w:id="819" w:name="_Toc388281501"/>
      <w:bookmarkStart w:id="820" w:name="_Toc388281957"/>
      <w:bookmarkStart w:id="821" w:name="_Toc388282439"/>
      <w:bookmarkStart w:id="822" w:name="_Toc388282887"/>
      <w:bookmarkStart w:id="823" w:name="_Toc388285153"/>
      <w:bookmarkStart w:id="824" w:name="_Toc388374244"/>
      <w:bookmarkStart w:id="825" w:name="_Toc377646064"/>
      <w:bookmarkStart w:id="826" w:name="_Toc377648999"/>
      <w:bookmarkStart w:id="827" w:name="_Toc377650852"/>
      <w:bookmarkStart w:id="828" w:name="_Toc377650979"/>
      <w:bookmarkStart w:id="829" w:name="_Toc377653248"/>
      <w:bookmarkStart w:id="830" w:name="_Toc378351553"/>
      <w:bookmarkStart w:id="831" w:name="_Toc378681302"/>
      <w:bookmarkStart w:id="832" w:name="_Toc378682222"/>
      <w:bookmarkStart w:id="833" w:name="_Toc378683669"/>
      <w:bookmarkStart w:id="834" w:name="_Toc378685357"/>
      <w:bookmarkStart w:id="835" w:name="_Toc378685493"/>
      <w:bookmarkStart w:id="836" w:name="_Toc378691702"/>
      <w:bookmarkStart w:id="837" w:name="_Toc378692159"/>
      <w:bookmarkStart w:id="838" w:name="_Toc378692296"/>
      <w:bookmarkStart w:id="839" w:name="_Toc378692433"/>
      <w:bookmarkStart w:id="840" w:name="_Toc378761135"/>
      <w:bookmarkStart w:id="841" w:name="_Toc378761278"/>
      <w:bookmarkStart w:id="842" w:name="_Toc378761421"/>
      <w:bookmarkStart w:id="843" w:name="_Toc378761564"/>
      <w:bookmarkStart w:id="844" w:name="_Toc378761877"/>
      <w:bookmarkStart w:id="845" w:name="_Toc378762017"/>
      <w:bookmarkStart w:id="846" w:name="_Toc378762155"/>
      <w:bookmarkStart w:id="847" w:name="_Toc378765632"/>
      <w:bookmarkStart w:id="848" w:name="_Toc378767380"/>
      <w:bookmarkStart w:id="849" w:name="_Toc378774975"/>
      <w:bookmarkStart w:id="850" w:name="_Toc378776170"/>
      <w:bookmarkStart w:id="851" w:name="_Toc378841250"/>
      <w:bookmarkStart w:id="852" w:name="_Toc378858849"/>
      <w:bookmarkStart w:id="853" w:name="_Toc378859077"/>
      <w:bookmarkStart w:id="854" w:name="_Toc377646065"/>
      <w:bookmarkStart w:id="855" w:name="_Toc377649000"/>
      <w:bookmarkStart w:id="856" w:name="_Toc377650853"/>
      <w:bookmarkStart w:id="857" w:name="_Toc377650980"/>
      <w:bookmarkStart w:id="858" w:name="_Toc377653249"/>
      <w:bookmarkStart w:id="859" w:name="_Toc378351554"/>
      <w:bookmarkStart w:id="860" w:name="_Toc378681303"/>
      <w:bookmarkStart w:id="861" w:name="_Toc378682223"/>
      <w:bookmarkStart w:id="862" w:name="_Toc378683670"/>
      <w:bookmarkStart w:id="863" w:name="_Toc378685358"/>
      <w:bookmarkStart w:id="864" w:name="_Toc378685494"/>
      <w:bookmarkStart w:id="865" w:name="_Toc378691703"/>
      <w:bookmarkStart w:id="866" w:name="_Toc378692160"/>
      <w:bookmarkStart w:id="867" w:name="_Toc378692297"/>
      <w:bookmarkStart w:id="868" w:name="_Toc378692434"/>
      <w:bookmarkStart w:id="869" w:name="_Toc378761136"/>
      <w:bookmarkStart w:id="870" w:name="_Toc378761279"/>
      <w:bookmarkStart w:id="871" w:name="_Toc378761422"/>
      <w:bookmarkStart w:id="872" w:name="_Toc378761565"/>
      <w:bookmarkStart w:id="873" w:name="_Toc378761878"/>
      <w:bookmarkStart w:id="874" w:name="_Toc378762018"/>
      <w:bookmarkStart w:id="875" w:name="_Toc378762156"/>
      <w:bookmarkStart w:id="876" w:name="_Toc378765633"/>
      <w:bookmarkStart w:id="877" w:name="_Toc378767381"/>
      <w:bookmarkStart w:id="878" w:name="_Toc378774976"/>
      <w:bookmarkStart w:id="879" w:name="_Toc378776171"/>
      <w:bookmarkStart w:id="880" w:name="_Toc378841251"/>
      <w:bookmarkStart w:id="881" w:name="_Toc378858850"/>
      <w:bookmarkStart w:id="882" w:name="_Toc378859078"/>
      <w:bookmarkStart w:id="883" w:name="_Toc377646066"/>
      <w:bookmarkStart w:id="884" w:name="_Toc377649001"/>
      <w:bookmarkStart w:id="885" w:name="_Toc377650854"/>
      <w:bookmarkStart w:id="886" w:name="_Toc377650981"/>
      <w:bookmarkStart w:id="887" w:name="_Toc377653250"/>
      <w:bookmarkStart w:id="888" w:name="_Toc378351555"/>
      <w:bookmarkStart w:id="889" w:name="_Toc378681304"/>
      <w:bookmarkStart w:id="890" w:name="_Toc378682224"/>
      <w:bookmarkStart w:id="891" w:name="_Toc378683671"/>
      <w:bookmarkStart w:id="892" w:name="_Toc378685359"/>
      <w:bookmarkStart w:id="893" w:name="_Toc378685495"/>
      <w:bookmarkStart w:id="894" w:name="_Toc378691704"/>
      <w:bookmarkStart w:id="895" w:name="_Toc378692161"/>
      <w:bookmarkStart w:id="896" w:name="_Toc378692298"/>
      <w:bookmarkStart w:id="897" w:name="_Toc378692435"/>
      <w:bookmarkStart w:id="898" w:name="_Toc378761137"/>
      <w:bookmarkStart w:id="899" w:name="_Toc378761280"/>
      <w:bookmarkStart w:id="900" w:name="_Toc378761423"/>
      <w:bookmarkStart w:id="901" w:name="_Toc378761566"/>
      <w:bookmarkStart w:id="902" w:name="_Toc378761879"/>
      <w:bookmarkStart w:id="903" w:name="_Toc378762019"/>
      <w:bookmarkStart w:id="904" w:name="_Toc378762157"/>
      <w:bookmarkStart w:id="905" w:name="_Toc378765634"/>
      <w:bookmarkStart w:id="906" w:name="_Toc378767382"/>
      <w:bookmarkStart w:id="907" w:name="_Toc378774977"/>
      <w:bookmarkStart w:id="908" w:name="_Toc378776172"/>
      <w:bookmarkStart w:id="909" w:name="_Toc378841252"/>
      <w:bookmarkStart w:id="910" w:name="_Toc378858851"/>
      <w:bookmarkStart w:id="911" w:name="_Toc378859079"/>
      <w:bookmarkStart w:id="912" w:name="_Toc377646067"/>
      <w:bookmarkStart w:id="913" w:name="_Toc377649002"/>
      <w:bookmarkStart w:id="914" w:name="_Toc377650855"/>
      <w:bookmarkStart w:id="915" w:name="_Toc377650982"/>
      <w:bookmarkStart w:id="916" w:name="_Toc377653251"/>
      <w:bookmarkStart w:id="917" w:name="_Toc378351556"/>
      <w:bookmarkStart w:id="918" w:name="_Toc378681305"/>
      <w:bookmarkStart w:id="919" w:name="_Toc378682225"/>
      <w:bookmarkStart w:id="920" w:name="_Toc378683672"/>
      <w:bookmarkStart w:id="921" w:name="_Toc378685360"/>
      <w:bookmarkStart w:id="922" w:name="_Toc378685496"/>
      <w:bookmarkStart w:id="923" w:name="_Toc378691705"/>
      <w:bookmarkStart w:id="924" w:name="_Toc378692162"/>
      <w:bookmarkStart w:id="925" w:name="_Toc378692299"/>
      <w:bookmarkStart w:id="926" w:name="_Toc378692436"/>
      <w:bookmarkStart w:id="927" w:name="_Toc378761138"/>
      <w:bookmarkStart w:id="928" w:name="_Toc378761281"/>
      <w:bookmarkStart w:id="929" w:name="_Toc378761424"/>
      <w:bookmarkStart w:id="930" w:name="_Toc378761567"/>
      <w:bookmarkStart w:id="931" w:name="_Toc378761880"/>
      <w:bookmarkStart w:id="932" w:name="_Toc378762020"/>
      <w:bookmarkStart w:id="933" w:name="_Toc378762158"/>
      <w:bookmarkStart w:id="934" w:name="_Toc378765635"/>
      <w:bookmarkStart w:id="935" w:name="_Toc378767383"/>
      <w:bookmarkStart w:id="936" w:name="_Toc378774978"/>
      <w:bookmarkStart w:id="937" w:name="_Toc378776173"/>
      <w:bookmarkStart w:id="938" w:name="_Toc378841253"/>
      <w:bookmarkStart w:id="939" w:name="_Toc378858852"/>
      <w:bookmarkStart w:id="940" w:name="_Toc378859080"/>
      <w:bookmarkStart w:id="941" w:name="_Toc377646068"/>
      <w:bookmarkStart w:id="942" w:name="_Toc377649003"/>
      <w:bookmarkStart w:id="943" w:name="_Toc377650856"/>
      <w:bookmarkStart w:id="944" w:name="_Toc377650983"/>
      <w:bookmarkStart w:id="945" w:name="_Toc377653252"/>
      <w:bookmarkStart w:id="946" w:name="_Toc378351557"/>
      <w:bookmarkStart w:id="947" w:name="_Toc378681306"/>
      <w:bookmarkStart w:id="948" w:name="_Toc378682226"/>
      <w:bookmarkStart w:id="949" w:name="_Toc378683673"/>
      <w:bookmarkStart w:id="950" w:name="_Toc378685361"/>
      <w:bookmarkStart w:id="951" w:name="_Toc378685497"/>
      <w:bookmarkStart w:id="952" w:name="_Toc378691706"/>
      <w:bookmarkStart w:id="953" w:name="_Toc378692163"/>
      <w:bookmarkStart w:id="954" w:name="_Toc378692300"/>
      <w:bookmarkStart w:id="955" w:name="_Toc378692437"/>
      <w:bookmarkStart w:id="956" w:name="_Toc378761139"/>
      <w:bookmarkStart w:id="957" w:name="_Toc378761282"/>
      <w:bookmarkStart w:id="958" w:name="_Toc378761425"/>
      <w:bookmarkStart w:id="959" w:name="_Toc378761568"/>
      <w:bookmarkStart w:id="960" w:name="_Toc378761881"/>
      <w:bookmarkStart w:id="961" w:name="_Toc378762021"/>
      <w:bookmarkStart w:id="962" w:name="_Toc378762159"/>
      <w:bookmarkStart w:id="963" w:name="_Toc378765636"/>
      <w:bookmarkStart w:id="964" w:name="_Toc378767384"/>
      <w:bookmarkStart w:id="965" w:name="_Toc378774979"/>
      <w:bookmarkStart w:id="966" w:name="_Toc378776174"/>
      <w:bookmarkStart w:id="967" w:name="_Toc378841254"/>
      <w:bookmarkStart w:id="968" w:name="_Toc378858853"/>
      <w:bookmarkStart w:id="969" w:name="_Toc378859081"/>
      <w:bookmarkStart w:id="970" w:name="_Toc389728908"/>
      <w:bookmarkStart w:id="971" w:name="_Toc403472736"/>
      <w:bookmarkStart w:id="972" w:name="_Toc440879643"/>
      <w:bookmarkStart w:id="973" w:name="_Toc440889956"/>
      <w:bookmarkStart w:id="974" w:name="_Toc530563662"/>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sidRPr="00064185">
        <w:rPr>
          <w:lang w:val="en-GB"/>
        </w:rPr>
        <w:t>Data submitted in relation to product application</w:t>
      </w:r>
      <w:bookmarkEnd w:id="970"/>
      <w:bookmarkEnd w:id="971"/>
      <w:bookmarkEnd w:id="972"/>
      <w:bookmarkEnd w:id="973"/>
      <w:bookmarkEnd w:id="974"/>
    </w:p>
    <w:p w14:paraId="5C56D893" w14:textId="1C657BD7" w:rsidR="00F86685" w:rsidRPr="00064185" w:rsidRDefault="00F86685" w:rsidP="000835FA">
      <w:pPr>
        <w:spacing w:line="260" w:lineRule="atLeast"/>
        <w:jc w:val="both"/>
        <w:rPr>
          <w:rFonts w:eastAsia="Calibri"/>
          <w:lang w:eastAsia="en-US"/>
        </w:rPr>
      </w:pPr>
      <w:r w:rsidRPr="00064185">
        <w:rPr>
          <w:rFonts w:eastAsia="Calibri"/>
          <w:lang w:eastAsia="en-US"/>
        </w:rPr>
        <w:t xml:space="preserve">Please see the List of new data submitted in support of the evaluation of the biocidal product in this report, Annex </w:t>
      </w:r>
      <w:r w:rsidRPr="00064185">
        <w:t>3.1</w:t>
      </w:r>
      <w:r w:rsidRPr="00064185">
        <w:tab/>
        <w:t xml:space="preserve">LIST OF STUDIES FOR THE BIOCIDAL PRODUCT </w:t>
      </w:r>
    </w:p>
    <w:p w14:paraId="7F5B42CE" w14:textId="77777777" w:rsidR="00F86685" w:rsidRPr="00064185" w:rsidRDefault="00F86685" w:rsidP="000835FA">
      <w:pPr>
        <w:spacing w:line="260" w:lineRule="atLeast"/>
        <w:jc w:val="both"/>
        <w:rPr>
          <w:rFonts w:eastAsia="Calibri"/>
          <w:lang w:eastAsia="en-US"/>
        </w:rPr>
      </w:pPr>
    </w:p>
    <w:p w14:paraId="763A4A7B" w14:textId="77777777" w:rsidR="00F86685" w:rsidRPr="00064185" w:rsidRDefault="00F86685" w:rsidP="000835FA">
      <w:pPr>
        <w:spacing w:line="260" w:lineRule="atLeast"/>
        <w:jc w:val="both"/>
        <w:rPr>
          <w:rFonts w:eastAsia="Calibri"/>
          <w:lang w:eastAsia="en-US"/>
        </w:rPr>
      </w:pPr>
    </w:p>
    <w:p w14:paraId="2D112E5B" w14:textId="77777777" w:rsidR="00A53EE0" w:rsidRPr="00064185" w:rsidRDefault="00A53EE0" w:rsidP="000835FA">
      <w:pPr>
        <w:pStyle w:val="berschrift4"/>
      </w:pPr>
      <w:bookmarkStart w:id="975" w:name="_Toc389728909"/>
      <w:bookmarkStart w:id="976" w:name="_Toc403472737"/>
      <w:bookmarkStart w:id="977" w:name="_Toc440879644"/>
      <w:bookmarkStart w:id="978" w:name="_Toc440889957"/>
      <w:bookmarkStart w:id="979" w:name="_Toc530563663"/>
      <w:r w:rsidRPr="00064185">
        <w:t>Access to documentation</w:t>
      </w:r>
      <w:bookmarkEnd w:id="975"/>
      <w:bookmarkEnd w:id="976"/>
      <w:bookmarkEnd w:id="977"/>
      <w:bookmarkEnd w:id="978"/>
      <w:bookmarkEnd w:id="979"/>
    </w:p>
    <w:p w14:paraId="69B39753" w14:textId="2DA33AEC" w:rsidR="00BC3510" w:rsidRPr="00064185" w:rsidRDefault="000446FE" w:rsidP="000835FA">
      <w:pPr>
        <w:spacing w:line="260" w:lineRule="atLeast"/>
        <w:jc w:val="both"/>
        <w:rPr>
          <w:rFonts w:ascii="Times New Roman" w:eastAsia="Calibri" w:hAnsi="Times New Roman"/>
          <w:i/>
          <w:iCs/>
          <w:lang w:eastAsia="en-US"/>
        </w:rPr>
      </w:pPr>
      <w:r w:rsidRPr="00064185">
        <w:rPr>
          <w:rFonts w:eastAsia="Calibri"/>
          <w:iCs/>
          <w:lang w:eastAsia="en-US"/>
        </w:rPr>
        <w:t>The applicant has submitted a letter of access</w:t>
      </w:r>
      <w:r w:rsidR="00387110" w:rsidRPr="00064185">
        <w:rPr>
          <w:rFonts w:eastAsia="Calibri"/>
          <w:iCs/>
          <w:lang w:eastAsia="en-US"/>
        </w:rPr>
        <w:t xml:space="preserve"> from Syngenta Crop protection AG</w:t>
      </w:r>
      <w:r w:rsidRPr="00064185">
        <w:rPr>
          <w:rFonts w:eastAsia="Calibri"/>
          <w:iCs/>
          <w:lang w:eastAsia="en-US"/>
        </w:rPr>
        <w:t xml:space="preserve">. </w:t>
      </w:r>
      <w:r w:rsidR="00387110" w:rsidRPr="00064185">
        <w:rPr>
          <w:rFonts w:eastAsia="Calibri"/>
          <w:iCs/>
          <w:lang w:eastAsia="en-US"/>
        </w:rPr>
        <w:t xml:space="preserve">Data access is granted to the dossier that supported the registration of the active substance </w:t>
      </w:r>
      <w:r w:rsidR="00387110" w:rsidRPr="00064185">
        <w:rPr>
          <w:rFonts w:eastAsia="Calibri"/>
          <w:i/>
          <w:iCs/>
          <w:lang w:eastAsia="en-US"/>
        </w:rPr>
        <w:t>lambda</w:t>
      </w:r>
      <w:r w:rsidR="00387110" w:rsidRPr="00064185">
        <w:rPr>
          <w:rFonts w:eastAsia="Calibri"/>
          <w:iCs/>
          <w:lang w:eastAsia="en-US"/>
        </w:rPr>
        <w:t>-cyhalothrin</w:t>
      </w:r>
      <w:r w:rsidRPr="00064185">
        <w:rPr>
          <w:rFonts w:eastAsia="Calibri"/>
          <w:iCs/>
          <w:lang w:eastAsia="en-US"/>
        </w:rPr>
        <w:t xml:space="preserve"> </w:t>
      </w:r>
      <w:r w:rsidR="00387110" w:rsidRPr="00064185">
        <w:rPr>
          <w:rFonts w:eastAsia="Calibri"/>
          <w:iCs/>
          <w:lang w:eastAsia="en-US"/>
        </w:rPr>
        <w:t>under the Biocidal Product Directive 98/8/EC to get Annex I inclusion and to product data owned by Syngenta Crop protection AG.</w:t>
      </w:r>
    </w:p>
    <w:p w14:paraId="390BFB65" w14:textId="77777777" w:rsidR="00BC3510" w:rsidRPr="00064185" w:rsidRDefault="00BC3510" w:rsidP="00EA61D8">
      <w:pPr>
        <w:spacing w:line="260" w:lineRule="atLeast"/>
        <w:rPr>
          <w:rFonts w:eastAsia="Calibri"/>
          <w:strike/>
          <w:lang w:eastAsia="en-US"/>
        </w:rPr>
      </w:pPr>
    </w:p>
    <w:p w14:paraId="7F91DD2C" w14:textId="77777777" w:rsidR="007A484E" w:rsidRPr="00064185" w:rsidRDefault="007A484E" w:rsidP="00EA61D8">
      <w:pPr>
        <w:spacing w:line="260" w:lineRule="atLeast"/>
        <w:rPr>
          <w:rFonts w:eastAsia="Calibri"/>
          <w:strike/>
          <w:lang w:eastAsia="en-US"/>
        </w:rPr>
      </w:pPr>
    </w:p>
    <w:p w14:paraId="1BB8234A" w14:textId="77777777" w:rsidR="00A53EE0" w:rsidRPr="00064185" w:rsidRDefault="00A53EE0" w:rsidP="00EA61D8">
      <w:pPr>
        <w:pStyle w:val="berschrift3"/>
        <w:rPr>
          <w:rFonts w:eastAsia="Calibri"/>
          <w:lang w:eastAsia="en-US"/>
        </w:rPr>
      </w:pPr>
      <w:bookmarkStart w:id="980" w:name="_Toc389728911"/>
      <w:bookmarkStart w:id="981" w:name="_Toc403472739"/>
      <w:bookmarkStart w:id="982" w:name="_Toc440879646"/>
      <w:bookmarkStart w:id="983" w:name="_Toc440889959"/>
      <w:bookmarkStart w:id="984" w:name="_Toc530563664"/>
      <w:r w:rsidRPr="00064185">
        <w:rPr>
          <w:rFonts w:eastAsia="Calibri"/>
          <w:lang w:eastAsia="en-US"/>
        </w:rPr>
        <w:t>Other information</w:t>
      </w:r>
      <w:bookmarkEnd w:id="980"/>
      <w:bookmarkEnd w:id="981"/>
      <w:bookmarkEnd w:id="982"/>
      <w:bookmarkEnd w:id="983"/>
      <w:bookmarkEnd w:id="984"/>
    </w:p>
    <w:p w14:paraId="022EA04F" w14:textId="77777777" w:rsidR="00A53EE0" w:rsidRPr="00064185" w:rsidRDefault="00A53EE0" w:rsidP="00EA61D8">
      <w:pPr>
        <w:spacing w:line="260" w:lineRule="atLeast"/>
        <w:rPr>
          <w:rFonts w:eastAsia="Calibri"/>
          <w:lang w:val="de-DE" w:eastAsia="en-US"/>
        </w:rPr>
      </w:pP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064185" w:rsidRPr="00064185" w14:paraId="77171D24" w14:textId="77777777" w:rsidTr="00922E8F">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C8A2AE" w14:textId="10DBDBC3" w:rsidR="00A53EE0" w:rsidRPr="00064185" w:rsidRDefault="00A53EE0" w:rsidP="00EA61D8">
            <w:pPr>
              <w:spacing w:after="40" w:line="260" w:lineRule="atLeast"/>
              <w:ind w:left="6519" w:hanging="6519"/>
              <w:rPr>
                <w:rFonts w:eastAsia="Calibri"/>
                <w:szCs w:val="22"/>
                <w:lang w:eastAsia="en-US"/>
              </w:rPr>
            </w:pPr>
            <w:bookmarkStart w:id="985" w:name="d0e2122"/>
            <w:r w:rsidRPr="00064185">
              <w:rPr>
                <w:rFonts w:eastAsia="Calibri"/>
                <w:szCs w:val="22"/>
                <w:lang w:eastAsia="en-US"/>
              </w:rPr>
              <w:t>Application codes:</w:t>
            </w:r>
          </w:p>
          <w:p w14:paraId="7664C3AF" w14:textId="07D32855" w:rsidR="00801CFA" w:rsidRPr="00064185" w:rsidRDefault="00801CFA" w:rsidP="00EA61D8">
            <w:pPr>
              <w:spacing w:after="40" w:line="260" w:lineRule="atLeast"/>
              <w:ind w:left="6519" w:hanging="6519"/>
              <w:rPr>
                <w:rFonts w:eastAsia="Calibri" w:cs="Times"/>
                <w:bCs/>
                <w:szCs w:val="22"/>
              </w:rPr>
            </w:pPr>
            <w:r w:rsidRPr="00064185">
              <w:rPr>
                <w:rFonts w:eastAsia="Calibri" w:cs="Times"/>
                <w:bCs/>
                <w:szCs w:val="22"/>
              </w:rPr>
              <w:t>I b</w:t>
            </w:r>
            <w:r w:rsidR="00E006B2" w:rsidRPr="00064185">
              <w:rPr>
                <w:rFonts w:eastAsia="Calibri" w:cs="Times"/>
                <w:bCs/>
                <w:szCs w:val="22"/>
              </w:rPr>
              <w:t>:</w:t>
            </w:r>
            <w:r w:rsidRPr="00064185">
              <w:rPr>
                <w:rFonts w:eastAsia="Calibri" w:cs="Times"/>
                <w:bCs/>
                <w:szCs w:val="22"/>
              </w:rPr>
              <w:t xml:space="preserve"> Target organisms to be controlled</w:t>
            </w:r>
          </w:p>
          <w:p w14:paraId="32E46F55" w14:textId="585A3D92" w:rsidR="00801CFA" w:rsidRPr="00064185" w:rsidRDefault="00801CFA" w:rsidP="00EA61D8">
            <w:pPr>
              <w:spacing w:after="40" w:line="260" w:lineRule="atLeast"/>
              <w:ind w:left="6519" w:hanging="6519"/>
              <w:rPr>
                <w:rFonts w:eastAsia="Calibri" w:cs="Times"/>
                <w:bCs/>
                <w:szCs w:val="22"/>
              </w:rPr>
            </w:pPr>
            <w:r w:rsidRPr="00064185">
              <w:rPr>
                <w:rFonts w:eastAsia="Calibri" w:cs="Times"/>
                <w:bCs/>
                <w:szCs w:val="22"/>
              </w:rPr>
              <w:t>I.2 Crustacea Crustaceans</w:t>
            </w:r>
          </w:p>
          <w:p w14:paraId="5E8967A6" w14:textId="6EB8A440" w:rsidR="00801CFA" w:rsidRPr="00064185" w:rsidRDefault="00801CFA" w:rsidP="00EA61D8">
            <w:pPr>
              <w:spacing w:after="40" w:line="260" w:lineRule="atLeast"/>
              <w:ind w:left="6519" w:hanging="6519"/>
              <w:rPr>
                <w:rFonts w:eastAsia="Calibri" w:cs="Times"/>
                <w:bCs/>
                <w:szCs w:val="22"/>
              </w:rPr>
            </w:pPr>
            <w:r w:rsidRPr="00064185">
              <w:rPr>
                <w:rFonts w:eastAsia="Calibri" w:cs="Times"/>
                <w:bCs/>
                <w:szCs w:val="22"/>
              </w:rPr>
              <w:t>I.2.1 Isopoda Isopods</w:t>
            </w:r>
          </w:p>
          <w:p w14:paraId="1DD0CF97" w14:textId="6C7B4492" w:rsidR="00801CFA" w:rsidRPr="00064185" w:rsidRDefault="00801CFA" w:rsidP="00EA61D8">
            <w:pPr>
              <w:spacing w:after="40" w:line="260" w:lineRule="atLeast"/>
              <w:ind w:left="6519" w:hanging="6519"/>
              <w:rPr>
                <w:rFonts w:eastAsia="Calibri" w:cs="Times"/>
                <w:bCs/>
                <w:szCs w:val="22"/>
              </w:rPr>
            </w:pPr>
            <w:r w:rsidRPr="00064185">
              <w:rPr>
                <w:rFonts w:eastAsia="Calibri" w:cs="Times"/>
                <w:bCs/>
                <w:szCs w:val="22"/>
              </w:rPr>
              <w:t>I.2.1.1 Porcellionidae Woodlice (e.g. Common rough woodlouse)</w:t>
            </w:r>
          </w:p>
          <w:p w14:paraId="0A026CDE" w14:textId="2CA69D0B" w:rsidR="00801CFA" w:rsidRPr="00064185" w:rsidRDefault="00801CFA" w:rsidP="00EA61D8">
            <w:pPr>
              <w:spacing w:after="40" w:line="260" w:lineRule="atLeast"/>
              <w:ind w:left="6519" w:hanging="6519"/>
              <w:rPr>
                <w:rFonts w:eastAsia="Calibri" w:cs="Times"/>
                <w:bCs/>
                <w:szCs w:val="22"/>
              </w:rPr>
            </w:pPr>
            <w:r w:rsidRPr="00064185">
              <w:rPr>
                <w:rFonts w:eastAsia="Calibri" w:cs="Times"/>
                <w:bCs/>
                <w:szCs w:val="22"/>
              </w:rPr>
              <w:t>I.3 Insecta Insects</w:t>
            </w:r>
          </w:p>
          <w:p w14:paraId="0EE375CF" w14:textId="364E51B9" w:rsidR="00801CFA" w:rsidRPr="00064185" w:rsidRDefault="00801CFA" w:rsidP="00EA61D8">
            <w:pPr>
              <w:spacing w:after="40" w:line="260" w:lineRule="atLeast"/>
              <w:ind w:left="6519" w:hanging="6519"/>
              <w:rPr>
                <w:rFonts w:eastAsia="Calibri" w:cs="Times"/>
                <w:bCs/>
                <w:szCs w:val="22"/>
              </w:rPr>
            </w:pPr>
            <w:r w:rsidRPr="00064185">
              <w:rPr>
                <w:rFonts w:eastAsia="Calibri" w:cs="Times"/>
                <w:bCs/>
                <w:szCs w:val="22"/>
              </w:rPr>
              <w:t>I.3.1 Zygentoma Silverfishes</w:t>
            </w:r>
          </w:p>
          <w:p w14:paraId="500279AB" w14:textId="13440078" w:rsidR="00801CFA" w:rsidRPr="00064185" w:rsidRDefault="00801CFA" w:rsidP="00EA61D8">
            <w:pPr>
              <w:spacing w:after="40" w:line="260" w:lineRule="atLeast"/>
              <w:ind w:left="6519" w:hanging="6519"/>
              <w:rPr>
                <w:rFonts w:eastAsia="Calibri" w:cs="Times"/>
                <w:bCs/>
                <w:szCs w:val="22"/>
              </w:rPr>
            </w:pPr>
            <w:r w:rsidRPr="00064185">
              <w:rPr>
                <w:rFonts w:eastAsia="Calibri" w:cs="Times"/>
                <w:bCs/>
                <w:szCs w:val="22"/>
              </w:rPr>
              <w:t>I.3.1.1 Lepismatidae Lepismatid silverfishes (e.g. Common silverfish, Firebrat)</w:t>
            </w:r>
          </w:p>
          <w:p w14:paraId="279F45C3" w14:textId="29739A52" w:rsidR="00801CFA" w:rsidRPr="00064185" w:rsidRDefault="00801CFA" w:rsidP="00EA61D8">
            <w:pPr>
              <w:spacing w:after="40" w:line="260" w:lineRule="atLeast"/>
              <w:ind w:left="6519" w:hanging="6519"/>
              <w:rPr>
                <w:rFonts w:eastAsia="Calibri" w:cs="Times"/>
                <w:bCs/>
                <w:szCs w:val="22"/>
              </w:rPr>
            </w:pPr>
            <w:r w:rsidRPr="00064185">
              <w:rPr>
                <w:rFonts w:eastAsia="Calibri" w:cs="Times"/>
                <w:bCs/>
                <w:szCs w:val="22"/>
              </w:rPr>
              <w:t>I.3.4 Blattodea Cockroaches</w:t>
            </w:r>
          </w:p>
          <w:p w14:paraId="53709298" w14:textId="77777777" w:rsidR="00A53EE0" w:rsidRPr="00064185" w:rsidRDefault="000E57F8" w:rsidP="00EA61D8">
            <w:pPr>
              <w:spacing w:after="40" w:line="260" w:lineRule="atLeast"/>
              <w:ind w:left="6519" w:hanging="6519"/>
              <w:rPr>
                <w:rFonts w:eastAsia="Calibri" w:cs="Times"/>
                <w:bCs/>
                <w:szCs w:val="22"/>
              </w:rPr>
            </w:pPr>
            <w:r w:rsidRPr="00064185">
              <w:rPr>
                <w:rFonts w:eastAsia="Calibri" w:cs="Times"/>
                <w:bCs/>
                <w:szCs w:val="22"/>
              </w:rPr>
              <w:t>I.3.4.1 Blattellidae Blattellid Cockroaches (e.g. German Cockroach, Brown-banded Cockroach)</w:t>
            </w:r>
          </w:p>
          <w:p w14:paraId="26BF4646" w14:textId="77777777" w:rsidR="000E57F8" w:rsidRPr="00064185" w:rsidRDefault="000E57F8" w:rsidP="00EA61D8">
            <w:pPr>
              <w:spacing w:after="40" w:line="260" w:lineRule="atLeast"/>
              <w:ind w:left="6519" w:hanging="6519"/>
              <w:rPr>
                <w:rFonts w:eastAsia="Calibri" w:cs="Times"/>
                <w:bCs/>
                <w:szCs w:val="22"/>
              </w:rPr>
            </w:pPr>
            <w:r w:rsidRPr="00064185">
              <w:rPr>
                <w:rFonts w:eastAsia="Calibri" w:cs="Times"/>
                <w:bCs/>
                <w:szCs w:val="22"/>
              </w:rPr>
              <w:t>I.3.4.2 Blattidae Blattid Cockroaches (e.g. Common cockroach, American Cockroach, Australian cockroach)</w:t>
            </w:r>
          </w:p>
          <w:p w14:paraId="6313D78E" w14:textId="77777777" w:rsidR="000E57F8" w:rsidRPr="00064185" w:rsidRDefault="000E57F8" w:rsidP="00EA61D8">
            <w:pPr>
              <w:spacing w:after="40" w:line="260" w:lineRule="atLeast"/>
              <w:ind w:left="6519" w:hanging="6519"/>
              <w:rPr>
                <w:rFonts w:eastAsia="Calibri" w:cs="Times"/>
                <w:bCs/>
                <w:szCs w:val="22"/>
              </w:rPr>
            </w:pPr>
            <w:r w:rsidRPr="00064185">
              <w:rPr>
                <w:rFonts w:eastAsia="Calibri" w:cs="Times"/>
                <w:bCs/>
                <w:szCs w:val="22"/>
              </w:rPr>
              <w:t xml:space="preserve">I.3.10 Hymenoptera: Formicidae Ants </w:t>
            </w:r>
          </w:p>
          <w:p w14:paraId="7E5C4979" w14:textId="77777777" w:rsidR="000E57F8" w:rsidRPr="00064185" w:rsidRDefault="000E57F8" w:rsidP="00EA61D8">
            <w:pPr>
              <w:spacing w:after="40" w:line="260" w:lineRule="atLeast"/>
              <w:ind w:left="6519" w:hanging="6519"/>
              <w:rPr>
                <w:rFonts w:eastAsia="Calibri" w:cs="Times"/>
                <w:bCs/>
                <w:szCs w:val="22"/>
              </w:rPr>
            </w:pPr>
            <w:r w:rsidRPr="00064185">
              <w:rPr>
                <w:rFonts w:eastAsia="Calibri" w:cs="Times"/>
                <w:bCs/>
                <w:szCs w:val="22"/>
              </w:rPr>
              <w:t>I.3.10.3 Formicinae  (e.g. Garden Ant, Red Ant)</w:t>
            </w:r>
          </w:p>
          <w:p w14:paraId="17E21CA9" w14:textId="77777777" w:rsidR="000E57F8" w:rsidRPr="00064185" w:rsidRDefault="000E57F8" w:rsidP="00EA61D8">
            <w:pPr>
              <w:spacing w:after="40" w:line="260" w:lineRule="atLeast"/>
              <w:ind w:left="6519" w:hanging="6519"/>
              <w:rPr>
                <w:rFonts w:eastAsia="Calibri" w:cs="Times"/>
                <w:bCs/>
                <w:szCs w:val="22"/>
              </w:rPr>
            </w:pPr>
          </w:p>
          <w:p w14:paraId="22397A36" w14:textId="77777777" w:rsidR="00E006B2" w:rsidRPr="00064185" w:rsidRDefault="00E006B2" w:rsidP="00EA61D8">
            <w:pPr>
              <w:spacing w:after="40" w:line="260" w:lineRule="atLeast"/>
              <w:ind w:left="6519" w:hanging="6519"/>
              <w:rPr>
                <w:rFonts w:eastAsia="Calibri" w:cs="Times"/>
                <w:bCs/>
                <w:szCs w:val="22"/>
              </w:rPr>
            </w:pPr>
            <w:r w:rsidRPr="00064185">
              <w:rPr>
                <w:rFonts w:eastAsia="Calibri" w:cs="Times"/>
                <w:bCs/>
                <w:szCs w:val="22"/>
              </w:rPr>
              <w:t>II: Developmental stages of target organisms to be controlled</w:t>
            </w:r>
          </w:p>
          <w:p w14:paraId="37F22CE3" w14:textId="3221E778" w:rsidR="00E006B2" w:rsidRPr="00064185" w:rsidRDefault="00E006B2" w:rsidP="00EA61D8">
            <w:pPr>
              <w:spacing w:after="40" w:line="260" w:lineRule="atLeast"/>
              <w:ind w:left="6519" w:hanging="6519"/>
              <w:rPr>
                <w:rFonts w:eastAsia="Calibri" w:cs="Times"/>
                <w:bCs/>
                <w:szCs w:val="22"/>
              </w:rPr>
            </w:pPr>
            <w:r w:rsidRPr="00064185">
              <w:rPr>
                <w:rFonts w:eastAsia="Calibri" w:cs="Times"/>
                <w:bCs/>
                <w:szCs w:val="22"/>
              </w:rPr>
              <w:t xml:space="preserve">II.1.2 Larvae </w:t>
            </w:r>
          </w:p>
          <w:p w14:paraId="60B0C985" w14:textId="59B9B066" w:rsidR="00E006B2" w:rsidRPr="00064185" w:rsidRDefault="00E006B2" w:rsidP="00EA61D8">
            <w:pPr>
              <w:spacing w:after="40" w:line="260" w:lineRule="atLeast"/>
              <w:ind w:left="6519" w:hanging="6519"/>
              <w:rPr>
                <w:rFonts w:eastAsia="Calibri" w:cs="Times"/>
                <w:bCs/>
                <w:szCs w:val="22"/>
              </w:rPr>
            </w:pPr>
            <w:r w:rsidRPr="00064185">
              <w:rPr>
                <w:rFonts w:eastAsia="Calibri" w:cs="Times"/>
                <w:bCs/>
                <w:szCs w:val="22"/>
              </w:rPr>
              <w:t xml:space="preserve">II.1.3 Nymphs </w:t>
            </w:r>
          </w:p>
          <w:p w14:paraId="1D6B083D" w14:textId="77777777" w:rsidR="00E006B2" w:rsidRPr="00064185" w:rsidRDefault="00E006B2" w:rsidP="00EA61D8">
            <w:pPr>
              <w:spacing w:after="40" w:line="260" w:lineRule="atLeast"/>
              <w:ind w:left="6519" w:hanging="6519"/>
              <w:rPr>
                <w:rFonts w:eastAsia="Calibri" w:cs="Times"/>
                <w:bCs/>
                <w:szCs w:val="22"/>
              </w:rPr>
            </w:pPr>
            <w:r w:rsidRPr="00064185">
              <w:rPr>
                <w:rFonts w:eastAsia="Calibri" w:cs="Times"/>
                <w:bCs/>
                <w:szCs w:val="22"/>
              </w:rPr>
              <w:t xml:space="preserve">II:1.4 Pupae </w:t>
            </w:r>
          </w:p>
          <w:p w14:paraId="47A1AE5C" w14:textId="77777777" w:rsidR="00E006B2" w:rsidRPr="00064185" w:rsidRDefault="00E006B2" w:rsidP="00EA61D8">
            <w:pPr>
              <w:spacing w:after="40" w:line="260" w:lineRule="atLeast"/>
              <w:ind w:left="6519" w:hanging="6519"/>
              <w:rPr>
                <w:rFonts w:eastAsia="Calibri" w:cs="Times"/>
                <w:bCs/>
                <w:szCs w:val="22"/>
              </w:rPr>
            </w:pPr>
            <w:r w:rsidRPr="00064185">
              <w:rPr>
                <w:rFonts w:eastAsia="Calibri" w:cs="Times"/>
                <w:bCs/>
                <w:szCs w:val="22"/>
              </w:rPr>
              <w:t>II.1.5 Imagines, Adults</w:t>
            </w:r>
          </w:p>
          <w:p w14:paraId="5407A067" w14:textId="77777777" w:rsidR="00E006B2" w:rsidRPr="00064185" w:rsidRDefault="00E006B2" w:rsidP="00EA61D8">
            <w:pPr>
              <w:spacing w:after="40" w:line="260" w:lineRule="atLeast"/>
              <w:ind w:left="6519" w:hanging="6519"/>
              <w:rPr>
                <w:rFonts w:eastAsia="Calibri" w:cs="Times"/>
                <w:bCs/>
                <w:szCs w:val="22"/>
              </w:rPr>
            </w:pPr>
          </w:p>
          <w:p w14:paraId="6953976D" w14:textId="77777777" w:rsidR="00E006B2" w:rsidRPr="00064185" w:rsidRDefault="00E006B2" w:rsidP="00EA61D8">
            <w:pPr>
              <w:spacing w:after="40" w:line="260" w:lineRule="atLeast"/>
              <w:ind w:left="6519" w:hanging="6519"/>
              <w:rPr>
                <w:rFonts w:eastAsia="Calibri" w:cs="Times"/>
                <w:bCs/>
                <w:szCs w:val="22"/>
              </w:rPr>
            </w:pPr>
            <w:r w:rsidRPr="00064185">
              <w:rPr>
                <w:rFonts w:eastAsia="Calibri" w:cs="Times"/>
                <w:bCs/>
                <w:szCs w:val="22"/>
              </w:rPr>
              <w:t>III: Function/Mode of action of a.s./b.p./ type of effect</w:t>
            </w:r>
          </w:p>
          <w:p w14:paraId="38591693" w14:textId="77777777" w:rsidR="00E006B2" w:rsidRPr="00064185" w:rsidRDefault="00E006B2" w:rsidP="00EA61D8">
            <w:pPr>
              <w:spacing w:after="40" w:line="260" w:lineRule="atLeast"/>
              <w:ind w:left="6519" w:hanging="6519"/>
              <w:rPr>
                <w:rFonts w:eastAsia="Calibri" w:cs="Times"/>
                <w:bCs/>
                <w:szCs w:val="22"/>
              </w:rPr>
            </w:pPr>
            <w:r w:rsidRPr="00064185">
              <w:rPr>
                <w:rFonts w:eastAsia="Calibri" w:cs="Times"/>
                <w:bCs/>
                <w:szCs w:val="22"/>
              </w:rPr>
              <w:t>III.1 Mode of exposure</w:t>
            </w:r>
          </w:p>
          <w:p w14:paraId="18422C54" w14:textId="77777777" w:rsidR="00E006B2" w:rsidRPr="00064185" w:rsidRDefault="00E006B2" w:rsidP="00EA61D8">
            <w:pPr>
              <w:spacing w:after="40" w:line="260" w:lineRule="atLeast"/>
              <w:ind w:left="6519" w:hanging="6519"/>
              <w:rPr>
                <w:rFonts w:eastAsia="Calibri" w:cs="Times"/>
                <w:bCs/>
                <w:szCs w:val="22"/>
              </w:rPr>
            </w:pPr>
            <w:r w:rsidRPr="00064185">
              <w:rPr>
                <w:rFonts w:eastAsia="Calibri" w:cs="Times"/>
                <w:bCs/>
                <w:szCs w:val="22"/>
              </w:rPr>
              <w:t>III.1.1 ingestion (bait)</w:t>
            </w:r>
          </w:p>
          <w:p w14:paraId="40E899B3" w14:textId="77777777" w:rsidR="00E006B2" w:rsidRPr="00064185" w:rsidRDefault="00E006B2" w:rsidP="00EA61D8">
            <w:pPr>
              <w:spacing w:after="40" w:line="260" w:lineRule="atLeast"/>
              <w:ind w:left="6519" w:hanging="6519"/>
              <w:rPr>
                <w:rFonts w:eastAsia="Calibri" w:cs="Times"/>
                <w:bCs/>
                <w:szCs w:val="22"/>
              </w:rPr>
            </w:pPr>
            <w:r w:rsidRPr="00064185">
              <w:rPr>
                <w:rFonts w:eastAsia="Calibri" w:cs="Times"/>
                <w:bCs/>
                <w:szCs w:val="22"/>
              </w:rPr>
              <w:t>III.1.3 contact</w:t>
            </w:r>
          </w:p>
          <w:p w14:paraId="5C3BBF10" w14:textId="77777777" w:rsidR="00E006B2" w:rsidRPr="00064185" w:rsidRDefault="00E006B2" w:rsidP="00EA61D8">
            <w:pPr>
              <w:spacing w:after="40" w:line="260" w:lineRule="atLeast"/>
              <w:ind w:left="6519" w:hanging="6519"/>
              <w:rPr>
                <w:rFonts w:eastAsia="Calibri" w:cs="Times"/>
                <w:bCs/>
                <w:szCs w:val="22"/>
              </w:rPr>
            </w:pPr>
            <w:r w:rsidRPr="00064185">
              <w:rPr>
                <w:rFonts w:eastAsia="Calibri" w:cs="Times"/>
                <w:bCs/>
                <w:szCs w:val="22"/>
              </w:rPr>
              <w:t>III.2 Type of effect (on individual pests)</w:t>
            </w:r>
          </w:p>
          <w:p w14:paraId="4CF87D83" w14:textId="6DE86922" w:rsidR="00E006B2" w:rsidRPr="00064185" w:rsidRDefault="00E006B2" w:rsidP="00EA61D8">
            <w:pPr>
              <w:spacing w:after="40" w:line="260" w:lineRule="atLeast"/>
              <w:ind w:left="6519" w:hanging="6519"/>
              <w:rPr>
                <w:rFonts w:eastAsia="Calibri" w:cs="Times"/>
                <w:bCs/>
                <w:szCs w:val="22"/>
              </w:rPr>
            </w:pPr>
            <w:r w:rsidRPr="00064185">
              <w:rPr>
                <w:rFonts w:eastAsia="Calibri" w:cs="Times"/>
                <w:bCs/>
                <w:szCs w:val="22"/>
              </w:rPr>
              <w:lastRenderedPageBreak/>
              <w:t xml:space="preserve">III.2.1 Kill effect </w:t>
            </w:r>
          </w:p>
          <w:p w14:paraId="3C4EA2D2" w14:textId="73F3E015" w:rsidR="00E006B2" w:rsidRPr="00064185" w:rsidRDefault="00E006B2" w:rsidP="00EA61D8">
            <w:pPr>
              <w:spacing w:after="40" w:line="260" w:lineRule="atLeast"/>
              <w:ind w:left="6519" w:hanging="6519"/>
              <w:rPr>
                <w:rFonts w:eastAsia="Calibri" w:cs="Times"/>
                <w:bCs/>
                <w:szCs w:val="22"/>
              </w:rPr>
            </w:pPr>
            <w:r w:rsidRPr="00064185">
              <w:rPr>
                <w:rFonts w:eastAsia="Calibri" w:cs="Times"/>
                <w:bCs/>
                <w:szCs w:val="22"/>
              </w:rPr>
              <w:t>III.2.2 Knock-Down Effect</w:t>
            </w:r>
          </w:p>
          <w:p w14:paraId="08161F96" w14:textId="1A895070" w:rsidR="00E006B2" w:rsidRPr="00064185" w:rsidRDefault="00E006B2" w:rsidP="00EA61D8">
            <w:pPr>
              <w:spacing w:after="40" w:line="260" w:lineRule="atLeast"/>
              <w:ind w:left="6519" w:hanging="6519"/>
              <w:rPr>
                <w:rFonts w:eastAsia="Calibri" w:cs="Times"/>
                <w:bCs/>
                <w:szCs w:val="22"/>
              </w:rPr>
            </w:pPr>
            <w:r w:rsidRPr="00064185">
              <w:rPr>
                <w:rFonts w:eastAsia="Calibri" w:cs="Times"/>
                <w:bCs/>
                <w:szCs w:val="22"/>
              </w:rPr>
              <w:t>III.3 Type of effect (on populations of pests)</w:t>
            </w:r>
          </w:p>
          <w:p w14:paraId="163DDFC7" w14:textId="722B09BA" w:rsidR="00017297" w:rsidRPr="00064185" w:rsidRDefault="00017297" w:rsidP="00EA61D8">
            <w:pPr>
              <w:spacing w:after="40" w:line="260" w:lineRule="atLeast"/>
              <w:ind w:left="6519" w:hanging="6519"/>
              <w:rPr>
                <w:rFonts w:eastAsia="Calibri" w:cs="Times"/>
                <w:bCs/>
                <w:szCs w:val="22"/>
              </w:rPr>
            </w:pPr>
            <w:r w:rsidRPr="00064185">
              <w:rPr>
                <w:rFonts w:eastAsia="Calibri" w:cs="Times"/>
                <w:bCs/>
                <w:szCs w:val="22"/>
              </w:rPr>
              <w:t xml:space="preserve">III.3.2 Trophallaxis (e.g. in ants) </w:t>
            </w:r>
          </w:p>
          <w:p w14:paraId="20DFA351" w14:textId="5EBE8C5D" w:rsidR="00E006B2" w:rsidRPr="00064185" w:rsidRDefault="00017297" w:rsidP="00EA61D8">
            <w:pPr>
              <w:spacing w:after="40" w:line="260" w:lineRule="atLeast"/>
              <w:ind w:left="6519" w:hanging="6519"/>
              <w:rPr>
                <w:rFonts w:eastAsia="Calibri" w:cs="Times"/>
                <w:bCs/>
                <w:szCs w:val="22"/>
              </w:rPr>
            </w:pPr>
            <w:r w:rsidRPr="00064185">
              <w:rPr>
                <w:rFonts w:eastAsia="Calibri" w:cs="Times"/>
                <w:bCs/>
                <w:szCs w:val="22"/>
              </w:rPr>
              <w:t>III.3.3 Can control entire colonies (Eradication)</w:t>
            </w:r>
          </w:p>
          <w:p w14:paraId="78211A5B" w14:textId="689BDA65" w:rsidR="00017297" w:rsidRPr="00064185" w:rsidRDefault="00017297" w:rsidP="00EA61D8">
            <w:pPr>
              <w:spacing w:after="40" w:line="260" w:lineRule="atLeast"/>
              <w:ind w:left="6519" w:hanging="6519"/>
              <w:rPr>
                <w:rFonts w:eastAsia="Calibri" w:cs="Times"/>
                <w:bCs/>
                <w:szCs w:val="22"/>
              </w:rPr>
            </w:pPr>
            <w:r w:rsidRPr="00064185">
              <w:rPr>
                <w:rFonts w:eastAsia="Calibri" w:cs="Times"/>
                <w:bCs/>
                <w:szCs w:val="22"/>
              </w:rPr>
              <w:t>III.4 Duration of effect</w:t>
            </w:r>
          </w:p>
          <w:p w14:paraId="7C540756" w14:textId="3E1652CC" w:rsidR="00017297" w:rsidRPr="00064185" w:rsidRDefault="00017297" w:rsidP="00EA61D8">
            <w:pPr>
              <w:spacing w:after="40" w:line="260" w:lineRule="atLeast"/>
              <w:ind w:left="6519" w:hanging="6519"/>
              <w:rPr>
                <w:rFonts w:eastAsia="Calibri" w:cs="Times"/>
                <w:bCs/>
                <w:szCs w:val="22"/>
              </w:rPr>
            </w:pPr>
            <w:r w:rsidRPr="00064185">
              <w:rPr>
                <w:rFonts w:eastAsia="Calibri" w:cs="Times"/>
                <w:bCs/>
                <w:szCs w:val="22"/>
              </w:rPr>
              <w:t xml:space="preserve">III.4.1 Acute/short acting toxins </w:t>
            </w:r>
          </w:p>
          <w:p w14:paraId="7290579C" w14:textId="17A91174" w:rsidR="00017297" w:rsidRPr="00064185" w:rsidRDefault="00017297" w:rsidP="00EA61D8">
            <w:pPr>
              <w:spacing w:after="40" w:line="260" w:lineRule="atLeast"/>
              <w:ind w:left="6519" w:hanging="6519"/>
              <w:rPr>
                <w:rFonts w:eastAsia="Calibri" w:cs="Times"/>
                <w:bCs/>
                <w:szCs w:val="22"/>
              </w:rPr>
            </w:pPr>
            <w:r w:rsidRPr="00064185">
              <w:rPr>
                <w:rFonts w:eastAsia="Calibri" w:cs="Times"/>
                <w:bCs/>
                <w:szCs w:val="22"/>
              </w:rPr>
              <w:t>III.4.2 Residual activity (long time effect)</w:t>
            </w:r>
          </w:p>
          <w:p w14:paraId="79732A7B" w14:textId="77777777" w:rsidR="00017297" w:rsidRPr="00064185" w:rsidRDefault="00017297" w:rsidP="00EA61D8">
            <w:pPr>
              <w:spacing w:after="40" w:line="260" w:lineRule="atLeast"/>
              <w:ind w:left="6519" w:hanging="6519"/>
              <w:rPr>
                <w:rFonts w:eastAsia="Calibri" w:cs="Times"/>
                <w:bCs/>
                <w:szCs w:val="22"/>
              </w:rPr>
            </w:pPr>
          </w:p>
          <w:p w14:paraId="5231B0BC" w14:textId="4396D40D" w:rsidR="00017297" w:rsidRPr="00064185" w:rsidRDefault="00017297" w:rsidP="00EA61D8">
            <w:pPr>
              <w:spacing w:after="40" w:line="260" w:lineRule="atLeast"/>
              <w:ind w:left="6519" w:hanging="6519"/>
              <w:rPr>
                <w:rFonts w:eastAsia="Calibri" w:cs="Times"/>
                <w:bCs/>
                <w:szCs w:val="22"/>
              </w:rPr>
            </w:pPr>
            <w:r w:rsidRPr="00064185">
              <w:rPr>
                <w:rFonts w:eastAsia="Calibri" w:cs="Times"/>
                <w:bCs/>
                <w:szCs w:val="22"/>
              </w:rPr>
              <w:t>IV: Field of use</w:t>
            </w:r>
          </w:p>
          <w:p w14:paraId="4B4E5597" w14:textId="13C9DE27" w:rsidR="00ED7435" w:rsidRPr="00064185" w:rsidRDefault="00ED7435" w:rsidP="00EA61D8">
            <w:pPr>
              <w:spacing w:after="40" w:line="260" w:lineRule="atLeast"/>
              <w:ind w:left="6519" w:hanging="6519"/>
              <w:rPr>
                <w:rFonts w:eastAsia="Calibri" w:cs="Times"/>
                <w:bCs/>
                <w:szCs w:val="22"/>
              </w:rPr>
            </w:pPr>
            <w:r w:rsidRPr="00064185">
              <w:rPr>
                <w:rFonts w:eastAsia="Calibri" w:cs="Times"/>
                <w:bCs/>
                <w:szCs w:val="22"/>
              </w:rPr>
              <w:t>IV.1 indoor use:</w:t>
            </w:r>
          </w:p>
          <w:p w14:paraId="17366729" w14:textId="425C4A72" w:rsidR="00ED7435" w:rsidRPr="00064185" w:rsidRDefault="00ED7435" w:rsidP="00EA61D8">
            <w:pPr>
              <w:spacing w:after="40" w:line="260" w:lineRule="atLeast"/>
              <w:ind w:left="6519" w:hanging="6519"/>
              <w:rPr>
                <w:rFonts w:eastAsia="Calibri" w:cs="Times"/>
                <w:bCs/>
                <w:szCs w:val="22"/>
              </w:rPr>
            </w:pPr>
            <w:r w:rsidRPr="00064185">
              <w:rPr>
                <w:rFonts w:eastAsia="Calibri" w:cs="Times"/>
                <w:bCs/>
                <w:szCs w:val="22"/>
              </w:rPr>
              <w:t xml:space="preserve">IV.1.1. potential for contamination outdoors </w:t>
            </w:r>
          </w:p>
          <w:p w14:paraId="7D183EE6" w14:textId="613B5E35" w:rsidR="00ED7435" w:rsidRPr="00064185" w:rsidRDefault="00ED7435" w:rsidP="00EA61D8">
            <w:pPr>
              <w:spacing w:after="40" w:line="260" w:lineRule="atLeast"/>
              <w:ind w:left="6519" w:hanging="6519"/>
              <w:rPr>
                <w:rFonts w:eastAsia="Calibri" w:cs="Times"/>
                <w:bCs/>
                <w:szCs w:val="22"/>
              </w:rPr>
            </w:pPr>
            <w:r w:rsidRPr="00064185">
              <w:rPr>
                <w:rFonts w:eastAsia="Calibri" w:cs="Times"/>
                <w:bCs/>
                <w:szCs w:val="22"/>
              </w:rPr>
              <w:t>I</w:t>
            </w:r>
            <w:r w:rsidR="006A4308" w:rsidRPr="00064185">
              <w:rPr>
                <w:rFonts w:eastAsia="Calibri" w:cs="Times"/>
                <w:bCs/>
                <w:szCs w:val="22"/>
              </w:rPr>
              <w:t>V.1.1.1 yes</w:t>
            </w:r>
          </w:p>
          <w:p w14:paraId="2632051A" w14:textId="25E7F948" w:rsidR="00ED7435" w:rsidRPr="00064185" w:rsidRDefault="00ED7435" w:rsidP="00EA61D8">
            <w:pPr>
              <w:spacing w:after="40" w:line="260" w:lineRule="atLeast"/>
              <w:ind w:left="6519" w:hanging="6519"/>
              <w:rPr>
                <w:rFonts w:eastAsia="Calibri" w:cs="Times"/>
                <w:bCs/>
                <w:szCs w:val="22"/>
              </w:rPr>
            </w:pPr>
            <w:r w:rsidRPr="00064185">
              <w:rPr>
                <w:rFonts w:eastAsia="Calibri" w:cs="Times"/>
                <w:bCs/>
                <w:szCs w:val="22"/>
              </w:rPr>
              <w:t xml:space="preserve">IV.1.2. potential for contamination of food </w:t>
            </w:r>
          </w:p>
          <w:p w14:paraId="65D5532E" w14:textId="10226D5A" w:rsidR="00ED7435" w:rsidRPr="00064185" w:rsidRDefault="00ED7435" w:rsidP="00EA61D8">
            <w:pPr>
              <w:spacing w:after="40" w:line="260" w:lineRule="atLeast"/>
              <w:ind w:left="6519" w:hanging="6519"/>
              <w:rPr>
                <w:rFonts w:eastAsia="Calibri" w:cs="Times"/>
                <w:bCs/>
                <w:szCs w:val="22"/>
              </w:rPr>
            </w:pPr>
            <w:r w:rsidRPr="00064185">
              <w:rPr>
                <w:rFonts w:eastAsia="Calibri" w:cs="Times"/>
                <w:bCs/>
                <w:szCs w:val="22"/>
              </w:rPr>
              <w:t>IV.1.2.2. no</w:t>
            </w:r>
          </w:p>
          <w:p w14:paraId="3DFEEDD5" w14:textId="4A823E85" w:rsidR="0011725A" w:rsidRPr="00064185" w:rsidRDefault="0011725A" w:rsidP="00EA61D8">
            <w:pPr>
              <w:spacing w:after="40" w:line="260" w:lineRule="atLeast"/>
              <w:ind w:left="6519" w:hanging="6519"/>
              <w:rPr>
                <w:rFonts w:eastAsia="Calibri" w:cs="Times"/>
                <w:bCs/>
                <w:szCs w:val="22"/>
              </w:rPr>
            </w:pPr>
            <w:r w:rsidRPr="00064185">
              <w:rPr>
                <w:rFonts w:eastAsia="Calibri" w:cs="Times"/>
                <w:bCs/>
                <w:szCs w:val="22"/>
              </w:rPr>
              <w:t>IV 1. 3 To be used in /at:</w:t>
            </w:r>
          </w:p>
          <w:p w14:paraId="01A54C36" w14:textId="68C5DF11" w:rsidR="0011725A" w:rsidRPr="00064185" w:rsidRDefault="0011725A" w:rsidP="00EA61D8">
            <w:pPr>
              <w:spacing w:after="40" w:line="260" w:lineRule="atLeast"/>
              <w:ind w:left="6519" w:hanging="6519"/>
              <w:rPr>
                <w:rFonts w:eastAsia="Calibri" w:cs="Times"/>
                <w:bCs/>
                <w:szCs w:val="22"/>
              </w:rPr>
            </w:pPr>
            <w:r w:rsidRPr="00064185">
              <w:rPr>
                <w:rFonts w:eastAsia="Calibri" w:cs="Times"/>
                <w:bCs/>
                <w:szCs w:val="22"/>
              </w:rPr>
              <w:t>IV 1.3.2 Households / private areas</w:t>
            </w:r>
          </w:p>
          <w:p w14:paraId="0A0B7442" w14:textId="6E6B280A" w:rsidR="0011725A" w:rsidRPr="00064185" w:rsidRDefault="0011725A" w:rsidP="00EA61D8">
            <w:pPr>
              <w:spacing w:after="40" w:line="260" w:lineRule="atLeast"/>
              <w:ind w:left="6519" w:hanging="6519"/>
              <w:rPr>
                <w:rFonts w:eastAsia="Calibri" w:cs="Times"/>
                <w:bCs/>
                <w:szCs w:val="22"/>
              </w:rPr>
            </w:pPr>
            <w:r w:rsidRPr="00064185">
              <w:rPr>
                <w:rFonts w:eastAsia="Calibri" w:cs="Times"/>
                <w:bCs/>
                <w:szCs w:val="22"/>
              </w:rPr>
              <w:t>IV.2 outdoor use in/at:</w:t>
            </w:r>
          </w:p>
          <w:p w14:paraId="1FEBEC0A" w14:textId="5E2CD537" w:rsidR="0011725A" w:rsidRPr="00064185" w:rsidRDefault="0011725A" w:rsidP="00EA61D8">
            <w:pPr>
              <w:spacing w:after="40" w:line="260" w:lineRule="atLeast"/>
              <w:ind w:left="6519" w:hanging="6519"/>
              <w:rPr>
                <w:rFonts w:eastAsia="Calibri" w:cs="Times"/>
                <w:bCs/>
                <w:szCs w:val="22"/>
              </w:rPr>
            </w:pPr>
            <w:r w:rsidRPr="00064185">
              <w:rPr>
                <w:rFonts w:eastAsia="Calibri" w:cs="Times"/>
                <w:bCs/>
                <w:szCs w:val="22"/>
              </w:rPr>
              <w:t>IV 2.5. Others (specifiy) paved surfaced like terraces, in roof covered areas</w:t>
            </w:r>
          </w:p>
          <w:p w14:paraId="3F02D380" w14:textId="77777777" w:rsidR="0011725A" w:rsidRPr="00064185" w:rsidRDefault="0011725A" w:rsidP="00EA61D8">
            <w:pPr>
              <w:spacing w:after="40" w:line="260" w:lineRule="atLeast"/>
              <w:ind w:left="6519" w:hanging="6519"/>
              <w:rPr>
                <w:rFonts w:eastAsia="Calibri" w:cs="Times"/>
                <w:bCs/>
                <w:szCs w:val="22"/>
              </w:rPr>
            </w:pPr>
          </w:p>
          <w:p w14:paraId="71818518" w14:textId="0F8351D9" w:rsidR="0011725A" w:rsidRPr="00064185" w:rsidRDefault="0011725A" w:rsidP="00EA61D8">
            <w:pPr>
              <w:spacing w:after="40" w:line="260" w:lineRule="atLeast"/>
              <w:ind w:left="6519" w:hanging="6519"/>
              <w:rPr>
                <w:rFonts w:eastAsia="Calibri" w:cs="Times"/>
                <w:bCs/>
                <w:szCs w:val="22"/>
              </w:rPr>
            </w:pPr>
            <w:r w:rsidRPr="00064185">
              <w:rPr>
                <w:rFonts w:eastAsia="Calibri" w:cs="Times"/>
                <w:bCs/>
                <w:szCs w:val="22"/>
              </w:rPr>
              <w:t>V: User category</w:t>
            </w:r>
          </w:p>
          <w:p w14:paraId="3BE7A635" w14:textId="5A7D4004" w:rsidR="0011725A" w:rsidRPr="00064185" w:rsidRDefault="0011725A" w:rsidP="00EA61D8">
            <w:pPr>
              <w:spacing w:after="40" w:line="260" w:lineRule="atLeast"/>
              <w:ind w:left="6519" w:hanging="6519"/>
              <w:rPr>
                <w:rFonts w:eastAsia="Calibri" w:cs="Times"/>
                <w:bCs/>
                <w:szCs w:val="22"/>
              </w:rPr>
            </w:pPr>
            <w:r w:rsidRPr="00064185">
              <w:rPr>
                <w:rFonts w:eastAsia="Calibri" w:cs="Times"/>
                <w:bCs/>
                <w:szCs w:val="22"/>
              </w:rPr>
              <w:t>V.1 non-professional user / consumer</w:t>
            </w:r>
          </w:p>
          <w:p w14:paraId="120DCB46" w14:textId="77777777" w:rsidR="0011725A" w:rsidRPr="00064185" w:rsidRDefault="0011725A" w:rsidP="00EA61D8">
            <w:pPr>
              <w:spacing w:after="40" w:line="260" w:lineRule="atLeast"/>
              <w:ind w:left="6519" w:hanging="6519"/>
              <w:rPr>
                <w:rFonts w:eastAsia="Calibri" w:cs="Times"/>
                <w:bCs/>
                <w:szCs w:val="22"/>
              </w:rPr>
            </w:pPr>
          </w:p>
          <w:p w14:paraId="363BEC89" w14:textId="4E44C33D" w:rsidR="0011725A" w:rsidRPr="00064185" w:rsidRDefault="0011725A" w:rsidP="00EA61D8">
            <w:pPr>
              <w:spacing w:after="40" w:line="260" w:lineRule="atLeast"/>
              <w:ind w:left="6519" w:hanging="6519"/>
              <w:rPr>
                <w:rFonts w:eastAsia="Calibri" w:cs="Times"/>
                <w:bCs/>
                <w:szCs w:val="22"/>
              </w:rPr>
            </w:pPr>
            <w:r w:rsidRPr="00064185">
              <w:rPr>
                <w:rFonts w:eastAsia="Calibri" w:cs="Times"/>
                <w:bCs/>
                <w:szCs w:val="22"/>
              </w:rPr>
              <w:t>VI: Method of application</w:t>
            </w:r>
          </w:p>
          <w:p w14:paraId="25DB4438" w14:textId="7BBDA59E" w:rsidR="0011725A" w:rsidRPr="00064185" w:rsidRDefault="0011725A" w:rsidP="00EA61D8">
            <w:pPr>
              <w:spacing w:after="40" w:line="260" w:lineRule="atLeast"/>
              <w:ind w:left="6519" w:hanging="6519"/>
              <w:rPr>
                <w:rFonts w:eastAsia="Calibri" w:cs="Times"/>
                <w:bCs/>
                <w:szCs w:val="22"/>
              </w:rPr>
            </w:pPr>
            <w:r w:rsidRPr="00064185">
              <w:rPr>
                <w:rFonts w:eastAsia="Calibri" w:cs="Times"/>
                <w:bCs/>
                <w:szCs w:val="22"/>
              </w:rPr>
              <w:t xml:space="preserve">VI a Method: </w:t>
            </w:r>
          </w:p>
          <w:p w14:paraId="67D4F03C" w14:textId="35878952" w:rsidR="0011725A" w:rsidRPr="00064185" w:rsidRDefault="0011725A" w:rsidP="00EA61D8">
            <w:pPr>
              <w:spacing w:after="40" w:line="260" w:lineRule="atLeast"/>
              <w:ind w:left="6519" w:hanging="6519"/>
              <w:rPr>
                <w:rFonts w:eastAsia="Calibri" w:cs="Times"/>
                <w:bCs/>
                <w:szCs w:val="22"/>
              </w:rPr>
            </w:pPr>
            <w:r w:rsidRPr="00064185">
              <w:rPr>
                <w:rFonts w:eastAsia="Calibri" w:cs="Times"/>
                <w:bCs/>
                <w:szCs w:val="22"/>
              </w:rPr>
              <w:t xml:space="preserve">VI.1 Spraying </w:t>
            </w:r>
          </w:p>
          <w:p w14:paraId="6A78B542" w14:textId="6F110A1B" w:rsidR="0011725A" w:rsidRPr="00064185" w:rsidRDefault="0011725A" w:rsidP="00EA61D8">
            <w:pPr>
              <w:spacing w:after="40" w:line="260" w:lineRule="atLeast"/>
              <w:ind w:left="6519" w:hanging="6519"/>
              <w:rPr>
                <w:rFonts w:eastAsia="Calibri" w:cs="Times"/>
                <w:bCs/>
                <w:szCs w:val="22"/>
              </w:rPr>
            </w:pPr>
            <w:r w:rsidRPr="00064185">
              <w:rPr>
                <w:rFonts w:eastAsia="Calibri" w:cs="Times"/>
                <w:bCs/>
                <w:szCs w:val="22"/>
              </w:rPr>
              <w:t>VI.1.1 Surface Spraying</w:t>
            </w:r>
          </w:p>
          <w:p w14:paraId="2BABF06C" w14:textId="77777777" w:rsidR="0011725A" w:rsidRPr="00064185" w:rsidRDefault="0011725A" w:rsidP="00EA61D8">
            <w:pPr>
              <w:spacing w:after="40" w:line="260" w:lineRule="atLeast"/>
              <w:ind w:left="6519" w:hanging="6519"/>
              <w:rPr>
                <w:rFonts w:eastAsia="Calibri" w:cs="Times"/>
                <w:bCs/>
                <w:szCs w:val="22"/>
              </w:rPr>
            </w:pPr>
          </w:p>
          <w:p w14:paraId="7E332CB5" w14:textId="0E79D509" w:rsidR="0011725A" w:rsidRPr="00064185" w:rsidRDefault="0011725A" w:rsidP="00EA61D8">
            <w:pPr>
              <w:spacing w:after="40" w:line="260" w:lineRule="atLeast"/>
              <w:ind w:left="6519" w:hanging="6519"/>
              <w:rPr>
                <w:rFonts w:eastAsia="Calibri" w:cs="Times"/>
                <w:bCs/>
                <w:szCs w:val="22"/>
              </w:rPr>
            </w:pPr>
            <w:r w:rsidRPr="00064185">
              <w:rPr>
                <w:rFonts w:eastAsia="Calibri" w:cs="Times"/>
                <w:bCs/>
                <w:szCs w:val="22"/>
              </w:rPr>
              <w:t>VII: Application aim</w:t>
            </w:r>
          </w:p>
          <w:p w14:paraId="72EE6128" w14:textId="720B257D" w:rsidR="0011725A" w:rsidRPr="00064185" w:rsidRDefault="0011725A" w:rsidP="00EA61D8">
            <w:pPr>
              <w:spacing w:after="40" w:line="260" w:lineRule="atLeast"/>
              <w:ind w:left="6519" w:hanging="6519"/>
              <w:rPr>
                <w:rFonts w:eastAsia="Calibri" w:cs="Times"/>
                <w:bCs/>
                <w:szCs w:val="22"/>
              </w:rPr>
            </w:pPr>
            <w:r w:rsidRPr="00064185">
              <w:rPr>
                <w:rFonts w:eastAsia="Calibri" w:cs="Times"/>
                <w:bCs/>
                <w:szCs w:val="22"/>
              </w:rPr>
              <w:t>VII.2 Health protection</w:t>
            </w:r>
          </w:p>
          <w:p w14:paraId="30AA250C" w14:textId="77777777" w:rsidR="0011725A" w:rsidRPr="00064185" w:rsidRDefault="0011725A" w:rsidP="00EA61D8">
            <w:pPr>
              <w:spacing w:after="40" w:line="260" w:lineRule="atLeast"/>
              <w:ind w:left="6519" w:hanging="6519"/>
              <w:rPr>
                <w:rFonts w:eastAsia="Calibri" w:cs="Times"/>
                <w:bCs/>
                <w:szCs w:val="22"/>
              </w:rPr>
            </w:pPr>
          </w:p>
          <w:p w14:paraId="0A5C01EC" w14:textId="3051C0B0" w:rsidR="0011725A" w:rsidRPr="00064185" w:rsidRDefault="0011725A" w:rsidP="00EA61D8">
            <w:pPr>
              <w:spacing w:after="40" w:line="260" w:lineRule="atLeast"/>
              <w:ind w:left="6519" w:hanging="6519"/>
              <w:rPr>
                <w:rFonts w:eastAsia="Calibri" w:cs="Times"/>
                <w:bCs/>
                <w:szCs w:val="22"/>
              </w:rPr>
            </w:pPr>
            <w:r w:rsidRPr="00064185">
              <w:rPr>
                <w:rFonts w:eastAsia="Calibri" w:cs="Times"/>
                <w:bCs/>
                <w:szCs w:val="22"/>
              </w:rPr>
              <w:t>VIII: Type of formulation</w:t>
            </w:r>
          </w:p>
          <w:p w14:paraId="024D44F1" w14:textId="52465CDA" w:rsidR="0011725A" w:rsidRPr="00064185" w:rsidRDefault="0011725A" w:rsidP="00EA61D8">
            <w:pPr>
              <w:spacing w:after="40" w:line="260" w:lineRule="atLeast"/>
              <w:ind w:left="6519" w:hanging="6519"/>
              <w:rPr>
                <w:rFonts w:eastAsia="Calibri" w:cs="Times"/>
                <w:bCs/>
                <w:szCs w:val="22"/>
              </w:rPr>
            </w:pPr>
            <w:r w:rsidRPr="00064185">
              <w:rPr>
                <w:rFonts w:eastAsia="Calibri" w:cs="Times"/>
                <w:bCs/>
                <w:szCs w:val="22"/>
              </w:rPr>
              <w:t xml:space="preserve">VIII 3.2 Ready-for-use </w:t>
            </w:r>
          </w:p>
          <w:p w14:paraId="1915DEF5" w14:textId="41C0A9BD" w:rsidR="00E006B2" w:rsidRPr="00064185" w:rsidRDefault="0011725A" w:rsidP="00EA61D8">
            <w:pPr>
              <w:spacing w:after="40" w:line="260" w:lineRule="atLeast"/>
              <w:ind w:left="6519" w:hanging="6519"/>
              <w:rPr>
                <w:rFonts w:eastAsia="Calibri" w:cs="Times"/>
                <w:bCs/>
                <w:szCs w:val="22"/>
              </w:rPr>
            </w:pPr>
            <w:r w:rsidRPr="00064185">
              <w:rPr>
                <w:rFonts w:eastAsia="Calibri" w:cs="Times"/>
                <w:bCs/>
                <w:szCs w:val="22"/>
              </w:rPr>
              <w:t>VIII 3.2.1 Suspension / capsule suspension CS</w:t>
            </w:r>
          </w:p>
        </w:tc>
      </w:tr>
    </w:tbl>
    <w:p w14:paraId="4CC5DA80" w14:textId="77777777" w:rsidR="00BB4E20" w:rsidRPr="00064185" w:rsidRDefault="00BB4E20" w:rsidP="00EA61D8">
      <w:pPr>
        <w:pStyle w:val="berschrift2"/>
        <w:rPr>
          <w:color w:val="auto"/>
          <w:lang w:val="en-GB"/>
        </w:rPr>
        <w:sectPr w:rsidR="00BB4E20" w:rsidRPr="00064185" w:rsidSect="005555A8">
          <w:headerReference w:type="default" r:id="rId16"/>
          <w:footerReference w:type="default" r:id="rId17"/>
          <w:footerReference w:type="first" r:id="rId18"/>
          <w:endnotePr>
            <w:numFmt w:val="decimal"/>
          </w:endnotePr>
          <w:pgSz w:w="11907" w:h="16840" w:code="9"/>
          <w:pgMar w:top="1474" w:right="1247" w:bottom="2013" w:left="1446" w:header="850" w:footer="850" w:gutter="0"/>
          <w:cols w:space="720"/>
          <w:titlePg/>
          <w:docGrid w:linePitch="272"/>
        </w:sectPr>
      </w:pPr>
      <w:bookmarkStart w:id="986" w:name="_Toc389728912"/>
      <w:bookmarkEnd w:id="985"/>
    </w:p>
    <w:p w14:paraId="5D5C340B" w14:textId="77777777" w:rsidR="00A53EE0" w:rsidRPr="00064185" w:rsidRDefault="00A53EE0" w:rsidP="00EA61D8">
      <w:pPr>
        <w:pStyle w:val="berschrift2"/>
        <w:rPr>
          <w:color w:val="auto"/>
        </w:rPr>
      </w:pPr>
      <w:bookmarkStart w:id="987" w:name="_Toc440879647"/>
      <w:bookmarkStart w:id="988" w:name="_Toc440889960"/>
      <w:bookmarkStart w:id="989" w:name="_Toc530563665"/>
      <w:r w:rsidRPr="00064185">
        <w:rPr>
          <w:color w:val="auto"/>
        </w:rPr>
        <w:lastRenderedPageBreak/>
        <w:t>Assessment of the biocidal product</w:t>
      </w:r>
      <w:bookmarkEnd w:id="986"/>
      <w:bookmarkEnd w:id="987"/>
      <w:bookmarkEnd w:id="988"/>
      <w:bookmarkEnd w:id="989"/>
    </w:p>
    <w:p w14:paraId="35457824" w14:textId="77777777" w:rsidR="00A53EE0" w:rsidRPr="00064185" w:rsidRDefault="00A53EE0" w:rsidP="00EA61D8">
      <w:pPr>
        <w:pStyle w:val="berschrift3"/>
        <w:rPr>
          <w:rFonts w:eastAsia="Calibri"/>
        </w:rPr>
      </w:pPr>
      <w:bookmarkStart w:id="990" w:name="_Toc387245157"/>
      <w:bookmarkStart w:id="991" w:name="_Toc388285159"/>
      <w:bookmarkStart w:id="992" w:name="_Toc388374250"/>
      <w:bookmarkStart w:id="993" w:name="_Toc388609953"/>
      <w:bookmarkStart w:id="994" w:name="_Toc388624987"/>
      <w:bookmarkStart w:id="995" w:name="_Toc388625241"/>
      <w:bookmarkStart w:id="996" w:name="_Toc388633642"/>
      <w:bookmarkStart w:id="997" w:name="_Toc389725131"/>
      <w:bookmarkStart w:id="998" w:name="_Toc389726067"/>
      <w:bookmarkStart w:id="999" w:name="_Toc389727119"/>
      <w:bookmarkStart w:id="1000" w:name="_Toc389727477"/>
      <w:bookmarkStart w:id="1001" w:name="_Toc389727836"/>
      <w:bookmarkStart w:id="1002" w:name="_Toc389728195"/>
      <w:bookmarkStart w:id="1003" w:name="_Toc389728555"/>
      <w:bookmarkStart w:id="1004" w:name="_Toc389728913"/>
      <w:bookmarkStart w:id="1005" w:name="_Toc389748638"/>
      <w:bookmarkStart w:id="1006" w:name="_Toc389750053"/>
      <w:bookmarkStart w:id="1007" w:name="_Toc389807235"/>
      <w:bookmarkStart w:id="1008" w:name="_Toc389807491"/>
      <w:bookmarkStart w:id="1009" w:name="_Toc389807857"/>
      <w:bookmarkStart w:id="1010" w:name="_Toc388285160"/>
      <w:bookmarkStart w:id="1011" w:name="_Toc389726068"/>
      <w:bookmarkStart w:id="1012" w:name="_Toc389727120"/>
      <w:bookmarkStart w:id="1013" w:name="_Toc389727478"/>
      <w:bookmarkStart w:id="1014" w:name="_Toc389727837"/>
      <w:bookmarkStart w:id="1015" w:name="_Toc389728196"/>
      <w:bookmarkStart w:id="1016" w:name="_Toc389728556"/>
      <w:bookmarkStart w:id="1017" w:name="_Toc389728914"/>
      <w:bookmarkStart w:id="1018" w:name="_Toc388285161"/>
      <w:bookmarkStart w:id="1019" w:name="_Toc388374252"/>
      <w:bookmarkStart w:id="1020" w:name="_Toc388609955"/>
      <w:bookmarkStart w:id="1021" w:name="_Toc388624989"/>
      <w:bookmarkStart w:id="1022" w:name="_Toc388625243"/>
      <w:bookmarkStart w:id="1023" w:name="_Toc388633644"/>
      <w:bookmarkStart w:id="1024" w:name="_Toc389725133"/>
      <w:bookmarkStart w:id="1025" w:name="_Toc389726069"/>
      <w:bookmarkStart w:id="1026" w:name="_Toc389727121"/>
      <w:bookmarkStart w:id="1027" w:name="_Toc389727479"/>
      <w:bookmarkStart w:id="1028" w:name="_Toc389727838"/>
      <w:bookmarkStart w:id="1029" w:name="_Toc389728197"/>
      <w:bookmarkStart w:id="1030" w:name="_Toc389728557"/>
      <w:bookmarkStart w:id="1031" w:name="_Toc389728915"/>
      <w:bookmarkStart w:id="1032" w:name="_Toc389748640"/>
      <w:bookmarkStart w:id="1033" w:name="_Toc389750055"/>
      <w:bookmarkStart w:id="1034" w:name="_Toc389807237"/>
      <w:bookmarkStart w:id="1035" w:name="_Toc389807493"/>
      <w:bookmarkStart w:id="1036" w:name="_Toc389807859"/>
      <w:bookmarkStart w:id="1037" w:name="_Toc388285162"/>
      <w:bookmarkStart w:id="1038" w:name="_Toc389726070"/>
      <w:bookmarkStart w:id="1039" w:name="_Toc389727122"/>
      <w:bookmarkStart w:id="1040" w:name="_Toc389727480"/>
      <w:bookmarkStart w:id="1041" w:name="_Toc389727839"/>
      <w:bookmarkStart w:id="1042" w:name="_Toc389728198"/>
      <w:bookmarkStart w:id="1043" w:name="_Toc389728558"/>
      <w:bookmarkStart w:id="1044" w:name="_Toc389728916"/>
      <w:bookmarkStart w:id="1045" w:name="_Toc388285164"/>
      <w:bookmarkStart w:id="1046" w:name="_Toc389726072"/>
      <w:bookmarkStart w:id="1047" w:name="_Toc389727124"/>
      <w:bookmarkStart w:id="1048" w:name="_Toc389727482"/>
      <w:bookmarkStart w:id="1049" w:name="_Toc389727841"/>
      <w:bookmarkStart w:id="1050" w:name="_Toc389728200"/>
      <w:bookmarkStart w:id="1051" w:name="_Toc389728560"/>
      <w:bookmarkStart w:id="1052" w:name="_Toc389728918"/>
      <w:bookmarkStart w:id="1053" w:name="_Toc388285165"/>
      <w:bookmarkStart w:id="1054" w:name="_Toc389726073"/>
      <w:bookmarkStart w:id="1055" w:name="_Toc389727125"/>
      <w:bookmarkStart w:id="1056" w:name="_Toc389727483"/>
      <w:bookmarkStart w:id="1057" w:name="_Toc389727842"/>
      <w:bookmarkStart w:id="1058" w:name="_Toc389728201"/>
      <w:bookmarkStart w:id="1059" w:name="_Toc389728561"/>
      <w:bookmarkStart w:id="1060" w:name="_Toc389728919"/>
      <w:bookmarkStart w:id="1061" w:name="_Toc388285167"/>
      <w:bookmarkStart w:id="1062" w:name="_Toc389726075"/>
      <w:bookmarkStart w:id="1063" w:name="_Toc389727127"/>
      <w:bookmarkStart w:id="1064" w:name="_Toc389727485"/>
      <w:bookmarkStart w:id="1065" w:name="_Toc389727844"/>
      <w:bookmarkStart w:id="1066" w:name="_Toc389728203"/>
      <w:bookmarkStart w:id="1067" w:name="_Toc389728563"/>
      <w:bookmarkStart w:id="1068" w:name="_Toc389728921"/>
      <w:bookmarkStart w:id="1069" w:name="_Toc388285168"/>
      <w:bookmarkStart w:id="1070" w:name="_Toc389726076"/>
      <w:bookmarkStart w:id="1071" w:name="_Toc389727128"/>
      <w:bookmarkStart w:id="1072" w:name="_Toc389727486"/>
      <w:bookmarkStart w:id="1073" w:name="_Toc389727845"/>
      <w:bookmarkStart w:id="1074" w:name="_Toc389728204"/>
      <w:bookmarkStart w:id="1075" w:name="_Toc389728564"/>
      <w:bookmarkStart w:id="1076" w:name="_Toc389728922"/>
      <w:bookmarkStart w:id="1077" w:name="_Toc388285170"/>
      <w:bookmarkStart w:id="1078" w:name="_Toc389726078"/>
      <w:bookmarkStart w:id="1079" w:name="_Toc389727130"/>
      <w:bookmarkStart w:id="1080" w:name="_Toc389727488"/>
      <w:bookmarkStart w:id="1081" w:name="_Toc389727847"/>
      <w:bookmarkStart w:id="1082" w:name="_Toc389728206"/>
      <w:bookmarkStart w:id="1083" w:name="_Toc389728566"/>
      <w:bookmarkStart w:id="1084" w:name="_Toc389728924"/>
      <w:bookmarkStart w:id="1085" w:name="_Toc388285171"/>
      <w:bookmarkStart w:id="1086" w:name="_Toc389726079"/>
      <w:bookmarkStart w:id="1087" w:name="_Toc389727131"/>
      <w:bookmarkStart w:id="1088" w:name="_Toc389727489"/>
      <w:bookmarkStart w:id="1089" w:name="_Toc389727848"/>
      <w:bookmarkStart w:id="1090" w:name="_Toc389728207"/>
      <w:bookmarkStart w:id="1091" w:name="_Toc389728567"/>
      <w:bookmarkStart w:id="1092" w:name="_Toc389728925"/>
      <w:bookmarkStart w:id="1093" w:name="_Toc388285179"/>
      <w:bookmarkStart w:id="1094" w:name="_Toc389726087"/>
      <w:bookmarkStart w:id="1095" w:name="_Toc389727139"/>
      <w:bookmarkStart w:id="1096" w:name="_Toc389727497"/>
      <w:bookmarkStart w:id="1097" w:name="_Toc389727856"/>
      <w:bookmarkStart w:id="1098" w:name="_Toc389728215"/>
      <w:bookmarkStart w:id="1099" w:name="_Toc389728575"/>
      <w:bookmarkStart w:id="1100" w:name="_Toc389728933"/>
      <w:bookmarkStart w:id="1101" w:name="_Toc388285186"/>
      <w:bookmarkStart w:id="1102" w:name="_Toc389726094"/>
      <w:bookmarkStart w:id="1103" w:name="_Toc389727146"/>
      <w:bookmarkStart w:id="1104" w:name="_Toc389727504"/>
      <w:bookmarkStart w:id="1105" w:name="_Toc389727863"/>
      <w:bookmarkStart w:id="1106" w:name="_Toc389728222"/>
      <w:bookmarkStart w:id="1107" w:name="_Toc389728582"/>
      <w:bookmarkStart w:id="1108" w:name="_Toc389728940"/>
      <w:bookmarkStart w:id="1109" w:name="_Toc388285193"/>
      <w:bookmarkStart w:id="1110" w:name="_Toc389726101"/>
      <w:bookmarkStart w:id="1111" w:name="_Toc389727153"/>
      <w:bookmarkStart w:id="1112" w:name="_Toc389727511"/>
      <w:bookmarkStart w:id="1113" w:name="_Toc389727870"/>
      <w:bookmarkStart w:id="1114" w:name="_Toc389728229"/>
      <w:bookmarkStart w:id="1115" w:name="_Toc389728589"/>
      <w:bookmarkStart w:id="1116" w:name="_Toc389728947"/>
      <w:bookmarkStart w:id="1117" w:name="_Toc388285200"/>
      <w:bookmarkStart w:id="1118" w:name="_Toc389726108"/>
      <w:bookmarkStart w:id="1119" w:name="_Toc389727160"/>
      <w:bookmarkStart w:id="1120" w:name="_Toc389727518"/>
      <w:bookmarkStart w:id="1121" w:name="_Toc389727877"/>
      <w:bookmarkStart w:id="1122" w:name="_Toc389728236"/>
      <w:bookmarkStart w:id="1123" w:name="_Toc389728596"/>
      <w:bookmarkStart w:id="1124" w:name="_Toc389728954"/>
      <w:bookmarkStart w:id="1125" w:name="_Toc388285207"/>
      <w:bookmarkStart w:id="1126" w:name="_Toc389726115"/>
      <w:bookmarkStart w:id="1127" w:name="_Toc389727167"/>
      <w:bookmarkStart w:id="1128" w:name="_Toc389727525"/>
      <w:bookmarkStart w:id="1129" w:name="_Toc389727884"/>
      <w:bookmarkStart w:id="1130" w:name="_Toc389728243"/>
      <w:bookmarkStart w:id="1131" w:name="_Toc389728603"/>
      <w:bookmarkStart w:id="1132" w:name="_Toc389728961"/>
      <w:bookmarkStart w:id="1133" w:name="_Toc388285208"/>
      <w:bookmarkStart w:id="1134" w:name="_Toc389726116"/>
      <w:bookmarkStart w:id="1135" w:name="_Toc389727168"/>
      <w:bookmarkStart w:id="1136" w:name="_Toc389727526"/>
      <w:bookmarkStart w:id="1137" w:name="_Toc389727885"/>
      <w:bookmarkStart w:id="1138" w:name="_Toc389728244"/>
      <w:bookmarkStart w:id="1139" w:name="_Toc389728604"/>
      <w:bookmarkStart w:id="1140" w:name="_Toc389728962"/>
      <w:bookmarkStart w:id="1141" w:name="_Toc388281508"/>
      <w:bookmarkStart w:id="1142" w:name="_Toc388281964"/>
      <w:bookmarkStart w:id="1143" w:name="_Toc388282446"/>
      <w:bookmarkStart w:id="1144" w:name="_Toc388282894"/>
      <w:bookmarkStart w:id="1145" w:name="_Toc388285210"/>
      <w:bookmarkStart w:id="1146" w:name="_Toc389726118"/>
      <w:bookmarkStart w:id="1147" w:name="_Toc389727170"/>
      <w:bookmarkStart w:id="1148" w:name="_Toc389727528"/>
      <w:bookmarkStart w:id="1149" w:name="_Toc389727887"/>
      <w:bookmarkStart w:id="1150" w:name="_Toc389728246"/>
      <w:bookmarkStart w:id="1151" w:name="_Toc389728606"/>
      <w:bookmarkStart w:id="1152" w:name="_Toc389728964"/>
      <w:bookmarkStart w:id="1153" w:name="_Toc388281510"/>
      <w:bookmarkStart w:id="1154" w:name="_Toc388281966"/>
      <w:bookmarkStart w:id="1155" w:name="_Toc388282448"/>
      <w:bookmarkStart w:id="1156" w:name="_Toc388282896"/>
      <w:bookmarkStart w:id="1157" w:name="_Toc388285212"/>
      <w:bookmarkStart w:id="1158" w:name="_Toc389726120"/>
      <w:bookmarkStart w:id="1159" w:name="_Toc389727172"/>
      <w:bookmarkStart w:id="1160" w:name="_Toc389727530"/>
      <w:bookmarkStart w:id="1161" w:name="_Toc389727889"/>
      <w:bookmarkStart w:id="1162" w:name="_Toc389728248"/>
      <w:bookmarkStart w:id="1163" w:name="_Toc389728608"/>
      <w:bookmarkStart w:id="1164" w:name="_Toc389728966"/>
      <w:bookmarkStart w:id="1165" w:name="_Toc388281511"/>
      <w:bookmarkStart w:id="1166" w:name="_Toc388281967"/>
      <w:bookmarkStart w:id="1167" w:name="_Toc388282449"/>
      <w:bookmarkStart w:id="1168" w:name="_Toc388282897"/>
      <w:bookmarkStart w:id="1169" w:name="_Toc388285213"/>
      <w:bookmarkStart w:id="1170" w:name="_Toc389726121"/>
      <w:bookmarkStart w:id="1171" w:name="_Toc389727173"/>
      <w:bookmarkStart w:id="1172" w:name="_Toc389727531"/>
      <w:bookmarkStart w:id="1173" w:name="_Toc389727890"/>
      <w:bookmarkStart w:id="1174" w:name="_Toc389728249"/>
      <w:bookmarkStart w:id="1175" w:name="_Toc389728609"/>
      <w:bookmarkStart w:id="1176" w:name="_Toc389728967"/>
      <w:bookmarkStart w:id="1177" w:name="_Toc388281525"/>
      <w:bookmarkStart w:id="1178" w:name="_Toc388281981"/>
      <w:bookmarkStart w:id="1179" w:name="_Toc388282463"/>
      <w:bookmarkStart w:id="1180" w:name="_Toc388282911"/>
      <w:bookmarkStart w:id="1181" w:name="_Toc388285227"/>
      <w:bookmarkStart w:id="1182" w:name="_Toc388374267"/>
      <w:bookmarkStart w:id="1183" w:name="_Toc388609970"/>
      <w:bookmarkStart w:id="1184" w:name="_Toc388625004"/>
      <w:bookmarkStart w:id="1185" w:name="_Toc388625258"/>
      <w:bookmarkStart w:id="1186" w:name="_Toc388633659"/>
      <w:bookmarkStart w:id="1187" w:name="_Toc389725148"/>
      <w:bookmarkStart w:id="1188" w:name="_Toc389726135"/>
      <w:bookmarkStart w:id="1189" w:name="_Toc389727187"/>
      <w:bookmarkStart w:id="1190" w:name="_Toc389727545"/>
      <w:bookmarkStart w:id="1191" w:name="_Toc389727904"/>
      <w:bookmarkStart w:id="1192" w:name="_Toc389728263"/>
      <w:bookmarkStart w:id="1193" w:name="_Toc389728623"/>
      <w:bookmarkStart w:id="1194" w:name="_Toc389728981"/>
      <w:bookmarkStart w:id="1195" w:name="_Toc389748652"/>
      <w:bookmarkStart w:id="1196" w:name="_Toc389750067"/>
      <w:bookmarkStart w:id="1197" w:name="_Toc389807249"/>
      <w:bookmarkStart w:id="1198" w:name="_Toc389807505"/>
      <w:bookmarkStart w:id="1199" w:name="_Toc389807871"/>
      <w:bookmarkStart w:id="1200" w:name="_Toc388281534"/>
      <w:bookmarkStart w:id="1201" w:name="_Toc388281990"/>
      <w:bookmarkStart w:id="1202" w:name="_Toc388282472"/>
      <w:bookmarkStart w:id="1203" w:name="_Toc388282920"/>
      <w:bookmarkStart w:id="1204" w:name="_Toc388285236"/>
      <w:bookmarkStart w:id="1205" w:name="_Toc388374275"/>
      <w:bookmarkStart w:id="1206" w:name="_Toc388609978"/>
      <w:bookmarkStart w:id="1207" w:name="_Toc388625012"/>
      <w:bookmarkStart w:id="1208" w:name="_Toc388625266"/>
      <w:bookmarkStart w:id="1209" w:name="_Toc388633667"/>
      <w:bookmarkStart w:id="1210" w:name="_Toc389725156"/>
      <w:bookmarkStart w:id="1211" w:name="_Toc389726144"/>
      <w:bookmarkStart w:id="1212" w:name="_Toc389727196"/>
      <w:bookmarkStart w:id="1213" w:name="_Toc389727554"/>
      <w:bookmarkStart w:id="1214" w:name="_Toc389727913"/>
      <w:bookmarkStart w:id="1215" w:name="_Toc389728272"/>
      <w:bookmarkStart w:id="1216" w:name="_Toc389728632"/>
      <w:bookmarkStart w:id="1217" w:name="_Toc389728990"/>
      <w:bookmarkStart w:id="1218" w:name="_Toc389748660"/>
      <w:bookmarkStart w:id="1219" w:name="_Toc389750075"/>
      <w:bookmarkStart w:id="1220" w:name="_Toc389807257"/>
      <w:bookmarkStart w:id="1221" w:name="_Toc389807513"/>
      <w:bookmarkStart w:id="1222" w:name="_Toc389807879"/>
      <w:bookmarkStart w:id="1223" w:name="_Toc388281535"/>
      <w:bookmarkStart w:id="1224" w:name="_Toc388281991"/>
      <w:bookmarkStart w:id="1225" w:name="_Toc388282473"/>
      <w:bookmarkStart w:id="1226" w:name="_Toc388282921"/>
      <w:bookmarkStart w:id="1227" w:name="_Toc388285237"/>
      <w:bookmarkStart w:id="1228" w:name="_Toc388374276"/>
      <w:bookmarkStart w:id="1229" w:name="_Toc388609979"/>
      <w:bookmarkStart w:id="1230" w:name="_Toc388625013"/>
      <w:bookmarkStart w:id="1231" w:name="_Toc388625267"/>
      <w:bookmarkStart w:id="1232" w:name="_Toc388633668"/>
      <w:bookmarkStart w:id="1233" w:name="_Toc389725157"/>
      <w:bookmarkStart w:id="1234" w:name="_Toc389726145"/>
      <w:bookmarkStart w:id="1235" w:name="_Toc389727197"/>
      <w:bookmarkStart w:id="1236" w:name="_Toc389727555"/>
      <w:bookmarkStart w:id="1237" w:name="_Toc389727914"/>
      <w:bookmarkStart w:id="1238" w:name="_Toc389728273"/>
      <w:bookmarkStart w:id="1239" w:name="_Toc389728633"/>
      <w:bookmarkStart w:id="1240" w:name="_Toc389728991"/>
      <w:bookmarkStart w:id="1241" w:name="_Toc389748661"/>
      <w:bookmarkStart w:id="1242" w:name="_Toc389750076"/>
      <w:bookmarkStart w:id="1243" w:name="_Toc389807258"/>
      <w:bookmarkStart w:id="1244" w:name="_Toc389807514"/>
      <w:bookmarkStart w:id="1245" w:name="_Toc389807880"/>
      <w:bookmarkStart w:id="1246" w:name="_Toc388281536"/>
      <w:bookmarkStart w:id="1247" w:name="_Toc388281992"/>
      <w:bookmarkStart w:id="1248" w:name="_Toc388282474"/>
      <w:bookmarkStart w:id="1249" w:name="_Toc388282922"/>
      <w:bookmarkStart w:id="1250" w:name="_Toc388285238"/>
      <w:bookmarkStart w:id="1251" w:name="_Toc389726146"/>
      <w:bookmarkStart w:id="1252" w:name="_Toc389727198"/>
      <w:bookmarkStart w:id="1253" w:name="_Toc389727556"/>
      <w:bookmarkStart w:id="1254" w:name="_Toc389727915"/>
      <w:bookmarkStart w:id="1255" w:name="_Toc389728274"/>
      <w:bookmarkStart w:id="1256" w:name="_Toc389728634"/>
      <w:bookmarkStart w:id="1257" w:name="_Toc389728992"/>
      <w:bookmarkStart w:id="1258" w:name="_Toc388281548"/>
      <w:bookmarkStart w:id="1259" w:name="_Toc388282004"/>
      <w:bookmarkStart w:id="1260" w:name="_Toc388282486"/>
      <w:bookmarkStart w:id="1261" w:name="_Toc388282934"/>
      <w:bookmarkStart w:id="1262" w:name="_Toc388285250"/>
      <w:bookmarkStart w:id="1263" w:name="_Toc388374287"/>
      <w:bookmarkStart w:id="1264" w:name="_Toc388609990"/>
      <w:bookmarkStart w:id="1265" w:name="_Toc388625024"/>
      <w:bookmarkStart w:id="1266" w:name="_Toc388625278"/>
      <w:bookmarkStart w:id="1267" w:name="_Toc388633679"/>
      <w:bookmarkStart w:id="1268" w:name="_Toc389725168"/>
      <w:bookmarkStart w:id="1269" w:name="_Toc389726158"/>
      <w:bookmarkStart w:id="1270" w:name="_Toc389727210"/>
      <w:bookmarkStart w:id="1271" w:name="_Toc389727568"/>
      <w:bookmarkStart w:id="1272" w:name="_Toc389727927"/>
      <w:bookmarkStart w:id="1273" w:name="_Toc389728286"/>
      <w:bookmarkStart w:id="1274" w:name="_Toc389728646"/>
      <w:bookmarkStart w:id="1275" w:name="_Toc389729004"/>
      <w:bookmarkStart w:id="1276" w:name="_Toc389748672"/>
      <w:bookmarkStart w:id="1277" w:name="_Toc389750087"/>
      <w:bookmarkStart w:id="1278" w:name="_Toc389807269"/>
      <w:bookmarkStart w:id="1279" w:name="_Toc389807525"/>
      <w:bookmarkStart w:id="1280" w:name="_Toc389807891"/>
      <w:bookmarkStart w:id="1281" w:name="_Toc388281555"/>
      <w:bookmarkStart w:id="1282" w:name="_Toc388282011"/>
      <w:bookmarkStart w:id="1283" w:name="_Toc388282493"/>
      <w:bookmarkStart w:id="1284" w:name="_Toc388282941"/>
      <w:bookmarkStart w:id="1285" w:name="_Toc388285257"/>
      <w:bookmarkStart w:id="1286" w:name="_Toc388374293"/>
      <w:bookmarkStart w:id="1287" w:name="_Toc388609996"/>
      <w:bookmarkStart w:id="1288" w:name="_Toc388625030"/>
      <w:bookmarkStart w:id="1289" w:name="_Toc388625284"/>
      <w:bookmarkStart w:id="1290" w:name="_Toc388633685"/>
      <w:bookmarkStart w:id="1291" w:name="_Toc389725174"/>
      <w:bookmarkStart w:id="1292" w:name="_Toc389726165"/>
      <w:bookmarkStart w:id="1293" w:name="_Toc389727217"/>
      <w:bookmarkStart w:id="1294" w:name="_Toc389727575"/>
      <w:bookmarkStart w:id="1295" w:name="_Toc389727934"/>
      <w:bookmarkStart w:id="1296" w:name="_Toc389728293"/>
      <w:bookmarkStart w:id="1297" w:name="_Toc389728653"/>
      <w:bookmarkStart w:id="1298" w:name="_Toc389729011"/>
      <w:bookmarkStart w:id="1299" w:name="_Toc389748678"/>
      <w:bookmarkStart w:id="1300" w:name="_Toc389750093"/>
      <w:bookmarkStart w:id="1301" w:name="_Toc389807275"/>
      <w:bookmarkStart w:id="1302" w:name="_Toc389807531"/>
      <w:bookmarkStart w:id="1303" w:name="_Toc389807897"/>
      <w:bookmarkStart w:id="1304" w:name="_Toc388281556"/>
      <w:bookmarkStart w:id="1305" w:name="_Toc388282012"/>
      <w:bookmarkStart w:id="1306" w:name="_Toc388282494"/>
      <w:bookmarkStart w:id="1307" w:name="_Toc388282942"/>
      <w:bookmarkStart w:id="1308" w:name="_Toc388285258"/>
      <w:bookmarkStart w:id="1309" w:name="_Toc388374294"/>
      <w:bookmarkStart w:id="1310" w:name="_Toc388609997"/>
      <w:bookmarkStart w:id="1311" w:name="_Toc388625031"/>
      <w:bookmarkStart w:id="1312" w:name="_Toc388625285"/>
      <w:bookmarkStart w:id="1313" w:name="_Toc388633686"/>
      <w:bookmarkStart w:id="1314" w:name="_Toc389725175"/>
      <w:bookmarkStart w:id="1315" w:name="_Toc389726166"/>
      <w:bookmarkStart w:id="1316" w:name="_Toc389727218"/>
      <w:bookmarkStart w:id="1317" w:name="_Toc389727576"/>
      <w:bookmarkStart w:id="1318" w:name="_Toc389727935"/>
      <w:bookmarkStart w:id="1319" w:name="_Toc389728294"/>
      <w:bookmarkStart w:id="1320" w:name="_Toc389728654"/>
      <w:bookmarkStart w:id="1321" w:name="_Toc389729012"/>
      <w:bookmarkStart w:id="1322" w:name="_Toc389748679"/>
      <w:bookmarkStart w:id="1323" w:name="_Toc389750094"/>
      <w:bookmarkStart w:id="1324" w:name="_Toc389807276"/>
      <w:bookmarkStart w:id="1325" w:name="_Toc389807532"/>
      <w:bookmarkStart w:id="1326" w:name="_Toc389807898"/>
      <w:bookmarkStart w:id="1327" w:name="_Toc388281557"/>
      <w:bookmarkStart w:id="1328" w:name="_Toc388282013"/>
      <w:bookmarkStart w:id="1329" w:name="_Toc388282495"/>
      <w:bookmarkStart w:id="1330" w:name="_Toc388282943"/>
      <w:bookmarkStart w:id="1331" w:name="_Toc388285259"/>
      <w:bookmarkStart w:id="1332" w:name="_Toc389726167"/>
      <w:bookmarkStart w:id="1333" w:name="_Toc389727219"/>
      <w:bookmarkStart w:id="1334" w:name="_Toc389727577"/>
      <w:bookmarkStart w:id="1335" w:name="_Toc389727936"/>
      <w:bookmarkStart w:id="1336" w:name="_Toc389728295"/>
      <w:bookmarkStart w:id="1337" w:name="_Toc389728655"/>
      <w:bookmarkStart w:id="1338" w:name="_Toc389729013"/>
      <w:bookmarkStart w:id="1339" w:name="_Toc388281565"/>
      <w:bookmarkStart w:id="1340" w:name="_Toc388282021"/>
      <w:bookmarkStart w:id="1341" w:name="_Toc388282503"/>
      <w:bookmarkStart w:id="1342" w:name="_Toc388282951"/>
      <w:bookmarkStart w:id="1343" w:name="_Toc388285267"/>
      <w:bookmarkStart w:id="1344" w:name="_Toc388374302"/>
      <w:bookmarkStart w:id="1345" w:name="_Toc388610005"/>
      <w:bookmarkStart w:id="1346" w:name="_Toc388625039"/>
      <w:bookmarkStart w:id="1347" w:name="_Toc388625293"/>
      <w:bookmarkStart w:id="1348" w:name="_Toc388633694"/>
      <w:bookmarkStart w:id="1349" w:name="_Toc389725183"/>
      <w:bookmarkStart w:id="1350" w:name="_Toc389726175"/>
      <w:bookmarkStart w:id="1351" w:name="_Toc389727227"/>
      <w:bookmarkStart w:id="1352" w:name="_Toc389727585"/>
      <w:bookmarkStart w:id="1353" w:name="_Toc389727944"/>
      <w:bookmarkStart w:id="1354" w:name="_Toc389728303"/>
      <w:bookmarkStart w:id="1355" w:name="_Toc389728663"/>
      <w:bookmarkStart w:id="1356" w:name="_Toc389729021"/>
      <w:bookmarkStart w:id="1357" w:name="_Toc389748687"/>
      <w:bookmarkStart w:id="1358" w:name="_Toc389750102"/>
      <w:bookmarkStart w:id="1359" w:name="_Toc389807284"/>
      <w:bookmarkStart w:id="1360" w:name="_Toc389807540"/>
      <w:bookmarkStart w:id="1361" w:name="_Toc389807906"/>
      <w:bookmarkStart w:id="1362" w:name="_Toc388281572"/>
      <w:bookmarkStart w:id="1363" w:name="_Toc388282028"/>
      <w:bookmarkStart w:id="1364" w:name="_Toc388282510"/>
      <w:bookmarkStart w:id="1365" w:name="_Toc388282958"/>
      <w:bookmarkStart w:id="1366" w:name="_Toc388285274"/>
      <w:bookmarkStart w:id="1367" w:name="_Toc388374308"/>
      <w:bookmarkStart w:id="1368" w:name="_Toc388610011"/>
      <w:bookmarkStart w:id="1369" w:name="_Toc388625045"/>
      <w:bookmarkStart w:id="1370" w:name="_Toc388625299"/>
      <w:bookmarkStart w:id="1371" w:name="_Toc388633700"/>
      <w:bookmarkStart w:id="1372" w:name="_Toc377649016"/>
      <w:bookmarkStart w:id="1373" w:name="_Toc377650869"/>
      <w:bookmarkStart w:id="1374" w:name="_Toc377650996"/>
      <w:bookmarkStart w:id="1375" w:name="_Toc377653265"/>
      <w:bookmarkStart w:id="1376" w:name="_Toc378351569"/>
      <w:bookmarkStart w:id="1377" w:name="_Toc378681318"/>
      <w:bookmarkStart w:id="1378" w:name="_Toc378682238"/>
      <w:bookmarkStart w:id="1379" w:name="_Toc378683685"/>
      <w:bookmarkStart w:id="1380" w:name="_Toc378685373"/>
      <w:bookmarkStart w:id="1381" w:name="_Toc378685509"/>
      <w:bookmarkStart w:id="1382" w:name="_Toc378691718"/>
      <w:bookmarkStart w:id="1383" w:name="_Toc378692175"/>
      <w:bookmarkStart w:id="1384" w:name="_Toc378692312"/>
      <w:bookmarkStart w:id="1385" w:name="_Toc378692449"/>
      <w:bookmarkStart w:id="1386" w:name="_Toc378761151"/>
      <w:bookmarkStart w:id="1387" w:name="_Toc378761294"/>
      <w:bookmarkStart w:id="1388" w:name="_Toc378761437"/>
      <w:bookmarkStart w:id="1389" w:name="_Toc378761580"/>
      <w:bookmarkStart w:id="1390" w:name="_Toc378761893"/>
      <w:bookmarkStart w:id="1391" w:name="_Toc378762033"/>
      <w:bookmarkStart w:id="1392" w:name="_Toc378762171"/>
      <w:bookmarkStart w:id="1393" w:name="_Toc378765648"/>
      <w:bookmarkStart w:id="1394" w:name="_Toc378767396"/>
      <w:bookmarkStart w:id="1395" w:name="_Toc378774991"/>
      <w:bookmarkStart w:id="1396" w:name="_Toc378776186"/>
      <w:bookmarkStart w:id="1397" w:name="_Toc378841266"/>
      <w:bookmarkStart w:id="1398" w:name="_Toc378858865"/>
      <w:bookmarkStart w:id="1399" w:name="_Toc378859093"/>
      <w:bookmarkStart w:id="1400" w:name="_Toc377649017"/>
      <w:bookmarkStart w:id="1401" w:name="_Toc377650870"/>
      <w:bookmarkStart w:id="1402" w:name="_Toc377650997"/>
      <w:bookmarkStart w:id="1403" w:name="_Toc377653266"/>
      <w:bookmarkStart w:id="1404" w:name="_Toc378351570"/>
      <w:bookmarkStart w:id="1405" w:name="_Toc378681319"/>
      <w:bookmarkStart w:id="1406" w:name="_Toc378682239"/>
      <w:bookmarkStart w:id="1407" w:name="_Toc378683686"/>
      <w:bookmarkStart w:id="1408" w:name="_Toc378685374"/>
      <w:bookmarkStart w:id="1409" w:name="_Toc378685510"/>
      <w:bookmarkStart w:id="1410" w:name="_Toc378691719"/>
      <w:bookmarkStart w:id="1411" w:name="_Toc378692176"/>
      <w:bookmarkStart w:id="1412" w:name="_Toc378692313"/>
      <w:bookmarkStart w:id="1413" w:name="_Toc378692450"/>
      <w:bookmarkStart w:id="1414" w:name="_Toc378761152"/>
      <w:bookmarkStart w:id="1415" w:name="_Toc378761295"/>
      <w:bookmarkStart w:id="1416" w:name="_Toc378761438"/>
      <w:bookmarkStart w:id="1417" w:name="_Toc378761581"/>
      <w:bookmarkStart w:id="1418" w:name="_Toc378761894"/>
      <w:bookmarkStart w:id="1419" w:name="_Toc378762034"/>
      <w:bookmarkStart w:id="1420" w:name="_Toc378762172"/>
      <w:bookmarkStart w:id="1421" w:name="_Toc378765649"/>
      <w:bookmarkStart w:id="1422" w:name="_Toc378767397"/>
      <w:bookmarkStart w:id="1423" w:name="_Toc378774992"/>
      <w:bookmarkStart w:id="1424" w:name="_Toc378776187"/>
      <w:bookmarkStart w:id="1425" w:name="_Toc378841267"/>
      <w:bookmarkStart w:id="1426" w:name="_Toc378858866"/>
      <w:bookmarkStart w:id="1427" w:name="_Toc378859094"/>
      <w:bookmarkStart w:id="1428" w:name="_Toc377649018"/>
      <w:bookmarkStart w:id="1429" w:name="_Toc377650871"/>
      <w:bookmarkStart w:id="1430" w:name="_Toc377650998"/>
      <w:bookmarkStart w:id="1431" w:name="_Toc377653267"/>
      <w:bookmarkStart w:id="1432" w:name="_Toc378351571"/>
      <w:bookmarkStart w:id="1433" w:name="_Toc378681320"/>
      <w:bookmarkStart w:id="1434" w:name="_Toc378682240"/>
      <w:bookmarkStart w:id="1435" w:name="_Toc378683687"/>
      <w:bookmarkStart w:id="1436" w:name="_Toc378685375"/>
      <w:bookmarkStart w:id="1437" w:name="_Toc378685511"/>
      <w:bookmarkStart w:id="1438" w:name="_Toc378691720"/>
      <w:bookmarkStart w:id="1439" w:name="_Toc378692177"/>
      <w:bookmarkStart w:id="1440" w:name="_Toc378692314"/>
      <w:bookmarkStart w:id="1441" w:name="_Toc378692451"/>
      <w:bookmarkStart w:id="1442" w:name="_Toc378761153"/>
      <w:bookmarkStart w:id="1443" w:name="_Toc378761296"/>
      <w:bookmarkStart w:id="1444" w:name="_Toc378761439"/>
      <w:bookmarkStart w:id="1445" w:name="_Toc378761582"/>
      <w:bookmarkStart w:id="1446" w:name="_Toc378761895"/>
      <w:bookmarkStart w:id="1447" w:name="_Toc378762035"/>
      <w:bookmarkStart w:id="1448" w:name="_Toc378762173"/>
      <w:bookmarkStart w:id="1449" w:name="_Toc378765650"/>
      <w:bookmarkStart w:id="1450" w:name="_Toc378767398"/>
      <w:bookmarkStart w:id="1451" w:name="_Toc378774993"/>
      <w:bookmarkStart w:id="1452" w:name="_Toc378776188"/>
      <w:bookmarkStart w:id="1453" w:name="_Toc378841268"/>
      <w:bookmarkStart w:id="1454" w:name="_Toc378858867"/>
      <w:bookmarkStart w:id="1455" w:name="_Toc378859095"/>
      <w:bookmarkStart w:id="1456" w:name="_Toc403472740"/>
      <w:bookmarkStart w:id="1457" w:name="_Toc440879648"/>
      <w:bookmarkStart w:id="1458" w:name="_Toc440889961"/>
      <w:bookmarkStart w:id="1459" w:name="_Toc530563666"/>
      <w:bookmarkStart w:id="1460" w:name="_Toc389729028"/>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sidRPr="00064185">
        <w:rPr>
          <w:rFonts w:eastAsia="Calibri"/>
        </w:rPr>
        <w:t>Physical, chemical and technical properties</w:t>
      </w:r>
      <w:bookmarkEnd w:id="1456"/>
      <w:bookmarkEnd w:id="1457"/>
      <w:bookmarkEnd w:id="1458"/>
      <w:bookmarkEnd w:id="1459"/>
      <w:r w:rsidRPr="00064185">
        <w:rPr>
          <w:rFonts w:eastAsia="Calibri"/>
        </w:rPr>
        <w:t xml:space="preserve"> </w:t>
      </w:r>
      <w:bookmarkEnd w:id="1460"/>
    </w:p>
    <w:p w14:paraId="1E1D9EEF" w14:textId="200F618C" w:rsidR="00E64FCE" w:rsidRPr="00064185" w:rsidRDefault="00E64FCE" w:rsidP="00EA61D8">
      <w:pPr>
        <w:pStyle w:val="Absatz"/>
        <w:rPr>
          <w:rFonts w:eastAsia="Calibri"/>
          <w:lang w:val="de-DE"/>
        </w:rPr>
      </w:pPr>
    </w:p>
    <w:p w14:paraId="26654294" w14:textId="6F0AE587" w:rsidR="00E64FCE" w:rsidRPr="00064185" w:rsidRDefault="00E64FCE" w:rsidP="00403806">
      <w:pPr>
        <w:jc w:val="both"/>
      </w:pPr>
      <w:r w:rsidRPr="00064185">
        <w:rPr>
          <w:rFonts w:eastAsia="Calibri"/>
        </w:rPr>
        <w:t xml:space="preserve">Note: </w:t>
      </w:r>
      <w:r w:rsidRPr="00064185">
        <w:t>The percentage given in column “</w:t>
      </w:r>
      <w:r w:rsidRPr="00064185">
        <w:rPr>
          <w:rFonts w:eastAsia="Calibri"/>
          <w:lang w:eastAsia="en-US"/>
        </w:rPr>
        <w:t xml:space="preserve">Purity of the test substance” refers to the amount of product formulation used for the tests. As a matter of fact all tests </w:t>
      </w:r>
      <w:r w:rsidRPr="00064185">
        <w:rPr>
          <w:rFonts w:eastAsia="Calibri"/>
        </w:rPr>
        <w:t>for the physico-chemical properties reported in this section</w:t>
      </w:r>
      <w:r w:rsidRPr="00064185">
        <w:t xml:space="preserve"> have been performed with the undiluted product formulation. Therefore 100% is given as purity </w:t>
      </w:r>
      <w:r w:rsidR="00505BA4" w:rsidRPr="00064185">
        <w:t>value</w:t>
      </w:r>
      <w:r w:rsidRPr="00064185">
        <w:t>.</w:t>
      </w:r>
    </w:p>
    <w:p w14:paraId="5A171DEB" w14:textId="0F523819" w:rsidR="00E64FCE" w:rsidRPr="00064185" w:rsidRDefault="00E64FCE" w:rsidP="00EA61D8">
      <w:pP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6"/>
        <w:gridCol w:w="2016"/>
        <w:gridCol w:w="1908"/>
        <w:gridCol w:w="3829"/>
        <w:gridCol w:w="2224"/>
      </w:tblGrid>
      <w:tr w:rsidR="00064185" w:rsidRPr="00064185" w14:paraId="71DD1200" w14:textId="77777777" w:rsidTr="00694A42">
        <w:trPr>
          <w:cantSplit/>
          <w:tblHeader/>
        </w:trPr>
        <w:tc>
          <w:tcPr>
            <w:tcW w:w="1303" w:type="pct"/>
            <w:shd w:val="clear" w:color="auto" w:fill="E0E0E0"/>
            <w:vAlign w:val="center"/>
          </w:tcPr>
          <w:p w14:paraId="451ED75E" w14:textId="77777777" w:rsidR="00A53EE0" w:rsidRPr="00064185" w:rsidRDefault="00A53EE0" w:rsidP="00EA61D8">
            <w:pPr>
              <w:spacing w:line="260" w:lineRule="atLeast"/>
              <w:rPr>
                <w:rFonts w:eastAsia="Calibri"/>
                <w:b/>
                <w:lang w:eastAsia="en-US"/>
              </w:rPr>
            </w:pPr>
            <w:r w:rsidRPr="00064185">
              <w:rPr>
                <w:rFonts w:eastAsia="Calibri"/>
                <w:b/>
                <w:lang w:eastAsia="en-US"/>
              </w:rPr>
              <w:t>Property</w:t>
            </w:r>
          </w:p>
        </w:tc>
        <w:tc>
          <w:tcPr>
            <w:tcW w:w="747" w:type="pct"/>
            <w:shd w:val="clear" w:color="auto" w:fill="E0E0E0"/>
            <w:vAlign w:val="center"/>
          </w:tcPr>
          <w:p w14:paraId="4B390644" w14:textId="77777777" w:rsidR="00A53EE0" w:rsidRPr="00064185" w:rsidRDefault="00670473" w:rsidP="00EA61D8">
            <w:pPr>
              <w:spacing w:line="260" w:lineRule="atLeast"/>
              <w:rPr>
                <w:rFonts w:eastAsia="Calibri"/>
                <w:b/>
                <w:lang w:eastAsia="en-US"/>
              </w:rPr>
            </w:pPr>
            <w:r w:rsidRPr="00064185">
              <w:rPr>
                <w:rFonts w:eastAsia="Calibri"/>
                <w:b/>
                <w:lang w:eastAsia="en-US"/>
              </w:rPr>
              <w:t xml:space="preserve">Guideline </w:t>
            </w:r>
            <w:r w:rsidR="00A53EE0" w:rsidRPr="00064185">
              <w:rPr>
                <w:rFonts w:eastAsia="Calibri"/>
                <w:b/>
                <w:lang w:eastAsia="en-US"/>
              </w:rPr>
              <w:t>and Method</w:t>
            </w:r>
          </w:p>
        </w:tc>
        <w:tc>
          <w:tcPr>
            <w:tcW w:w="707" w:type="pct"/>
            <w:shd w:val="clear" w:color="auto" w:fill="E0E0E0"/>
            <w:vAlign w:val="center"/>
          </w:tcPr>
          <w:p w14:paraId="65B245BA" w14:textId="77777777" w:rsidR="00A53EE0" w:rsidRPr="00064185" w:rsidRDefault="00A53EE0" w:rsidP="00EA61D8">
            <w:pPr>
              <w:spacing w:line="260" w:lineRule="atLeast"/>
              <w:rPr>
                <w:rFonts w:eastAsia="Calibri"/>
                <w:b/>
                <w:lang w:eastAsia="en-US"/>
              </w:rPr>
            </w:pPr>
            <w:r w:rsidRPr="00064185">
              <w:rPr>
                <w:rFonts w:eastAsia="Calibri"/>
                <w:b/>
                <w:lang w:eastAsia="en-US"/>
              </w:rPr>
              <w:t>Purity of the test substance (% (w/w)</w:t>
            </w:r>
          </w:p>
        </w:tc>
        <w:tc>
          <w:tcPr>
            <w:tcW w:w="1419" w:type="pct"/>
            <w:shd w:val="clear" w:color="auto" w:fill="E0E0E0"/>
            <w:vAlign w:val="center"/>
          </w:tcPr>
          <w:p w14:paraId="0329E769" w14:textId="77777777" w:rsidR="00A53EE0" w:rsidRPr="00064185" w:rsidRDefault="00A53EE0" w:rsidP="00EA61D8">
            <w:pPr>
              <w:spacing w:line="260" w:lineRule="atLeast"/>
              <w:rPr>
                <w:rFonts w:eastAsia="Calibri"/>
                <w:b/>
                <w:lang w:eastAsia="en-US"/>
              </w:rPr>
            </w:pPr>
            <w:r w:rsidRPr="00064185">
              <w:rPr>
                <w:rFonts w:eastAsia="Calibri"/>
                <w:b/>
                <w:lang w:eastAsia="en-US"/>
              </w:rPr>
              <w:t>Results</w:t>
            </w:r>
          </w:p>
        </w:tc>
        <w:tc>
          <w:tcPr>
            <w:tcW w:w="824" w:type="pct"/>
            <w:shd w:val="clear" w:color="auto" w:fill="E0E0E0"/>
            <w:vAlign w:val="center"/>
          </w:tcPr>
          <w:p w14:paraId="799F5DC4" w14:textId="77777777" w:rsidR="00A53EE0" w:rsidRPr="00064185" w:rsidRDefault="00A53EE0" w:rsidP="00EA61D8">
            <w:pPr>
              <w:spacing w:line="260" w:lineRule="atLeast"/>
              <w:rPr>
                <w:rFonts w:eastAsia="Calibri"/>
                <w:b/>
                <w:lang w:eastAsia="en-US"/>
              </w:rPr>
            </w:pPr>
            <w:r w:rsidRPr="00064185">
              <w:rPr>
                <w:rFonts w:eastAsia="Calibri"/>
                <w:b/>
                <w:lang w:eastAsia="en-US"/>
              </w:rPr>
              <w:t>Reference</w:t>
            </w:r>
          </w:p>
        </w:tc>
      </w:tr>
      <w:tr w:rsidR="00064185" w:rsidRPr="00064185" w14:paraId="39B562C6" w14:textId="77777777" w:rsidTr="00694A42">
        <w:trPr>
          <w:cantSplit/>
        </w:trPr>
        <w:tc>
          <w:tcPr>
            <w:tcW w:w="1303" w:type="pct"/>
          </w:tcPr>
          <w:p w14:paraId="49088D33" w14:textId="77777777" w:rsidR="00A53EE0" w:rsidRPr="00064185" w:rsidRDefault="00934276" w:rsidP="00EA61D8">
            <w:pPr>
              <w:rPr>
                <w:rFonts w:eastAsia="Calibri"/>
              </w:rPr>
            </w:pPr>
            <w:r w:rsidRPr="00064185">
              <w:rPr>
                <w:rFonts w:eastAsia="Calibri"/>
              </w:rPr>
              <w:t>Physical state at 20</w:t>
            </w:r>
            <w:r w:rsidR="00A53EE0" w:rsidRPr="00064185">
              <w:rPr>
                <w:rFonts w:eastAsia="Calibri"/>
              </w:rPr>
              <w:t>°C and 101.3 kPa</w:t>
            </w:r>
          </w:p>
        </w:tc>
        <w:tc>
          <w:tcPr>
            <w:tcW w:w="747" w:type="pct"/>
          </w:tcPr>
          <w:p w14:paraId="681DB976" w14:textId="77777777" w:rsidR="00A53EE0" w:rsidRPr="00064185" w:rsidRDefault="00E56263" w:rsidP="00EA61D8">
            <w:pPr>
              <w:rPr>
                <w:rFonts w:eastAsia="Calibri"/>
              </w:rPr>
            </w:pPr>
            <w:r w:rsidRPr="00064185">
              <w:t>Visual inspection</w:t>
            </w:r>
          </w:p>
        </w:tc>
        <w:tc>
          <w:tcPr>
            <w:tcW w:w="707" w:type="pct"/>
          </w:tcPr>
          <w:p w14:paraId="5760DF33" w14:textId="1DA83A06" w:rsidR="00A53EE0" w:rsidRPr="00064185" w:rsidRDefault="00365523" w:rsidP="00EA61D8">
            <w:pPr>
              <w:rPr>
                <w:rFonts w:eastAsia="Calibri"/>
              </w:rPr>
            </w:pPr>
            <w:r w:rsidRPr="00064185">
              <w:t>100</w:t>
            </w:r>
            <w:r w:rsidR="00FE032C" w:rsidRPr="00064185">
              <w:t>%</w:t>
            </w:r>
          </w:p>
        </w:tc>
        <w:tc>
          <w:tcPr>
            <w:tcW w:w="1419" w:type="pct"/>
          </w:tcPr>
          <w:p w14:paraId="3A5F809E" w14:textId="77777777" w:rsidR="00A53EE0" w:rsidRPr="00064185" w:rsidRDefault="00E56263" w:rsidP="00EA61D8">
            <w:pPr>
              <w:keepNext/>
              <w:spacing w:before="60" w:after="60"/>
              <w:rPr>
                <w:rFonts w:eastAsia="Calibri"/>
              </w:rPr>
            </w:pPr>
            <w:r w:rsidRPr="00064185">
              <w:t xml:space="preserve">Before and </w:t>
            </w:r>
            <w:r w:rsidR="00934276" w:rsidRPr="00064185">
              <w:t>after storage for 2 weeks at 54</w:t>
            </w:r>
            <w:r w:rsidRPr="00064185">
              <w:t>°C and 2 years at 20°C: Liquid</w:t>
            </w:r>
          </w:p>
        </w:tc>
        <w:tc>
          <w:tcPr>
            <w:tcW w:w="824" w:type="pct"/>
          </w:tcPr>
          <w:p w14:paraId="7CD6061C" w14:textId="77777777" w:rsidR="00A53EE0" w:rsidRPr="00064185" w:rsidRDefault="00E56263" w:rsidP="00EA61D8">
            <w:pPr>
              <w:rPr>
                <w:rFonts w:eastAsia="Calibri"/>
              </w:rPr>
            </w:pPr>
            <w:r w:rsidRPr="00064185">
              <w:rPr>
                <w:lang w:val="en-US"/>
              </w:rPr>
              <w:t>Wochner, 2009</w:t>
            </w:r>
            <w:r w:rsidRPr="00064185">
              <w:t xml:space="preserve"> and 2012a</w:t>
            </w:r>
          </w:p>
        </w:tc>
      </w:tr>
      <w:tr w:rsidR="00064185" w:rsidRPr="00064185" w14:paraId="7054199D" w14:textId="77777777" w:rsidTr="00694A42">
        <w:trPr>
          <w:cantSplit/>
        </w:trPr>
        <w:tc>
          <w:tcPr>
            <w:tcW w:w="1303" w:type="pct"/>
          </w:tcPr>
          <w:p w14:paraId="7E9B107B" w14:textId="77777777" w:rsidR="00E56263" w:rsidRPr="00064185" w:rsidRDefault="00934276" w:rsidP="00EA61D8">
            <w:pPr>
              <w:rPr>
                <w:rFonts w:eastAsia="Calibri"/>
              </w:rPr>
            </w:pPr>
            <w:r w:rsidRPr="00064185">
              <w:rPr>
                <w:rFonts w:eastAsia="Calibri"/>
              </w:rPr>
              <w:t>Colour at 20</w:t>
            </w:r>
            <w:r w:rsidR="00E56263" w:rsidRPr="00064185">
              <w:rPr>
                <w:rFonts w:eastAsia="Calibri"/>
              </w:rPr>
              <w:t>°C and 101.3 kPa</w:t>
            </w:r>
          </w:p>
        </w:tc>
        <w:tc>
          <w:tcPr>
            <w:tcW w:w="747" w:type="pct"/>
          </w:tcPr>
          <w:p w14:paraId="1DD434A0" w14:textId="77777777" w:rsidR="00E56263" w:rsidRPr="00064185" w:rsidRDefault="00E56263" w:rsidP="00EA61D8">
            <w:pPr>
              <w:rPr>
                <w:rFonts w:eastAsia="Calibri"/>
              </w:rPr>
            </w:pPr>
            <w:r w:rsidRPr="00064185">
              <w:t>Visual inspection</w:t>
            </w:r>
          </w:p>
        </w:tc>
        <w:tc>
          <w:tcPr>
            <w:tcW w:w="707" w:type="pct"/>
          </w:tcPr>
          <w:p w14:paraId="70F38E00" w14:textId="00B7A220" w:rsidR="00E56263" w:rsidRPr="00064185" w:rsidRDefault="00FE032C" w:rsidP="00EA61D8">
            <w:pPr>
              <w:rPr>
                <w:rFonts w:eastAsia="Calibri"/>
              </w:rPr>
            </w:pPr>
            <w:r w:rsidRPr="00064185">
              <w:t>10</w:t>
            </w:r>
            <w:r w:rsidR="00365523" w:rsidRPr="00064185">
              <w:t>0</w:t>
            </w:r>
            <w:r w:rsidRPr="00064185">
              <w:t>%</w:t>
            </w:r>
          </w:p>
        </w:tc>
        <w:tc>
          <w:tcPr>
            <w:tcW w:w="1419" w:type="pct"/>
          </w:tcPr>
          <w:p w14:paraId="4A9B98D3" w14:textId="77777777" w:rsidR="00E56263" w:rsidRPr="00064185" w:rsidRDefault="00E56263" w:rsidP="00EA61D8">
            <w:pPr>
              <w:spacing w:before="60" w:after="60"/>
              <w:rPr>
                <w:rFonts w:eastAsia="Calibri"/>
              </w:rPr>
            </w:pPr>
            <w:r w:rsidRPr="00064185">
              <w:t xml:space="preserve">Before and </w:t>
            </w:r>
            <w:r w:rsidR="00934276" w:rsidRPr="00064185">
              <w:t>after storage for 2 weeks at 54</w:t>
            </w:r>
            <w:r w:rsidRPr="00064185">
              <w:t>°C and 2 years at 20°C: Slightly milky</w:t>
            </w:r>
          </w:p>
        </w:tc>
        <w:tc>
          <w:tcPr>
            <w:tcW w:w="824" w:type="pct"/>
          </w:tcPr>
          <w:p w14:paraId="4E42B62F" w14:textId="77777777" w:rsidR="00E56263" w:rsidRPr="00064185" w:rsidRDefault="00E56263" w:rsidP="00EA61D8">
            <w:pPr>
              <w:rPr>
                <w:rFonts w:eastAsia="Calibri"/>
              </w:rPr>
            </w:pPr>
            <w:r w:rsidRPr="00064185">
              <w:rPr>
                <w:lang w:val="en-US"/>
              </w:rPr>
              <w:t>Wochner, 2009</w:t>
            </w:r>
            <w:r w:rsidRPr="00064185">
              <w:t xml:space="preserve"> and 2012a</w:t>
            </w:r>
          </w:p>
        </w:tc>
      </w:tr>
      <w:tr w:rsidR="00064185" w:rsidRPr="00064185" w14:paraId="162A9724" w14:textId="77777777" w:rsidTr="00694A42">
        <w:trPr>
          <w:cantSplit/>
        </w:trPr>
        <w:tc>
          <w:tcPr>
            <w:tcW w:w="1303" w:type="pct"/>
          </w:tcPr>
          <w:p w14:paraId="6567957E" w14:textId="77777777" w:rsidR="00E56263" w:rsidRPr="00064185" w:rsidRDefault="00934276" w:rsidP="00EA61D8">
            <w:pPr>
              <w:rPr>
                <w:rFonts w:eastAsia="Calibri"/>
              </w:rPr>
            </w:pPr>
            <w:r w:rsidRPr="00064185">
              <w:rPr>
                <w:rFonts w:eastAsia="Calibri"/>
              </w:rPr>
              <w:t>Odour at 20</w:t>
            </w:r>
            <w:r w:rsidR="00E56263" w:rsidRPr="00064185">
              <w:rPr>
                <w:rFonts w:eastAsia="Calibri"/>
              </w:rPr>
              <w:t>°C and 101.3 kPa</w:t>
            </w:r>
          </w:p>
        </w:tc>
        <w:tc>
          <w:tcPr>
            <w:tcW w:w="747" w:type="pct"/>
          </w:tcPr>
          <w:p w14:paraId="51DEED8C" w14:textId="77777777" w:rsidR="00E56263" w:rsidRPr="00064185" w:rsidRDefault="00E56263" w:rsidP="00EA61D8">
            <w:pPr>
              <w:rPr>
                <w:rFonts w:eastAsia="Calibri"/>
              </w:rPr>
            </w:pPr>
            <w:r w:rsidRPr="00064185">
              <w:t>Olfactory inspection</w:t>
            </w:r>
          </w:p>
        </w:tc>
        <w:tc>
          <w:tcPr>
            <w:tcW w:w="707" w:type="pct"/>
          </w:tcPr>
          <w:p w14:paraId="704BE77A" w14:textId="02F4516D" w:rsidR="00E56263" w:rsidRPr="00064185" w:rsidRDefault="00365523" w:rsidP="00EA61D8">
            <w:pPr>
              <w:rPr>
                <w:rFonts w:eastAsia="Calibri"/>
              </w:rPr>
            </w:pPr>
            <w:r w:rsidRPr="00064185">
              <w:t>100</w:t>
            </w:r>
            <w:r w:rsidR="00FE032C" w:rsidRPr="00064185">
              <w:t>%</w:t>
            </w:r>
            <w:r w:rsidR="00E56263" w:rsidRPr="00064185">
              <w:t>.</w:t>
            </w:r>
          </w:p>
        </w:tc>
        <w:tc>
          <w:tcPr>
            <w:tcW w:w="1419" w:type="pct"/>
          </w:tcPr>
          <w:p w14:paraId="2AFC286F" w14:textId="77777777" w:rsidR="00E56263" w:rsidRPr="00064185" w:rsidRDefault="00E56263" w:rsidP="00EA61D8">
            <w:pPr>
              <w:spacing w:before="60" w:after="60"/>
              <w:rPr>
                <w:rFonts w:eastAsia="Calibri"/>
              </w:rPr>
            </w:pPr>
            <w:r w:rsidRPr="00064185">
              <w:t>Before and a</w:t>
            </w:r>
            <w:r w:rsidR="00934276" w:rsidRPr="00064185">
              <w:t>fter storage for 2 weeks at 54</w:t>
            </w:r>
            <w:r w:rsidRPr="00064185">
              <w:t>°C and 2 years at 20°C: Slightly sweetish</w:t>
            </w:r>
          </w:p>
        </w:tc>
        <w:tc>
          <w:tcPr>
            <w:tcW w:w="824" w:type="pct"/>
          </w:tcPr>
          <w:p w14:paraId="26A80092" w14:textId="77777777" w:rsidR="00E56263" w:rsidRPr="00064185" w:rsidRDefault="00E56263" w:rsidP="00EA61D8">
            <w:pPr>
              <w:rPr>
                <w:rFonts w:eastAsia="Calibri"/>
              </w:rPr>
            </w:pPr>
            <w:r w:rsidRPr="00064185">
              <w:rPr>
                <w:lang w:val="en-US"/>
              </w:rPr>
              <w:t>Wochner, 2009</w:t>
            </w:r>
            <w:r w:rsidRPr="00064185">
              <w:t xml:space="preserve"> and 2012a</w:t>
            </w:r>
          </w:p>
        </w:tc>
      </w:tr>
      <w:tr w:rsidR="00064185" w:rsidRPr="00064185" w14:paraId="2CFF6042" w14:textId="77777777" w:rsidTr="00694A42">
        <w:trPr>
          <w:cantSplit/>
        </w:trPr>
        <w:tc>
          <w:tcPr>
            <w:tcW w:w="1303" w:type="pct"/>
          </w:tcPr>
          <w:p w14:paraId="7AF4F918" w14:textId="77777777" w:rsidR="00E56263" w:rsidRPr="00064185" w:rsidRDefault="00E56263" w:rsidP="00EA61D8">
            <w:pPr>
              <w:rPr>
                <w:rFonts w:eastAsia="Calibri"/>
              </w:rPr>
            </w:pPr>
            <w:r w:rsidRPr="00064185">
              <w:rPr>
                <w:rFonts w:eastAsia="Calibri"/>
              </w:rPr>
              <w:t>Acidity / alkalinity</w:t>
            </w:r>
          </w:p>
        </w:tc>
        <w:tc>
          <w:tcPr>
            <w:tcW w:w="747" w:type="pct"/>
          </w:tcPr>
          <w:p w14:paraId="230516B1" w14:textId="77777777" w:rsidR="00536009" w:rsidRPr="00064185" w:rsidRDefault="00536009" w:rsidP="00EA61D8">
            <w:pPr>
              <w:keepNext/>
              <w:spacing w:before="60" w:after="60"/>
            </w:pPr>
            <w:r w:rsidRPr="00064185">
              <w:t>CIPAC method 75.3</w:t>
            </w:r>
          </w:p>
          <w:p w14:paraId="15443947" w14:textId="77777777" w:rsidR="00E56263" w:rsidRPr="00064185" w:rsidRDefault="00536009" w:rsidP="00EA61D8">
            <w:pPr>
              <w:rPr>
                <w:rFonts w:eastAsia="Calibri"/>
              </w:rPr>
            </w:pPr>
            <w:r w:rsidRPr="00064185">
              <w:t>CIPAC method MT 191</w:t>
            </w:r>
          </w:p>
        </w:tc>
        <w:tc>
          <w:tcPr>
            <w:tcW w:w="707" w:type="pct"/>
          </w:tcPr>
          <w:p w14:paraId="75561C60" w14:textId="6A39F02A" w:rsidR="00E56263" w:rsidRPr="00064185" w:rsidRDefault="00365523" w:rsidP="00EA61D8">
            <w:pPr>
              <w:rPr>
                <w:rFonts w:eastAsia="Calibri"/>
              </w:rPr>
            </w:pPr>
            <w:r w:rsidRPr="00064185">
              <w:t>100</w:t>
            </w:r>
            <w:r w:rsidR="00FE032C" w:rsidRPr="00064185">
              <w:t>%</w:t>
            </w:r>
          </w:p>
        </w:tc>
        <w:tc>
          <w:tcPr>
            <w:tcW w:w="1419" w:type="pct"/>
          </w:tcPr>
          <w:p w14:paraId="038B88F0" w14:textId="1C47F862" w:rsidR="00536009" w:rsidRPr="00064185" w:rsidRDefault="00536009" w:rsidP="00EA61D8">
            <w:pPr>
              <w:keepNext/>
              <w:spacing w:before="60" w:after="60"/>
            </w:pPr>
            <w:r w:rsidRPr="00064185">
              <w:t>Results of pH</w:t>
            </w:r>
            <w:r w:rsidR="00886BB5" w:rsidRPr="00064185">
              <w:t xml:space="preserve"> at 25°C</w:t>
            </w:r>
            <w:r w:rsidRPr="00064185">
              <w:t>:</w:t>
            </w:r>
            <w:r w:rsidRPr="00064185">
              <w:br/>
              <w:t>6.1 (neat formulation)</w:t>
            </w:r>
            <w:r w:rsidRPr="00064185">
              <w:br/>
              <w:t>6.5 (1% suspension in water)</w:t>
            </w:r>
          </w:p>
          <w:p w14:paraId="1B110E9F" w14:textId="77777777" w:rsidR="00E56263" w:rsidRPr="00064185" w:rsidRDefault="00536009" w:rsidP="00EA61D8">
            <w:pPr>
              <w:rPr>
                <w:rFonts w:eastAsia="Calibri"/>
              </w:rPr>
            </w:pPr>
            <w:r w:rsidRPr="00064185">
              <w:t>Acidity:</w:t>
            </w:r>
            <w:r w:rsidRPr="00064185">
              <w:br/>
              <w:t>0.01% (calculated as H</w:t>
            </w:r>
            <w:r w:rsidRPr="00064185">
              <w:rPr>
                <w:vertAlign w:val="subscript"/>
              </w:rPr>
              <w:t>2</w:t>
            </w:r>
            <w:r w:rsidRPr="00064185">
              <w:t>SO</w:t>
            </w:r>
            <w:r w:rsidRPr="00064185">
              <w:rPr>
                <w:vertAlign w:val="subscript"/>
              </w:rPr>
              <w:t>4</w:t>
            </w:r>
            <w:r w:rsidRPr="00064185">
              <w:t>)</w:t>
            </w:r>
          </w:p>
        </w:tc>
        <w:tc>
          <w:tcPr>
            <w:tcW w:w="824" w:type="pct"/>
          </w:tcPr>
          <w:p w14:paraId="786A9C69" w14:textId="77777777" w:rsidR="00E56263" w:rsidRPr="00064185" w:rsidRDefault="005C47C6" w:rsidP="00EA61D8">
            <w:pPr>
              <w:rPr>
                <w:rFonts w:eastAsia="Calibri"/>
              </w:rPr>
            </w:pPr>
            <w:r w:rsidRPr="00064185">
              <w:t>Martin-Keusch, 2009a</w:t>
            </w:r>
          </w:p>
        </w:tc>
      </w:tr>
      <w:tr w:rsidR="00064185" w:rsidRPr="00064185" w14:paraId="1A0F002B" w14:textId="77777777" w:rsidTr="00694A42">
        <w:trPr>
          <w:cantSplit/>
        </w:trPr>
        <w:tc>
          <w:tcPr>
            <w:tcW w:w="1303" w:type="pct"/>
          </w:tcPr>
          <w:p w14:paraId="5C1C7E0B" w14:textId="77777777" w:rsidR="005C47C6" w:rsidRPr="00064185" w:rsidRDefault="005C47C6" w:rsidP="00EA61D8">
            <w:pPr>
              <w:rPr>
                <w:rFonts w:eastAsia="Calibri"/>
              </w:rPr>
            </w:pPr>
          </w:p>
        </w:tc>
        <w:tc>
          <w:tcPr>
            <w:tcW w:w="747" w:type="pct"/>
          </w:tcPr>
          <w:p w14:paraId="4C1C636E" w14:textId="77777777" w:rsidR="005C47C6" w:rsidRPr="00064185" w:rsidRDefault="005C47C6" w:rsidP="00EA61D8">
            <w:pPr>
              <w:keepNext/>
              <w:spacing w:before="60" w:after="60"/>
            </w:pPr>
            <w:r w:rsidRPr="00064185">
              <w:t>CIPAC method 75.3</w:t>
            </w:r>
          </w:p>
        </w:tc>
        <w:tc>
          <w:tcPr>
            <w:tcW w:w="707" w:type="pct"/>
          </w:tcPr>
          <w:p w14:paraId="781F6154" w14:textId="269ACCC2" w:rsidR="005C47C6" w:rsidRPr="00064185" w:rsidRDefault="00365523" w:rsidP="00EA61D8">
            <w:r w:rsidRPr="00064185">
              <w:t>100</w:t>
            </w:r>
            <w:r w:rsidR="00FE032C" w:rsidRPr="00064185">
              <w:t>%</w:t>
            </w:r>
          </w:p>
        </w:tc>
        <w:tc>
          <w:tcPr>
            <w:tcW w:w="1419" w:type="pct"/>
          </w:tcPr>
          <w:p w14:paraId="66E5C2B5" w14:textId="06657DE8" w:rsidR="005C47C6" w:rsidRPr="00064185" w:rsidRDefault="005C47C6" w:rsidP="00EA61D8">
            <w:pPr>
              <w:keepNext/>
              <w:spacing w:before="60" w:after="60"/>
            </w:pPr>
            <w:r w:rsidRPr="00064185">
              <w:t>Results of pH</w:t>
            </w:r>
            <w:r w:rsidR="00886BB5" w:rsidRPr="00064185">
              <w:t xml:space="preserve"> at 25°C</w:t>
            </w:r>
            <w:r w:rsidRPr="00064185">
              <w:t>:</w:t>
            </w:r>
            <w:r w:rsidRPr="00064185">
              <w:br/>
              <w:t>After storage for 2 weeks at 54°C:</w:t>
            </w:r>
            <w:r w:rsidRPr="00064185">
              <w:br/>
              <w:t>6.0 (neat formulation, PET)</w:t>
            </w:r>
            <w:r w:rsidRPr="00064185">
              <w:br/>
              <w:t>6.7 (1% suspension in water, PET)</w:t>
            </w:r>
          </w:p>
          <w:p w14:paraId="176B88E0" w14:textId="77777777" w:rsidR="005C47C6" w:rsidRPr="00064185" w:rsidRDefault="005C47C6" w:rsidP="00EA61D8">
            <w:pPr>
              <w:keepNext/>
              <w:spacing w:before="60" w:after="60"/>
            </w:pPr>
            <w:r w:rsidRPr="00064185">
              <w:t>After storage for 2 years at 20°C:</w:t>
            </w:r>
            <w:r w:rsidRPr="00064185">
              <w:br/>
              <w:t>6.0 (neat formulation, PET)</w:t>
            </w:r>
            <w:r w:rsidRPr="00064185">
              <w:br/>
              <w:t>6.5 (1% suspension in water, PET)</w:t>
            </w:r>
          </w:p>
        </w:tc>
        <w:tc>
          <w:tcPr>
            <w:tcW w:w="824" w:type="pct"/>
          </w:tcPr>
          <w:p w14:paraId="136EBB2A" w14:textId="77777777" w:rsidR="005C47C6" w:rsidRPr="00064185" w:rsidRDefault="005C47C6" w:rsidP="00EA61D8">
            <w:r w:rsidRPr="00064185">
              <w:rPr>
                <w:lang w:val="en-US"/>
              </w:rPr>
              <w:t>Wochner, 2009</w:t>
            </w:r>
            <w:r w:rsidRPr="00064185">
              <w:t xml:space="preserve"> and 2012a</w:t>
            </w:r>
          </w:p>
        </w:tc>
      </w:tr>
      <w:tr w:rsidR="00064185" w:rsidRPr="00064185" w14:paraId="29972E45" w14:textId="77777777" w:rsidTr="00694A42">
        <w:trPr>
          <w:cantSplit/>
        </w:trPr>
        <w:tc>
          <w:tcPr>
            <w:tcW w:w="1303" w:type="pct"/>
          </w:tcPr>
          <w:p w14:paraId="4D14B773" w14:textId="77777777" w:rsidR="00A4471D" w:rsidRPr="00064185" w:rsidRDefault="00A4471D" w:rsidP="00EA61D8">
            <w:pPr>
              <w:rPr>
                <w:rFonts w:eastAsia="Calibri"/>
              </w:rPr>
            </w:pPr>
          </w:p>
        </w:tc>
        <w:tc>
          <w:tcPr>
            <w:tcW w:w="747" w:type="pct"/>
          </w:tcPr>
          <w:p w14:paraId="1CAC0131" w14:textId="77777777" w:rsidR="00A4471D" w:rsidRPr="00064185" w:rsidRDefault="00A4471D" w:rsidP="00EA61D8">
            <w:pPr>
              <w:keepNext/>
              <w:spacing w:before="60" w:after="60"/>
            </w:pPr>
            <w:r w:rsidRPr="00064185">
              <w:t>CIPAC method 75.3</w:t>
            </w:r>
          </w:p>
          <w:p w14:paraId="2ECE896D" w14:textId="0DB66356" w:rsidR="00A4471D" w:rsidRPr="00064185" w:rsidRDefault="00C04193" w:rsidP="00EA61D8">
            <w:pPr>
              <w:keepNext/>
              <w:spacing w:before="60" w:after="60"/>
            </w:pPr>
            <w:r w:rsidRPr="00064185">
              <w:t>The test was performed with the commercial packages of the formulation (Transparent PET- bottle 500 ml with trigger sprayer)</w:t>
            </w:r>
          </w:p>
        </w:tc>
        <w:tc>
          <w:tcPr>
            <w:tcW w:w="707" w:type="pct"/>
          </w:tcPr>
          <w:p w14:paraId="447ADB7C" w14:textId="70FB99D9" w:rsidR="00A4471D" w:rsidRPr="00064185" w:rsidRDefault="00A4471D" w:rsidP="00EA61D8">
            <w:r w:rsidRPr="00064185">
              <w:t>100%</w:t>
            </w:r>
          </w:p>
        </w:tc>
        <w:tc>
          <w:tcPr>
            <w:tcW w:w="1419" w:type="pct"/>
          </w:tcPr>
          <w:p w14:paraId="5DDC9A12" w14:textId="77777777" w:rsidR="00E52073" w:rsidRPr="00064185" w:rsidRDefault="00E52073" w:rsidP="00EA61D8">
            <w:pPr>
              <w:keepNext/>
              <w:spacing w:before="60" w:after="60"/>
            </w:pPr>
            <w:r w:rsidRPr="00064185">
              <w:t>Results of pH at 20°C:</w:t>
            </w:r>
          </w:p>
          <w:p w14:paraId="38CB6EBC" w14:textId="15CBE7EC" w:rsidR="00E52073" w:rsidRPr="00064185" w:rsidRDefault="00E52073" w:rsidP="00EA61D8">
            <w:pPr>
              <w:keepNext/>
              <w:spacing w:before="60" w:after="60"/>
            </w:pPr>
            <w:r w:rsidRPr="00064185">
              <w:t>Undiluted</w:t>
            </w:r>
            <w:r w:rsidR="00C04193" w:rsidRPr="00064185">
              <w:t xml:space="preserve"> at 20°C</w:t>
            </w:r>
            <w:r w:rsidRPr="00064185">
              <w:t>:</w:t>
            </w:r>
          </w:p>
          <w:p w14:paraId="65D8C9E8" w14:textId="2ABC9E1F" w:rsidR="00E52073" w:rsidRPr="00064185" w:rsidRDefault="00E52073" w:rsidP="00EA61D8">
            <w:pPr>
              <w:keepNext/>
              <w:spacing w:before="60" w:after="60"/>
            </w:pPr>
            <w:r w:rsidRPr="00064185">
              <w:t>Be</w:t>
            </w:r>
            <w:r w:rsidR="0020580C" w:rsidRPr="00064185">
              <w:t>f</w:t>
            </w:r>
            <w:r w:rsidRPr="00064185">
              <w:t>or</w:t>
            </w:r>
            <w:r w:rsidR="0020580C" w:rsidRPr="00064185">
              <w:t>e</w:t>
            </w:r>
            <w:r w:rsidRPr="00064185">
              <w:t xml:space="preserve"> storage: 5.59</w:t>
            </w:r>
          </w:p>
          <w:p w14:paraId="076472B0" w14:textId="5CA489CF" w:rsidR="00E52073" w:rsidRPr="00064185" w:rsidRDefault="00E52073" w:rsidP="00EA61D8">
            <w:pPr>
              <w:keepNext/>
              <w:spacing w:before="60" w:after="60"/>
            </w:pPr>
            <w:r w:rsidRPr="00064185">
              <w:t>After 24 months storage: 5.78</w:t>
            </w:r>
          </w:p>
          <w:p w14:paraId="6F63E1C2" w14:textId="7BB5A794" w:rsidR="00E52073" w:rsidRPr="00064185" w:rsidRDefault="00E52073" w:rsidP="00EA61D8">
            <w:pPr>
              <w:keepNext/>
              <w:spacing w:before="60" w:after="60"/>
            </w:pPr>
            <w:r w:rsidRPr="00064185">
              <w:t>After 36 months storage: 5.67</w:t>
            </w:r>
          </w:p>
          <w:p w14:paraId="3D6A6240" w14:textId="5B2EFB2E" w:rsidR="00E52073" w:rsidRPr="00064185" w:rsidRDefault="00E52073" w:rsidP="00EA61D8">
            <w:pPr>
              <w:keepNext/>
              <w:spacing w:before="60" w:after="60"/>
            </w:pPr>
            <w:r w:rsidRPr="00064185">
              <w:t>After 48 months storage: 5.78</w:t>
            </w:r>
          </w:p>
          <w:p w14:paraId="3466F6B1" w14:textId="77777777" w:rsidR="00E52073" w:rsidRPr="00064185" w:rsidRDefault="00E52073" w:rsidP="00EA61D8">
            <w:pPr>
              <w:keepNext/>
              <w:spacing w:before="60" w:after="60"/>
            </w:pPr>
          </w:p>
          <w:p w14:paraId="4FBA6965" w14:textId="782924B1" w:rsidR="00E52073" w:rsidRPr="00064185" w:rsidRDefault="00E52073" w:rsidP="00EA61D8">
            <w:pPr>
              <w:keepNext/>
              <w:spacing w:before="60" w:after="60"/>
            </w:pPr>
            <w:r w:rsidRPr="00064185">
              <w:t>Diluted (1% in water)</w:t>
            </w:r>
            <w:r w:rsidR="00C04193" w:rsidRPr="00064185">
              <w:t xml:space="preserve"> at 20°C:</w:t>
            </w:r>
          </w:p>
          <w:p w14:paraId="3D6A1697" w14:textId="3BE2C4A4" w:rsidR="00E52073" w:rsidRPr="00064185" w:rsidRDefault="0020580C" w:rsidP="00EA61D8">
            <w:pPr>
              <w:keepNext/>
              <w:spacing w:before="60" w:after="60"/>
            </w:pPr>
            <w:r w:rsidRPr="00064185">
              <w:t>Bef</w:t>
            </w:r>
            <w:r w:rsidR="00E52073" w:rsidRPr="00064185">
              <w:t>or</w:t>
            </w:r>
            <w:r w:rsidRPr="00064185">
              <w:t>e</w:t>
            </w:r>
            <w:r w:rsidR="00E52073" w:rsidRPr="00064185">
              <w:t xml:space="preserve"> storage: 6.01</w:t>
            </w:r>
            <w:r w:rsidR="00C04193" w:rsidRPr="00064185">
              <w:t xml:space="preserve"> </w:t>
            </w:r>
          </w:p>
          <w:p w14:paraId="29F182F6" w14:textId="4E23E21A" w:rsidR="00E52073" w:rsidRPr="00064185" w:rsidRDefault="00E52073" w:rsidP="00EA61D8">
            <w:pPr>
              <w:keepNext/>
              <w:spacing w:before="60" w:after="60"/>
            </w:pPr>
            <w:r w:rsidRPr="00064185">
              <w:t>After 24 months storage: 6.19</w:t>
            </w:r>
          </w:p>
          <w:p w14:paraId="3139E49F" w14:textId="27722364" w:rsidR="00E52073" w:rsidRPr="00064185" w:rsidRDefault="00E52073" w:rsidP="00EA61D8">
            <w:pPr>
              <w:keepNext/>
              <w:spacing w:before="60" w:after="60"/>
            </w:pPr>
            <w:r w:rsidRPr="00064185">
              <w:t>After 36 months storage: 5.94</w:t>
            </w:r>
          </w:p>
          <w:p w14:paraId="3843096D" w14:textId="04F39FAC" w:rsidR="00A4471D" w:rsidRPr="00064185" w:rsidRDefault="00E52073" w:rsidP="00EA61D8">
            <w:pPr>
              <w:keepNext/>
              <w:spacing w:before="60" w:after="60"/>
            </w:pPr>
            <w:r w:rsidRPr="00064185">
              <w:t>After 48 months storage: 5.81</w:t>
            </w:r>
          </w:p>
        </w:tc>
        <w:tc>
          <w:tcPr>
            <w:tcW w:w="824" w:type="pct"/>
          </w:tcPr>
          <w:p w14:paraId="7ECD6B38" w14:textId="715D2B7A" w:rsidR="00A4471D" w:rsidRPr="00064185" w:rsidRDefault="00A4471D" w:rsidP="00EA61D8">
            <w:pPr>
              <w:rPr>
                <w:lang w:val="en-US"/>
              </w:rPr>
            </w:pPr>
            <w:r w:rsidRPr="00064185">
              <w:t>Schieck, 2018</w:t>
            </w:r>
          </w:p>
        </w:tc>
      </w:tr>
      <w:tr w:rsidR="00064185" w:rsidRPr="00064185" w14:paraId="7110858B" w14:textId="77777777" w:rsidTr="00694A42">
        <w:trPr>
          <w:cantSplit/>
        </w:trPr>
        <w:tc>
          <w:tcPr>
            <w:tcW w:w="1303" w:type="pct"/>
            <w:tcBorders>
              <w:top w:val="single" w:sz="4" w:space="0" w:color="auto"/>
              <w:left w:val="single" w:sz="4" w:space="0" w:color="auto"/>
              <w:bottom w:val="single" w:sz="4" w:space="0" w:color="auto"/>
              <w:right w:val="single" w:sz="4" w:space="0" w:color="auto"/>
            </w:tcBorders>
          </w:tcPr>
          <w:p w14:paraId="4C863727" w14:textId="6D12BC1D" w:rsidR="00E56263" w:rsidRPr="00064185" w:rsidRDefault="00E56263" w:rsidP="00EA61D8">
            <w:pPr>
              <w:rPr>
                <w:rFonts w:eastAsia="Calibri"/>
              </w:rPr>
            </w:pPr>
            <w:bookmarkStart w:id="1461" w:name="_Toc244336298"/>
            <w:r w:rsidRPr="00064185">
              <w:rPr>
                <w:rFonts w:eastAsia="Calibri"/>
              </w:rPr>
              <w:t>Relative density / bulk density</w:t>
            </w:r>
            <w:bookmarkEnd w:id="1461"/>
          </w:p>
        </w:tc>
        <w:tc>
          <w:tcPr>
            <w:tcW w:w="747" w:type="pct"/>
            <w:tcBorders>
              <w:top w:val="single" w:sz="4" w:space="0" w:color="auto"/>
              <w:left w:val="single" w:sz="4" w:space="0" w:color="auto"/>
              <w:bottom w:val="single" w:sz="4" w:space="0" w:color="auto"/>
              <w:right w:val="single" w:sz="4" w:space="0" w:color="auto"/>
            </w:tcBorders>
          </w:tcPr>
          <w:p w14:paraId="53FEC296" w14:textId="77777777" w:rsidR="00E56263" w:rsidRPr="00064185" w:rsidRDefault="005C47C6" w:rsidP="00EA61D8">
            <w:pPr>
              <w:rPr>
                <w:rFonts w:eastAsia="Calibri"/>
              </w:rPr>
            </w:pPr>
            <w:r w:rsidRPr="00064185">
              <w:t>OECD 109</w:t>
            </w:r>
          </w:p>
        </w:tc>
        <w:tc>
          <w:tcPr>
            <w:tcW w:w="707" w:type="pct"/>
            <w:tcBorders>
              <w:top w:val="single" w:sz="4" w:space="0" w:color="auto"/>
              <w:left w:val="single" w:sz="4" w:space="0" w:color="auto"/>
              <w:bottom w:val="single" w:sz="4" w:space="0" w:color="auto"/>
              <w:right w:val="single" w:sz="4" w:space="0" w:color="auto"/>
            </w:tcBorders>
          </w:tcPr>
          <w:p w14:paraId="6F7BD226" w14:textId="3A9EF963" w:rsidR="00E56263" w:rsidRPr="00064185" w:rsidRDefault="00FE032C" w:rsidP="00EA61D8">
            <w:pPr>
              <w:rPr>
                <w:rFonts w:eastAsia="Calibri"/>
              </w:rPr>
            </w:pPr>
            <w:r w:rsidRPr="00064185">
              <w:t>10</w:t>
            </w:r>
            <w:r w:rsidR="00365523" w:rsidRPr="00064185">
              <w:t>0</w:t>
            </w:r>
            <w:r w:rsidRPr="00064185">
              <w:t>%</w:t>
            </w:r>
          </w:p>
        </w:tc>
        <w:tc>
          <w:tcPr>
            <w:tcW w:w="1419" w:type="pct"/>
            <w:tcBorders>
              <w:top w:val="single" w:sz="4" w:space="0" w:color="auto"/>
              <w:left w:val="single" w:sz="4" w:space="0" w:color="auto"/>
              <w:bottom w:val="single" w:sz="4" w:space="0" w:color="auto"/>
              <w:right w:val="single" w:sz="4" w:space="0" w:color="auto"/>
            </w:tcBorders>
          </w:tcPr>
          <w:p w14:paraId="7C39FDF4" w14:textId="52B89DD0" w:rsidR="00E56263" w:rsidRPr="00064185" w:rsidRDefault="005C47C6" w:rsidP="00EA61D8">
            <w:pPr>
              <w:keepNext/>
              <w:spacing w:before="60" w:after="60"/>
              <w:rPr>
                <w:rFonts w:eastAsia="Calibri"/>
              </w:rPr>
            </w:pPr>
            <w:r w:rsidRPr="00064185">
              <w:t>Result for density at 20°C before and after storage for 2 weeks at 54°C and 2 years at 20°C:</w:t>
            </w:r>
            <w:r w:rsidR="00BB4E20" w:rsidRPr="00064185">
              <w:t xml:space="preserve"> </w:t>
            </w:r>
            <w:r w:rsidRPr="00064185">
              <w:t>0.999</w:t>
            </w:r>
            <w:r w:rsidR="00BB4E20" w:rsidRPr="00064185">
              <w:t> </w:t>
            </w:r>
            <w:r w:rsidRPr="00064185">
              <w:t>g/</w:t>
            </w:r>
            <w:r w:rsidR="00694918" w:rsidRPr="00064185">
              <w:t>c</w:t>
            </w:r>
            <w:r w:rsidRPr="00064185">
              <w:t>m</w:t>
            </w:r>
            <w:r w:rsidRPr="00064185">
              <w:rPr>
                <w:vertAlign w:val="superscript"/>
              </w:rPr>
              <w:t xml:space="preserve">3 </w:t>
            </w:r>
            <w:r w:rsidRPr="00064185">
              <w:t>(PET)</w:t>
            </w:r>
          </w:p>
        </w:tc>
        <w:tc>
          <w:tcPr>
            <w:tcW w:w="824" w:type="pct"/>
            <w:tcBorders>
              <w:top w:val="single" w:sz="4" w:space="0" w:color="auto"/>
              <w:left w:val="single" w:sz="4" w:space="0" w:color="auto"/>
              <w:bottom w:val="single" w:sz="4" w:space="0" w:color="auto"/>
              <w:right w:val="single" w:sz="4" w:space="0" w:color="auto"/>
            </w:tcBorders>
          </w:tcPr>
          <w:p w14:paraId="57D0671C" w14:textId="77777777" w:rsidR="00E56263" w:rsidRPr="00064185" w:rsidRDefault="00BB4E20" w:rsidP="00EA61D8">
            <w:pPr>
              <w:rPr>
                <w:rFonts w:eastAsia="Calibri"/>
              </w:rPr>
            </w:pPr>
            <w:r w:rsidRPr="00064185">
              <w:rPr>
                <w:lang w:val="en-US"/>
              </w:rPr>
              <w:t>Wochner, 2009</w:t>
            </w:r>
            <w:r w:rsidRPr="00064185">
              <w:t xml:space="preserve"> and 2012a</w:t>
            </w:r>
          </w:p>
        </w:tc>
      </w:tr>
      <w:tr w:rsidR="00064185" w:rsidRPr="00064185" w14:paraId="1569B582" w14:textId="77777777" w:rsidTr="00694A42">
        <w:trPr>
          <w:cantSplit/>
        </w:trPr>
        <w:tc>
          <w:tcPr>
            <w:tcW w:w="1303" w:type="pct"/>
            <w:tcBorders>
              <w:top w:val="single" w:sz="4" w:space="0" w:color="auto"/>
              <w:left w:val="single" w:sz="4" w:space="0" w:color="auto"/>
              <w:bottom w:val="single" w:sz="4" w:space="0" w:color="auto"/>
              <w:right w:val="single" w:sz="4" w:space="0" w:color="auto"/>
            </w:tcBorders>
          </w:tcPr>
          <w:p w14:paraId="21E026AD" w14:textId="77777777" w:rsidR="00BB4E20" w:rsidRPr="00064185" w:rsidRDefault="00BB4E20" w:rsidP="00EA61D8">
            <w:pPr>
              <w:rPr>
                <w:rFonts w:eastAsia="Calibri"/>
              </w:rPr>
            </w:pPr>
          </w:p>
        </w:tc>
        <w:tc>
          <w:tcPr>
            <w:tcW w:w="747" w:type="pct"/>
            <w:tcBorders>
              <w:top w:val="single" w:sz="4" w:space="0" w:color="auto"/>
              <w:left w:val="single" w:sz="4" w:space="0" w:color="auto"/>
              <w:bottom w:val="single" w:sz="4" w:space="0" w:color="auto"/>
              <w:right w:val="single" w:sz="4" w:space="0" w:color="auto"/>
            </w:tcBorders>
          </w:tcPr>
          <w:p w14:paraId="2F387405" w14:textId="77777777" w:rsidR="00BB4E20" w:rsidRPr="00064185" w:rsidRDefault="00BB4E20" w:rsidP="00EA61D8">
            <w:r w:rsidRPr="00064185">
              <w:t>−</w:t>
            </w:r>
          </w:p>
        </w:tc>
        <w:tc>
          <w:tcPr>
            <w:tcW w:w="707" w:type="pct"/>
            <w:tcBorders>
              <w:top w:val="single" w:sz="4" w:space="0" w:color="auto"/>
              <w:left w:val="single" w:sz="4" w:space="0" w:color="auto"/>
              <w:bottom w:val="single" w:sz="4" w:space="0" w:color="auto"/>
              <w:right w:val="single" w:sz="4" w:space="0" w:color="auto"/>
            </w:tcBorders>
          </w:tcPr>
          <w:p w14:paraId="23C7ADFF" w14:textId="77777777" w:rsidR="00BB4E20" w:rsidRPr="00064185" w:rsidRDefault="00BB4E20" w:rsidP="00EA61D8">
            <w:r w:rsidRPr="00064185">
              <w:t>−</w:t>
            </w:r>
          </w:p>
        </w:tc>
        <w:tc>
          <w:tcPr>
            <w:tcW w:w="1419" w:type="pct"/>
            <w:tcBorders>
              <w:top w:val="single" w:sz="4" w:space="0" w:color="auto"/>
              <w:left w:val="single" w:sz="4" w:space="0" w:color="auto"/>
              <w:bottom w:val="single" w:sz="4" w:space="0" w:color="auto"/>
              <w:right w:val="single" w:sz="4" w:space="0" w:color="auto"/>
            </w:tcBorders>
          </w:tcPr>
          <w:p w14:paraId="3E6AE2BC" w14:textId="77777777" w:rsidR="00BB4E20" w:rsidRPr="00064185" w:rsidRDefault="00BB4E20" w:rsidP="00EA61D8">
            <w:pPr>
              <w:keepNext/>
              <w:spacing w:before="60" w:after="60"/>
            </w:pPr>
            <w:r w:rsidRPr="00064185">
              <w:t>Determination of the bulk density is not applicable because the biocidal product is liquid.</w:t>
            </w:r>
          </w:p>
        </w:tc>
        <w:tc>
          <w:tcPr>
            <w:tcW w:w="824" w:type="pct"/>
            <w:tcBorders>
              <w:top w:val="single" w:sz="4" w:space="0" w:color="auto"/>
              <w:left w:val="single" w:sz="4" w:space="0" w:color="auto"/>
              <w:bottom w:val="single" w:sz="4" w:space="0" w:color="auto"/>
              <w:right w:val="single" w:sz="4" w:space="0" w:color="auto"/>
            </w:tcBorders>
          </w:tcPr>
          <w:p w14:paraId="25890AA2" w14:textId="77777777" w:rsidR="00BB4E20" w:rsidRPr="00064185" w:rsidRDefault="00BB4E20" w:rsidP="00EA61D8">
            <w:pPr>
              <w:rPr>
                <w:lang w:val="en-US"/>
              </w:rPr>
            </w:pPr>
            <w:r w:rsidRPr="00064185">
              <w:t>−</w:t>
            </w:r>
          </w:p>
        </w:tc>
      </w:tr>
      <w:tr w:rsidR="00064185" w:rsidRPr="00064185" w14:paraId="556AE275" w14:textId="77777777" w:rsidTr="00694A42">
        <w:trPr>
          <w:cantSplit/>
        </w:trPr>
        <w:tc>
          <w:tcPr>
            <w:tcW w:w="1303" w:type="pct"/>
          </w:tcPr>
          <w:p w14:paraId="1364E8BD" w14:textId="77777777" w:rsidR="00E56263" w:rsidRPr="00064185" w:rsidRDefault="00E56263" w:rsidP="00EA61D8">
            <w:pPr>
              <w:rPr>
                <w:rFonts w:eastAsia="Calibri"/>
              </w:rPr>
            </w:pPr>
            <w:r w:rsidRPr="00064185">
              <w:rPr>
                <w:rFonts w:eastAsia="Calibri"/>
              </w:rPr>
              <w:lastRenderedPageBreak/>
              <w:t xml:space="preserve">Storage stability test – </w:t>
            </w:r>
            <w:r w:rsidRPr="00064185">
              <w:rPr>
                <w:rFonts w:eastAsia="Calibri"/>
                <w:b/>
              </w:rPr>
              <w:t>accelerated storage</w:t>
            </w:r>
          </w:p>
        </w:tc>
        <w:tc>
          <w:tcPr>
            <w:tcW w:w="747" w:type="pct"/>
          </w:tcPr>
          <w:p w14:paraId="21414A18" w14:textId="77777777" w:rsidR="00BB4E20" w:rsidRPr="00064185" w:rsidRDefault="00BB4E20" w:rsidP="00EA61D8">
            <w:pPr>
              <w:keepNext/>
              <w:spacing w:before="60" w:after="60"/>
            </w:pPr>
            <w:r w:rsidRPr="00064185">
              <w:t>CIPAC method MT 46.3</w:t>
            </w:r>
          </w:p>
          <w:p w14:paraId="60C42D5E" w14:textId="77777777" w:rsidR="00E56263" w:rsidRPr="00064185" w:rsidRDefault="00BB4E20" w:rsidP="00EA61D8">
            <w:pPr>
              <w:rPr>
                <w:rFonts w:eastAsia="Calibri"/>
              </w:rPr>
            </w:pPr>
            <w:r w:rsidRPr="00064185">
              <w:t>The test was performed with commercial packages of the formulation (PET trigger bottle).</w:t>
            </w:r>
          </w:p>
        </w:tc>
        <w:tc>
          <w:tcPr>
            <w:tcW w:w="707" w:type="pct"/>
          </w:tcPr>
          <w:p w14:paraId="610D6742" w14:textId="24543C4E" w:rsidR="00E56263" w:rsidRPr="00064185" w:rsidRDefault="00365523" w:rsidP="00EA61D8">
            <w:pPr>
              <w:rPr>
                <w:rFonts w:eastAsia="Calibri"/>
              </w:rPr>
            </w:pPr>
            <w:r w:rsidRPr="00064185">
              <w:t>100</w:t>
            </w:r>
            <w:r w:rsidR="00FE032C" w:rsidRPr="00064185">
              <w:t>%</w:t>
            </w:r>
          </w:p>
        </w:tc>
        <w:tc>
          <w:tcPr>
            <w:tcW w:w="1419" w:type="pct"/>
          </w:tcPr>
          <w:p w14:paraId="5A3F2F55" w14:textId="77777777" w:rsidR="00E56263" w:rsidRPr="00064185" w:rsidRDefault="00BB4E20" w:rsidP="00EA61D8">
            <w:pPr>
              <w:rPr>
                <w:rFonts w:eastAsia="Calibri"/>
              </w:rPr>
            </w:pPr>
            <w:r w:rsidRPr="00064185">
              <w:t xml:space="preserve">The formulation is stable at 54°C for 2 weeks. No significant changes of physical-chemical properties and packaging stability occurred during the test. The a.s. content was 0.0533% w/w before and 0.0531% w/w after the storage. The appearance, pH value, relative density, persistent foaming, wet sieving and pourability were measured before and after storage. Results for these tests were considered acceptable before and after storage and are discussed under the relevant </w:t>
            </w:r>
            <w:r w:rsidR="004A259A" w:rsidRPr="00064185">
              <w:t>section</w:t>
            </w:r>
            <w:r w:rsidRPr="00064185">
              <w:t xml:space="preserve"> points.</w:t>
            </w:r>
          </w:p>
        </w:tc>
        <w:tc>
          <w:tcPr>
            <w:tcW w:w="824" w:type="pct"/>
          </w:tcPr>
          <w:p w14:paraId="4507C059" w14:textId="77777777" w:rsidR="00E56263" w:rsidRPr="00064185" w:rsidRDefault="00BB4E20" w:rsidP="00EA61D8">
            <w:pPr>
              <w:rPr>
                <w:rFonts w:eastAsia="Calibri"/>
              </w:rPr>
            </w:pPr>
            <w:r w:rsidRPr="00064185">
              <w:t>Wochner, 2009</w:t>
            </w:r>
          </w:p>
        </w:tc>
      </w:tr>
      <w:tr w:rsidR="00064185" w:rsidRPr="00064185" w14:paraId="58BDBA44" w14:textId="77777777" w:rsidTr="00694A42">
        <w:trPr>
          <w:cantSplit/>
        </w:trPr>
        <w:tc>
          <w:tcPr>
            <w:tcW w:w="1303" w:type="pct"/>
          </w:tcPr>
          <w:p w14:paraId="007E9154" w14:textId="77777777" w:rsidR="00E56263" w:rsidRPr="00064185" w:rsidRDefault="00E56263" w:rsidP="00EA61D8">
            <w:pPr>
              <w:rPr>
                <w:rFonts w:eastAsia="Calibri"/>
              </w:rPr>
            </w:pPr>
            <w:r w:rsidRPr="00064185">
              <w:rPr>
                <w:rFonts w:eastAsia="Calibri"/>
              </w:rPr>
              <w:t xml:space="preserve">Storage stability test – </w:t>
            </w:r>
            <w:r w:rsidRPr="00064185">
              <w:rPr>
                <w:rFonts w:eastAsia="Calibri"/>
                <w:b/>
              </w:rPr>
              <w:t>long term storage at ambient temperature</w:t>
            </w:r>
          </w:p>
        </w:tc>
        <w:tc>
          <w:tcPr>
            <w:tcW w:w="747" w:type="pct"/>
          </w:tcPr>
          <w:p w14:paraId="1299E96F" w14:textId="77777777" w:rsidR="00932E97" w:rsidRPr="00064185" w:rsidRDefault="00932E97" w:rsidP="00EA61D8">
            <w:pPr>
              <w:keepNext/>
              <w:spacing w:before="60" w:after="60"/>
            </w:pPr>
            <w:r w:rsidRPr="00064185">
              <w:t>Storage stability for 2 years at 20°C (comparable to GIFAP Monograph No. 17)</w:t>
            </w:r>
          </w:p>
          <w:p w14:paraId="359CF75B" w14:textId="77777777" w:rsidR="00E56263" w:rsidRPr="00064185" w:rsidRDefault="00932E97" w:rsidP="00EA61D8">
            <w:pPr>
              <w:rPr>
                <w:rFonts w:eastAsia="Calibri"/>
              </w:rPr>
            </w:pPr>
            <w:r w:rsidRPr="00064185">
              <w:t>The test was performed with commercial packages of the formulation (PET trigger bottle)</w:t>
            </w:r>
          </w:p>
        </w:tc>
        <w:tc>
          <w:tcPr>
            <w:tcW w:w="707" w:type="pct"/>
          </w:tcPr>
          <w:p w14:paraId="61CA2D98" w14:textId="6BFE81BE" w:rsidR="00E56263" w:rsidRPr="00064185" w:rsidRDefault="00365523" w:rsidP="00EA61D8">
            <w:pPr>
              <w:rPr>
                <w:rFonts w:eastAsia="Calibri"/>
              </w:rPr>
            </w:pPr>
            <w:r w:rsidRPr="00064185">
              <w:t>100</w:t>
            </w:r>
            <w:r w:rsidR="00FE032C" w:rsidRPr="00064185">
              <w:t>%</w:t>
            </w:r>
          </w:p>
        </w:tc>
        <w:tc>
          <w:tcPr>
            <w:tcW w:w="1419" w:type="pct"/>
          </w:tcPr>
          <w:p w14:paraId="244405F9" w14:textId="1EF8BD49" w:rsidR="00F51828" w:rsidRPr="00064185" w:rsidRDefault="00932E97" w:rsidP="00EA61D8">
            <w:r w:rsidRPr="00064185">
              <w:t xml:space="preserve">The formulation is stable for 2 years at 20°C. No significant changes of physical-chemical properties and packaging stability occurred during the test. The a.s. content was 0.0533% w/w before and 0.0516% w/w after the storage. The appearance, pH value, relative density, persistent foaming, wet sieving and pourability were measured before and after storage. Results for these tests were considered acceptable before and after storage and are discussed under the relevant </w:t>
            </w:r>
            <w:r w:rsidR="004A259A" w:rsidRPr="00064185">
              <w:t>section</w:t>
            </w:r>
            <w:r w:rsidRPr="00064185">
              <w:t xml:space="preserve"> points.</w:t>
            </w:r>
          </w:p>
        </w:tc>
        <w:tc>
          <w:tcPr>
            <w:tcW w:w="824" w:type="pct"/>
          </w:tcPr>
          <w:p w14:paraId="60A5EE8E" w14:textId="77777777" w:rsidR="00E56263" w:rsidRPr="00064185" w:rsidRDefault="00932E97" w:rsidP="00EA61D8">
            <w:pPr>
              <w:rPr>
                <w:rFonts w:eastAsia="Calibri"/>
              </w:rPr>
            </w:pPr>
            <w:r w:rsidRPr="00064185">
              <w:t>Wochner, 2012a</w:t>
            </w:r>
          </w:p>
        </w:tc>
      </w:tr>
      <w:tr w:rsidR="00064185" w:rsidRPr="00064185" w14:paraId="219A98BF" w14:textId="77777777" w:rsidTr="002307AB">
        <w:trPr>
          <w:cantSplit/>
          <w:trHeight w:val="4504"/>
        </w:trPr>
        <w:tc>
          <w:tcPr>
            <w:tcW w:w="1303" w:type="pct"/>
            <w:shd w:val="clear" w:color="auto" w:fill="auto"/>
          </w:tcPr>
          <w:p w14:paraId="6B6FD301" w14:textId="63B040AE" w:rsidR="00F51828" w:rsidRPr="00064185" w:rsidRDefault="00F51828" w:rsidP="00EA61D8">
            <w:pPr>
              <w:rPr>
                <w:rFonts w:eastAsia="Calibri"/>
              </w:rPr>
            </w:pPr>
            <w:r w:rsidRPr="00064185">
              <w:lastRenderedPageBreak/>
              <w:t>Storage stability test -long term storage at ambient temperature</w:t>
            </w:r>
          </w:p>
        </w:tc>
        <w:tc>
          <w:tcPr>
            <w:tcW w:w="747" w:type="pct"/>
            <w:shd w:val="clear" w:color="auto" w:fill="auto"/>
          </w:tcPr>
          <w:p w14:paraId="44F279B0" w14:textId="77777777" w:rsidR="00F51828" w:rsidRPr="00064185" w:rsidRDefault="00F51828" w:rsidP="00EA61D8">
            <w:pPr>
              <w:keepNext/>
              <w:spacing w:before="60" w:after="60"/>
            </w:pPr>
            <w:r w:rsidRPr="00064185">
              <w:t>Storage stability for 4 years at 20°C (GIFAP Monograph No. 17)</w:t>
            </w:r>
          </w:p>
          <w:p w14:paraId="3BFEBD75" w14:textId="6545A84D" w:rsidR="00F51828" w:rsidRPr="00064185" w:rsidRDefault="00F51828" w:rsidP="00EA61D8">
            <w:pPr>
              <w:keepNext/>
              <w:spacing w:before="60" w:after="60"/>
            </w:pPr>
            <w:r w:rsidRPr="00064185">
              <w:t>The test was performed with the commercial packages of the formulation (</w:t>
            </w:r>
            <w:r w:rsidR="00A4471D" w:rsidRPr="00064185">
              <w:t xml:space="preserve">Transparent </w:t>
            </w:r>
            <w:r w:rsidRPr="00064185">
              <w:t>PET</w:t>
            </w:r>
            <w:r w:rsidR="00A4471D" w:rsidRPr="00064185">
              <w:t>- bottle 500 ml with</w:t>
            </w:r>
            <w:r w:rsidRPr="00064185">
              <w:t xml:space="preserve"> trigger </w:t>
            </w:r>
            <w:r w:rsidR="00A4471D" w:rsidRPr="00064185">
              <w:t>sprayer</w:t>
            </w:r>
            <w:r w:rsidRPr="00064185">
              <w:t>)</w:t>
            </w:r>
          </w:p>
        </w:tc>
        <w:tc>
          <w:tcPr>
            <w:tcW w:w="707" w:type="pct"/>
            <w:shd w:val="clear" w:color="auto" w:fill="auto"/>
          </w:tcPr>
          <w:p w14:paraId="36B70127" w14:textId="272965E2" w:rsidR="00F51828" w:rsidRPr="00064185" w:rsidRDefault="00DF159E" w:rsidP="00EA61D8">
            <w:r w:rsidRPr="00064185">
              <w:t>100</w:t>
            </w:r>
            <w:r w:rsidR="00F51828" w:rsidRPr="00064185">
              <w:t>%</w:t>
            </w:r>
          </w:p>
        </w:tc>
        <w:tc>
          <w:tcPr>
            <w:tcW w:w="1419" w:type="pct"/>
            <w:shd w:val="clear" w:color="auto" w:fill="auto"/>
          </w:tcPr>
          <w:p w14:paraId="38AE3614" w14:textId="581DF859" w:rsidR="00DF159E" w:rsidRPr="00064185" w:rsidRDefault="00DF159E" w:rsidP="00EA61D8">
            <w:r w:rsidRPr="00064185">
              <w:t xml:space="preserve">The formulation is stable for 4 years at 20°C. </w:t>
            </w:r>
          </w:p>
          <w:p w14:paraId="7F1EFCA6" w14:textId="77777777" w:rsidR="009F157F" w:rsidRPr="00064185" w:rsidRDefault="00DF159E" w:rsidP="00EA61D8">
            <w:r w:rsidRPr="00064185">
              <w:t>The a.s. content</w:t>
            </w:r>
            <w:r w:rsidR="009F157F" w:rsidRPr="00064185">
              <w:t>:</w:t>
            </w:r>
          </w:p>
          <w:p w14:paraId="14A09259" w14:textId="03ECB8FE" w:rsidR="009F157F" w:rsidRPr="00064185" w:rsidRDefault="0020580C" w:rsidP="00EA61D8">
            <w:r w:rsidRPr="00064185">
              <w:t>Bef</w:t>
            </w:r>
            <w:r w:rsidR="009F157F" w:rsidRPr="00064185">
              <w:t>or</w:t>
            </w:r>
            <w:r w:rsidRPr="00064185">
              <w:t>e</w:t>
            </w:r>
            <w:r w:rsidR="009F157F" w:rsidRPr="00064185">
              <w:t xml:space="preserve"> storage: </w:t>
            </w:r>
            <w:r w:rsidR="00DF159E" w:rsidRPr="00064185">
              <w:t>0.</w:t>
            </w:r>
            <w:r w:rsidR="009F157F" w:rsidRPr="00064185">
              <w:t>501g/L</w:t>
            </w:r>
            <w:r w:rsidR="00DF159E" w:rsidRPr="00064185">
              <w:t xml:space="preserve"> </w:t>
            </w:r>
          </w:p>
          <w:p w14:paraId="68EC41B5" w14:textId="77777777" w:rsidR="009F157F" w:rsidRPr="00064185" w:rsidRDefault="009F157F" w:rsidP="00EA61D8">
            <w:r w:rsidRPr="00064185">
              <w:t xml:space="preserve">After 24 months storage: </w:t>
            </w:r>
            <w:r w:rsidR="00DF159E" w:rsidRPr="00064185">
              <w:t>0.</w:t>
            </w:r>
            <w:r w:rsidRPr="00064185">
              <w:t>513g/L</w:t>
            </w:r>
          </w:p>
          <w:p w14:paraId="025D1488" w14:textId="4ECD271D" w:rsidR="009F157F" w:rsidRPr="00064185" w:rsidRDefault="009F157F" w:rsidP="00EA61D8">
            <w:r w:rsidRPr="00064185">
              <w:t>After 36 months storage: 0.514g/L</w:t>
            </w:r>
          </w:p>
          <w:p w14:paraId="6E795CF4" w14:textId="458B0AEE" w:rsidR="009F157F" w:rsidRPr="00064185" w:rsidRDefault="009F157F" w:rsidP="00EA61D8">
            <w:r w:rsidRPr="00064185">
              <w:t>After 48 months storage: 0.514g/L</w:t>
            </w:r>
          </w:p>
          <w:p w14:paraId="4614CBB2" w14:textId="6662CF5C" w:rsidR="009F157F" w:rsidRPr="00064185" w:rsidRDefault="009F157F" w:rsidP="00EA61D8">
            <w:r w:rsidRPr="00064185">
              <w:t>After storage at 20°C for 48 months no significant alteration of the ingredient content was determined. (+2.66%)</w:t>
            </w:r>
          </w:p>
          <w:p w14:paraId="33B78C95" w14:textId="4CA573EC" w:rsidR="00DF159E" w:rsidRPr="00064185" w:rsidRDefault="00DF159E" w:rsidP="00EA61D8"/>
          <w:p w14:paraId="72FC2412" w14:textId="12573C82" w:rsidR="00DF159E" w:rsidRPr="00064185" w:rsidRDefault="00A4471D" w:rsidP="00EA61D8">
            <w:r w:rsidRPr="00064185">
              <w:t xml:space="preserve">Appearance of formulation: During storage, no changes occurred. </w:t>
            </w:r>
          </w:p>
          <w:p w14:paraId="1940C9E6" w14:textId="77777777" w:rsidR="00A4471D" w:rsidRPr="00064185" w:rsidRDefault="00A4471D" w:rsidP="00EA61D8"/>
          <w:p w14:paraId="25B4123B" w14:textId="0E53C079" w:rsidR="00F51828" w:rsidRPr="00064185" w:rsidRDefault="00A4471D" w:rsidP="00EA61D8">
            <w:r w:rsidRPr="00064185">
              <w:t>Stability of packaging: During storage for 36 and 48 months, the bottle has contracted slightly.</w:t>
            </w:r>
          </w:p>
        </w:tc>
        <w:tc>
          <w:tcPr>
            <w:tcW w:w="824" w:type="pct"/>
            <w:shd w:val="clear" w:color="auto" w:fill="auto"/>
          </w:tcPr>
          <w:p w14:paraId="082C2BD7" w14:textId="257C8D85" w:rsidR="00F51828" w:rsidRPr="00064185" w:rsidRDefault="00F51828" w:rsidP="00EA61D8">
            <w:r w:rsidRPr="00064185">
              <w:t>Schieck, 2018</w:t>
            </w:r>
          </w:p>
        </w:tc>
      </w:tr>
      <w:tr w:rsidR="00064185" w:rsidRPr="00064185" w14:paraId="284EAB33" w14:textId="77777777" w:rsidTr="00694A42">
        <w:trPr>
          <w:cantSplit/>
        </w:trPr>
        <w:tc>
          <w:tcPr>
            <w:tcW w:w="1303" w:type="pct"/>
          </w:tcPr>
          <w:p w14:paraId="019FA623" w14:textId="77777777" w:rsidR="00BB4E20" w:rsidRPr="00064185" w:rsidRDefault="00BB4E20" w:rsidP="00EA61D8">
            <w:pPr>
              <w:rPr>
                <w:rFonts w:eastAsia="Calibri"/>
              </w:rPr>
            </w:pPr>
            <w:r w:rsidRPr="00064185">
              <w:rPr>
                <w:rFonts w:eastAsia="Calibri"/>
              </w:rPr>
              <w:t xml:space="preserve">Storage stability test – </w:t>
            </w:r>
            <w:r w:rsidRPr="00064185">
              <w:rPr>
                <w:rFonts w:eastAsia="Calibri"/>
                <w:b/>
              </w:rPr>
              <w:t>low temperature stability test for liquids</w:t>
            </w:r>
          </w:p>
        </w:tc>
        <w:tc>
          <w:tcPr>
            <w:tcW w:w="747" w:type="pct"/>
          </w:tcPr>
          <w:p w14:paraId="64B5419D" w14:textId="77777777" w:rsidR="00BB4E20" w:rsidRPr="00064185" w:rsidRDefault="00BB4E20" w:rsidP="00EA61D8">
            <w:pPr>
              <w:keepNext/>
              <w:spacing w:before="60" w:after="60"/>
            </w:pPr>
            <w:r w:rsidRPr="00064185">
              <w:t>FAO/WHO</w:t>
            </w:r>
          </w:p>
          <w:p w14:paraId="18A30705" w14:textId="77777777" w:rsidR="00BB4E20" w:rsidRPr="00064185" w:rsidRDefault="00BB4E20" w:rsidP="00EA61D8">
            <w:pPr>
              <w:keepNext/>
              <w:spacing w:before="60" w:after="60"/>
            </w:pPr>
            <w:r w:rsidRPr="00064185">
              <w:t>4 freeze/thaw cycles:</w:t>
            </w:r>
          </w:p>
          <w:p w14:paraId="415107BC" w14:textId="77777777" w:rsidR="00BB4E20" w:rsidRPr="00064185" w:rsidRDefault="00BB4E20" w:rsidP="00EA61D8">
            <w:pPr>
              <w:rPr>
                <w:rFonts w:eastAsia="Calibri"/>
              </w:rPr>
            </w:pPr>
            <w:r w:rsidRPr="00064185">
              <w:t>20°C (±2°C) and -10°C (±2°C) in all four 18-hour-freeze/6-hour-melt cycles</w:t>
            </w:r>
          </w:p>
        </w:tc>
        <w:tc>
          <w:tcPr>
            <w:tcW w:w="707" w:type="pct"/>
          </w:tcPr>
          <w:p w14:paraId="5CA2849F" w14:textId="150D2332" w:rsidR="00BB4E20" w:rsidRPr="00064185" w:rsidRDefault="00365523" w:rsidP="00EA61D8">
            <w:pPr>
              <w:rPr>
                <w:rFonts w:eastAsia="Calibri"/>
              </w:rPr>
            </w:pPr>
            <w:r w:rsidRPr="00064185">
              <w:t>100</w:t>
            </w:r>
            <w:r w:rsidR="00FE032C" w:rsidRPr="00064185">
              <w:t>%</w:t>
            </w:r>
          </w:p>
        </w:tc>
        <w:tc>
          <w:tcPr>
            <w:tcW w:w="1419" w:type="pct"/>
          </w:tcPr>
          <w:p w14:paraId="61C6B2FB" w14:textId="77777777" w:rsidR="00BB4E20" w:rsidRPr="00064185" w:rsidRDefault="00BB4E20" w:rsidP="00EA61D8">
            <w:pPr>
              <w:keepNext/>
              <w:spacing w:before="60" w:after="60"/>
            </w:pPr>
            <w:r w:rsidRPr="00064185">
              <w:t>The following tests were performed with the freeze/thaw stored formulation:</w:t>
            </w:r>
          </w:p>
          <w:p w14:paraId="1ECD449E" w14:textId="77777777" w:rsidR="00BB4E20" w:rsidRPr="00064185" w:rsidRDefault="00BB4E20" w:rsidP="00EA61D8">
            <w:pPr>
              <w:keepNext/>
              <w:spacing w:before="60" w:after="60"/>
            </w:pPr>
            <w:r w:rsidRPr="00064185">
              <w:t>-pH value, 1% in deion. water: 6.2</w:t>
            </w:r>
          </w:p>
          <w:p w14:paraId="43CE176C" w14:textId="77777777" w:rsidR="00BB4E20" w:rsidRPr="00064185" w:rsidRDefault="00BB4E20" w:rsidP="00EA61D8">
            <w:pPr>
              <w:keepNext/>
              <w:spacing w:before="60" w:after="60"/>
            </w:pPr>
            <w:r w:rsidRPr="00064185">
              <w:t>-pH value, neat (undiluted): 6.0</w:t>
            </w:r>
          </w:p>
          <w:p w14:paraId="546562A6" w14:textId="77777777" w:rsidR="00BB4E20" w:rsidRPr="00064185" w:rsidRDefault="00BB4E20" w:rsidP="00EA61D8">
            <w:pPr>
              <w:keepNext/>
              <w:spacing w:before="60" w:after="60"/>
            </w:pPr>
            <w:r w:rsidRPr="00064185">
              <w:t>-Wet sieve test, 75 µm sieve: &lt;0.01%</w:t>
            </w:r>
          </w:p>
          <w:p w14:paraId="50866108" w14:textId="77777777" w:rsidR="00BB4E20" w:rsidRPr="00064185" w:rsidRDefault="00BB4E20" w:rsidP="00EA61D8">
            <w:pPr>
              <w:keepNext/>
              <w:spacing w:before="60" w:after="60"/>
            </w:pPr>
            <w:r w:rsidRPr="00064185">
              <w:t>-Pourability:</w:t>
            </w:r>
          </w:p>
          <w:p w14:paraId="4E454ADE" w14:textId="77777777" w:rsidR="00BB4E20" w:rsidRPr="00064185" w:rsidRDefault="00BB4E20" w:rsidP="00EA61D8">
            <w:pPr>
              <w:rPr>
                <w:rFonts w:eastAsia="Calibri"/>
              </w:rPr>
            </w:pPr>
            <w:r w:rsidRPr="00064185">
              <w:t>Pour residue: 0.23%</w:t>
            </w:r>
            <w:r w:rsidRPr="00064185">
              <w:br/>
              <w:t>Rinsed residue: 0.15%</w:t>
            </w:r>
          </w:p>
        </w:tc>
        <w:tc>
          <w:tcPr>
            <w:tcW w:w="824" w:type="pct"/>
          </w:tcPr>
          <w:p w14:paraId="5356141E" w14:textId="77777777" w:rsidR="00BB4E20" w:rsidRPr="00064185" w:rsidRDefault="00BB4E20" w:rsidP="00EA61D8">
            <w:pPr>
              <w:rPr>
                <w:rFonts w:eastAsia="Calibri"/>
              </w:rPr>
            </w:pPr>
            <w:r w:rsidRPr="00064185">
              <w:rPr>
                <w:lang w:val="en-US"/>
              </w:rPr>
              <w:t>Martin-Keusch, 2009b</w:t>
            </w:r>
          </w:p>
        </w:tc>
      </w:tr>
      <w:tr w:rsidR="00064185" w:rsidRPr="00064185" w14:paraId="564864EB" w14:textId="77777777" w:rsidTr="00694A42">
        <w:trPr>
          <w:cantSplit/>
        </w:trPr>
        <w:tc>
          <w:tcPr>
            <w:tcW w:w="1303" w:type="pct"/>
          </w:tcPr>
          <w:p w14:paraId="6D0A975F" w14:textId="77777777" w:rsidR="00BB4E20" w:rsidRPr="00064185" w:rsidRDefault="00BB4E20" w:rsidP="00EA61D8">
            <w:pPr>
              <w:rPr>
                <w:rFonts w:eastAsia="Calibri"/>
                <w:lang w:eastAsia="en-US"/>
              </w:rPr>
            </w:pPr>
            <w:r w:rsidRPr="00064185">
              <w:rPr>
                <w:rFonts w:eastAsia="Calibri"/>
                <w:lang w:eastAsia="en-US"/>
              </w:rPr>
              <w:lastRenderedPageBreak/>
              <w:t xml:space="preserve">Effects on content of the active substance and technical characteristics of the biocidal product - </w:t>
            </w:r>
            <w:r w:rsidRPr="00064185">
              <w:rPr>
                <w:rFonts w:eastAsia="Calibri"/>
                <w:b/>
                <w:lang w:eastAsia="en-US"/>
              </w:rPr>
              <w:t>light</w:t>
            </w:r>
          </w:p>
        </w:tc>
        <w:tc>
          <w:tcPr>
            <w:tcW w:w="747" w:type="pct"/>
          </w:tcPr>
          <w:p w14:paraId="4A5DFB2B" w14:textId="77777777" w:rsidR="00BB4E20" w:rsidRPr="00064185" w:rsidRDefault="000D41C6" w:rsidP="00EA61D8">
            <w:pPr>
              <w:spacing w:line="260" w:lineRule="atLeast"/>
              <w:rPr>
                <w:rFonts w:eastAsia="Calibri"/>
                <w:lang w:eastAsia="en-US"/>
              </w:rPr>
            </w:pPr>
            <w:r w:rsidRPr="00064185">
              <w:t>−</w:t>
            </w:r>
          </w:p>
        </w:tc>
        <w:tc>
          <w:tcPr>
            <w:tcW w:w="707" w:type="pct"/>
          </w:tcPr>
          <w:p w14:paraId="12796A94" w14:textId="77777777" w:rsidR="00BB4E20" w:rsidRPr="00064185" w:rsidRDefault="000D41C6" w:rsidP="00EA61D8">
            <w:pPr>
              <w:spacing w:line="260" w:lineRule="atLeast"/>
              <w:rPr>
                <w:rFonts w:eastAsia="Calibri"/>
                <w:lang w:eastAsia="en-US"/>
              </w:rPr>
            </w:pPr>
            <w:r w:rsidRPr="00064185">
              <w:t>−</w:t>
            </w:r>
          </w:p>
        </w:tc>
        <w:tc>
          <w:tcPr>
            <w:tcW w:w="1419" w:type="pct"/>
          </w:tcPr>
          <w:p w14:paraId="56FA6DF4" w14:textId="77777777" w:rsidR="00BB4E20" w:rsidRPr="00064185" w:rsidRDefault="000D41C6" w:rsidP="00EA61D8">
            <w:pPr>
              <w:spacing w:line="260" w:lineRule="atLeast"/>
              <w:rPr>
                <w:rFonts w:eastAsia="Calibri"/>
                <w:lang w:eastAsia="en-US"/>
              </w:rPr>
            </w:pPr>
            <w:r w:rsidRPr="00064185">
              <w:rPr>
                <w:rFonts w:eastAsia="Calibri"/>
                <w:lang w:eastAsia="en-US"/>
              </w:rPr>
              <w:t>Not applicable as the packaging is light-proof.</w:t>
            </w:r>
            <w:r w:rsidR="00512254" w:rsidRPr="00064185">
              <w:rPr>
                <w:rFonts w:eastAsia="Calibri"/>
                <w:lang w:eastAsia="en-US"/>
              </w:rPr>
              <w:t xml:space="preserve"> Therefore, the formulation is not exposed to light during storage.</w:t>
            </w:r>
          </w:p>
        </w:tc>
        <w:tc>
          <w:tcPr>
            <w:tcW w:w="824" w:type="pct"/>
          </w:tcPr>
          <w:p w14:paraId="605920B3" w14:textId="77777777" w:rsidR="00BB4E20" w:rsidRPr="00064185" w:rsidRDefault="000D41C6" w:rsidP="00EA61D8">
            <w:pPr>
              <w:spacing w:line="260" w:lineRule="atLeast"/>
              <w:rPr>
                <w:rFonts w:eastAsia="Calibri"/>
                <w:lang w:eastAsia="en-US"/>
              </w:rPr>
            </w:pPr>
            <w:r w:rsidRPr="00064185">
              <w:t>−</w:t>
            </w:r>
          </w:p>
        </w:tc>
      </w:tr>
      <w:tr w:rsidR="00064185" w:rsidRPr="00064185" w14:paraId="71F84565" w14:textId="77777777" w:rsidTr="00694A42">
        <w:trPr>
          <w:cantSplit/>
        </w:trPr>
        <w:tc>
          <w:tcPr>
            <w:tcW w:w="1303" w:type="pct"/>
          </w:tcPr>
          <w:p w14:paraId="325468CF" w14:textId="77777777" w:rsidR="00BB4E20" w:rsidRPr="00064185" w:rsidRDefault="00BB4E20" w:rsidP="00EA61D8">
            <w:pPr>
              <w:rPr>
                <w:rFonts w:eastAsia="Calibri"/>
              </w:rPr>
            </w:pPr>
            <w:r w:rsidRPr="00064185">
              <w:rPr>
                <w:rFonts w:eastAsia="Calibri"/>
              </w:rPr>
              <w:t xml:space="preserve">Effects on content of the active substance and technical characteristics of the biocidal product – </w:t>
            </w:r>
            <w:r w:rsidRPr="00064185">
              <w:rPr>
                <w:rFonts w:eastAsia="Calibri"/>
                <w:b/>
              </w:rPr>
              <w:t>temperature and humidity</w:t>
            </w:r>
          </w:p>
        </w:tc>
        <w:tc>
          <w:tcPr>
            <w:tcW w:w="747" w:type="pct"/>
          </w:tcPr>
          <w:p w14:paraId="6B459414" w14:textId="77777777" w:rsidR="00BB4E20" w:rsidRPr="00064185" w:rsidRDefault="000D41C6" w:rsidP="00EA61D8">
            <w:pPr>
              <w:rPr>
                <w:rFonts w:eastAsia="Calibri"/>
              </w:rPr>
            </w:pPr>
            <w:r w:rsidRPr="00064185">
              <w:t>−</w:t>
            </w:r>
          </w:p>
        </w:tc>
        <w:tc>
          <w:tcPr>
            <w:tcW w:w="707" w:type="pct"/>
          </w:tcPr>
          <w:p w14:paraId="674EBD06" w14:textId="77777777" w:rsidR="00BB4E20" w:rsidRPr="00064185" w:rsidRDefault="000D41C6" w:rsidP="00EA61D8">
            <w:pPr>
              <w:rPr>
                <w:rFonts w:eastAsia="Calibri"/>
              </w:rPr>
            </w:pPr>
            <w:r w:rsidRPr="00064185">
              <w:t>−</w:t>
            </w:r>
          </w:p>
        </w:tc>
        <w:tc>
          <w:tcPr>
            <w:tcW w:w="1419" w:type="pct"/>
          </w:tcPr>
          <w:p w14:paraId="52B66F76" w14:textId="63835763" w:rsidR="00BB4E20" w:rsidRPr="00064185" w:rsidRDefault="00B9714B" w:rsidP="00EA61D8">
            <w:pPr>
              <w:rPr>
                <w:rFonts w:eastAsia="Calibri"/>
              </w:rPr>
            </w:pPr>
            <w:r w:rsidRPr="00064185">
              <w:rPr>
                <w:rFonts w:eastAsia="Calibri"/>
              </w:rPr>
              <w:t xml:space="preserve">Not applicable because according to the label instructions the biocidal product has to be kept in original container, tightly closed, in a safe place. It has to be stored in a </w:t>
            </w:r>
            <w:r w:rsidR="00F021F4" w:rsidRPr="00064185">
              <w:rPr>
                <w:rFonts w:eastAsia="Calibri"/>
              </w:rPr>
              <w:t>cool, dry and frost free place.</w:t>
            </w:r>
          </w:p>
        </w:tc>
        <w:tc>
          <w:tcPr>
            <w:tcW w:w="824" w:type="pct"/>
          </w:tcPr>
          <w:p w14:paraId="3BDEEB5E" w14:textId="77777777" w:rsidR="00BB4E20" w:rsidRPr="00064185" w:rsidRDefault="000D41C6" w:rsidP="00EA61D8">
            <w:pPr>
              <w:rPr>
                <w:rFonts w:eastAsia="Calibri"/>
              </w:rPr>
            </w:pPr>
            <w:r w:rsidRPr="00064185">
              <w:t>−</w:t>
            </w:r>
          </w:p>
        </w:tc>
      </w:tr>
      <w:tr w:rsidR="00064185" w:rsidRPr="00064185" w14:paraId="3592E9EC" w14:textId="77777777" w:rsidTr="00694A42">
        <w:trPr>
          <w:cantSplit/>
        </w:trPr>
        <w:tc>
          <w:tcPr>
            <w:tcW w:w="1303" w:type="pct"/>
          </w:tcPr>
          <w:p w14:paraId="5C8B2222" w14:textId="77777777" w:rsidR="00BB4E20" w:rsidRPr="00064185" w:rsidRDefault="00BB4E20" w:rsidP="00EA61D8">
            <w:pPr>
              <w:rPr>
                <w:rFonts w:eastAsia="Calibri"/>
              </w:rPr>
            </w:pPr>
            <w:r w:rsidRPr="00064185">
              <w:rPr>
                <w:rFonts w:eastAsia="Calibri"/>
              </w:rPr>
              <w:t xml:space="preserve">Effects on content of the active substance and technical characteristics of the biocidal product - </w:t>
            </w:r>
            <w:r w:rsidRPr="00064185">
              <w:rPr>
                <w:rFonts w:eastAsia="Calibri"/>
                <w:b/>
              </w:rPr>
              <w:t>reactivity towards container material</w:t>
            </w:r>
          </w:p>
        </w:tc>
        <w:tc>
          <w:tcPr>
            <w:tcW w:w="747" w:type="pct"/>
          </w:tcPr>
          <w:p w14:paraId="60A968A9" w14:textId="77777777" w:rsidR="00BB4E20" w:rsidRPr="00064185" w:rsidRDefault="00672585" w:rsidP="00EA61D8">
            <w:pPr>
              <w:rPr>
                <w:rFonts w:eastAsia="Calibri"/>
              </w:rPr>
            </w:pPr>
            <w:r w:rsidRPr="00064185">
              <w:t>Accelerated storage at</w:t>
            </w:r>
            <w:r w:rsidR="00435CBF" w:rsidRPr="00064185">
              <w:t xml:space="preserve"> 54°C for 2 weeks and for 2 years at 20°C (CIPAC method MT 46.3 and GIFAP Monograph No. 17</w:t>
            </w:r>
            <w:r w:rsidRPr="00064185">
              <w:t>)</w:t>
            </w:r>
          </w:p>
        </w:tc>
        <w:tc>
          <w:tcPr>
            <w:tcW w:w="707" w:type="pct"/>
          </w:tcPr>
          <w:p w14:paraId="5E211454" w14:textId="1BB66E29" w:rsidR="00BB4E20" w:rsidRPr="00064185" w:rsidRDefault="00365523" w:rsidP="00EA61D8">
            <w:pPr>
              <w:rPr>
                <w:rFonts w:eastAsia="Calibri"/>
              </w:rPr>
            </w:pPr>
            <w:r w:rsidRPr="00064185">
              <w:t>100</w:t>
            </w:r>
            <w:r w:rsidR="00FE032C" w:rsidRPr="00064185">
              <w:t>%</w:t>
            </w:r>
          </w:p>
        </w:tc>
        <w:tc>
          <w:tcPr>
            <w:tcW w:w="1419" w:type="pct"/>
          </w:tcPr>
          <w:p w14:paraId="3615BACD" w14:textId="77777777" w:rsidR="00BB4E20" w:rsidRPr="00064185" w:rsidRDefault="00932E97" w:rsidP="00EA61D8">
            <w:pPr>
              <w:rPr>
                <w:rFonts w:eastAsia="Calibri"/>
              </w:rPr>
            </w:pPr>
            <w:r w:rsidRPr="00064185">
              <w:t>The formulation is stable at 54°C for 2 weeks and for 2 years at 20°C. No significant changes of packaging stability occurred during the test.</w:t>
            </w:r>
          </w:p>
        </w:tc>
        <w:tc>
          <w:tcPr>
            <w:tcW w:w="824" w:type="pct"/>
          </w:tcPr>
          <w:p w14:paraId="7AAC0D9B" w14:textId="77777777" w:rsidR="00BB4E20" w:rsidRPr="00064185" w:rsidRDefault="00932E97" w:rsidP="00EA61D8">
            <w:pPr>
              <w:rPr>
                <w:rFonts w:eastAsia="Calibri"/>
              </w:rPr>
            </w:pPr>
            <w:r w:rsidRPr="00064185">
              <w:t>Wochner, 2009 and 2012a</w:t>
            </w:r>
          </w:p>
        </w:tc>
      </w:tr>
      <w:tr w:rsidR="00064185" w:rsidRPr="00064185" w14:paraId="6062D910" w14:textId="77777777" w:rsidTr="00694A42">
        <w:trPr>
          <w:cantSplit/>
        </w:trPr>
        <w:tc>
          <w:tcPr>
            <w:tcW w:w="1303" w:type="pct"/>
          </w:tcPr>
          <w:p w14:paraId="6024CAE4" w14:textId="77777777" w:rsidR="00BB4E20" w:rsidRPr="00064185" w:rsidRDefault="00BB4E20" w:rsidP="00EA61D8">
            <w:pPr>
              <w:rPr>
                <w:rFonts w:eastAsia="Calibri"/>
              </w:rPr>
            </w:pPr>
            <w:r w:rsidRPr="00064185">
              <w:rPr>
                <w:rFonts w:eastAsia="Calibri"/>
              </w:rPr>
              <w:t>Wettability</w:t>
            </w:r>
          </w:p>
        </w:tc>
        <w:tc>
          <w:tcPr>
            <w:tcW w:w="747" w:type="pct"/>
          </w:tcPr>
          <w:p w14:paraId="7E886397" w14:textId="77777777" w:rsidR="00BB4E20" w:rsidRPr="00064185" w:rsidRDefault="00BD40C8" w:rsidP="00EA61D8">
            <w:pPr>
              <w:rPr>
                <w:rFonts w:eastAsia="Calibri"/>
              </w:rPr>
            </w:pPr>
            <w:r w:rsidRPr="00064185">
              <w:t>−</w:t>
            </w:r>
          </w:p>
        </w:tc>
        <w:tc>
          <w:tcPr>
            <w:tcW w:w="707" w:type="pct"/>
          </w:tcPr>
          <w:p w14:paraId="5161A518" w14:textId="77777777" w:rsidR="00BB4E20" w:rsidRPr="00064185" w:rsidRDefault="00BD40C8" w:rsidP="00EA61D8">
            <w:pPr>
              <w:rPr>
                <w:rFonts w:eastAsia="Calibri"/>
              </w:rPr>
            </w:pPr>
            <w:r w:rsidRPr="00064185">
              <w:t>−</w:t>
            </w:r>
          </w:p>
        </w:tc>
        <w:tc>
          <w:tcPr>
            <w:tcW w:w="1419" w:type="pct"/>
          </w:tcPr>
          <w:p w14:paraId="2A0772B2" w14:textId="77777777" w:rsidR="00BB4E20" w:rsidRPr="00064185" w:rsidRDefault="00BD40C8" w:rsidP="00EA61D8">
            <w:pPr>
              <w:rPr>
                <w:rFonts w:eastAsia="Calibri"/>
              </w:rPr>
            </w:pPr>
            <w:r w:rsidRPr="00064185">
              <w:rPr>
                <w:rFonts w:eastAsia="Calibri"/>
              </w:rPr>
              <w:t>The wettability must be determined for solid biocidal products. Since the biocidal product is liquid the wettability does not need to be performed.</w:t>
            </w:r>
          </w:p>
        </w:tc>
        <w:tc>
          <w:tcPr>
            <w:tcW w:w="824" w:type="pct"/>
          </w:tcPr>
          <w:p w14:paraId="7AC7DC7E" w14:textId="77777777" w:rsidR="00BB4E20" w:rsidRPr="00064185" w:rsidRDefault="00BD40C8" w:rsidP="00EA61D8">
            <w:pPr>
              <w:rPr>
                <w:rFonts w:eastAsia="Calibri"/>
              </w:rPr>
            </w:pPr>
            <w:r w:rsidRPr="00064185">
              <w:t>−</w:t>
            </w:r>
          </w:p>
        </w:tc>
      </w:tr>
      <w:tr w:rsidR="00064185" w:rsidRPr="00064185" w14:paraId="081B9F6E" w14:textId="77777777" w:rsidTr="00694A42">
        <w:trPr>
          <w:cantSplit/>
        </w:trPr>
        <w:tc>
          <w:tcPr>
            <w:tcW w:w="1303" w:type="pct"/>
          </w:tcPr>
          <w:p w14:paraId="4B2E2E6D" w14:textId="77777777" w:rsidR="00BB4E20" w:rsidRPr="00064185" w:rsidRDefault="00BB4E20" w:rsidP="00EA61D8">
            <w:pPr>
              <w:rPr>
                <w:rFonts w:eastAsia="Calibri"/>
              </w:rPr>
            </w:pPr>
            <w:r w:rsidRPr="00064185">
              <w:rPr>
                <w:rFonts w:eastAsia="Calibri"/>
              </w:rPr>
              <w:t>Suspensibility, spontaneity and dispersion stability</w:t>
            </w:r>
          </w:p>
        </w:tc>
        <w:tc>
          <w:tcPr>
            <w:tcW w:w="747" w:type="pct"/>
          </w:tcPr>
          <w:p w14:paraId="45B7EFDA" w14:textId="77777777" w:rsidR="00BB4E20" w:rsidRPr="00064185" w:rsidRDefault="00BD40C8" w:rsidP="00EA61D8">
            <w:pPr>
              <w:rPr>
                <w:rFonts w:eastAsia="Calibri"/>
              </w:rPr>
            </w:pPr>
            <w:r w:rsidRPr="00064185">
              <w:t>−</w:t>
            </w:r>
          </w:p>
        </w:tc>
        <w:tc>
          <w:tcPr>
            <w:tcW w:w="707" w:type="pct"/>
          </w:tcPr>
          <w:p w14:paraId="3C795962" w14:textId="77777777" w:rsidR="00BB4E20" w:rsidRPr="00064185" w:rsidRDefault="00BD40C8" w:rsidP="00EA61D8">
            <w:pPr>
              <w:rPr>
                <w:rFonts w:eastAsia="Calibri"/>
              </w:rPr>
            </w:pPr>
            <w:r w:rsidRPr="00064185">
              <w:t>−</w:t>
            </w:r>
          </w:p>
        </w:tc>
        <w:tc>
          <w:tcPr>
            <w:tcW w:w="1419" w:type="pct"/>
          </w:tcPr>
          <w:p w14:paraId="1666E09E" w14:textId="77777777" w:rsidR="00BB4E20" w:rsidRPr="00064185" w:rsidRDefault="00BD40C8" w:rsidP="00EA61D8">
            <w:pPr>
              <w:rPr>
                <w:rFonts w:eastAsia="Calibri"/>
              </w:rPr>
            </w:pPr>
            <w:r w:rsidRPr="00064185">
              <w:rPr>
                <w:rFonts w:eastAsia="Calibri"/>
              </w:rPr>
              <w:t>The suspensibility, spontaneity and dispersion stability must be determined for solid biocidal products or suspensions, respectively. Since the biocidal product is not solid and no suspension these tests do not need to be performed.</w:t>
            </w:r>
          </w:p>
        </w:tc>
        <w:tc>
          <w:tcPr>
            <w:tcW w:w="824" w:type="pct"/>
          </w:tcPr>
          <w:p w14:paraId="03C3C2FA" w14:textId="77777777" w:rsidR="00BB4E20" w:rsidRPr="00064185" w:rsidRDefault="00BD40C8" w:rsidP="00EA61D8">
            <w:pPr>
              <w:rPr>
                <w:rFonts w:eastAsia="Calibri"/>
              </w:rPr>
            </w:pPr>
            <w:r w:rsidRPr="00064185">
              <w:t>−</w:t>
            </w:r>
          </w:p>
        </w:tc>
      </w:tr>
      <w:tr w:rsidR="00064185" w:rsidRPr="00064185" w14:paraId="4EF01382" w14:textId="77777777" w:rsidTr="00694A42">
        <w:trPr>
          <w:cantSplit/>
        </w:trPr>
        <w:tc>
          <w:tcPr>
            <w:tcW w:w="1303" w:type="pct"/>
          </w:tcPr>
          <w:p w14:paraId="26BFF1B0" w14:textId="77777777" w:rsidR="00BB4E20" w:rsidRPr="00064185" w:rsidRDefault="00BB4E20" w:rsidP="00EA61D8">
            <w:pPr>
              <w:rPr>
                <w:rFonts w:eastAsia="Calibri"/>
              </w:rPr>
            </w:pPr>
            <w:r w:rsidRPr="00064185">
              <w:rPr>
                <w:rFonts w:eastAsia="Calibri"/>
              </w:rPr>
              <w:lastRenderedPageBreak/>
              <w:t>Wet sieve analysis and dry sieve test</w:t>
            </w:r>
          </w:p>
        </w:tc>
        <w:tc>
          <w:tcPr>
            <w:tcW w:w="747" w:type="pct"/>
          </w:tcPr>
          <w:p w14:paraId="2CA7C5A7" w14:textId="77777777" w:rsidR="00BB4E20" w:rsidRPr="00064185" w:rsidRDefault="00BD40C8" w:rsidP="00EA61D8">
            <w:pPr>
              <w:rPr>
                <w:rFonts w:eastAsia="Calibri"/>
              </w:rPr>
            </w:pPr>
            <w:r w:rsidRPr="00064185">
              <w:t>CIPAC method MT 185</w:t>
            </w:r>
          </w:p>
        </w:tc>
        <w:tc>
          <w:tcPr>
            <w:tcW w:w="707" w:type="pct"/>
          </w:tcPr>
          <w:p w14:paraId="3B5673E8" w14:textId="6D6C46DD" w:rsidR="00BB4E20" w:rsidRPr="00064185" w:rsidRDefault="00365523" w:rsidP="00EA61D8">
            <w:pPr>
              <w:rPr>
                <w:rFonts w:eastAsia="Calibri"/>
              </w:rPr>
            </w:pPr>
            <w:r w:rsidRPr="00064185">
              <w:t>100</w:t>
            </w:r>
            <w:r w:rsidR="00FE032C" w:rsidRPr="00064185">
              <w:t>%</w:t>
            </w:r>
          </w:p>
        </w:tc>
        <w:tc>
          <w:tcPr>
            <w:tcW w:w="1419" w:type="pct"/>
          </w:tcPr>
          <w:p w14:paraId="13D61D9C" w14:textId="15AB8567" w:rsidR="00A22C3D" w:rsidRPr="00064185" w:rsidRDefault="00A22C3D" w:rsidP="00EA61D8">
            <w:pPr>
              <w:keepNext/>
              <w:spacing w:before="60" w:after="60"/>
            </w:pPr>
            <w:r w:rsidRPr="00064185">
              <w:rPr>
                <w:rFonts w:cs="Arial"/>
              </w:rPr>
              <w:t>The tests were performed using a 75 μm sieve.</w:t>
            </w:r>
          </w:p>
          <w:p w14:paraId="7EA955C2" w14:textId="77777777" w:rsidR="00BD40C8" w:rsidRPr="00064185" w:rsidRDefault="00BD40C8" w:rsidP="00EA61D8">
            <w:pPr>
              <w:keepNext/>
              <w:spacing w:before="60" w:after="60"/>
            </w:pPr>
            <w:r w:rsidRPr="00064185">
              <w:t>Before storage and after storage for 2 weeks at 54°C:</w:t>
            </w:r>
            <w:r w:rsidRPr="00064185">
              <w:br/>
              <w:t>&lt;0.01% (PET)</w:t>
            </w:r>
          </w:p>
          <w:p w14:paraId="414BE272" w14:textId="77777777" w:rsidR="00BB4E20" w:rsidRPr="00064185" w:rsidRDefault="00BD40C8" w:rsidP="00EA61D8">
            <w:pPr>
              <w:rPr>
                <w:rFonts w:eastAsia="Calibri"/>
              </w:rPr>
            </w:pPr>
            <w:r w:rsidRPr="00064185">
              <w:t>After storage for 2 years at 20°C: 0.03% (PET)</w:t>
            </w:r>
          </w:p>
        </w:tc>
        <w:tc>
          <w:tcPr>
            <w:tcW w:w="824" w:type="pct"/>
          </w:tcPr>
          <w:p w14:paraId="173B09B5" w14:textId="77777777" w:rsidR="00BB4E20" w:rsidRPr="00064185" w:rsidRDefault="00BD40C8" w:rsidP="00EA61D8">
            <w:pPr>
              <w:rPr>
                <w:rFonts w:eastAsia="Calibri"/>
              </w:rPr>
            </w:pPr>
            <w:r w:rsidRPr="00064185">
              <w:rPr>
                <w:lang w:val="en-US"/>
              </w:rPr>
              <w:t>Wochner, 2009</w:t>
            </w:r>
            <w:r w:rsidRPr="00064185">
              <w:t xml:space="preserve"> and 2012a</w:t>
            </w:r>
          </w:p>
        </w:tc>
      </w:tr>
      <w:tr w:rsidR="00064185" w:rsidRPr="00064185" w14:paraId="54529A12" w14:textId="77777777" w:rsidTr="00694A42">
        <w:trPr>
          <w:cantSplit/>
        </w:trPr>
        <w:tc>
          <w:tcPr>
            <w:tcW w:w="1303" w:type="pct"/>
          </w:tcPr>
          <w:p w14:paraId="308051D2" w14:textId="6B3BB81B" w:rsidR="00694A42" w:rsidRPr="00064185" w:rsidRDefault="00694A42" w:rsidP="00EA61D8">
            <w:pPr>
              <w:rPr>
                <w:rFonts w:eastAsia="Calibri"/>
              </w:rPr>
            </w:pPr>
          </w:p>
        </w:tc>
        <w:tc>
          <w:tcPr>
            <w:tcW w:w="747" w:type="pct"/>
          </w:tcPr>
          <w:p w14:paraId="090D0F9C" w14:textId="77777777" w:rsidR="00694A42" w:rsidRPr="00064185" w:rsidRDefault="00694A42" w:rsidP="00EA61D8">
            <w:r w:rsidRPr="00064185">
              <w:t>CIPAC method MT 185</w:t>
            </w:r>
          </w:p>
          <w:p w14:paraId="45CF9F82" w14:textId="551C7B4F" w:rsidR="00694A42" w:rsidRPr="00064185" w:rsidRDefault="00C04193" w:rsidP="00EA61D8">
            <w:r w:rsidRPr="00064185">
              <w:t>The test was performed with the commercial packages of the formulation (Transparent PET- bottle 500 ml with trigger sprayer)</w:t>
            </w:r>
          </w:p>
        </w:tc>
        <w:tc>
          <w:tcPr>
            <w:tcW w:w="707" w:type="pct"/>
          </w:tcPr>
          <w:p w14:paraId="49271D3C" w14:textId="34DB626C" w:rsidR="00694A42" w:rsidRPr="00064185" w:rsidRDefault="00694A42" w:rsidP="00EA61D8">
            <w:r w:rsidRPr="00064185">
              <w:t>100%</w:t>
            </w:r>
          </w:p>
        </w:tc>
        <w:tc>
          <w:tcPr>
            <w:tcW w:w="1419" w:type="pct"/>
          </w:tcPr>
          <w:p w14:paraId="697B4049" w14:textId="77777777" w:rsidR="00694A42" w:rsidRPr="00064185" w:rsidRDefault="00694A42" w:rsidP="00EA61D8">
            <w:pPr>
              <w:keepNext/>
              <w:spacing w:before="60" w:after="60"/>
              <w:rPr>
                <w:rFonts w:cs="Arial"/>
              </w:rPr>
            </w:pPr>
            <w:r w:rsidRPr="00064185">
              <w:rPr>
                <w:rFonts w:cs="Arial"/>
              </w:rPr>
              <w:t>Residue on 75 µm sieve:</w:t>
            </w:r>
          </w:p>
          <w:p w14:paraId="4EF2168F" w14:textId="16C76810" w:rsidR="00694A42" w:rsidRPr="00064185" w:rsidRDefault="00694A42" w:rsidP="00EA61D8">
            <w:pPr>
              <w:keepNext/>
              <w:spacing w:before="60" w:after="60"/>
            </w:pPr>
            <w:r w:rsidRPr="00064185">
              <w:t>Before storage: 0.0003%</w:t>
            </w:r>
          </w:p>
          <w:p w14:paraId="6382CCCC" w14:textId="2E00301E" w:rsidR="00694A42" w:rsidRPr="00064185" w:rsidRDefault="00694A42" w:rsidP="00EA61D8">
            <w:r w:rsidRPr="00064185">
              <w:t>After 24 months storage: 0.0073%</w:t>
            </w:r>
          </w:p>
          <w:p w14:paraId="2BF79BCF" w14:textId="03E0E2EA" w:rsidR="00694A42" w:rsidRPr="00064185" w:rsidRDefault="00694A42" w:rsidP="00EA61D8">
            <w:r w:rsidRPr="00064185">
              <w:t>After 36 months storage: 0.0071%</w:t>
            </w:r>
          </w:p>
          <w:p w14:paraId="7C996CEC" w14:textId="76023C5F" w:rsidR="00694A42" w:rsidRPr="00064185" w:rsidRDefault="00694A42" w:rsidP="00EA61D8">
            <w:pPr>
              <w:keepNext/>
              <w:spacing w:before="60" w:after="60"/>
            </w:pPr>
            <w:r w:rsidRPr="00064185">
              <w:t>After 48 months storage:0.0075%</w:t>
            </w:r>
          </w:p>
        </w:tc>
        <w:tc>
          <w:tcPr>
            <w:tcW w:w="824" w:type="pct"/>
          </w:tcPr>
          <w:p w14:paraId="24F489AE" w14:textId="043E75D9" w:rsidR="00694A42" w:rsidRPr="00064185" w:rsidRDefault="00694A42" w:rsidP="00EA61D8">
            <w:pPr>
              <w:rPr>
                <w:lang w:val="en-US"/>
              </w:rPr>
            </w:pPr>
            <w:r w:rsidRPr="00064185">
              <w:t>Schieck, 2018</w:t>
            </w:r>
          </w:p>
        </w:tc>
      </w:tr>
      <w:tr w:rsidR="00064185" w:rsidRPr="00064185" w14:paraId="4C19ACAE" w14:textId="77777777" w:rsidTr="00694A42">
        <w:trPr>
          <w:cantSplit/>
        </w:trPr>
        <w:tc>
          <w:tcPr>
            <w:tcW w:w="1303" w:type="pct"/>
          </w:tcPr>
          <w:p w14:paraId="6B294940" w14:textId="385E27F5" w:rsidR="00BB4E20" w:rsidRPr="00064185" w:rsidRDefault="00BB4E20" w:rsidP="00EA61D8">
            <w:pPr>
              <w:rPr>
                <w:rFonts w:eastAsia="Calibri"/>
              </w:rPr>
            </w:pPr>
            <w:r w:rsidRPr="00064185">
              <w:rPr>
                <w:rFonts w:eastAsia="Calibri"/>
              </w:rPr>
              <w:t>Emulsifiability, re-emulsifiability and emulsion stability</w:t>
            </w:r>
          </w:p>
        </w:tc>
        <w:tc>
          <w:tcPr>
            <w:tcW w:w="747" w:type="pct"/>
          </w:tcPr>
          <w:p w14:paraId="29EC1317" w14:textId="77777777" w:rsidR="00BB4E20" w:rsidRPr="00064185" w:rsidRDefault="00C46FC9" w:rsidP="00EA61D8">
            <w:pPr>
              <w:rPr>
                <w:rFonts w:eastAsia="Calibri"/>
              </w:rPr>
            </w:pPr>
            <w:r w:rsidRPr="00064185">
              <w:t>−</w:t>
            </w:r>
          </w:p>
        </w:tc>
        <w:tc>
          <w:tcPr>
            <w:tcW w:w="707" w:type="pct"/>
          </w:tcPr>
          <w:p w14:paraId="60A51020" w14:textId="77777777" w:rsidR="00BB4E20" w:rsidRPr="00064185" w:rsidRDefault="00C46FC9" w:rsidP="00EA61D8">
            <w:pPr>
              <w:rPr>
                <w:rFonts w:eastAsia="Calibri"/>
              </w:rPr>
            </w:pPr>
            <w:r w:rsidRPr="00064185">
              <w:t>−</w:t>
            </w:r>
          </w:p>
        </w:tc>
        <w:tc>
          <w:tcPr>
            <w:tcW w:w="1419" w:type="pct"/>
          </w:tcPr>
          <w:p w14:paraId="3768935C" w14:textId="25F4399D" w:rsidR="00BB4E20" w:rsidRPr="00064185" w:rsidRDefault="00C46FC9" w:rsidP="00EA61D8">
            <w:pPr>
              <w:rPr>
                <w:rFonts w:eastAsia="Calibri"/>
              </w:rPr>
            </w:pPr>
            <w:r w:rsidRPr="00064185">
              <w:rPr>
                <w:rFonts w:eastAsia="Calibri"/>
              </w:rPr>
              <w:t>The data on emulsifiabil</w:t>
            </w:r>
            <w:r w:rsidR="001F1AF8" w:rsidRPr="00064185">
              <w:rPr>
                <w:rFonts w:eastAsia="Calibri"/>
              </w:rPr>
              <w:t>i</w:t>
            </w:r>
            <w:r w:rsidRPr="00064185">
              <w:rPr>
                <w:rFonts w:eastAsia="Calibri"/>
              </w:rPr>
              <w:t>ty, re-emulsifiabil</w:t>
            </w:r>
            <w:r w:rsidR="001F1AF8" w:rsidRPr="00064185">
              <w:rPr>
                <w:rFonts w:eastAsia="Calibri"/>
              </w:rPr>
              <w:t>i</w:t>
            </w:r>
            <w:r w:rsidRPr="00064185">
              <w:rPr>
                <w:rFonts w:eastAsia="Calibri"/>
              </w:rPr>
              <w:t>ty and emulsion stability are required to determine whether a preparation forms and maintains a stable emulsion. Since the biocidal product is a ready-to-use product these tests do not need to be performed.</w:t>
            </w:r>
          </w:p>
        </w:tc>
        <w:tc>
          <w:tcPr>
            <w:tcW w:w="824" w:type="pct"/>
          </w:tcPr>
          <w:p w14:paraId="41EA144D" w14:textId="77777777" w:rsidR="00BB4E20" w:rsidRPr="00064185" w:rsidRDefault="00C46FC9" w:rsidP="00EA61D8">
            <w:pPr>
              <w:rPr>
                <w:rFonts w:eastAsia="Calibri"/>
              </w:rPr>
            </w:pPr>
            <w:r w:rsidRPr="00064185">
              <w:t>−</w:t>
            </w:r>
          </w:p>
        </w:tc>
      </w:tr>
      <w:tr w:rsidR="00064185" w:rsidRPr="00064185" w14:paraId="2202359A" w14:textId="77777777" w:rsidTr="00694A42">
        <w:trPr>
          <w:cantSplit/>
        </w:trPr>
        <w:tc>
          <w:tcPr>
            <w:tcW w:w="1303" w:type="pct"/>
          </w:tcPr>
          <w:p w14:paraId="10027FD5" w14:textId="77777777" w:rsidR="00C46FC9" w:rsidRPr="00064185" w:rsidRDefault="00C46FC9" w:rsidP="00EA61D8">
            <w:pPr>
              <w:rPr>
                <w:rFonts w:eastAsia="Calibri"/>
              </w:rPr>
            </w:pPr>
            <w:r w:rsidRPr="00064185">
              <w:rPr>
                <w:rFonts w:eastAsia="Calibri"/>
              </w:rPr>
              <w:t>Disintegration time</w:t>
            </w:r>
          </w:p>
        </w:tc>
        <w:tc>
          <w:tcPr>
            <w:tcW w:w="747" w:type="pct"/>
          </w:tcPr>
          <w:p w14:paraId="4AEEC214" w14:textId="77777777" w:rsidR="00C46FC9" w:rsidRPr="00064185" w:rsidRDefault="00C46FC9" w:rsidP="00EA61D8">
            <w:pPr>
              <w:rPr>
                <w:rFonts w:eastAsia="Calibri"/>
              </w:rPr>
            </w:pPr>
            <w:r w:rsidRPr="00064185">
              <w:t>−</w:t>
            </w:r>
          </w:p>
        </w:tc>
        <w:tc>
          <w:tcPr>
            <w:tcW w:w="707" w:type="pct"/>
          </w:tcPr>
          <w:p w14:paraId="44985FD8" w14:textId="77777777" w:rsidR="00C46FC9" w:rsidRPr="00064185" w:rsidRDefault="00C46FC9" w:rsidP="00EA61D8">
            <w:pPr>
              <w:rPr>
                <w:rFonts w:eastAsia="Calibri"/>
              </w:rPr>
            </w:pPr>
            <w:r w:rsidRPr="00064185">
              <w:t>−</w:t>
            </w:r>
          </w:p>
        </w:tc>
        <w:tc>
          <w:tcPr>
            <w:tcW w:w="1419" w:type="pct"/>
          </w:tcPr>
          <w:p w14:paraId="24A1AE7F" w14:textId="77777777" w:rsidR="00C46FC9" w:rsidRPr="00064185" w:rsidRDefault="00C46FC9" w:rsidP="00EA61D8">
            <w:pPr>
              <w:rPr>
                <w:rFonts w:eastAsia="Calibri"/>
              </w:rPr>
            </w:pPr>
            <w:r w:rsidRPr="00064185">
              <w:rPr>
                <w:rFonts w:eastAsia="Calibri"/>
              </w:rPr>
              <w:t>The disintegration time must be determined for biocidal products supplied as tablets. Since the biocidal product is liquid this test does not need to be performed.</w:t>
            </w:r>
          </w:p>
        </w:tc>
        <w:tc>
          <w:tcPr>
            <w:tcW w:w="824" w:type="pct"/>
          </w:tcPr>
          <w:p w14:paraId="69B00D7C" w14:textId="77777777" w:rsidR="00C46FC9" w:rsidRPr="00064185" w:rsidRDefault="00C46FC9" w:rsidP="00EA61D8">
            <w:pPr>
              <w:rPr>
                <w:rFonts w:eastAsia="Calibri"/>
              </w:rPr>
            </w:pPr>
            <w:r w:rsidRPr="00064185">
              <w:t>−</w:t>
            </w:r>
          </w:p>
        </w:tc>
      </w:tr>
      <w:tr w:rsidR="00064185" w:rsidRPr="00064185" w14:paraId="5735B9AE" w14:textId="77777777" w:rsidTr="00694A42">
        <w:trPr>
          <w:cantSplit/>
        </w:trPr>
        <w:tc>
          <w:tcPr>
            <w:tcW w:w="1303" w:type="pct"/>
          </w:tcPr>
          <w:p w14:paraId="49CF0978" w14:textId="77777777" w:rsidR="00C46FC9" w:rsidRPr="00064185" w:rsidRDefault="00C46FC9" w:rsidP="00EA61D8">
            <w:pPr>
              <w:rPr>
                <w:rFonts w:eastAsia="Calibri"/>
              </w:rPr>
            </w:pPr>
            <w:r w:rsidRPr="00064185">
              <w:rPr>
                <w:rFonts w:eastAsia="Calibri"/>
              </w:rPr>
              <w:lastRenderedPageBreak/>
              <w:t>Particle size distribution, content of dust/fines, attrition, friability</w:t>
            </w:r>
          </w:p>
        </w:tc>
        <w:tc>
          <w:tcPr>
            <w:tcW w:w="747" w:type="pct"/>
          </w:tcPr>
          <w:p w14:paraId="26AB2719" w14:textId="77777777" w:rsidR="00C46FC9" w:rsidRPr="00064185" w:rsidRDefault="00C46FC9" w:rsidP="00EA61D8">
            <w:pPr>
              <w:rPr>
                <w:rFonts w:eastAsia="Calibri"/>
              </w:rPr>
            </w:pPr>
            <w:r w:rsidRPr="00064185">
              <w:t>−</w:t>
            </w:r>
          </w:p>
        </w:tc>
        <w:tc>
          <w:tcPr>
            <w:tcW w:w="707" w:type="pct"/>
          </w:tcPr>
          <w:p w14:paraId="0F07B025" w14:textId="77777777" w:rsidR="00C46FC9" w:rsidRPr="00064185" w:rsidRDefault="00C46FC9" w:rsidP="00EA61D8">
            <w:pPr>
              <w:rPr>
                <w:rFonts w:eastAsia="Calibri"/>
              </w:rPr>
            </w:pPr>
            <w:r w:rsidRPr="00064185">
              <w:t>−</w:t>
            </w:r>
          </w:p>
        </w:tc>
        <w:tc>
          <w:tcPr>
            <w:tcW w:w="1419" w:type="pct"/>
          </w:tcPr>
          <w:p w14:paraId="34FD288D" w14:textId="77777777" w:rsidR="00C46FC9" w:rsidRPr="00064185" w:rsidRDefault="00C46FC9" w:rsidP="00EA61D8">
            <w:pPr>
              <w:rPr>
                <w:rFonts w:eastAsia="Calibri"/>
              </w:rPr>
            </w:pPr>
            <w:r w:rsidRPr="00064185">
              <w:rPr>
                <w:rFonts w:eastAsia="Calibri"/>
              </w:rPr>
              <w:t>The data on particle size distribution, content of dust/fines, attrition, and friability are required for solid biocidal products. Since the biocidal product is liquid these test</w:t>
            </w:r>
            <w:r w:rsidR="00F648AA" w:rsidRPr="00064185">
              <w:rPr>
                <w:rFonts w:eastAsia="Calibri"/>
              </w:rPr>
              <w:t>s</w:t>
            </w:r>
            <w:r w:rsidRPr="00064185">
              <w:rPr>
                <w:rFonts w:eastAsia="Calibri"/>
              </w:rPr>
              <w:t xml:space="preserve"> do not need to be performed.</w:t>
            </w:r>
          </w:p>
        </w:tc>
        <w:tc>
          <w:tcPr>
            <w:tcW w:w="824" w:type="pct"/>
          </w:tcPr>
          <w:p w14:paraId="6F096A08" w14:textId="77777777" w:rsidR="00C46FC9" w:rsidRPr="00064185" w:rsidRDefault="00C46FC9" w:rsidP="00EA61D8">
            <w:pPr>
              <w:rPr>
                <w:rFonts w:eastAsia="Calibri"/>
              </w:rPr>
            </w:pPr>
            <w:r w:rsidRPr="00064185">
              <w:t>−</w:t>
            </w:r>
          </w:p>
        </w:tc>
      </w:tr>
      <w:tr w:rsidR="00064185" w:rsidRPr="00064185" w14:paraId="40801834" w14:textId="77777777" w:rsidTr="00694A42">
        <w:trPr>
          <w:cantSplit/>
        </w:trPr>
        <w:tc>
          <w:tcPr>
            <w:tcW w:w="1303" w:type="pct"/>
          </w:tcPr>
          <w:p w14:paraId="43211CF4" w14:textId="77777777" w:rsidR="00C46FC9" w:rsidRPr="00064185" w:rsidRDefault="00C46FC9" w:rsidP="00EA61D8">
            <w:pPr>
              <w:rPr>
                <w:rFonts w:eastAsia="Calibri"/>
              </w:rPr>
            </w:pPr>
            <w:r w:rsidRPr="00064185">
              <w:rPr>
                <w:rFonts w:eastAsia="Calibri"/>
              </w:rPr>
              <w:t>Persistent foaming</w:t>
            </w:r>
          </w:p>
        </w:tc>
        <w:tc>
          <w:tcPr>
            <w:tcW w:w="747" w:type="pct"/>
          </w:tcPr>
          <w:p w14:paraId="6860A730" w14:textId="77777777" w:rsidR="00C46FC9" w:rsidRPr="00064185" w:rsidRDefault="00C46FC9" w:rsidP="00EA61D8">
            <w:pPr>
              <w:rPr>
                <w:rFonts w:eastAsia="Calibri"/>
              </w:rPr>
            </w:pPr>
            <w:r w:rsidRPr="00064185">
              <w:t>CIPAC method MT 47.2</w:t>
            </w:r>
          </w:p>
        </w:tc>
        <w:tc>
          <w:tcPr>
            <w:tcW w:w="707" w:type="pct"/>
          </w:tcPr>
          <w:p w14:paraId="5EFAC184" w14:textId="4B40368A" w:rsidR="00C46FC9" w:rsidRPr="00064185" w:rsidRDefault="00365523" w:rsidP="00EA61D8">
            <w:pPr>
              <w:rPr>
                <w:rFonts w:eastAsia="Calibri"/>
              </w:rPr>
            </w:pPr>
            <w:r w:rsidRPr="00064185">
              <w:t>100</w:t>
            </w:r>
            <w:r w:rsidR="00FE032C" w:rsidRPr="00064185">
              <w:t>%</w:t>
            </w:r>
          </w:p>
        </w:tc>
        <w:tc>
          <w:tcPr>
            <w:tcW w:w="1419" w:type="pct"/>
          </w:tcPr>
          <w:p w14:paraId="24F2A3EE" w14:textId="72AC63BE" w:rsidR="006639FF" w:rsidRPr="00064185" w:rsidRDefault="006639FF" w:rsidP="00EA61D8">
            <w:pPr>
              <w:keepNext/>
              <w:spacing w:before="60" w:after="60"/>
            </w:pPr>
            <w:r w:rsidRPr="00064185">
              <w:t xml:space="preserve">Values given below refer to </w:t>
            </w:r>
            <w:r w:rsidR="00046CED" w:rsidRPr="00064185">
              <w:t>volume measured</w:t>
            </w:r>
            <w:r w:rsidRPr="00064185">
              <w:t xml:space="preserve"> after 1 minute</w:t>
            </w:r>
          </w:p>
          <w:p w14:paraId="54DEC011" w14:textId="77777777" w:rsidR="00C46FC9" w:rsidRPr="00064185" w:rsidRDefault="00C46FC9" w:rsidP="00EA61D8">
            <w:pPr>
              <w:keepNext/>
              <w:spacing w:before="60" w:after="60"/>
            </w:pPr>
            <w:r w:rsidRPr="00064185">
              <w:t>Before storage: 44 m</w:t>
            </w:r>
            <w:r w:rsidR="002541F3" w:rsidRPr="00064185">
              <w:t>l</w:t>
            </w:r>
            <w:r w:rsidRPr="00064185">
              <w:t xml:space="preserve"> (PET)</w:t>
            </w:r>
          </w:p>
          <w:p w14:paraId="007B2139" w14:textId="78F0D0B5" w:rsidR="00C46FC9" w:rsidRPr="00064185" w:rsidRDefault="00C46FC9" w:rsidP="00EA61D8">
            <w:pPr>
              <w:keepNext/>
              <w:spacing w:before="60" w:after="60"/>
            </w:pPr>
            <w:r w:rsidRPr="00064185">
              <w:t>After storage for 2 weeks at 54°C: 20 m</w:t>
            </w:r>
            <w:r w:rsidR="001F1AF8" w:rsidRPr="00064185">
              <w:t>l</w:t>
            </w:r>
            <w:r w:rsidRPr="00064185">
              <w:t xml:space="preserve"> (PET)</w:t>
            </w:r>
          </w:p>
          <w:p w14:paraId="0EB64168" w14:textId="2CE0B8A3" w:rsidR="00C46FC9" w:rsidRPr="00064185" w:rsidRDefault="00C46FC9" w:rsidP="00EA61D8">
            <w:pPr>
              <w:rPr>
                <w:rFonts w:eastAsia="Calibri"/>
              </w:rPr>
            </w:pPr>
            <w:r w:rsidRPr="00064185">
              <w:t>After storage for 2 years at 20°C: 3 m</w:t>
            </w:r>
            <w:r w:rsidR="001F1AF8" w:rsidRPr="00064185">
              <w:t>l</w:t>
            </w:r>
            <w:r w:rsidRPr="00064185">
              <w:t xml:space="preserve"> (PET)</w:t>
            </w:r>
          </w:p>
        </w:tc>
        <w:tc>
          <w:tcPr>
            <w:tcW w:w="824" w:type="pct"/>
          </w:tcPr>
          <w:p w14:paraId="00F7E104" w14:textId="77777777" w:rsidR="00C46FC9" w:rsidRPr="00064185" w:rsidRDefault="00C46FC9" w:rsidP="00EA61D8">
            <w:pPr>
              <w:rPr>
                <w:rFonts w:eastAsia="Calibri"/>
              </w:rPr>
            </w:pPr>
            <w:r w:rsidRPr="00064185">
              <w:rPr>
                <w:lang w:val="en-US"/>
              </w:rPr>
              <w:t>Wochner, 2009</w:t>
            </w:r>
            <w:r w:rsidRPr="00064185">
              <w:t xml:space="preserve"> and 2012a</w:t>
            </w:r>
          </w:p>
        </w:tc>
      </w:tr>
      <w:tr w:rsidR="00064185" w:rsidRPr="00064185" w14:paraId="15D3B1F9" w14:textId="77777777" w:rsidTr="00694A42">
        <w:trPr>
          <w:cantSplit/>
        </w:trPr>
        <w:tc>
          <w:tcPr>
            <w:tcW w:w="1303" w:type="pct"/>
          </w:tcPr>
          <w:p w14:paraId="39103D4C" w14:textId="77777777" w:rsidR="00694A42" w:rsidRPr="00064185" w:rsidRDefault="00694A42" w:rsidP="00EA61D8">
            <w:pPr>
              <w:rPr>
                <w:rFonts w:eastAsia="Calibri"/>
              </w:rPr>
            </w:pPr>
          </w:p>
        </w:tc>
        <w:tc>
          <w:tcPr>
            <w:tcW w:w="747" w:type="pct"/>
          </w:tcPr>
          <w:p w14:paraId="6C8A0F4E" w14:textId="77777777" w:rsidR="00694A42" w:rsidRPr="00064185" w:rsidRDefault="00694A42" w:rsidP="00EA61D8">
            <w:r w:rsidRPr="00064185">
              <w:t>CIPAC method MT 47.2</w:t>
            </w:r>
          </w:p>
          <w:p w14:paraId="3F0C6FAA" w14:textId="077A026C" w:rsidR="00694A42" w:rsidRPr="00064185" w:rsidRDefault="00C04193" w:rsidP="00EA61D8">
            <w:r w:rsidRPr="00064185">
              <w:t>The test was performed with the commercial packages of the formulation (Transparent PET- bottle 500 ml with trigger sprayer)</w:t>
            </w:r>
          </w:p>
        </w:tc>
        <w:tc>
          <w:tcPr>
            <w:tcW w:w="707" w:type="pct"/>
          </w:tcPr>
          <w:p w14:paraId="5B24AB8A" w14:textId="3A0D3B72" w:rsidR="00694A42" w:rsidRPr="00064185" w:rsidRDefault="00694A42" w:rsidP="00EA61D8">
            <w:r w:rsidRPr="00064185">
              <w:t>100%</w:t>
            </w:r>
          </w:p>
        </w:tc>
        <w:tc>
          <w:tcPr>
            <w:tcW w:w="1419" w:type="pct"/>
          </w:tcPr>
          <w:p w14:paraId="049CD907" w14:textId="77777777" w:rsidR="0020580C" w:rsidRPr="00064185" w:rsidRDefault="0020580C" w:rsidP="00EA61D8">
            <w:pPr>
              <w:keepNext/>
              <w:spacing w:before="60" w:after="60"/>
            </w:pPr>
            <w:r w:rsidRPr="00064185">
              <w:t xml:space="preserve">Before storage: </w:t>
            </w:r>
          </w:p>
          <w:p w14:paraId="3635E900" w14:textId="2B81A890" w:rsidR="00694A42" w:rsidRPr="00064185" w:rsidRDefault="00694A42" w:rsidP="00EA61D8">
            <w:pPr>
              <w:keepNext/>
              <w:spacing w:before="60" w:after="60"/>
            </w:pPr>
            <w:r w:rsidRPr="00064185">
              <w:t xml:space="preserve">Foaming could be observed </w:t>
            </w:r>
          </w:p>
          <w:p w14:paraId="408BA286" w14:textId="4D38868E" w:rsidR="00694A42" w:rsidRPr="00064185" w:rsidRDefault="00694A42" w:rsidP="00EA61D8">
            <w:pPr>
              <w:keepNext/>
              <w:spacing w:before="60" w:after="60"/>
            </w:pPr>
            <w:r w:rsidRPr="00064185">
              <w:t>(up to 44 mL)</w:t>
            </w:r>
          </w:p>
          <w:p w14:paraId="5F7E2F90" w14:textId="38BF95AD" w:rsidR="00694A42" w:rsidRPr="00064185" w:rsidRDefault="00694A42" w:rsidP="00EA61D8">
            <w:pPr>
              <w:keepNext/>
              <w:spacing w:before="60" w:after="60"/>
            </w:pPr>
            <w:r w:rsidRPr="00064185">
              <w:t>12 min after agitation 3 mL of foam remained</w:t>
            </w:r>
          </w:p>
          <w:p w14:paraId="59615DB1" w14:textId="56EE7981" w:rsidR="00694A42" w:rsidRPr="00064185" w:rsidRDefault="00694A42" w:rsidP="00EA61D8">
            <w:pPr>
              <w:keepNext/>
              <w:spacing w:before="60" w:after="60"/>
            </w:pPr>
            <w:r w:rsidRPr="00064185">
              <w:t xml:space="preserve">After 24 months storage: </w:t>
            </w:r>
          </w:p>
          <w:p w14:paraId="0D995649" w14:textId="77777777" w:rsidR="00694A42" w:rsidRPr="00064185" w:rsidRDefault="00694A42" w:rsidP="00EA61D8">
            <w:pPr>
              <w:keepNext/>
              <w:spacing w:before="60" w:after="60"/>
            </w:pPr>
            <w:r w:rsidRPr="00064185">
              <w:t xml:space="preserve">Foaming could be observed </w:t>
            </w:r>
          </w:p>
          <w:p w14:paraId="4E8FE9DD" w14:textId="11C8AF9D" w:rsidR="00694A42" w:rsidRPr="00064185" w:rsidRDefault="00694A42" w:rsidP="00EA61D8">
            <w:pPr>
              <w:keepNext/>
              <w:spacing w:before="60" w:after="60"/>
            </w:pPr>
            <w:r w:rsidRPr="00064185">
              <w:t>(up to 7 mL)</w:t>
            </w:r>
          </w:p>
          <w:p w14:paraId="15B83876" w14:textId="7D80295B" w:rsidR="00694A42" w:rsidRPr="00064185" w:rsidRDefault="00694A42" w:rsidP="00EA61D8">
            <w:pPr>
              <w:keepNext/>
              <w:spacing w:before="60" w:after="60"/>
            </w:pPr>
            <w:r w:rsidRPr="00064185">
              <w:t>12 min after agitation 1 mL of foam remained</w:t>
            </w:r>
          </w:p>
          <w:p w14:paraId="61E773FC" w14:textId="1F57B7C1" w:rsidR="00694A42" w:rsidRPr="00064185" w:rsidRDefault="00694A42" w:rsidP="00EA61D8">
            <w:pPr>
              <w:keepNext/>
              <w:spacing w:before="60" w:after="60"/>
            </w:pPr>
            <w:r w:rsidRPr="00064185">
              <w:t xml:space="preserve">After 36 months storage: </w:t>
            </w:r>
          </w:p>
          <w:p w14:paraId="52C98252" w14:textId="7203DAAC" w:rsidR="00694A42" w:rsidRPr="00064185" w:rsidRDefault="00694A42" w:rsidP="00EA61D8">
            <w:pPr>
              <w:keepNext/>
              <w:spacing w:before="60" w:after="60"/>
            </w:pPr>
            <w:r w:rsidRPr="00064185">
              <w:t>After inverting the sample for 30 times foam could be observed (30-40 mL)</w:t>
            </w:r>
          </w:p>
          <w:p w14:paraId="03313AAA" w14:textId="28DDCD04" w:rsidR="00694A42" w:rsidRPr="00064185" w:rsidRDefault="00694A42" w:rsidP="00EA61D8">
            <w:pPr>
              <w:keepNext/>
              <w:spacing w:before="60" w:after="60"/>
            </w:pPr>
            <w:r w:rsidRPr="00064185">
              <w:t>The foam has dissolved completely in the first 10 seconds.</w:t>
            </w:r>
          </w:p>
          <w:p w14:paraId="12A42D2E" w14:textId="2FC3562A" w:rsidR="00694A42" w:rsidRPr="00064185" w:rsidRDefault="00694A42" w:rsidP="00EA61D8">
            <w:pPr>
              <w:keepNext/>
              <w:spacing w:before="60" w:after="60"/>
            </w:pPr>
            <w:r w:rsidRPr="00064185">
              <w:t xml:space="preserve">After 48 months storage: </w:t>
            </w:r>
          </w:p>
          <w:p w14:paraId="3F65F1A4" w14:textId="77777777" w:rsidR="00694A42" w:rsidRPr="00064185" w:rsidRDefault="00694A42" w:rsidP="00EA61D8">
            <w:pPr>
              <w:keepNext/>
              <w:spacing w:before="60" w:after="60"/>
            </w:pPr>
            <w:r w:rsidRPr="00064185">
              <w:t xml:space="preserve">Foaming could be observed </w:t>
            </w:r>
          </w:p>
          <w:p w14:paraId="44F3E656" w14:textId="1051B5DF" w:rsidR="00694A42" w:rsidRPr="00064185" w:rsidRDefault="00694A42" w:rsidP="00EA61D8">
            <w:pPr>
              <w:keepNext/>
              <w:spacing w:before="60" w:after="60"/>
            </w:pPr>
            <w:r w:rsidRPr="00064185">
              <w:t>(up to 29 mL)</w:t>
            </w:r>
          </w:p>
          <w:p w14:paraId="5BD84F33" w14:textId="7FF47D66" w:rsidR="00694A42" w:rsidRPr="00064185" w:rsidRDefault="00694A42" w:rsidP="00EA61D8">
            <w:pPr>
              <w:keepNext/>
              <w:spacing w:before="60" w:after="60"/>
            </w:pPr>
            <w:r w:rsidRPr="00064185">
              <w:t>12 min after agitation 2 mL of foam remained</w:t>
            </w:r>
          </w:p>
          <w:p w14:paraId="28D5C4B8" w14:textId="0D96711D" w:rsidR="00694A42" w:rsidRPr="00064185" w:rsidRDefault="00694A42" w:rsidP="00EA61D8">
            <w:pPr>
              <w:keepNext/>
              <w:spacing w:before="60" w:after="60"/>
            </w:pPr>
          </w:p>
        </w:tc>
        <w:tc>
          <w:tcPr>
            <w:tcW w:w="824" w:type="pct"/>
          </w:tcPr>
          <w:p w14:paraId="2BE89CCA" w14:textId="66CCE14D" w:rsidR="00694A42" w:rsidRPr="00064185" w:rsidRDefault="00694A42" w:rsidP="00EA61D8">
            <w:pPr>
              <w:rPr>
                <w:lang w:val="en-US"/>
              </w:rPr>
            </w:pPr>
            <w:r w:rsidRPr="00064185">
              <w:t>Schieck, 2018</w:t>
            </w:r>
          </w:p>
        </w:tc>
      </w:tr>
      <w:tr w:rsidR="00064185" w:rsidRPr="00064185" w14:paraId="3AC20B4D" w14:textId="77777777" w:rsidTr="00694A42">
        <w:trPr>
          <w:cantSplit/>
        </w:trPr>
        <w:tc>
          <w:tcPr>
            <w:tcW w:w="1303" w:type="pct"/>
          </w:tcPr>
          <w:p w14:paraId="0D2D5880" w14:textId="103E928D" w:rsidR="00C46FC9" w:rsidRPr="00064185" w:rsidRDefault="00C46FC9" w:rsidP="00EA61D8">
            <w:pPr>
              <w:rPr>
                <w:rFonts w:eastAsia="Calibri"/>
              </w:rPr>
            </w:pPr>
            <w:r w:rsidRPr="00064185">
              <w:rPr>
                <w:rFonts w:eastAsia="Calibri"/>
              </w:rPr>
              <w:lastRenderedPageBreak/>
              <w:t>Flowability/Pourability/Dustability</w:t>
            </w:r>
          </w:p>
        </w:tc>
        <w:tc>
          <w:tcPr>
            <w:tcW w:w="747" w:type="pct"/>
          </w:tcPr>
          <w:p w14:paraId="1FA8E66B" w14:textId="77777777" w:rsidR="00C46FC9" w:rsidRPr="00064185" w:rsidRDefault="00C46FC9" w:rsidP="00EA61D8">
            <w:pPr>
              <w:rPr>
                <w:rFonts w:eastAsia="Calibri"/>
              </w:rPr>
            </w:pPr>
            <w:r w:rsidRPr="00064185">
              <w:t>CIPAC method MT 148</w:t>
            </w:r>
          </w:p>
        </w:tc>
        <w:tc>
          <w:tcPr>
            <w:tcW w:w="707" w:type="pct"/>
          </w:tcPr>
          <w:p w14:paraId="2D9C4807" w14:textId="48EB58F2" w:rsidR="00C46FC9" w:rsidRPr="00064185" w:rsidRDefault="00365523" w:rsidP="00EA61D8">
            <w:pPr>
              <w:rPr>
                <w:rFonts w:eastAsia="Calibri"/>
              </w:rPr>
            </w:pPr>
            <w:r w:rsidRPr="00064185">
              <w:t>100</w:t>
            </w:r>
            <w:r w:rsidR="00FE032C" w:rsidRPr="00064185">
              <w:t>%</w:t>
            </w:r>
          </w:p>
        </w:tc>
        <w:tc>
          <w:tcPr>
            <w:tcW w:w="1419" w:type="pct"/>
          </w:tcPr>
          <w:p w14:paraId="5F83EE03" w14:textId="77777777" w:rsidR="00C46FC9" w:rsidRPr="00064185" w:rsidRDefault="00C46FC9" w:rsidP="00EA61D8">
            <w:pPr>
              <w:keepNext/>
              <w:spacing w:before="60" w:after="60"/>
            </w:pPr>
            <w:r w:rsidRPr="00064185">
              <w:t>Before storage:</w:t>
            </w:r>
            <w:r w:rsidRPr="00064185">
              <w:br/>
              <w:t>Pour residue: 0.42% (PET)</w:t>
            </w:r>
            <w:r w:rsidRPr="00064185">
              <w:br/>
              <w:t>Rinsed Residues: 0.17% (PET)</w:t>
            </w:r>
          </w:p>
          <w:p w14:paraId="634ECF24" w14:textId="77777777" w:rsidR="00C46FC9" w:rsidRPr="00064185" w:rsidRDefault="00C46FC9" w:rsidP="00EA61D8">
            <w:pPr>
              <w:keepNext/>
              <w:spacing w:before="60" w:after="60"/>
            </w:pPr>
            <w:r w:rsidRPr="00064185">
              <w:t>After storage for 2 weeks at 54°C:</w:t>
            </w:r>
            <w:r w:rsidRPr="00064185">
              <w:br/>
              <w:t>Pour residue: 0.44% (PET)</w:t>
            </w:r>
            <w:r w:rsidRPr="00064185">
              <w:br/>
              <w:t>Rinsed Residues: 0.14% (PET)</w:t>
            </w:r>
          </w:p>
          <w:p w14:paraId="616D810D" w14:textId="77777777" w:rsidR="00C46FC9" w:rsidRPr="00064185" w:rsidRDefault="00C46FC9" w:rsidP="00EA61D8">
            <w:pPr>
              <w:rPr>
                <w:rFonts w:eastAsia="Calibri"/>
              </w:rPr>
            </w:pPr>
            <w:r w:rsidRPr="00064185">
              <w:t>After storage for 2 years at 20°C:</w:t>
            </w:r>
            <w:r w:rsidRPr="00064185">
              <w:br/>
              <w:t>Pour residue: 0.43% (PET)</w:t>
            </w:r>
            <w:r w:rsidRPr="00064185">
              <w:br/>
              <w:t>Rinsed Residues: 0.17% (PET)</w:t>
            </w:r>
          </w:p>
        </w:tc>
        <w:tc>
          <w:tcPr>
            <w:tcW w:w="824" w:type="pct"/>
          </w:tcPr>
          <w:p w14:paraId="40FCBBEB" w14:textId="77777777" w:rsidR="00C46FC9" w:rsidRPr="00064185" w:rsidRDefault="00C46FC9" w:rsidP="00EA61D8">
            <w:pPr>
              <w:rPr>
                <w:rFonts w:eastAsia="Calibri"/>
              </w:rPr>
            </w:pPr>
            <w:r w:rsidRPr="00064185">
              <w:rPr>
                <w:lang w:val="en-US"/>
              </w:rPr>
              <w:t>Wochner, 2009</w:t>
            </w:r>
            <w:r w:rsidRPr="00064185">
              <w:t xml:space="preserve"> and 2012a</w:t>
            </w:r>
          </w:p>
        </w:tc>
      </w:tr>
      <w:tr w:rsidR="00064185" w:rsidRPr="00064185" w14:paraId="475BC54A" w14:textId="77777777" w:rsidTr="00694A42">
        <w:trPr>
          <w:cantSplit/>
        </w:trPr>
        <w:tc>
          <w:tcPr>
            <w:tcW w:w="1303" w:type="pct"/>
          </w:tcPr>
          <w:p w14:paraId="2ABCD4C4" w14:textId="35CCF5E4" w:rsidR="00694A42" w:rsidRPr="00064185" w:rsidRDefault="00694A42" w:rsidP="00EA61D8">
            <w:pPr>
              <w:rPr>
                <w:rFonts w:eastAsia="Calibri"/>
              </w:rPr>
            </w:pPr>
          </w:p>
        </w:tc>
        <w:tc>
          <w:tcPr>
            <w:tcW w:w="747" w:type="pct"/>
          </w:tcPr>
          <w:p w14:paraId="6695AD90" w14:textId="77777777" w:rsidR="00694A42" w:rsidRPr="00064185" w:rsidRDefault="00694A42" w:rsidP="00EA61D8">
            <w:r w:rsidRPr="00064185">
              <w:t>CIPAC method MT 148</w:t>
            </w:r>
          </w:p>
          <w:p w14:paraId="293B25D1" w14:textId="17304F79" w:rsidR="00694A42" w:rsidRPr="00064185" w:rsidRDefault="00C04193" w:rsidP="00EA61D8">
            <w:r w:rsidRPr="00064185">
              <w:t>The test was performed with the commercial packages of the formulation (Transparent PET- bottle 500 ml with trigger sprayer)</w:t>
            </w:r>
          </w:p>
        </w:tc>
        <w:tc>
          <w:tcPr>
            <w:tcW w:w="707" w:type="pct"/>
          </w:tcPr>
          <w:p w14:paraId="5D2688C2" w14:textId="4E758AF6" w:rsidR="00694A42" w:rsidRPr="00064185" w:rsidRDefault="00694A42" w:rsidP="00EA61D8">
            <w:r w:rsidRPr="00064185">
              <w:t>100%</w:t>
            </w:r>
          </w:p>
        </w:tc>
        <w:tc>
          <w:tcPr>
            <w:tcW w:w="1419" w:type="pct"/>
          </w:tcPr>
          <w:p w14:paraId="2D5A2237" w14:textId="5D85A915" w:rsidR="00694A42" w:rsidRPr="00064185" w:rsidRDefault="00694A42" w:rsidP="00EA61D8">
            <w:pPr>
              <w:keepNext/>
              <w:spacing w:before="60" w:after="60"/>
            </w:pPr>
            <w:r w:rsidRPr="00064185">
              <w:t>Before storage:</w:t>
            </w:r>
            <w:r w:rsidRPr="00064185">
              <w:br/>
              <w:t xml:space="preserve">Pour residue: 0.39% </w:t>
            </w:r>
          </w:p>
          <w:p w14:paraId="4F558F96" w14:textId="5FC8AEC0" w:rsidR="00694A42" w:rsidRPr="00064185" w:rsidRDefault="00694A42" w:rsidP="00EA61D8">
            <w:pPr>
              <w:keepNext/>
              <w:spacing w:before="60" w:after="60"/>
            </w:pPr>
            <w:r w:rsidRPr="00064185">
              <w:t xml:space="preserve">Rinsed Residues: 0.10% </w:t>
            </w:r>
          </w:p>
          <w:p w14:paraId="53D4294D" w14:textId="03850676" w:rsidR="00694A42" w:rsidRPr="00064185" w:rsidRDefault="00694A42" w:rsidP="00EA61D8">
            <w:r w:rsidRPr="00064185">
              <w:t xml:space="preserve">After 24 months storage at 20°C: </w:t>
            </w:r>
          </w:p>
          <w:p w14:paraId="565E628D" w14:textId="36C4AD93" w:rsidR="00694A42" w:rsidRPr="00064185" w:rsidRDefault="00694A42" w:rsidP="00EA61D8">
            <w:pPr>
              <w:keepNext/>
              <w:spacing w:before="60" w:after="60"/>
            </w:pPr>
            <w:r w:rsidRPr="00064185">
              <w:t xml:space="preserve">Pour residue: 0.28% </w:t>
            </w:r>
          </w:p>
          <w:p w14:paraId="7DF78E77" w14:textId="35085491" w:rsidR="00694A42" w:rsidRPr="00064185" w:rsidRDefault="00694A42" w:rsidP="00EA61D8">
            <w:pPr>
              <w:keepNext/>
              <w:spacing w:before="60" w:after="60"/>
            </w:pPr>
            <w:r w:rsidRPr="00064185">
              <w:t xml:space="preserve">Rinsed Residues: 0.21% </w:t>
            </w:r>
          </w:p>
          <w:p w14:paraId="1BA106AF" w14:textId="01D398D7" w:rsidR="00694A42" w:rsidRPr="00064185" w:rsidRDefault="00694A42" w:rsidP="00EA61D8">
            <w:pPr>
              <w:keepNext/>
              <w:spacing w:before="60" w:after="60"/>
            </w:pPr>
            <w:r w:rsidRPr="00064185">
              <w:t xml:space="preserve">After 36 months storage at 20°C: </w:t>
            </w:r>
          </w:p>
          <w:p w14:paraId="515A5575" w14:textId="08AE34A5" w:rsidR="00694A42" w:rsidRPr="00064185" w:rsidRDefault="00694A42" w:rsidP="00EA61D8">
            <w:pPr>
              <w:keepNext/>
              <w:spacing w:before="60" w:after="60"/>
            </w:pPr>
            <w:r w:rsidRPr="00064185">
              <w:t xml:space="preserve">Pour residue: 0.24% </w:t>
            </w:r>
          </w:p>
          <w:p w14:paraId="118D37F5" w14:textId="41C30860" w:rsidR="00694A42" w:rsidRPr="00064185" w:rsidRDefault="00694A42" w:rsidP="00EA61D8">
            <w:pPr>
              <w:keepNext/>
              <w:spacing w:before="60" w:after="60"/>
            </w:pPr>
            <w:r w:rsidRPr="00064185">
              <w:t xml:space="preserve">Rinsed Residues: 0.14% </w:t>
            </w:r>
          </w:p>
          <w:p w14:paraId="72252888" w14:textId="35D0245D" w:rsidR="00694A42" w:rsidRPr="00064185" w:rsidRDefault="00694A42" w:rsidP="00EA61D8">
            <w:pPr>
              <w:keepNext/>
              <w:spacing w:before="60" w:after="60"/>
            </w:pPr>
            <w:r w:rsidRPr="00064185">
              <w:t xml:space="preserve">After 48 months storage at 20°C: </w:t>
            </w:r>
          </w:p>
          <w:p w14:paraId="25010036" w14:textId="1D1E3AD0" w:rsidR="00694A42" w:rsidRPr="00064185" w:rsidRDefault="00694A42" w:rsidP="00EA61D8">
            <w:pPr>
              <w:keepNext/>
              <w:spacing w:before="60" w:after="60"/>
            </w:pPr>
            <w:r w:rsidRPr="00064185">
              <w:t xml:space="preserve">Pour residue: 0.17% </w:t>
            </w:r>
          </w:p>
          <w:p w14:paraId="2A595F68" w14:textId="14565F68" w:rsidR="00694A42" w:rsidRPr="00064185" w:rsidRDefault="00694A42" w:rsidP="00EA61D8">
            <w:pPr>
              <w:keepNext/>
              <w:spacing w:before="60" w:after="60"/>
            </w:pPr>
            <w:r w:rsidRPr="00064185">
              <w:t xml:space="preserve">Rinsed Residues: 0.13% </w:t>
            </w:r>
          </w:p>
        </w:tc>
        <w:tc>
          <w:tcPr>
            <w:tcW w:w="824" w:type="pct"/>
          </w:tcPr>
          <w:p w14:paraId="41ADE5F5" w14:textId="0E3C2E68" w:rsidR="00694A42" w:rsidRPr="00064185" w:rsidRDefault="00694A42" w:rsidP="00EA61D8">
            <w:pPr>
              <w:rPr>
                <w:lang w:val="en-US"/>
              </w:rPr>
            </w:pPr>
            <w:r w:rsidRPr="00064185">
              <w:t>Schieck, 2018</w:t>
            </w:r>
          </w:p>
        </w:tc>
      </w:tr>
      <w:tr w:rsidR="00064185" w:rsidRPr="00064185" w14:paraId="54FE0461" w14:textId="77777777" w:rsidTr="00694A42">
        <w:trPr>
          <w:cantSplit/>
        </w:trPr>
        <w:tc>
          <w:tcPr>
            <w:tcW w:w="1303" w:type="pct"/>
          </w:tcPr>
          <w:p w14:paraId="41385626" w14:textId="77777777" w:rsidR="001350D5" w:rsidRPr="00064185" w:rsidRDefault="001350D5" w:rsidP="00EA61D8">
            <w:pPr>
              <w:rPr>
                <w:rFonts w:eastAsia="Calibri"/>
              </w:rPr>
            </w:pPr>
            <w:r w:rsidRPr="00064185">
              <w:rPr>
                <w:rFonts w:eastAsia="Calibri"/>
              </w:rPr>
              <w:t>Burning rate — smoke generators</w:t>
            </w:r>
          </w:p>
        </w:tc>
        <w:tc>
          <w:tcPr>
            <w:tcW w:w="747" w:type="pct"/>
          </w:tcPr>
          <w:p w14:paraId="294DCD18" w14:textId="77777777" w:rsidR="001350D5" w:rsidRPr="00064185" w:rsidRDefault="001350D5" w:rsidP="00EA61D8">
            <w:pPr>
              <w:rPr>
                <w:rFonts w:eastAsia="Calibri"/>
              </w:rPr>
            </w:pPr>
            <w:r w:rsidRPr="00064185">
              <w:t>−</w:t>
            </w:r>
          </w:p>
        </w:tc>
        <w:tc>
          <w:tcPr>
            <w:tcW w:w="707" w:type="pct"/>
          </w:tcPr>
          <w:p w14:paraId="28C1CAAA" w14:textId="77777777" w:rsidR="001350D5" w:rsidRPr="00064185" w:rsidRDefault="001350D5" w:rsidP="00EA61D8">
            <w:pPr>
              <w:rPr>
                <w:rFonts w:eastAsia="Calibri"/>
              </w:rPr>
            </w:pPr>
            <w:r w:rsidRPr="00064185">
              <w:t>−</w:t>
            </w:r>
          </w:p>
        </w:tc>
        <w:tc>
          <w:tcPr>
            <w:tcW w:w="1419" w:type="pct"/>
          </w:tcPr>
          <w:p w14:paraId="2D88B766" w14:textId="77777777" w:rsidR="001350D5" w:rsidRPr="00064185" w:rsidRDefault="001350D5" w:rsidP="00EA61D8">
            <w:pPr>
              <w:rPr>
                <w:rFonts w:eastAsia="Calibri"/>
              </w:rPr>
            </w:pPr>
            <w:r w:rsidRPr="00064185">
              <w:rPr>
                <w:rFonts w:eastAsia="Calibri"/>
              </w:rPr>
              <w:t>The burning rate must be determined for biocidal products intended to be used as smoke generators. Since the biocidal product is not a smoke generator this test does not need to be performed.</w:t>
            </w:r>
          </w:p>
        </w:tc>
        <w:tc>
          <w:tcPr>
            <w:tcW w:w="824" w:type="pct"/>
          </w:tcPr>
          <w:p w14:paraId="70F07D26" w14:textId="77777777" w:rsidR="001350D5" w:rsidRPr="00064185" w:rsidRDefault="001350D5" w:rsidP="00EA61D8">
            <w:pPr>
              <w:rPr>
                <w:rFonts w:eastAsia="Calibri"/>
              </w:rPr>
            </w:pPr>
            <w:r w:rsidRPr="00064185">
              <w:t>−</w:t>
            </w:r>
          </w:p>
        </w:tc>
      </w:tr>
      <w:tr w:rsidR="00064185" w:rsidRPr="00064185" w14:paraId="248ADFB4" w14:textId="77777777" w:rsidTr="00694A42">
        <w:trPr>
          <w:cantSplit/>
        </w:trPr>
        <w:tc>
          <w:tcPr>
            <w:tcW w:w="1303" w:type="pct"/>
          </w:tcPr>
          <w:p w14:paraId="2FFAD488" w14:textId="77777777" w:rsidR="001350D5" w:rsidRPr="00064185" w:rsidRDefault="001350D5" w:rsidP="00EA61D8">
            <w:pPr>
              <w:rPr>
                <w:rFonts w:eastAsia="Calibri"/>
              </w:rPr>
            </w:pPr>
            <w:r w:rsidRPr="00064185">
              <w:rPr>
                <w:rFonts w:eastAsia="Calibri"/>
              </w:rPr>
              <w:lastRenderedPageBreak/>
              <w:t>Burning completeness — smoke generators</w:t>
            </w:r>
          </w:p>
        </w:tc>
        <w:tc>
          <w:tcPr>
            <w:tcW w:w="747" w:type="pct"/>
          </w:tcPr>
          <w:p w14:paraId="44B83056" w14:textId="77777777" w:rsidR="001350D5" w:rsidRPr="00064185" w:rsidRDefault="001350D5" w:rsidP="00EA61D8">
            <w:pPr>
              <w:rPr>
                <w:rFonts w:eastAsia="Calibri"/>
              </w:rPr>
            </w:pPr>
            <w:r w:rsidRPr="00064185">
              <w:t>−</w:t>
            </w:r>
          </w:p>
        </w:tc>
        <w:tc>
          <w:tcPr>
            <w:tcW w:w="707" w:type="pct"/>
          </w:tcPr>
          <w:p w14:paraId="69231F4B" w14:textId="77777777" w:rsidR="001350D5" w:rsidRPr="00064185" w:rsidRDefault="001350D5" w:rsidP="00EA61D8">
            <w:pPr>
              <w:rPr>
                <w:rFonts w:eastAsia="Calibri"/>
              </w:rPr>
            </w:pPr>
            <w:r w:rsidRPr="00064185">
              <w:t>−</w:t>
            </w:r>
          </w:p>
        </w:tc>
        <w:tc>
          <w:tcPr>
            <w:tcW w:w="1419" w:type="pct"/>
          </w:tcPr>
          <w:p w14:paraId="0374681A" w14:textId="77777777" w:rsidR="001350D5" w:rsidRPr="00064185" w:rsidRDefault="004A259A" w:rsidP="00EA61D8">
            <w:pPr>
              <w:rPr>
                <w:rFonts w:eastAsia="Calibri"/>
              </w:rPr>
            </w:pPr>
            <w:r w:rsidRPr="00064185">
              <w:rPr>
                <w:rFonts w:eastAsia="Calibri"/>
              </w:rPr>
              <w:t>The burning completeness must be determined for biocidal products intended to be used as smoke generators. Since the biocidal product is not a smoke generator this test does not need to be performed.</w:t>
            </w:r>
          </w:p>
        </w:tc>
        <w:tc>
          <w:tcPr>
            <w:tcW w:w="824" w:type="pct"/>
          </w:tcPr>
          <w:p w14:paraId="23CA577B" w14:textId="77777777" w:rsidR="001350D5" w:rsidRPr="00064185" w:rsidRDefault="001350D5" w:rsidP="00EA61D8">
            <w:pPr>
              <w:rPr>
                <w:rFonts w:eastAsia="Calibri"/>
              </w:rPr>
            </w:pPr>
            <w:r w:rsidRPr="00064185">
              <w:t>−</w:t>
            </w:r>
          </w:p>
        </w:tc>
      </w:tr>
      <w:tr w:rsidR="00064185" w:rsidRPr="00064185" w14:paraId="029AE2C1" w14:textId="77777777" w:rsidTr="00694A42">
        <w:trPr>
          <w:cantSplit/>
        </w:trPr>
        <w:tc>
          <w:tcPr>
            <w:tcW w:w="1303" w:type="pct"/>
          </w:tcPr>
          <w:p w14:paraId="7EB4C3F2" w14:textId="77777777" w:rsidR="001350D5" w:rsidRPr="00064185" w:rsidRDefault="001350D5" w:rsidP="00EA61D8">
            <w:pPr>
              <w:rPr>
                <w:rFonts w:eastAsia="Calibri"/>
              </w:rPr>
            </w:pPr>
            <w:r w:rsidRPr="00064185">
              <w:rPr>
                <w:rFonts w:eastAsia="Calibri"/>
              </w:rPr>
              <w:t>Composition of smoke — smoke generators</w:t>
            </w:r>
          </w:p>
        </w:tc>
        <w:tc>
          <w:tcPr>
            <w:tcW w:w="747" w:type="pct"/>
          </w:tcPr>
          <w:p w14:paraId="77CE06A8" w14:textId="77777777" w:rsidR="001350D5" w:rsidRPr="00064185" w:rsidRDefault="001350D5" w:rsidP="00EA61D8">
            <w:pPr>
              <w:rPr>
                <w:rFonts w:eastAsia="Calibri"/>
              </w:rPr>
            </w:pPr>
            <w:r w:rsidRPr="00064185">
              <w:t>−</w:t>
            </w:r>
          </w:p>
        </w:tc>
        <w:tc>
          <w:tcPr>
            <w:tcW w:w="707" w:type="pct"/>
          </w:tcPr>
          <w:p w14:paraId="35E26307" w14:textId="77777777" w:rsidR="001350D5" w:rsidRPr="00064185" w:rsidRDefault="001350D5" w:rsidP="00EA61D8">
            <w:pPr>
              <w:rPr>
                <w:rFonts w:eastAsia="Calibri"/>
              </w:rPr>
            </w:pPr>
            <w:r w:rsidRPr="00064185">
              <w:t>−</w:t>
            </w:r>
          </w:p>
        </w:tc>
        <w:tc>
          <w:tcPr>
            <w:tcW w:w="1419" w:type="pct"/>
          </w:tcPr>
          <w:p w14:paraId="48FDD118" w14:textId="77777777" w:rsidR="001350D5" w:rsidRPr="00064185" w:rsidRDefault="004A259A" w:rsidP="00EA61D8">
            <w:pPr>
              <w:rPr>
                <w:rFonts w:eastAsia="Calibri"/>
              </w:rPr>
            </w:pPr>
            <w:r w:rsidRPr="00064185">
              <w:rPr>
                <w:rFonts w:eastAsia="Calibri"/>
              </w:rPr>
              <w:t>The composition of smoke must be determined for biocidal products intended to be used as smoke generators. Since the biocidal product is not a smoke generator this test does not need to be performed.</w:t>
            </w:r>
          </w:p>
        </w:tc>
        <w:tc>
          <w:tcPr>
            <w:tcW w:w="824" w:type="pct"/>
          </w:tcPr>
          <w:p w14:paraId="4C4B5F7B" w14:textId="77777777" w:rsidR="001350D5" w:rsidRPr="00064185" w:rsidRDefault="001350D5" w:rsidP="00EA61D8">
            <w:pPr>
              <w:rPr>
                <w:rFonts w:eastAsia="Calibri"/>
              </w:rPr>
            </w:pPr>
            <w:r w:rsidRPr="00064185">
              <w:t>−</w:t>
            </w:r>
          </w:p>
        </w:tc>
      </w:tr>
      <w:tr w:rsidR="00064185" w:rsidRPr="00064185" w14:paraId="73F1599B" w14:textId="77777777" w:rsidTr="00694A42">
        <w:trPr>
          <w:cantSplit/>
        </w:trPr>
        <w:tc>
          <w:tcPr>
            <w:tcW w:w="1303" w:type="pct"/>
          </w:tcPr>
          <w:p w14:paraId="0AF9BD44" w14:textId="77777777" w:rsidR="001350D5" w:rsidRPr="00064185" w:rsidRDefault="001350D5" w:rsidP="00EA61D8">
            <w:pPr>
              <w:rPr>
                <w:rFonts w:eastAsia="Calibri"/>
              </w:rPr>
            </w:pPr>
            <w:r w:rsidRPr="00064185">
              <w:rPr>
                <w:rFonts w:eastAsia="Calibri"/>
              </w:rPr>
              <w:lastRenderedPageBreak/>
              <w:t>Spraying pattern — aerosols</w:t>
            </w:r>
          </w:p>
        </w:tc>
        <w:tc>
          <w:tcPr>
            <w:tcW w:w="747" w:type="pct"/>
          </w:tcPr>
          <w:p w14:paraId="29DE8132" w14:textId="77777777" w:rsidR="001350D5" w:rsidRPr="00064185" w:rsidRDefault="001350D5" w:rsidP="00EA61D8">
            <w:pPr>
              <w:rPr>
                <w:rFonts w:eastAsia="Calibri"/>
              </w:rPr>
            </w:pPr>
            <w:r w:rsidRPr="00064185">
              <w:t>−</w:t>
            </w:r>
          </w:p>
        </w:tc>
        <w:tc>
          <w:tcPr>
            <w:tcW w:w="707" w:type="pct"/>
          </w:tcPr>
          <w:p w14:paraId="580F1B11" w14:textId="77777777" w:rsidR="001350D5" w:rsidRPr="00064185" w:rsidRDefault="001350D5" w:rsidP="00EA61D8">
            <w:pPr>
              <w:rPr>
                <w:rFonts w:eastAsia="Calibri"/>
              </w:rPr>
            </w:pPr>
            <w:r w:rsidRPr="00064185">
              <w:t>−</w:t>
            </w:r>
          </w:p>
        </w:tc>
        <w:tc>
          <w:tcPr>
            <w:tcW w:w="1419" w:type="pct"/>
          </w:tcPr>
          <w:p w14:paraId="2577C615" w14:textId="4A4E4680" w:rsidR="001350D5" w:rsidRPr="00064185" w:rsidRDefault="005B022A" w:rsidP="00EA61D8">
            <w:pPr>
              <w:rPr>
                <w:rFonts w:eastAsia="Calibri"/>
              </w:rPr>
            </w:pPr>
            <w:r w:rsidRPr="00064185">
              <w:rPr>
                <w:rFonts w:eastAsia="Calibri"/>
              </w:rPr>
              <w:t xml:space="preserve">No significant changes of </w:t>
            </w:r>
            <w:r w:rsidR="00400297" w:rsidRPr="00064185">
              <w:rPr>
                <w:rFonts w:eastAsia="Calibri"/>
              </w:rPr>
              <w:t xml:space="preserve">the parameter </w:t>
            </w:r>
            <w:proofErr w:type="gramStart"/>
            <w:r w:rsidR="00400297" w:rsidRPr="00064185">
              <w:rPr>
                <w:rFonts w:eastAsia="Calibri"/>
              </w:rPr>
              <w:t>clogging,</w:t>
            </w:r>
            <w:proofErr w:type="gramEnd"/>
            <w:r w:rsidRPr="00064185">
              <w:rPr>
                <w:rFonts w:eastAsia="Calibri"/>
              </w:rPr>
              <w:t xml:space="preserve"> spray diameter and discharge rate were observed before and after the storage at 20°C for two years.</w:t>
            </w:r>
          </w:p>
          <w:p w14:paraId="0D0E3C5B" w14:textId="77777777" w:rsidR="008200B4" w:rsidRPr="00064185" w:rsidRDefault="008200B4" w:rsidP="00EA61D8">
            <w:pPr>
              <w:rPr>
                <w:rFonts w:eastAsia="Calibri"/>
              </w:rPr>
            </w:pPr>
          </w:p>
          <w:p w14:paraId="2F3EB454" w14:textId="77777777" w:rsidR="008200B4" w:rsidRPr="00064185" w:rsidRDefault="008200B4" w:rsidP="00EA61D8">
            <w:pPr>
              <w:rPr>
                <w:rFonts w:eastAsia="Calibri"/>
              </w:rPr>
            </w:pPr>
            <w:r w:rsidRPr="00064185">
              <w:rPr>
                <w:rFonts w:eastAsia="Calibri"/>
              </w:rPr>
              <w:t>Clogging has been performed according Manual on development and use of FAO and WHO Specifications for Pesticides</w:t>
            </w:r>
          </w:p>
          <w:p w14:paraId="1398D28F" w14:textId="77777777" w:rsidR="008200B4" w:rsidRPr="00064185" w:rsidRDefault="008200B4" w:rsidP="00EA61D8">
            <w:pPr>
              <w:rPr>
                <w:rFonts w:eastAsia="Calibri"/>
              </w:rPr>
            </w:pPr>
            <w:r w:rsidRPr="00064185">
              <w:rPr>
                <w:rFonts w:eastAsia="Calibri"/>
              </w:rPr>
              <w:t>No clogging has been observed in the beginning and after 2 years storage at 20°C</w:t>
            </w:r>
          </w:p>
          <w:p w14:paraId="68D27BD5" w14:textId="77777777" w:rsidR="008200B4" w:rsidRPr="00064185" w:rsidRDefault="008200B4" w:rsidP="00EA61D8">
            <w:pPr>
              <w:rPr>
                <w:rFonts w:eastAsia="Calibri"/>
              </w:rPr>
            </w:pPr>
          </w:p>
          <w:p w14:paraId="6DE589F2" w14:textId="77777777" w:rsidR="008200B4" w:rsidRPr="00064185" w:rsidRDefault="008200B4" w:rsidP="00EA61D8">
            <w:pPr>
              <w:rPr>
                <w:rFonts w:eastAsia="Calibri"/>
              </w:rPr>
            </w:pPr>
            <w:r w:rsidRPr="00064185">
              <w:rPr>
                <w:rFonts w:eastAsia="Calibri"/>
              </w:rPr>
              <w:t>The discharge rate has been determined according to PSD, Data Requirements Handbook.</w:t>
            </w:r>
          </w:p>
          <w:p w14:paraId="19E9F484" w14:textId="77777777" w:rsidR="008200B4" w:rsidRPr="00064185" w:rsidRDefault="008200B4" w:rsidP="00EA61D8">
            <w:pPr>
              <w:rPr>
                <w:rFonts w:eastAsia="Calibri"/>
              </w:rPr>
            </w:pPr>
            <w:r w:rsidRPr="00064185">
              <w:rPr>
                <w:rFonts w:eastAsia="Calibri"/>
              </w:rPr>
              <w:t>The initial discharge rate was 0.78 g (one stroke)/3.92 g (5 strokes) and 0.74 g (one stroke)/3.72 g (5 strokes) after two year storage at 20°C</w:t>
            </w:r>
          </w:p>
          <w:p w14:paraId="3F561923" w14:textId="77777777" w:rsidR="008200B4" w:rsidRPr="00064185" w:rsidRDefault="008200B4" w:rsidP="00EA61D8">
            <w:pPr>
              <w:rPr>
                <w:rFonts w:eastAsia="Calibri"/>
              </w:rPr>
            </w:pPr>
          </w:p>
          <w:p w14:paraId="650F1B7F" w14:textId="77777777" w:rsidR="008200B4" w:rsidRPr="00064185" w:rsidRDefault="008200B4" w:rsidP="00EA61D8">
            <w:pPr>
              <w:rPr>
                <w:rFonts w:eastAsia="Calibri"/>
              </w:rPr>
            </w:pPr>
            <w:r w:rsidRPr="00064185">
              <w:rPr>
                <w:rFonts w:eastAsia="Calibri"/>
              </w:rPr>
              <w:t>Spray diameter has been determined according to PSD, Data Requirements Handbook.</w:t>
            </w:r>
          </w:p>
          <w:p w14:paraId="568E49CE" w14:textId="0F9EB16E" w:rsidR="008200B4" w:rsidRPr="00064185" w:rsidRDefault="008200B4" w:rsidP="00EA61D8">
            <w:pPr>
              <w:rPr>
                <w:rFonts w:eastAsia="Calibri"/>
              </w:rPr>
            </w:pPr>
            <w:r w:rsidRPr="00064185">
              <w:rPr>
                <w:rFonts w:eastAsia="Calibri"/>
              </w:rPr>
              <w:t>The initial result was 24 cm and 22 cm after two year storage at 20°C</w:t>
            </w:r>
          </w:p>
        </w:tc>
        <w:tc>
          <w:tcPr>
            <w:tcW w:w="824" w:type="pct"/>
          </w:tcPr>
          <w:p w14:paraId="2BB25847" w14:textId="60450C88" w:rsidR="001350D5" w:rsidRPr="00064185" w:rsidRDefault="003569ED" w:rsidP="00EA61D8">
            <w:pPr>
              <w:rPr>
                <w:rFonts w:eastAsia="Calibri"/>
              </w:rPr>
            </w:pPr>
            <w:r w:rsidRPr="00064185">
              <w:t>Wochner, 2012b</w:t>
            </w:r>
          </w:p>
        </w:tc>
      </w:tr>
      <w:tr w:rsidR="00064185" w:rsidRPr="00064185" w14:paraId="68B0D196" w14:textId="77777777" w:rsidTr="00694A42">
        <w:trPr>
          <w:cantSplit/>
        </w:trPr>
        <w:tc>
          <w:tcPr>
            <w:tcW w:w="1303" w:type="pct"/>
          </w:tcPr>
          <w:p w14:paraId="06993335" w14:textId="77777777" w:rsidR="006615A3" w:rsidRPr="00064185" w:rsidRDefault="006615A3" w:rsidP="00EA61D8">
            <w:pPr>
              <w:rPr>
                <w:rFonts w:eastAsia="Calibri"/>
              </w:rPr>
            </w:pPr>
          </w:p>
        </w:tc>
        <w:tc>
          <w:tcPr>
            <w:tcW w:w="747" w:type="pct"/>
          </w:tcPr>
          <w:p w14:paraId="3E4E27AF" w14:textId="129BFC47" w:rsidR="006615A3" w:rsidRPr="00064185" w:rsidRDefault="006615A3" w:rsidP="00EA61D8"/>
        </w:tc>
        <w:tc>
          <w:tcPr>
            <w:tcW w:w="707" w:type="pct"/>
          </w:tcPr>
          <w:p w14:paraId="57553D97" w14:textId="77777777" w:rsidR="006615A3" w:rsidRPr="00064185" w:rsidRDefault="006615A3" w:rsidP="00EA61D8"/>
        </w:tc>
        <w:tc>
          <w:tcPr>
            <w:tcW w:w="1419" w:type="pct"/>
          </w:tcPr>
          <w:p w14:paraId="781FAB2B" w14:textId="1F5EED6E" w:rsidR="006615A3" w:rsidRPr="00064185" w:rsidRDefault="006615A3" w:rsidP="00EA61D8">
            <w:pPr>
              <w:rPr>
                <w:rFonts w:eastAsia="Calibri"/>
              </w:rPr>
            </w:pPr>
            <w:r w:rsidRPr="00064185">
              <w:rPr>
                <w:rFonts w:eastAsia="Calibri"/>
              </w:rPr>
              <w:t xml:space="preserve">No significant changes of the parameter </w:t>
            </w:r>
            <w:proofErr w:type="gramStart"/>
            <w:r w:rsidRPr="00064185">
              <w:rPr>
                <w:rFonts w:eastAsia="Calibri"/>
              </w:rPr>
              <w:t>clogging,</w:t>
            </w:r>
            <w:proofErr w:type="gramEnd"/>
            <w:r w:rsidRPr="00064185">
              <w:rPr>
                <w:rFonts w:eastAsia="Calibri"/>
              </w:rPr>
              <w:t xml:space="preserve"> spray diameter and discharge rate were observed before and after the storage for four years.</w:t>
            </w:r>
          </w:p>
          <w:p w14:paraId="2211ECEB" w14:textId="77777777" w:rsidR="006615A3" w:rsidRPr="00064185" w:rsidRDefault="006615A3" w:rsidP="00EA61D8">
            <w:pPr>
              <w:rPr>
                <w:rFonts w:eastAsia="Calibri"/>
              </w:rPr>
            </w:pPr>
          </w:p>
          <w:p w14:paraId="649CAC50" w14:textId="77777777" w:rsidR="006615A3" w:rsidRPr="00064185" w:rsidRDefault="006615A3" w:rsidP="00EA61D8">
            <w:pPr>
              <w:rPr>
                <w:rFonts w:eastAsia="Calibri"/>
              </w:rPr>
            </w:pPr>
            <w:r w:rsidRPr="00064185">
              <w:rPr>
                <w:rFonts w:eastAsia="Calibri"/>
              </w:rPr>
              <w:t>Clogging has been performed according Manual on development and use of FAO and WHO Specifications for Pesticides</w:t>
            </w:r>
          </w:p>
          <w:p w14:paraId="698B5A3E" w14:textId="1693B9DC" w:rsidR="006615A3" w:rsidRPr="00064185" w:rsidRDefault="006615A3" w:rsidP="00EA61D8">
            <w:pPr>
              <w:rPr>
                <w:rFonts w:eastAsia="Calibri"/>
              </w:rPr>
            </w:pPr>
            <w:r w:rsidRPr="00064185">
              <w:rPr>
                <w:rFonts w:eastAsia="Calibri"/>
              </w:rPr>
              <w:t xml:space="preserve">No clogging has been observed in the beginning and after </w:t>
            </w:r>
            <w:r w:rsidR="007E0258" w:rsidRPr="00064185">
              <w:rPr>
                <w:rFonts w:eastAsia="Calibri"/>
              </w:rPr>
              <w:t>four</w:t>
            </w:r>
            <w:r w:rsidRPr="00064185">
              <w:rPr>
                <w:rFonts w:eastAsia="Calibri"/>
              </w:rPr>
              <w:t xml:space="preserve"> years storage at 20°C</w:t>
            </w:r>
          </w:p>
          <w:p w14:paraId="56B5FDCD" w14:textId="77777777" w:rsidR="006615A3" w:rsidRPr="00064185" w:rsidRDefault="006615A3" w:rsidP="00EA61D8">
            <w:pPr>
              <w:rPr>
                <w:rFonts w:eastAsia="Calibri"/>
              </w:rPr>
            </w:pPr>
          </w:p>
          <w:p w14:paraId="49EB5F94" w14:textId="77777777" w:rsidR="0086254A" w:rsidRPr="00064185" w:rsidRDefault="0086254A" w:rsidP="00EA61D8">
            <w:pPr>
              <w:rPr>
                <w:rFonts w:eastAsia="Calibri"/>
              </w:rPr>
            </w:pPr>
            <w:r w:rsidRPr="00064185">
              <w:rPr>
                <w:rFonts w:eastAsia="Calibri"/>
              </w:rPr>
              <w:t>The discharge rate has been determined according to PSD, Data Requirements Handbook.</w:t>
            </w:r>
          </w:p>
          <w:p w14:paraId="65BE7B78" w14:textId="77777777" w:rsidR="0086254A" w:rsidRPr="00064185" w:rsidRDefault="0086254A" w:rsidP="00EA61D8">
            <w:pPr>
              <w:rPr>
                <w:rFonts w:eastAsia="Calibri"/>
              </w:rPr>
            </w:pPr>
            <w:r w:rsidRPr="00064185">
              <w:rPr>
                <w:rFonts w:eastAsia="Calibri"/>
              </w:rPr>
              <w:t>The</w:t>
            </w:r>
            <w:r w:rsidRPr="00064185" w:rsidDel="00F64254">
              <w:rPr>
                <w:rFonts w:eastAsia="Calibri"/>
              </w:rPr>
              <w:t xml:space="preserve"> </w:t>
            </w:r>
            <w:r w:rsidRPr="00064185">
              <w:rPr>
                <w:rFonts w:eastAsia="Calibri"/>
              </w:rPr>
              <w:t>discharge rate was 1.27 g before storage, 1.30 g after two years storage, 1.29 g after three years storage and 1.19 g after four years storage.</w:t>
            </w:r>
          </w:p>
          <w:p w14:paraId="568E44CF" w14:textId="372A15FB" w:rsidR="006615A3" w:rsidRPr="00064185" w:rsidRDefault="006615A3" w:rsidP="00EA61D8">
            <w:pPr>
              <w:rPr>
                <w:rFonts w:eastAsia="Calibri"/>
              </w:rPr>
            </w:pPr>
          </w:p>
          <w:p w14:paraId="2AF298CF" w14:textId="77777777" w:rsidR="006615A3" w:rsidRPr="00064185" w:rsidRDefault="006615A3" w:rsidP="00EA61D8">
            <w:pPr>
              <w:rPr>
                <w:rFonts w:eastAsia="Calibri"/>
              </w:rPr>
            </w:pPr>
            <w:r w:rsidRPr="00064185">
              <w:rPr>
                <w:rFonts w:eastAsia="Calibri"/>
              </w:rPr>
              <w:t>Spray diameter has been determined according to PSD, Data Requirements Handbook.</w:t>
            </w:r>
          </w:p>
          <w:p w14:paraId="7C289B99" w14:textId="3E784026" w:rsidR="007E0258" w:rsidRPr="00064185" w:rsidRDefault="006615A3" w:rsidP="00EA61D8">
            <w:pPr>
              <w:rPr>
                <w:rFonts w:eastAsia="Calibri"/>
              </w:rPr>
            </w:pPr>
            <w:r w:rsidRPr="00064185">
              <w:rPr>
                <w:rFonts w:eastAsia="Calibri"/>
              </w:rPr>
              <w:t xml:space="preserve">The initial result was </w:t>
            </w:r>
            <w:r w:rsidR="007E0258" w:rsidRPr="00064185">
              <w:rPr>
                <w:rFonts w:eastAsia="Calibri"/>
              </w:rPr>
              <w:t>30.1 cm,</w:t>
            </w:r>
            <w:r w:rsidRPr="00064185">
              <w:rPr>
                <w:rFonts w:eastAsia="Calibri"/>
              </w:rPr>
              <w:t xml:space="preserve"> </w:t>
            </w:r>
            <w:r w:rsidR="007E0258" w:rsidRPr="00064185">
              <w:rPr>
                <w:rFonts w:eastAsia="Calibri"/>
              </w:rPr>
              <w:t>32.7</w:t>
            </w:r>
            <w:r w:rsidRPr="00064185">
              <w:rPr>
                <w:rFonts w:eastAsia="Calibri"/>
              </w:rPr>
              <w:t xml:space="preserve"> cm after two year storage</w:t>
            </w:r>
            <w:r w:rsidR="007E0258" w:rsidRPr="00064185">
              <w:rPr>
                <w:rFonts w:eastAsia="Calibri"/>
              </w:rPr>
              <w:t>, 30.1 cm after two three years storage and 29.4 cm after four years storage.</w:t>
            </w:r>
          </w:p>
        </w:tc>
        <w:tc>
          <w:tcPr>
            <w:tcW w:w="824" w:type="pct"/>
          </w:tcPr>
          <w:p w14:paraId="3CE6434E" w14:textId="54F91B20" w:rsidR="006615A3" w:rsidRPr="00064185" w:rsidRDefault="006615A3" w:rsidP="00EA61D8">
            <w:r w:rsidRPr="00064185">
              <w:t>Schieck, 2018</w:t>
            </w:r>
          </w:p>
        </w:tc>
      </w:tr>
      <w:tr w:rsidR="00064185" w:rsidRPr="00064185" w14:paraId="6F641F06" w14:textId="77777777" w:rsidTr="00694A42">
        <w:trPr>
          <w:cantSplit/>
        </w:trPr>
        <w:tc>
          <w:tcPr>
            <w:tcW w:w="1303" w:type="pct"/>
          </w:tcPr>
          <w:p w14:paraId="0D0789E5" w14:textId="77777777" w:rsidR="004A259A" w:rsidRPr="00064185" w:rsidRDefault="004A259A" w:rsidP="00EA61D8">
            <w:pPr>
              <w:rPr>
                <w:rFonts w:eastAsia="Calibri"/>
              </w:rPr>
            </w:pPr>
            <w:r w:rsidRPr="00064185">
              <w:rPr>
                <w:rFonts w:eastAsia="Calibri"/>
              </w:rPr>
              <w:lastRenderedPageBreak/>
              <w:t>Physical compatibility</w:t>
            </w:r>
          </w:p>
        </w:tc>
        <w:tc>
          <w:tcPr>
            <w:tcW w:w="747" w:type="pct"/>
          </w:tcPr>
          <w:p w14:paraId="7541CFF5" w14:textId="77777777" w:rsidR="004A259A" w:rsidRPr="00064185" w:rsidRDefault="004A259A" w:rsidP="00EA61D8">
            <w:pPr>
              <w:rPr>
                <w:rFonts w:eastAsia="Calibri"/>
              </w:rPr>
            </w:pPr>
            <w:r w:rsidRPr="00064185">
              <w:t>−</w:t>
            </w:r>
          </w:p>
        </w:tc>
        <w:tc>
          <w:tcPr>
            <w:tcW w:w="707" w:type="pct"/>
          </w:tcPr>
          <w:p w14:paraId="78D3EBED" w14:textId="77777777" w:rsidR="004A259A" w:rsidRPr="00064185" w:rsidRDefault="004A259A" w:rsidP="00EA61D8">
            <w:pPr>
              <w:rPr>
                <w:rFonts w:eastAsia="Calibri"/>
              </w:rPr>
            </w:pPr>
            <w:r w:rsidRPr="00064185">
              <w:t>−</w:t>
            </w:r>
          </w:p>
        </w:tc>
        <w:tc>
          <w:tcPr>
            <w:tcW w:w="1419" w:type="pct"/>
          </w:tcPr>
          <w:p w14:paraId="750EE219" w14:textId="77777777" w:rsidR="004A259A" w:rsidRPr="00064185" w:rsidRDefault="004A259A" w:rsidP="00EA61D8">
            <w:pPr>
              <w:rPr>
                <w:rFonts w:eastAsia="Calibri"/>
              </w:rPr>
            </w:pPr>
            <w:r w:rsidRPr="00064185">
              <w:rPr>
                <w:rFonts w:eastAsia="Calibri"/>
              </w:rPr>
              <w:t>The biocidal product is not intended to be used with other products including other biocidal products. Therefore no information is submitted about its physical compatibility with other products.</w:t>
            </w:r>
          </w:p>
        </w:tc>
        <w:tc>
          <w:tcPr>
            <w:tcW w:w="824" w:type="pct"/>
          </w:tcPr>
          <w:p w14:paraId="5704D4CA" w14:textId="77777777" w:rsidR="004A259A" w:rsidRPr="00064185" w:rsidRDefault="004A259A" w:rsidP="00EA61D8">
            <w:pPr>
              <w:rPr>
                <w:rFonts w:eastAsia="Calibri"/>
              </w:rPr>
            </w:pPr>
            <w:r w:rsidRPr="00064185">
              <w:t>−</w:t>
            </w:r>
          </w:p>
        </w:tc>
      </w:tr>
      <w:tr w:rsidR="00064185" w:rsidRPr="00064185" w14:paraId="342028FF" w14:textId="77777777" w:rsidTr="00694A42">
        <w:trPr>
          <w:cantSplit/>
        </w:trPr>
        <w:tc>
          <w:tcPr>
            <w:tcW w:w="1303" w:type="pct"/>
          </w:tcPr>
          <w:p w14:paraId="6F071A9E" w14:textId="77777777" w:rsidR="004A259A" w:rsidRPr="00064185" w:rsidRDefault="004A259A" w:rsidP="00EA61D8">
            <w:pPr>
              <w:rPr>
                <w:rFonts w:eastAsia="Calibri"/>
              </w:rPr>
            </w:pPr>
            <w:r w:rsidRPr="00064185">
              <w:rPr>
                <w:rFonts w:eastAsia="Calibri"/>
              </w:rPr>
              <w:t>Chemical compatibility</w:t>
            </w:r>
          </w:p>
        </w:tc>
        <w:tc>
          <w:tcPr>
            <w:tcW w:w="747" w:type="pct"/>
          </w:tcPr>
          <w:p w14:paraId="7E951FE6" w14:textId="77777777" w:rsidR="004A259A" w:rsidRPr="00064185" w:rsidRDefault="004A259A" w:rsidP="00EA61D8">
            <w:pPr>
              <w:rPr>
                <w:rFonts w:eastAsia="Calibri"/>
              </w:rPr>
            </w:pPr>
            <w:r w:rsidRPr="00064185">
              <w:t>−</w:t>
            </w:r>
          </w:p>
        </w:tc>
        <w:tc>
          <w:tcPr>
            <w:tcW w:w="707" w:type="pct"/>
          </w:tcPr>
          <w:p w14:paraId="39F5A82D" w14:textId="77777777" w:rsidR="004A259A" w:rsidRPr="00064185" w:rsidRDefault="004A259A" w:rsidP="00EA61D8">
            <w:pPr>
              <w:rPr>
                <w:rFonts w:eastAsia="Calibri"/>
              </w:rPr>
            </w:pPr>
            <w:r w:rsidRPr="00064185">
              <w:t>−</w:t>
            </w:r>
          </w:p>
        </w:tc>
        <w:tc>
          <w:tcPr>
            <w:tcW w:w="1419" w:type="pct"/>
          </w:tcPr>
          <w:p w14:paraId="2041964C" w14:textId="77777777" w:rsidR="004A259A" w:rsidRPr="00064185" w:rsidRDefault="004A259A" w:rsidP="00EA61D8">
            <w:pPr>
              <w:rPr>
                <w:rFonts w:eastAsia="Calibri"/>
              </w:rPr>
            </w:pPr>
            <w:r w:rsidRPr="00064185">
              <w:rPr>
                <w:rFonts w:eastAsia="Calibri"/>
              </w:rPr>
              <w:t>The biocidal product is not intended to be used with other products including other biocidal products. Therefore no information is submitted about its chemical compatibility with other products.</w:t>
            </w:r>
          </w:p>
        </w:tc>
        <w:tc>
          <w:tcPr>
            <w:tcW w:w="824" w:type="pct"/>
          </w:tcPr>
          <w:p w14:paraId="0F2FB42F" w14:textId="77777777" w:rsidR="004A259A" w:rsidRPr="00064185" w:rsidRDefault="004A259A" w:rsidP="00EA61D8">
            <w:pPr>
              <w:rPr>
                <w:rFonts w:eastAsia="Calibri"/>
              </w:rPr>
            </w:pPr>
            <w:r w:rsidRPr="00064185">
              <w:t>−</w:t>
            </w:r>
          </w:p>
        </w:tc>
      </w:tr>
      <w:tr w:rsidR="00064185" w:rsidRPr="00064185" w14:paraId="0742854D" w14:textId="77777777" w:rsidTr="00694A42">
        <w:trPr>
          <w:cantSplit/>
        </w:trPr>
        <w:tc>
          <w:tcPr>
            <w:tcW w:w="1303" w:type="pct"/>
          </w:tcPr>
          <w:p w14:paraId="50D181C6" w14:textId="77777777" w:rsidR="004A259A" w:rsidRPr="00064185" w:rsidRDefault="004A259A" w:rsidP="00EA61D8">
            <w:pPr>
              <w:rPr>
                <w:rFonts w:eastAsia="Calibri"/>
              </w:rPr>
            </w:pPr>
            <w:r w:rsidRPr="00064185">
              <w:rPr>
                <w:rFonts w:eastAsia="Calibri"/>
              </w:rPr>
              <w:t>Degree of dissolution and dilution stability</w:t>
            </w:r>
          </w:p>
        </w:tc>
        <w:tc>
          <w:tcPr>
            <w:tcW w:w="747" w:type="pct"/>
          </w:tcPr>
          <w:p w14:paraId="106C592E" w14:textId="77777777" w:rsidR="004A259A" w:rsidRPr="00064185" w:rsidRDefault="004A259A" w:rsidP="00EA61D8">
            <w:pPr>
              <w:rPr>
                <w:rFonts w:eastAsia="Calibri"/>
              </w:rPr>
            </w:pPr>
            <w:r w:rsidRPr="00064185">
              <w:t>−</w:t>
            </w:r>
          </w:p>
        </w:tc>
        <w:tc>
          <w:tcPr>
            <w:tcW w:w="707" w:type="pct"/>
          </w:tcPr>
          <w:p w14:paraId="27A601CB" w14:textId="77777777" w:rsidR="004A259A" w:rsidRPr="00064185" w:rsidRDefault="004A259A" w:rsidP="00EA61D8">
            <w:pPr>
              <w:rPr>
                <w:rFonts w:eastAsia="Calibri"/>
              </w:rPr>
            </w:pPr>
            <w:r w:rsidRPr="00064185">
              <w:t>−</w:t>
            </w:r>
          </w:p>
        </w:tc>
        <w:tc>
          <w:tcPr>
            <w:tcW w:w="1419" w:type="pct"/>
          </w:tcPr>
          <w:p w14:paraId="269F988C" w14:textId="77777777" w:rsidR="004A259A" w:rsidRPr="00064185" w:rsidRDefault="004A259A" w:rsidP="00EA61D8">
            <w:pPr>
              <w:rPr>
                <w:rFonts w:eastAsia="Calibri"/>
              </w:rPr>
            </w:pPr>
            <w:r w:rsidRPr="00064185">
              <w:rPr>
                <w:rFonts w:eastAsia="Calibri"/>
              </w:rPr>
              <w:t>The degree of dissolution must be determined for water soluble bags and tablets, the dilution stability for water-soluble preparations. Since the biocidal product is not a water soluble bag, tablet or a water-soluble preparation these tests do not need to be performed.</w:t>
            </w:r>
          </w:p>
        </w:tc>
        <w:tc>
          <w:tcPr>
            <w:tcW w:w="824" w:type="pct"/>
          </w:tcPr>
          <w:p w14:paraId="53ABF77E" w14:textId="77777777" w:rsidR="004A259A" w:rsidRPr="00064185" w:rsidRDefault="004A259A" w:rsidP="00EA61D8">
            <w:pPr>
              <w:rPr>
                <w:rFonts w:eastAsia="Calibri"/>
              </w:rPr>
            </w:pPr>
            <w:r w:rsidRPr="00064185">
              <w:t>−</w:t>
            </w:r>
          </w:p>
        </w:tc>
      </w:tr>
      <w:tr w:rsidR="00064185" w:rsidRPr="00064185" w14:paraId="59244BDA" w14:textId="77777777" w:rsidTr="00694A42">
        <w:trPr>
          <w:cantSplit/>
        </w:trPr>
        <w:tc>
          <w:tcPr>
            <w:tcW w:w="1303" w:type="pct"/>
          </w:tcPr>
          <w:p w14:paraId="1E009D5D" w14:textId="77777777" w:rsidR="004A259A" w:rsidRPr="00064185" w:rsidRDefault="004A259A" w:rsidP="00EA61D8">
            <w:pPr>
              <w:rPr>
                <w:rFonts w:eastAsia="Calibri"/>
              </w:rPr>
            </w:pPr>
            <w:r w:rsidRPr="00064185">
              <w:rPr>
                <w:rFonts w:eastAsia="Calibri"/>
              </w:rPr>
              <w:t>Surface tension</w:t>
            </w:r>
          </w:p>
        </w:tc>
        <w:tc>
          <w:tcPr>
            <w:tcW w:w="747" w:type="pct"/>
          </w:tcPr>
          <w:p w14:paraId="18A1A9B7" w14:textId="77777777" w:rsidR="004A259A" w:rsidRPr="00064185" w:rsidRDefault="004A259A" w:rsidP="00EA61D8">
            <w:pPr>
              <w:rPr>
                <w:rFonts w:eastAsia="Calibri"/>
              </w:rPr>
            </w:pPr>
            <w:r w:rsidRPr="00064185">
              <w:t>EC Method A.5</w:t>
            </w:r>
          </w:p>
        </w:tc>
        <w:tc>
          <w:tcPr>
            <w:tcW w:w="707" w:type="pct"/>
          </w:tcPr>
          <w:p w14:paraId="0CF89C6A" w14:textId="4085C323" w:rsidR="004A259A" w:rsidRPr="00064185" w:rsidRDefault="00365523" w:rsidP="00EA61D8">
            <w:pPr>
              <w:rPr>
                <w:rFonts w:eastAsia="Calibri"/>
              </w:rPr>
            </w:pPr>
            <w:r w:rsidRPr="00064185">
              <w:t>100</w:t>
            </w:r>
            <w:r w:rsidR="00FE032C" w:rsidRPr="00064185">
              <w:t>%</w:t>
            </w:r>
          </w:p>
        </w:tc>
        <w:tc>
          <w:tcPr>
            <w:tcW w:w="1419" w:type="pct"/>
          </w:tcPr>
          <w:p w14:paraId="38953433" w14:textId="77777777" w:rsidR="004A259A" w:rsidRPr="00064185" w:rsidRDefault="004A259A" w:rsidP="00EA61D8">
            <w:pPr>
              <w:rPr>
                <w:rFonts w:eastAsia="Calibri"/>
              </w:rPr>
            </w:pPr>
            <w:r w:rsidRPr="00064185">
              <w:t>37.1 mN/m at 20°C</w:t>
            </w:r>
          </w:p>
        </w:tc>
        <w:tc>
          <w:tcPr>
            <w:tcW w:w="824" w:type="pct"/>
          </w:tcPr>
          <w:p w14:paraId="4F004A04" w14:textId="77777777" w:rsidR="004A259A" w:rsidRPr="00064185" w:rsidRDefault="004A259A" w:rsidP="00EA61D8">
            <w:pPr>
              <w:rPr>
                <w:rFonts w:eastAsia="Calibri"/>
              </w:rPr>
            </w:pPr>
            <w:r w:rsidRPr="00064185">
              <w:t>Martin-Keusch, 2009a</w:t>
            </w:r>
          </w:p>
        </w:tc>
      </w:tr>
      <w:tr w:rsidR="00FE032C" w:rsidRPr="00064185" w14:paraId="1D9ED5BB" w14:textId="77777777" w:rsidTr="00694A42">
        <w:trPr>
          <w:cantSplit/>
        </w:trPr>
        <w:tc>
          <w:tcPr>
            <w:tcW w:w="1303" w:type="pct"/>
          </w:tcPr>
          <w:p w14:paraId="607EC036" w14:textId="77777777" w:rsidR="004A259A" w:rsidRPr="00064185" w:rsidRDefault="004A259A" w:rsidP="00EA61D8">
            <w:pPr>
              <w:rPr>
                <w:rFonts w:eastAsia="Calibri"/>
              </w:rPr>
            </w:pPr>
            <w:r w:rsidRPr="00064185">
              <w:rPr>
                <w:rFonts w:eastAsia="Calibri"/>
              </w:rPr>
              <w:t>Viscosity</w:t>
            </w:r>
          </w:p>
        </w:tc>
        <w:tc>
          <w:tcPr>
            <w:tcW w:w="747" w:type="pct"/>
          </w:tcPr>
          <w:p w14:paraId="79A0C589" w14:textId="77777777" w:rsidR="004A259A" w:rsidRPr="00064185" w:rsidRDefault="004A259A" w:rsidP="00EA61D8">
            <w:pPr>
              <w:rPr>
                <w:rFonts w:eastAsia="Calibri"/>
              </w:rPr>
            </w:pPr>
            <w:r w:rsidRPr="00064185">
              <w:t>OECD guideline 114 CIPAC method MT 192</w:t>
            </w:r>
          </w:p>
        </w:tc>
        <w:tc>
          <w:tcPr>
            <w:tcW w:w="707" w:type="pct"/>
          </w:tcPr>
          <w:p w14:paraId="27C70485" w14:textId="64248B95" w:rsidR="004A259A" w:rsidRPr="00064185" w:rsidRDefault="00365523" w:rsidP="00EA61D8">
            <w:pPr>
              <w:rPr>
                <w:rFonts w:eastAsia="Calibri"/>
              </w:rPr>
            </w:pPr>
            <w:r w:rsidRPr="00064185">
              <w:t>100</w:t>
            </w:r>
            <w:r w:rsidR="00FE032C" w:rsidRPr="00064185">
              <w:t>%</w:t>
            </w:r>
          </w:p>
        </w:tc>
        <w:tc>
          <w:tcPr>
            <w:tcW w:w="1419" w:type="pct"/>
          </w:tcPr>
          <w:p w14:paraId="19051D96" w14:textId="77777777" w:rsidR="004A259A" w:rsidRPr="00064185" w:rsidRDefault="004A259A" w:rsidP="00EA61D8">
            <w:pPr>
              <w:keepNext/>
              <w:spacing w:before="60" w:after="60"/>
            </w:pPr>
            <w:r w:rsidRPr="00064185">
              <w:t>1.1 mPa*s at 20°C</w:t>
            </w:r>
          </w:p>
          <w:p w14:paraId="744CD0F7" w14:textId="77777777" w:rsidR="004A259A" w:rsidRPr="00064185" w:rsidRDefault="004A259A" w:rsidP="00EA61D8">
            <w:pPr>
              <w:rPr>
                <w:rFonts w:eastAsia="Calibri"/>
              </w:rPr>
            </w:pPr>
            <w:r w:rsidRPr="00064185">
              <w:t>0.8 mPa*s at 40°C</w:t>
            </w:r>
          </w:p>
        </w:tc>
        <w:tc>
          <w:tcPr>
            <w:tcW w:w="824" w:type="pct"/>
          </w:tcPr>
          <w:p w14:paraId="41F98CE4" w14:textId="77777777" w:rsidR="004A259A" w:rsidRPr="00064185" w:rsidRDefault="004A259A" w:rsidP="00EA61D8">
            <w:pPr>
              <w:rPr>
                <w:rFonts w:eastAsia="Calibri"/>
              </w:rPr>
            </w:pPr>
            <w:r w:rsidRPr="00064185">
              <w:t>Martin-Keusch, 2009a</w:t>
            </w:r>
          </w:p>
        </w:tc>
      </w:tr>
    </w:tbl>
    <w:p w14:paraId="717A24AC" w14:textId="77777777" w:rsidR="00CE4763" w:rsidRPr="00064185" w:rsidRDefault="00CE4763" w:rsidP="00EA61D8">
      <w:pPr>
        <w:spacing w:line="260" w:lineRule="atLeast"/>
        <w:ind w:left="360"/>
        <w:contextualSpacing/>
        <w:rPr>
          <w:rFonts w:eastAsia="Calibri"/>
          <w:lang w:eastAsia="sv-SE"/>
        </w:rPr>
      </w:pPr>
    </w:p>
    <w:p w14:paraId="75DDCE19" w14:textId="77777777" w:rsidR="00A53EE0" w:rsidRPr="00064185" w:rsidRDefault="00CE4763" w:rsidP="00EA61D8">
      <w:pPr>
        <w:spacing w:line="260" w:lineRule="atLeast"/>
        <w:ind w:left="360"/>
        <w:contextualSpacing/>
        <w:rPr>
          <w:rFonts w:eastAsia="Calibri"/>
          <w:lang w:eastAsia="sv-SE"/>
        </w:rPr>
      </w:pPr>
      <w:r w:rsidRPr="00064185">
        <w:rPr>
          <w:rFonts w:eastAsia="Calibri"/>
          <w:lang w:eastAsia="sv-SE"/>
        </w:rPr>
        <w:br w:type="page"/>
      </w:r>
    </w:p>
    <w:p w14:paraId="59387969" w14:textId="77777777" w:rsidR="00BC3510" w:rsidRPr="00064185" w:rsidRDefault="00A53EE0" w:rsidP="00EA61D8">
      <w:pPr>
        <w:pStyle w:val="berschrift3"/>
        <w:rPr>
          <w:lang w:val="en-US"/>
        </w:rPr>
      </w:pPr>
      <w:bookmarkStart w:id="1462" w:name="_Toc389729029"/>
      <w:bookmarkStart w:id="1463" w:name="_Toc403472741"/>
      <w:bookmarkStart w:id="1464" w:name="_Toc440879649"/>
      <w:bookmarkStart w:id="1465" w:name="_Toc440889962"/>
      <w:bookmarkStart w:id="1466" w:name="_Toc530563667"/>
      <w:r w:rsidRPr="00064185">
        <w:rPr>
          <w:rFonts w:eastAsia="Calibri"/>
          <w:lang w:val="en-US"/>
        </w:rPr>
        <w:lastRenderedPageBreak/>
        <w:t>Physical hazards and respective characteristics</w:t>
      </w:r>
      <w:bookmarkEnd w:id="1462"/>
      <w:bookmarkEnd w:id="1463"/>
      <w:bookmarkEnd w:id="1464"/>
      <w:bookmarkEnd w:id="1465"/>
      <w:bookmarkEnd w:id="14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3"/>
        <w:gridCol w:w="2075"/>
        <w:gridCol w:w="2073"/>
        <w:gridCol w:w="3505"/>
        <w:gridCol w:w="2547"/>
      </w:tblGrid>
      <w:tr w:rsidR="00064185" w:rsidRPr="00064185" w14:paraId="04D0F5D4" w14:textId="77777777" w:rsidTr="00C365B3">
        <w:trPr>
          <w:cantSplit/>
          <w:tblHeader/>
        </w:trPr>
        <w:tc>
          <w:tcPr>
            <w:tcW w:w="1220" w:type="pct"/>
            <w:shd w:val="clear" w:color="auto" w:fill="E0E0E0"/>
            <w:vAlign w:val="center"/>
          </w:tcPr>
          <w:p w14:paraId="66969360" w14:textId="77777777" w:rsidR="00A53EE0" w:rsidRPr="00064185" w:rsidRDefault="00A53EE0" w:rsidP="00EA61D8">
            <w:pPr>
              <w:rPr>
                <w:rFonts w:eastAsia="Calibri"/>
                <w:b/>
              </w:rPr>
            </w:pPr>
            <w:r w:rsidRPr="00064185">
              <w:rPr>
                <w:rFonts w:eastAsia="Calibri"/>
                <w:b/>
              </w:rPr>
              <w:t>Property</w:t>
            </w:r>
          </w:p>
        </w:tc>
        <w:tc>
          <w:tcPr>
            <w:tcW w:w="769" w:type="pct"/>
            <w:shd w:val="clear" w:color="auto" w:fill="E0E0E0"/>
            <w:vAlign w:val="center"/>
          </w:tcPr>
          <w:p w14:paraId="39A0A8BC" w14:textId="77777777" w:rsidR="00A53EE0" w:rsidRPr="00064185" w:rsidRDefault="004A259A" w:rsidP="00EA61D8">
            <w:pPr>
              <w:rPr>
                <w:rFonts w:eastAsia="Calibri"/>
                <w:b/>
              </w:rPr>
            </w:pPr>
            <w:r w:rsidRPr="00064185">
              <w:rPr>
                <w:rFonts w:eastAsia="Calibri"/>
                <w:b/>
              </w:rPr>
              <w:t xml:space="preserve">Guideline </w:t>
            </w:r>
            <w:r w:rsidR="00A53EE0" w:rsidRPr="00064185">
              <w:rPr>
                <w:rFonts w:eastAsia="Calibri"/>
                <w:b/>
              </w:rPr>
              <w:t>and Method</w:t>
            </w:r>
          </w:p>
        </w:tc>
        <w:tc>
          <w:tcPr>
            <w:tcW w:w="768" w:type="pct"/>
            <w:shd w:val="clear" w:color="auto" w:fill="E0E0E0"/>
            <w:vAlign w:val="center"/>
          </w:tcPr>
          <w:p w14:paraId="63760C7C" w14:textId="77777777" w:rsidR="00A53EE0" w:rsidRPr="00064185" w:rsidRDefault="00A53EE0" w:rsidP="00EA61D8">
            <w:pPr>
              <w:rPr>
                <w:rFonts w:eastAsia="Calibri"/>
                <w:b/>
              </w:rPr>
            </w:pPr>
            <w:r w:rsidRPr="00064185">
              <w:rPr>
                <w:rFonts w:eastAsia="Calibri"/>
                <w:b/>
              </w:rPr>
              <w:t>Purity of the test substance (% (w/w)</w:t>
            </w:r>
          </w:p>
        </w:tc>
        <w:tc>
          <w:tcPr>
            <w:tcW w:w="1299" w:type="pct"/>
            <w:shd w:val="clear" w:color="auto" w:fill="E0E0E0"/>
            <w:vAlign w:val="center"/>
          </w:tcPr>
          <w:p w14:paraId="42C9E93B" w14:textId="77777777" w:rsidR="00A53EE0" w:rsidRPr="00064185" w:rsidRDefault="00A53EE0" w:rsidP="00EA61D8">
            <w:pPr>
              <w:rPr>
                <w:rFonts w:eastAsia="Calibri"/>
                <w:b/>
              </w:rPr>
            </w:pPr>
            <w:r w:rsidRPr="00064185">
              <w:rPr>
                <w:rFonts w:eastAsia="Calibri"/>
                <w:b/>
              </w:rPr>
              <w:t>Results</w:t>
            </w:r>
          </w:p>
        </w:tc>
        <w:tc>
          <w:tcPr>
            <w:tcW w:w="944" w:type="pct"/>
            <w:shd w:val="clear" w:color="auto" w:fill="E0E0E0"/>
            <w:vAlign w:val="center"/>
          </w:tcPr>
          <w:p w14:paraId="570563C2" w14:textId="77777777" w:rsidR="00A53EE0" w:rsidRPr="00064185" w:rsidRDefault="00A53EE0" w:rsidP="00EA61D8">
            <w:pPr>
              <w:rPr>
                <w:rFonts w:eastAsia="Calibri"/>
                <w:b/>
              </w:rPr>
            </w:pPr>
            <w:r w:rsidRPr="00064185">
              <w:rPr>
                <w:rFonts w:eastAsia="Calibri"/>
                <w:b/>
              </w:rPr>
              <w:t>Reference</w:t>
            </w:r>
          </w:p>
        </w:tc>
      </w:tr>
      <w:tr w:rsidR="00064185" w:rsidRPr="00064185" w14:paraId="430B310C" w14:textId="77777777" w:rsidTr="00C365B3">
        <w:trPr>
          <w:cantSplit/>
        </w:trPr>
        <w:tc>
          <w:tcPr>
            <w:tcW w:w="1220" w:type="pct"/>
          </w:tcPr>
          <w:p w14:paraId="5F736C27" w14:textId="77777777" w:rsidR="008B610C" w:rsidRPr="00064185" w:rsidRDefault="008B610C" w:rsidP="00EA61D8">
            <w:pPr>
              <w:rPr>
                <w:rFonts w:eastAsia="Calibri"/>
              </w:rPr>
            </w:pPr>
            <w:r w:rsidRPr="00064185">
              <w:rPr>
                <w:rFonts w:eastAsia="Calibri"/>
              </w:rPr>
              <w:t>Explosives</w:t>
            </w:r>
          </w:p>
        </w:tc>
        <w:tc>
          <w:tcPr>
            <w:tcW w:w="769" w:type="pct"/>
          </w:tcPr>
          <w:p w14:paraId="6A08FF77" w14:textId="77777777" w:rsidR="008B610C" w:rsidRPr="00064185" w:rsidRDefault="008B610C" w:rsidP="00EA61D8">
            <w:pPr>
              <w:rPr>
                <w:rFonts w:eastAsia="Calibri"/>
              </w:rPr>
            </w:pPr>
            <w:r w:rsidRPr="00064185">
              <w:t>EC method A.14</w:t>
            </w:r>
          </w:p>
        </w:tc>
        <w:tc>
          <w:tcPr>
            <w:tcW w:w="768" w:type="pct"/>
          </w:tcPr>
          <w:p w14:paraId="763D5643" w14:textId="7224B2E4" w:rsidR="008B610C" w:rsidRPr="00064185" w:rsidRDefault="008B610C" w:rsidP="00EA61D8">
            <w:pPr>
              <w:rPr>
                <w:rFonts w:eastAsia="Calibri"/>
              </w:rPr>
            </w:pPr>
          </w:p>
        </w:tc>
        <w:tc>
          <w:tcPr>
            <w:tcW w:w="1299" w:type="pct"/>
          </w:tcPr>
          <w:p w14:paraId="22265125" w14:textId="77777777" w:rsidR="008200B4" w:rsidRPr="00064185" w:rsidRDefault="008200B4" w:rsidP="00EA61D8">
            <w:pPr>
              <w:keepNext/>
              <w:spacing w:before="60" w:after="60"/>
            </w:pPr>
            <w:r w:rsidRPr="00064185">
              <w:t>The substance did not explode when exposed to heat or mechanical shock.</w:t>
            </w:r>
          </w:p>
          <w:p w14:paraId="3303B9DB" w14:textId="335E51D2" w:rsidR="008200B4" w:rsidRPr="00064185" w:rsidRDefault="008200B4" w:rsidP="00EA61D8">
            <w:pPr>
              <w:keepNext/>
              <w:spacing w:before="60" w:after="60"/>
            </w:pPr>
            <w:r w:rsidRPr="00064185">
              <w:t>With regard to mechanical shock the test was carried out in accordance with EC Test A.14, Reference 6.2, using the BAM Fall Hammer apparatus. Limiting Impact Energy &gt;40 joules. The test substance is not classified as explosive in terms of its mechanical sensitivity with respect to shock.</w:t>
            </w:r>
          </w:p>
          <w:p w14:paraId="30FDCFFD" w14:textId="77777777" w:rsidR="008200B4" w:rsidRPr="00064185" w:rsidRDefault="008200B4" w:rsidP="00EA61D8">
            <w:pPr>
              <w:keepNext/>
              <w:spacing w:before="60" w:after="60"/>
            </w:pPr>
          </w:p>
          <w:p w14:paraId="2A2346F8" w14:textId="46674451" w:rsidR="008B610C" w:rsidRPr="00064185" w:rsidRDefault="008200B4" w:rsidP="00EA61D8">
            <w:pPr>
              <w:keepNext/>
              <w:spacing w:before="60" w:after="60"/>
            </w:pPr>
            <w:r w:rsidRPr="00064185">
              <w:t>With regard to thermal sensitivity the test was carried out based on EC Test A.14, Reference 6.2, using the Koenen steel tube apparatus. No explosions were observed using the 2</w:t>
            </w:r>
            <w:r w:rsidR="00EF2337" w:rsidRPr="00064185">
              <w:t xml:space="preserve"> </w:t>
            </w:r>
            <w:r w:rsidRPr="00064185">
              <w:t>mm orifice plates, i.e. Limiting Diameter &lt;2</w:t>
            </w:r>
            <w:r w:rsidR="00EF2337" w:rsidRPr="00064185">
              <w:t xml:space="preserve"> </w:t>
            </w:r>
            <w:r w:rsidRPr="00064185">
              <w:t>mm. The test substance is not classified as explosive in terms of its thermal sensitivity.</w:t>
            </w:r>
          </w:p>
        </w:tc>
        <w:tc>
          <w:tcPr>
            <w:tcW w:w="944" w:type="pct"/>
          </w:tcPr>
          <w:p w14:paraId="26667109" w14:textId="77777777" w:rsidR="008B610C" w:rsidRPr="00064185" w:rsidRDefault="008B610C" w:rsidP="00EA61D8">
            <w:pPr>
              <w:rPr>
                <w:rFonts w:eastAsia="Calibri"/>
              </w:rPr>
            </w:pPr>
            <w:r w:rsidRPr="00064185">
              <w:t>Jackson, 2009a</w:t>
            </w:r>
          </w:p>
        </w:tc>
      </w:tr>
      <w:tr w:rsidR="00064185" w:rsidRPr="00064185" w14:paraId="5749EBAD" w14:textId="77777777" w:rsidTr="00C365B3">
        <w:trPr>
          <w:cantSplit/>
        </w:trPr>
        <w:tc>
          <w:tcPr>
            <w:tcW w:w="1220" w:type="pct"/>
          </w:tcPr>
          <w:p w14:paraId="1F657DD7" w14:textId="77777777" w:rsidR="00C365B3" w:rsidRPr="00064185" w:rsidRDefault="00C365B3" w:rsidP="00EA61D8">
            <w:pPr>
              <w:rPr>
                <w:rFonts w:eastAsia="Calibri"/>
              </w:rPr>
            </w:pPr>
            <w:r w:rsidRPr="00064185">
              <w:rPr>
                <w:rFonts w:eastAsia="Calibri"/>
              </w:rPr>
              <w:t>Flammable gases</w:t>
            </w:r>
          </w:p>
        </w:tc>
        <w:tc>
          <w:tcPr>
            <w:tcW w:w="769" w:type="pct"/>
          </w:tcPr>
          <w:p w14:paraId="13996AD7" w14:textId="77777777" w:rsidR="00C365B3" w:rsidRPr="00064185" w:rsidRDefault="00C365B3" w:rsidP="00EA61D8">
            <w:pPr>
              <w:rPr>
                <w:rFonts w:eastAsia="Calibri"/>
              </w:rPr>
            </w:pPr>
            <w:r w:rsidRPr="00064185">
              <w:t>−</w:t>
            </w:r>
          </w:p>
        </w:tc>
        <w:tc>
          <w:tcPr>
            <w:tcW w:w="768" w:type="pct"/>
          </w:tcPr>
          <w:p w14:paraId="7FA46363" w14:textId="77777777" w:rsidR="00C365B3" w:rsidRPr="00064185" w:rsidRDefault="00C365B3" w:rsidP="00EA61D8">
            <w:pPr>
              <w:rPr>
                <w:rFonts w:eastAsia="Calibri"/>
              </w:rPr>
            </w:pPr>
            <w:r w:rsidRPr="00064185">
              <w:t>−</w:t>
            </w:r>
          </w:p>
        </w:tc>
        <w:tc>
          <w:tcPr>
            <w:tcW w:w="1299" w:type="pct"/>
          </w:tcPr>
          <w:p w14:paraId="6085D063" w14:textId="77777777" w:rsidR="00C365B3" w:rsidRPr="00064185" w:rsidRDefault="00C365B3" w:rsidP="00EA61D8">
            <w:pPr>
              <w:rPr>
                <w:rFonts w:eastAsia="Calibri"/>
              </w:rPr>
            </w:pPr>
            <w:r w:rsidRPr="00064185">
              <w:rPr>
                <w:rFonts w:eastAsia="Calibri"/>
              </w:rPr>
              <w:t>The parameter flammable gases must be determined for biocidal products that are gases. Since the biocidal product is not a gas this test does not need to be performed.</w:t>
            </w:r>
          </w:p>
        </w:tc>
        <w:tc>
          <w:tcPr>
            <w:tcW w:w="944" w:type="pct"/>
          </w:tcPr>
          <w:p w14:paraId="089856E3" w14:textId="77777777" w:rsidR="00C365B3" w:rsidRPr="00064185" w:rsidRDefault="00C365B3" w:rsidP="00EA61D8">
            <w:pPr>
              <w:rPr>
                <w:rFonts w:eastAsia="Calibri"/>
              </w:rPr>
            </w:pPr>
            <w:r w:rsidRPr="00064185">
              <w:t>−</w:t>
            </w:r>
          </w:p>
        </w:tc>
      </w:tr>
      <w:tr w:rsidR="00064185" w:rsidRPr="00064185" w14:paraId="3DFA079F" w14:textId="77777777" w:rsidTr="00C365B3">
        <w:trPr>
          <w:cantSplit/>
        </w:trPr>
        <w:tc>
          <w:tcPr>
            <w:tcW w:w="1220" w:type="pct"/>
          </w:tcPr>
          <w:p w14:paraId="49E321F1" w14:textId="77777777" w:rsidR="00C365B3" w:rsidRPr="00064185" w:rsidRDefault="00C365B3" w:rsidP="00EA61D8">
            <w:pPr>
              <w:rPr>
                <w:rFonts w:eastAsia="Calibri"/>
              </w:rPr>
            </w:pPr>
            <w:r w:rsidRPr="00064185">
              <w:rPr>
                <w:rFonts w:eastAsia="Calibri"/>
              </w:rPr>
              <w:lastRenderedPageBreak/>
              <w:t>Flammable aerosols</w:t>
            </w:r>
          </w:p>
        </w:tc>
        <w:tc>
          <w:tcPr>
            <w:tcW w:w="769" w:type="pct"/>
          </w:tcPr>
          <w:p w14:paraId="2999E914" w14:textId="77777777" w:rsidR="00C365B3" w:rsidRPr="00064185" w:rsidRDefault="00C365B3" w:rsidP="00EA61D8">
            <w:pPr>
              <w:rPr>
                <w:rFonts w:eastAsia="Calibri"/>
              </w:rPr>
            </w:pPr>
            <w:r w:rsidRPr="00064185">
              <w:t>−</w:t>
            </w:r>
          </w:p>
        </w:tc>
        <w:tc>
          <w:tcPr>
            <w:tcW w:w="768" w:type="pct"/>
          </w:tcPr>
          <w:p w14:paraId="108F6588" w14:textId="77777777" w:rsidR="00C365B3" w:rsidRPr="00064185" w:rsidRDefault="00C365B3" w:rsidP="00EA61D8">
            <w:pPr>
              <w:rPr>
                <w:rFonts w:eastAsia="Calibri"/>
              </w:rPr>
            </w:pPr>
            <w:r w:rsidRPr="00064185">
              <w:t>−</w:t>
            </w:r>
          </w:p>
        </w:tc>
        <w:tc>
          <w:tcPr>
            <w:tcW w:w="1299" w:type="pct"/>
          </w:tcPr>
          <w:p w14:paraId="6836CDE6" w14:textId="77777777" w:rsidR="00C365B3" w:rsidRPr="00064185" w:rsidRDefault="00C365B3" w:rsidP="00EA61D8">
            <w:pPr>
              <w:rPr>
                <w:rFonts w:eastAsia="Calibri"/>
              </w:rPr>
            </w:pPr>
            <w:r w:rsidRPr="00064185">
              <w:rPr>
                <w:rFonts w:eastAsia="Calibri"/>
              </w:rPr>
              <w:t>The parameter flammable aerosols must be determined for biocidal products that are supplied as aerosols. Since the biocidal product is not an aerosol this test does not need to be performed.</w:t>
            </w:r>
          </w:p>
        </w:tc>
        <w:tc>
          <w:tcPr>
            <w:tcW w:w="944" w:type="pct"/>
          </w:tcPr>
          <w:p w14:paraId="1985D2F0" w14:textId="77777777" w:rsidR="00C365B3" w:rsidRPr="00064185" w:rsidRDefault="00C365B3" w:rsidP="00EA61D8">
            <w:pPr>
              <w:rPr>
                <w:rFonts w:eastAsia="Calibri"/>
              </w:rPr>
            </w:pPr>
            <w:r w:rsidRPr="00064185">
              <w:t>−</w:t>
            </w:r>
          </w:p>
        </w:tc>
      </w:tr>
      <w:tr w:rsidR="00064185" w:rsidRPr="00064185" w14:paraId="07D9F3EE" w14:textId="77777777" w:rsidTr="00C365B3">
        <w:trPr>
          <w:cantSplit/>
        </w:trPr>
        <w:tc>
          <w:tcPr>
            <w:tcW w:w="1220" w:type="pct"/>
          </w:tcPr>
          <w:p w14:paraId="3C032EB6" w14:textId="77777777" w:rsidR="00C365B3" w:rsidRPr="00064185" w:rsidRDefault="00C365B3" w:rsidP="00EA61D8">
            <w:pPr>
              <w:rPr>
                <w:rFonts w:eastAsia="Calibri"/>
              </w:rPr>
            </w:pPr>
            <w:r w:rsidRPr="00064185">
              <w:rPr>
                <w:rFonts w:eastAsia="Calibri"/>
              </w:rPr>
              <w:t>Oxidising gases</w:t>
            </w:r>
          </w:p>
        </w:tc>
        <w:tc>
          <w:tcPr>
            <w:tcW w:w="769" w:type="pct"/>
          </w:tcPr>
          <w:p w14:paraId="6123CEB0" w14:textId="77777777" w:rsidR="00C365B3" w:rsidRPr="00064185" w:rsidRDefault="00C365B3" w:rsidP="00EA61D8">
            <w:pPr>
              <w:rPr>
                <w:rFonts w:eastAsia="Calibri"/>
              </w:rPr>
            </w:pPr>
            <w:r w:rsidRPr="00064185">
              <w:t>−</w:t>
            </w:r>
          </w:p>
        </w:tc>
        <w:tc>
          <w:tcPr>
            <w:tcW w:w="768" w:type="pct"/>
          </w:tcPr>
          <w:p w14:paraId="35BD1639" w14:textId="77777777" w:rsidR="00C365B3" w:rsidRPr="00064185" w:rsidRDefault="00C365B3" w:rsidP="00EA61D8">
            <w:pPr>
              <w:rPr>
                <w:rFonts w:eastAsia="Calibri"/>
              </w:rPr>
            </w:pPr>
            <w:r w:rsidRPr="00064185">
              <w:t>−</w:t>
            </w:r>
          </w:p>
        </w:tc>
        <w:tc>
          <w:tcPr>
            <w:tcW w:w="1299" w:type="pct"/>
          </w:tcPr>
          <w:p w14:paraId="320A4BD8" w14:textId="77777777" w:rsidR="00C365B3" w:rsidRPr="00064185" w:rsidRDefault="00C365B3" w:rsidP="00EA61D8">
            <w:pPr>
              <w:rPr>
                <w:rFonts w:eastAsia="Calibri"/>
              </w:rPr>
            </w:pPr>
            <w:r w:rsidRPr="00064185">
              <w:rPr>
                <w:rFonts w:eastAsia="Calibri"/>
              </w:rPr>
              <w:t>The parameter oxidising gases must be determined for biocidal products that are gases. Since the biocidal product is not a gas this test does not need to be performed.</w:t>
            </w:r>
          </w:p>
        </w:tc>
        <w:tc>
          <w:tcPr>
            <w:tcW w:w="944" w:type="pct"/>
          </w:tcPr>
          <w:p w14:paraId="500C6DB7" w14:textId="77777777" w:rsidR="00C365B3" w:rsidRPr="00064185" w:rsidRDefault="00C365B3" w:rsidP="00EA61D8">
            <w:pPr>
              <w:rPr>
                <w:rFonts w:eastAsia="Calibri"/>
              </w:rPr>
            </w:pPr>
            <w:r w:rsidRPr="00064185">
              <w:t>−</w:t>
            </w:r>
          </w:p>
        </w:tc>
      </w:tr>
      <w:tr w:rsidR="00064185" w:rsidRPr="00064185" w14:paraId="0A70E1BC" w14:textId="77777777" w:rsidTr="00C365B3">
        <w:trPr>
          <w:cantSplit/>
        </w:trPr>
        <w:tc>
          <w:tcPr>
            <w:tcW w:w="1220" w:type="pct"/>
          </w:tcPr>
          <w:p w14:paraId="4F6F9AE5" w14:textId="77777777" w:rsidR="00C365B3" w:rsidRPr="00064185" w:rsidRDefault="00C365B3" w:rsidP="00EA61D8">
            <w:pPr>
              <w:rPr>
                <w:rFonts w:eastAsia="Calibri"/>
              </w:rPr>
            </w:pPr>
            <w:r w:rsidRPr="00064185">
              <w:rPr>
                <w:rFonts w:eastAsia="Calibri"/>
              </w:rPr>
              <w:t>Gases under pressure</w:t>
            </w:r>
          </w:p>
        </w:tc>
        <w:tc>
          <w:tcPr>
            <w:tcW w:w="769" w:type="pct"/>
          </w:tcPr>
          <w:p w14:paraId="07962E31" w14:textId="77777777" w:rsidR="00C365B3" w:rsidRPr="00064185" w:rsidRDefault="00C365B3" w:rsidP="00EA61D8">
            <w:pPr>
              <w:rPr>
                <w:rFonts w:eastAsia="Calibri"/>
              </w:rPr>
            </w:pPr>
            <w:r w:rsidRPr="00064185">
              <w:t>−</w:t>
            </w:r>
          </w:p>
        </w:tc>
        <w:tc>
          <w:tcPr>
            <w:tcW w:w="768" w:type="pct"/>
          </w:tcPr>
          <w:p w14:paraId="2776CFF7" w14:textId="77777777" w:rsidR="00C365B3" w:rsidRPr="00064185" w:rsidRDefault="00C365B3" w:rsidP="00EA61D8">
            <w:pPr>
              <w:rPr>
                <w:rFonts w:eastAsia="Calibri"/>
              </w:rPr>
            </w:pPr>
            <w:r w:rsidRPr="00064185">
              <w:t>−</w:t>
            </w:r>
          </w:p>
        </w:tc>
        <w:tc>
          <w:tcPr>
            <w:tcW w:w="1299" w:type="pct"/>
          </w:tcPr>
          <w:p w14:paraId="1414F91F" w14:textId="77777777" w:rsidR="00C365B3" w:rsidRPr="00064185" w:rsidRDefault="00C365B3" w:rsidP="00EA61D8">
            <w:pPr>
              <w:rPr>
                <w:rFonts w:eastAsia="Calibri"/>
              </w:rPr>
            </w:pPr>
            <w:r w:rsidRPr="00064185">
              <w:rPr>
                <w:rFonts w:eastAsia="Calibri"/>
              </w:rPr>
              <w:t>The parameter gases under pressure must be determined for biocidal products that are gases. Since the biocidal product is not a gas this test does not need to be performed.</w:t>
            </w:r>
          </w:p>
        </w:tc>
        <w:tc>
          <w:tcPr>
            <w:tcW w:w="944" w:type="pct"/>
          </w:tcPr>
          <w:p w14:paraId="03A5CB32" w14:textId="77777777" w:rsidR="00C365B3" w:rsidRPr="00064185" w:rsidRDefault="00C365B3" w:rsidP="00EA61D8">
            <w:pPr>
              <w:rPr>
                <w:rFonts w:eastAsia="Calibri"/>
              </w:rPr>
            </w:pPr>
            <w:r w:rsidRPr="00064185">
              <w:t>−</w:t>
            </w:r>
          </w:p>
        </w:tc>
      </w:tr>
      <w:tr w:rsidR="00064185" w:rsidRPr="00064185" w14:paraId="6AB8D36A" w14:textId="77777777" w:rsidTr="00C365B3">
        <w:trPr>
          <w:cantSplit/>
        </w:trPr>
        <w:tc>
          <w:tcPr>
            <w:tcW w:w="1220" w:type="pct"/>
          </w:tcPr>
          <w:p w14:paraId="27908EFD" w14:textId="77777777" w:rsidR="00C365B3" w:rsidRPr="00064185" w:rsidRDefault="00C365B3" w:rsidP="00EA61D8">
            <w:pPr>
              <w:rPr>
                <w:rFonts w:eastAsia="Calibri"/>
              </w:rPr>
            </w:pPr>
            <w:r w:rsidRPr="00064185">
              <w:rPr>
                <w:rFonts w:eastAsia="Calibri"/>
              </w:rPr>
              <w:t>Flammable liquids</w:t>
            </w:r>
          </w:p>
        </w:tc>
        <w:tc>
          <w:tcPr>
            <w:tcW w:w="769" w:type="pct"/>
          </w:tcPr>
          <w:p w14:paraId="6FCA4165" w14:textId="77777777" w:rsidR="00C365B3" w:rsidRPr="00064185" w:rsidRDefault="00C365B3" w:rsidP="00EA61D8">
            <w:pPr>
              <w:rPr>
                <w:rFonts w:eastAsia="Calibri"/>
              </w:rPr>
            </w:pPr>
            <w:r w:rsidRPr="00064185">
              <w:t>EC method A.9</w:t>
            </w:r>
          </w:p>
        </w:tc>
        <w:tc>
          <w:tcPr>
            <w:tcW w:w="768" w:type="pct"/>
          </w:tcPr>
          <w:p w14:paraId="3D3BB674" w14:textId="5C221961" w:rsidR="00C365B3" w:rsidRPr="00064185" w:rsidRDefault="00C365B3" w:rsidP="00EA61D8">
            <w:pPr>
              <w:rPr>
                <w:rFonts w:eastAsia="Calibri"/>
              </w:rPr>
            </w:pPr>
          </w:p>
        </w:tc>
        <w:tc>
          <w:tcPr>
            <w:tcW w:w="1299" w:type="pct"/>
          </w:tcPr>
          <w:p w14:paraId="36D3563C" w14:textId="77777777" w:rsidR="00C365B3" w:rsidRPr="00064185" w:rsidRDefault="00C365B3" w:rsidP="00EA61D8">
            <w:pPr>
              <w:rPr>
                <w:rFonts w:eastAsia="Calibri"/>
              </w:rPr>
            </w:pPr>
            <w:r w:rsidRPr="00064185">
              <w:rPr>
                <w:lang w:val="en-US"/>
              </w:rPr>
              <w:t>No flash point was detected below 101°C, the onset of boiling.</w:t>
            </w:r>
          </w:p>
        </w:tc>
        <w:tc>
          <w:tcPr>
            <w:tcW w:w="944" w:type="pct"/>
          </w:tcPr>
          <w:p w14:paraId="64A00A52" w14:textId="77777777" w:rsidR="00C365B3" w:rsidRPr="00064185" w:rsidRDefault="00C365B3" w:rsidP="00EA61D8">
            <w:pPr>
              <w:rPr>
                <w:rFonts w:eastAsia="Calibri"/>
              </w:rPr>
            </w:pPr>
            <w:r w:rsidRPr="00064185">
              <w:t>Jackson, 2009c</w:t>
            </w:r>
          </w:p>
        </w:tc>
      </w:tr>
      <w:tr w:rsidR="00064185" w:rsidRPr="00064185" w14:paraId="2800418A" w14:textId="77777777" w:rsidTr="00C365B3">
        <w:trPr>
          <w:cantSplit/>
        </w:trPr>
        <w:tc>
          <w:tcPr>
            <w:tcW w:w="1220" w:type="pct"/>
          </w:tcPr>
          <w:p w14:paraId="4F936B5D" w14:textId="77777777" w:rsidR="00C365B3" w:rsidRPr="00064185" w:rsidRDefault="00C365B3" w:rsidP="00EA61D8">
            <w:pPr>
              <w:rPr>
                <w:rFonts w:eastAsia="Calibri"/>
              </w:rPr>
            </w:pPr>
            <w:r w:rsidRPr="00064185">
              <w:rPr>
                <w:rFonts w:eastAsia="Calibri"/>
              </w:rPr>
              <w:t>Flammable solids</w:t>
            </w:r>
          </w:p>
        </w:tc>
        <w:tc>
          <w:tcPr>
            <w:tcW w:w="769" w:type="pct"/>
          </w:tcPr>
          <w:p w14:paraId="658AB12A" w14:textId="77777777" w:rsidR="00C365B3" w:rsidRPr="00064185" w:rsidRDefault="00C365B3" w:rsidP="00EA61D8">
            <w:pPr>
              <w:rPr>
                <w:rFonts w:eastAsia="Calibri"/>
              </w:rPr>
            </w:pPr>
            <w:r w:rsidRPr="00064185">
              <w:t>−</w:t>
            </w:r>
          </w:p>
        </w:tc>
        <w:tc>
          <w:tcPr>
            <w:tcW w:w="768" w:type="pct"/>
          </w:tcPr>
          <w:p w14:paraId="14BB850F" w14:textId="77777777" w:rsidR="00C365B3" w:rsidRPr="00064185" w:rsidRDefault="00C365B3" w:rsidP="00EA61D8">
            <w:pPr>
              <w:rPr>
                <w:rFonts w:eastAsia="Calibri"/>
              </w:rPr>
            </w:pPr>
            <w:r w:rsidRPr="00064185">
              <w:t>−</w:t>
            </w:r>
          </w:p>
        </w:tc>
        <w:tc>
          <w:tcPr>
            <w:tcW w:w="1299" w:type="pct"/>
          </w:tcPr>
          <w:p w14:paraId="78EC3A08" w14:textId="77777777" w:rsidR="00C365B3" w:rsidRPr="00064185" w:rsidRDefault="00C365B3" w:rsidP="00EA61D8">
            <w:pPr>
              <w:rPr>
                <w:rFonts w:eastAsia="Calibri"/>
              </w:rPr>
            </w:pPr>
            <w:r w:rsidRPr="00064185">
              <w:rPr>
                <w:rFonts w:eastAsia="Calibri"/>
              </w:rPr>
              <w:t>The oxidising properties have to be determined for solid biocidal products. Since the biocidal product is liquid this test does not need to be performed.</w:t>
            </w:r>
          </w:p>
        </w:tc>
        <w:tc>
          <w:tcPr>
            <w:tcW w:w="944" w:type="pct"/>
          </w:tcPr>
          <w:p w14:paraId="197B3DD8" w14:textId="77777777" w:rsidR="00C365B3" w:rsidRPr="00064185" w:rsidRDefault="00C365B3" w:rsidP="00EA61D8">
            <w:pPr>
              <w:rPr>
                <w:rFonts w:eastAsia="Calibri"/>
              </w:rPr>
            </w:pPr>
            <w:r w:rsidRPr="00064185">
              <w:t>−</w:t>
            </w:r>
          </w:p>
        </w:tc>
      </w:tr>
      <w:tr w:rsidR="00064185" w:rsidRPr="00064185" w14:paraId="0A997779" w14:textId="77777777" w:rsidTr="00C365B3">
        <w:trPr>
          <w:cantSplit/>
        </w:trPr>
        <w:tc>
          <w:tcPr>
            <w:tcW w:w="1220" w:type="pct"/>
          </w:tcPr>
          <w:p w14:paraId="2CDF1C35" w14:textId="77777777" w:rsidR="00C365B3" w:rsidRPr="00064185" w:rsidRDefault="00C365B3" w:rsidP="00EA61D8">
            <w:pPr>
              <w:rPr>
                <w:rFonts w:eastAsia="Calibri"/>
              </w:rPr>
            </w:pPr>
            <w:r w:rsidRPr="00064185">
              <w:rPr>
                <w:rFonts w:eastAsia="Calibri"/>
              </w:rPr>
              <w:t>Self-reactive substances and mixtures</w:t>
            </w:r>
          </w:p>
        </w:tc>
        <w:tc>
          <w:tcPr>
            <w:tcW w:w="769" w:type="pct"/>
          </w:tcPr>
          <w:p w14:paraId="0649E544" w14:textId="77777777" w:rsidR="00C365B3" w:rsidRPr="00064185" w:rsidRDefault="00C365B3" w:rsidP="00EA61D8">
            <w:pPr>
              <w:rPr>
                <w:rFonts w:eastAsia="Calibri"/>
              </w:rPr>
            </w:pPr>
            <w:r w:rsidRPr="00064185">
              <w:t>−</w:t>
            </w:r>
          </w:p>
        </w:tc>
        <w:tc>
          <w:tcPr>
            <w:tcW w:w="768" w:type="pct"/>
          </w:tcPr>
          <w:p w14:paraId="5BED042B" w14:textId="77777777" w:rsidR="00C365B3" w:rsidRPr="00064185" w:rsidRDefault="00C365B3" w:rsidP="00EA61D8">
            <w:pPr>
              <w:rPr>
                <w:rFonts w:eastAsia="Calibri"/>
              </w:rPr>
            </w:pPr>
            <w:r w:rsidRPr="00064185">
              <w:t>−</w:t>
            </w:r>
          </w:p>
        </w:tc>
        <w:tc>
          <w:tcPr>
            <w:tcW w:w="1299" w:type="pct"/>
          </w:tcPr>
          <w:p w14:paraId="2EC5D4BE" w14:textId="77777777" w:rsidR="00C365B3" w:rsidRPr="00064185" w:rsidRDefault="00C365B3" w:rsidP="00EA61D8">
            <w:pPr>
              <w:rPr>
                <w:rFonts w:eastAsia="Calibri"/>
              </w:rPr>
            </w:pPr>
            <w:r w:rsidRPr="00064185">
              <w:rPr>
                <w:rFonts w:eastAsia="Calibri"/>
              </w:rPr>
              <w:t>There are no ingredients with explosive or self-reactive properties present in the biocidal product. Therefore the formulation is not self-reactive.</w:t>
            </w:r>
          </w:p>
        </w:tc>
        <w:tc>
          <w:tcPr>
            <w:tcW w:w="944" w:type="pct"/>
          </w:tcPr>
          <w:p w14:paraId="767F3ECF" w14:textId="77777777" w:rsidR="00C365B3" w:rsidRPr="00064185" w:rsidRDefault="00C365B3" w:rsidP="00EA61D8">
            <w:pPr>
              <w:rPr>
                <w:rFonts w:eastAsia="Calibri"/>
              </w:rPr>
            </w:pPr>
            <w:r w:rsidRPr="00064185">
              <w:t>−</w:t>
            </w:r>
          </w:p>
        </w:tc>
      </w:tr>
      <w:tr w:rsidR="00064185" w:rsidRPr="00064185" w14:paraId="49B5592A" w14:textId="77777777" w:rsidTr="00C365B3">
        <w:trPr>
          <w:cantSplit/>
        </w:trPr>
        <w:tc>
          <w:tcPr>
            <w:tcW w:w="1220" w:type="pct"/>
          </w:tcPr>
          <w:p w14:paraId="3C892291" w14:textId="77777777" w:rsidR="00C365B3" w:rsidRPr="00064185" w:rsidRDefault="00C365B3" w:rsidP="00EA61D8">
            <w:pPr>
              <w:rPr>
                <w:rFonts w:eastAsia="Calibri"/>
              </w:rPr>
            </w:pPr>
            <w:r w:rsidRPr="00064185">
              <w:rPr>
                <w:rFonts w:eastAsia="Calibri"/>
              </w:rPr>
              <w:lastRenderedPageBreak/>
              <w:t>Pyrophoric liquids</w:t>
            </w:r>
          </w:p>
        </w:tc>
        <w:tc>
          <w:tcPr>
            <w:tcW w:w="769" w:type="pct"/>
          </w:tcPr>
          <w:p w14:paraId="73FFE4B2" w14:textId="77777777" w:rsidR="00C365B3" w:rsidRPr="00064185" w:rsidRDefault="00C365B3" w:rsidP="00EA61D8">
            <w:pPr>
              <w:rPr>
                <w:rFonts w:eastAsia="Calibri"/>
              </w:rPr>
            </w:pPr>
            <w:r w:rsidRPr="00064185">
              <w:t>−</w:t>
            </w:r>
          </w:p>
        </w:tc>
        <w:tc>
          <w:tcPr>
            <w:tcW w:w="768" w:type="pct"/>
          </w:tcPr>
          <w:p w14:paraId="3AF58091" w14:textId="77777777" w:rsidR="00C365B3" w:rsidRPr="00064185" w:rsidRDefault="00C365B3" w:rsidP="00EA61D8">
            <w:pPr>
              <w:rPr>
                <w:rFonts w:eastAsia="Calibri"/>
              </w:rPr>
            </w:pPr>
            <w:r w:rsidRPr="00064185">
              <w:t>−</w:t>
            </w:r>
          </w:p>
        </w:tc>
        <w:tc>
          <w:tcPr>
            <w:tcW w:w="1299" w:type="pct"/>
          </w:tcPr>
          <w:p w14:paraId="775216E9" w14:textId="77777777" w:rsidR="00C365B3" w:rsidRPr="00064185" w:rsidRDefault="00C365B3" w:rsidP="00EA61D8">
            <w:pPr>
              <w:rPr>
                <w:rFonts w:eastAsia="Calibri"/>
              </w:rPr>
            </w:pPr>
            <w:r w:rsidRPr="00064185">
              <w:rPr>
                <w:rFonts w:eastAsia="Calibri"/>
              </w:rPr>
              <w:t>The study does not need to be conducted as based on experience in handling and use and the chemical structure of product contents, pyrophoric properties are not to be expected.</w:t>
            </w:r>
          </w:p>
        </w:tc>
        <w:tc>
          <w:tcPr>
            <w:tcW w:w="944" w:type="pct"/>
          </w:tcPr>
          <w:p w14:paraId="2345D97D" w14:textId="77777777" w:rsidR="00C365B3" w:rsidRPr="00064185" w:rsidRDefault="00C365B3" w:rsidP="00EA61D8">
            <w:pPr>
              <w:rPr>
                <w:rFonts w:eastAsia="Calibri"/>
              </w:rPr>
            </w:pPr>
            <w:r w:rsidRPr="00064185">
              <w:t>−</w:t>
            </w:r>
          </w:p>
        </w:tc>
      </w:tr>
      <w:tr w:rsidR="00064185" w:rsidRPr="00064185" w14:paraId="59A34547" w14:textId="77777777" w:rsidTr="00C365B3">
        <w:trPr>
          <w:cantSplit/>
        </w:trPr>
        <w:tc>
          <w:tcPr>
            <w:tcW w:w="1220" w:type="pct"/>
          </w:tcPr>
          <w:p w14:paraId="4D2A8868" w14:textId="77777777" w:rsidR="00C365B3" w:rsidRPr="00064185" w:rsidRDefault="00C365B3" w:rsidP="00EA61D8">
            <w:pPr>
              <w:rPr>
                <w:rFonts w:eastAsia="Calibri"/>
              </w:rPr>
            </w:pPr>
            <w:r w:rsidRPr="00064185">
              <w:rPr>
                <w:rFonts w:eastAsia="Calibri"/>
              </w:rPr>
              <w:t>Pyrophoric solids</w:t>
            </w:r>
          </w:p>
        </w:tc>
        <w:tc>
          <w:tcPr>
            <w:tcW w:w="769" w:type="pct"/>
          </w:tcPr>
          <w:p w14:paraId="73BFEA0D" w14:textId="77777777" w:rsidR="00C365B3" w:rsidRPr="00064185" w:rsidRDefault="00C365B3" w:rsidP="00EA61D8">
            <w:pPr>
              <w:rPr>
                <w:rFonts w:eastAsia="Calibri"/>
              </w:rPr>
            </w:pPr>
            <w:r w:rsidRPr="00064185">
              <w:t>−</w:t>
            </w:r>
          </w:p>
        </w:tc>
        <w:tc>
          <w:tcPr>
            <w:tcW w:w="768" w:type="pct"/>
          </w:tcPr>
          <w:p w14:paraId="2482E09F" w14:textId="77777777" w:rsidR="00C365B3" w:rsidRPr="00064185" w:rsidRDefault="00C365B3" w:rsidP="00EA61D8">
            <w:pPr>
              <w:rPr>
                <w:rFonts w:eastAsia="Calibri"/>
              </w:rPr>
            </w:pPr>
            <w:r w:rsidRPr="00064185">
              <w:t>−</w:t>
            </w:r>
          </w:p>
        </w:tc>
        <w:tc>
          <w:tcPr>
            <w:tcW w:w="1299" w:type="pct"/>
          </w:tcPr>
          <w:p w14:paraId="4BEFFCD1" w14:textId="77777777" w:rsidR="00C365B3" w:rsidRPr="00064185" w:rsidRDefault="00C365B3" w:rsidP="00EA61D8">
            <w:pPr>
              <w:rPr>
                <w:rFonts w:eastAsia="Calibri"/>
              </w:rPr>
            </w:pPr>
            <w:r w:rsidRPr="00064185">
              <w:rPr>
                <w:rFonts w:eastAsia="Calibri"/>
              </w:rPr>
              <w:t>Pyrophoric properties have to be determined for solid biocidal products. Since the biocidal product is liquid this test does not need to be performed.</w:t>
            </w:r>
          </w:p>
        </w:tc>
        <w:tc>
          <w:tcPr>
            <w:tcW w:w="944" w:type="pct"/>
          </w:tcPr>
          <w:p w14:paraId="50C2BB96" w14:textId="77777777" w:rsidR="00C365B3" w:rsidRPr="00064185" w:rsidRDefault="00C365B3" w:rsidP="00EA61D8">
            <w:pPr>
              <w:rPr>
                <w:rFonts w:eastAsia="Calibri"/>
              </w:rPr>
            </w:pPr>
            <w:r w:rsidRPr="00064185">
              <w:t>−</w:t>
            </w:r>
          </w:p>
        </w:tc>
      </w:tr>
      <w:tr w:rsidR="00064185" w:rsidRPr="00064185" w14:paraId="4AC10F6F" w14:textId="77777777" w:rsidTr="00C365B3">
        <w:trPr>
          <w:cantSplit/>
        </w:trPr>
        <w:tc>
          <w:tcPr>
            <w:tcW w:w="1220" w:type="pct"/>
          </w:tcPr>
          <w:p w14:paraId="67A5A230" w14:textId="77777777" w:rsidR="00C365B3" w:rsidRPr="00064185" w:rsidRDefault="00C365B3" w:rsidP="00EA61D8">
            <w:pPr>
              <w:rPr>
                <w:rFonts w:eastAsia="Calibri"/>
              </w:rPr>
            </w:pPr>
            <w:r w:rsidRPr="00064185">
              <w:rPr>
                <w:rFonts w:eastAsia="Calibri"/>
              </w:rPr>
              <w:t>Self-heating substances and mixtures</w:t>
            </w:r>
          </w:p>
        </w:tc>
        <w:tc>
          <w:tcPr>
            <w:tcW w:w="769" w:type="pct"/>
          </w:tcPr>
          <w:p w14:paraId="584BECC5" w14:textId="77777777" w:rsidR="00C365B3" w:rsidRPr="00064185" w:rsidRDefault="00C365B3" w:rsidP="00EA61D8">
            <w:pPr>
              <w:rPr>
                <w:rFonts w:eastAsia="Calibri"/>
              </w:rPr>
            </w:pPr>
            <w:r w:rsidRPr="00064185">
              <w:t>−</w:t>
            </w:r>
          </w:p>
        </w:tc>
        <w:tc>
          <w:tcPr>
            <w:tcW w:w="768" w:type="pct"/>
          </w:tcPr>
          <w:p w14:paraId="73C71988" w14:textId="77777777" w:rsidR="00C365B3" w:rsidRPr="00064185" w:rsidRDefault="00C365B3" w:rsidP="00EA61D8">
            <w:pPr>
              <w:rPr>
                <w:rFonts w:eastAsia="Calibri"/>
              </w:rPr>
            </w:pPr>
            <w:r w:rsidRPr="00064185">
              <w:t>−</w:t>
            </w:r>
          </w:p>
        </w:tc>
        <w:tc>
          <w:tcPr>
            <w:tcW w:w="1299" w:type="pct"/>
          </w:tcPr>
          <w:p w14:paraId="382B59B0" w14:textId="77777777" w:rsidR="00C365B3" w:rsidRPr="00064185" w:rsidRDefault="00C365B3" w:rsidP="00EA61D8">
            <w:pPr>
              <w:rPr>
                <w:rFonts w:eastAsia="Calibri"/>
              </w:rPr>
            </w:pPr>
            <w:r w:rsidRPr="00064185">
              <w:rPr>
                <w:rFonts w:eastAsia="Calibri"/>
              </w:rPr>
              <w:t>The study does not need to be conducted as the biocidal product is liquid. A liquid shows not self-heating behaviour if it is not absorbed on a large surface.</w:t>
            </w:r>
          </w:p>
        </w:tc>
        <w:tc>
          <w:tcPr>
            <w:tcW w:w="944" w:type="pct"/>
          </w:tcPr>
          <w:p w14:paraId="721C8256" w14:textId="77777777" w:rsidR="00C365B3" w:rsidRPr="00064185" w:rsidRDefault="00C365B3" w:rsidP="00EA61D8">
            <w:pPr>
              <w:rPr>
                <w:rFonts w:eastAsia="Calibri"/>
              </w:rPr>
            </w:pPr>
            <w:r w:rsidRPr="00064185">
              <w:t>−</w:t>
            </w:r>
          </w:p>
        </w:tc>
      </w:tr>
      <w:tr w:rsidR="00064185" w:rsidRPr="00064185" w14:paraId="2345CBE7" w14:textId="77777777" w:rsidTr="00C365B3">
        <w:trPr>
          <w:cantSplit/>
        </w:trPr>
        <w:tc>
          <w:tcPr>
            <w:tcW w:w="1220" w:type="pct"/>
          </w:tcPr>
          <w:p w14:paraId="6B79E844" w14:textId="77777777" w:rsidR="00C365B3" w:rsidRPr="00064185" w:rsidRDefault="00C365B3" w:rsidP="00EA61D8">
            <w:pPr>
              <w:rPr>
                <w:rFonts w:eastAsia="Calibri"/>
              </w:rPr>
            </w:pPr>
            <w:r w:rsidRPr="00064185">
              <w:rPr>
                <w:rFonts w:eastAsia="Calibri"/>
              </w:rPr>
              <w:t>Substances and mixtures which in contact with water emit flammable gases</w:t>
            </w:r>
          </w:p>
        </w:tc>
        <w:tc>
          <w:tcPr>
            <w:tcW w:w="769" w:type="pct"/>
          </w:tcPr>
          <w:p w14:paraId="3ED07BD4" w14:textId="77777777" w:rsidR="00C365B3" w:rsidRPr="00064185" w:rsidRDefault="00C365B3" w:rsidP="00EA61D8">
            <w:pPr>
              <w:rPr>
                <w:rFonts w:eastAsia="Calibri"/>
              </w:rPr>
            </w:pPr>
            <w:r w:rsidRPr="00064185">
              <w:t>−</w:t>
            </w:r>
          </w:p>
        </w:tc>
        <w:tc>
          <w:tcPr>
            <w:tcW w:w="768" w:type="pct"/>
          </w:tcPr>
          <w:p w14:paraId="5F2B490F" w14:textId="77777777" w:rsidR="00C365B3" w:rsidRPr="00064185" w:rsidRDefault="00C365B3" w:rsidP="00EA61D8">
            <w:pPr>
              <w:rPr>
                <w:rFonts w:eastAsia="Calibri"/>
              </w:rPr>
            </w:pPr>
            <w:r w:rsidRPr="00064185">
              <w:t>−</w:t>
            </w:r>
          </w:p>
        </w:tc>
        <w:tc>
          <w:tcPr>
            <w:tcW w:w="1299" w:type="pct"/>
          </w:tcPr>
          <w:p w14:paraId="1A9EA483" w14:textId="77777777" w:rsidR="00C365B3" w:rsidRPr="00064185" w:rsidRDefault="00C365B3" w:rsidP="00EA61D8">
            <w:pPr>
              <w:rPr>
                <w:rFonts w:eastAsia="Calibri"/>
              </w:rPr>
            </w:pPr>
            <w:r w:rsidRPr="00064185">
              <w:rPr>
                <w:rFonts w:eastAsia="Calibri"/>
              </w:rPr>
              <w:t>The biocidal product contains water. Therefore an emission of flammable gases is not expected when the preparation comes in contact with water.</w:t>
            </w:r>
          </w:p>
        </w:tc>
        <w:tc>
          <w:tcPr>
            <w:tcW w:w="944" w:type="pct"/>
          </w:tcPr>
          <w:p w14:paraId="5319E3D2" w14:textId="77777777" w:rsidR="00C365B3" w:rsidRPr="00064185" w:rsidRDefault="00C365B3" w:rsidP="00EA61D8">
            <w:pPr>
              <w:rPr>
                <w:rFonts w:eastAsia="Calibri"/>
              </w:rPr>
            </w:pPr>
            <w:r w:rsidRPr="00064185">
              <w:t>−</w:t>
            </w:r>
          </w:p>
        </w:tc>
      </w:tr>
      <w:tr w:rsidR="00064185" w:rsidRPr="00064185" w14:paraId="6533422E" w14:textId="77777777" w:rsidTr="00C365B3">
        <w:trPr>
          <w:cantSplit/>
        </w:trPr>
        <w:tc>
          <w:tcPr>
            <w:tcW w:w="1220" w:type="pct"/>
          </w:tcPr>
          <w:p w14:paraId="47AC23E0" w14:textId="77777777" w:rsidR="00C365B3" w:rsidRPr="00064185" w:rsidRDefault="00C365B3" w:rsidP="00EA61D8">
            <w:pPr>
              <w:rPr>
                <w:rFonts w:eastAsia="Calibri"/>
              </w:rPr>
            </w:pPr>
            <w:r w:rsidRPr="00064185">
              <w:rPr>
                <w:rFonts w:eastAsia="Calibri"/>
              </w:rPr>
              <w:t>Oxidising liquids</w:t>
            </w:r>
          </w:p>
        </w:tc>
        <w:tc>
          <w:tcPr>
            <w:tcW w:w="769" w:type="pct"/>
          </w:tcPr>
          <w:p w14:paraId="31E922BD" w14:textId="77777777" w:rsidR="00C365B3" w:rsidRPr="00064185" w:rsidRDefault="00C365B3" w:rsidP="00EA61D8">
            <w:pPr>
              <w:rPr>
                <w:rFonts w:eastAsia="Calibri"/>
              </w:rPr>
            </w:pPr>
            <w:r w:rsidRPr="00064185">
              <w:t>EC method A.21</w:t>
            </w:r>
          </w:p>
        </w:tc>
        <w:tc>
          <w:tcPr>
            <w:tcW w:w="768" w:type="pct"/>
          </w:tcPr>
          <w:p w14:paraId="57E688BF" w14:textId="0EEFDAB8" w:rsidR="00C365B3" w:rsidRPr="00064185" w:rsidRDefault="00C365B3" w:rsidP="00EA61D8">
            <w:pPr>
              <w:rPr>
                <w:rFonts w:eastAsia="Calibri"/>
              </w:rPr>
            </w:pPr>
          </w:p>
        </w:tc>
        <w:tc>
          <w:tcPr>
            <w:tcW w:w="1299" w:type="pct"/>
          </w:tcPr>
          <w:p w14:paraId="38F605F8" w14:textId="77777777" w:rsidR="008200B4" w:rsidRPr="00064185" w:rsidRDefault="008200B4" w:rsidP="00EA61D8">
            <w:pPr>
              <w:autoSpaceDE w:val="0"/>
              <w:autoSpaceDN w:val="0"/>
              <w:adjustRightInd w:val="0"/>
              <w:spacing w:before="40"/>
              <w:ind w:left="113"/>
              <w:rPr>
                <w:rFonts w:ascii="Arial" w:hAnsi="Arial" w:cs="Arial"/>
                <w:lang w:eastAsia="en-GB"/>
              </w:rPr>
            </w:pPr>
            <w:r w:rsidRPr="00064185">
              <w:rPr>
                <w:rFonts w:ascii="Arial" w:hAnsi="Arial" w:cs="Arial"/>
                <w:lang w:eastAsia="en-GB"/>
              </w:rPr>
              <w:t>The test was carried out in accordance with EC Test A.21, "Oxidising Properties (Liquids)", Reference 6.2.</w:t>
            </w:r>
          </w:p>
          <w:p w14:paraId="514FC3B3" w14:textId="77777777" w:rsidR="008200B4" w:rsidRPr="00064185" w:rsidRDefault="008200B4" w:rsidP="00EA61D8">
            <w:pPr>
              <w:autoSpaceDE w:val="0"/>
              <w:autoSpaceDN w:val="0"/>
              <w:adjustRightInd w:val="0"/>
              <w:spacing w:before="40"/>
              <w:ind w:left="113"/>
              <w:rPr>
                <w:rFonts w:ascii="Arial" w:hAnsi="Arial" w:cs="Arial"/>
                <w:lang w:eastAsia="en-GB"/>
              </w:rPr>
            </w:pPr>
            <w:r w:rsidRPr="00064185">
              <w:rPr>
                <w:rFonts w:ascii="Arial" w:hAnsi="Arial" w:cs="Arial"/>
                <w:lang w:eastAsia="en-GB"/>
              </w:rPr>
              <w:t>The test mixtures failed to create a sufficient pressure increase to enable the rise time to be measured.</w:t>
            </w:r>
          </w:p>
          <w:p w14:paraId="4218EA4B" w14:textId="5BBF36B8" w:rsidR="00C365B3" w:rsidRPr="00064185" w:rsidRDefault="008200B4" w:rsidP="00EA61D8">
            <w:pPr>
              <w:autoSpaceDE w:val="0"/>
              <w:autoSpaceDN w:val="0"/>
              <w:adjustRightInd w:val="0"/>
              <w:spacing w:before="40"/>
              <w:ind w:left="113"/>
              <w:rPr>
                <w:rFonts w:ascii="Arial" w:hAnsi="Arial" w:cs="Arial"/>
                <w:lang w:eastAsia="en-GB"/>
              </w:rPr>
            </w:pPr>
            <w:r w:rsidRPr="00064185">
              <w:rPr>
                <w:rFonts w:ascii="Arial" w:hAnsi="Arial" w:cs="Arial"/>
                <w:lang w:eastAsia="en-GB"/>
              </w:rPr>
              <w:t>(In accordance with the criteria of EC Test A.21, the test substance is not classified as an</w:t>
            </w:r>
            <w:r w:rsidR="005571C3" w:rsidRPr="00064185">
              <w:rPr>
                <w:rFonts w:ascii="Arial" w:hAnsi="Arial" w:cs="Arial"/>
                <w:lang w:eastAsia="en-GB"/>
              </w:rPr>
              <w:t xml:space="preserve"> </w:t>
            </w:r>
            <w:r w:rsidRPr="00064185">
              <w:rPr>
                <w:rFonts w:ascii="Arial" w:hAnsi="Arial" w:cs="Arial"/>
                <w:lang w:eastAsia="en-GB"/>
              </w:rPr>
              <w:t>oxidising substance.)</w:t>
            </w:r>
          </w:p>
        </w:tc>
        <w:tc>
          <w:tcPr>
            <w:tcW w:w="944" w:type="pct"/>
          </w:tcPr>
          <w:p w14:paraId="50E11018" w14:textId="77777777" w:rsidR="00C365B3" w:rsidRPr="00064185" w:rsidRDefault="00C365B3" w:rsidP="00EA61D8">
            <w:pPr>
              <w:rPr>
                <w:rFonts w:eastAsia="Calibri"/>
              </w:rPr>
            </w:pPr>
            <w:r w:rsidRPr="00064185">
              <w:t>Jackson, 2009b</w:t>
            </w:r>
          </w:p>
        </w:tc>
      </w:tr>
      <w:tr w:rsidR="00064185" w:rsidRPr="00064185" w14:paraId="43126154" w14:textId="77777777" w:rsidTr="00C365B3">
        <w:trPr>
          <w:cantSplit/>
        </w:trPr>
        <w:tc>
          <w:tcPr>
            <w:tcW w:w="1220" w:type="pct"/>
          </w:tcPr>
          <w:p w14:paraId="7A7EDA44" w14:textId="77777777" w:rsidR="00C365B3" w:rsidRPr="00064185" w:rsidRDefault="00C365B3" w:rsidP="00EA61D8">
            <w:pPr>
              <w:rPr>
                <w:rFonts w:eastAsia="Calibri"/>
              </w:rPr>
            </w:pPr>
            <w:r w:rsidRPr="00064185">
              <w:rPr>
                <w:rFonts w:eastAsia="Calibri"/>
              </w:rPr>
              <w:lastRenderedPageBreak/>
              <w:t>Oxidising solids</w:t>
            </w:r>
          </w:p>
        </w:tc>
        <w:tc>
          <w:tcPr>
            <w:tcW w:w="769" w:type="pct"/>
          </w:tcPr>
          <w:p w14:paraId="6F8850B2" w14:textId="77777777" w:rsidR="00C365B3" w:rsidRPr="00064185" w:rsidRDefault="00C365B3" w:rsidP="00EA61D8">
            <w:pPr>
              <w:rPr>
                <w:rFonts w:eastAsia="Calibri"/>
              </w:rPr>
            </w:pPr>
            <w:r w:rsidRPr="00064185">
              <w:t>−</w:t>
            </w:r>
          </w:p>
        </w:tc>
        <w:tc>
          <w:tcPr>
            <w:tcW w:w="768" w:type="pct"/>
          </w:tcPr>
          <w:p w14:paraId="5B8CAF61" w14:textId="77777777" w:rsidR="00C365B3" w:rsidRPr="00064185" w:rsidRDefault="00C365B3" w:rsidP="00EA61D8">
            <w:pPr>
              <w:rPr>
                <w:rFonts w:eastAsia="Calibri"/>
              </w:rPr>
            </w:pPr>
            <w:r w:rsidRPr="00064185">
              <w:t>−</w:t>
            </w:r>
          </w:p>
        </w:tc>
        <w:tc>
          <w:tcPr>
            <w:tcW w:w="1299" w:type="pct"/>
          </w:tcPr>
          <w:p w14:paraId="3F30F9AD" w14:textId="77777777" w:rsidR="00C365B3" w:rsidRPr="00064185" w:rsidRDefault="00C365B3" w:rsidP="00EA61D8">
            <w:pPr>
              <w:rPr>
                <w:rFonts w:eastAsia="Calibri"/>
              </w:rPr>
            </w:pPr>
            <w:r w:rsidRPr="00064185">
              <w:rPr>
                <w:rFonts w:eastAsia="Calibri"/>
              </w:rPr>
              <w:t>The oxidising properties have to be determined for solid biocidal products. Since the biocidal product is liquid this test does not need to be performed.</w:t>
            </w:r>
          </w:p>
        </w:tc>
        <w:tc>
          <w:tcPr>
            <w:tcW w:w="944" w:type="pct"/>
          </w:tcPr>
          <w:p w14:paraId="54E728BB" w14:textId="77777777" w:rsidR="00C365B3" w:rsidRPr="00064185" w:rsidRDefault="00C365B3" w:rsidP="00EA61D8">
            <w:pPr>
              <w:rPr>
                <w:rFonts w:eastAsia="Calibri"/>
              </w:rPr>
            </w:pPr>
            <w:r w:rsidRPr="00064185">
              <w:t>−</w:t>
            </w:r>
          </w:p>
        </w:tc>
      </w:tr>
      <w:tr w:rsidR="00064185" w:rsidRPr="00064185" w14:paraId="05D57D4D" w14:textId="77777777" w:rsidTr="00C365B3">
        <w:trPr>
          <w:cantSplit/>
        </w:trPr>
        <w:tc>
          <w:tcPr>
            <w:tcW w:w="1220" w:type="pct"/>
          </w:tcPr>
          <w:p w14:paraId="332CB3BA" w14:textId="77777777" w:rsidR="00C365B3" w:rsidRPr="00064185" w:rsidRDefault="00C365B3" w:rsidP="00EA61D8">
            <w:pPr>
              <w:rPr>
                <w:rFonts w:eastAsia="Calibri"/>
              </w:rPr>
            </w:pPr>
            <w:r w:rsidRPr="00064185">
              <w:rPr>
                <w:rFonts w:eastAsia="Calibri"/>
              </w:rPr>
              <w:t>Organic peroxides</w:t>
            </w:r>
          </w:p>
        </w:tc>
        <w:tc>
          <w:tcPr>
            <w:tcW w:w="769" w:type="pct"/>
          </w:tcPr>
          <w:p w14:paraId="54F7A2BD" w14:textId="77777777" w:rsidR="00C365B3" w:rsidRPr="00064185" w:rsidRDefault="00C365B3" w:rsidP="00EA61D8">
            <w:pPr>
              <w:rPr>
                <w:rFonts w:eastAsia="Calibri"/>
              </w:rPr>
            </w:pPr>
            <w:r w:rsidRPr="00064185">
              <w:t>−</w:t>
            </w:r>
          </w:p>
        </w:tc>
        <w:tc>
          <w:tcPr>
            <w:tcW w:w="768" w:type="pct"/>
          </w:tcPr>
          <w:p w14:paraId="3B2B0108" w14:textId="77777777" w:rsidR="00C365B3" w:rsidRPr="00064185" w:rsidRDefault="00C365B3" w:rsidP="00EA61D8">
            <w:pPr>
              <w:rPr>
                <w:rFonts w:eastAsia="Calibri"/>
              </w:rPr>
            </w:pPr>
            <w:r w:rsidRPr="00064185">
              <w:t>−</w:t>
            </w:r>
          </w:p>
        </w:tc>
        <w:tc>
          <w:tcPr>
            <w:tcW w:w="1299" w:type="pct"/>
          </w:tcPr>
          <w:p w14:paraId="7BD3579C" w14:textId="77777777" w:rsidR="00C365B3" w:rsidRPr="00064185" w:rsidRDefault="00C365B3" w:rsidP="00EA61D8">
            <w:pPr>
              <w:rPr>
                <w:rFonts w:eastAsia="Calibri"/>
              </w:rPr>
            </w:pPr>
            <w:r w:rsidRPr="00064185">
              <w:rPr>
                <w:rFonts w:eastAsia="Calibri"/>
              </w:rPr>
              <w:t>Since the biocidal product is not an organic peroxide, tests do not need to be performed.</w:t>
            </w:r>
          </w:p>
        </w:tc>
        <w:tc>
          <w:tcPr>
            <w:tcW w:w="944" w:type="pct"/>
          </w:tcPr>
          <w:p w14:paraId="75D4F55A" w14:textId="77777777" w:rsidR="00C365B3" w:rsidRPr="00064185" w:rsidRDefault="00C365B3" w:rsidP="00EA61D8">
            <w:pPr>
              <w:rPr>
                <w:rFonts w:eastAsia="Calibri"/>
              </w:rPr>
            </w:pPr>
            <w:r w:rsidRPr="00064185">
              <w:t>−</w:t>
            </w:r>
          </w:p>
        </w:tc>
      </w:tr>
      <w:tr w:rsidR="00064185" w:rsidRPr="00064185" w14:paraId="57A7EDAC" w14:textId="77777777" w:rsidTr="00C365B3">
        <w:trPr>
          <w:cantSplit/>
        </w:trPr>
        <w:tc>
          <w:tcPr>
            <w:tcW w:w="1220" w:type="pct"/>
          </w:tcPr>
          <w:p w14:paraId="6A34B355" w14:textId="77777777" w:rsidR="00C365B3" w:rsidRPr="00064185" w:rsidRDefault="00C365B3" w:rsidP="00EA61D8">
            <w:pPr>
              <w:rPr>
                <w:rFonts w:eastAsia="Calibri"/>
              </w:rPr>
            </w:pPr>
            <w:r w:rsidRPr="00064185">
              <w:rPr>
                <w:rFonts w:eastAsia="Calibri"/>
              </w:rPr>
              <w:t>Corrosive to metals</w:t>
            </w:r>
          </w:p>
        </w:tc>
        <w:tc>
          <w:tcPr>
            <w:tcW w:w="769" w:type="pct"/>
          </w:tcPr>
          <w:p w14:paraId="02D0C536" w14:textId="77777777" w:rsidR="00C365B3" w:rsidRPr="00064185" w:rsidRDefault="00C365B3" w:rsidP="00EA61D8">
            <w:pPr>
              <w:rPr>
                <w:rFonts w:eastAsia="Calibri"/>
              </w:rPr>
            </w:pPr>
            <w:r w:rsidRPr="00064185">
              <w:t>−</w:t>
            </w:r>
          </w:p>
        </w:tc>
        <w:tc>
          <w:tcPr>
            <w:tcW w:w="768" w:type="pct"/>
          </w:tcPr>
          <w:p w14:paraId="1E2A495D" w14:textId="77777777" w:rsidR="00C365B3" w:rsidRPr="00064185" w:rsidRDefault="00C365B3" w:rsidP="00EA61D8">
            <w:pPr>
              <w:rPr>
                <w:rFonts w:eastAsia="Calibri"/>
              </w:rPr>
            </w:pPr>
            <w:r w:rsidRPr="00064185">
              <w:t>−</w:t>
            </w:r>
          </w:p>
        </w:tc>
        <w:tc>
          <w:tcPr>
            <w:tcW w:w="1299" w:type="pct"/>
          </w:tcPr>
          <w:p w14:paraId="574D36B9" w14:textId="77777777" w:rsidR="00C365B3" w:rsidRPr="00064185" w:rsidRDefault="00C365B3" w:rsidP="00EA61D8">
            <w:pPr>
              <w:rPr>
                <w:rFonts w:eastAsia="Calibri"/>
              </w:rPr>
            </w:pPr>
            <w:r w:rsidRPr="00064185">
              <w:rPr>
                <w:rFonts w:eastAsia="Calibri"/>
              </w:rPr>
              <w:t>The product has been known since many years. It has never been reported any significant corrosion with tank or applicability material which are partially made of metal. In addition, the active substance and all the co-formulants of the recipe are not known to be corrosive to metals. In conclusion, the product is not significantly corrosive to metals.</w:t>
            </w:r>
          </w:p>
        </w:tc>
        <w:tc>
          <w:tcPr>
            <w:tcW w:w="944" w:type="pct"/>
          </w:tcPr>
          <w:p w14:paraId="4839420E" w14:textId="77777777" w:rsidR="00C365B3" w:rsidRPr="00064185" w:rsidRDefault="00C365B3" w:rsidP="00EA61D8">
            <w:pPr>
              <w:rPr>
                <w:rFonts w:eastAsia="Calibri"/>
              </w:rPr>
            </w:pPr>
            <w:r w:rsidRPr="00064185">
              <w:t>−</w:t>
            </w:r>
          </w:p>
        </w:tc>
      </w:tr>
      <w:tr w:rsidR="00064185" w:rsidRPr="00064185" w14:paraId="6DAA3CEF" w14:textId="77777777" w:rsidTr="00C365B3">
        <w:trPr>
          <w:cantSplit/>
        </w:trPr>
        <w:tc>
          <w:tcPr>
            <w:tcW w:w="1220" w:type="pct"/>
          </w:tcPr>
          <w:p w14:paraId="6055D079" w14:textId="77777777" w:rsidR="00C365B3" w:rsidRPr="00064185" w:rsidRDefault="00C365B3" w:rsidP="00EA61D8">
            <w:pPr>
              <w:rPr>
                <w:rFonts w:eastAsia="Calibri"/>
              </w:rPr>
            </w:pPr>
            <w:r w:rsidRPr="00064185">
              <w:rPr>
                <w:rFonts w:eastAsia="Calibri"/>
              </w:rPr>
              <w:t>Auto-ignition temperatures of products (liquids and gases)</w:t>
            </w:r>
          </w:p>
        </w:tc>
        <w:tc>
          <w:tcPr>
            <w:tcW w:w="769" w:type="pct"/>
          </w:tcPr>
          <w:p w14:paraId="572BAEDD" w14:textId="77777777" w:rsidR="00C365B3" w:rsidRPr="00064185" w:rsidRDefault="00C365B3" w:rsidP="00EA61D8">
            <w:pPr>
              <w:rPr>
                <w:rFonts w:eastAsia="Calibri"/>
              </w:rPr>
            </w:pPr>
            <w:r w:rsidRPr="00064185">
              <w:t>EC method A.15</w:t>
            </w:r>
          </w:p>
        </w:tc>
        <w:tc>
          <w:tcPr>
            <w:tcW w:w="768" w:type="pct"/>
          </w:tcPr>
          <w:p w14:paraId="41E02642" w14:textId="37174BC9" w:rsidR="00C365B3" w:rsidRPr="00064185" w:rsidRDefault="00C365B3" w:rsidP="00EA61D8">
            <w:pPr>
              <w:rPr>
                <w:rFonts w:eastAsia="Calibri"/>
              </w:rPr>
            </w:pPr>
          </w:p>
        </w:tc>
        <w:tc>
          <w:tcPr>
            <w:tcW w:w="1299" w:type="pct"/>
          </w:tcPr>
          <w:p w14:paraId="4F2880E0" w14:textId="77777777" w:rsidR="00C365B3" w:rsidRPr="00064185" w:rsidRDefault="00C365B3" w:rsidP="00EA61D8">
            <w:pPr>
              <w:rPr>
                <w:rFonts w:eastAsia="Calibri"/>
              </w:rPr>
            </w:pPr>
            <w:r w:rsidRPr="00064185">
              <w:t>No auto-ignition temperature was detected below 650°C.</w:t>
            </w:r>
          </w:p>
        </w:tc>
        <w:tc>
          <w:tcPr>
            <w:tcW w:w="944" w:type="pct"/>
          </w:tcPr>
          <w:p w14:paraId="5FE4F57A" w14:textId="77777777" w:rsidR="00C365B3" w:rsidRPr="00064185" w:rsidRDefault="00C365B3" w:rsidP="00EA61D8">
            <w:pPr>
              <w:rPr>
                <w:rFonts w:eastAsia="Calibri"/>
              </w:rPr>
            </w:pPr>
            <w:r w:rsidRPr="00064185">
              <w:t>Jackson, 2009d</w:t>
            </w:r>
          </w:p>
        </w:tc>
      </w:tr>
      <w:tr w:rsidR="00064185" w:rsidRPr="00064185" w14:paraId="7F72AB1E" w14:textId="77777777" w:rsidTr="00C365B3">
        <w:trPr>
          <w:cantSplit/>
        </w:trPr>
        <w:tc>
          <w:tcPr>
            <w:tcW w:w="1220" w:type="pct"/>
          </w:tcPr>
          <w:p w14:paraId="36F08114" w14:textId="77777777" w:rsidR="00C365B3" w:rsidRPr="00064185" w:rsidRDefault="00C365B3" w:rsidP="00EA61D8">
            <w:pPr>
              <w:rPr>
                <w:rFonts w:eastAsia="Calibri"/>
              </w:rPr>
            </w:pPr>
            <w:r w:rsidRPr="00064185">
              <w:rPr>
                <w:rFonts w:eastAsia="Calibri"/>
              </w:rPr>
              <w:t>Relative self-ignition temperature for solids</w:t>
            </w:r>
          </w:p>
        </w:tc>
        <w:tc>
          <w:tcPr>
            <w:tcW w:w="769" w:type="pct"/>
          </w:tcPr>
          <w:p w14:paraId="4394B79A" w14:textId="77777777" w:rsidR="00C365B3" w:rsidRPr="00064185" w:rsidRDefault="00C365B3" w:rsidP="00EA61D8">
            <w:pPr>
              <w:rPr>
                <w:rFonts w:eastAsia="Calibri"/>
              </w:rPr>
            </w:pPr>
            <w:r w:rsidRPr="00064185">
              <w:t>−</w:t>
            </w:r>
          </w:p>
        </w:tc>
        <w:tc>
          <w:tcPr>
            <w:tcW w:w="768" w:type="pct"/>
          </w:tcPr>
          <w:p w14:paraId="3B5478E5" w14:textId="77777777" w:rsidR="00C365B3" w:rsidRPr="00064185" w:rsidRDefault="00C365B3" w:rsidP="00EA61D8">
            <w:pPr>
              <w:rPr>
                <w:rFonts w:eastAsia="Calibri"/>
              </w:rPr>
            </w:pPr>
            <w:r w:rsidRPr="00064185">
              <w:t>−</w:t>
            </w:r>
          </w:p>
        </w:tc>
        <w:tc>
          <w:tcPr>
            <w:tcW w:w="1299" w:type="pct"/>
          </w:tcPr>
          <w:p w14:paraId="32AEBCE3" w14:textId="77777777" w:rsidR="00C365B3" w:rsidRPr="00064185" w:rsidRDefault="00C365B3" w:rsidP="00EA61D8">
            <w:pPr>
              <w:rPr>
                <w:rFonts w:eastAsia="Calibri"/>
              </w:rPr>
            </w:pPr>
            <w:r w:rsidRPr="00064185">
              <w:rPr>
                <w:rFonts w:eastAsia="Calibri"/>
              </w:rPr>
              <w:t>The relative self-ignition temperature has to be determined for solid biocidal products. Since the biocidal product is liquid this test does not need to be performed.</w:t>
            </w:r>
          </w:p>
        </w:tc>
        <w:tc>
          <w:tcPr>
            <w:tcW w:w="944" w:type="pct"/>
          </w:tcPr>
          <w:p w14:paraId="7491262E" w14:textId="77777777" w:rsidR="00C365B3" w:rsidRPr="00064185" w:rsidRDefault="00C365B3" w:rsidP="00EA61D8">
            <w:pPr>
              <w:rPr>
                <w:rFonts w:eastAsia="Calibri"/>
              </w:rPr>
            </w:pPr>
            <w:r w:rsidRPr="00064185">
              <w:t>−</w:t>
            </w:r>
          </w:p>
        </w:tc>
      </w:tr>
      <w:tr w:rsidR="00064185" w:rsidRPr="00064185" w14:paraId="0CE1BB42" w14:textId="77777777" w:rsidTr="00C365B3">
        <w:trPr>
          <w:cantSplit/>
        </w:trPr>
        <w:tc>
          <w:tcPr>
            <w:tcW w:w="1220" w:type="pct"/>
          </w:tcPr>
          <w:p w14:paraId="6D1B9A34" w14:textId="77777777" w:rsidR="00C365B3" w:rsidRPr="00064185" w:rsidRDefault="00C365B3" w:rsidP="00EA61D8">
            <w:pPr>
              <w:rPr>
                <w:rFonts w:eastAsia="Calibri"/>
              </w:rPr>
            </w:pPr>
            <w:r w:rsidRPr="00064185">
              <w:rPr>
                <w:rFonts w:eastAsia="Calibri"/>
              </w:rPr>
              <w:t>Dust explosion hazard</w:t>
            </w:r>
          </w:p>
        </w:tc>
        <w:tc>
          <w:tcPr>
            <w:tcW w:w="769" w:type="pct"/>
          </w:tcPr>
          <w:p w14:paraId="56F7A3EA" w14:textId="77777777" w:rsidR="00C365B3" w:rsidRPr="00064185" w:rsidRDefault="00C365B3" w:rsidP="00EA61D8">
            <w:pPr>
              <w:rPr>
                <w:rFonts w:eastAsia="Calibri"/>
              </w:rPr>
            </w:pPr>
            <w:r w:rsidRPr="00064185">
              <w:t>−</w:t>
            </w:r>
          </w:p>
        </w:tc>
        <w:tc>
          <w:tcPr>
            <w:tcW w:w="768" w:type="pct"/>
          </w:tcPr>
          <w:p w14:paraId="75583EEB" w14:textId="77777777" w:rsidR="00C365B3" w:rsidRPr="00064185" w:rsidRDefault="00C365B3" w:rsidP="00EA61D8">
            <w:pPr>
              <w:rPr>
                <w:rFonts w:eastAsia="Calibri"/>
              </w:rPr>
            </w:pPr>
            <w:r w:rsidRPr="00064185">
              <w:t>−</w:t>
            </w:r>
          </w:p>
        </w:tc>
        <w:tc>
          <w:tcPr>
            <w:tcW w:w="1299" w:type="pct"/>
          </w:tcPr>
          <w:p w14:paraId="5572A153" w14:textId="77777777" w:rsidR="00C365B3" w:rsidRPr="00064185" w:rsidRDefault="00C365B3" w:rsidP="00EA61D8">
            <w:pPr>
              <w:rPr>
                <w:rFonts w:eastAsia="Calibri"/>
              </w:rPr>
            </w:pPr>
            <w:r w:rsidRPr="00064185">
              <w:rPr>
                <w:rFonts w:eastAsia="Calibri"/>
              </w:rPr>
              <w:t>The dust explosion hazard must be determined for powders or biocidal products containing, or able to produce, dust. Since the biocidal product is liquid this test does not need to be performed.</w:t>
            </w:r>
          </w:p>
        </w:tc>
        <w:tc>
          <w:tcPr>
            <w:tcW w:w="944" w:type="pct"/>
          </w:tcPr>
          <w:p w14:paraId="29A3D2FB" w14:textId="77777777" w:rsidR="00C365B3" w:rsidRPr="00064185" w:rsidRDefault="00C365B3" w:rsidP="00EA61D8">
            <w:pPr>
              <w:rPr>
                <w:rFonts w:eastAsia="Calibri"/>
              </w:rPr>
            </w:pPr>
            <w:r w:rsidRPr="00064185">
              <w:t>−</w:t>
            </w:r>
          </w:p>
        </w:tc>
      </w:tr>
    </w:tbl>
    <w:p w14:paraId="4AD97ECF" w14:textId="77777777" w:rsidR="00BB4E20" w:rsidRPr="00064185" w:rsidRDefault="00BB4E20" w:rsidP="00EA61D8">
      <w:pPr>
        <w:keepNext/>
        <w:widowControl w:val="0"/>
        <w:tabs>
          <w:tab w:val="left" w:pos="0"/>
        </w:tabs>
        <w:suppressAutoHyphens/>
        <w:autoSpaceDE w:val="0"/>
        <w:autoSpaceDN w:val="0"/>
        <w:adjustRightInd w:val="0"/>
        <w:spacing w:before="120" w:after="120" w:line="400" w:lineRule="atLeast"/>
        <w:outlineLvl w:val="0"/>
        <w:rPr>
          <w:rFonts w:eastAsia="Calibri"/>
          <w:b/>
          <w:bCs/>
          <w:caps/>
          <w:sz w:val="28"/>
          <w:lang w:val="de-DE" w:eastAsia="en-US"/>
        </w:rPr>
        <w:sectPr w:rsidR="00BB4E20" w:rsidRPr="00064185" w:rsidSect="00BB4E20">
          <w:endnotePr>
            <w:numFmt w:val="decimal"/>
          </w:endnotePr>
          <w:pgSz w:w="16840" w:h="11907" w:orient="landscape" w:code="9"/>
          <w:pgMar w:top="1446" w:right="1474" w:bottom="1247" w:left="2013" w:header="850" w:footer="850" w:gutter="0"/>
          <w:cols w:space="720"/>
          <w:titlePg/>
          <w:docGrid w:linePitch="272"/>
        </w:sectPr>
      </w:pPr>
      <w:bookmarkStart w:id="1467" w:name="_Toc389729030"/>
      <w:bookmarkStart w:id="1468" w:name="_Toc403472742"/>
    </w:p>
    <w:p w14:paraId="14E2AF02" w14:textId="77777777" w:rsidR="00A53EE0" w:rsidRPr="00064185" w:rsidRDefault="00A53EE0" w:rsidP="00EA61D8">
      <w:pPr>
        <w:pStyle w:val="berschrift3"/>
        <w:rPr>
          <w:rFonts w:eastAsia="Calibri"/>
        </w:rPr>
      </w:pPr>
      <w:bookmarkStart w:id="1469" w:name="_Toc440879650"/>
      <w:bookmarkStart w:id="1470" w:name="_Toc440889963"/>
      <w:bookmarkStart w:id="1471" w:name="_Toc530563668"/>
      <w:r w:rsidRPr="00064185">
        <w:rPr>
          <w:rFonts w:eastAsia="Calibri"/>
        </w:rPr>
        <w:lastRenderedPageBreak/>
        <w:t>Methods for detection and identification</w:t>
      </w:r>
      <w:bookmarkEnd w:id="1467"/>
      <w:bookmarkEnd w:id="1468"/>
      <w:bookmarkEnd w:id="1469"/>
      <w:bookmarkEnd w:id="1470"/>
      <w:bookmarkEnd w:id="1471"/>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29"/>
        <w:gridCol w:w="1139"/>
        <w:gridCol w:w="1940"/>
        <w:gridCol w:w="1509"/>
        <w:gridCol w:w="1527"/>
        <w:gridCol w:w="872"/>
        <w:gridCol w:w="872"/>
        <w:gridCol w:w="1039"/>
        <w:gridCol w:w="1595"/>
        <w:gridCol w:w="1371"/>
      </w:tblGrid>
      <w:tr w:rsidR="00064185" w:rsidRPr="00064185" w14:paraId="2EAB872F" w14:textId="77777777" w:rsidTr="00922E8F">
        <w:trPr>
          <w:cantSplit/>
          <w:trHeight w:val="439"/>
        </w:trPr>
        <w:tc>
          <w:tcPr>
            <w:tcW w:w="5000" w:type="pct"/>
            <w:gridSpan w:val="10"/>
            <w:shd w:val="clear" w:color="auto" w:fill="FFFFCC"/>
            <w:vAlign w:val="center"/>
          </w:tcPr>
          <w:p w14:paraId="5760911A" w14:textId="77777777" w:rsidR="00A53EE0" w:rsidRPr="00064185" w:rsidRDefault="00A53EE0" w:rsidP="00EA61D8">
            <w:pPr>
              <w:keepNext/>
              <w:widowControl w:val="0"/>
              <w:autoSpaceDE w:val="0"/>
              <w:autoSpaceDN w:val="0"/>
              <w:adjustRightInd w:val="0"/>
              <w:spacing w:before="60" w:after="60"/>
              <w:rPr>
                <w:b/>
                <w:bCs/>
                <w:sz w:val="18"/>
                <w:szCs w:val="18"/>
              </w:rPr>
            </w:pPr>
            <w:r w:rsidRPr="00064185">
              <w:rPr>
                <w:rFonts w:eastAsia="Calibri"/>
                <w:b/>
              </w:rPr>
              <w:t>Analytical methods for the analysis of the product as such including the active substance, impurities and residues</w:t>
            </w:r>
          </w:p>
        </w:tc>
      </w:tr>
      <w:tr w:rsidR="00064185" w:rsidRPr="00064185" w14:paraId="357DF9BB" w14:textId="77777777" w:rsidTr="00ED173D">
        <w:trPr>
          <w:cantSplit/>
          <w:trHeight w:val="352"/>
        </w:trPr>
        <w:tc>
          <w:tcPr>
            <w:tcW w:w="604" w:type="pct"/>
            <w:vMerge w:val="restart"/>
            <w:shd w:val="clear" w:color="auto" w:fill="FFFFFF"/>
          </w:tcPr>
          <w:p w14:paraId="056DEFC4" w14:textId="77777777" w:rsidR="00A53EE0" w:rsidRPr="00064185" w:rsidRDefault="00A53EE0" w:rsidP="00EA61D8">
            <w:pPr>
              <w:keepNext/>
              <w:widowControl w:val="0"/>
              <w:autoSpaceDE w:val="0"/>
              <w:autoSpaceDN w:val="0"/>
              <w:adjustRightInd w:val="0"/>
              <w:spacing w:before="60" w:after="60"/>
              <w:rPr>
                <w:b/>
                <w:bCs/>
                <w:sz w:val="18"/>
                <w:szCs w:val="18"/>
              </w:rPr>
            </w:pPr>
            <w:r w:rsidRPr="00064185">
              <w:rPr>
                <w:b/>
                <w:bCs/>
                <w:sz w:val="18"/>
                <w:szCs w:val="18"/>
              </w:rPr>
              <w:t>Analyte (type of analyte e.g. active substance)</w:t>
            </w:r>
          </w:p>
        </w:tc>
        <w:tc>
          <w:tcPr>
            <w:tcW w:w="422" w:type="pct"/>
            <w:vMerge w:val="restart"/>
            <w:shd w:val="clear" w:color="auto" w:fill="FFFFFF"/>
          </w:tcPr>
          <w:p w14:paraId="6593F5F0" w14:textId="77777777" w:rsidR="00A53EE0" w:rsidRPr="00064185" w:rsidRDefault="00A53EE0" w:rsidP="00EA61D8">
            <w:pPr>
              <w:keepNext/>
              <w:widowControl w:val="0"/>
              <w:autoSpaceDE w:val="0"/>
              <w:autoSpaceDN w:val="0"/>
              <w:adjustRightInd w:val="0"/>
              <w:spacing w:before="60" w:after="60"/>
              <w:rPr>
                <w:b/>
                <w:bCs/>
                <w:sz w:val="18"/>
                <w:szCs w:val="18"/>
              </w:rPr>
            </w:pPr>
            <w:r w:rsidRPr="00064185">
              <w:rPr>
                <w:b/>
                <w:bCs/>
                <w:sz w:val="18"/>
                <w:szCs w:val="18"/>
              </w:rPr>
              <w:t>Analytical method</w:t>
            </w:r>
          </w:p>
        </w:tc>
        <w:tc>
          <w:tcPr>
            <w:tcW w:w="719" w:type="pct"/>
            <w:vMerge w:val="restart"/>
            <w:shd w:val="clear" w:color="auto" w:fill="FFFFFF"/>
          </w:tcPr>
          <w:p w14:paraId="784ED9D1" w14:textId="77777777" w:rsidR="00A53EE0" w:rsidRPr="00064185" w:rsidRDefault="00A53EE0" w:rsidP="00EA61D8">
            <w:pPr>
              <w:keepNext/>
              <w:widowControl w:val="0"/>
              <w:autoSpaceDE w:val="0"/>
              <w:autoSpaceDN w:val="0"/>
              <w:adjustRightInd w:val="0"/>
              <w:spacing w:before="60" w:after="60"/>
              <w:rPr>
                <w:b/>
                <w:bCs/>
                <w:sz w:val="18"/>
                <w:szCs w:val="18"/>
              </w:rPr>
            </w:pPr>
            <w:r w:rsidRPr="00064185">
              <w:rPr>
                <w:b/>
                <w:bCs/>
                <w:sz w:val="18"/>
                <w:szCs w:val="18"/>
              </w:rPr>
              <w:t>Fortification range / Number of measurements</w:t>
            </w:r>
          </w:p>
        </w:tc>
        <w:tc>
          <w:tcPr>
            <w:tcW w:w="559" w:type="pct"/>
            <w:vMerge w:val="restart"/>
            <w:shd w:val="clear" w:color="auto" w:fill="FFFFFF"/>
          </w:tcPr>
          <w:p w14:paraId="04071AC5" w14:textId="77777777" w:rsidR="00A53EE0" w:rsidRPr="00064185" w:rsidRDefault="00A53EE0" w:rsidP="00EA61D8">
            <w:pPr>
              <w:keepNext/>
              <w:widowControl w:val="0"/>
              <w:autoSpaceDE w:val="0"/>
              <w:autoSpaceDN w:val="0"/>
              <w:adjustRightInd w:val="0"/>
              <w:spacing w:before="60" w:after="60"/>
              <w:rPr>
                <w:b/>
                <w:bCs/>
                <w:sz w:val="18"/>
                <w:szCs w:val="18"/>
              </w:rPr>
            </w:pPr>
            <w:r w:rsidRPr="00064185">
              <w:rPr>
                <w:b/>
                <w:bCs/>
                <w:sz w:val="18"/>
                <w:szCs w:val="18"/>
              </w:rPr>
              <w:t>Linearity</w:t>
            </w:r>
          </w:p>
        </w:tc>
        <w:tc>
          <w:tcPr>
            <w:tcW w:w="566" w:type="pct"/>
            <w:vMerge w:val="restart"/>
            <w:shd w:val="clear" w:color="auto" w:fill="FFFFFF"/>
          </w:tcPr>
          <w:p w14:paraId="1F9AA427" w14:textId="77777777" w:rsidR="00A53EE0" w:rsidRPr="00064185" w:rsidRDefault="00A53EE0" w:rsidP="00EA61D8">
            <w:pPr>
              <w:keepNext/>
              <w:widowControl w:val="0"/>
              <w:autoSpaceDE w:val="0"/>
              <w:autoSpaceDN w:val="0"/>
              <w:adjustRightInd w:val="0"/>
              <w:spacing w:before="60" w:after="60"/>
              <w:rPr>
                <w:b/>
                <w:bCs/>
                <w:sz w:val="18"/>
                <w:szCs w:val="18"/>
              </w:rPr>
            </w:pPr>
            <w:r w:rsidRPr="00064185">
              <w:rPr>
                <w:b/>
                <w:bCs/>
                <w:sz w:val="18"/>
                <w:szCs w:val="18"/>
              </w:rPr>
              <w:t>Specificity</w:t>
            </w:r>
          </w:p>
        </w:tc>
        <w:tc>
          <w:tcPr>
            <w:tcW w:w="1031" w:type="pct"/>
            <w:gridSpan w:val="3"/>
            <w:shd w:val="clear" w:color="auto" w:fill="FFFFFF"/>
          </w:tcPr>
          <w:p w14:paraId="0A982292" w14:textId="77777777" w:rsidR="00A53EE0" w:rsidRPr="00064185" w:rsidRDefault="00A53EE0" w:rsidP="00EA61D8">
            <w:pPr>
              <w:keepNext/>
              <w:widowControl w:val="0"/>
              <w:autoSpaceDE w:val="0"/>
              <w:autoSpaceDN w:val="0"/>
              <w:adjustRightInd w:val="0"/>
              <w:spacing w:before="60" w:after="60"/>
              <w:rPr>
                <w:b/>
                <w:bCs/>
                <w:sz w:val="18"/>
                <w:szCs w:val="18"/>
              </w:rPr>
            </w:pPr>
            <w:r w:rsidRPr="00064185">
              <w:rPr>
                <w:b/>
                <w:bCs/>
                <w:sz w:val="18"/>
                <w:szCs w:val="18"/>
              </w:rPr>
              <w:t>Recovery rate (%)</w:t>
            </w:r>
          </w:p>
        </w:tc>
        <w:tc>
          <w:tcPr>
            <w:tcW w:w="591" w:type="pct"/>
            <w:vMerge w:val="restart"/>
            <w:shd w:val="clear" w:color="auto" w:fill="FFFFFF"/>
          </w:tcPr>
          <w:p w14:paraId="0972E993" w14:textId="77777777" w:rsidR="00A53EE0" w:rsidRPr="00064185" w:rsidRDefault="00A53EE0" w:rsidP="00EA61D8">
            <w:pPr>
              <w:keepNext/>
              <w:widowControl w:val="0"/>
              <w:autoSpaceDE w:val="0"/>
              <w:autoSpaceDN w:val="0"/>
              <w:adjustRightInd w:val="0"/>
              <w:spacing w:before="60" w:after="60"/>
              <w:rPr>
                <w:b/>
                <w:bCs/>
                <w:sz w:val="18"/>
                <w:szCs w:val="18"/>
              </w:rPr>
            </w:pPr>
            <w:r w:rsidRPr="00064185">
              <w:rPr>
                <w:b/>
                <w:bCs/>
                <w:sz w:val="18"/>
                <w:szCs w:val="18"/>
              </w:rPr>
              <w:t>Limit of quantification (LOQ) or other limits</w:t>
            </w:r>
          </w:p>
        </w:tc>
        <w:tc>
          <w:tcPr>
            <w:tcW w:w="509" w:type="pct"/>
            <w:vMerge w:val="restart"/>
            <w:shd w:val="clear" w:color="auto" w:fill="FFFFFF"/>
          </w:tcPr>
          <w:p w14:paraId="1877582A" w14:textId="77777777" w:rsidR="00A53EE0" w:rsidRPr="00064185" w:rsidRDefault="00A53EE0" w:rsidP="00EA61D8">
            <w:pPr>
              <w:keepNext/>
              <w:widowControl w:val="0"/>
              <w:autoSpaceDE w:val="0"/>
              <w:autoSpaceDN w:val="0"/>
              <w:adjustRightInd w:val="0"/>
              <w:spacing w:before="60" w:after="60"/>
              <w:rPr>
                <w:b/>
                <w:bCs/>
                <w:sz w:val="18"/>
                <w:szCs w:val="18"/>
              </w:rPr>
            </w:pPr>
            <w:r w:rsidRPr="00064185">
              <w:rPr>
                <w:b/>
                <w:bCs/>
                <w:sz w:val="18"/>
                <w:szCs w:val="18"/>
              </w:rPr>
              <w:t>Reference</w:t>
            </w:r>
          </w:p>
        </w:tc>
      </w:tr>
      <w:tr w:rsidR="00064185" w:rsidRPr="00064185" w14:paraId="2C4B7592" w14:textId="77777777" w:rsidTr="00ED173D">
        <w:tc>
          <w:tcPr>
            <w:tcW w:w="604" w:type="pct"/>
            <w:vMerge/>
            <w:shd w:val="clear" w:color="auto" w:fill="auto"/>
          </w:tcPr>
          <w:p w14:paraId="3CE256CC" w14:textId="77777777" w:rsidR="00A53EE0" w:rsidRPr="00064185" w:rsidRDefault="00A53EE0" w:rsidP="00EA61D8">
            <w:pPr>
              <w:spacing w:before="60" w:after="60"/>
              <w:rPr>
                <w:i/>
                <w:sz w:val="18"/>
                <w:szCs w:val="18"/>
              </w:rPr>
            </w:pPr>
          </w:p>
        </w:tc>
        <w:tc>
          <w:tcPr>
            <w:tcW w:w="422" w:type="pct"/>
            <w:vMerge/>
          </w:tcPr>
          <w:p w14:paraId="52289E1C" w14:textId="77777777" w:rsidR="00A53EE0" w:rsidRPr="00064185" w:rsidRDefault="00A53EE0" w:rsidP="00EA61D8">
            <w:pPr>
              <w:spacing w:before="60" w:after="60"/>
              <w:rPr>
                <w:sz w:val="18"/>
                <w:szCs w:val="18"/>
              </w:rPr>
            </w:pPr>
          </w:p>
        </w:tc>
        <w:tc>
          <w:tcPr>
            <w:tcW w:w="719" w:type="pct"/>
            <w:vMerge/>
          </w:tcPr>
          <w:p w14:paraId="7B467561" w14:textId="77777777" w:rsidR="00A53EE0" w:rsidRPr="00064185" w:rsidRDefault="00A53EE0" w:rsidP="00EA61D8">
            <w:pPr>
              <w:spacing w:before="60" w:after="60"/>
              <w:rPr>
                <w:sz w:val="18"/>
                <w:szCs w:val="18"/>
              </w:rPr>
            </w:pPr>
          </w:p>
        </w:tc>
        <w:tc>
          <w:tcPr>
            <w:tcW w:w="559" w:type="pct"/>
            <w:vMerge/>
          </w:tcPr>
          <w:p w14:paraId="591208F1" w14:textId="77777777" w:rsidR="00A53EE0" w:rsidRPr="00064185" w:rsidRDefault="00A53EE0" w:rsidP="00EA61D8">
            <w:pPr>
              <w:spacing w:before="60" w:after="60"/>
              <w:rPr>
                <w:sz w:val="18"/>
                <w:szCs w:val="18"/>
              </w:rPr>
            </w:pPr>
          </w:p>
        </w:tc>
        <w:tc>
          <w:tcPr>
            <w:tcW w:w="566" w:type="pct"/>
            <w:vMerge/>
          </w:tcPr>
          <w:p w14:paraId="23EDE563" w14:textId="77777777" w:rsidR="00A53EE0" w:rsidRPr="00064185" w:rsidRDefault="00A53EE0" w:rsidP="00EA61D8">
            <w:pPr>
              <w:spacing w:before="60" w:after="60"/>
              <w:rPr>
                <w:sz w:val="18"/>
                <w:szCs w:val="18"/>
              </w:rPr>
            </w:pPr>
          </w:p>
        </w:tc>
        <w:tc>
          <w:tcPr>
            <w:tcW w:w="323" w:type="pct"/>
          </w:tcPr>
          <w:p w14:paraId="7885C6A7" w14:textId="77777777" w:rsidR="00A53EE0" w:rsidRPr="00064185" w:rsidRDefault="00A53EE0" w:rsidP="00EA61D8">
            <w:pPr>
              <w:spacing w:before="60" w:after="60"/>
              <w:rPr>
                <w:sz w:val="18"/>
                <w:szCs w:val="18"/>
              </w:rPr>
            </w:pPr>
            <w:r w:rsidRPr="00064185">
              <w:rPr>
                <w:sz w:val="18"/>
                <w:szCs w:val="18"/>
              </w:rPr>
              <w:t>Range</w:t>
            </w:r>
          </w:p>
        </w:tc>
        <w:tc>
          <w:tcPr>
            <w:tcW w:w="323" w:type="pct"/>
          </w:tcPr>
          <w:p w14:paraId="3F22DDA5" w14:textId="77777777" w:rsidR="00A53EE0" w:rsidRPr="00064185" w:rsidRDefault="00A53EE0" w:rsidP="00EA61D8">
            <w:pPr>
              <w:spacing w:before="60" w:after="60"/>
              <w:rPr>
                <w:sz w:val="18"/>
                <w:szCs w:val="18"/>
              </w:rPr>
            </w:pPr>
            <w:r w:rsidRPr="00064185">
              <w:rPr>
                <w:sz w:val="18"/>
                <w:szCs w:val="18"/>
              </w:rPr>
              <w:t>Mean</w:t>
            </w:r>
          </w:p>
        </w:tc>
        <w:tc>
          <w:tcPr>
            <w:tcW w:w="384" w:type="pct"/>
          </w:tcPr>
          <w:p w14:paraId="379DC8DA" w14:textId="77777777" w:rsidR="00A53EE0" w:rsidRPr="00064185" w:rsidRDefault="00A53EE0" w:rsidP="00EA61D8">
            <w:pPr>
              <w:spacing w:before="60" w:after="60"/>
              <w:rPr>
                <w:sz w:val="18"/>
                <w:szCs w:val="18"/>
              </w:rPr>
            </w:pPr>
            <w:r w:rsidRPr="00064185">
              <w:rPr>
                <w:sz w:val="18"/>
                <w:szCs w:val="18"/>
              </w:rPr>
              <w:t>RSD</w:t>
            </w:r>
          </w:p>
        </w:tc>
        <w:tc>
          <w:tcPr>
            <w:tcW w:w="591" w:type="pct"/>
            <w:vMerge/>
          </w:tcPr>
          <w:p w14:paraId="3B2F18BB" w14:textId="77777777" w:rsidR="00A53EE0" w:rsidRPr="00064185" w:rsidRDefault="00A53EE0" w:rsidP="00EA61D8">
            <w:pPr>
              <w:spacing w:before="60" w:after="60"/>
              <w:rPr>
                <w:sz w:val="18"/>
                <w:szCs w:val="18"/>
              </w:rPr>
            </w:pPr>
          </w:p>
        </w:tc>
        <w:tc>
          <w:tcPr>
            <w:tcW w:w="509" w:type="pct"/>
            <w:vMerge/>
          </w:tcPr>
          <w:p w14:paraId="18D486FE" w14:textId="77777777" w:rsidR="00A53EE0" w:rsidRPr="00064185" w:rsidRDefault="00A53EE0" w:rsidP="00EA61D8">
            <w:pPr>
              <w:spacing w:before="60" w:after="60"/>
              <w:rPr>
                <w:sz w:val="18"/>
                <w:szCs w:val="18"/>
              </w:rPr>
            </w:pPr>
          </w:p>
        </w:tc>
      </w:tr>
      <w:tr w:rsidR="00ED173D" w:rsidRPr="00064185" w14:paraId="6CD1CC5E" w14:textId="77777777" w:rsidTr="00ED173D">
        <w:tc>
          <w:tcPr>
            <w:tcW w:w="604" w:type="pct"/>
            <w:shd w:val="clear" w:color="auto" w:fill="auto"/>
          </w:tcPr>
          <w:p w14:paraId="65EA3DD3" w14:textId="77777777" w:rsidR="00ED173D" w:rsidRPr="00064185" w:rsidRDefault="00ED173D" w:rsidP="00EA61D8">
            <w:pPr>
              <w:spacing w:before="60" w:after="60"/>
              <w:rPr>
                <w:i/>
                <w:sz w:val="18"/>
                <w:szCs w:val="18"/>
              </w:rPr>
            </w:pPr>
            <w:r w:rsidRPr="00064185">
              <w:rPr>
                <w:i/>
              </w:rPr>
              <w:t>lambda</w:t>
            </w:r>
            <w:r w:rsidRPr="00064185">
              <w:t>-cyhalothrin</w:t>
            </w:r>
          </w:p>
        </w:tc>
        <w:tc>
          <w:tcPr>
            <w:tcW w:w="422" w:type="pct"/>
          </w:tcPr>
          <w:p w14:paraId="6652B50C" w14:textId="77777777" w:rsidR="00ED173D" w:rsidRPr="00064185" w:rsidRDefault="00ED173D" w:rsidP="00EA61D8">
            <w:pPr>
              <w:spacing w:before="60" w:after="60"/>
              <w:rPr>
                <w:sz w:val="18"/>
                <w:szCs w:val="18"/>
              </w:rPr>
            </w:pPr>
            <w:r w:rsidRPr="00064185">
              <w:t>HPLC-UV</w:t>
            </w:r>
          </w:p>
        </w:tc>
        <w:tc>
          <w:tcPr>
            <w:tcW w:w="719" w:type="pct"/>
          </w:tcPr>
          <w:p w14:paraId="0DF86EB2" w14:textId="77777777" w:rsidR="00ED173D" w:rsidRPr="00064185" w:rsidRDefault="00ED173D" w:rsidP="00EA61D8">
            <w:pPr>
              <w:spacing w:before="60" w:after="60"/>
              <w:rPr>
                <w:sz w:val="18"/>
                <w:szCs w:val="18"/>
              </w:rPr>
            </w:pPr>
            <w:r w:rsidRPr="00064185">
              <w:t>Laboratory prepared co-formulant mixes to which known amounts of active substance have been added, were prepared and analysed. The synthetic formulations prepared have a concentration like the formulation to be examined, +30% and −30%. Each concentration level was prepared and analysed four times.</w:t>
            </w:r>
          </w:p>
        </w:tc>
        <w:tc>
          <w:tcPr>
            <w:tcW w:w="559" w:type="pct"/>
          </w:tcPr>
          <w:p w14:paraId="0EBB5445" w14:textId="77777777" w:rsidR="00ED173D" w:rsidRPr="00064185" w:rsidRDefault="00ED173D" w:rsidP="00EA61D8">
            <w:pPr>
              <w:spacing w:before="60" w:after="60"/>
            </w:pPr>
            <w:r w:rsidRPr="00064185">
              <w:t>Six standard solutions over the range 0.00025% to 0.0025% (equivalent to app. 0.01% to 0.1% in formulation) were measured.</w:t>
            </w:r>
          </w:p>
          <w:p w14:paraId="439C97FC" w14:textId="77777777" w:rsidR="00ED173D" w:rsidRPr="00064185" w:rsidRDefault="00ED173D" w:rsidP="00EA61D8">
            <w:pPr>
              <w:spacing w:before="60" w:after="60"/>
            </w:pPr>
            <w:r w:rsidRPr="00064185">
              <w:t>Each concentration was measured twice.</w:t>
            </w:r>
          </w:p>
          <w:p w14:paraId="697F6BDF" w14:textId="77777777" w:rsidR="00ED173D" w:rsidRPr="00064185" w:rsidRDefault="00ED173D" w:rsidP="00EA61D8">
            <w:pPr>
              <w:spacing w:before="60" w:after="60"/>
              <w:rPr>
                <w:sz w:val="18"/>
                <w:szCs w:val="18"/>
              </w:rPr>
            </w:pPr>
            <w:r w:rsidRPr="00064185">
              <w:t>Correlation coefficient: 0.999958</w:t>
            </w:r>
          </w:p>
        </w:tc>
        <w:tc>
          <w:tcPr>
            <w:tcW w:w="566" w:type="pct"/>
          </w:tcPr>
          <w:p w14:paraId="585A353C" w14:textId="77777777" w:rsidR="00ED173D" w:rsidRPr="00064185" w:rsidRDefault="00ED173D" w:rsidP="00EA61D8">
            <w:pPr>
              <w:spacing w:before="60" w:after="60"/>
              <w:rPr>
                <w:sz w:val="18"/>
                <w:szCs w:val="18"/>
              </w:rPr>
            </w:pPr>
            <w:r w:rsidRPr="00064185">
              <w:t>No interferences with other peaks were observed.</w:t>
            </w:r>
          </w:p>
        </w:tc>
        <w:tc>
          <w:tcPr>
            <w:tcW w:w="1031" w:type="pct"/>
            <w:gridSpan w:val="3"/>
          </w:tcPr>
          <w:p w14:paraId="17B915DE" w14:textId="77777777" w:rsidR="00ED173D" w:rsidRPr="00064185" w:rsidRDefault="00ED173D" w:rsidP="00EA61D8">
            <w:pPr>
              <w:spacing w:before="60" w:after="60"/>
            </w:pPr>
            <w:r w:rsidRPr="00064185">
              <w:t>The mean recovery rates ranged from 96.32% to 97.42% (n=4). The overall mean recovery was 96.80% (n=12).</w:t>
            </w:r>
          </w:p>
          <w:p w14:paraId="32889BAC" w14:textId="77777777" w:rsidR="00ED173D" w:rsidRPr="00064185" w:rsidRDefault="00ED173D" w:rsidP="00EA61D8">
            <w:pPr>
              <w:spacing w:before="60" w:after="60"/>
              <w:rPr>
                <w:sz w:val="18"/>
                <w:szCs w:val="18"/>
              </w:rPr>
            </w:pPr>
            <w:r w:rsidRPr="00064185">
              <w:t>The relative standard deviations ranged from 1.905% to 3.987% (n=4). The overall relative standard deviation was 2.811% (n=12).</w:t>
            </w:r>
          </w:p>
        </w:tc>
        <w:tc>
          <w:tcPr>
            <w:tcW w:w="591" w:type="pct"/>
          </w:tcPr>
          <w:p w14:paraId="3DC8EDE6" w14:textId="77777777" w:rsidR="00ED173D" w:rsidRPr="00064185" w:rsidRDefault="00ED173D" w:rsidP="00EA61D8">
            <w:pPr>
              <w:spacing w:before="60" w:after="60"/>
            </w:pPr>
            <w:r w:rsidRPr="00064185">
              <w:t>Limit of quantification: 0.0043%</w:t>
            </w:r>
          </w:p>
          <w:p w14:paraId="605B7748" w14:textId="77777777" w:rsidR="00ED173D" w:rsidRPr="00064185" w:rsidRDefault="00ED173D" w:rsidP="00EA61D8">
            <w:pPr>
              <w:spacing w:before="60" w:after="60"/>
              <w:rPr>
                <w:sz w:val="18"/>
                <w:szCs w:val="18"/>
              </w:rPr>
            </w:pPr>
            <w:r w:rsidRPr="00064185">
              <w:t>Limit of detection: 0.0014%</w:t>
            </w:r>
          </w:p>
        </w:tc>
        <w:tc>
          <w:tcPr>
            <w:tcW w:w="509" w:type="pct"/>
          </w:tcPr>
          <w:p w14:paraId="2FFBE01F" w14:textId="77777777" w:rsidR="00ED173D" w:rsidRPr="00064185" w:rsidRDefault="00ED173D" w:rsidP="00EA61D8">
            <w:pPr>
              <w:spacing w:before="60" w:after="60"/>
              <w:rPr>
                <w:sz w:val="18"/>
                <w:szCs w:val="18"/>
              </w:rPr>
            </w:pPr>
            <w:r w:rsidRPr="00064185">
              <w:t>Schieck, 2008</w:t>
            </w:r>
          </w:p>
        </w:tc>
      </w:tr>
    </w:tbl>
    <w:p w14:paraId="479A1A73" w14:textId="77777777" w:rsidR="00A53EE0" w:rsidRPr="00064185" w:rsidRDefault="00A53EE0" w:rsidP="00EA61D8">
      <w:pPr>
        <w:rPr>
          <w:rFonts w:eastAsia="Calibri"/>
          <w:lang w:eastAsia="en-US"/>
        </w:rPr>
      </w:pPr>
    </w:p>
    <w:p w14:paraId="7DF5819E" w14:textId="77777777" w:rsidR="0006564F" w:rsidRPr="00064185" w:rsidRDefault="0006564F" w:rsidP="00EA61D8">
      <w:pPr>
        <w:rPr>
          <w:rFonts w:eastAsia="Calibri"/>
          <w:lang w:eastAsia="en-US"/>
        </w:rPr>
      </w:pPr>
    </w:p>
    <w:p w14:paraId="63D52386" w14:textId="77777777" w:rsidR="00CD7EA1" w:rsidRPr="00064185" w:rsidRDefault="0006564F" w:rsidP="00403806">
      <w:pPr>
        <w:jc w:val="both"/>
        <w:rPr>
          <w:rFonts w:eastAsia="Calibri"/>
          <w:lang w:eastAsia="en-US"/>
        </w:rPr>
      </w:pPr>
      <w:r w:rsidRPr="00064185">
        <w:rPr>
          <w:rFonts w:eastAsia="Calibri"/>
          <w:lang w:eastAsia="en-US"/>
        </w:rPr>
        <w:t xml:space="preserve">Analytical methods for the determination of </w:t>
      </w:r>
      <w:r w:rsidRPr="00064185">
        <w:rPr>
          <w:rFonts w:eastAsia="Calibri"/>
          <w:i/>
          <w:lang w:eastAsia="en-US"/>
        </w:rPr>
        <w:t>lambda</w:t>
      </w:r>
      <w:r w:rsidRPr="00064185">
        <w:rPr>
          <w:rFonts w:eastAsia="Calibri"/>
          <w:lang w:eastAsia="en-US"/>
        </w:rPr>
        <w:t xml:space="preserve">-cyhalothrin residues in relevant environmental media (soil, air and water) as well as in animal and human body fluids and tissues were not submitted for the biocidal product since this point is covered by the data set of the active substance. Please refer to the </w:t>
      </w:r>
      <w:r w:rsidR="00CD7EA1" w:rsidRPr="00064185">
        <w:rPr>
          <w:rFonts w:eastAsia="Calibri"/>
          <w:lang w:eastAsia="en-US"/>
        </w:rPr>
        <w:t>CAR of</w:t>
      </w:r>
      <w:r w:rsidRPr="00064185">
        <w:rPr>
          <w:rFonts w:eastAsia="Calibri"/>
          <w:lang w:eastAsia="en-US"/>
        </w:rPr>
        <w:t xml:space="preserve"> the active substance. </w:t>
      </w:r>
    </w:p>
    <w:p w14:paraId="68824143" w14:textId="0FFC0133" w:rsidR="00CA22CE" w:rsidRPr="00064185" w:rsidRDefault="00CA22CE" w:rsidP="00403806">
      <w:pPr>
        <w:spacing w:line="260" w:lineRule="atLeast"/>
        <w:jc w:val="both"/>
        <w:rPr>
          <w:rFonts w:eastAsia="Calibri"/>
          <w:lang w:eastAsia="en-US"/>
        </w:rPr>
      </w:pPr>
      <w:r w:rsidRPr="00064185">
        <w:rPr>
          <w:rFonts w:eastAsia="Calibri"/>
          <w:lang w:eastAsia="en-US"/>
        </w:rPr>
        <w:lastRenderedPageBreak/>
        <w:t xml:space="preserve">An exposure of </w:t>
      </w:r>
      <w:r w:rsidRPr="00064185">
        <w:rPr>
          <w:rFonts w:eastAsia="Calibri"/>
          <w:i/>
          <w:lang w:eastAsia="en-US"/>
        </w:rPr>
        <w:t>lambda</w:t>
      </w:r>
      <w:r w:rsidRPr="00064185">
        <w:rPr>
          <w:rFonts w:eastAsia="Calibri"/>
          <w:lang w:eastAsia="en-US"/>
        </w:rPr>
        <w:t>-cyhalothrin to food and feedstuffs can be excluded when applied according to the intended use as described in section 2.2.3 and by applying the risk mitigation measures as described in section 2.2.</w:t>
      </w:r>
      <w:r w:rsidR="005D6301" w:rsidRPr="00064185">
        <w:rPr>
          <w:rFonts w:eastAsia="Calibri"/>
          <w:lang w:eastAsia="en-US"/>
        </w:rPr>
        <w:t>6</w:t>
      </w:r>
      <w:r w:rsidRPr="00064185">
        <w:rPr>
          <w:rFonts w:eastAsia="Calibri"/>
          <w:lang w:eastAsia="en-US"/>
        </w:rPr>
        <w:t>. An analytical method for the determination of active substance residues in/on food and feedstuffs is therefore not necessary.</w:t>
      </w:r>
    </w:p>
    <w:p w14:paraId="4D1D164F" w14:textId="5875A120" w:rsidR="00C6343B" w:rsidRPr="00064185" w:rsidRDefault="00C6343B" w:rsidP="00403806">
      <w:pPr>
        <w:spacing w:line="260" w:lineRule="atLeast"/>
        <w:jc w:val="both"/>
        <w:rPr>
          <w:rFonts w:eastAsia="Calibri"/>
          <w:lang w:eastAsia="en-US"/>
        </w:rPr>
      </w:pPr>
    </w:p>
    <w:p w14:paraId="4F9C96D3" w14:textId="77777777" w:rsidR="00A53EE0" w:rsidRPr="00064185" w:rsidRDefault="00A53EE0" w:rsidP="00403806">
      <w:pPr>
        <w:jc w:val="both"/>
        <w:rPr>
          <w:rFonts w:eastAsia="Calibri"/>
          <w:lang w:eastAsia="en-US"/>
        </w:rPr>
      </w:pPr>
    </w:p>
    <w:p w14:paraId="45530135" w14:textId="77777777" w:rsidR="00A53EE0" w:rsidRPr="00064185" w:rsidRDefault="00A53EE0" w:rsidP="00403806">
      <w:pPr>
        <w:jc w:val="both"/>
        <w:rPr>
          <w:rFonts w:eastAsia="Calibri"/>
          <w:lang w:eastAsia="en-US"/>
        </w:rPr>
      </w:pPr>
    </w:p>
    <w:p w14:paraId="7B4A422A" w14:textId="77777777" w:rsidR="00A53EE0" w:rsidRDefault="00A53EE0" w:rsidP="00403806">
      <w:pPr>
        <w:pStyle w:val="berschrift3"/>
        <w:jc w:val="both"/>
        <w:rPr>
          <w:rFonts w:eastAsia="Calibri"/>
          <w:lang w:eastAsia="en-US"/>
        </w:rPr>
      </w:pPr>
      <w:bookmarkStart w:id="1472" w:name="_Toc389726185"/>
      <w:bookmarkStart w:id="1473" w:name="_Toc389727237"/>
      <w:bookmarkStart w:id="1474" w:name="_Toc389727595"/>
      <w:bookmarkStart w:id="1475" w:name="_Toc389727954"/>
      <w:bookmarkStart w:id="1476" w:name="_Toc389728313"/>
      <w:bookmarkStart w:id="1477" w:name="_Toc389728673"/>
      <w:bookmarkStart w:id="1478" w:name="_Toc389729031"/>
      <w:bookmarkStart w:id="1479" w:name="_Toc389729032"/>
      <w:bookmarkStart w:id="1480" w:name="_Toc403472743"/>
      <w:bookmarkStart w:id="1481" w:name="_Toc440879651"/>
      <w:bookmarkStart w:id="1482" w:name="_Toc440889964"/>
      <w:bookmarkStart w:id="1483" w:name="_Toc530563669"/>
      <w:bookmarkEnd w:id="1472"/>
      <w:bookmarkEnd w:id="1473"/>
      <w:bookmarkEnd w:id="1474"/>
      <w:bookmarkEnd w:id="1475"/>
      <w:bookmarkEnd w:id="1476"/>
      <w:bookmarkEnd w:id="1477"/>
      <w:bookmarkEnd w:id="1478"/>
      <w:r w:rsidRPr="00064185">
        <w:rPr>
          <w:rFonts w:eastAsia="Calibri"/>
          <w:lang w:eastAsia="en-US"/>
        </w:rPr>
        <w:t>Efficacy against target organisms</w:t>
      </w:r>
      <w:bookmarkStart w:id="1484" w:name="_Toc377649023"/>
      <w:bookmarkStart w:id="1485" w:name="_Toc377650876"/>
      <w:bookmarkStart w:id="1486" w:name="_Toc377651003"/>
      <w:bookmarkStart w:id="1487" w:name="_Toc377653272"/>
      <w:bookmarkStart w:id="1488" w:name="_Toc378351576"/>
      <w:bookmarkStart w:id="1489" w:name="_Toc378681325"/>
      <w:bookmarkStart w:id="1490" w:name="_Toc378682245"/>
      <w:bookmarkStart w:id="1491" w:name="_Toc378683692"/>
      <w:bookmarkStart w:id="1492" w:name="_Toc378685380"/>
      <w:bookmarkStart w:id="1493" w:name="_Toc378685516"/>
      <w:bookmarkStart w:id="1494" w:name="_Toc378691725"/>
      <w:bookmarkStart w:id="1495" w:name="_Toc378692182"/>
      <w:bookmarkStart w:id="1496" w:name="_Toc378692319"/>
      <w:bookmarkStart w:id="1497" w:name="_Toc378692456"/>
      <w:bookmarkStart w:id="1498" w:name="_Toc378761159"/>
      <w:bookmarkStart w:id="1499" w:name="_Toc378761302"/>
      <w:bookmarkStart w:id="1500" w:name="_Toc378761445"/>
      <w:bookmarkStart w:id="1501" w:name="_Toc378761588"/>
      <w:bookmarkStart w:id="1502" w:name="_Toc378761901"/>
      <w:bookmarkStart w:id="1503" w:name="_Toc378762041"/>
      <w:bookmarkStart w:id="1504" w:name="_Toc378762179"/>
      <w:bookmarkStart w:id="1505" w:name="_Toc378765656"/>
      <w:bookmarkStart w:id="1506" w:name="_Toc378767404"/>
      <w:bookmarkStart w:id="1507" w:name="_Toc378774999"/>
      <w:bookmarkStart w:id="1508" w:name="_Toc378776193"/>
      <w:bookmarkStart w:id="1509" w:name="_Toc378841273"/>
      <w:bookmarkStart w:id="1510" w:name="_Toc378858872"/>
      <w:bookmarkStart w:id="1511" w:name="_Toc378859100"/>
      <w:bookmarkStart w:id="1512" w:name="_Toc378351577"/>
      <w:bookmarkStart w:id="1513" w:name="_Toc378681326"/>
      <w:bookmarkStart w:id="1514" w:name="_Toc378682246"/>
      <w:bookmarkStart w:id="1515" w:name="_Toc378683693"/>
      <w:bookmarkStart w:id="1516" w:name="_Toc378685381"/>
      <w:bookmarkStart w:id="1517" w:name="_Toc378685517"/>
      <w:bookmarkStart w:id="1518" w:name="_Toc378691726"/>
      <w:bookmarkStart w:id="1519" w:name="_Toc378692183"/>
      <w:bookmarkStart w:id="1520" w:name="_Toc378692320"/>
      <w:bookmarkStart w:id="1521" w:name="_Toc378692457"/>
      <w:bookmarkStart w:id="1522" w:name="_Toc378761160"/>
      <w:bookmarkStart w:id="1523" w:name="_Toc378761303"/>
      <w:bookmarkStart w:id="1524" w:name="_Toc378761446"/>
      <w:bookmarkStart w:id="1525" w:name="_Toc378761589"/>
      <w:bookmarkStart w:id="1526" w:name="_Toc378761902"/>
      <w:bookmarkStart w:id="1527" w:name="_Toc378762042"/>
      <w:bookmarkStart w:id="1528" w:name="_Toc378762180"/>
      <w:bookmarkStart w:id="1529" w:name="_Toc378765657"/>
      <w:bookmarkStart w:id="1530" w:name="_Toc378767405"/>
      <w:bookmarkStart w:id="1531" w:name="_Toc378775000"/>
      <w:bookmarkStart w:id="1532" w:name="_Toc378776194"/>
      <w:bookmarkStart w:id="1533" w:name="_Toc378841274"/>
      <w:bookmarkStart w:id="1534" w:name="_Toc378858873"/>
      <w:bookmarkStart w:id="1535" w:name="_Toc378859101"/>
      <w:bookmarkEnd w:id="1479"/>
      <w:bookmarkEnd w:id="1480"/>
      <w:bookmarkEnd w:id="1481"/>
      <w:bookmarkEnd w:id="1482"/>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483"/>
    </w:p>
    <w:p w14:paraId="08F5F5A1" w14:textId="77777777" w:rsidR="00CD287F" w:rsidRPr="00CD287F" w:rsidRDefault="00CD287F" w:rsidP="00CD287F">
      <w:pPr>
        <w:pStyle w:val="Absatz"/>
        <w:rPr>
          <w:rFonts w:eastAsia="Calibri"/>
          <w:lang w:val="de-DE" w:eastAsia="en-US"/>
        </w:rPr>
      </w:pPr>
    </w:p>
    <w:p w14:paraId="6AD9490E" w14:textId="77777777" w:rsidR="00A53EE0" w:rsidRPr="00CD287F" w:rsidRDefault="00A53EE0" w:rsidP="00403806">
      <w:pPr>
        <w:pStyle w:val="berschrift4"/>
        <w:numPr>
          <w:ilvl w:val="0"/>
          <w:numId w:val="12"/>
        </w:numPr>
        <w:rPr>
          <w:lang w:val="en-GB"/>
        </w:rPr>
      </w:pPr>
      <w:bookmarkStart w:id="1536" w:name="_Toc388285279"/>
      <w:bookmarkStart w:id="1537" w:name="_Toc389726187"/>
      <w:bookmarkStart w:id="1538" w:name="_Toc389727239"/>
      <w:bookmarkStart w:id="1539" w:name="_Toc389727597"/>
      <w:bookmarkStart w:id="1540" w:name="_Toc389727956"/>
      <w:bookmarkStart w:id="1541" w:name="_Toc389728315"/>
      <w:bookmarkStart w:id="1542" w:name="_Toc389728675"/>
      <w:bookmarkStart w:id="1543" w:name="_Toc389729033"/>
      <w:bookmarkStart w:id="1544" w:name="_Toc388281577"/>
      <w:bookmarkStart w:id="1545" w:name="_Toc388282033"/>
      <w:bookmarkStart w:id="1546" w:name="_Toc388282515"/>
      <w:bookmarkStart w:id="1547" w:name="_Toc388282963"/>
      <w:bookmarkStart w:id="1548" w:name="_Toc388281578"/>
      <w:bookmarkStart w:id="1549" w:name="_Toc388282034"/>
      <w:bookmarkStart w:id="1550" w:name="_Toc388282516"/>
      <w:bookmarkStart w:id="1551" w:name="_Toc388282964"/>
      <w:bookmarkStart w:id="1552" w:name="_Toc388281579"/>
      <w:bookmarkStart w:id="1553" w:name="_Toc388282035"/>
      <w:bookmarkStart w:id="1554" w:name="_Toc388282517"/>
      <w:bookmarkStart w:id="1555" w:name="_Toc388282965"/>
      <w:bookmarkStart w:id="1556" w:name="_Toc388281580"/>
      <w:bookmarkStart w:id="1557" w:name="_Toc388282036"/>
      <w:bookmarkStart w:id="1558" w:name="_Toc388282518"/>
      <w:bookmarkStart w:id="1559" w:name="_Toc388282966"/>
      <w:bookmarkStart w:id="1560" w:name="_Toc389729034"/>
      <w:bookmarkStart w:id="1561" w:name="_Toc403472744"/>
      <w:bookmarkStart w:id="1562" w:name="_Toc440879652"/>
      <w:bookmarkStart w:id="1563" w:name="_Toc440889965"/>
      <w:bookmarkStart w:id="1564" w:name="_Toc530563670"/>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rsidRPr="00CD287F">
        <w:rPr>
          <w:lang w:val="en-GB"/>
        </w:rPr>
        <w:t>Function and field of use</w:t>
      </w:r>
      <w:bookmarkEnd w:id="1560"/>
      <w:bookmarkEnd w:id="1561"/>
      <w:bookmarkEnd w:id="1562"/>
      <w:bookmarkEnd w:id="1563"/>
      <w:bookmarkEnd w:id="1564"/>
    </w:p>
    <w:p w14:paraId="5B54D800" w14:textId="77777777" w:rsidR="007F4B7A" w:rsidRPr="00064185" w:rsidRDefault="00535FA6" w:rsidP="00403806">
      <w:pPr>
        <w:jc w:val="both"/>
      </w:pPr>
      <w:r w:rsidRPr="00064185">
        <w:t xml:space="preserve">The biocidal product is a ready-to-use liquid insecticidal formulation (PT18) and is applied by trigger spray devices. It </w:t>
      </w:r>
      <w:r w:rsidR="00E61600" w:rsidRPr="00064185">
        <w:t xml:space="preserve">is effective against </w:t>
      </w:r>
      <w:r w:rsidRPr="00064185">
        <w:t>garden ants (</w:t>
      </w:r>
      <w:r w:rsidRPr="00064185">
        <w:rPr>
          <w:i/>
        </w:rPr>
        <w:t xml:space="preserve">Lasius </w:t>
      </w:r>
      <w:proofErr w:type="gramStart"/>
      <w:r w:rsidRPr="00064185">
        <w:rPr>
          <w:i/>
        </w:rPr>
        <w:t>niger</w:t>
      </w:r>
      <w:proofErr w:type="gramEnd"/>
      <w:r w:rsidRPr="00064185">
        <w:t xml:space="preserve">) </w:t>
      </w:r>
      <w:r w:rsidR="00E61600" w:rsidRPr="00064185">
        <w:t xml:space="preserve">outdoors </w:t>
      </w:r>
      <w:r w:rsidRPr="00064185">
        <w:t xml:space="preserve">and indoors for several weeks. Also silverfishes, wood lice and cockroaches are controlled. </w:t>
      </w:r>
    </w:p>
    <w:p w14:paraId="2D31462D" w14:textId="77777777" w:rsidR="007F4B7A" w:rsidRPr="00064185" w:rsidRDefault="007F4B7A" w:rsidP="00403806">
      <w:pPr>
        <w:jc w:val="both"/>
      </w:pPr>
    </w:p>
    <w:p w14:paraId="53B9B558" w14:textId="00133452" w:rsidR="007F4B7A" w:rsidRPr="00064185" w:rsidRDefault="007F4B7A" w:rsidP="00403806">
      <w:pPr>
        <w:jc w:val="both"/>
        <w:rPr>
          <w:lang w:val="en"/>
        </w:rPr>
      </w:pPr>
      <w:r w:rsidRPr="00064185">
        <w:t xml:space="preserve">As other pyrethroids it acts as a sodium channel modulator. By disrupting the nervous system of insects, </w:t>
      </w:r>
      <w:r w:rsidRPr="00064185">
        <w:rPr>
          <w:i/>
        </w:rPr>
        <w:t>lambda</w:t>
      </w:r>
      <w:r w:rsidRPr="00064185">
        <w:t xml:space="preserve">-cyhalothrin may cause paralysis or death. </w:t>
      </w:r>
    </w:p>
    <w:p w14:paraId="5CAB282E" w14:textId="77777777" w:rsidR="007F4B7A" w:rsidRPr="00064185" w:rsidRDefault="007F4B7A" w:rsidP="00403806">
      <w:pPr>
        <w:pStyle w:val="Column3"/>
        <w:spacing w:line="240" w:lineRule="auto"/>
        <w:ind w:left="0"/>
        <w:jc w:val="both"/>
        <w:rPr>
          <w:rFonts w:ascii="Verdana" w:eastAsia="Times New Roman" w:hAnsi="Verdana"/>
          <w:sz w:val="20"/>
          <w:szCs w:val="20"/>
          <w:lang w:val="en-GB" w:eastAsia="de-DE"/>
        </w:rPr>
      </w:pPr>
    </w:p>
    <w:p w14:paraId="7C96B03B" w14:textId="311F8027" w:rsidR="007F4B7A" w:rsidRPr="00064185" w:rsidRDefault="007F4B7A" w:rsidP="00403806">
      <w:pPr>
        <w:pStyle w:val="Column3"/>
        <w:spacing w:line="240" w:lineRule="auto"/>
        <w:ind w:left="0"/>
        <w:jc w:val="both"/>
        <w:rPr>
          <w:rFonts w:ascii="Verdana" w:eastAsia="Times New Roman" w:hAnsi="Verdana"/>
          <w:sz w:val="20"/>
          <w:szCs w:val="20"/>
          <w:lang w:val="en-GB" w:eastAsia="de-DE"/>
        </w:rPr>
      </w:pPr>
      <w:r w:rsidRPr="00064185">
        <w:rPr>
          <w:rFonts w:ascii="Verdana" w:eastAsia="Times New Roman" w:hAnsi="Verdana"/>
          <w:sz w:val="20"/>
          <w:szCs w:val="20"/>
          <w:lang w:val="en-GB" w:eastAsia="de-DE"/>
        </w:rPr>
        <w:t xml:space="preserve">In the specific case the product is a microcapsule formulation of the active substance. </w:t>
      </w:r>
      <w:r w:rsidR="00535FA6" w:rsidRPr="00064185">
        <w:rPr>
          <w:rFonts w:ascii="Verdana" w:eastAsia="Times New Roman" w:hAnsi="Verdana"/>
          <w:sz w:val="20"/>
          <w:szCs w:val="20"/>
          <w:lang w:val="en-GB" w:eastAsia="de-DE"/>
        </w:rPr>
        <w:t>The ready-to-use microencapsulated active substance is released after contact and ingestion by the insects.</w:t>
      </w:r>
      <w:r w:rsidRPr="00064185">
        <w:rPr>
          <w:rFonts w:ascii="Verdana" w:eastAsia="Times New Roman" w:hAnsi="Verdana"/>
          <w:sz w:val="20"/>
          <w:szCs w:val="20"/>
          <w:lang w:val="en-GB" w:eastAsia="de-DE"/>
        </w:rPr>
        <w:t xml:space="preserve"> The main effect is due to the cleaning procedure of the insect. By licking its body the capsules unfold their efficacy on the way to /through the bowel. After release the </w:t>
      </w:r>
      <w:proofErr w:type="gramStart"/>
      <w:r w:rsidRPr="00064185">
        <w:rPr>
          <w:rFonts w:ascii="Verdana" w:eastAsia="Times New Roman" w:hAnsi="Verdana"/>
          <w:sz w:val="20"/>
          <w:szCs w:val="20"/>
          <w:lang w:val="en-GB" w:eastAsia="de-DE"/>
        </w:rPr>
        <w:t>a.s</w:t>
      </w:r>
      <w:proofErr w:type="gramEnd"/>
      <w:r w:rsidRPr="00064185">
        <w:rPr>
          <w:rFonts w:ascii="Verdana" w:eastAsia="Times New Roman" w:hAnsi="Verdana"/>
          <w:sz w:val="20"/>
          <w:szCs w:val="20"/>
          <w:lang w:val="en-GB" w:eastAsia="de-DE"/>
        </w:rPr>
        <w:t>. acts very fast.</w:t>
      </w:r>
    </w:p>
    <w:p w14:paraId="4E820CAA" w14:textId="77777777" w:rsidR="007F4B7A" w:rsidRPr="00064185" w:rsidRDefault="007F4B7A" w:rsidP="00403806">
      <w:pPr>
        <w:pStyle w:val="Column3"/>
        <w:ind w:left="0"/>
        <w:jc w:val="both"/>
        <w:rPr>
          <w:rFonts w:ascii="Verdana" w:eastAsia="Times New Roman" w:hAnsi="Verdana"/>
          <w:sz w:val="20"/>
          <w:szCs w:val="20"/>
          <w:lang w:val="en-GB" w:eastAsia="de-DE"/>
        </w:rPr>
      </w:pPr>
      <w:r w:rsidRPr="00064185">
        <w:rPr>
          <w:rFonts w:ascii="Verdana" w:eastAsia="Times New Roman" w:hAnsi="Verdana"/>
          <w:sz w:val="20"/>
          <w:szCs w:val="20"/>
          <w:lang w:val="en-GB" w:eastAsia="de-DE"/>
        </w:rPr>
        <w:t xml:space="preserve">If the capsules are on the skin of the insect they are transmitted by contact to another insect, so it is possible e.g. for ants that the whole nest is destroyed or that the whole population of the insects is killed. From this, the delayed and desired release in the nest is explained. </w:t>
      </w:r>
    </w:p>
    <w:p w14:paraId="4464A63A" w14:textId="77777777" w:rsidR="007F4B7A" w:rsidRPr="00064185" w:rsidRDefault="007F4B7A" w:rsidP="00403806">
      <w:pPr>
        <w:pStyle w:val="Column3"/>
        <w:ind w:left="0"/>
        <w:jc w:val="both"/>
        <w:rPr>
          <w:rFonts w:ascii="Verdana" w:eastAsia="Times New Roman" w:hAnsi="Verdana"/>
          <w:sz w:val="20"/>
          <w:szCs w:val="20"/>
          <w:lang w:val="en-GB" w:eastAsia="de-DE"/>
        </w:rPr>
      </w:pPr>
      <w:r w:rsidRPr="00064185">
        <w:rPr>
          <w:rFonts w:ascii="Verdana" w:eastAsia="Times New Roman" w:hAnsi="Verdana"/>
          <w:sz w:val="20"/>
          <w:szCs w:val="20"/>
          <w:lang w:val="en-GB" w:eastAsia="de-DE"/>
        </w:rPr>
        <w:t xml:space="preserve">Due to this described process the efficacy of the product is slower compared to other products with the active substance Lambda-Cyhalothrin without microcapsules. </w:t>
      </w:r>
    </w:p>
    <w:p w14:paraId="7E885146" w14:textId="77777777" w:rsidR="007F4B7A" w:rsidRPr="00064185" w:rsidRDefault="007F4B7A" w:rsidP="00403806">
      <w:pPr>
        <w:spacing w:line="260" w:lineRule="atLeast"/>
        <w:jc w:val="both"/>
      </w:pPr>
    </w:p>
    <w:p w14:paraId="70F4EF38" w14:textId="4EA2F559" w:rsidR="00A53EE0" w:rsidRPr="00064185" w:rsidRDefault="007F4B7A" w:rsidP="00403806">
      <w:pPr>
        <w:spacing w:line="260" w:lineRule="atLeast"/>
        <w:jc w:val="both"/>
        <w:rPr>
          <w:szCs w:val="22"/>
        </w:rPr>
      </w:pPr>
      <w:r w:rsidRPr="00064185">
        <w:t xml:space="preserve">Application is </w:t>
      </w:r>
      <w:r w:rsidR="00535FA6" w:rsidRPr="00064185">
        <w:t>intended by the general public directly on the insect or on the target area where the insects occur.</w:t>
      </w:r>
      <w:r w:rsidR="00535FA6" w:rsidRPr="00064185">
        <w:rPr>
          <w:szCs w:val="22"/>
        </w:rPr>
        <w:t xml:space="preserve"> </w:t>
      </w:r>
    </w:p>
    <w:p w14:paraId="33CA1727" w14:textId="77777777" w:rsidR="00681693" w:rsidRPr="00064185" w:rsidRDefault="00681693" w:rsidP="00403806">
      <w:pPr>
        <w:spacing w:line="260" w:lineRule="atLeast"/>
        <w:jc w:val="both"/>
        <w:rPr>
          <w:rFonts w:ascii="Times New Roman" w:eastAsia="Calibri" w:hAnsi="Times New Roman"/>
          <w:i/>
          <w:iCs/>
          <w:lang w:eastAsia="en-US"/>
        </w:rPr>
      </w:pPr>
    </w:p>
    <w:p w14:paraId="7F8A1A65" w14:textId="77777777" w:rsidR="00A53EE0" w:rsidRPr="00064185" w:rsidRDefault="00A53EE0" w:rsidP="00403806">
      <w:pPr>
        <w:spacing w:line="260" w:lineRule="atLeast"/>
        <w:jc w:val="both"/>
        <w:rPr>
          <w:rFonts w:eastAsia="Calibri"/>
          <w:lang w:eastAsia="en-US"/>
        </w:rPr>
      </w:pPr>
    </w:p>
    <w:p w14:paraId="702399FC" w14:textId="77777777" w:rsidR="00A53EE0" w:rsidRPr="00064185" w:rsidRDefault="00A53EE0" w:rsidP="00403806">
      <w:pPr>
        <w:pStyle w:val="berschrift4"/>
        <w:rPr>
          <w:lang w:val="en-GB"/>
        </w:rPr>
      </w:pPr>
      <w:bookmarkStart w:id="1565" w:name="_Toc389729036"/>
      <w:bookmarkStart w:id="1566" w:name="_Toc403472745"/>
      <w:bookmarkStart w:id="1567" w:name="_Toc440879653"/>
      <w:bookmarkStart w:id="1568" w:name="_Toc440889966"/>
      <w:bookmarkStart w:id="1569" w:name="_Toc530563671"/>
      <w:r w:rsidRPr="00064185">
        <w:rPr>
          <w:lang w:val="en-GB"/>
        </w:rPr>
        <w:t>Organisms to be controlled and products, organisms or objects to be protected</w:t>
      </w:r>
      <w:bookmarkEnd w:id="1565"/>
      <w:bookmarkEnd w:id="1566"/>
      <w:bookmarkEnd w:id="1567"/>
      <w:bookmarkEnd w:id="1568"/>
      <w:bookmarkEnd w:id="1569"/>
    </w:p>
    <w:p w14:paraId="20D75E25" w14:textId="77777777" w:rsidR="00535FA6" w:rsidRPr="00064185" w:rsidRDefault="00535FA6" w:rsidP="00403806">
      <w:pPr>
        <w:spacing w:line="260" w:lineRule="atLeast"/>
        <w:jc w:val="both"/>
        <w:rPr>
          <w:szCs w:val="22"/>
        </w:rPr>
      </w:pPr>
      <w:r w:rsidRPr="00064185">
        <w:rPr>
          <w:rFonts w:eastAsia="Calibri"/>
          <w:iCs/>
          <w:lang w:eastAsia="en-US"/>
        </w:rPr>
        <w:t xml:space="preserve">Target organisms to be controlled are </w:t>
      </w:r>
      <w:r w:rsidRPr="00064185">
        <w:rPr>
          <w:szCs w:val="22"/>
        </w:rPr>
        <w:t>garden ants (</w:t>
      </w:r>
      <w:r w:rsidRPr="00064185">
        <w:rPr>
          <w:i/>
          <w:szCs w:val="22"/>
        </w:rPr>
        <w:t xml:space="preserve">Lasius </w:t>
      </w:r>
      <w:proofErr w:type="gramStart"/>
      <w:r w:rsidRPr="00064185">
        <w:rPr>
          <w:i/>
          <w:szCs w:val="22"/>
        </w:rPr>
        <w:t>niger</w:t>
      </w:r>
      <w:proofErr w:type="gramEnd"/>
      <w:r w:rsidRPr="00064185">
        <w:rPr>
          <w:szCs w:val="22"/>
        </w:rPr>
        <w:t>), silverfishes (</w:t>
      </w:r>
      <w:r w:rsidRPr="00064185">
        <w:rPr>
          <w:i/>
          <w:szCs w:val="22"/>
        </w:rPr>
        <w:t>Lepisma saccharina</w:t>
      </w:r>
      <w:r w:rsidRPr="00064185">
        <w:rPr>
          <w:szCs w:val="22"/>
        </w:rPr>
        <w:t>), wood lice (</w:t>
      </w:r>
      <w:r w:rsidRPr="00064185">
        <w:rPr>
          <w:i/>
          <w:szCs w:val="22"/>
        </w:rPr>
        <w:t>Porcellio scaber</w:t>
      </w:r>
      <w:r w:rsidRPr="00064185">
        <w:rPr>
          <w:szCs w:val="22"/>
        </w:rPr>
        <w:t>), cockroaches (</w:t>
      </w:r>
      <w:r w:rsidRPr="00064185">
        <w:rPr>
          <w:i/>
          <w:szCs w:val="22"/>
        </w:rPr>
        <w:t>Blattella germanica, Blatta orientalis, Periplaneta americana</w:t>
      </w:r>
      <w:r w:rsidRPr="00064185">
        <w:rPr>
          <w:szCs w:val="22"/>
        </w:rPr>
        <w:t>).</w:t>
      </w:r>
    </w:p>
    <w:p w14:paraId="01438631" w14:textId="77777777" w:rsidR="00535FA6" w:rsidRPr="00064185" w:rsidRDefault="00535FA6" w:rsidP="00EA61D8">
      <w:pPr>
        <w:spacing w:line="260" w:lineRule="atLeast"/>
        <w:ind w:left="360"/>
        <w:rPr>
          <w:szCs w:val="22"/>
        </w:rPr>
      </w:pPr>
    </w:p>
    <w:p w14:paraId="167FA3A0" w14:textId="3354504E" w:rsidR="00535FA6" w:rsidRPr="00064185" w:rsidRDefault="00535FA6" w:rsidP="00403806">
      <w:pPr>
        <w:spacing w:line="260" w:lineRule="atLeast"/>
        <w:jc w:val="both"/>
        <w:rPr>
          <w:szCs w:val="22"/>
        </w:rPr>
      </w:pPr>
      <w:r w:rsidRPr="00064185">
        <w:rPr>
          <w:szCs w:val="22"/>
        </w:rPr>
        <w:lastRenderedPageBreak/>
        <w:t>Organisms (to be protected) or treated materials</w:t>
      </w:r>
      <w:r w:rsidR="00CC0406" w:rsidRPr="00064185">
        <w:rPr>
          <w:szCs w:val="22"/>
        </w:rPr>
        <w:t>:</w:t>
      </w:r>
      <w:r w:rsidR="000D41C6" w:rsidRPr="00064185">
        <w:rPr>
          <w:szCs w:val="22"/>
        </w:rPr>
        <w:t xml:space="preserve"> </w:t>
      </w:r>
      <w:r w:rsidR="00066E75" w:rsidRPr="00064185">
        <w:rPr>
          <w:szCs w:val="22"/>
        </w:rPr>
        <w:t>Areas i</w:t>
      </w:r>
      <w:r w:rsidRPr="00064185">
        <w:rPr>
          <w:szCs w:val="22"/>
        </w:rPr>
        <w:t xml:space="preserve">n and around domestic </w:t>
      </w:r>
      <w:r w:rsidR="0049383C" w:rsidRPr="00064185">
        <w:rPr>
          <w:szCs w:val="22"/>
        </w:rPr>
        <w:t>buildings</w:t>
      </w:r>
      <w:r w:rsidR="00066E75" w:rsidRPr="00064185">
        <w:rPr>
          <w:szCs w:val="22"/>
        </w:rPr>
        <w:t>.</w:t>
      </w:r>
    </w:p>
    <w:p w14:paraId="22075D8A" w14:textId="77777777" w:rsidR="00681693" w:rsidRPr="00064185" w:rsidRDefault="00681693" w:rsidP="00403806">
      <w:pPr>
        <w:spacing w:line="260" w:lineRule="atLeast"/>
        <w:jc w:val="both"/>
        <w:rPr>
          <w:szCs w:val="22"/>
        </w:rPr>
      </w:pPr>
    </w:p>
    <w:p w14:paraId="39B4EFD8" w14:textId="77777777" w:rsidR="00535FA6" w:rsidRPr="00064185" w:rsidRDefault="00535FA6" w:rsidP="00403806">
      <w:pPr>
        <w:spacing w:line="260" w:lineRule="atLeast"/>
        <w:ind w:left="360"/>
        <w:jc w:val="both"/>
        <w:rPr>
          <w:szCs w:val="22"/>
        </w:rPr>
      </w:pPr>
    </w:p>
    <w:p w14:paraId="6D61F1B8" w14:textId="77777777" w:rsidR="00A53EE0" w:rsidRPr="00064185" w:rsidRDefault="00A53EE0" w:rsidP="00403806">
      <w:pPr>
        <w:pStyle w:val="berschrift4"/>
        <w:rPr>
          <w:lang w:val="en-GB"/>
        </w:rPr>
      </w:pPr>
      <w:bookmarkStart w:id="1570" w:name="_Toc389729037"/>
      <w:bookmarkStart w:id="1571" w:name="_Toc403472746"/>
      <w:bookmarkStart w:id="1572" w:name="_Toc440879654"/>
      <w:bookmarkStart w:id="1573" w:name="_Toc440889967"/>
      <w:bookmarkStart w:id="1574" w:name="_Toc530563672"/>
      <w:r w:rsidRPr="00064185">
        <w:rPr>
          <w:lang w:val="en-GB"/>
        </w:rPr>
        <w:t>Effects on target organisms, including unacceptable suffering</w:t>
      </w:r>
      <w:bookmarkEnd w:id="1570"/>
      <w:bookmarkEnd w:id="1571"/>
      <w:bookmarkEnd w:id="1572"/>
      <w:bookmarkEnd w:id="1573"/>
      <w:bookmarkEnd w:id="1574"/>
    </w:p>
    <w:p w14:paraId="3A9FB9B2" w14:textId="5D42FF5A" w:rsidR="00F51FCD" w:rsidRPr="00064185" w:rsidRDefault="00F51FCD" w:rsidP="00403806">
      <w:pPr>
        <w:spacing w:line="260" w:lineRule="atLeast"/>
        <w:jc w:val="both"/>
        <w:rPr>
          <w:rFonts w:eastAsia="Calibri"/>
          <w:iCs/>
          <w:lang w:eastAsia="en-US"/>
        </w:rPr>
      </w:pPr>
      <w:r w:rsidRPr="00064185">
        <w:rPr>
          <w:rFonts w:eastAsia="Calibri"/>
          <w:i/>
          <w:iCs/>
          <w:lang w:eastAsia="en-US"/>
        </w:rPr>
        <w:t>Lambda</w:t>
      </w:r>
      <w:r w:rsidRPr="00064185">
        <w:rPr>
          <w:rFonts w:eastAsia="Calibri"/>
          <w:iCs/>
          <w:lang w:eastAsia="en-US"/>
        </w:rPr>
        <w:t>-cyhalothrin may cause paralysis or death by disrupting the nervous system of insects</w:t>
      </w:r>
      <w:r w:rsidR="005D2515" w:rsidRPr="00064185">
        <w:rPr>
          <w:rFonts w:eastAsia="Calibri"/>
          <w:iCs/>
          <w:lang w:eastAsia="en-US"/>
        </w:rPr>
        <w:t>.</w:t>
      </w:r>
    </w:p>
    <w:p w14:paraId="29452902" w14:textId="77777777" w:rsidR="005D2515" w:rsidRPr="00064185" w:rsidRDefault="005D2515" w:rsidP="00403806">
      <w:pPr>
        <w:spacing w:line="260" w:lineRule="atLeast"/>
        <w:jc w:val="both"/>
        <w:rPr>
          <w:rFonts w:eastAsia="Calibri"/>
          <w:iCs/>
          <w:strike/>
          <w:lang w:eastAsia="en-US"/>
        </w:rPr>
      </w:pPr>
    </w:p>
    <w:p w14:paraId="1CA3B284" w14:textId="77777777" w:rsidR="00A53EE0" w:rsidRPr="00064185" w:rsidRDefault="00F51FCD" w:rsidP="00403806">
      <w:pPr>
        <w:spacing w:line="260" w:lineRule="atLeast"/>
        <w:jc w:val="both"/>
        <w:rPr>
          <w:rFonts w:eastAsia="Calibri"/>
          <w:iCs/>
          <w:lang w:eastAsia="en-US"/>
        </w:rPr>
      </w:pPr>
      <w:r w:rsidRPr="00064185">
        <w:rPr>
          <w:rFonts w:eastAsia="Calibri"/>
          <w:iCs/>
          <w:lang w:eastAsia="en-US"/>
        </w:rPr>
        <w:t>Regarding garden ants the effect does not appear immediately but after a few hours. Since</w:t>
      </w:r>
      <w:r w:rsidR="00E93DF3" w:rsidRPr="00064185">
        <w:rPr>
          <w:rFonts w:eastAsia="Calibri"/>
          <w:iCs/>
          <w:lang w:eastAsia="en-US"/>
        </w:rPr>
        <w:t xml:space="preserve"> </w:t>
      </w:r>
      <w:r w:rsidRPr="00064185">
        <w:rPr>
          <w:rFonts w:eastAsia="Calibri"/>
          <w:iCs/>
          <w:lang w:eastAsia="en-US"/>
        </w:rPr>
        <w:t>a great part of worker ants will not be able to transfer food to the nest colony after contamination, this will lead to nest killing within 2-3 weeks. Furthermore, ants which might be able to reach the nest with the microcapsules containing the active ingredient, adhered to their body, can contribute to nest killing.</w:t>
      </w:r>
    </w:p>
    <w:p w14:paraId="76137FF0" w14:textId="77777777" w:rsidR="00681693" w:rsidRPr="00064185" w:rsidRDefault="00681693" w:rsidP="00403806">
      <w:pPr>
        <w:spacing w:line="260" w:lineRule="atLeast"/>
        <w:jc w:val="both"/>
        <w:rPr>
          <w:rFonts w:eastAsia="Calibri"/>
          <w:iCs/>
          <w:lang w:eastAsia="en-US"/>
        </w:rPr>
      </w:pPr>
    </w:p>
    <w:p w14:paraId="4F04250E" w14:textId="77777777" w:rsidR="00A53EE0" w:rsidRPr="00064185" w:rsidRDefault="00A53EE0" w:rsidP="00403806">
      <w:pPr>
        <w:spacing w:line="260" w:lineRule="atLeast"/>
        <w:jc w:val="both"/>
        <w:rPr>
          <w:rFonts w:eastAsia="Calibri"/>
          <w:lang w:eastAsia="en-US"/>
        </w:rPr>
      </w:pPr>
    </w:p>
    <w:p w14:paraId="6D0E5F47" w14:textId="77777777" w:rsidR="00A53EE0" w:rsidRPr="00064185" w:rsidRDefault="00A53EE0" w:rsidP="00403806">
      <w:pPr>
        <w:pStyle w:val="berschrift4"/>
        <w:rPr>
          <w:lang w:val="en-GB"/>
        </w:rPr>
      </w:pPr>
      <w:bookmarkStart w:id="1575" w:name="_Toc389729038"/>
      <w:bookmarkStart w:id="1576" w:name="_Toc403472747"/>
      <w:bookmarkStart w:id="1577" w:name="_Toc440879655"/>
      <w:bookmarkStart w:id="1578" w:name="_Toc440889968"/>
      <w:bookmarkStart w:id="1579" w:name="_Toc530563673"/>
      <w:r w:rsidRPr="00064185">
        <w:rPr>
          <w:lang w:val="en-GB"/>
        </w:rPr>
        <w:t>Mode of action, including time delay</w:t>
      </w:r>
      <w:bookmarkEnd w:id="1575"/>
      <w:bookmarkEnd w:id="1576"/>
      <w:bookmarkEnd w:id="1577"/>
      <w:bookmarkEnd w:id="1578"/>
      <w:bookmarkEnd w:id="1579"/>
    </w:p>
    <w:p w14:paraId="54A58740" w14:textId="1E43B59F" w:rsidR="00CD06D4" w:rsidRPr="00064185" w:rsidRDefault="00284828" w:rsidP="00403806">
      <w:pPr>
        <w:jc w:val="both"/>
      </w:pPr>
      <w:r w:rsidRPr="00064185">
        <w:rPr>
          <w:i/>
        </w:rPr>
        <w:t>Lambda</w:t>
      </w:r>
      <w:r w:rsidRPr="00064185">
        <w:t xml:space="preserve">-cyhalothrin belongs to a class of insecticides known as synthetic pyrethroids. </w:t>
      </w:r>
      <w:r w:rsidRPr="00064185">
        <w:rPr>
          <w:i/>
        </w:rPr>
        <w:t>Lambda</w:t>
      </w:r>
      <w:r w:rsidRPr="00064185">
        <w:t>-cyhalothrin</w:t>
      </w:r>
      <w:r w:rsidR="00CD06D4" w:rsidRPr="00064185">
        <w:t>,</w:t>
      </w:r>
      <w:r w:rsidRPr="00064185">
        <w:t xml:space="preserve"> as other pyrethroids</w:t>
      </w:r>
      <w:r w:rsidR="00CD06D4" w:rsidRPr="00064185">
        <w:t>,</w:t>
      </w:r>
      <w:r w:rsidRPr="00064185">
        <w:t xml:space="preserve"> acts as a sodium channel modulator. By disrupting the nervous system of insects, </w:t>
      </w:r>
      <w:r w:rsidRPr="00064185">
        <w:rPr>
          <w:i/>
        </w:rPr>
        <w:t>lambda</w:t>
      </w:r>
      <w:r w:rsidRPr="00064185">
        <w:t>-cyhalothrin may cause paralysis or death.</w:t>
      </w:r>
    </w:p>
    <w:p w14:paraId="11F3B775" w14:textId="1B230781" w:rsidR="00F40F60" w:rsidRPr="00064185" w:rsidRDefault="00284828" w:rsidP="00403806">
      <w:pPr>
        <w:jc w:val="both"/>
      </w:pPr>
      <w:r w:rsidRPr="00064185">
        <w:t>Due to the microencapsulation of the active substance, the product is intended to be released only upon contact and ingestion by the target organism</w:t>
      </w:r>
      <w:bookmarkStart w:id="1580" w:name="_Toc389729039"/>
      <w:bookmarkStart w:id="1581" w:name="_Toc403472748"/>
      <w:bookmarkStart w:id="1582" w:name="_Toc440879656"/>
      <w:bookmarkStart w:id="1583" w:name="_Toc440889969"/>
      <w:r w:rsidR="00F40F60" w:rsidRPr="00064185">
        <w:t>.</w:t>
      </w:r>
    </w:p>
    <w:p w14:paraId="7B47EC43" w14:textId="77777777" w:rsidR="00670125" w:rsidRPr="00064185" w:rsidRDefault="00670125" w:rsidP="00403806">
      <w:pPr>
        <w:jc w:val="both"/>
      </w:pPr>
    </w:p>
    <w:p w14:paraId="19C53B57" w14:textId="37EEF778" w:rsidR="00670125" w:rsidRPr="00064185" w:rsidRDefault="00670125" w:rsidP="00EA61D8"/>
    <w:p w14:paraId="007A4AE4" w14:textId="59674E23" w:rsidR="00F40F60" w:rsidRPr="00064185" w:rsidRDefault="00670125" w:rsidP="00EA61D8">
      <w:pPr>
        <w:pStyle w:val="berschrift4"/>
        <w:jc w:val="left"/>
      </w:pPr>
      <w:bookmarkStart w:id="1584" w:name="_Toc417021844"/>
      <w:bookmarkStart w:id="1585" w:name="_Toc530563674"/>
      <w:r w:rsidRPr="00064185">
        <w:t>Efficacy data</w:t>
      </w:r>
      <w:bookmarkEnd w:id="1584"/>
      <w:bookmarkEnd w:id="1585"/>
      <w:r w:rsidRPr="00064185">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09"/>
        <w:gridCol w:w="1322"/>
        <w:gridCol w:w="1746"/>
        <w:gridCol w:w="8269"/>
        <w:gridCol w:w="1047"/>
      </w:tblGrid>
      <w:tr w:rsidR="00064185" w:rsidRPr="00064185" w14:paraId="511D8676" w14:textId="77777777" w:rsidTr="007C3492">
        <w:trPr>
          <w:trHeight w:val="303"/>
        </w:trPr>
        <w:tc>
          <w:tcPr>
            <w:tcW w:w="5000" w:type="pct"/>
            <w:gridSpan w:val="5"/>
            <w:shd w:val="clear" w:color="auto" w:fill="FFFFCC"/>
            <w:vAlign w:val="center"/>
          </w:tcPr>
          <w:bookmarkEnd w:id="1580"/>
          <w:bookmarkEnd w:id="1581"/>
          <w:bookmarkEnd w:id="1582"/>
          <w:bookmarkEnd w:id="1583"/>
          <w:p w14:paraId="6E97D043" w14:textId="77777777" w:rsidR="007C3492" w:rsidRPr="00064185" w:rsidRDefault="007C3492" w:rsidP="00EA61D8">
            <w:pPr>
              <w:rPr>
                <w:b/>
                <w:sz w:val="16"/>
                <w:szCs w:val="16"/>
              </w:rPr>
            </w:pPr>
            <w:r w:rsidRPr="00064185">
              <w:rPr>
                <w:b/>
                <w:sz w:val="16"/>
                <w:szCs w:val="16"/>
              </w:rPr>
              <w:t>Experimental data on the efficacy of the biocidal product against target organism(s)</w:t>
            </w:r>
          </w:p>
        </w:tc>
      </w:tr>
      <w:tr w:rsidR="00064185" w:rsidRPr="00064185" w14:paraId="1DF6D2F7" w14:textId="77777777" w:rsidTr="0070745E">
        <w:tc>
          <w:tcPr>
            <w:tcW w:w="411" w:type="pct"/>
            <w:shd w:val="clear" w:color="auto" w:fill="FFFFFF"/>
          </w:tcPr>
          <w:p w14:paraId="74BC4670" w14:textId="77777777" w:rsidR="007C3492" w:rsidRPr="00064185" w:rsidRDefault="007C3492" w:rsidP="00EA61D8">
            <w:pPr>
              <w:rPr>
                <w:b/>
                <w:i/>
                <w:sz w:val="16"/>
                <w:szCs w:val="16"/>
              </w:rPr>
            </w:pPr>
            <w:r w:rsidRPr="00064185">
              <w:rPr>
                <w:b/>
                <w:sz w:val="16"/>
                <w:szCs w:val="16"/>
              </w:rPr>
              <w:t>Test substance</w:t>
            </w:r>
          </w:p>
        </w:tc>
        <w:tc>
          <w:tcPr>
            <w:tcW w:w="490" w:type="pct"/>
            <w:shd w:val="clear" w:color="auto" w:fill="FFFFFF"/>
          </w:tcPr>
          <w:p w14:paraId="75E73444" w14:textId="77777777" w:rsidR="007C3492" w:rsidRPr="00064185" w:rsidRDefault="007C3492" w:rsidP="00EA61D8">
            <w:pPr>
              <w:rPr>
                <w:b/>
                <w:i/>
                <w:sz w:val="16"/>
                <w:szCs w:val="16"/>
              </w:rPr>
            </w:pPr>
            <w:r w:rsidRPr="00064185">
              <w:rPr>
                <w:b/>
                <w:sz w:val="16"/>
                <w:szCs w:val="16"/>
              </w:rPr>
              <w:t>Test organism(s)</w:t>
            </w:r>
          </w:p>
        </w:tc>
        <w:tc>
          <w:tcPr>
            <w:tcW w:w="647" w:type="pct"/>
            <w:shd w:val="clear" w:color="auto" w:fill="FFFFFF"/>
          </w:tcPr>
          <w:p w14:paraId="41CCFF07" w14:textId="77777777" w:rsidR="007C3492" w:rsidRPr="00064185" w:rsidRDefault="007C3492" w:rsidP="00EA61D8">
            <w:pPr>
              <w:rPr>
                <w:b/>
                <w:sz w:val="16"/>
                <w:szCs w:val="16"/>
              </w:rPr>
            </w:pPr>
            <w:r w:rsidRPr="00064185">
              <w:rPr>
                <w:b/>
                <w:sz w:val="16"/>
                <w:szCs w:val="16"/>
              </w:rPr>
              <w:t>Test system / concentrations applied / exposure time</w:t>
            </w:r>
          </w:p>
        </w:tc>
        <w:tc>
          <w:tcPr>
            <w:tcW w:w="3064" w:type="pct"/>
            <w:shd w:val="clear" w:color="auto" w:fill="FFFFFF"/>
          </w:tcPr>
          <w:p w14:paraId="70607FCA" w14:textId="77777777" w:rsidR="007C3492" w:rsidRPr="00064185" w:rsidRDefault="007C3492" w:rsidP="00EA61D8">
            <w:pPr>
              <w:rPr>
                <w:b/>
                <w:sz w:val="16"/>
                <w:szCs w:val="16"/>
              </w:rPr>
            </w:pPr>
            <w:r w:rsidRPr="00064185">
              <w:rPr>
                <w:b/>
                <w:sz w:val="16"/>
                <w:szCs w:val="16"/>
              </w:rPr>
              <w:t>Test results: effects</w:t>
            </w:r>
          </w:p>
        </w:tc>
        <w:tc>
          <w:tcPr>
            <w:tcW w:w="388" w:type="pct"/>
            <w:shd w:val="clear" w:color="auto" w:fill="FFFFFF"/>
          </w:tcPr>
          <w:p w14:paraId="411356D4" w14:textId="77777777" w:rsidR="007C3492" w:rsidRPr="00064185" w:rsidRDefault="007C3492" w:rsidP="00EA61D8">
            <w:pPr>
              <w:rPr>
                <w:b/>
                <w:sz w:val="16"/>
                <w:szCs w:val="16"/>
              </w:rPr>
            </w:pPr>
            <w:r w:rsidRPr="00064185">
              <w:rPr>
                <w:b/>
                <w:sz w:val="16"/>
                <w:szCs w:val="16"/>
              </w:rPr>
              <w:t>Reference</w:t>
            </w:r>
          </w:p>
        </w:tc>
      </w:tr>
      <w:tr w:rsidR="007C3492" w:rsidRPr="00064185" w14:paraId="28DEFE95" w14:textId="77777777" w:rsidTr="0070745E">
        <w:tc>
          <w:tcPr>
            <w:tcW w:w="411" w:type="pct"/>
          </w:tcPr>
          <w:p w14:paraId="2108204E" w14:textId="77777777" w:rsidR="007C3492" w:rsidRPr="00064185" w:rsidRDefault="00921C43" w:rsidP="00EA61D8">
            <w:pPr>
              <w:rPr>
                <w:sz w:val="16"/>
                <w:szCs w:val="16"/>
                <w:lang w:val="it-IT"/>
              </w:rPr>
            </w:pPr>
            <w:r w:rsidRPr="00064185">
              <w:rPr>
                <w:sz w:val="16"/>
                <w:szCs w:val="16"/>
                <w:lang w:val="it-IT"/>
              </w:rPr>
              <w:t xml:space="preserve">COM 116 02 I AL, </w:t>
            </w:r>
            <w:proofErr w:type="gramStart"/>
            <w:r w:rsidRPr="00064185">
              <w:rPr>
                <w:sz w:val="16"/>
                <w:szCs w:val="16"/>
                <w:lang w:val="it-IT"/>
              </w:rPr>
              <w:t>0.5</w:t>
            </w:r>
            <w:proofErr w:type="gramEnd"/>
            <w:r w:rsidRPr="00064185">
              <w:rPr>
                <w:sz w:val="16"/>
                <w:szCs w:val="16"/>
                <w:lang w:val="it-IT"/>
              </w:rPr>
              <w:t xml:space="preserve"> g/l</w:t>
            </w:r>
            <w:r w:rsidR="007C3492" w:rsidRPr="00064185">
              <w:rPr>
                <w:sz w:val="16"/>
                <w:szCs w:val="16"/>
                <w:lang w:val="it-IT"/>
              </w:rPr>
              <w:t xml:space="preserve"> </w:t>
            </w:r>
            <w:r w:rsidR="007C3492" w:rsidRPr="00064185">
              <w:rPr>
                <w:i/>
                <w:sz w:val="16"/>
                <w:szCs w:val="16"/>
                <w:lang w:val="it-IT"/>
              </w:rPr>
              <w:t>lambda</w:t>
            </w:r>
            <w:r w:rsidR="007C3492" w:rsidRPr="00064185">
              <w:rPr>
                <w:sz w:val="16"/>
                <w:szCs w:val="16"/>
                <w:lang w:val="it-IT"/>
              </w:rPr>
              <w:t>-cyalothrin</w:t>
            </w:r>
          </w:p>
        </w:tc>
        <w:tc>
          <w:tcPr>
            <w:tcW w:w="490" w:type="pct"/>
          </w:tcPr>
          <w:p w14:paraId="4FCC0A41" w14:textId="77777777" w:rsidR="007C3492" w:rsidRPr="00064185" w:rsidRDefault="007C3492" w:rsidP="00EA61D8">
            <w:pPr>
              <w:rPr>
                <w:sz w:val="16"/>
                <w:szCs w:val="16"/>
                <w:u w:val="single"/>
              </w:rPr>
            </w:pPr>
            <w:r w:rsidRPr="00064185">
              <w:rPr>
                <w:sz w:val="16"/>
                <w:szCs w:val="16"/>
                <w:u w:val="single"/>
              </w:rPr>
              <w:t>Insects:</w:t>
            </w:r>
          </w:p>
          <w:p w14:paraId="61B2491C" w14:textId="77777777" w:rsidR="007C3492" w:rsidRPr="00064185" w:rsidRDefault="007C3492" w:rsidP="00EA61D8">
            <w:pPr>
              <w:rPr>
                <w:i/>
                <w:sz w:val="16"/>
                <w:szCs w:val="16"/>
              </w:rPr>
            </w:pPr>
            <w:r w:rsidRPr="00064185">
              <w:rPr>
                <w:i/>
                <w:sz w:val="16"/>
                <w:szCs w:val="16"/>
              </w:rPr>
              <w:t>Lasius niger</w:t>
            </w:r>
          </w:p>
        </w:tc>
        <w:tc>
          <w:tcPr>
            <w:tcW w:w="647" w:type="pct"/>
          </w:tcPr>
          <w:p w14:paraId="0FABADC9" w14:textId="77777777" w:rsidR="007C3492" w:rsidRPr="00064185" w:rsidRDefault="007C3492" w:rsidP="00EA61D8">
            <w:pPr>
              <w:rPr>
                <w:sz w:val="16"/>
                <w:szCs w:val="16"/>
              </w:rPr>
            </w:pPr>
            <w:r w:rsidRPr="00064185">
              <w:rPr>
                <w:sz w:val="16"/>
                <w:szCs w:val="16"/>
              </w:rPr>
              <w:t xml:space="preserve">Field tests (exposure time 21 days) of the efficacy of different experimental products intended to control ants in garden and house environment were </w:t>
            </w:r>
            <w:r w:rsidRPr="00064185">
              <w:rPr>
                <w:sz w:val="16"/>
                <w:szCs w:val="16"/>
              </w:rPr>
              <w:lastRenderedPageBreak/>
              <w:t>conducted.</w:t>
            </w:r>
          </w:p>
          <w:p w14:paraId="4836C01A" w14:textId="77777777" w:rsidR="007C3492" w:rsidRPr="00064185" w:rsidRDefault="007C3492" w:rsidP="00EA61D8">
            <w:pPr>
              <w:rPr>
                <w:sz w:val="16"/>
                <w:szCs w:val="16"/>
              </w:rPr>
            </w:pPr>
            <w:r w:rsidRPr="00064185">
              <w:rPr>
                <w:sz w:val="16"/>
                <w:szCs w:val="16"/>
              </w:rPr>
              <w:t>Nests were found in large meadows in 6 fields in the country or private gardens with no human intervention during the trial.</w:t>
            </w:r>
          </w:p>
          <w:p w14:paraId="7774753E" w14:textId="77777777" w:rsidR="007C3492" w:rsidRPr="00064185" w:rsidRDefault="007C3492" w:rsidP="00EA61D8">
            <w:pPr>
              <w:rPr>
                <w:sz w:val="16"/>
                <w:szCs w:val="16"/>
              </w:rPr>
            </w:pPr>
            <w:r w:rsidRPr="00064185">
              <w:rPr>
                <w:sz w:val="16"/>
                <w:szCs w:val="16"/>
              </w:rPr>
              <w:t>Experimental design: 3 untreated nests, 3 nests treated with each experimental factor.</w:t>
            </w:r>
          </w:p>
          <w:p w14:paraId="49C2B685" w14:textId="77777777" w:rsidR="007C3492" w:rsidRPr="00064185" w:rsidRDefault="007C3492" w:rsidP="00EA61D8">
            <w:pPr>
              <w:rPr>
                <w:sz w:val="16"/>
                <w:szCs w:val="16"/>
              </w:rPr>
            </w:pPr>
            <w:r w:rsidRPr="00064185">
              <w:rPr>
                <w:sz w:val="16"/>
                <w:szCs w:val="16"/>
              </w:rPr>
              <w:t>Register of temperature during the trial are given in the report.</w:t>
            </w:r>
          </w:p>
          <w:p w14:paraId="4DE0F4D7" w14:textId="77777777" w:rsidR="007C3492" w:rsidRPr="00064185" w:rsidRDefault="00921C43" w:rsidP="00EA61D8">
            <w:pPr>
              <w:rPr>
                <w:sz w:val="16"/>
                <w:szCs w:val="16"/>
              </w:rPr>
            </w:pPr>
            <w:r w:rsidRPr="00064185">
              <w:rPr>
                <w:sz w:val="16"/>
                <w:szCs w:val="16"/>
              </w:rPr>
              <w:t>0.5 g/l a.s</w:t>
            </w:r>
            <w:r w:rsidR="007C3492" w:rsidRPr="00064185">
              <w:rPr>
                <w:sz w:val="16"/>
                <w:szCs w:val="16"/>
              </w:rPr>
              <w:t xml:space="preserve">. </w:t>
            </w:r>
          </w:p>
          <w:p w14:paraId="4A1DC4DB" w14:textId="77777777" w:rsidR="007C3492" w:rsidRPr="00064185" w:rsidRDefault="007C3492" w:rsidP="00EA61D8">
            <w:pPr>
              <w:rPr>
                <w:sz w:val="16"/>
                <w:szCs w:val="16"/>
              </w:rPr>
            </w:pPr>
            <w:r w:rsidRPr="00064185">
              <w:rPr>
                <w:sz w:val="16"/>
                <w:szCs w:val="16"/>
              </w:rPr>
              <w:t>(</w:t>
            </w:r>
            <w:r w:rsidRPr="00064185">
              <w:rPr>
                <w:i/>
                <w:sz w:val="16"/>
                <w:szCs w:val="16"/>
              </w:rPr>
              <w:t>lambda</w:t>
            </w:r>
            <w:r w:rsidRPr="00064185">
              <w:rPr>
                <w:sz w:val="16"/>
                <w:szCs w:val="16"/>
              </w:rPr>
              <w:t>-cyhalothrin)</w:t>
            </w:r>
          </w:p>
        </w:tc>
        <w:tc>
          <w:tcPr>
            <w:tcW w:w="3064" w:type="pct"/>
          </w:tcPr>
          <w:p w14:paraId="7315DCD9" w14:textId="77777777" w:rsidR="007C3492" w:rsidRPr="00064185" w:rsidRDefault="007C3492" w:rsidP="00EA61D8">
            <w:pPr>
              <w:rPr>
                <w:sz w:val="16"/>
                <w:szCs w:val="16"/>
              </w:rPr>
            </w:pPr>
            <w:r w:rsidRPr="00064185">
              <w:rPr>
                <w:sz w:val="16"/>
                <w:szCs w:val="16"/>
              </w:rPr>
              <w:lastRenderedPageBreak/>
              <w:t>% reductions of the frequency of ants in surface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659"/>
              <w:gridCol w:w="840"/>
              <w:gridCol w:w="840"/>
              <w:gridCol w:w="728"/>
            </w:tblGrid>
            <w:tr w:rsidR="00064185" w:rsidRPr="00064185" w14:paraId="2DB533F5" w14:textId="77777777" w:rsidTr="008F40BA">
              <w:trPr>
                <w:trHeight w:val="323"/>
              </w:trPr>
              <w:tc>
                <w:tcPr>
                  <w:tcW w:w="3222" w:type="dxa"/>
                  <w:shd w:val="clear" w:color="auto" w:fill="auto"/>
                </w:tcPr>
                <w:p w14:paraId="28C66220" w14:textId="77777777" w:rsidR="007C3492" w:rsidRPr="00064185" w:rsidRDefault="007C3492" w:rsidP="00EA61D8">
                  <w:pPr>
                    <w:rPr>
                      <w:b/>
                      <w:sz w:val="16"/>
                      <w:szCs w:val="16"/>
                    </w:rPr>
                  </w:pPr>
                </w:p>
              </w:tc>
              <w:tc>
                <w:tcPr>
                  <w:tcW w:w="659" w:type="dxa"/>
                  <w:shd w:val="clear" w:color="auto" w:fill="auto"/>
                </w:tcPr>
                <w:p w14:paraId="5DAF31AD" w14:textId="77777777" w:rsidR="007C3492" w:rsidRPr="00064185" w:rsidRDefault="007C3492" w:rsidP="00EA61D8">
                  <w:pPr>
                    <w:rPr>
                      <w:b/>
                      <w:sz w:val="16"/>
                      <w:szCs w:val="16"/>
                    </w:rPr>
                  </w:pPr>
                  <w:r w:rsidRPr="00064185">
                    <w:rPr>
                      <w:b/>
                      <w:sz w:val="16"/>
                      <w:szCs w:val="16"/>
                    </w:rPr>
                    <w:t>+2 D</w:t>
                  </w:r>
                </w:p>
              </w:tc>
              <w:tc>
                <w:tcPr>
                  <w:tcW w:w="840" w:type="dxa"/>
                  <w:shd w:val="clear" w:color="auto" w:fill="auto"/>
                </w:tcPr>
                <w:p w14:paraId="2511A1B3" w14:textId="77777777" w:rsidR="007C3492" w:rsidRPr="00064185" w:rsidRDefault="007C3492" w:rsidP="00EA61D8">
                  <w:pPr>
                    <w:rPr>
                      <w:b/>
                      <w:sz w:val="16"/>
                      <w:szCs w:val="16"/>
                    </w:rPr>
                  </w:pPr>
                  <w:r w:rsidRPr="00064185">
                    <w:rPr>
                      <w:b/>
                      <w:sz w:val="16"/>
                      <w:szCs w:val="16"/>
                    </w:rPr>
                    <w:t>+7 D</w:t>
                  </w:r>
                </w:p>
              </w:tc>
              <w:tc>
                <w:tcPr>
                  <w:tcW w:w="840" w:type="dxa"/>
                  <w:shd w:val="clear" w:color="auto" w:fill="auto"/>
                </w:tcPr>
                <w:p w14:paraId="3075206D" w14:textId="77777777" w:rsidR="007C3492" w:rsidRPr="00064185" w:rsidRDefault="007C3492" w:rsidP="00EA61D8">
                  <w:pPr>
                    <w:rPr>
                      <w:b/>
                      <w:sz w:val="16"/>
                      <w:szCs w:val="16"/>
                    </w:rPr>
                  </w:pPr>
                  <w:r w:rsidRPr="00064185">
                    <w:rPr>
                      <w:b/>
                      <w:sz w:val="16"/>
                      <w:szCs w:val="16"/>
                    </w:rPr>
                    <w:t>+14 D</w:t>
                  </w:r>
                </w:p>
              </w:tc>
              <w:tc>
                <w:tcPr>
                  <w:tcW w:w="728" w:type="dxa"/>
                  <w:shd w:val="clear" w:color="auto" w:fill="auto"/>
                </w:tcPr>
                <w:p w14:paraId="1869CB9E" w14:textId="77777777" w:rsidR="007C3492" w:rsidRPr="00064185" w:rsidRDefault="007C3492" w:rsidP="00EA61D8">
                  <w:pPr>
                    <w:rPr>
                      <w:b/>
                      <w:sz w:val="16"/>
                      <w:szCs w:val="16"/>
                    </w:rPr>
                  </w:pPr>
                  <w:r w:rsidRPr="00064185">
                    <w:rPr>
                      <w:b/>
                      <w:sz w:val="16"/>
                      <w:szCs w:val="16"/>
                    </w:rPr>
                    <w:t>+21 D</w:t>
                  </w:r>
                </w:p>
              </w:tc>
            </w:tr>
            <w:tr w:rsidR="00064185" w:rsidRPr="00064185" w14:paraId="35852E63" w14:textId="77777777" w:rsidTr="008F40BA">
              <w:trPr>
                <w:trHeight w:val="323"/>
              </w:trPr>
              <w:tc>
                <w:tcPr>
                  <w:tcW w:w="3222" w:type="dxa"/>
                  <w:shd w:val="clear" w:color="auto" w:fill="auto"/>
                </w:tcPr>
                <w:p w14:paraId="1B970364" w14:textId="77777777" w:rsidR="007C3492" w:rsidRPr="00064185" w:rsidRDefault="007C3492" w:rsidP="00EA61D8">
                  <w:pPr>
                    <w:rPr>
                      <w:sz w:val="16"/>
                      <w:szCs w:val="16"/>
                    </w:rPr>
                  </w:pPr>
                  <w:r w:rsidRPr="00064185">
                    <w:rPr>
                      <w:sz w:val="16"/>
                      <w:szCs w:val="16"/>
                    </w:rPr>
                    <w:t>Untreated</w:t>
                  </w:r>
                </w:p>
              </w:tc>
              <w:tc>
                <w:tcPr>
                  <w:tcW w:w="659" w:type="dxa"/>
                  <w:shd w:val="clear" w:color="auto" w:fill="auto"/>
                </w:tcPr>
                <w:p w14:paraId="0B69CE73" w14:textId="77777777" w:rsidR="007C3492" w:rsidRPr="00064185" w:rsidRDefault="007C3492" w:rsidP="00EA61D8">
                  <w:pPr>
                    <w:rPr>
                      <w:sz w:val="16"/>
                      <w:szCs w:val="16"/>
                    </w:rPr>
                  </w:pPr>
                  <w:r w:rsidRPr="00064185">
                    <w:rPr>
                      <w:sz w:val="16"/>
                      <w:szCs w:val="16"/>
                    </w:rPr>
                    <w:t>-9.8</w:t>
                  </w:r>
                </w:p>
              </w:tc>
              <w:tc>
                <w:tcPr>
                  <w:tcW w:w="840" w:type="dxa"/>
                  <w:shd w:val="clear" w:color="auto" w:fill="auto"/>
                </w:tcPr>
                <w:p w14:paraId="7521D150" w14:textId="77777777" w:rsidR="007C3492" w:rsidRPr="00064185" w:rsidRDefault="007C3492" w:rsidP="00EA61D8">
                  <w:pPr>
                    <w:rPr>
                      <w:sz w:val="16"/>
                      <w:szCs w:val="16"/>
                    </w:rPr>
                  </w:pPr>
                  <w:r w:rsidRPr="00064185">
                    <w:rPr>
                      <w:sz w:val="16"/>
                      <w:szCs w:val="16"/>
                    </w:rPr>
                    <w:t>23.2</w:t>
                  </w:r>
                </w:p>
              </w:tc>
              <w:tc>
                <w:tcPr>
                  <w:tcW w:w="840" w:type="dxa"/>
                  <w:shd w:val="clear" w:color="auto" w:fill="auto"/>
                </w:tcPr>
                <w:p w14:paraId="2D67EB77" w14:textId="77777777" w:rsidR="007C3492" w:rsidRPr="00064185" w:rsidRDefault="007C3492" w:rsidP="00EA61D8">
                  <w:pPr>
                    <w:rPr>
                      <w:sz w:val="16"/>
                      <w:szCs w:val="16"/>
                    </w:rPr>
                  </w:pPr>
                  <w:r w:rsidRPr="00064185">
                    <w:rPr>
                      <w:sz w:val="16"/>
                      <w:szCs w:val="16"/>
                    </w:rPr>
                    <w:t>-8.8</w:t>
                  </w:r>
                </w:p>
              </w:tc>
              <w:tc>
                <w:tcPr>
                  <w:tcW w:w="728" w:type="dxa"/>
                  <w:shd w:val="clear" w:color="auto" w:fill="auto"/>
                </w:tcPr>
                <w:p w14:paraId="06C10262" w14:textId="77777777" w:rsidR="007C3492" w:rsidRPr="00064185" w:rsidRDefault="007C3492" w:rsidP="00EA61D8">
                  <w:pPr>
                    <w:rPr>
                      <w:sz w:val="16"/>
                      <w:szCs w:val="16"/>
                    </w:rPr>
                  </w:pPr>
                  <w:r w:rsidRPr="00064185">
                    <w:rPr>
                      <w:sz w:val="16"/>
                      <w:szCs w:val="16"/>
                    </w:rPr>
                    <w:t>-10.1</w:t>
                  </w:r>
                </w:p>
              </w:tc>
            </w:tr>
            <w:tr w:rsidR="00064185" w:rsidRPr="00064185" w14:paraId="289082E1" w14:textId="77777777" w:rsidTr="008F40BA">
              <w:trPr>
                <w:trHeight w:val="311"/>
              </w:trPr>
              <w:tc>
                <w:tcPr>
                  <w:tcW w:w="3222" w:type="dxa"/>
                  <w:shd w:val="clear" w:color="auto" w:fill="auto"/>
                </w:tcPr>
                <w:p w14:paraId="51515C10" w14:textId="77777777" w:rsidR="007C3492" w:rsidRPr="00064185" w:rsidRDefault="007C3492" w:rsidP="00EA61D8">
                  <w:pPr>
                    <w:rPr>
                      <w:sz w:val="16"/>
                      <w:szCs w:val="16"/>
                    </w:rPr>
                  </w:pPr>
                  <w:r w:rsidRPr="00064185">
                    <w:rPr>
                      <w:sz w:val="16"/>
                      <w:szCs w:val="16"/>
                    </w:rPr>
                    <w:t>COM 116 02 I AL spray</w:t>
                  </w:r>
                </w:p>
              </w:tc>
              <w:tc>
                <w:tcPr>
                  <w:tcW w:w="659" w:type="dxa"/>
                  <w:shd w:val="clear" w:color="auto" w:fill="auto"/>
                </w:tcPr>
                <w:p w14:paraId="3945B252" w14:textId="77777777" w:rsidR="007C3492" w:rsidRPr="00064185" w:rsidRDefault="007C3492" w:rsidP="00EA61D8">
                  <w:pPr>
                    <w:rPr>
                      <w:sz w:val="16"/>
                      <w:szCs w:val="16"/>
                    </w:rPr>
                  </w:pPr>
                  <w:r w:rsidRPr="00064185">
                    <w:rPr>
                      <w:sz w:val="16"/>
                      <w:szCs w:val="16"/>
                    </w:rPr>
                    <w:t>66.9</w:t>
                  </w:r>
                </w:p>
              </w:tc>
              <w:tc>
                <w:tcPr>
                  <w:tcW w:w="840" w:type="dxa"/>
                  <w:shd w:val="clear" w:color="auto" w:fill="auto"/>
                </w:tcPr>
                <w:p w14:paraId="41D6CBD4" w14:textId="77777777" w:rsidR="007C3492" w:rsidRPr="00064185" w:rsidRDefault="007C3492" w:rsidP="00EA61D8">
                  <w:pPr>
                    <w:rPr>
                      <w:sz w:val="16"/>
                      <w:szCs w:val="16"/>
                    </w:rPr>
                  </w:pPr>
                  <w:r w:rsidRPr="00064185">
                    <w:rPr>
                      <w:sz w:val="16"/>
                      <w:szCs w:val="16"/>
                    </w:rPr>
                    <w:t>90.7</w:t>
                  </w:r>
                </w:p>
              </w:tc>
              <w:tc>
                <w:tcPr>
                  <w:tcW w:w="840" w:type="dxa"/>
                  <w:shd w:val="clear" w:color="auto" w:fill="auto"/>
                </w:tcPr>
                <w:p w14:paraId="68566E43" w14:textId="77777777" w:rsidR="007C3492" w:rsidRPr="00064185" w:rsidRDefault="007C3492" w:rsidP="00EA61D8">
                  <w:pPr>
                    <w:rPr>
                      <w:sz w:val="16"/>
                      <w:szCs w:val="16"/>
                    </w:rPr>
                  </w:pPr>
                  <w:r w:rsidRPr="00064185">
                    <w:rPr>
                      <w:sz w:val="16"/>
                      <w:szCs w:val="16"/>
                    </w:rPr>
                    <w:t>98.9</w:t>
                  </w:r>
                </w:p>
              </w:tc>
              <w:tc>
                <w:tcPr>
                  <w:tcW w:w="728" w:type="dxa"/>
                  <w:shd w:val="clear" w:color="auto" w:fill="auto"/>
                </w:tcPr>
                <w:p w14:paraId="56D0EFE8" w14:textId="77777777" w:rsidR="007C3492" w:rsidRPr="00064185" w:rsidRDefault="007C3492" w:rsidP="00EA61D8">
                  <w:pPr>
                    <w:rPr>
                      <w:sz w:val="16"/>
                      <w:szCs w:val="16"/>
                    </w:rPr>
                  </w:pPr>
                  <w:r w:rsidRPr="00064185">
                    <w:rPr>
                      <w:sz w:val="16"/>
                      <w:szCs w:val="16"/>
                    </w:rPr>
                    <w:t>100</w:t>
                  </w:r>
                </w:p>
              </w:tc>
            </w:tr>
            <w:tr w:rsidR="00064185" w:rsidRPr="00064185" w14:paraId="576E92C5" w14:textId="77777777" w:rsidTr="008F40BA">
              <w:trPr>
                <w:trHeight w:val="565"/>
              </w:trPr>
              <w:tc>
                <w:tcPr>
                  <w:tcW w:w="3222" w:type="dxa"/>
                  <w:shd w:val="clear" w:color="auto" w:fill="auto"/>
                </w:tcPr>
                <w:p w14:paraId="4AF9C548" w14:textId="77777777" w:rsidR="007C3492" w:rsidRPr="00064185" w:rsidRDefault="007C3492" w:rsidP="00EA61D8">
                  <w:pPr>
                    <w:rPr>
                      <w:sz w:val="16"/>
                      <w:szCs w:val="16"/>
                    </w:rPr>
                  </w:pPr>
                  <w:r w:rsidRPr="00064185">
                    <w:rPr>
                      <w:sz w:val="16"/>
                      <w:szCs w:val="16"/>
                    </w:rPr>
                    <w:t>Standard AFOURMI SG “strewing”</w:t>
                  </w:r>
                </w:p>
              </w:tc>
              <w:tc>
                <w:tcPr>
                  <w:tcW w:w="659" w:type="dxa"/>
                  <w:shd w:val="clear" w:color="auto" w:fill="auto"/>
                </w:tcPr>
                <w:p w14:paraId="6B12494C" w14:textId="77777777" w:rsidR="007C3492" w:rsidRPr="00064185" w:rsidRDefault="007C3492" w:rsidP="00EA61D8">
                  <w:pPr>
                    <w:rPr>
                      <w:sz w:val="16"/>
                      <w:szCs w:val="16"/>
                    </w:rPr>
                  </w:pPr>
                  <w:r w:rsidRPr="00064185">
                    <w:rPr>
                      <w:sz w:val="16"/>
                      <w:szCs w:val="16"/>
                    </w:rPr>
                    <w:t>78.9</w:t>
                  </w:r>
                </w:p>
              </w:tc>
              <w:tc>
                <w:tcPr>
                  <w:tcW w:w="840" w:type="dxa"/>
                  <w:shd w:val="clear" w:color="auto" w:fill="auto"/>
                </w:tcPr>
                <w:p w14:paraId="3792E943" w14:textId="77777777" w:rsidR="007C3492" w:rsidRPr="00064185" w:rsidRDefault="007C3492" w:rsidP="00EA61D8">
                  <w:pPr>
                    <w:rPr>
                      <w:sz w:val="16"/>
                      <w:szCs w:val="16"/>
                    </w:rPr>
                  </w:pPr>
                  <w:r w:rsidRPr="00064185">
                    <w:rPr>
                      <w:sz w:val="16"/>
                      <w:szCs w:val="16"/>
                    </w:rPr>
                    <w:t>92.4</w:t>
                  </w:r>
                </w:p>
              </w:tc>
              <w:tc>
                <w:tcPr>
                  <w:tcW w:w="840" w:type="dxa"/>
                  <w:shd w:val="clear" w:color="auto" w:fill="auto"/>
                </w:tcPr>
                <w:p w14:paraId="1A0B8489" w14:textId="77777777" w:rsidR="007C3492" w:rsidRPr="00064185" w:rsidRDefault="007C3492" w:rsidP="00EA61D8">
                  <w:pPr>
                    <w:rPr>
                      <w:sz w:val="16"/>
                      <w:szCs w:val="16"/>
                    </w:rPr>
                  </w:pPr>
                  <w:r w:rsidRPr="00064185">
                    <w:rPr>
                      <w:sz w:val="16"/>
                      <w:szCs w:val="16"/>
                    </w:rPr>
                    <w:t>100</w:t>
                  </w:r>
                </w:p>
              </w:tc>
              <w:tc>
                <w:tcPr>
                  <w:tcW w:w="728" w:type="dxa"/>
                  <w:shd w:val="clear" w:color="auto" w:fill="auto"/>
                </w:tcPr>
                <w:p w14:paraId="46E84367" w14:textId="77777777" w:rsidR="007C3492" w:rsidRPr="00064185" w:rsidRDefault="007C3492" w:rsidP="00EA61D8">
                  <w:pPr>
                    <w:rPr>
                      <w:sz w:val="16"/>
                      <w:szCs w:val="16"/>
                    </w:rPr>
                  </w:pPr>
                  <w:r w:rsidRPr="00064185">
                    <w:rPr>
                      <w:sz w:val="16"/>
                      <w:szCs w:val="16"/>
                    </w:rPr>
                    <w:t>100</w:t>
                  </w:r>
                </w:p>
              </w:tc>
            </w:tr>
            <w:tr w:rsidR="00064185" w:rsidRPr="00064185" w14:paraId="678932E3" w14:textId="77777777" w:rsidTr="008F40BA">
              <w:trPr>
                <w:trHeight w:val="554"/>
              </w:trPr>
              <w:tc>
                <w:tcPr>
                  <w:tcW w:w="3222" w:type="dxa"/>
                  <w:shd w:val="clear" w:color="auto" w:fill="auto"/>
                </w:tcPr>
                <w:p w14:paraId="48016CED" w14:textId="77777777" w:rsidR="007C3492" w:rsidRPr="00064185" w:rsidRDefault="007C3492" w:rsidP="00EA61D8">
                  <w:pPr>
                    <w:rPr>
                      <w:sz w:val="16"/>
                      <w:szCs w:val="16"/>
                    </w:rPr>
                  </w:pPr>
                  <w:r w:rsidRPr="00064185">
                    <w:rPr>
                      <w:sz w:val="16"/>
                      <w:szCs w:val="16"/>
                    </w:rPr>
                    <w:lastRenderedPageBreak/>
                    <w:t>Standard AFOURMI SG “drenching”</w:t>
                  </w:r>
                </w:p>
              </w:tc>
              <w:tc>
                <w:tcPr>
                  <w:tcW w:w="659" w:type="dxa"/>
                  <w:shd w:val="clear" w:color="auto" w:fill="auto"/>
                </w:tcPr>
                <w:p w14:paraId="79BCA65F" w14:textId="77777777" w:rsidR="007C3492" w:rsidRPr="00064185" w:rsidRDefault="007C3492" w:rsidP="00EA61D8">
                  <w:pPr>
                    <w:rPr>
                      <w:sz w:val="16"/>
                      <w:szCs w:val="16"/>
                    </w:rPr>
                  </w:pPr>
                  <w:r w:rsidRPr="00064185">
                    <w:rPr>
                      <w:sz w:val="16"/>
                      <w:szCs w:val="16"/>
                    </w:rPr>
                    <w:t>93.5</w:t>
                  </w:r>
                </w:p>
              </w:tc>
              <w:tc>
                <w:tcPr>
                  <w:tcW w:w="840" w:type="dxa"/>
                  <w:shd w:val="clear" w:color="auto" w:fill="auto"/>
                </w:tcPr>
                <w:p w14:paraId="55478864" w14:textId="77777777" w:rsidR="007C3492" w:rsidRPr="00064185" w:rsidRDefault="007C3492" w:rsidP="00EA61D8">
                  <w:pPr>
                    <w:rPr>
                      <w:sz w:val="16"/>
                      <w:szCs w:val="16"/>
                    </w:rPr>
                  </w:pPr>
                  <w:r w:rsidRPr="00064185">
                    <w:rPr>
                      <w:sz w:val="16"/>
                      <w:szCs w:val="16"/>
                    </w:rPr>
                    <w:t>100</w:t>
                  </w:r>
                </w:p>
              </w:tc>
              <w:tc>
                <w:tcPr>
                  <w:tcW w:w="840" w:type="dxa"/>
                  <w:shd w:val="clear" w:color="auto" w:fill="auto"/>
                </w:tcPr>
                <w:p w14:paraId="3448442A" w14:textId="77777777" w:rsidR="007C3492" w:rsidRPr="00064185" w:rsidRDefault="007C3492" w:rsidP="00EA61D8">
                  <w:pPr>
                    <w:rPr>
                      <w:sz w:val="16"/>
                      <w:szCs w:val="16"/>
                    </w:rPr>
                  </w:pPr>
                  <w:r w:rsidRPr="00064185">
                    <w:rPr>
                      <w:sz w:val="16"/>
                      <w:szCs w:val="16"/>
                    </w:rPr>
                    <w:t>100</w:t>
                  </w:r>
                </w:p>
              </w:tc>
              <w:tc>
                <w:tcPr>
                  <w:tcW w:w="728" w:type="dxa"/>
                  <w:shd w:val="clear" w:color="auto" w:fill="auto"/>
                </w:tcPr>
                <w:p w14:paraId="536BBEF2" w14:textId="77777777" w:rsidR="007C3492" w:rsidRPr="00064185" w:rsidRDefault="007C3492" w:rsidP="00EA61D8">
                  <w:pPr>
                    <w:rPr>
                      <w:sz w:val="16"/>
                      <w:szCs w:val="16"/>
                    </w:rPr>
                  </w:pPr>
                  <w:r w:rsidRPr="00064185">
                    <w:rPr>
                      <w:sz w:val="16"/>
                      <w:szCs w:val="16"/>
                    </w:rPr>
                    <w:t>100</w:t>
                  </w:r>
                </w:p>
              </w:tc>
            </w:tr>
          </w:tbl>
          <w:p w14:paraId="15721AAA" w14:textId="77777777" w:rsidR="007C3492" w:rsidRPr="00064185" w:rsidRDefault="007C3492" w:rsidP="00EA61D8">
            <w:pPr>
              <w:rPr>
                <w:sz w:val="16"/>
                <w:szCs w:val="16"/>
              </w:rPr>
            </w:pPr>
          </w:p>
          <w:p w14:paraId="5575AA52" w14:textId="77777777" w:rsidR="007C3492" w:rsidRPr="00064185" w:rsidRDefault="007C3492" w:rsidP="00EA61D8">
            <w:pPr>
              <w:rPr>
                <w:sz w:val="16"/>
                <w:szCs w:val="16"/>
              </w:rPr>
            </w:pPr>
            <w:r w:rsidRPr="00064185">
              <w:rPr>
                <w:sz w:val="16"/>
                <w:szCs w:val="16"/>
              </w:rPr>
              <w:t>Final counts on ant nests (in number of insects)</w:t>
            </w:r>
          </w:p>
          <w:tbl>
            <w:tblPr>
              <w:tblW w:w="8118"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580"/>
              <w:gridCol w:w="1580"/>
              <w:gridCol w:w="1580"/>
              <w:gridCol w:w="1581"/>
            </w:tblGrid>
            <w:tr w:rsidR="00064185" w:rsidRPr="00064185" w14:paraId="4A035322" w14:textId="77777777" w:rsidTr="008F40BA">
              <w:trPr>
                <w:trHeight w:val="602"/>
                <w:jc w:val="center"/>
              </w:trPr>
              <w:tc>
                <w:tcPr>
                  <w:tcW w:w="1797" w:type="dxa"/>
                  <w:shd w:val="clear" w:color="auto" w:fill="auto"/>
                </w:tcPr>
                <w:p w14:paraId="1E13FF55" w14:textId="77777777" w:rsidR="007C3492" w:rsidRPr="00064185" w:rsidRDefault="007C3492" w:rsidP="00EA61D8">
                  <w:pPr>
                    <w:rPr>
                      <w:b/>
                      <w:sz w:val="16"/>
                      <w:szCs w:val="16"/>
                    </w:rPr>
                  </w:pPr>
                  <w:r w:rsidRPr="00064185">
                    <w:rPr>
                      <w:b/>
                      <w:sz w:val="16"/>
                      <w:szCs w:val="16"/>
                    </w:rPr>
                    <w:t>Trial</w:t>
                  </w:r>
                </w:p>
              </w:tc>
              <w:tc>
                <w:tcPr>
                  <w:tcW w:w="1580" w:type="dxa"/>
                  <w:shd w:val="clear" w:color="auto" w:fill="auto"/>
                </w:tcPr>
                <w:p w14:paraId="003716CE" w14:textId="77777777" w:rsidR="007C3492" w:rsidRPr="00064185" w:rsidRDefault="007C3492" w:rsidP="00EA61D8">
                  <w:pPr>
                    <w:rPr>
                      <w:b/>
                      <w:sz w:val="16"/>
                      <w:szCs w:val="16"/>
                    </w:rPr>
                  </w:pPr>
                  <w:r w:rsidRPr="00064185">
                    <w:rPr>
                      <w:b/>
                      <w:sz w:val="16"/>
                      <w:szCs w:val="16"/>
                    </w:rPr>
                    <w:t>Content a.i.</w:t>
                  </w:r>
                </w:p>
              </w:tc>
              <w:tc>
                <w:tcPr>
                  <w:tcW w:w="1580" w:type="dxa"/>
                  <w:shd w:val="clear" w:color="auto" w:fill="auto"/>
                </w:tcPr>
                <w:p w14:paraId="5C7295C8" w14:textId="77777777" w:rsidR="007C3492" w:rsidRPr="00064185" w:rsidRDefault="007C3492" w:rsidP="00EA61D8">
                  <w:pPr>
                    <w:rPr>
                      <w:b/>
                      <w:sz w:val="16"/>
                      <w:szCs w:val="16"/>
                    </w:rPr>
                  </w:pPr>
                  <w:r w:rsidRPr="00064185">
                    <w:rPr>
                      <w:b/>
                      <w:sz w:val="16"/>
                      <w:szCs w:val="16"/>
                    </w:rPr>
                    <w:t>Application method</w:t>
                  </w:r>
                </w:p>
              </w:tc>
              <w:tc>
                <w:tcPr>
                  <w:tcW w:w="1580" w:type="dxa"/>
                  <w:shd w:val="clear" w:color="auto" w:fill="auto"/>
                </w:tcPr>
                <w:p w14:paraId="32E8F54C" w14:textId="77777777" w:rsidR="007C3492" w:rsidRPr="00064185" w:rsidRDefault="007C3492" w:rsidP="00EA61D8">
                  <w:pPr>
                    <w:rPr>
                      <w:b/>
                      <w:sz w:val="16"/>
                      <w:szCs w:val="16"/>
                    </w:rPr>
                  </w:pPr>
                  <w:r w:rsidRPr="00064185">
                    <w:rPr>
                      <w:b/>
                      <w:sz w:val="16"/>
                      <w:szCs w:val="16"/>
                    </w:rPr>
                    <w:t>Dose</w:t>
                  </w:r>
                </w:p>
              </w:tc>
              <w:tc>
                <w:tcPr>
                  <w:tcW w:w="1581" w:type="dxa"/>
                  <w:shd w:val="clear" w:color="auto" w:fill="auto"/>
                </w:tcPr>
                <w:p w14:paraId="2E172C18" w14:textId="77777777" w:rsidR="007C3492" w:rsidRPr="00064185" w:rsidRDefault="007C3492" w:rsidP="00EA61D8">
                  <w:pPr>
                    <w:rPr>
                      <w:b/>
                      <w:sz w:val="16"/>
                      <w:szCs w:val="16"/>
                    </w:rPr>
                  </w:pPr>
                  <w:r w:rsidRPr="00064185">
                    <w:rPr>
                      <w:b/>
                      <w:sz w:val="16"/>
                      <w:szCs w:val="16"/>
                    </w:rPr>
                    <w:t>Final count of alive ants after 3 weeks</w:t>
                  </w:r>
                </w:p>
              </w:tc>
            </w:tr>
            <w:tr w:rsidR="00064185" w:rsidRPr="00064185" w14:paraId="1FE99BF6" w14:textId="77777777" w:rsidTr="008F40BA">
              <w:trPr>
                <w:trHeight w:val="413"/>
                <w:jc w:val="center"/>
              </w:trPr>
              <w:tc>
                <w:tcPr>
                  <w:tcW w:w="1797" w:type="dxa"/>
                  <w:shd w:val="clear" w:color="auto" w:fill="auto"/>
                </w:tcPr>
                <w:p w14:paraId="7C9924F3" w14:textId="77777777" w:rsidR="007C3492" w:rsidRPr="00064185" w:rsidRDefault="007C3492" w:rsidP="00EA61D8">
                  <w:pPr>
                    <w:rPr>
                      <w:sz w:val="16"/>
                      <w:szCs w:val="16"/>
                    </w:rPr>
                  </w:pPr>
                  <w:r w:rsidRPr="00064185">
                    <w:rPr>
                      <w:sz w:val="16"/>
                      <w:szCs w:val="16"/>
                    </w:rPr>
                    <w:t>COM 116 02 I AL spray</w:t>
                  </w:r>
                </w:p>
              </w:tc>
              <w:tc>
                <w:tcPr>
                  <w:tcW w:w="1580" w:type="dxa"/>
                  <w:shd w:val="clear" w:color="auto" w:fill="auto"/>
                </w:tcPr>
                <w:p w14:paraId="1A2B8A2C" w14:textId="77777777" w:rsidR="007C3492" w:rsidRPr="00064185" w:rsidRDefault="00921C43" w:rsidP="00EA61D8">
                  <w:pPr>
                    <w:rPr>
                      <w:sz w:val="16"/>
                      <w:szCs w:val="16"/>
                    </w:rPr>
                  </w:pPr>
                  <w:r w:rsidRPr="00064185">
                    <w:rPr>
                      <w:sz w:val="16"/>
                      <w:szCs w:val="16"/>
                    </w:rPr>
                    <w:t>0.5 g/l a.s</w:t>
                  </w:r>
                  <w:r w:rsidR="007C3492" w:rsidRPr="00064185">
                    <w:rPr>
                      <w:sz w:val="16"/>
                      <w:szCs w:val="16"/>
                    </w:rPr>
                    <w:t xml:space="preserve">. </w:t>
                  </w:r>
                  <w:r w:rsidR="007C3492" w:rsidRPr="00064185">
                    <w:rPr>
                      <w:sz w:val="16"/>
                      <w:szCs w:val="16"/>
                    </w:rPr>
                    <w:br/>
                    <w:t>(</w:t>
                  </w:r>
                  <w:r w:rsidR="007C3492" w:rsidRPr="00064185">
                    <w:rPr>
                      <w:i/>
                      <w:sz w:val="16"/>
                      <w:szCs w:val="16"/>
                    </w:rPr>
                    <w:t>l</w:t>
                  </w:r>
                  <w:r w:rsidR="007C3492" w:rsidRPr="00064185">
                    <w:rPr>
                      <w:sz w:val="16"/>
                      <w:szCs w:val="16"/>
                    </w:rPr>
                    <w:t>-cyhalothrin)</w:t>
                  </w:r>
                </w:p>
              </w:tc>
              <w:tc>
                <w:tcPr>
                  <w:tcW w:w="1580" w:type="dxa"/>
                  <w:shd w:val="clear" w:color="auto" w:fill="auto"/>
                </w:tcPr>
                <w:p w14:paraId="13607242" w14:textId="77777777" w:rsidR="007C3492" w:rsidRPr="00064185" w:rsidRDefault="007C3492" w:rsidP="00EA61D8">
                  <w:pPr>
                    <w:rPr>
                      <w:sz w:val="16"/>
                      <w:szCs w:val="16"/>
                    </w:rPr>
                  </w:pPr>
                  <w:r w:rsidRPr="00064185">
                    <w:rPr>
                      <w:sz w:val="16"/>
                      <w:szCs w:val="16"/>
                    </w:rPr>
                    <w:t>spray</w:t>
                  </w:r>
                </w:p>
              </w:tc>
              <w:tc>
                <w:tcPr>
                  <w:tcW w:w="1580" w:type="dxa"/>
                  <w:shd w:val="clear" w:color="auto" w:fill="auto"/>
                </w:tcPr>
                <w:p w14:paraId="760C1142" w14:textId="77777777" w:rsidR="007C3492" w:rsidRPr="00064185" w:rsidRDefault="007C3492" w:rsidP="00EA61D8">
                  <w:pPr>
                    <w:rPr>
                      <w:sz w:val="16"/>
                      <w:szCs w:val="16"/>
                    </w:rPr>
                  </w:pPr>
                  <w:r w:rsidRPr="00064185">
                    <w:rPr>
                      <w:sz w:val="16"/>
                      <w:szCs w:val="16"/>
                    </w:rPr>
                    <w:t>10 g/linear meter</w:t>
                  </w:r>
                </w:p>
              </w:tc>
              <w:tc>
                <w:tcPr>
                  <w:tcW w:w="1581" w:type="dxa"/>
                  <w:shd w:val="clear" w:color="auto" w:fill="auto"/>
                </w:tcPr>
                <w:p w14:paraId="47FF1586" w14:textId="77777777" w:rsidR="007C3492" w:rsidRPr="00064185" w:rsidRDefault="007C3492" w:rsidP="00EA61D8">
                  <w:pPr>
                    <w:rPr>
                      <w:sz w:val="16"/>
                      <w:szCs w:val="16"/>
                    </w:rPr>
                  </w:pPr>
                  <w:r w:rsidRPr="00064185">
                    <w:rPr>
                      <w:sz w:val="16"/>
                      <w:szCs w:val="16"/>
                    </w:rPr>
                    <w:t>0</w:t>
                  </w:r>
                </w:p>
              </w:tc>
            </w:tr>
            <w:tr w:rsidR="00064185" w:rsidRPr="00064185" w14:paraId="6D3E2E2B" w14:textId="77777777" w:rsidTr="008F40BA">
              <w:trPr>
                <w:trHeight w:val="248"/>
                <w:jc w:val="center"/>
              </w:trPr>
              <w:tc>
                <w:tcPr>
                  <w:tcW w:w="1797" w:type="dxa"/>
                  <w:vMerge w:val="restart"/>
                  <w:shd w:val="clear" w:color="auto" w:fill="auto"/>
                  <w:vAlign w:val="center"/>
                </w:tcPr>
                <w:p w14:paraId="6010DD85" w14:textId="77777777" w:rsidR="007C3492" w:rsidRPr="00064185" w:rsidRDefault="007C3492" w:rsidP="00EA61D8">
                  <w:pPr>
                    <w:rPr>
                      <w:sz w:val="16"/>
                      <w:szCs w:val="16"/>
                    </w:rPr>
                  </w:pPr>
                  <w:r w:rsidRPr="00064185">
                    <w:rPr>
                      <w:sz w:val="16"/>
                      <w:szCs w:val="16"/>
                    </w:rPr>
                    <w:t>AFOURMI SG</w:t>
                  </w:r>
                  <w:r w:rsidRPr="00064185">
                    <w:rPr>
                      <w:sz w:val="16"/>
                      <w:szCs w:val="16"/>
                    </w:rPr>
                    <w:br/>
                    <w:t>Standard granules</w:t>
                  </w:r>
                </w:p>
              </w:tc>
              <w:tc>
                <w:tcPr>
                  <w:tcW w:w="1580" w:type="dxa"/>
                  <w:vMerge w:val="restart"/>
                  <w:shd w:val="clear" w:color="auto" w:fill="auto"/>
                  <w:vAlign w:val="center"/>
                </w:tcPr>
                <w:p w14:paraId="020F1727" w14:textId="77777777" w:rsidR="007C3492" w:rsidRPr="00064185" w:rsidRDefault="00921C43" w:rsidP="00EA61D8">
                  <w:pPr>
                    <w:rPr>
                      <w:sz w:val="16"/>
                      <w:szCs w:val="16"/>
                    </w:rPr>
                  </w:pPr>
                  <w:r w:rsidRPr="00064185">
                    <w:rPr>
                      <w:sz w:val="16"/>
                      <w:szCs w:val="16"/>
                    </w:rPr>
                    <w:t>0.02% a.s</w:t>
                  </w:r>
                  <w:r w:rsidR="007C3492" w:rsidRPr="00064185">
                    <w:rPr>
                      <w:sz w:val="16"/>
                      <w:szCs w:val="16"/>
                    </w:rPr>
                    <w:t>. (fipronil)</w:t>
                  </w:r>
                </w:p>
              </w:tc>
              <w:tc>
                <w:tcPr>
                  <w:tcW w:w="1580" w:type="dxa"/>
                  <w:shd w:val="clear" w:color="auto" w:fill="auto"/>
                </w:tcPr>
                <w:p w14:paraId="17F7F2DC" w14:textId="77777777" w:rsidR="007C3492" w:rsidRPr="00064185" w:rsidRDefault="007C3492" w:rsidP="00EA61D8">
                  <w:pPr>
                    <w:rPr>
                      <w:sz w:val="16"/>
                      <w:szCs w:val="16"/>
                    </w:rPr>
                  </w:pPr>
                  <w:r w:rsidRPr="00064185">
                    <w:rPr>
                      <w:sz w:val="16"/>
                      <w:szCs w:val="16"/>
                    </w:rPr>
                    <w:t>strewing</w:t>
                  </w:r>
                </w:p>
              </w:tc>
              <w:tc>
                <w:tcPr>
                  <w:tcW w:w="1580" w:type="dxa"/>
                  <w:shd w:val="clear" w:color="auto" w:fill="auto"/>
                </w:tcPr>
                <w:p w14:paraId="1E2CA48A" w14:textId="77777777" w:rsidR="007C3492" w:rsidRPr="00064185" w:rsidRDefault="007C3492" w:rsidP="00EA61D8">
                  <w:pPr>
                    <w:rPr>
                      <w:sz w:val="16"/>
                      <w:szCs w:val="16"/>
                    </w:rPr>
                  </w:pPr>
                  <w:r w:rsidRPr="00064185">
                    <w:rPr>
                      <w:sz w:val="16"/>
                      <w:szCs w:val="16"/>
                    </w:rPr>
                    <w:t>40 g/nest</w:t>
                  </w:r>
                </w:p>
              </w:tc>
              <w:tc>
                <w:tcPr>
                  <w:tcW w:w="1581" w:type="dxa"/>
                  <w:shd w:val="clear" w:color="auto" w:fill="auto"/>
                </w:tcPr>
                <w:p w14:paraId="31B0F89B" w14:textId="77777777" w:rsidR="007C3492" w:rsidRPr="00064185" w:rsidRDefault="007C3492" w:rsidP="00EA61D8">
                  <w:pPr>
                    <w:rPr>
                      <w:sz w:val="16"/>
                      <w:szCs w:val="16"/>
                    </w:rPr>
                  </w:pPr>
                  <w:r w:rsidRPr="00064185">
                    <w:rPr>
                      <w:sz w:val="16"/>
                      <w:szCs w:val="16"/>
                    </w:rPr>
                    <w:t>0</w:t>
                  </w:r>
                </w:p>
              </w:tc>
            </w:tr>
            <w:tr w:rsidR="00064185" w:rsidRPr="00064185" w14:paraId="14535380" w14:textId="77777777" w:rsidTr="008F40BA">
              <w:trPr>
                <w:trHeight w:val="113"/>
                <w:jc w:val="center"/>
              </w:trPr>
              <w:tc>
                <w:tcPr>
                  <w:tcW w:w="1797" w:type="dxa"/>
                  <w:vMerge/>
                  <w:shd w:val="clear" w:color="auto" w:fill="auto"/>
                </w:tcPr>
                <w:p w14:paraId="057E1BFD" w14:textId="77777777" w:rsidR="007C3492" w:rsidRPr="00064185" w:rsidRDefault="007C3492" w:rsidP="00EA61D8">
                  <w:pPr>
                    <w:rPr>
                      <w:sz w:val="16"/>
                      <w:szCs w:val="16"/>
                    </w:rPr>
                  </w:pPr>
                </w:p>
              </w:tc>
              <w:tc>
                <w:tcPr>
                  <w:tcW w:w="1580" w:type="dxa"/>
                  <w:vMerge/>
                  <w:shd w:val="clear" w:color="auto" w:fill="auto"/>
                </w:tcPr>
                <w:p w14:paraId="52046FD5" w14:textId="77777777" w:rsidR="007C3492" w:rsidRPr="00064185" w:rsidRDefault="007C3492" w:rsidP="00EA61D8">
                  <w:pPr>
                    <w:rPr>
                      <w:sz w:val="16"/>
                      <w:szCs w:val="16"/>
                    </w:rPr>
                  </w:pPr>
                </w:p>
              </w:tc>
              <w:tc>
                <w:tcPr>
                  <w:tcW w:w="1580" w:type="dxa"/>
                  <w:shd w:val="clear" w:color="auto" w:fill="auto"/>
                </w:tcPr>
                <w:p w14:paraId="0F431DB1" w14:textId="77777777" w:rsidR="007C3492" w:rsidRPr="00064185" w:rsidRDefault="007C3492" w:rsidP="00EA61D8">
                  <w:pPr>
                    <w:rPr>
                      <w:sz w:val="16"/>
                      <w:szCs w:val="16"/>
                    </w:rPr>
                  </w:pPr>
                  <w:r w:rsidRPr="00064185">
                    <w:rPr>
                      <w:sz w:val="16"/>
                      <w:szCs w:val="16"/>
                    </w:rPr>
                    <w:t>drenching</w:t>
                  </w:r>
                </w:p>
              </w:tc>
              <w:tc>
                <w:tcPr>
                  <w:tcW w:w="1580" w:type="dxa"/>
                  <w:shd w:val="clear" w:color="auto" w:fill="auto"/>
                </w:tcPr>
                <w:p w14:paraId="1CD6C494" w14:textId="77777777" w:rsidR="007C3492" w:rsidRPr="00064185" w:rsidRDefault="007C3492" w:rsidP="00EA61D8">
                  <w:pPr>
                    <w:rPr>
                      <w:sz w:val="16"/>
                      <w:szCs w:val="16"/>
                    </w:rPr>
                  </w:pPr>
                  <w:r w:rsidRPr="00064185">
                    <w:rPr>
                      <w:sz w:val="16"/>
                      <w:szCs w:val="16"/>
                    </w:rPr>
                    <w:t>40 g/2000 ml</w:t>
                  </w:r>
                </w:p>
              </w:tc>
              <w:tc>
                <w:tcPr>
                  <w:tcW w:w="1581" w:type="dxa"/>
                  <w:shd w:val="clear" w:color="auto" w:fill="auto"/>
                </w:tcPr>
                <w:p w14:paraId="76401ADC" w14:textId="77777777" w:rsidR="007C3492" w:rsidRPr="00064185" w:rsidRDefault="007C3492" w:rsidP="00EA61D8">
                  <w:pPr>
                    <w:rPr>
                      <w:sz w:val="16"/>
                      <w:szCs w:val="16"/>
                    </w:rPr>
                  </w:pPr>
                  <w:r w:rsidRPr="00064185">
                    <w:rPr>
                      <w:sz w:val="16"/>
                      <w:szCs w:val="16"/>
                    </w:rPr>
                    <w:t>0</w:t>
                  </w:r>
                </w:p>
              </w:tc>
            </w:tr>
            <w:tr w:rsidR="00064185" w:rsidRPr="00064185" w14:paraId="26BDF9A2" w14:textId="77777777" w:rsidTr="008F40BA">
              <w:trPr>
                <w:trHeight w:val="248"/>
                <w:jc w:val="center"/>
              </w:trPr>
              <w:tc>
                <w:tcPr>
                  <w:tcW w:w="1797" w:type="dxa"/>
                  <w:shd w:val="clear" w:color="auto" w:fill="auto"/>
                </w:tcPr>
                <w:p w14:paraId="5BB7066D" w14:textId="77777777" w:rsidR="007C3492" w:rsidRPr="00064185" w:rsidRDefault="007C3492" w:rsidP="00EA61D8">
                  <w:pPr>
                    <w:rPr>
                      <w:sz w:val="16"/>
                      <w:szCs w:val="16"/>
                    </w:rPr>
                  </w:pPr>
                  <w:r w:rsidRPr="00064185">
                    <w:rPr>
                      <w:sz w:val="16"/>
                      <w:szCs w:val="16"/>
                    </w:rPr>
                    <w:t>Control</w:t>
                  </w:r>
                </w:p>
              </w:tc>
              <w:tc>
                <w:tcPr>
                  <w:tcW w:w="1580" w:type="dxa"/>
                  <w:shd w:val="clear" w:color="auto" w:fill="auto"/>
                </w:tcPr>
                <w:p w14:paraId="177E74E4" w14:textId="77777777" w:rsidR="007C3492" w:rsidRPr="00064185" w:rsidRDefault="007C3492" w:rsidP="00EA61D8">
                  <w:pPr>
                    <w:rPr>
                      <w:sz w:val="16"/>
                      <w:szCs w:val="16"/>
                    </w:rPr>
                  </w:pPr>
                  <w:r w:rsidRPr="00064185">
                    <w:rPr>
                      <w:sz w:val="16"/>
                      <w:szCs w:val="16"/>
                    </w:rPr>
                    <w:t>-</w:t>
                  </w:r>
                </w:p>
              </w:tc>
              <w:tc>
                <w:tcPr>
                  <w:tcW w:w="1580" w:type="dxa"/>
                  <w:shd w:val="clear" w:color="auto" w:fill="auto"/>
                </w:tcPr>
                <w:p w14:paraId="69571AE1" w14:textId="77777777" w:rsidR="007C3492" w:rsidRPr="00064185" w:rsidRDefault="007C3492" w:rsidP="00EA61D8">
                  <w:pPr>
                    <w:rPr>
                      <w:sz w:val="16"/>
                      <w:szCs w:val="16"/>
                    </w:rPr>
                  </w:pPr>
                  <w:r w:rsidRPr="00064185">
                    <w:rPr>
                      <w:sz w:val="16"/>
                      <w:szCs w:val="16"/>
                    </w:rPr>
                    <w:t>-</w:t>
                  </w:r>
                </w:p>
              </w:tc>
              <w:tc>
                <w:tcPr>
                  <w:tcW w:w="1580" w:type="dxa"/>
                  <w:shd w:val="clear" w:color="auto" w:fill="auto"/>
                </w:tcPr>
                <w:p w14:paraId="4DAF1197" w14:textId="77777777" w:rsidR="007C3492" w:rsidRPr="00064185" w:rsidRDefault="007C3492" w:rsidP="00EA61D8">
                  <w:pPr>
                    <w:rPr>
                      <w:sz w:val="16"/>
                      <w:szCs w:val="16"/>
                    </w:rPr>
                  </w:pPr>
                  <w:r w:rsidRPr="00064185">
                    <w:rPr>
                      <w:sz w:val="16"/>
                      <w:szCs w:val="16"/>
                    </w:rPr>
                    <w:t>-</w:t>
                  </w:r>
                </w:p>
              </w:tc>
              <w:tc>
                <w:tcPr>
                  <w:tcW w:w="1581" w:type="dxa"/>
                  <w:shd w:val="clear" w:color="auto" w:fill="auto"/>
                </w:tcPr>
                <w:p w14:paraId="50429E41" w14:textId="77777777" w:rsidR="007C3492" w:rsidRPr="00064185" w:rsidRDefault="007C3492" w:rsidP="00EA61D8">
                  <w:pPr>
                    <w:rPr>
                      <w:sz w:val="16"/>
                      <w:szCs w:val="16"/>
                    </w:rPr>
                  </w:pPr>
                  <w:r w:rsidRPr="00064185">
                    <w:rPr>
                      <w:sz w:val="16"/>
                      <w:szCs w:val="16"/>
                    </w:rPr>
                    <w:t>&gt;1500</w:t>
                  </w:r>
                </w:p>
              </w:tc>
            </w:tr>
          </w:tbl>
          <w:p w14:paraId="611E8368" w14:textId="77777777" w:rsidR="007C3492" w:rsidRPr="00064185" w:rsidRDefault="007C3492" w:rsidP="00EA61D8">
            <w:pPr>
              <w:pStyle w:val="Standardlinks"/>
              <w:rPr>
                <w:rFonts w:ascii="Verdana" w:hAnsi="Verdana"/>
                <w:sz w:val="16"/>
                <w:szCs w:val="16"/>
              </w:rPr>
            </w:pPr>
          </w:p>
          <w:p w14:paraId="6AA41887" w14:textId="77777777" w:rsidR="007C3492" w:rsidRPr="00064185" w:rsidRDefault="007C3492" w:rsidP="00EA61D8">
            <w:pPr>
              <w:rPr>
                <w:sz w:val="16"/>
                <w:szCs w:val="16"/>
              </w:rPr>
            </w:pPr>
            <w:r w:rsidRPr="00064185">
              <w:rPr>
                <w:sz w:val="16"/>
                <w:szCs w:val="16"/>
              </w:rPr>
              <w:t>Conclusion: In this field test, COM 116 02 I AL (spray) has proved a complete and fast efficacy towards the ant</w:t>
            </w:r>
            <w:r w:rsidRPr="00064185">
              <w:rPr>
                <w:i/>
                <w:sz w:val="16"/>
                <w:szCs w:val="16"/>
              </w:rPr>
              <w:t xml:space="preserve"> Lasius niger</w:t>
            </w:r>
            <w:r w:rsidRPr="00064185">
              <w:rPr>
                <w:sz w:val="16"/>
                <w:szCs w:val="16"/>
              </w:rPr>
              <w:t>.</w:t>
            </w:r>
          </w:p>
        </w:tc>
        <w:tc>
          <w:tcPr>
            <w:tcW w:w="388" w:type="pct"/>
          </w:tcPr>
          <w:p w14:paraId="344DD487" w14:textId="77777777" w:rsidR="007C3492" w:rsidRPr="00064185" w:rsidRDefault="007C3492" w:rsidP="00EA61D8">
            <w:pPr>
              <w:rPr>
                <w:sz w:val="16"/>
                <w:szCs w:val="16"/>
              </w:rPr>
            </w:pPr>
            <w:r w:rsidRPr="00064185">
              <w:rPr>
                <w:sz w:val="16"/>
                <w:szCs w:val="16"/>
              </w:rPr>
              <w:lastRenderedPageBreak/>
              <w:t>Serrano, 2007a</w:t>
            </w:r>
          </w:p>
        </w:tc>
      </w:tr>
    </w:tbl>
    <w:p w14:paraId="6A70C0B2" w14:textId="53055698" w:rsidR="0070745E" w:rsidRPr="00064185" w:rsidRDefault="0070745E" w:rsidP="00EA61D8"/>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09"/>
        <w:gridCol w:w="1322"/>
        <w:gridCol w:w="1746"/>
        <w:gridCol w:w="8269"/>
        <w:gridCol w:w="1047"/>
      </w:tblGrid>
      <w:tr w:rsidR="00064185" w:rsidRPr="00064185" w14:paraId="683342B0" w14:textId="77777777" w:rsidTr="008F40BA">
        <w:trPr>
          <w:trHeight w:val="303"/>
        </w:trPr>
        <w:tc>
          <w:tcPr>
            <w:tcW w:w="5000" w:type="pct"/>
            <w:gridSpan w:val="5"/>
            <w:shd w:val="clear" w:color="auto" w:fill="FFFFCC"/>
            <w:vAlign w:val="center"/>
          </w:tcPr>
          <w:p w14:paraId="029D50D9" w14:textId="77777777" w:rsidR="0070745E" w:rsidRPr="00064185" w:rsidRDefault="0070745E" w:rsidP="00EA61D8">
            <w:pPr>
              <w:rPr>
                <w:b/>
                <w:sz w:val="16"/>
                <w:szCs w:val="16"/>
              </w:rPr>
            </w:pPr>
            <w:r w:rsidRPr="00064185">
              <w:rPr>
                <w:b/>
                <w:sz w:val="16"/>
                <w:szCs w:val="16"/>
              </w:rPr>
              <w:t>Experimental data on the efficacy of the biocidal product against target organism(s)</w:t>
            </w:r>
          </w:p>
        </w:tc>
      </w:tr>
      <w:tr w:rsidR="00064185" w:rsidRPr="00064185" w14:paraId="6C6E42A8" w14:textId="77777777" w:rsidTr="008F40BA">
        <w:tc>
          <w:tcPr>
            <w:tcW w:w="411" w:type="pct"/>
            <w:shd w:val="clear" w:color="auto" w:fill="FFFFFF"/>
          </w:tcPr>
          <w:p w14:paraId="11923A13" w14:textId="77777777" w:rsidR="0070745E" w:rsidRPr="00064185" w:rsidRDefault="0070745E" w:rsidP="00EA61D8">
            <w:pPr>
              <w:rPr>
                <w:b/>
                <w:i/>
                <w:sz w:val="16"/>
                <w:szCs w:val="16"/>
              </w:rPr>
            </w:pPr>
            <w:r w:rsidRPr="00064185">
              <w:rPr>
                <w:b/>
                <w:sz w:val="16"/>
                <w:szCs w:val="16"/>
              </w:rPr>
              <w:t>Test substance</w:t>
            </w:r>
          </w:p>
        </w:tc>
        <w:tc>
          <w:tcPr>
            <w:tcW w:w="490" w:type="pct"/>
            <w:shd w:val="clear" w:color="auto" w:fill="FFFFFF"/>
          </w:tcPr>
          <w:p w14:paraId="31CAB71B" w14:textId="77777777" w:rsidR="0070745E" w:rsidRPr="00064185" w:rsidRDefault="0070745E" w:rsidP="00EA61D8">
            <w:pPr>
              <w:rPr>
                <w:b/>
                <w:i/>
                <w:sz w:val="16"/>
                <w:szCs w:val="16"/>
              </w:rPr>
            </w:pPr>
            <w:r w:rsidRPr="00064185">
              <w:rPr>
                <w:b/>
                <w:sz w:val="16"/>
                <w:szCs w:val="16"/>
              </w:rPr>
              <w:t>Test organism(s)</w:t>
            </w:r>
          </w:p>
        </w:tc>
        <w:tc>
          <w:tcPr>
            <w:tcW w:w="647" w:type="pct"/>
            <w:shd w:val="clear" w:color="auto" w:fill="FFFFFF"/>
          </w:tcPr>
          <w:p w14:paraId="48DF563B" w14:textId="77777777" w:rsidR="0070745E" w:rsidRPr="00064185" w:rsidRDefault="0070745E" w:rsidP="00EA61D8">
            <w:pPr>
              <w:rPr>
                <w:b/>
                <w:sz w:val="16"/>
                <w:szCs w:val="16"/>
              </w:rPr>
            </w:pPr>
            <w:r w:rsidRPr="00064185">
              <w:rPr>
                <w:b/>
                <w:sz w:val="16"/>
                <w:szCs w:val="16"/>
              </w:rPr>
              <w:t>Test system / concentrations applied / exposure time</w:t>
            </w:r>
          </w:p>
        </w:tc>
        <w:tc>
          <w:tcPr>
            <w:tcW w:w="3064" w:type="pct"/>
            <w:shd w:val="clear" w:color="auto" w:fill="FFFFFF"/>
          </w:tcPr>
          <w:p w14:paraId="3AFC03F4" w14:textId="77777777" w:rsidR="0070745E" w:rsidRPr="00064185" w:rsidRDefault="0070745E" w:rsidP="00EA61D8">
            <w:pPr>
              <w:rPr>
                <w:b/>
                <w:sz w:val="16"/>
                <w:szCs w:val="16"/>
              </w:rPr>
            </w:pPr>
            <w:r w:rsidRPr="00064185">
              <w:rPr>
                <w:b/>
                <w:sz w:val="16"/>
                <w:szCs w:val="16"/>
              </w:rPr>
              <w:t>Test results: effects</w:t>
            </w:r>
          </w:p>
        </w:tc>
        <w:tc>
          <w:tcPr>
            <w:tcW w:w="388" w:type="pct"/>
            <w:shd w:val="clear" w:color="auto" w:fill="FFFFFF"/>
          </w:tcPr>
          <w:p w14:paraId="71307E68" w14:textId="77777777" w:rsidR="0070745E" w:rsidRPr="00064185" w:rsidRDefault="0070745E" w:rsidP="00EA61D8">
            <w:pPr>
              <w:rPr>
                <w:b/>
                <w:sz w:val="16"/>
                <w:szCs w:val="16"/>
              </w:rPr>
            </w:pPr>
            <w:r w:rsidRPr="00064185">
              <w:rPr>
                <w:b/>
                <w:sz w:val="16"/>
                <w:szCs w:val="16"/>
              </w:rPr>
              <w:t>Reference</w:t>
            </w:r>
          </w:p>
        </w:tc>
      </w:tr>
      <w:tr w:rsidR="00064185" w:rsidRPr="00064185" w14:paraId="763D134D" w14:textId="77777777" w:rsidTr="0070745E">
        <w:tc>
          <w:tcPr>
            <w:tcW w:w="411" w:type="pct"/>
          </w:tcPr>
          <w:p w14:paraId="5D001001" w14:textId="77777777" w:rsidR="0070745E" w:rsidRPr="00064185" w:rsidRDefault="00921C43" w:rsidP="00EA61D8">
            <w:pPr>
              <w:spacing w:before="60" w:after="60"/>
              <w:rPr>
                <w:sz w:val="16"/>
                <w:szCs w:val="16"/>
                <w:lang w:val="it-IT"/>
              </w:rPr>
            </w:pPr>
            <w:r w:rsidRPr="00064185">
              <w:rPr>
                <w:sz w:val="16"/>
                <w:szCs w:val="16"/>
                <w:lang w:val="it-IT"/>
              </w:rPr>
              <w:t xml:space="preserve">COM 116 02 I AL, </w:t>
            </w:r>
            <w:proofErr w:type="gramStart"/>
            <w:r w:rsidRPr="00064185">
              <w:rPr>
                <w:sz w:val="16"/>
                <w:szCs w:val="16"/>
                <w:lang w:val="it-IT"/>
              </w:rPr>
              <w:t>0.5</w:t>
            </w:r>
            <w:proofErr w:type="gramEnd"/>
            <w:r w:rsidRPr="00064185">
              <w:rPr>
                <w:sz w:val="16"/>
                <w:szCs w:val="16"/>
                <w:lang w:val="it-IT"/>
              </w:rPr>
              <w:t xml:space="preserve"> g/l</w:t>
            </w:r>
            <w:r w:rsidR="0070745E" w:rsidRPr="00064185">
              <w:rPr>
                <w:sz w:val="16"/>
                <w:szCs w:val="16"/>
                <w:lang w:val="it-IT"/>
              </w:rPr>
              <w:t xml:space="preserve"> </w:t>
            </w:r>
            <w:r w:rsidR="0070745E" w:rsidRPr="00064185">
              <w:rPr>
                <w:i/>
                <w:sz w:val="16"/>
                <w:szCs w:val="16"/>
                <w:lang w:val="it-IT"/>
              </w:rPr>
              <w:t>lambda</w:t>
            </w:r>
            <w:r w:rsidR="0070745E" w:rsidRPr="00064185">
              <w:rPr>
                <w:sz w:val="16"/>
                <w:szCs w:val="16"/>
                <w:lang w:val="it-IT"/>
              </w:rPr>
              <w:t>-cyhalothrin</w:t>
            </w:r>
          </w:p>
        </w:tc>
        <w:tc>
          <w:tcPr>
            <w:tcW w:w="490" w:type="pct"/>
          </w:tcPr>
          <w:p w14:paraId="6672E2A2" w14:textId="77777777" w:rsidR="0070745E" w:rsidRPr="00064185" w:rsidRDefault="0070745E" w:rsidP="00EA61D8">
            <w:pPr>
              <w:rPr>
                <w:sz w:val="16"/>
                <w:szCs w:val="16"/>
                <w:u w:val="single"/>
              </w:rPr>
            </w:pPr>
            <w:r w:rsidRPr="00064185">
              <w:rPr>
                <w:sz w:val="16"/>
                <w:szCs w:val="16"/>
                <w:u w:val="single"/>
              </w:rPr>
              <w:t>Insects:</w:t>
            </w:r>
          </w:p>
          <w:p w14:paraId="606D4CBF" w14:textId="77777777" w:rsidR="0070745E" w:rsidRPr="00064185" w:rsidRDefault="0070745E" w:rsidP="00EA61D8">
            <w:pPr>
              <w:rPr>
                <w:sz w:val="16"/>
                <w:szCs w:val="16"/>
              </w:rPr>
            </w:pPr>
            <w:r w:rsidRPr="00064185">
              <w:rPr>
                <w:sz w:val="16"/>
                <w:szCs w:val="16"/>
              </w:rPr>
              <w:t>Lasius niger</w:t>
            </w:r>
          </w:p>
        </w:tc>
        <w:tc>
          <w:tcPr>
            <w:tcW w:w="647" w:type="pct"/>
          </w:tcPr>
          <w:p w14:paraId="5C262ACE" w14:textId="77777777" w:rsidR="0070745E" w:rsidRPr="00064185" w:rsidRDefault="0070745E" w:rsidP="00EA61D8">
            <w:pPr>
              <w:pStyle w:val="Standardlinks"/>
              <w:rPr>
                <w:rFonts w:ascii="Verdana" w:hAnsi="Verdana"/>
                <w:i w:val="0"/>
                <w:sz w:val="16"/>
                <w:szCs w:val="16"/>
              </w:rPr>
            </w:pPr>
            <w:r w:rsidRPr="00064185">
              <w:rPr>
                <w:rFonts w:ascii="Verdana" w:hAnsi="Verdana"/>
                <w:i w:val="0"/>
                <w:sz w:val="16"/>
                <w:szCs w:val="16"/>
              </w:rPr>
              <w:t>Laboratory tests (exposure time 8 days) of the efficacy of different experimental products intended to control ants in garden and house environment were conducted.</w:t>
            </w:r>
          </w:p>
          <w:p w14:paraId="3F44FE7F" w14:textId="77777777" w:rsidR="0070745E" w:rsidRPr="00064185" w:rsidRDefault="0070745E" w:rsidP="00EA61D8">
            <w:pPr>
              <w:pStyle w:val="Standardlinks"/>
              <w:rPr>
                <w:rFonts w:ascii="Verdana" w:hAnsi="Verdana"/>
                <w:i w:val="0"/>
                <w:sz w:val="16"/>
                <w:szCs w:val="16"/>
              </w:rPr>
            </w:pPr>
            <w:r w:rsidRPr="00064185">
              <w:rPr>
                <w:rFonts w:ascii="Verdana" w:hAnsi="Verdana"/>
                <w:i w:val="0"/>
                <w:sz w:val="16"/>
                <w:szCs w:val="16"/>
              </w:rPr>
              <w:t xml:space="preserve">The tests were carried out in 30 cm×30 cm×15 cm plastic arenas with 5 cm ground retrieved from the nest with or without competition </w:t>
            </w:r>
            <w:r w:rsidRPr="00064185">
              <w:rPr>
                <w:rFonts w:ascii="Verdana" w:hAnsi="Verdana"/>
                <w:i w:val="0"/>
                <w:sz w:val="16"/>
                <w:szCs w:val="16"/>
              </w:rPr>
              <w:lastRenderedPageBreak/>
              <w:t xml:space="preserve">food. </w:t>
            </w:r>
          </w:p>
          <w:p w14:paraId="54E429EC" w14:textId="77777777" w:rsidR="0070745E" w:rsidRPr="00064185" w:rsidRDefault="00921C43" w:rsidP="00EA61D8">
            <w:pPr>
              <w:rPr>
                <w:sz w:val="16"/>
                <w:szCs w:val="16"/>
              </w:rPr>
            </w:pPr>
            <w:r w:rsidRPr="00064185">
              <w:rPr>
                <w:sz w:val="16"/>
                <w:szCs w:val="16"/>
              </w:rPr>
              <w:t>0.5 g/l</w:t>
            </w:r>
            <w:r w:rsidR="0070745E" w:rsidRPr="00064185">
              <w:rPr>
                <w:sz w:val="16"/>
                <w:szCs w:val="16"/>
              </w:rPr>
              <w:t xml:space="preserve"> a.</w:t>
            </w:r>
            <w:r w:rsidRPr="00064185">
              <w:rPr>
                <w:sz w:val="16"/>
                <w:szCs w:val="16"/>
              </w:rPr>
              <w:t>s</w:t>
            </w:r>
            <w:r w:rsidR="0070745E" w:rsidRPr="00064185">
              <w:rPr>
                <w:sz w:val="16"/>
                <w:szCs w:val="16"/>
              </w:rPr>
              <w:t>.</w:t>
            </w:r>
            <w:r w:rsidR="0070745E" w:rsidRPr="00064185">
              <w:rPr>
                <w:i/>
                <w:sz w:val="16"/>
                <w:szCs w:val="16"/>
              </w:rPr>
              <w:t xml:space="preserve"> </w:t>
            </w:r>
            <w:r w:rsidR="0070745E" w:rsidRPr="00064185">
              <w:rPr>
                <w:i/>
                <w:sz w:val="16"/>
                <w:szCs w:val="16"/>
              </w:rPr>
              <w:br/>
              <w:t>(lambda-</w:t>
            </w:r>
            <w:r w:rsidR="0070745E" w:rsidRPr="00064185">
              <w:rPr>
                <w:sz w:val="16"/>
                <w:szCs w:val="16"/>
              </w:rPr>
              <w:t>cyhalothrin</w:t>
            </w:r>
            <w:r w:rsidR="0070745E" w:rsidRPr="00064185">
              <w:rPr>
                <w:i/>
                <w:sz w:val="16"/>
                <w:szCs w:val="16"/>
              </w:rPr>
              <w:t>)</w:t>
            </w:r>
          </w:p>
        </w:tc>
        <w:tc>
          <w:tcPr>
            <w:tcW w:w="3064" w:type="pct"/>
          </w:tcPr>
          <w:p w14:paraId="50293021" w14:textId="77777777" w:rsidR="00A54CF1" w:rsidRPr="00064185" w:rsidRDefault="00A54CF1" w:rsidP="00EA61D8">
            <w:pPr>
              <w:rPr>
                <w:sz w:val="16"/>
                <w:szCs w:val="16"/>
              </w:rPr>
            </w:pPr>
            <w:r w:rsidRPr="00064185">
              <w:rPr>
                <w:sz w:val="16"/>
                <w:szCs w:val="16"/>
              </w:rPr>
              <w:lastRenderedPageBreak/>
              <w:t>Arena trial with food: % mortality (mean of 3 replicates)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73"/>
              <w:gridCol w:w="773"/>
              <w:gridCol w:w="776"/>
              <w:gridCol w:w="776"/>
              <w:gridCol w:w="775"/>
              <w:gridCol w:w="776"/>
              <w:gridCol w:w="776"/>
              <w:gridCol w:w="775"/>
            </w:tblGrid>
            <w:tr w:rsidR="00064185" w:rsidRPr="00064185" w14:paraId="3BC858DA" w14:textId="77777777" w:rsidTr="008F40BA">
              <w:trPr>
                <w:trHeight w:val="323"/>
              </w:trPr>
              <w:tc>
                <w:tcPr>
                  <w:tcW w:w="1939" w:type="dxa"/>
                  <w:shd w:val="clear" w:color="auto" w:fill="auto"/>
                </w:tcPr>
                <w:p w14:paraId="57284352" w14:textId="77777777" w:rsidR="00A54CF1" w:rsidRPr="00064185" w:rsidRDefault="00A54CF1" w:rsidP="00EA61D8">
                  <w:pPr>
                    <w:rPr>
                      <w:b/>
                      <w:sz w:val="16"/>
                      <w:szCs w:val="16"/>
                    </w:rPr>
                  </w:pPr>
                </w:p>
              </w:tc>
              <w:tc>
                <w:tcPr>
                  <w:tcW w:w="781" w:type="dxa"/>
                  <w:shd w:val="clear" w:color="auto" w:fill="auto"/>
                </w:tcPr>
                <w:p w14:paraId="3EAB78C1" w14:textId="77777777" w:rsidR="00A54CF1" w:rsidRPr="00064185" w:rsidRDefault="00A54CF1" w:rsidP="00EA61D8">
                  <w:pPr>
                    <w:rPr>
                      <w:b/>
                      <w:sz w:val="16"/>
                      <w:szCs w:val="16"/>
                    </w:rPr>
                  </w:pPr>
                  <w:r w:rsidRPr="00064185">
                    <w:rPr>
                      <w:b/>
                      <w:sz w:val="16"/>
                      <w:szCs w:val="16"/>
                    </w:rPr>
                    <w:t>+1 D</w:t>
                  </w:r>
                </w:p>
              </w:tc>
              <w:tc>
                <w:tcPr>
                  <w:tcW w:w="782" w:type="dxa"/>
                </w:tcPr>
                <w:p w14:paraId="53446764" w14:textId="77777777" w:rsidR="00A54CF1" w:rsidRPr="00064185" w:rsidRDefault="00A54CF1" w:rsidP="00EA61D8">
                  <w:pPr>
                    <w:rPr>
                      <w:b/>
                      <w:sz w:val="16"/>
                      <w:szCs w:val="16"/>
                    </w:rPr>
                  </w:pPr>
                  <w:r w:rsidRPr="00064185">
                    <w:rPr>
                      <w:b/>
                      <w:sz w:val="16"/>
                      <w:szCs w:val="16"/>
                    </w:rPr>
                    <w:t>+2 D</w:t>
                  </w:r>
                </w:p>
              </w:tc>
              <w:tc>
                <w:tcPr>
                  <w:tcW w:w="782" w:type="dxa"/>
                </w:tcPr>
                <w:p w14:paraId="023F5B06" w14:textId="77777777" w:rsidR="00A54CF1" w:rsidRPr="00064185" w:rsidRDefault="00A54CF1" w:rsidP="00EA61D8">
                  <w:pPr>
                    <w:rPr>
                      <w:b/>
                      <w:sz w:val="16"/>
                      <w:szCs w:val="16"/>
                    </w:rPr>
                  </w:pPr>
                  <w:r w:rsidRPr="00064185">
                    <w:rPr>
                      <w:b/>
                      <w:sz w:val="16"/>
                      <w:szCs w:val="16"/>
                    </w:rPr>
                    <w:t>+3 D</w:t>
                  </w:r>
                </w:p>
              </w:tc>
              <w:tc>
                <w:tcPr>
                  <w:tcW w:w="782" w:type="dxa"/>
                </w:tcPr>
                <w:p w14:paraId="539393AD" w14:textId="77777777" w:rsidR="00A54CF1" w:rsidRPr="00064185" w:rsidRDefault="00A54CF1" w:rsidP="00EA61D8">
                  <w:pPr>
                    <w:rPr>
                      <w:b/>
                      <w:sz w:val="16"/>
                      <w:szCs w:val="16"/>
                    </w:rPr>
                  </w:pPr>
                  <w:r w:rsidRPr="00064185">
                    <w:rPr>
                      <w:b/>
                      <w:sz w:val="16"/>
                      <w:szCs w:val="16"/>
                    </w:rPr>
                    <w:t>+4 D</w:t>
                  </w:r>
                </w:p>
              </w:tc>
              <w:tc>
                <w:tcPr>
                  <w:tcW w:w="781" w:type="dxa"/>
                </w:tcPr>
                <w:p w14:paraId="5F952AEA" w14:textId="77777777" w:rsidR="00A54CF1" w:rsidRPr="00064185" w:rsidRDefault="00A54CF1" w:rsidP="00EA61D8">
                  <w:pPr>
                    <w:rPr>
                      <w:b/>
                      <w:sz w:val="16"/>
                      <w:szCs w:val="16"/>
                    </w:rPr>
                  </w:pPr>
                  <w:r w:rsidRPr="00064185">
                    <w:rPr>
                      <w:b/>
                      <w:sz w:val="16"/>
                      <w:szCs w:val="16"/>
                    </w:rPr>
                    <w:t>+5 D</w:t>
                  </w:r>
                </w:p>
              </w:tc>
              <w:tc>
                <w:tcPr>
                  <w:tcW w:w="782" w:type="dxa"/>
                  <w:shd w:val="clear" w:color="auto" w:fill="auto"/>
                </w:tcPr>
                <w:p w14:paraId="789C4665" w14:textId="77777777" w:rsidR="00A54CF1" w:rsidRPr="00064185" w:rsidRDefault="00A54CF1" w:rsidP="00EA61D8">
                  <w:pPr>
                    <w:rPr>
                      <w:b/>
                      <w:sz w:val="16"/>
                      <w:szCs w:val="16"/>
                    </w:rPr>
                  </w:pPr>
                  <w:r w:rsidRPr="00064185">
                    <w:rPr>
                      <w:b/>
                      <w:sz w:val="16"/>
                      <w:szCs w:val="16"/>
                    </w:rPr>
                    <w:t>+6 D</w:t>
                  </w:r>
                </w:p>
              </w:tc>
              <w:tc>
                <w:tcPr>
                  <w:tcW w:w="782" w:type="dxa"/>
                  <w:shd w:val="clear" w:color="auto" w:fill="auto"/>
                </w:tcPr>
                <w:p w14:paraId="1E458668" w14:textId="77777777" w:rsidR="00A54CF1" w:rsidRPr="00064185" w:rsidRDefault="00A54CF1" w:rsidP="00EA61D8">
                  <w:pPr>
                    <w:rPr>
                      <w:b/>
                      <w:sz w:val="16"/>
                      <w:szCs w:val="16"/>
                    </w:rPr>
                  </w:pPr>
                  <w:r w:rsidRPr="00064185">
                    <w:rPr>
                      <w:b/>
                      <w:sz w:val="16"/>
                      <w:szCs w:val="16"/>
                    </w:rPr>
                    <w:t>+7 D</w:t>
                  </w:r>
                </w:p>
              </w:tc>
              <w:tc>
                <w:tcPr>
                  <w:tcW w:w="782" w:type="dxa"/>
                  <w:shd w:val="clear" w:color="auto" w:fill="auto"/>
                </w:tcPr>
                <w:p w14:paraId="6C42050B" w14:textId="77777777" w:rsidR="00A54CF1" w:rsidRPr="00064185" w:rsidRDefault="00A54CF1" w:rsidP="00EA61D8">
                  <w:pPr>
                    <w:rPr>
                      <w:b/>
                      <w:sz w:val="16"/>
                      <w:szCs w:val="16"/>
                    </w:rPr>
                  </w:pPr>
                  <w:r w:rsidRPr="00064185">
                    <w:rPr>
                      <w:b/>
                      <w:sz w:val="16"/>
                      <w:szCs w:val="16"/>
                    </w:rPr>
                    <w:t>+8 D</w:t>
                  </w:r>
                </w:p>
              </w:tc>
            </w:tr>
            <w:tr w:rsidR="00064185" w:rsidRPr="00064185" w14:paraId="29C56138" w14:textId="77777777" w:rsidTr="008F40BA">
              <w:trPr>
                <w:trHeight w:val="323"/>
              </w:trPr>
              <w:tc>
                <w:tcPr>
                  <w:tcW w:w="1939" w:type="dxa"/>
                  <w:shd w:val="clear" w:color="auto" w:fill="auto"/>
                </w:tcPr>
                <w:p w14:paraId="100585BB" w14:textId="77777777" w:rsidR="00A54CF1" w:rsidRPr="00064185" w:rsidRDefault="00A54CF1" w:rsidP="00EA61D8">
                  <w:pPr>
                    <w:rPr>
                      <w:sz w:val="16"/>
                      <w:szCs w:val="16"/>
                    </w:rPr>
                  </w:pPr>
                  <w:r w:rsidRPr="00064185">
                    <w:rPr>
                      <w:sz w:val="16"/>
                      <w:szCs w:val="16"/>
                    </w:rPr>
                    <w:t>Untreated</w:t>
                  </w:r>
                </w:p>
              </w:tc>
              <w:tc>
                <w:tcPr>
                  <w:tcW w:w="781" w:type="dxa"/>
                  <w:shd w:val="clear" w:color="auto" w:fill="auto"/>
                </w:tcPr>
                <w:p w14:paraId="3EE804F1" w14:textId="77777777" w:rsidR="00A54CF1" w:rsidRPr="00064185" w:rsidRDefault="00A54CF1" w:rsidP="00EA61D8">
                  <w:pPr>
                    <w:rPr>
                      <w:sz w:val="16"/>
                      <w:szCs w:val="16"/>
                    </w:rPr>
                  </w:pPr>
                  <w:r w:rsidRPr="00064185">
                    <w:rPr>
                      <w:sz w:val="16"/>
                      <w:szCs w:val="16"/>
                    </w:rPr>
                    <w:t>0.3</w:t>
                  </w:r>
                </w:p>
              </w:tc>
              <w:tc>
                <w:tcPr>
                  <w:tcW w:w="782" w:type="dxa"/>
                </w:tcPr>
                <w:p w14:paraId="66125941" w14:textId="77777777" w:rsidR="00A54CF1" w:rsidRPr="00064185" w:rsidRDefault="00A54CF1" w:rsidP="00EA61D8">
                  <w:pPr>
                    <w:rPr>
                      <w:sz w:val="16"/>
                      <w:szCs w:val="16"/>
                    </w:rPr>
                  </w:pPr>
                  <w:r w:rsidRPr="00064185">
                    <w:rPr>
                      <w:sz w:val="16"/>
                      <w:szCs w:val="16"/>
                    </w:rPr>
                    <w:t>1.0</w:t>
                  </w:r>
                </w:p>
              </w:tc>
              <w:tc>
                <w:tcPr>
                  <w:tcW w:w="782" w:type="dxa"/>
                </w:tcPr>
                <w:p w14:paraId="68F70C4B" w14:textId="77777777" w:rsidR="00A54CF1" w:rsidRPr="00064185" w:rsidRDefault="00A54CF1" w:rsidP="00EA61D8">
                  <w:pPr>
                    <w:rPr>
                      <w:sz w:val="16"/>
                      <w:szCs w:val="16"/>
                    </w:rPr>
                  </w:pPr>
                  <w:r w:rsidRPr="00064185">
                    <w:rPr>
                      <w:sz w:val="16"/>
                      <w:szCs w:val="16"/>
                    </w:rPr>
                    <w:t>1.6</w:t>
                  </w:r>
                </w:p>
              </w:tc>
              <w:tc>
                <w:tcPr>
                  <w:tcW w:w="782" w:type="dxa"/>
                </w:tcPr>
                <w:p w14:paraId="689F98D9" w14:textId="77777777" w:rsidR="00A54CF1" w:rsidRPr="00064185" w:rsidRDefault="00A54CF1" w:rsidP="00EA61D8">
                  <w:pPr>
                    <w:rPr>
                      <w:sz w:val="16"/>
                      <w:szCs w:val="16"/>
                    </w:rPr>
                  </w:pPr>
                  <w:r w:rsidRPr="00064185">
                    <w:rPr>
                      <w:sz w:val="16"/>
                      <w:szCs w:val="16"/>
                    </w:rPr>
                    <w:t>1.6</w:t>
                  </w:r>
                </w:p>
              </w:tc>
              <w:tc>
                <w:tcPr>
                  <w:tcW w:w="781" w:type="dxa"/>
                </w:tcPr>
                <w:p w14:paraId="4DB7A37C" w14:textId="77777777" w:rsidR="00A54CF1" w:rsidRPr="00064185" w:rsidRDefault="00A54CF1" w:rsidP="00EA61D8">
                  <w:pPr>
                    <w:rPr>
                      <w:sz w:val="16"/>
                      <w:szCs w:val="16"/>
                    </w:rPr>
                  </w:pPr>
                  <w:r w:rsidRPr="00064185">
                    <w:rPr>
                      <w:sz w:val="16"/>
                      <w:szCs w:val="16"/>
                    </w:rPr>
                    <w:t>2.3</w:t>
                  </w:r>
                </w:p>
              </w:tc>
              <w:tc>
                <w:tcPr>
                  <w:tcW w:w="782" w:type="dxa"/>
                  <w:shd w:val="clear" w:color="auto" w:fill="auto"/>
                </w:tcPr>
                <w:p w14:paraId="1907A00B" w14:textId="77777777" w:rsidR="00A54CF1" w:rsidRPr="00064185" w:rsidRDefault="00A54CF1" w:rsidP="00EA61D8">
                  <w:pPr>
                    <w:rPr>
                      <w:sz w:val="16"/>
                      <w:szCs w:val="16"/>
                    </w:rPr>
                  </w:pPr>
                  <w:r w:rsidRPr="00064185">
                    <w:rPr>
                      <w:sz w:val="16"/>
                      <w:szCs w:val="16"/>
                    </w:rPr>
                    <w:t>2.6</w:t>
                  </w:r>
                </w:p>
              </w:tc>
              <w:tc>
                <w:tcPr>
                  <w:tcW w:w="782" w:type="dxa"/>
                  <w:shd w:val="clear" w:color="auto" w:fill="auto"/>
                </w:tcPr>
                <w:p w14:paraId="54939139" w14:textId="77777777" w:rsidR="00A54CF1" w:rsidRPr="00064185" w:rsidRDefault="00A54CF1" w:rsidP="00EA61D8">
                  <w:pPr>
                    <w:rPr>
                      <w:sz w:val="16"/>
                      <w:szCs w:val="16"/>
                    </w:rPr>
                  </w:pPr>
                  <w:r w:rsidRPr="00064185">
                    <w:rPr>
                      <w:sz w:val="16"/>
                      <w:szCs w:val="16"/>
                    </w:rPr>
                    <w:t>2.6</w:t>
                  </w:r>
                </w:p>
              </w:tc>
              <w:tc>
                <w:tcPr>
                  <w:tcW w:w="782" w:type="dxa"/>
                  <w:shd w:val="clear" w:color="auto" w:fill="auto"/>
                </w:tcPr>
                <w:p w14:paraId="3C371FA2" w14:textId="77777777" w:rsidR="00A54CF1" w:rsidRPr="00064185" w:rsidRDefault="00A54CF1" w:rsidP="00EA61D8">
                  <w:pPr>
                    <w:rPr>
                      <w:sz w:val="16"/>
                      <w:szCs w:val="16"/>
                    </w:rPr>
                  </w:pPr>
                  <w:r w:rsidRPr="00064185">
                    <w:rPr>
                      <w:sz w:val="16"/>
                      <w:szCs w:val="16"/>
                    </w:rPr>
                    <w:t>3.0</w:t>
                  </w:r>
                </w:p>
              </w:tc>
            </w:tr>
            <w:tr w:rsidR="00064185" w:rsidRPr="00064185" w14:paraId="01C87864" w14:textId="77777777" w:rsidTr="008F40BA">
              <w:trPr>
                <w:trHeight w:val="311"/>
              </w:trPr>
              <w:tc>
                <w:tcPr>
                  <w:tcW w:w="1939" w:type="dxa"/>
                  <w:shd w:val="clear" w:color="auto" w:fill="auto"/>
                </w:tcPr>
                <w:p w14:paraId="142F733E" w14:textId="77777777" w:rsidR="00A54CF1" w:rsidRPr="00064185" w:rsidRDefault="00A54CF1" w:rsidP="00EA61D8">
                  <w:pPr>
                    <w:rPr>
                      <w:sz w:val="16"/>
                      <w:szCs w:val="16"/>
                    </w:rPr>
                  </w:pPr>
                  <w:r w:rsidRPr="00064185">
                    <w:rPr>
                      <w:sz w:val="16"/>
                      <w:szCs w:val="16"/>
                    </w:rPr>
                    <w:t>COM 116 02 I AL spray</w:t>
                  </w:r>
                </w:p>
              </w:tc>
              <w:tc>
                <w:tcPr>
                  <w:tcW w:w="781" w:type="dxa"/>
                  <w:shd w:val="clear" w:color="auto" w:fill="auto"/>
                </w:tcPr>
                <w:p w14:paraId="7B64D974" w14:textId="77777777" w:rsidR="00A54CF1" w:rsidRPr="00064185" w:rsidRDefault="00A54CF1" w:rsidP="00EA61D8">
                  <w:pPr>
                    <w:rPr>
                      <w:sz w:val="16"/>
                      <w:szCs w:val="16"/>
                    </w:rPr>
                  </w:pPr>
                  <w:r w:rsidRPr="00064185">
                    <w:rPr>
                      <w:sz w:val="16"/>
                      <w:szCs w:val="16"/>
                    </w:rPr>
                    <w:t>0.0</w:t>
                  </w:r>
                </w:p>
              </w:tc>
              <w:tc>
                <w:tcPr>
                  <w:tcW w:w="782" w:type="dxa"/>
                </w:tcPr>
                <w:p w14:paraId="66F71F5D" w14:textId="77777777" w:rsidR="00A54CF1" w:rsidRPr="00064185" w:rsidRDefault="00A54CF1" w:rsidP="00EA61D8">
                  <w:pPr>
                    <w:rPr>
                      <w:sz w:val="16"/>
                      <w:szCs w:val="16"/>
                    </w:rPr>
                  </w:pPr>
                  <w:r w:rsidRPr="00064185">
                    <w:rPr>
                      <w:sz w:val="16"/>
                      <w:szCs w:val="16"/>
                    </w:rPr>
                    <w:t>0.3</w:t>
                  </w:r>
                </w:p>
              </w:tc>
              <w:tc>
                <w:tcPr>
                  <w:tcW w:w="782" w:type="dxa"/>
                </w:tcPr>
                <w:p w14:paraId="317B261A" w14:textId="77777777" w:rsidR="00A54CF1" w:rsidRPr="00064185" w:rsidRDefault="00A54CF1" w:rsidP="00EA61D8">
                  <w:pPr>
                    <w:rPr>
                      <w:sz w:val="16"/>
                      <w:szCs w:val="16"/>
                    </w:rPr>
                  </w:pPr>
                  <w:r w:rsidRPr="00064185">
                    <w:rPr>
                      <w:sz w:val="16"/>
                      <w:szCs w:val="16"/>
                    </w:rPr>
                    <w:t>15.2</w:t>
                  </w:r>
                </w:p>
              </w:tc>
              <w:tc>
                <w:tcPr>
                  <w:tcW w:w="782" w:type="dxa"/>
                </w:tcPr>
                <w:p w14:paraId="5C717BD3" w14:textId="77777777" w:rsidR="00A54CF1" w:rsidRPr="00064185" w:rsidRDefault="00A54CF1" w:rsidP="00EA61D8">
                  <w:pPr>
                    <w:rPr>
                      <w:sz w:val="16"/>
                      <w:szCs w:val="16"/>
                    </w:rPr>
                  </w:pPr>
                  <w:r w:rsidRPr="00064185">
                    <w:rPr>
                      <w:sz w:val="16"/>
                      <w:szCs w:val="16"/>
                    </w:rPr>
                    <w:t>31.5</w:t>
                  </w:r>
                </w:p>
              </w:tc>
              <w:tc>
                <w:tcPr>
                  <w:tcW w:w="781" w:type="dxa"/>
                </w:tcPr>
                <w:p w14:paraId="08A83954" w14:textId="77777777" w:rsidR="00A54CF1" w:rsidRPr="00064185" w:rsidRDefault="00A54CF1" w:rsidP="00EA61D8">
                  <w:pPr>
                    <w:rPr>
                      <w:sz w:val="16"/>
                      <w:szCs w:val="16"/>
                    </w:rPr>
                  </w:pPr>
                  <w:r w:rsidRPr="00064185">
                    <w:rPr>
                      <w:sz w:val="16"/>
                      <w:szCs w:val="16"/>
                    </w:rPr>
                    <w:t>55.4</w:t>
                  </w:r>
                </w:p>
              </w:tc>
              <w:tc>
                <w:tcPr>
                  <w:tcW w:w="782" w:type="dxa"/>
                  <w:shd w:val="clear" w:color="auto" w:fill="auto"/>
                </w:tcPr>
                <w:p w14:paraId="38ABFFAB" w14:textId="77777777" w:rsidR="00A54CF1" w:rsidRPr="00064185" w:rsidRDefault="00A54CF1" w:rsidP="00EA61D8">
                  <w:pPr>
                    <w:rPr>
                      <w:sz w:val="16"/>
                      <w:szCs w:val="16"/>
                    </w:rPr>
                  </w:pPr>
                  <w:r w:rsidRPr="00064185">
                    <w:rPr>
                      <w:sz w:val="16"/>
                      <w:szCs w:val="16"/>
                    </w:rPr>
                    <w:t>75.2</w:t>
                  </w:r>
                </w:p>
              </w:tc>
              <w:tc>
                <w:tcPr>
                  <w:tcW w:w="782" w:type="dxa"/>
                  <w:shd w:val="clear" w:color="auto" w:fill="auto"/>
                </w:tcPr>
                <w:p w14:paraId="397C06C8" w14:textId="77777777" w:rsidR="00A54CF1" w:rsidRPr="00064185" w:rsidRDefault="00A54CF1" w:rsidP="00EA61D8">
                  <w:pPr>
                    <w:rPr>
                      <w:sz w:val="16"/>
                      <w:szCs w:val="16"/>
                    </w:rPr>
                  </w:pPr>
                  <w:r w:rsidRPr="00064185">
                    <w:rPr>
                      <w:sz w:val="16"/>
                      <w:szCs w:val="16"/>
                    </w:rPr>
                    <w:t>99.0</w:t>
                  </w:r>
                </w:p>
              </w:tc>
              <w:tc>
                <w:tcPr>
                  <w:tcW w:w="782" w:type="dxa"/>
                  <w:shd w:val="clear" w:color="auto" w:fill="auto"/>
                </w:tcPr>
                <w:p w14:paraId="661D0151" w14:textId="77777777" w:rsidR="00A54CF1" w:rsidRPr="00064185" w:rsidRDefault="00A54CF1" w:rsidP="00EA61D8">
                  <w:pPr>
                    <w:rPr>
                      <w:sz w:val="16"/>
                      <w:szCs w:val="16"/>
                    </w:rPr>
                  </w:pPr>
                  <w:r w:rsidRPr="00064185">
                    <w:rPr>
                      <w:sz w:val="16"/>
                      <w:szCs w:val="16"/>
                    </w:rPr>
                    <w:t>100</w:t>
                  </w:r>
                </w:p>
              </w:tc>
            </w:tr>
            <w:tr w:rsidR="00064185" w:rsidRPr="00064185" w14:paraId="539CE20E" w14:textId="77777777" w:rsidTr="008F40BA">
              <w:trPr>
                <w:trHeight w:val="565"/>
              </w:trPr>
              <w:tc>
                <w:tcPr>
                  <w:tcW w:w="1939" w:type="dxa"/>
                  <w:shd w:val="clear" w:color="auto" w:fill="auto"/>
                </w:tcPr>
                <w:p w14:paraId="02BF4064" w14:textId="77777777" w:rsidR="00A54CF1" w:rsidRPr="00064185" w:rsidRDefault="00A54CF1" w:rsidP="00EA61D8">
                  <w:pPr>
                    <w:rPr>
                      <w:sz w:val="16"/>
                      <w:szCs w:val="16"/>
                    </w:rPr>
                  </w:pPr>
                  <w:r w:rsidRPr="00064185">
                    <w:rPr>
                      <w:sz w:val="16"/>
                      <w:szCs w:val="16"/>
                    </w:rPr>
                    <w:t>Standard AFOURMI SG “strewing”</w:t>
                  </w:r>
                </w:p>
              </w:tc>
              <w:tc>
                <w:tcPr>
                  <w:tcW w:w="781" w:type="dxa"/>
                  <w:shd w:val="clear" w:color="auto" w:fill="auto"/>
                </w:tcPr>
                <w:p w14:paraId="7E15E84F" w14:textId="77777777" w:rsidR="00A54CF1" w:rsidRPr="00064185" w:rsidRDefault="00A54CF1" w:rsidP="00EA61D8">
                  <w:pPr>
                    <w:rPr>
                      <w:sz w:val="16"/>
                      <w:szCs w:val="16"/>
                    </w:rPr>
                  </w:pPr>
                  <w:r w:rsidRPr="00064185">
                    <w:rPr>
                      <w:sz w:val="16"/>
                      <w:szCs w:val="16"/>
                    </w:rPr>
                    <w:t>0.0</w:t>
                  </w:r>
                </w:p>
              </w:tc>
              <w:tc>
                <w:tcPr>
                  <w:tcW w:w="782" w:type="dxa"/>
                </w:tcPr>
                <w:p w14:paraId="297E2771" w14:textId="77777777" w:rsidR="00A54CF1" w:rsidRPr="00064185" w:rsidRDefault="00A54CF1" w:rsidP="00EA61D8">
                  <w:pPr>
                    <w:rPr>
                      <w:sz w:val="16"/>
                      <w:szCs w:val="16"/>
                    </w:rPr>
                  </w:pPr>
                  <w:r w:rsidRPr="00064185">
                    <w:rPr>
                      <w:sz w:val="16"/>
                      <w:szCs w:val="16"/>
                    </w:rPr>
                    <w:t>0.0</w:t>
                  </w:r>
                </w:p>
              </w:tc>
              <w:tc>
                <w:tcPr>
                  <w:tcW w:w="782" w:type="dxa"/>
                </w:tcPr>
                <w:p w14:paraId="67BBD8EA" w14:textId="77777777" w:rsidR="00A54CF1" w:rsidRPr="00064185" w:rsidRDefault="00A54CF1" w:rsidP="00EA61D8">
                  <w:pPr>
                    <w:rPr>
                      <w:sz w:val="16"/>
                      <w:szCs w:val="16"/>
                    </w:rPr>
                  </w:pPr>
                  <w:r w:rsidRPr="00064185">
                    <w:rPr>
                      <w:sz w:val="16"/>
                      <w:szCs w:val="16"/>
                    </w:rPr>
                    <w:t>23.3</w:t>
                  </w:r>
                </w:p>
              </w:tc>
              <w:tc>
                <w:tcPr>
                  <w:tcW w:w="782" w:type="dxa"/>
                </w:tcPr>
                <w:p w14:paraId="2C7D720F" w14:textId="77777777" w:rsidR="00A54CF1" w:rsidRPr="00064185" w:rsidRDefault="00A54CF1" w:rsidP="00EA61D8">
                  <w:pPr>
                    <w:rPr>
                      <w:sz w:val="16"/>
                      <w:szCs w:val="16"/>
                    </w:rPr>
                  </w:pPr>
                  <w:r w:rsidRPr="00064185">
                    <w:rPr>
                      <w:sz w:val="16"/>
                      <w:szCs w:val="16"/>
                    </w:rPr>
                    <w:t>64.5</w:t>
                  </w:r>
                </w:p>
              </w:tc>
              <w:tc>
                <w:tcPr>
                  <w:tcW w:w="781" w:type="dxa"/>
                </w:tcPr>
                <w:p w14:paraId="638D7640" w14:textId="77777777" w:rsidR="00A54CF1" w:rsidRPr="00064185" w:rsidRDefault="00A54CF1" w:rsidP="00EA61D8">
                  <w:pPr>
                    <w:rPr>
                      <w:sz w:val="16"/>
                      <w:szCs w:val="16"/>
                    </w:rPr>
                  </w:pPr>
                  <w:r w:rsidRPr="00064185">
                    <w:rPr>
                      <w:sz w:val="16"/>
                      <w:szCs w:val="16"/>
                    </w:rPr>
                    <w:t>100</w:t>
                  </w:r>
                </w:p>
              </w:tc>
              <w:tc>
                <w:tcPr>
                  <w:tcW w:w="782" w:type="dxa"/>
                  <w:shd w:val="clear" w:color="auto" w:fill="auto"/>
                </w:tcPr>
                <w:p w14:paraId="44FE560F" w14:textId="77777777" w:rsidR="00A54CF1" w:rsidRPr="00064185" w:rsidRDefault="00A54CF1" w:rsidP="00EA61D8">
                  <w:pPr>
                    <w:rPr>
                      <w:sz w:val="16"/>
                      <w:szCs w:val="16"/>
                    </w:rPr>
                  </w:pPr>
                  <w:r w:rsidRPr="00064185">
                    <w:rPr>
                      <w:sz w:val="16"/>
                      <w:szCs w:val="16"/>
                    </w:rPr>
                    <w:t>100</w:t>
                  </w:r>
                </w:p>
              </w:tc>
              <w:tc>
                <w:tcPr>
                  <w:tcW w:w="782" w:type="dxa"/>
                  <w:shd w:val="clear" w:color="auto" w:fill="auto"/>
                </w:tcPr>
                <w:p w14:paraId="6C384AFF" w14:textId="77777777" w:rsidR="00A54CF1" w:rsidRPr="00064185" w:rsidRDefault="00A54CF1" w:rsidP="00EA61D8">
                  <w:pPr>
                    <w:rPr>
                      <w:sz w:val="16"/>
                      <w:szCs w:val="16"/>
                    </w:rPr>
                  </w:pPr>
                  <w:r w:rsidRPr="00064185">
                    <w:rPr>
                      <w:sz w:val="16"/>
                      <w:szCs w:val="16"/>
                    </w:rPr>
                    <w:t>100</w:t>
                  </w:r>
                </w:p>
              </w:tc>
              <w:tc>
                <w:tcPr>
                  <w:tcW w:w="782" w:type="dxa"/>
                  <w:shd w:val="clear" w:color="auto" w:fill="auto"/>
                </w:tcPr>
                <w:p w14:paraId="46A218C4" w14:textId="77777777" w:rsidR="00A54CF1" w:rsidRPr="00064185" w:rsidRDefault="00A54CF1" w:rsidP="00EA61D8">
                  <w:pPr>
                    <w:rPr>
                      <w:sz w:val="16"/>
                      <w:szCs w:val="16"/>
                    </w:rPr>
                  </w:pPr>
                  <w:r w:rsidRPr="00064185">
                    <w:rPr>
                      <w:sz w:val="16"/>
                      <w:szCs w:val="16"/>
                    </w:rPr>
                    <w:t>100</w:t>
                  </w:r>
                </w:p>
              </w:tc>
            </w:tr>
            <w:tr w:rsidR="00064185" w:rsidRPr="00064185" w14:paraId="7C3A101E" w14:textId="77777777" w:rsidTr="008F40BA">
              <w:trPr>
                <w:trHeight w:val="554"/>
              </w:trPr>
              <w:tc>
                <w:tcPr>
                  <w:tcW w:w="1939" w:type="dxa"/>
                  <w:shd w:val="clear" w:color="auto" w:fill="auto"/>
                </w:tcPr>
                <w:p w14:paraId="44991E88" w14:textId="77777777" w:rsidR="00A54CF1" w:rsidRPr="00064185" w:rsidRDefault="00A54CF1" w:rsidP="00EA61D8">
                  <w:pPr>
                    <w:rPr>
                      <w:sz w:val="16"/>
                      <w:szCs w:val="16"/>
                    </w:rPr>
                  </w:pPr>
                  <w:r w:rsidRPr="00064185">
                    <w:rPr>
                      <w:sz w:val="16"/>
                      <w:szCs w:val="16"/>
                    </w:rPr>
                    <w:t>Standard AFOURMI SG “drenching”</w:t>
                  </w:r>
                </w:p>
              </w:tc>
              <w:tc>
                <w:tcPr>
                  <w:tcW w:w="781" w:type="dxa"/>
                  <w:shd w:val="clear" w:color="auto" w:fill="auto"/>
                </w:tcPr>
                <w:p w14:paraId="41353361" w14:textId="77777777" w:rsidR="00A54CF1" w:rsidRPr="00064185" w:rsidRDefault="00A54CF1" w:rsidP="00EA61D8">
                  <w:pPr>
                    <w:rPr>
                      <w:sz w:val="16"/>
                      <w:szCs w:val="16"/>
                    </w:rPr>
                  </w:pPr>
                  <w:r w:rsidRPr="00064185">
                    <w:rPr>
                      <w:sz w:val="16"/>
                      <w:szCs w:val="16"/>
                    </w:rPr>
                    <w:t>0.0</w:t>
                  </w:r>
                </w:p>
              </w:tc>
              <w:tc>
                <w:tcPr>
                  <w:tcW w:w="782" w:type="dxa"/>
                </w:tcPr>
                <w:p w14:paraId="3100E043" w14:textId="77777777" w:rsidR="00A54CF1" w:rsidRPr="00064185" w:rsidRDefault="00A54CF1" w:rsidP="00EA61D8">
                  <w:pPr>
                    <w:rPr>
                      <w:sz w:val="16"/>
                      <w:szCs w:val="16"/>
                    </w:rPr>
                  </w:pPr>
                  <w:r w:rsidRPr="00064185">
                    <w:rPr>
                      <w:sz w:val="16"/>
                      <w:szCs w:val="16"/>
                    </w:rPr>
                    <w:t>0.0</w:t>
                  </w:r>
                </w:p>
              </w:tc>
              <w:tc>
                <w:tcPr>
                  <w:tcW w:w="782" w:type="dxa"/>
                </w:tcPr>
                <w:p w14:paraId="09A843E2" w14:textId="77777777" w:rsidR="00A54CF1" w:rsidRPr="00064185" w:rsidRDefault="00A54CF1" w:rsidP="00EA61D8">
                  <w:pPr>
                    <w:rPr>
                      <w:sz w:val="16"/>
                      <w:szCs w:val="16"/>
                    </w:rPr>
                  </w:pPr>
                  <w:r w:rsidRPr="00064185">
                    <w:rPr>
                      <w:sz w:val="16"/>
                      <w:szCs w:val="16"/>
                    </w:rPr>
                    <w:t>16.5</w:t>
                  </w:r>
                </w:p>
              </w:tc>
              <w:tc>
                <w:tcPr>
                  <w:tcW w:w="782" w:type="dxa"/>
                </w:tcPr>
                <w:p w14:paraId="1740EAE7" w14:textId="77777777" w:rsidR="00A54CF1" w:rsidRPr="00064185" w:rsidRDefault="00A54CF1" w:rsidP="00EA61D8">
                  <w:pPr>
                    <w:rPr>
                      <w:sz w:val="16"/>
                      <w:szCs w:val="16"/>
                    </w:rPr>
                  </w:pPr>
                  <w:r w:rsidRPr="00064185">
                    <w:rPr>
                      <w:sz w:val="16"/>
                      <w:szCs w:val="16"/>
                    </w:rPr>
                    <w:t>45.2</w:t>
                  </w:r>
                </w:p>
              </w:tc>
              <w:tc>
                <w:tcPr>
                  <w:tcW w:w="781" w:type="dxa"/>
                </w:tcPr>
                <w:p w14:paraId="3080636E" w14:textId="77777777" w:rsidR="00A54CF1" w:rsidRPr="00064185" w:rsidRDefault="00A54CF1" w:rsidP="00EA61D8">
                  <w:pPr>
                    <w:rPr>
                      <w:sz w:val="16"/>
                      <w:szCs w:val="16"/>
                    </w:rPr>
                  </w:pPr>
                  <w:r w:rsidRPr="00064185">
                    <w:rPr>
                      <w:sz w:val="16"/>
                      <w:szCs w:val="16"/>
                    </w:rPr>
                    <w:t>77.7</w:t>
                  </w:r>
                </w:p>
              </w:tc>
              <w:tc>
                <w:tcPr>
                  <w:tcW w:w="782" w:type="dxa"/>
                  <w:shd w:val="clear" w:color="auto" w:fill="auto"/>
                </w:tcPr>
                <w:p w14:paraId="48733FB0" w14:textId="77777777" w:rsidR="00A54CF1" w:rsidRPr="00064185" w:rsidRDefault="00A54CF1" w:rsidP="00EA61D8">
                  <w:pPr>
                    <w:rPr>
                      <w:sz w:val="16"/>
                      <w:szCs w:val="16"/>
                    </w:rPr>
                  </w:pPr>
                  <w:r w:rsidRPr="00064185">
                    <w:rPr>
                      <w:sz w:val="16"/>
                      <w:szCs w:val="16"/>
                    </w:rPr>
                    <w:t>94.0</w:t>
                  </w:r>
                </w:p>
              </w:tc>
              <w:tc>
                <w:tcPr>
                  <w:tcW w:w="782" w:type="dxa"/>
                  <w:shd w:val="clear" w:color="auto" w:fill="auto"/>
                </w:tcPr>
                <w:p w14:paraId="085F1CC8" w14:textId="77777777" w:rsidR="00A54CF1" w:rsidRPr="00064185" w:rsidRDefault="00A54CF1" w:rsidP="00EA61D8">
                  <w:pPr>
                    <w:rPr>
                      <w:sz w:val="16"/>
                      <w:szCs w:val="16"/>
                    </w:rPr>
                  </w:pPr>
                  <w:r w:rsidRPr="00064185">
                    <w:rPr>
                      <w:sz w:val="16"/>
                      <w:szCs w:val="16"/>
                    </w:rPr>
                    <w:t>98.0</w:t>
                  </w:r>
                </w:p>
              </w:tc>
              <w:tc>
                <w:tcPr>
                  <w:tcW w:w="782" w:type="dxa"/>
                  <w:shd w:val="clear" w:color="auto" w:fill="auto"/>
                </w:tcPr>
                <w:p w14:paraId="43DFCFF7" w14:textId="77777777" w:rsidR="00A54CF1" w:rsidRPr="00064185" w:rsidRDefault="00A54CF1" w:rsidP="00EA61D8">
                  <w:pPr>
                    <w:rPr>
                      <w:sz w:val="16"/>
                      <w:szCs w:val="16"/>
                    </w:rPr>
                  </w:pPr>
                  <w:r w:rsidRPr="00064185">
                    <w:rPr>
                      <w:sz w:val="16"/>
                      <w:szCs w:val="16"/>
                    </w:rPr>
                    <w:t>100</w:t>
                  </w:r>
                </w:p>
              </w:tc>
            </w:tr>
          </w:tbl>
          <w:p w14:paraId="5A89437C" w14:textId="77777777" w:rsidR="00A54CF1" w:rsidRPr="00064185" w:rsidRDefault="00A54CF1" w:rsidP="00EA61D8">
            <w:pPr>
              <w:rPr>
                <w:sz w:val="16"/>
                <w:szCs w:val="16"/>
              </w:rPr>
            </w:pPr>
          </w:p>
          <w:p w14:paraId="5EEEDE29" w14:textId="77777777" w:rsidR="00A54CF1" w:rsidRPr="00064185" w:rsidRDefault="00A54CF1" w:rsidP="00EA61D8">
            <w:pPr>
              <w:rPr>
                <w:sz w:val="16"/>
                <w:szCs w:val="16"/>
              </w:rPr>
            </w:pPr>
            <w:r w:rsidRPr="00064185">
              <w:rPr>
                <w:sz w:val="16"/>
                <w:szCs w:val="16"/>
              </w:rPr>
              <w:t>Arena trial without food: % mortality (mean of 3 replicates)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73"/>
              <w:gridCol w:w="773"/>
              <w:gridCol w:w="776"/>
              <w:gridCol w:w="776"/>
              <w:gridCol w:w="775"/>
              <w:gridCol w:w="776"/>
              <w:gridCol w:w="776"/>
              <w:gridCol w:w="775"/>
            </w:tblGrid>
            <w:tr w:rsidR="00064185" w:rsidRPr="00064185" w14:paraId="532D93EE" w14:textId="77777777" w:rsidTr="008F40BA">
              <w:trPr>
                <w:trHeight w:val="323"/>
              </w:trPr>
              <w:tc>
                <w:tcPr>
                  <w:tcW w:w="1939" w:type="dxa"/>
                  <w:shd w:val="clear" w:color="auto" w:fill="auto"/>
                </w:tcPr>
                <w:p w14:paraId="0CCDBD3D" w14:textId="77777777" w:rsidR="00A54CF1" w:rsidRPr="00064185" w:rsidRDefault="00A54CF1" w:rsidP="00EA61D8">
                  <w:pPr>
                    <w:rPr>
                      <w:b/>
                      <w:sz w:val="16"/>
                      <w:szCs w:val="16"/>
                    </w:rPr>
                  </w:pPr>
                </w:p>
              </w:tc>
              <w:tc>
                <w:tcPr>
                  <w:tcW w:w="781" w:type="dxa"/>
                  <w:shd w:val="clear" w:color="auto" w:fill="auto"/>
                </w:tcPr>
                <w:p w14:paraId="4BE187AE" w14:textId="77777777" w:rsidR="00A54CF1" w:rsidRPr="00064185" w:rsidRDefault="00A54CF1" w:rsidP="00EA61D8">
                  <w:pPr>
                    <w:rPr>
                      <w:b/>
                      <w:sz w:val="16"/>
                      <w:szCs w:val="16"/>
                    </w:rPr>
                  </w:pPr>
                  <w:r w:rsidRPr="00064185">
                    <w:rPr>
                      <w:b/>
                      <w:sz w:val="16"/>
                      <w:szCs w:val="16"/>
                    </w:rPr>
                    <w:t>+1 D</w:t>
                  </w:r>
                </w:p>
              </w:tc>
              <w:tc>
                <w:tcPr>
                  <w:tcW w:w="782" w:type="dxa"/>
                </w:tcPr>
                <w:p w14:paraId="261EF2BB" w14:textId="77777777" w:rsidR="00A54CF1" w:rsidRPr="00064185" w:rsidRDefault="00A54CF1" w:rsidP="00EA61D8">
                  <w:pPr>
                    <w:rPr>
                      <w:b/>
                      <w:sz w:val="16"/>
                      <w:szCs w:val="16"/>
                    </w:rPr>
                  </w:pPr>
                  <w:r w:rsidRPr="00064185">
                    <w:rPr>
                      <w:b/>
                      <w:sz w:val="16"/>
                      <w:szCs w:val="16"/>
                    </w:rPr>
                    <w:t>+2 D</w:t>
                  </w:r>
                </w:p>
              </w:tc>
              <w:tc>
                <w:tcPr>
                  <w:tcW w:w="782" w:type="dxa"/>
                </w:tcPr>
                <w:p w14:paraId="0C52C595" w14:textId="77777777" w:rsidR="00A54CF1" w:rsidRPr="00064185" w:rsidRDefault="00A54CF1" w:rsidP="00EA61D8">
                  <w:pPr>
                    <w:rPr>
                      <w:b/>
                      <w:sz w:val="16"/>
                      <w:szCs w:val="16"/>
                    </w:rPr>
                  </w:pPr>
                  <w:r w:rsidRPr="00064185">
                    <w:rPr>
                      <w:b/>
                      <w:sz w:val="16"/>
                      <w:szCs w:val="16"/>
                    </w:rPr>
                    <w:t>+3 D</w:t>
                  </w:r>
                </w:p>
              </w:tc>
              <w:tc>
                <w:tcPr>
                  <w:tcW w:w="782" w:type="dxa"/>
                </w:tcPr>
                <w:p w14:paraId="5E7289D8" w14:textId="77777777" w:rsidR="00A54CF1" w:rsidRPr="00064185" w:rsidRDefault="00A54CF1" w:rsidP="00EA61D8">
                  <w:pPr>
                    <w:rPr>
                      <w:b/>
                      <w:sz w:val="16"/>
                      <w:szCs w:val="16"/>
                    </w:rPr>
                  </w:pPr>
                  <w:r w:rsidRPr="00064185">
                    <w:rPr>
                      <w:b/>
                      <w:sz w:val="16"/>
                      <w:szCs w:val="16"/>
                    </w:rPr>
                    <w:t>+4 D</w:t>
                  </w:r>
                </w:p>
              </w:tc>
              <w:tc>
                <w:tcPr>
                  <w:tcW w:w="781" w:type="dxa"/>
                </w:tcPr>
                <w:p w14:paraId="6B1EFD75" w14:textId="77777777" w:rsidR="00A54CF1" w:rsidRPr="00064185" w:rsidRDefault="00A54CF1" w:rsidP="00EA61D8">
                  <w:pPr>
                    <w:rPr>
                      <w:b/>
                      <w:sz w:val="16"/>
                      <w:szCs w:val="16"/>
                    </w:rPr>
                  </w:pPr>
                  <w:r w:rsidRPr="00064185">
                    <w:rPr>
                      <w:b/>
                      <w:sz w:val="16"/>
                      <w:szCs w:val="16"/>
                    </w:rPr>
                    <w:t>+5 D</w:t>
                  </w:r>
                </w:p>
              </w:tc>
              <w:tc>
                <w:tcPr>
                  <w:tcW w:w="782" w:type="dxa"/>
                  <w:shd w:val="clear" w:color="auto" w:fill="auto"/>
                </w:tcPr>
                <w:p w14:paraId="1EEE511D" w14:textId="77777777" w:rsidR="00A54CF1" w:rsidRPr="00064185" w:rsidRDefault="00A54CF1" w:rsidP="00EA61D8">
                  <w:pPr>
                    <w:rPr>
                      <w:b/>
                      <w:sz w:val="16"/>
                      <w:szCs w:val="16"/>
                    </w:rPr>
                  </w:pPr>
                  <w:r w:rsidRPr="00064185">
                    <w:rPr>
                      <w:b/>
                      <w:sz w:val="16"/>
                      <w:szCs w:val="16"/>
                    </w:rPr>
                    <w:t>+6 D</w:t>
                  </w:r>
                </w:p>
              </w:tc>
              <w:tc>
                <w:tcPr>
                  <w:tcW w:w="782" w:type="dxa"/>
                  <w:shd w:val="clear" w:color="auto" w:fill="auto"/>
                </w:tcPr>
                <w:p w14:paraId="37AA96AF" w14:textId="77777777" w:rsidR="00A54CF1" w:rsidRPr="00064185" w:rsidRDefault="00A54CF1" w:rsidP="00EA61D8">
                  <w:pPr>
                    <w:rPr>
                      <w:b/>
                      <w:sz w:val="16"/>
                      <w:szCs w:val="16"/>
                    </w:rPr>
                  </w:pPr>
                  <w:r w:rsidRPr="00064185">
                    <w:rPr>
                      <w:b/>
                      <w:sz w:val="16"/>
                      <w:szCs w:val="16"/>
                    </w:rPr>
                    <w:t>+7 D</w:t>
                  </w:r>
                </w:p>
              </w:tc>
              <w:tc>
                <w:tcPr>
                  <w:tcW w:w="782" w:type="dxa"/>
                  <w:shd w:val="clear" w:color="auto" w:fill="auto"/>
                </w:tcPr>
                <w:p w14:paraId="2663868D" w14:textId="77777777" w:rsidR="00A54CF1" w:rsidRPr="00064185" w:rsidRDefault="00A54CF1" w:rsidP="00EA61D8">
                  <w:pPr>
                    <w:rPr>
                      <w:b/>
                      <w:sz w:val="16"/>
                      <w:szCs w:val="16"/>
                    </w:rPr>
                  </w:pPr>
                  <w:r w:rsidRPr="00064185">
                    <w:rPr>
                      <w:b/>
                      <w:sz w:val="16"/>
                      <w:szCs w:val="16"/>
                    </w:rPr>
                    <w:t>+8 D</w:t>
                  </w:r>
                </w:p>
              </w:tc>
            </w:tr>
            <w:tr w:rsidR="00064185" w:rsidRPr="00064185" w14:paraId="74C7C6AA" w14:textId="77777777" w:rsidTr="008F40BA">
              <w:trPr>
                <w:trHeight w:val="323"/>
              </w:trPr>
              <w:tc>
                <w:tcPr>
                  <w:tcW w:w="1939" w:type="dxa"/>
                  <w:shd w:val="clear" w:color="auto" w:fill="auto"/>
                </w:tcPr>
                <w:p w14:paraId="169100F5" w14:textId="77777777" w:rsidR="00A54CF1" w:rsidRPr="00064185" w:rsidRDefault="00A54CF1" w:rsidP="00EA61D8">
                  <w:pPr>
                    <w:rPr>
                      <w:sz w:val="16"/>
                      <w:szCs w:val="16"/>
                    </w:rPr>
                  </w:pPr>
                  <w:r w:rsidRPr="00064185">
                    <w:rPr>
                      <w:sz w:val="16"/>
                      <w:szCs w:val="16"/>
                    </w:rPr>
                    <w:t>Untreated</w:t>
                  </w:r>
                </w:p>
              </w:tc>
              <w:tc>
                <w:tcPr>
                  <w:tcW w:w="781" w:type="dxa"/>
                  <w:shd w:val="clear" w:color="auto" w:fill="auto"/>
                </w:tcPr>
                <w:p w14:paraId="53DE7545" w14:textId="77777777" w:rsidR="00A54CF1" w:rsidRPr="00064185" w:rsidRDefault="00A54CF1" w:rsidP="00EA61D8">
                  <w:pPr>
                    <w:rPr>
                      <w:sz w:val="16"/>
                      <w:szCs w:val="16"/>
                    </w:rPr>
                  </w:pPr>
                  <w:r w:rsidRPr="00064185">
                    <w:rPr>
                      <w:sz w:val="16"/>
                      <w:szCs w:val="16"/>
                    </w:rPr>
                    <w:t>0.3</w:t>
                  </w:r>
                </w:p>
              </w:tc>
              <w:tc>
                <w:tcPr>
                  <w:tcW w:w="782" w:type="dxa"/>
                </w:tcPr>
                <w:p w14:paraId="1845AFBC" w14:textId="77777777" w:rsidR="00A54CF1" w:rsidRPr="00064185" w:rsidRDefault="00A54CF1" w:rsidP="00EA61D8">
                  <w:pPr>
                    <w:rPr>
                      <w:sz w:val="16"/>
                      <w:szCs w:val="16"/>
                    </w:rPr>
                  </w:pPr>
                  <w:r w:rsidRPr="00064185">
                    <w:rPr>
                      <w:sz w:val="16"/>
                      <w:szCs w:val="16"/>
                    </w:rPr>
                    <w:t>1.0</w:t>
                  </w:r>
                </w:p>
              </w:tc>
              <w:tc>
                <w:tcPr>
                  <w:tcW w:w="782" w:type="dxa"/>
                </w:tcPr>
                <w:p w14:paraId="447386B4" w14:textId="77777777" w:rsidR="00A54CF1" w:rsidRPr="00064185" w:rsidRDefault="00A54CF1" w:rsidP="00EA61D8">
                  <w:pPr>
                    <w:rPr>
                      <w:sz w:val="16"/>
                      <w:szCs w:val="16"/>
                    </w:rPr>
                  </w:pPr>
                  <w:r w:rsidRPr="00064185">
                    <w:rPr>
                      <w:sz w:val="16"/>
                      <w:szCs w:val="16"/>
                    </w:rPr>
                    <w:t>1.6</w:t>
                  </w:r>
                </w:p>
              </w:tc>
              <w:tc>
                <w:tcPr>
                  <w:tcW w:w="782" w:type="dxa"/>
                </w:tcPr>
                <w:p w14:paraId="1F038534" w14:textId="77777777" w:rsidR="00A54CF1" w:rsidRPr="00064185" w:rsidRDefault="00A54CF1" w:rsidP="00EA61D8">
                  <w:pPr>
                    <w:rPr>
                      <w:sz w:val="16"/>
                      <w:szCs w:val="16"/>
                    </w:rPr>
                  </w:pPr>
                  <w:r w:rsidRPr="00064185">
                    <w:rPr>
                      <w:sz w:val="16"/>
                      <w:szCs w:val="16"/>
                    </w:rPr>
                    <w:t>1.6</w:t>
                  </w:r>
                </w:p>
              </w:tc>
              <w:tc>
                <w:tcPr>
                  <w:tcW w:w="781" w:type="dxa"/>
                </w:tcPr>
                <w:p w14:paraId="6519DF40" w14:textId="77777777" w:rsidR="00A54CF1" w:rsidRPr="00064185" w:rsidRDefault="00A54CF1" w:rsidP="00EA61D8">
                  <w:pPr>
                    <w:rPr>
                      <w:sz w:val="16"/>
                      <w:szCs w:val="16"/>
                    </w:rPr>
                  </w:pPr>
                  <w:r w:rsidRPr="00064185">
                    <w:rPr>
                      <w:sz w:val="16"/>
                      <w:szCs w:val="16"/>
                    </w:rPr>
                    <w:t>2.3</w:t>
                  </w:r>
                </w:p>
              </w:tc>
              <w:tc>
                <w:tcPr>
                  <w:tcW w:w="782" w:type="dxa"/>
                  <w:shd w:val="clear" w:color="auto" w:fill="auto"/>
                </w:tcPr>
                <w:p w14:paraId="2C967F68" w14:textId="77777777" w:rsidR="00A54CF1" w:rsidRPr="00064185" w:rsidRDefault="00A54CF1" w:rsidP="00EA61D8">
                  <w:pPr>
                    <w:rPr>
                      <w:sz w:val="16"/>
                      <w:szCs w:val="16"/>
                    </w:rPr>
                  </w:pPr>
                  <w:r w:rsidRPr="00064185">
                    <w:rPr>
                      <w:sz w:val="16"/>
                      <w:szCs w:val="16"/>
                    </w:rPr>
                    <w:t>2.6</w:t>
                  </w:r>
                </w:p>
              </w:tc>
              <w:tc>
                <w:tcPr>
                  <w:tcW w:w="782" w:type="dxa"/>
                  <w:shd w:val="clear" w:color="auto" w:fill="auto"/>
                </w:tcPr>
                <w:p w14:paraId="24A27480" w14:textId="77777777" w:rsidR="00A54CF1" w:rsidRPr="00064185" w:rsidRDefault="00A54CF1" w:rsidP="00EA61D8">
                  <w:pPr>
                    <w:rPr>
                      <w:sz w:val="16"/>
                      <w:szCs w:val="16"/>
                    </w:rPr>
                  </w:pPr>
                  <w:r w:rsidRPr="00064185">
                    <w:rPr>
                      <w:sz w:val="16"/>
                      <w:szCs w:val="16"/>
                    </w:rPr>
                    <w:t>2.6</w:t>
                  </w:r>
                </w:p>
              </w:tc>
              <w:tc>
                <w:tcPr>
                  <w:tcW w:w="782" w:type="dxa"/>
                  <w:shd w:val="clear" w:color="auto" w:fill="auto"/>
                </w:tcPr>
                <w:p w14:paraId="075C236D" w14:textId="77777777" w:rsidR="00A54CF1" w:rsidRPr="00064185" w:rsidRDefault="00A54CF1" w:rsidP="00EA61D8">
                  <w:pPr>
                    <w:rPr>
                      <w:sz w:val="16"/>
                      <w:szCs w:val="16"/>
                    </w:rPr>
                  </w:pPr>
                  <w:r w:rsidRPr="00064185">
                    <w:rPr>
                      <w:sz w:val="16"/>
                      <w:szCs w:val="16"/>
                    </w:rPr>
                    <w:t>3.0</w:t>
                  </w:r>
                </w:p>
              </w:tc>
            </w:tr>
            <w:tr w:rsidR="00064185" w:rsidRPr="00064185" w14:paraId="22066674" w14:textId="77777777" w:rsidTr="008F40BA">
              <w:trPr>
                <w:trHeight w:val="311"/>
              </w:trPr>
              <w:tc>
                <w:tcPr>
                  <w:tcW w:w="1939" w:type="dxa"/>
                  <w:shd w:val="clear" w:color="auto" w:fill="auto"/>
                </w:tcPr>
                <w:p w14:paraId="2F1D5F32" w14:textId="77777777" w:rsidR="00A54CF1" w:rsidRPr="00064185" w:rsidRDefault="00A54CF1" w:rsidP="00EA61D8">
                  <w:pPr>
                    <w:rPr>
                      <w:sz w:val="16"/>
                      <w:szCs w:val="16"/>
                    </w:rPr>
                  </w:pPr>
                  <w:r w:rsidRPr="00064185">
                    <w:rPr>
                      <w:sz w:val="16"/>
                      <w:szCs w:val="16"/>
                    </w:rPr>
                    <w:lastRenderedPageBreak/>
                    <w:t>COM 116 02 I AL spray</w:t>
                  </w:r>
                </w:p>
              </w:tc>
              <w:tc>
                <w:tcPr>
                  <w:tcW w:w="781" w:type="dxa"/>
                  <w:shd w:val="clear" w:color="auto" w:fill="auto"/>
                </w:tcPr>
                <w:p w14:paraId="14D9C953" w14:textId="77777777" w:rsidR="00A54CF1" w:rsidRPr="00064185" w:rsidRDefault="00A54CF1" w:rsidP="00EA61D8">
                  <w:pPr>
                    <w:rPr>
                      <w:sz w:val="16"/>
                      <w:szCs w:val="16"/>
                    </w:rPr>
                  </w:pPr>
                  <w:r w:rsidRPr="00064185">
                    <w:rPr>
                      <w:sz w:val="16"/>
                      <w:szCs w:val="16"/>
                    </w:rPr>
                    <w:t>0.0</w:t>
                  </w:r>
                </w:p>
              </w:tc>
              <w:tc>
                <w:tcPr>
                  <w:tcW w:w="782" w:type="dxa"/>
                </w:tcPr>
                <w:p w14:paraId="020D258F" w14:textId="77777777" w:rsidR="00A54CF1" w:rsidRPr="00064185" w:rsidRDefault="00A54CF1" w:rsidP="00EA61D8">
                  <w:pPr>
                    <w:rPr>
                      <w:sz w:val="16"/>
                      <w:szCs w:val="16"/>
                    </w:rPr>
                  </w:pPr>
                  <w:r w:rsidRPr="00064185">
                    <w:rPr>
                      <w:sz w:val="16"/>
                      <w:szCs w:val="16"/>
                    </w:rPr>
                    <w:t>0.3</w:t>
                  </w:r>
                </w:p>
              </w:tc>
              <w:tc>
                <w:tcPr>
                  <w:tcW w:w="782" w:type="dxa"/>
                </w:tcPr>
                <w:p w14:paraId="4D669F76" w14:textId="77777777" w:rsidR="00A54CF1" w:rsidRPr="00064185" w:rsidRDefault="00A54CF1" w:rsidP="00EA61D8">
                  <w:pPr>
                    <w:rPr>
                      <w:sz w:val="16"/>
                      <w:szCs w:val="16"/>
                    </w:rPr>
                  </w:pPr>
                  <w:r w:rsidRPr="00064185">
                    <w:rPr>
                      <w:sz w:val="16"/>
                      <w:szCs w:val="16"/>
                    </w:rPr>
                    <w:t>16.3</w:t>
                  </w:r>
                </w:p>
              </w:tc>
              <w:tc>
                <w:tcPr>
                  <w:tcW w:w="782" w:type="dxa"/>
                </w:tcPr>
                <w:p w14:paraId="75005AC4" w14:textId="77777777" w:rsidR="00A54CF1" w:rsidRPr="00064185" w:rsidRDefault="00A54CF1" w:rsidP="00EA61D8">
                  <w:pPr>
                    <w:rPr>
                      <w:sz w:val="16"/>
                      <w:szCs w:val="16"/>
                    </w:rPr>
                  </w:pPr>
                  <w:r w:rsidRPr="00064185">
                    <w:rPr>
                      <w:sz w:val="16"/>
                      <w:szCs w:val="16"/>
                    </w:rPr>
                    <w:t>30.6</w:t>
                  </w:r>
                </w:p>
              </w:tc>
              <w:tc>
                <w:tcPr>
                  <w:tcW w:w="781" w:type="dxa"/>
                </w:tcPr>
                <w:p w14:paraId="29A70D70" w14:textId="77777777" w:rsidR="00A54CF1" w:rsidRPr="00064185" w:rsidRDefault="00A54CF1" w:rsidP="00EA61D8">
                  <w:pPr>
                    <w:rPr>
                      <w:sz w:val="16"/>
                      <w:szCs w:val="16"/>
                    </w:rPr>
                  </w:pPr>
                  <w:r w:rsidRPr="00064185">
                    <w:rPr>
                      <w:sz w:val="16"/>
                      <w:szCs w:val="16"/>
                    </w:rPr>
                    <w:t>53.5</w:t>
                  </w:r>
                </w:p>
              </w:tc>
              <w:tc>
                <w:tcPr>
                  <w:tcW w:w="782" w:type="dxa"/>
                  <w:shd w:val="clear" w:color="auto" w:fill="auto"/>
                </w:tcPr>
                <w:p w14:paraId="08BB3B76" w14:textId="77777777" w:rsidR="00A54CF1" w:rsidRPr="00064185" w:rsidRDefault="00A54CF1" w:rsidP="00EA61D8">
                  <w:pPr>
                    <w:rPr>
                      <w:sz w:val="16"/>
                      <w:szCs w:val="16"/>
                    </w:rPr>
                  </w:pPr>
                  <w:r w:rsidRPr="00064185">
                    <w:rPr>
                      <w:sz w:val="16"/>
                      <w:szCs w:val="16"/>
                    </w:rPr>
                    <w:t>74.1</w:t>
                  </w:r>
                </w:p>
              </w:tc>
              <w:tc>
                <w:tcPr>
                  <w:tcW w:w="782" w:type="dxa"/>
                  <w:shd w:val="clear" w:color="auto" w:fill="auto"/>
                </w:tcPr>
                <w:p w14:paraId="11E4D312" w14:textId="77777777" w:rsidR="00A54CF1" w:rsidRPr="00064185" w:rsidRDefault="00A54CF1" w:rsidP="00EA61D8">
                  <w:pPr>
                    <w:rPr>
                      <w:sz w:val="16"/>
                      <w:szCs w:val="16"/>
                    </w:rPr>
                  </w:pPr>
                  <w:r w:rsidRPr="00064185">
                    <w:rPr>
                      <w:sz w:val="16"/>
                      <w:szCs w:val="16"/>
                    </w:rPr>
                    <w:t>100</w:t>
                  </w:r>
                </w:p>
              </w:tc>
              <w:tc>
                <w:tcPr>
                  <w:tcW w:w="782" w:type="dxa"/>
                  <w:shd w:val="clear" w:color="auto" w:fill="auto"/>
                </w:tcPr>
                <w:p w14:paraId="12820BAB" w14:textId="77777777" w:rsidR="00A54CF1" w:rsidRPr="00064185" w:rsidRDefault="00A54CF1" w:rsidP="00EA61D8">
                  <w:pPr>
                    <w:rPr>
                      <w:sz w:val="16"/>
                      <w:szCs w:val="16"/>
                    </w:rPr>
                  </w:pPr>
                  <w:r w:rsidRPr="00064185">
                    <w:rPr>
                      <w:sz w:val="16"/>
                      <w:szCs w:val="16"/>
                    </w:rPr>
                    <w:t>100</w:t>
                  </w:r>
                </w:p>
              </w:tc>
            </w:tr>
            <w:tr w:rsidR="00064185" w:rsidRPr="00064185" w14:paraId="4E029993" w14:textId="77777777" w:rsidTr="008F40BA">
              <w:trPr>
                <w:trHeight w:val="565"/>
              </w:trPr>
              <w:tc>
                <w:tcPr>
                  <w:tcW w:w="1939" w:type="dxa"/>
                  <w:shd w:val="clear" w:color="auto" w:fill="auto"/>
                </w:tcPr>
                <w:p w14:paraId="6A9546FB" w14:textId="77777777" w:rsidR="00A54CF1" w:rsidRPr="00064185" w:rsidRDefault="00A54CF1" w:rsidP="00EA61D8">
                  <w:pPr>
                    <w:rPr>
                      <w:sz w:val="16"/>
                      <w:szCs w:val="16"/>
                    </w:rPr>
                  </w:pPr>
                  <w:r w:rsidRPr="00064185">
                    <w:rPr>
                      <w:sz w:val="16"/>
                      <w:szCs w:val="16"/>
                    </w:rPr>
                    <w:t>Standard AFOURMI SG “strewing”</w:t>
                  </w:r>
                </w:p>
              </w:tc>
              <w:tc>
                <w:tcPr>
                  <w:tcW w:w="781" w:type="dxa"/>
                  <w:shd w:val="clear" w:color="auto" w:fill="auto"/>
                </w:tcPr>
                <w:p w14:paraId="7BD0F906" w14:textId="77777777" w:rsidR="00A54CF1" w:rsidRPr="00064185" w:rsidRDefault="00A54CF1" w:rsidP="00EA61D8">
                  <w:pPr>
                    <w:rPr>
                      <w:sz w:val="16"/>
                      <w:szCs w:val="16"/>
                    </w:rPr>
                  </w:pPr>
                  <w:r w:rsidRPr="00064185">
                    <w:rPr>
                      <w:sz w:val="16"/>
                      <w:szCs w:val="16"/>
                    </w:rPr>
                    <w:t>0.0</w:t>
                  </w:r>
                </w:p>
              </w:tc>
              <w:tc>
                <w:tcPr>
                  <w:tcW w:w="782" w:type="dxa"/>
                </w:tcPr>
                <w:p w14:paraId="1AEE6653" w14:textId="77777777" w:rsidR="00A54CF1" w:rsidRPr="00064185" w:rsidRDefault="00A54CF1" w:rsidP="00EA61D8">
                  <w:pPr>
                    <w:rPr>
                      <w:sz w:val="16"/>
                      <w:szCs w:val="16"/>
                    </w:rPr>
                  </w:pPr>
                  <w:r w:rsidRPr="00064185">
                    <w:rPr>
                      <w:sz w:val="16"/>
                      <w:szCs w:val="16"/>
                    </w:rPr>
                    <w:t>0.3</w:t>
                  </w:r>
                </w:p>
              </w:tc>
              <w:tc>
                <w:tcPr>
                  <w:tcW w:w="782" w:type="dxa"/>
                </w:tcPr>
                <w:p w14:paraId="46D83D77" w14:textId="77777777" w:rsidR="00A54CF1" w:rsidRPr="00064185" w:rsidRDefault="00A54CF1" w:rsidP="00EA61D8">
                  <w:pPr>
                    <w:rPr>
                      <w:sz w:val="16"/>
                      <w:szCs w:val="16"/>
                    </w:rPr>
                  </w:pPr>
                  <w:r w:rsidRPr="00064185">
                    <w:rPr>
                      <w:sz w:val="16"/>
                      <w:szCs w:val="16"/>
                    </w:rPr>
                    <w:t>22.9</w:t>
                  </w:r>
                </w:p>
              </w:tc>
              <w:tc>
                <w:tcPr>
                  <w:tcW w:w="782" w:type="dxa"/>
                </w:tcPr>
                <w:p w14:paraId="70BAEAB9" w14:textId="77777777" w:rsidR="00A54CF1" w:rsidRPr="00064185" w:rsidRDefault="00A54CF1" w:rsidP="00EA61D8">
                  <w:pPr>
                    <w:rPr>
                      <w:sz w:val="16"/>
                      <w:szCs w:val="16"/>
                    </w:rPr>
                  </w:pPr>
                  <w:r w:rsidRPr="00064185">
                    <w:rPr>
                      <w:sz w:val="16"/>
                      <w:szCs w:val="16"/>
                    </w:rPr>
                    <w:t>70.9</w:t>
                  </w:r>
                </w:p>
              </w:tc>
              <w:tc>
                <w:tcPr>
                  <w:tcW w:w="781" w:type="dxa"/>
                </w:tcPr>
                <w:p w14:paraId="4DCBBC02" w14:textId="77777777" w:rsidR="00A54CF1" w:rsidRPr="00064185" w:rsidRDefault="00A54CF1" w:rsidP="00EA61D8">
                  <w:pPr>
                    <w:rPr>
                      <w:sz w:val="16"/>
                      <w:szCs w:val="16"/>
                    </w:rPr>
                  </w:pPr>
                  <w:r w:rsidRPr="00064185">
                    <w:rPr>
                      <w:sz w:val="16"/>
                      <w:szCs w:val="16"/>
                    </w:rPr>
                    <w:t>100</w:t>
                  </w:r>
                </w:p>
              </w:tc>
              <w:tc>
                <w:tcPr>
                  <w:tcW w:w="782" w:type="dxa"/>
                  <w:shd w:val="clear" w:color="auto" w:fill="auto"/>
                </w:tcPr>
                <w:p w14:paraId="1BF87BDC" w14:textId="77777777" w:rsidR="00A54CF1" w:rsidRPr="00064185" w:rsidRDefault="00A54CF1" w:rsidP="00EA61D8">
                  <w:pPr>
                    <w:rPr>
                      <w:sz w:val="16"/>
                      <w:szCs w:val="16"/>
                    </w:rPr>
                  </w:pPr>
                  <w:r w:rsidRPr="00064185">
                    <w:rPr>
                      <w:sz w:val="16"/>
                      <w:szCs w:val="16"/>
                    </w:rPr>
                    <w:t>100</w:t>
                  </w:r>
                </w:p>
              </w:tc>
              <w:tc>
                <w:tcPr>
                  <w:tcW w:w="782" w:type="dxa"/>
                  <w:shd w:val="clear" w:color="auto" w:fill="auto"/>
                </w:tcPr>
                <w:p w14:paraId="26B46650" w14:textId="77777777" w:rsidR="00A54CF1" w:rsidRPr="00064185" w:rsidRDefault="00A54CF1" w:rsidP="00EA61D8">
                  <w:pPr>
                    <w:rPr>
                      <w:sz w:val="16"/>
                      <w:szCs w:val="16"/>
                    </w:rPr>
                  </w:pPr>
                  <w:r w:rsidRPr="00064185">
                    <w:rPr>
                      <w:sz w:val="16"/>
                      <w:szCs w:val="16"/>
                    </w:rPr>
                    <w:t>100</w:t>
                  </w:r>
                </w:p>
              </w:tc>
              <w:tc>
                <w:tcPr>
                  <w:tcW w:w="782" w:type="dxa"/>
                  <w:shd w:val="clear" w:color="auto" w:fill="auto"/>
                </w:tcPr>
                <w:p w14:paraId="71C5D829" w14:textId="77777777" w:rsidR="00A54CF1" w:rsidRPr="00064185" w:rsidRDefault="00A54CF1" w:rsidP="00EA61D8">
                  <w:pPr>
                    <w:rPr>
                      <w:sz w:val="16"/>
                      <w:szCs w:val="16"/>
                    </w:rPr>
                  </w:pPr>
                  <w:r w:rsidRPr="00064185">
                    <w:rPr>
                      <w:sz w:val="16"/>
                      <w:szCs w:val="16"/>
                    </w:rPr>
                    <w:t>100</w:t>
                  </w:r>
                </w:p>
              </w:tc>
            </w:tr>
            <w:tr w:rsidR="00064185" w:rsidRPr="00064185" w14:paraId="0DBA20DE" w14:textId="77777777" w:rsidTr="008F40BA">
              <w:trPr>
                <w:trHeight w:val="554"/>
              </w:trPr>
              <w:tc>
                <w:tcPr>
                  <w:tcW w:w="1939" w:type="dxa"/>
                  <w:shd w:val="clear" w:color="auto" w:fill="auto"/>
                </w:tcPr>
                <w:p w14:paraId="54CA7FD5" w14:textId="77777777" w:rsidR="00A54CF1" w:rsidRPr="00064185" w:rsidRDefault="00A54CF1" w:rsidP="00EA61D8">
                  <w:pPr>
                    <w:rPr>
                      <w:sz w:val="16"/>
                      <w:szCs w:val="16"/>
                    </w:rPr>
                  </w:pPr>
                  <w:r w:rsidRPr="00064185">
                    <w:rPr>
                      <w:sz w:val="16"/>
                      <w:szCs w:val="16"/>
                    </w:rPr>
                    <w:t>Standard AFOURMI SG “drenching”</w:t>
                  </w:r>
                </w:p>
              </w:tc>
              <w:tc>
                <w:tcPr>
                  <w:tcW w:w="781" w:type="dxa"/>
                  <w:shd w:val="clear" w:color="auto" w:fill="auto"/>
                </w:tcPr>
                <w:p w14:paraId="7796E9A3" w14:textId="77777777" w:rsidR="00A54CF1" w:rsidRPr="00064185" w:rsidRDefault="00A54CF1" w:rsidP="00EA61D8">
                  <w:pPr>
                    <w:rPr>
                      <w:sz w:val="16"/>
                      <w:szCs w:val="16"/>
                    </w:rPr>
                  </w:pPr>
                  <w:r w:rsidRPr="00064185">
                    <w:rPr>
                      <w:sz w:val="16"/>
                      <w:szCs w:val="16"/>
                    </w:rPr>
                    <w:t>0.0</w:t>
                  </w:r>
                </w:p>
              </w:tc>
              <w:tc>
                <w:tcPr>
                  <w:tcW w:w="782" w:type="dxa"/>
                </w:tcPr>
                <w:p w14:paraId="738E1B8E" w14:textId="77777777" w:rsidR="00A54CF1" w:rsidRPr="00064185" w:rsidRDefault="00A54CF1" w:rsidP="00EA61D8">
                  <w:pPr>
                    <w:rPr>
                      <w:sz w:val="16"/>
                      <w:szCs w:val="16"/>
                    </w:rPr>
                  </w:pPr>
                  <w:r w:rsidRPr="00064185">
                    <w:rPr>
                      <w:sz w:val="16"/>
                      <w:szCs w:val="16"/>
                    </w:rPr>
                    <w:t>0.7</w:t>
                  </w:r>
                </w:p>
              </w:tc>
              <w:tc>
                <w:tcPr>
                  <w:tcW w:w="782" w:type="dxa"/>
                </w:tcPr>
                <w:p w14:paraId="2DC414D7" w14:textId="77777777" w:rsidR="00A54CF1" w:rsidRPr="00064185" w:rsidRDefault="00A54CF1" w:rsidP="00EA61D8">
                  <w:pPr>
                    <w:rPr>
                      <w:sz w:val="16"/>
                      <w:szCs w:val="16"/>
                    </w:rPr>
                  </w:pPr>
                  <w:r w:rsidRPr="00064185">
                    <w:rPr>
                      <w:sz w:val="16"/>
                      <w:szCs w:val="16"/>
                    </w:rPr>
                    <w:t>16.1</w:t>
                  </w:r>
                </w:p>
              </w:tc>
              <w:tc>
                <w:tcPr>
                  <w:tcW w:w="782" w:type="dxa"/>
                </w:tcPr>
                <w:p w14:paraId="5660587E" w14:textId="77777777" w:rsidR="00A54CF1" w:rsidRPr="00064185" w:rsidRDefault="00A54CF1" w:rsidP="00EA61D8">
                  <w:pPr>
                    <w:rPr>
                      <w:sz w:val="16"/>
                      <w:szCs w:val="16"/>
                    </w:rPr>
                  </w:pPr>
                  <w:r w:rsidRPr="00064185">
                    <w:rPr>
                      <w:sz w:val="16"/>
                      <w:szCs w:val="16"/>
                    </w:rPr>
                    <w:t>42.5</w:t>
                  </w:r>
                </w:p>
              </w:tc>
              <w:tc>
                <w:tcPr>
                  <w:tcW w:w="781" w:type="dxa"/>
                </w:tcPr>
                <w:p w14:paraId="492FB230" w14:textId="77777777" w:rsidR="00A54CF1" w:rsidRPr="00064185" w:rsidRDefault="00A54CF1" w:rsidP="00EA61D8">
                  <w:pPr>
                    <w:rPr>
                      <w:sz w:val="16"/>
                      <w:szCs w:val="16"/>
                    </w:rPr>
                  </w:pPr>
                  <w:r w:rsidRPr="00064185">
                    <w:rPr>
                      <w:sz w:val="16"/>
                      <w:szCs w:val="16"/>
                    </w:rPr>
                    <w:t>78.2</w:t>
                  </w:r>
                </w:p>
              </w:tc>
              <w:tc>
                <w:tcPr>
                  <w:tcW w:w="782" w:type="dxa"/>
                  <w:shd w:val="clear" w:color="auto" w:fill="auto"/>
                </w:tcPr>
                <w:p w14:paraId="45D3C22A" w14:textId="77777777" w:rsidR="00A54CF1" w:rsidRPr="00064185" w:rsidRDefault="00A54CF1" w:rsidP="00EA61D8">
                  <w:pPr>
                    <w:rPr>
                      <w:sz w:val="16"/>
                      <w:szCs w:val="16"/>
                    </w:rPr>
                  </w:pPr>
                  <w:r w:rsidRPr="00064185">
                    <w:rPr>
                      <w:sz w:val="16"/>
                      <w:szCs w:val="16"/>
                    </w:rPr>
                    <w:t>96.7</w:t>
                  </w:r>
                </w:p>
              </w:tc>
              <w:tc>
                <w:tcPr>
                  <w:tcW w:w="782" w:type="dxa"/>
                  <w:shd w:val="clear" w:color="auto" w:fill="auto"/>
                </w:tcPr>
                <w:p w14:paraId="67CCA038" w14:textId="77777777" w:rsidR="00A54CF1" w:rsidRPr="00064185" w:rsidRDefault="00A54CF1" w:rsidP="00EA61D8">
                  <w:pPr>
                    <w:rPr>
                      <w:sz w:val="16"/>
                      <w:szCs w:val="16"/>
                    </w:rPr>
                  </w:pPr>
                  <w:r w:rsidRPr="00064185">
                    <w:rPr>
                      <w:sz w:val="16"/>
                      <w:szCs w:val="16"/>
                    </w:rPr>
                    <w:t>99.7</w:t>
                  </w:r>
                </w:p>
              </w:tc>
              <w:tc>
                <w:tcPr>
                  <w:tcW w:w="782" w:type="dxa"/>
                  <w:shd w:val="clear" w:color="auto" w:fill="auto"/>
                </w:tcPr>
                <w:p w14:paraId="302B71D1" w14:textId="77777777" w:rsidR="00A54CF1" w:rsidRPr="00064185" w:rsidRDefault="00A54CF1" w:rsidP="00EA61D8">
                  <w:pPr>
                    <w:rPr>
                      <w:sz w:val="16"/>
                      <w:szCs w:val="16"/>
                    </w:rPr>
                  </w:pPr>
                  <w:r w:rsidRPr="00064185">
                    <w:rPr>
                      <w:sz w:val="16"/>
                      <w:szCs w:val="16"/>
                    </w:rPr>
                    <w:t>100</w:t>
                  </w:r>
                </w:p>
              </w:tc>
            </w:tr>
          </w:tbl>
          <w:p w14:paraId="388B9221" w14:textId="77777777" w:rsidR="00A54CF1" w:rsidRPr="00064185" w:rsidRDefault="00A54CF1" w:rsidP="00EA61D8">
            <w:pPr>
              <w:pStyle w:val="Standardlinks"/>
              <w:rPr>
                <w:sz w:val="16"/>
                <w:szCs w:val="16"/>
              </w:rPr>
            </w:pPr>
          </w:p>
          <w:p w14:paraId="5D71DFA4" w14:textId="77777777" w:rsidR="0070745E" w:rsidRPr="00064185" w:rsidRDefault="00A54CF1" w:rsidP="00EA61D8">
            <w:pPr>
              <w:rPr>
                <w:sz w:val="16"/>
                <w:szCs w:val="16"/>
              </w:rPr>
            </w:pPr>
            <w:r w:rsidRPr="00064185">
              <w:rPr>
                <w:sz w:val="16"/>
                <w:szCs w:val="16"/>
              </w:rPr>
              <w:t xml:space="preserve">Conclusion: In this laboratory test, COM 116 02 I AL (spray) has proved a complete and fast efficacy towards the ant </w:t>
            </w:r>
            <w:r w:rsidRPr="00064185">
              <w:rPr>
                <w:i/>
                <w:sz w:val="16"/>
                <w:szCs w:val="16"/>
              </w:rPr>
              <w:t>Lasius niger</w:t>
            </w:r>
            <w:r w:rsidRPr="00064185">
              <w:rPr>
                <w:sz w:val="16"/>
                <w:szCs w:val="16"/>
              </w:rPr>
              <w:t>.</w:t>
            </w:r>
          </w:p>
          <w:p w14:paraId="749D86BE" w14:textId="77777777" w:rsidR="00DA465D" w:rsidRPr="00064185" w:rsidRDefault="00DA465D" w:rsidP="00EA61D8">
            <w:pPr>
              <w:rPr>
                <w:sz w:val="16"/>
                <w:szCs w:val="16"/>
              </w:rPr>
            </w:pPr>
          </w:p>
        </w:tc>
        <w:tc>
          <w:tcPr>
            <w:tcW w:w="388" w:type="pct"/>
          </w:tcPr>
          <w:p w14:paraId="5A472401" w14:textId="77777777" w:rsidR="0070745E" w:rsidRPr="00064185" w:rsidRDefault="00A54CF1" w:rsidP="00EA61D8">
            <w:pPr>
              <w:rPr>
                <w:sz w:val="16"/>
                <w:szCs w:val="16"/>
              </w:rPr>
            </w:pPr>
            <w:r w:rsidRPr="00064185">
              <w:rPr>
                <w:sz w:val="16"/>
                <w:szCs w:val="16"/>
              </w:rPr>
              <w:lastRenderedPageBreak/>
              <w:t>Serrano, 2007b</w:t>
            </w:r>
          </w:p>
        </w:tc>
      </w:tr>
    </w:tbl>
    <w:p w14:paraId="2F32D72A" w14:textId="77777777" w:rsidR="005748C8" w:rsidRPr="00064185" w:rsidRDefault="005748C8" w:rsidP="00EA61D8">
      <w:r w:rsidRPr="00064185">
        <w:lastRenderedPageBreak/>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09"/>
        <w:gridCol w:w="1322"/>
        <w:gridCol w:w="1746"/>
        <w:gridCol w:w="8269"/>
        <w:gridCol w:w="1047"/>
      </w:tblGrid>
      <w:tr w:rsidR="00064185" w:rsidRPr="00064185" w14:paraId="48D57481" w14:textId="77777777" w:rsidTr="008F40BA">
        <w:trPr>
          <w:trHeight w:val="303"/>
        </w:trPr>
        <w:tc>
          <w:tcPr>
            <w:tcW w:w="5000" w:type="pct"/>
            <w:gridSpan w:val="5"/>
            <w:shd w:val="clear" w:color="auto" w:fill="FFFFCC"/>
            <w:vAlign w:val="center"/>
          </w:tcPr>
          <w:p w14:paraId="4C753DEC" w14:textId="77777777" w:rsidR="005748C8" w:rsidRPr="00064185" w:rsidRDefault="005748C8" w:rsidP="00EA61D8">
            <w:pPr>
              <w:rPr>
                <w:b/>
                <w:sz w:val="16"/>
                <w:szCs w:val="16"/>
              </w:rPr>
            </w:pPr>
            <w:r w:rsidRPr="00064185">
              <w:rPr>
                <w:b/>
                <w:sz w:val="16"/>
                <w:szCs w:val="16"/>
              </w:rPr>
              <w:lastRenderedPageBreak/>
              <w:t>Experimental data on the efficacy of the biocidal product against target organism(s)</w:t>
            </w:r>
          </w:p>
        </w:tc>
      </w:tr>
      <w:tr w:rsidR="00064185" w:rsidRPr="00064185" w14:paraId="5B0F8FAF" w14:textId="77777777" w:rsidTr="008F40BA">
        <w:tc>
          <w:tcPr>
            <w:tcW w:w="411" w:type="pct"/>
            <w:shd w:val="clear" w:color="auto" w:fill="FFFFFF"/>
          </w:tcPr>
          <w:p w14:paraId="3FE356AD" w14:textId="77777777" w:rsidR="005748C8" w:rsidRPr="00064185" w:rsidRDefault="005748C8" w:rsidP="00EA61D8">
            <w:pPr>
              <w:rPr>
                <w:b/>
                <w:i/>
                <w:sz w:val="16"/>
                <w:szCs w:val="16"/>
              </w:rPr>
            </w:pPr>
            <w:r w:rsidRPr="00064185">
              <w:rPr>
                <w:b/>
                <w:sz w:val="16"/>
                <w:szCs w:val="16"/>
              </w:rPr>
              <w:t>Test substance</w:t>
            </w:r>
          </w:p>
        </w:tc>
        <w:tc>
          <w:tcPr>
            <w:tcW w:w="490" w:type="pct"/>
            <w:shd w:val="clear" w:color="auto" w:fill="FFFFFF"/>
          </w:tcPr>
          <w:p w14:paraId="0F80EE36" w14:textId="77777777" w:rsidR="005748C8" w:rsidRPr="00064185" w:rsidRDefault="005748C8" w:rsidP="00EA61D8">
            <w:pPr>
              <w:rPr>
                <w:b/>
                <w:i/>
                <w:sz w:val="16"/>
                <w:szCs w:val="16"/>
              </w:rPr>
            </w:pPr>
            <w:r w:rsidRPr="00064185">
              <w:rPr>
                <w:b/>
                <w:sz w:val="16"/>
                <w:szCs w:val="16"/>
              </w:rPr>
              <w:t>Test organism(s)</w:t>
            </w:r>
          </w:p>
        </w:tc>
        <w:tc>
          <w:tcPr>
            <w:tcW w:w="647" w:type="pct"/>
            <w:shd w:val="clear" w:color="auto" w:fill="FFFFFF"/>
          </w:tcPr>
          <w:p w14:paraId="603F4C68" w14:textId="77777777" w:rsidR="005748C8" w:rsidRPr="00064185" w:rsidRDefault="005748C8" w:rsidP="00EA61D8">
            <w:pPr>
              <w:rPr>
                <w:b/>
                <w:sz w:val="16"/>
                <w:szCs w:val="16"/>
              </w:rPr>
            </w:pPr>
            <w:r w:rsidRPr="00064185">
              <w:rPr>
                <w:b/>
                <w:sz w:val="16"/>
                <w:szCs w:val="16"/>
              </w:rPr>
              <w:t>Test system / concentrations applied / exposure time</w:t>
            </w:r>
          </w:p>
        </w:tc>
        <w:tc>
          <w:tcPr>
            <w:tcW w:w="3064" w:type="pct"/>
            <w:shd w:val="clear" w:color="auto" w:fill="FFFFFF"/>
          </w:tcPr>
          <w:p w14:paraId="776313DC" w14:textId="77777777" w:rsidR="005748C8" w:rsidRPr="00064185" w:rsidRDefault="005748C8" w:rsidP="00EA61D8">
            <w:pPr>
              <w:rPr>
                <w:b/>
                <w:sz w:val="16"/>
                <w:szCs w:val="16"/>
              </w:rPr>
            </w:pPr>
            <w:r w:rsidRPr="00064185">
              <w:rPr>
                <w:b/>
                <w:sz w:val="16"/>
                <w:szCs w:val="16"/>
              </w:rPr>
              <w:t>Test results: effects</w:t>
            </w:r>
          </w:p>
        </w:tc>
        <w:tc>
          <w:tcPr>
            <w:tcW w:w="388" w:type="pct"/>
            <w:shd w:val="clear" w:color="auto" w:fill="FFFFFF"/>
          </w:tcPr>
          <w:p w14:paraId="2EFDD636" w14:textId="77777777" w:rsidR="005748C8" w:rsidRPr="00064185" w:rsidRDefault="005748C8" w:rsidP="00EA61D8">
            <w:pPr>
              <w:rPr>
                <w:b/>
                <w:sz w:val="16"/>
                <w:szCs w:val="16"/>
              </w:rPr>
            </w:pPr>
            <w:r w:rsidRPr="00064185">
              <w:rPr>
                <w:b/>
                <w:sz w:val="16"/>
                <w:szCs w:val="16"/>
              </w:rPr>
              <w:t>Reference</w:t>
            </w:r>
          </w:p>
        </w:tc>
      </w:tr>
      <w:tr w:rsidR="0070745E" w:rsidRPr="00064185" w14:paraId="57FF70E7" w14:textId="77777777" w:rsidTr="0070745E">
        <w:tc>
          <w:tcPr>
            <w:tcW w:w="411" w:type="pct"/>
          </w:tcPr>
          <w:p w14:paraId="7F082402" w14:textId="77777777" w:rsidR="0070745E" w:rsidRPr="00064185" w:rsidRDefault="005748C8" w:rsidP="00EA61D8">
            <w:pPr>
              <w:rPr>
                <w:sz w:val="16"/>
                <w:szCs w:val="16"/>
              </w:rPr>
            </w:pPr>
            <w:r w:rsidRPr="00064185">
              <w:rPr>
                <w:sz w:val="16"/>
                <w:szCs w:val="16"/>
              </w:rPr>
              <w:t xml:space="preserve">COM 116 02 I AL, 0.05% w/w </w:t>
            </w:r>
            <w:r w:rsidRPr="00064185">
              <w:rPr>
                <w:i/>
                <w:sz w:val="16"/>
                <w:szCs w:val="16"/>
              </w:rPr>
              <w:t>lambda</w:t>
            </w:r>
            <w:r w:rsidRPr="00064185">
              <w:rPr>
                <w:sz w:val="16"/>
                <w:szCs w:val="16"/>
              </w:rPr>
              <w:t>-cyhalothrin</w:t>
            </w:r>
          </w:p>
        </w:tc>
        <w:tc>
          <w:tcPr>
            <w:tcW w:w="490" w:type="pct"/>
          </w:tcPr>
          <w:p w14:paraId="765A4F18" w14:textId="77777777" w:rsidR="005748C8" w:rsidRPr="00064185" w:rsidRDefault="005748C8" w:rsidP="00EA61D8">
            <w:pPr>
              <w:spacing w:before="60" w:after="60"/>
              <w:rPr>
                <w:sz w:val="16"/>
                <w:szCs w:val="16"/>
                <w:u w:val="single"/>
                <w:lang w:val="it-IT"/>
              </w:rPr>
            </w:pPr>
            <w:r w:rsidRPr="00064185">
              <w:rPr>
                <w:sz w:val="16"/>
                <w:szCs w:val="16"/>
                <w:u w:val="single"/>
                <w:lang w:val="it-IT"/>
              </w:rPr>
              <w:t>Insects:</w:t>
            </w:r>
          </w:p>
          <w:p w14:paraId="01993AFE" w14:textId="77777777" w:rsidR="0070745E" w:rsidRPr="00064185" w:rsidRDefault="005748C8" w:rsidP="00EA61D8">
            <w:pPr>
              <w:rPr>
                <w:sz w:val="16"/>
                <w:szCs w:val="16"/>
                <w:lang w:val="it-IT"/>
              </w:rPr>
            </w:pPr>
            <w:r w:rsidRPr="00064185">
              <w:rPr>
                <w:i/>
                <w:sz w:val="16"/>
                <w:szCs w:val="16"/>
                <w:lang w:val="it-IT"/>
              </w:rPr>
              <w:t>Blattella germanica, Blatta orientalis, Periplaneta americana</w:t>
            </w:r>
          </w:p>
        </w:tc>
        <w:tc>
          <w:tcPr>
            <w:tcW w:w="647" w:type="pct"/>
          </w:tcPr>
          <w:p w14:paraId="6E78CBB5" w14:textId="77777777" w:rsidR="005748C8" w:rsidRPr="00064185" w:rsidRDefault="005748C8" w:rsidP="00EA61D8">
            <w:pPr>
              <w:pStyle w:val="Standardlinks"/>
              <w:rPr>
                <w:rFonts w:ascii="Verdana" w:hAnsi="Verdana"/>
                <w:i w:val="0"/>
                <w:sz w:val="16"/>
                <w:szCs w:val="16"/>
              </w:rPr>
            </w:pPr>
            <w:r w:rsidRPr="00064185">
              <w:rPr>
                <w:rFonts w:ascii="Verdana" w:hAnsi="Verdana"/>
                <w:i w:val="0"/>
                <w:sz w:val="16"/>
                <w:szCs w:val="16"/>
              </w:rPr>
              <w:t xml:space="preserve">Laboratory tests of the efficacy of different experimental products intended to control </w:t>
            </w:r>
            <w:proofErr w:type="gramStart"/>
            <w:r w:rsidRPr="00064185">
              <w:rPr>
                <w:rFonts w:ascii="Verdana" w:hAnsi="Verdana"/>
                <w:i w:val="0"/>
                <w:sz w:val="16"/>
                <w:szCs w:val="16"/>
              </w:rPr>
              <w:t>cockroaches</w:t>
            </w:r>
            <w:proofErr w:type="gramEnd"/>
            <w:r w:rsidRPr="00064185">
              <w:rPr>
                <w:rFonts w:ascii="Verdana" w:hAnsi="Verdana"/>
                <w:i w:val="0"/>
                <w:sz w:val="16"/>
                <w:szCs w:val="16"/>
              </w:rPr>
              <w:t xml:space="preserve"> in house environment were conducted.</w:t>
            </w:r>
          </w:p>
          <w:p w14:paraId="2B2BC9C1" w14:textId="7EB2FAE2" w:rsidR="005748C8" w:rsidRPr="00064185" w:rsidRDefault="005748C8" w:rsidP="00EA61D8">
            <w:pPr>
              <w:pStyle w:val="Standardlinks"/>
              <w:rPr>
                <w:rFonts w:ascii="Verdana" w:hAnsi="Verdana"/>
                <w:i w:val="0"/>
                <w:sz w:val="16"/>
                <w:szCs w:val="16"/>
              </w:rPr>
            </w:pPr>
            <w:r w:rsidRPr="00064185">
              <w:rPr>
                <w:rFonts w:ascii="Verdana" w:hAnsi="Verdana"/>
                <w:i w:val="0"/>
                <w:sz w:val="16"/>
                <w:szCs w:val="16"/>
              </w:rPr>
              <w:t>a) Direct spray treatm</w:t>
            </w:r>
            <w:r w:rsidR="008E2D20" w:rsidRPr="00064185">
              <w:rPr>
                <w:rFonts w:ascii="Verdana" w:hAnsi="Verdana"/>
                <w:i w:val="0"/>
                <w:sz w:val="16"/>
                <w:szCs w:val="16"/>
              </w:rPr>
              <w:t>ent (exposure time 48 hours</w:t>
            </w:r>
            <w:r w:rsidRPr="00064185">
              <w:rPr>
                <w:rFonts w:ascii="Verdana" w:hAnsi="Verdana"/>
                <w:i w:val="0"/>
                <w:sz w:val="16"/>
                <w:szCs w:val="16"/>
              </w:rPr>
              <w:t xml:space="preserve">) </w:t>
            </w:r>
          </w:p>
          <w:p w14:paraId="49E7BED0" w14:textId="77777777" w:rsidR="005748C8" w:rsidRPr="00064185" w:rsidRDefault="005748C8" w:rsidP="00EA61D8">
            <w:pPr>
              <w:pStyle w:val="Standardlinks"/>
              <w:rPr>
                <w:rFonts w:ascii="Verdana" w:hAnsi="Verdana"/>
                <w:i w:val="0"/>
                <w:sz w:val="16"/>
                <w:szCs w:val="16"/>
              </w:rPr>
            </w:pPr>
            <w:r w:rsidRPr="00064185">
              <w:rPr>
                <w:rFonts w:ascii="Verdana" w:hAnsi="Verdana"/>
                <w:i w:val="0"/>
                <w:sz w:val="16"/>
                <w:szCs w:val="16"/>
              </w:rPr>
              <w:t>b) Residual test (exposure of 72 hours, residues aged up to 24 weeks)</w:t>
            </w:r>
          </w:p>
          <w:p w14:paraId="5A901943" w14:textId="77777777" w:rsidR="005748C8" w:rsidRPr="00064185" w:rsidRDefault="005748C8" w:rsidP="00EA61D8">
            <w:pPr>
              <w:pStyle w:val="Standardlinks"/>
              <w:rPr>
                <w:rFonts w:ascii="Verdana" w:hAnsi="Verdana"/>
                <w:i w:val="0"/>
                <w:sz w:val="16"/>
                <w:szCs w:val="16"/>
              </w:rPr>
            </w:pPr>
            <w:r w:rsidRPr="00064185">
              <w:rPr>
                <w:rFonts w:ascii="Verdana" w:hAnsi="Verdana"/>
                <w:i w:val="0"/>
                <w:sz w:val="16"/>
                <w:szCs w:val="16"/>
              </w:rPr>
              <w:t xml:space="preserve">Type of test chamber: </w:t>
            </w:r>
          </w:p>
          <w:p w14:paraId="6526082A" w14:textId="77777777" w:rsidR="005748C8" w:rsidRPr="00064185" w:rsidRDefault="005748C8" w:rsidP="00EA61D8">
            <w:pPr>
              <w:pStyle w:val="Standardlinks"/>
              <w:rPr>
                <w:rFonts w:ascii="Verdana" w:hAnsi="Verdana"/>
                <w:i w:val="0"/>
                <w:sz w:val="16"/>
                <w:szCs w:val="16"/>
              </w:rPr>
            </w:pPr>
            <w:r w:rsidRPr="00064185">
              <w:rPr>
                <w:rFonts w:ascii="Verdana" w:hAnsi="Verdana"/>
                <w:i w:val="0"/>
                <w:sz w:val="16"/>
                <w:szCs w:val="16"/>
              </w:rPr>
              <w:t>a) Direct spray treatment: glass rings (9.5 cm in diameter, 5.5 cm height)</w:t>
            </w:r>
          </w:p>
          <w:p w14:paraId="7F141184" w14:textId="77777777" w:rsidR="005748C8" w:rsidRPr="00064185" w:rsidRDefault="005748C8" w:rsidP="00EA61D8">
            <w:pPr>
              <w:pStyle w:val="Standardlinks"/>
              <w:rPr>
                <w:rFonts w:ascii="Verdana" w:hAnsi="Verdana"/>
                <w:i w:val="0"/>
                <w:sz w:val="16"/>
                <w:szCs w:val="16"/>
              </w:rPr>
            </w:pPr>
            <w:r w:rsidRPr="00064185">
              <w:rPr>
                <w:rFonts w:ascii="Verdana" w:hAnsi="Verdana"/>
                <w:i w:val="0"/>
                <w:sz w:val="16"/>
                <w:szCs w:val="16"/>
              </w:rPr>
              <w:t>b) Residual effects: Spray robot, glazed tiles or PVC</w:t>
            </w:r>
          </w:p>
          <w:p w14:paraId="3FF0E220" w14:textId="77777777" w:rsidR="0070745E" w:rsidRPr="00064185" w:rsidRDefault="005748C8" w:rsidP="00EA61D8">
            <w:pPr>
              <w:rPr>
                <w:sz w:val="16"/>
                <w:szCs w:val="16"/>
              </w:rPr>
            </w:pPr>
            <w:r w:rsidRPr="00064185">
              <w:rPr>
                <w:sz w:val="16"/>
                <w:szCs w:val="16"/>
              </w:rPr>
              <w:t>Bag-on-valve system (0.05% w/w</w:t>
            </w:r>
            <w:r w:rsidRPr="00064185">
              <w:rPr>
                <w:i/>
                <w:sz w:val="16"/>
                <w:szCs w:val="16"/>
              </w:rPr>
              <w:t xml:space="preserve"> lambda-</w:t>
            </w:r>
            <w:r w:rsidRPr="00064185">
              <w:rPr>
                <w:sz w:val="16"/>
                <w:szCs w:val="16"/>
              </w:rPr>
              <w:t>cyhalothrin</w:t>
            </w:r>
            <w:r w:rsidRPr="00064185">
              <w:rPr>
                <w:i/>
                <w:sz w:val="16"/>
                <w:szCs w:val="16"/>
              </w:rPr>
              <w:t>)</w:t>
            </w:r>
          </w:p>
        </w:tc>
        <w:tc>
          <w:tcPr>
            <w:tcW w:w="3064" w:type="pct"/>
          </w:tcPr>
          <w:p w14:paraId="171FB221" w14:textId="77777777" w:rsidR="005748C8" w:rsidRPr="00064185" w:rsidRDefault="005748C8" w:rsidP="00EA61D8">
            <w:pPr>
              <w:pStyle w:val="Standardlinks"/>
              <w:rPr>
                <w:rFonts w:ascii="Verdana" w:hAnsi="Verdana"/>
                <w:i w:val="0"/>
                <w:sz w:val="16"/>
                <w:szCs w:val="16"/>
              </w:rPr>
            </w:pPr>
            <w:r w:rsidRPr="00064185">
              <w:rPr>
                <w:rFonts w:ascii="Verdana" w:hAnsi="Verdana"/>
                <w:i w:val="0"/>
                <w:sz w:val="16"/>
                <w:szCs w:val="16"/>
              </w:rPr>
              <w:t xml:space="preserve">a) Direct spray treatment: </w:t>
            </w:r>
          </w:p>
          <w:p w14:paraId="360160EC" w14:textId="77777777" w:rsidR="005748C8" w:rsidRPr="00064185" w:rsidRDefault="005748C8" w:rsidP="00EA61D8">
            <w:pPr>
              <w:pStyle w:val="Standardlinks"/>
              <w:rPr>
                <w:rFonts w:ascii="Verdana" w:hAnsi="Verdana"/>
                <w:i w:val="0"/>
                <w:sz w:val="16"/>
                <w:szCs w:val="16"/>
              </w:rPr>
            </w:pPr>
            <w:r w:rsidRPr="00064185">
              <w:rPr>
                <w:rFonts w:ascii="Verdana" w:hAnsi="Verdana"/>
                <w:i w:val="0"/>
                <w:sz w:val="16"/>
                <w:szCs w:val="16"/>
              </w:rPr>
              <w:t>100% knock down efficacy was given with all tested cockroach species. Mortality after 24 hours was 100% in all cases.</w:t>
            </w:r>
          </w:p>
          <w:p w14:paraId="6DF01BC4" w14:textId="77777777" w:rsidR="005748C8" w:rsidRPr="00064185" w:rsidRDefault="005748C8" w:rsidP="00EA61D8">
            <w:pPr>
              <w:pStyle w:val="Standardlinks"/>
              <w:rPr>
                <w:rFonts w:ascii="Verdana" w:hAnsi="Verdana"/>
                <w:i w:val="0"/>
                <w:sz w:val="16"/>
                <w:szCs w:val="16"/>
              </w:rPr>
            </w:pPr>
            <w:r w:rsidRPr="00064185">
              <w:rPr>
                <w:rFonts w:ascii="Verdana" w:hAnsi="Verdana"/>
                <w:i w:val="0"/>
                <w:sz w:val="16"/>
                <w:szCs w:val="16"/>
              </w:rPr>
              <w:t>Against German cockroaches it took ca. 10 min to achieve 100% of knock down efficacy (ca. 8-11 min. range). Against Oriental cockroaches it took ca. 33 min to achieve 100% of knock down efficacy (ca. 25-47 min. range). Against American cockroaches it took ca. 27 min to achieve 100% of knock down efficacy (ca. 23-36 min. range).</w:t>
            </w:r>
          </w:p>
          <w:p w14:paraId="2F662CD5" w14:textId="77777777" w:rsidR="005748C8" w:rsidRPr="00064185" w:rsidRDefault="005748C8" w:rsidP="00EA61D8">
            <w:pPr>
              <w:pStyle w:val="Standardlinks"/>
              <w:rPr>
                <w:rFonts w:ascii="Verdana" w:hAnsi="Verdana"/>
                <w:i w:val="0"/>
                <w:sz w:val="16"/>
                <w:szCs w:val="16"/>
              </w:rPr>
            </w:pPr>
          </w:p>
          <w:p w14:paraId="7DD2C051" w14:textId="77777777" w:rsidR="005748C8" w:rsidRPr="00064185" w:rsidRDefault="005748C8" w:rsidP="00EA61D8">
            <w:pPr>
              <w:pStyle w:val="Standardlinks"/>
              <w:rPr>
                <w:rFonts w:ascii="Verdana" w:hAnsi="Verdana"/>
                <w:i w:val="0"/>
                <w:sz w:val="16"/>
                <w:szCs w:val="16"/>
              </w:rPr>
            </w:pPr>
            <w:r w:rsidRPr="00064185">
              <w:rPr>
                <w:rFonts w:ascii="Verdana" w:hAnsi="Verdana"/>
                <w:i w:val="0"/>
                <w:sz w:val="16"/>
                <w:szCs w:val="16"/>
              </w:rPr>
              <w:t xml:space="preserve">b) Residual effects on glazed tiles: </w:t>
            </w:r>
          </w:p>
          <w:p w14:paraId="1928D492" w14:textId="77777777" w:rsidR="005748C8" w:rsidRPr="00064185" w:rsidRDefault="005748C8" w:rsidP="00EA61D8">
            <w:pPr>
              <w:pStyle w:val="Standardlinks"/>
              <w:rPr>
                <w:rFonts w:ascii="Verdana" w:hAnsi="Verdana"/>
                <w:i w:val="0"/>
                <w:sz w:val="16"/>
                <w:szCs w:val="16"/>
              </w:rPr>
            </w:pPr>
            <w:r w:rsidRPr="00064185">
              <w:rPr>
                <w:rFonts w:ascii="Verdana" w:hAnsi="Verdana"/>
                <w:i w:val="0"/>
                <w:sz w:val="16"/>
                <w:szCs w:val="16"/>
              </w:rPr>
              <w:t>Against German cockroaches it took 15 min up to 60 min to achieve 100% of efficacy for the complete test period of 24 weeks, in 1 out of 39 cases 2 hours. Against Oriental cockroaches, depending on the age of the residues, it took 30 min up to 12 hours to achieve 100% of efficacy. Against American cockroaches, for residues aged 1 day up to 16 weeks, it took 30 min up to 12 hours to achieve 100% of efficacy. At the end of the test period (for residues aged 20 and 24 weeks), in 2 out of 39 cases, 100% efficacy was not achieved during the exposure time of 72 hours.</w:t>
            </w:r>
          </w:p>
          <w:p w14:paraId="4E6FA34E" w14:textId="77777777" w:rsidR="005748C8" w:rsidRPr="00064185" w:rsidRDefault="005748C8" w:rsidP="00EA61D8">
            <w:pPr>
              <w:pStyle w:val="Standardlinks"/>
              <w:rPr>
                <w:rFonts w:ascii="Verdana" w:hAnsi="Verdana"/>
                <w:i w:val="0"/>
                <w:sz w:val="16"/>
                <w:szCs w:val="16"/>
              </w:rPr>
            </w:pPr>
            <w:r w:rsidRPr="00064185">
              <w:rPr>
                <w:rFonts w:ascii="Verdana" w:hAnsi="Verdana"/>
                <w:i w:val="0"/>
                <w:sz w:val="16"/>
                <w:szCs w:val="16"/>
              </w:rPr>
              <w:t>Residual effects on PVC: The efficacy was weaker.</w:t>
            </w:r>
          </w:p>
          <w:p w14:paraId="2BD8BF01" w14:textId="77777777" w:rsidR="005748C8" w:rsidRPr="00064185" w:rsidRDefault="005748C8" w:rsidP="00EA61D8">
            <w:pPr>
              <w:pStyle w:val="Standardlinks"/>
              <w:rPr>
                <w:rFonts w:ascii="Verdana" w:hAnsi="Verdana"/>
                <w:i w:val="0"/>
                <w:sz w:val="16"/>
                <w:szCs w:val="16"/>
              </w:rPr>
            </w:pPr>
            <w:r w:rsidRPr="00064185">
              <w:rPr>
                <w:rFonts w:ascii="Verdana" w:hAnsi="Verdana"/>
                <w:i w:val="0"/>
                <w:sz w:val="16"/>
                <w:szCs w:val="16"/>
              </w:rPr>
              <w:t>Against German cockroaches 100% efficacy was achieved for residues up to 3 weeks (within 60 min up to 72 hours after start of exposure).</w:t>
            </w:r>
          </w:p>
          <w:p w14:paraId="352450C5" w14:textId="77777777" w:rsidR="005748C8" w:rsidRPr="00064185" w:rsidRDefault="005748C8" w:rsidP="00EA61D8">
            <w:pPr>
              <w:pStyle w:val="Standardlinks"/>
              <w:rPr>
                <w:rFonts w:ascii="Verdana" w:hAnsi="Verdana"/>
                <w:i w:val="0"/>
                <w:sz w:val="16"/>
                <w:szCs w:val="16"/>
              </w:rPr>
            </w:pPr>
            <w:r w:rsidRPr="00064185">
              <w:rPr>
                <w:rFonts w:ascii="Verdana" w:hAnsi="Verdana"/>
                <w:i w:val="0"/>
                <w:sz w:val="16"/>
                <w:szCs w:val="16"/>
              </w:rPr>
              <w:t>Against Oriental cockroaches 100% efficacy was achieved for residues aged 1 day, in parts for residues aged 1 week and 3 weeks (within 6 hours up to 72 hours after start of exposure).</w:t>
            </w:r>
          </w:p>
          <w:p w14:paraId="4D3B7360" w14:textId="77777777" w:rsidR="005748C8" w:rsidRPr="00064185" w:rsidRDefault="005748C8" w:rsidP="00EA61D8">
            <w:pPr>
              <w:pStyle w:val="Standardlinks"/>
              <w:rPr>
                <w:rFonts w:ascii="Verdana" w:hAnsi="Verdana"/>
                <w:i w:val="0"/>
                <w:sz w:val="16"/>
                <w:szCs w:val="16"/>
              </w:rPr>
            </w:pPr>
            <w:r w:rsidRPr="00064185">
              <w:rPr>
                <w:rFonts w:ascii="Verdana" w:hAnsi="Verdana"/>
                <w:i w:val="0"/>
                <w:sz w:val="16"/>
                <w:szCs w:val="16"/>
              </w:rPr>
              <w:t>Against American cockroaches 100% efficacy was achieved for residues aged 6 weeks (within 60 min. up to 6 hours after start of exposure).</w:t>
            </w:r>
          </w:p>
          <w:p w14:paraId="7CC61398" w14:textId="77777777" w:rsidR="005748C8" w:rsidRPr="00064185" w:rsidRDefault="005748C8" w:rsidP="00EA61D8">
            <w:pPr>
              <w:pStyle w:val="Standardlinks"/>
              <w:rPr>
                <w:rFonts w:ascii="Verdana" w:hAnsi="Verdana"/>
                <w:i w:val="0"/>
                <w:sz w:val="16"/>
                <w:szCs w:val="16"/>
              </w:rPr>
            </w:pPr>
          </w:p>
          <w:p w14:paraId="3ED56A2E" w14:textId="77777777" w:rsidR="0070745E" w:rsidRPr="00064185" w:rsidRDefault="005748C8" w:rsidP="00EA61D8">
            <w:pPr>
              <w:rPr>
                <w:i/>
                <w:sz w:val="16"/>
                <w:szCs w:val="16"/>
              </w:rPr>
            </w:pPr>
            <w:r w:rsidRPr="00064185">
              <w:rPr>
                <w:sz w:val="16"/>
                <w:szCs w:val="16"/>
              </w:rPr>
              <w:t>Conclusion: In this laboratory test, COM 116 02 I AL (spray) has proved a complete and fast efficacy towards the cockroach species</w:t>
            </w:r>
            <w:r w:rsidRPr="00064185">
              <w:rPr>
                <w:i/>
                <w:sz w:val="16"/>
                <w:szCs w:val="16"/>
              </w:rPr>
              <w:t xml:space="preserve"> Blattela germanica, Blatta orientalis and Periplaneta americana.</w:t>
            </w:r>
          </w:p>
          <w:p w14:paraId="55EAB9BC" w14:textId="77777777" w:rsidR="0097574A" w:rsidRPr="00064185" w:rsidRDefault="0097574A" w:rsidP="00EA61D8">
            <w:pPr>
              <w:rPr>
                <w:sz w:val="16"/>
                <w:szCs w:val="16"/>
                <w:lang w:val="en-US"/>
              </w:rPr>
            </w:pPr>
          </w:p>
        </w:tc>
        <w:tc>
          <w:tcPr>
            <w:tcW w:w="388" w:type="pct"/>
          </w:tcPr>
          <w:p w14:paraId="28E44388" w14:textId="77777777" w:rsidR="0070745E" w:rsidRPr="00064185" w:rsidRDefault="005748C8" w:rsidP="00EA61D8">
            <w:pPr>
              <w:rPr>
                <w:sz w:val="16"/>
                <w:szCs w:val="16"/>
              </w:rPr>
            </w:pPr>
            <w:r w:rsidRPr="00064185">
              <w:rPr>
                <w:sz w:val="16"/>
                <w:szCs w:val="16"/>
              </w:rPr>
              <w:t>Lüpkes, 2009</w:t>
            </w:r>
          </w:p>
        </w:tc>
      </w:tr>
    </w:tbl>
    <w:p w14:paraId="7D9B261B" w14:textId="77777777" w:rsidR="00F710FB" w:rsidRPr="00064185" w:rsidRDefault="00F710FB" w:rsidP="00EA61D8"/>
    <w:p w14:paraId="4411D1FE" w14:textId="77777777" w:rsidR="00F710FB" w:rsidRPr="00064185" w:rsidRDefault="00F710FB" w:rsidP="00EA61D8">
      <w:r w:rsidRPr="00064185">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09"/>
        <w:gridCol w:w="1322"/>
        <w:gridCol w:w="1746"/>
        <w:gridCol w:w="8269"/>
        <w:gridCol w:w="1047"/>
      </w:tblGrid>
      <w:tr w:rsidR="00064185" w:rsidRPr="00064185" w14:paraId="159BADEE" w14:textId="77777777" w:rsidTr="008F40BA">
        <w:trPr>
          <w:trHeight w:val="303"/>
        </w:trPr>
        <w:tc>
          <w:tcPr>
            <w:tcW w:w="5000" w:type="pct"/>
            <w:gridSpan w:val="5"/>
            <w:shd w:val="clear" w:color="auto" w:fill="FFFFCC"/>
            <w:vAlign w:val="center"/>
          </w:tcPr>
          <w:p w14:paraId="7AB1E499" w14:textId="77777777" w:rsidR="00F710FB" w:rsidRPr="00064185" w:rsidRDefault="00F710FB" w:rsidP="00EA61D8">
            <w:pPr>
              <w:rPr>
                <w:b/>
                <w:sz w:val="16"/>
                <w:szCs w:val="16"/>
              </w:rPr>
            </w:pPr>
            <w:r w:rsidRPr="00064185">
              <w:rPr>
                <w:b/>
                <w:sz w:val="16"/>
                <w:szCs w:val="16"/>
              </w:rPr>
              <w:lastRenderedPageBreak/>
              <w:t>Experimental data on the efficacy of the biocidal product against target organism(s)</w:t>
            </w:r>
          </w:p>
        </w:tc>
      </w:tr>
      <w:tr w:rsidR="00064185" w:rsidRPr="00064185" w14:paraId="573AE1C1" w14:textId="77777777" w:rsidTr="008F40BA">
        <w:tc>
          <w:tcPr>
            <w:tcW w:w="411" w:type="pct"/>
            <w:shd w:val="clear" w:color="auto" w:fill="FFFFFF"/>
          </w:tcPr>
          <w:p w14:paraId="106C501E" w14:textId="77777777" w:rsidR="00F710FB" w:rsidRPr="00064185" w:rsidRDefault="00F710FB" w:rsidP="00EA61D8">
            <w:pPr>
              <w:rPr>
                <w:b/>
                <w:i/>
                <w:sz w:val="16"/>
                <w:szCs w:val="16"/>
              </w:rPr>
            </w:pPr>
            <w:r w:rsidRPr="00064185">
              <w:rPr>
                <w:b/>
                <w:sz w:val="16"/>
                <w:szCs w:val="16"/>
              </w:rPr>
              <w:t>Test substance</w:t>
            </w:r>
          </w:p>
        </w:tc>
        <w:tc>
          <w:tcPr>
            <w:tcW w:w="490" w:type="pct"/>
            <w:shd w:val="clear" w:color="auto" w:fill="FFFFFF"/>
          </w:tcPr>
          <w:p w14:paraId="264A3B68" w14:textId="77777777" w:rsidR="00F710FB" w:rsidRPr="00064185" w:rsidRDefault="00F710FB" w:rsidP="00EA61D8">
            <w:pPr>
              <w:rPr>
                <w:b/>
                <w:i/>
                <w:sz w:val="16"/>
                <w:szCs w:val="16"/>
              </w:rPr>
            </w:pPr>
            <w:r w:rsidRPr="00064185">
              <w:rPr>
                <w:b/>
                <w:sz w:val="16"/>
                <w:szCs w:val="16"/>
              </w:rPr>
              <w:t>Test organism(s)</w:t>
            </w:r>
          </w:p>
        </w:tc>
        <w:tc>
          <w:tcPr>
            <w:tcW w:w="647" w:type="pct"/>
            <w:shd w:val="clear" w:color="auto" w:fill="FFFFFF"/>
          </w:tcPr>
          <w:p w14:paraId="08D5DA94" w14:textId="77777777" w:rsidR="00F710FB" w:rsidRPr="00064185" w:rsidRDefault="00F710FB" w:rsidP="00EA61D8">
            <w:pPr>
              <w:rPr>
                <w:b/>
                <w:sz w:val="16"/>
                <w:szCs w:val="16"/>
              </w:rPr>
            </w:pPr>
            <w:r w:rsidRPr="00064185">
              <w:rPr>
                <w:b/>
                <w:sz w:val="16"/>
                <w:szCs w:val="16"/>
              </w:rPr>
              <w:t>Test system / concentrations applied / exposure time</w:t>
            </w:r>
          </w:p>
        </w:tc>
        <w:tc>
          <w:tcPr>
            <w:tcW w:w="3064" w:type="pct"/>
            <w:shd w:val="clear" w:color="auto" w:fill="FFFFFF"/>
          </w:tcPr>
          <w:p w14:paraId="0F2F126C" w14:textId="77777777" w:rsidR="00F710FB" w:rsidRPr="00064185" w:rsidRDefault="00F710FB" w:rsidP="00EA61D8">
            <w:pPr>
              <w:rPr>
                <w:b/>
                <w:sz w:val="16"/>
                <w:szCs w:val="16"/>
              </w:rPr>
            </w:pPr>
            <w:r w:rsidRPr="00064185">
              <w:rPr>
                <w:b/>
                <w:sz w:val="16"/>
                <w:szCs w:val="16"/>
              </w:rPr>
              <w:t>Test results: effects</w:t>
            </w:r>
          </w:p>
        </w:tc>
        <w:tc>
          <w:tcPr>
            <w:tcW w:w="388" w:type="pct"/>
            <w:shd w:val="clear" w:color="auto" w:fill="FFFFFF"/>
          </w:tcPr>
          <w:p w14:paraId="1BE2649F" w14:textId="77777777" w:rsidR="00F710FB" w:rsidRPr="00064185" w:rsidRDefault="00F710FB" w:rsidP="00EA61D8">
            <w:pPr>
              <w:rPr>
                <w:b/>
                <w:sz w:val="16"/>
                <w:szCs w:val="16"/>
              </w:rPr>
            </w:pPr>
            <w:r w:rsidRPr="00064185">
              <w:rPr>
                <w:b/>
                <w:sz w:val="16"/>
                <w:szCs w:val="16"/>
              </w:rPr>
              <w:t>Reference</w:t>
            </w:r>
          </w:p>
        </w:tc>
      </w:tr>
      <w:tr w:rsidR="0070745E" w:rsidRPr="00064185" w14:paraId="7F0B77ED" w14:textId="77777777" w:rsidTr="0070745E">
        <w:tc>
          <w:tcPr>
            <w:tcW w:w="411" w:type="pct"/>
          </w:tcPr>
          <w:p w14:paraId="08F39996" w14:textId="77777777" w:rsidR="0070745E" w:rsidRPr="00064185" w:rsidRDefault="00F710FB" w:rsidP="00EA61D8">
            <w:pPr>
              <w:rPr>
                <w:sz w:val="16"/>
                <w:szCs w:val="16"/>
              </w:rPr>
            </w:pPr>
            <w:r w:rsidRPr="00064185">
              <w:rPr>
                <w:sz w:val="16"/>
                <w:szCs w:val="16"/>
              </w:rPr>
              <w:t xml:space="preserve">COM 116 02 I AL, 0.05% w/w </w:t>
            </w:r>
            <w:r w:rsidRPr="00064185">
              <w:rPr>
                <w:i/>
                <w:sz w:val="16"/>
                <w:szCs w:val="16"/>
              </w:rPr>
              <w:t>lambda</w:t>
            </w:r>
            <w:r w:rsidRPr="00064185">
              <w:rPr>
                <w:sz w:val="16"/>
                <w:szCs w:val="16"/>
              </w:rPr>
              <w:t>-cyhalothrin</w:t>
            </w:r>
          </w:p>
        </w:tc>
        <w:tc>
          <w:tcPr>
            <w:tcW w:w="490" w:type="pct"/>
          </w:tcPr>
          <w:p w14:paraId="0457B543" w14:textId="77777777" w:rsidR="00F710FB" w:rsidRPr="00064185" w:rsidRDefault="00F710FB" w:rsidP="00EA61D8">
            <w:pPr>
              <w:spacing w:before="60" w:after="60"/>
              <w:rPr>
                <w:sz w:val="16"/>
                <w:szCs w:val="16"/>
                <w:u w:val="single"/>
              </w:rPr>
            </w:pPr>
            <w:r w:rsidRPr="00064185">
              <w:rPr>
                <w:sz w:val="16"/>
                <w:szCs w:val="16"/>
                <w:u w:val="single"/>
              </w:rPr>
              <w:t>Insects:</w:t>
            </w:r>
          </w:p>
          <w:p w14:paraId="33D16D6F" w14:textId="77777777" w:rsidR="0070745E" w:rsidRPr="00064185" w:rsidRDefault="00F710FB" w:rsidP="00EA61D8">
            <w:pPr>
              <w:rPr>
                <w:sz w:val="16"/>
                <w:szCs w:val="16"/>
              </w:rPr>
            </w:pPr>
            <w:r w:rsidRPr="00064185">
              <w:rPr>
                <w:i/>
                <w:sz w:val="16"/>
                <w:szCs w:val="16"/>
              </w:rPr>
              <w:t>Lepisma saccharina</w:t>
            </w:r>
          </w:p>
        </w:tc>
        <w:tc>
          <w:tcPr>
            <w:tcW w:w="647" w:type="pct"/>
          </w:tcPr>
          <w:p w14:paraId="0460079B" w14:textId="77777777" w:rsidR="00F710FB" w:rsidRPr="00064185" w:rsidRDefault="00F710FB" w:rsidP="00EA61D8">
            <w:pPr>
              <w:pStyle w:val="Standardlinks"/>
              <w:rPr>
                <w:rFonts w:ascii="Verdana" w:hAnsi="Verdana"/>
                <w:i w:val="0"/>
                <w:sz w:val="16"/>
                <w:szCs w:val="16"/>
              </w:rPr>
            </w:pPr>
            <w:r w:rsidRPr="00064185">
              <w:rPr>
                <w:rFonts w:ascii="Verdana" w:hAnsi="Verdana"/>
                <w:i w:val="0"/>
                <w:sz w:val="16"/>
                <w:szCs w:val="16"/>
              </w:rPr>
              <w:t>Laboratory tests of the efficacy of different experimental products intended to control silverfishes in garden and house environment were conducted.</w:t>
            </w:r>
          </w:p>
          <w:p w14:paraId="73107556" w14:textId="7CC83128" w:rsidR="00F710FB" w:rsidRPr="00064185" w:rsidRDefault="00F710FB" w:rsidP="00EA61D8">
            <w:pPr>
              <w:pStyle w:val="Standardlinks"/>
              <w:rPr>
                <w:rFonts w:ascii="Verdana" w:hAnsi="Verdana"/>
                <w:i w:val="0"/>
                <w:sz w:val="16"/>
                <w:szCs w:val="16"/>
              </w:rPr>
            </w:pPr>
            <w:r w:rsidRPr="00064185">
              <w:rPr>
                <w:rFonts w:ascii="Verdana" w:hAnsi="Verdana"/>
                <w:i w:val="0"/>
                <w:sz w:val="16"/>
                <w:szCs w:val="16"/>
              </w:rPr>
              <w:t>a) Direct spray treatm</w:t>
            </w:r>
            <w:r w:rsidR="008E2D20" w:rsidRPr="00064185">
              <w:rPr>
                <w:rFonts w:ascii="Verdana" w:hAnsi="Verdana"/>
                <w:i w:val="0"/>
                <w:sz w:val="16"/>
                <w:szCs w:val="16"/>
              </w:rPr>
              <w:t xml:space="preserve">ent (exposure time 48 hours </w:t>
            </w:r>
            <w:r w:rsidRPr="00064185">
              <w:rPr>
                <w:rFonts w:ascii="Verdana" w:hAnsi="Verdana"/>
                <w:i w:val="0"/>
                <w:sz w:val="16"/>
                <w:szCs w:val="16"/>
              </w:rPr>
              <w:t xml:space="preserve">) </w:t>
            </w:r>
          </w:p>
          <w:p w14:paraId="59724EA4" w14:textId="77777777" w:rsidR="00F710FB" w:rsidRPr="00064185" w:rsidRDefault="00F710FB" w:rsidP="00EA61D8">
            <w:pPr>
              <w:pStyle w:val="Standardlinks"/>
              <w:rPr>
                <w:rFonts w:ascii="Verdana" w:hAnsi="Verdana"/>
                <w:i w:val="0"/>
                <w:sz w:val="16"/>
                <w:szCs w:val="16"/>
              </w:rPr>
            </w:pPr>
            <w:r w:rsidRPr="00064185">
              <w:rPr>
                <w:rFonts w:ascii="Verdana" w:hAnsi="Verdana"/>
                <w:i w:val="0"/>
                <w:sz w:val="16"/>
                <w:szCs w:val="16"/>
              </w:rPr>
              <w:t>b) Residual test (exposure of 72 hours, residues aged up to 2 weeks)</w:t>
            </w:r>
          </w:p>
          <w:p w14:paraId="113FC0B9" w14:textId="77777777" w:rsidR="00F710FB" w:rsidRPr="00064185" w:rsidRDefault="00F710FB" w:rsidP="00EA61D8">
            <w:pPr>
              <w:pStyle w:val="Standardlinks"/>
              <w:rPr>
                <w:rFonts w:ascii="Verdana" w:hAnsi="Verdana"/>
                <w:i w:val="0"/>
                <w:sz w:val="16"/>
                <w:szCs w:val="16"/>
              </w:rPr>
            </w:pPr>
            <w:r w:rsidRPr="00064185">
              <w:rPr>
                <w:rFonts w:ascii="Verdana" w:hAnsi="Verdana"/>
                <w:i w:val="0"/>
                <w:sz w:val="16"/>
                <w:szCs w:val="16"/>
              </w:rPr>
              <w:t xml:space="preserve">Type of test chamber: </w:t>
            </w:r>
          </w:p>
          <w:p w14:paraId="55D13633" w14:textId="77777777" w:rsidR="00F710FB" w:rsidRPr="00064185" w:rsidRDefault="00F710FB" w:rsidP="00EA61D8">
            <w:pPr>
              <w:pStyle w:val="Standardlinks"/>
              <w:rPr>
                <w:rFonts w:ascii="Verdana" w:hAnsi="Verdana"/>
                <w:i w:val="0"/>
                <w:sz w:val="16"/>
                <w:szCs w:val="16"/>
              </w:rPr>
            </w:pPr>
            <w:r w:rsidRPr="00064185">
              <w:rPr>
                <w:rFonts w:ascii="Verdana" w:hAnsi="Verdana"/>
                <w:i w:val="0"/>
                <w:sz w:val="16"/>
                <w:szCs w:val="16"/>
              </w:rPr>
              <w:t>a) Direct spray treatment: glass rings (9.5 cm in diameter, 5.5 cm height)</w:t>
            </w:r>
          </w:p>
          <w:p w14:paraId="561916D2" w14:textId="77777777" w:rsidR="00F710FB" w:rsidRPr="00064185" w:rsidRDefault="00F710FB" w:rsidP="00EA61D8">
            <w:pPr>
              <w:pStyle w:val="Standardlinks"/>
              <w:rPr>
                <w:rFonts w:ascii="Verdana" w:hAnsi="Verdana"/>
                <w:i w:val="0"/>
                <w:sz w:val="16"/>
                <w:szCs w:val="16"/>
              </w:rPr>
            </w:pPr>
            <w:r w:rsidRPr="00064185">
              <w:rPr>
                <w:rFonts w:ascii="Verdana" w:hAnsi="Verdana"/>
                <w:i w:val="0"/>
                <w:sz w:val="16"/>
                <w:szCs w:val="16"/>
              </w:rPr>
              <w:t>b) Residual effects: Spray robot, glazed tiles or PVC</w:t>
            </w:r>
          </w:p>
          <w:p w14:paraId="1B8D5D65" w14:textId="77777777" w:rsidR="0070745E" w:rsidRPr="00064185" w:rsidRDefault="00F710FB" w:rsidP="00EA61D8">
            <w:pPr>
              <w:rPr>
                <w:sz w:val="16"/>
                <w:szCs w:val="16"/>
              </w:rPr>
            </w:pPr>
            <w:r w:rsidRPr="00064185">
              <w:rPr>
                <w:sz w:val="16"/>
                <w:szCs w:val="16"/>
              </w:rPr>
              <w:t xml:space="preserve">Bag-on-valve system (0.05% w/w </w:t>
            </w:r>
            <w:r w:rsidRPr="00064185">
              <w:rPr>
                <w:i/>
                <w:sz w:val="16"/>
                <w:szCs w:val="16"/>
              </w:rPr>
              <w:t>lambda-</w:t>
            </w:r>
            <w:r w:rsidRPr="00064185">
              <w:rPr>
                <w:sz w:val="16"/>
                <w:szCs w:val="16"/>
              </w:rPr>
              <w:t>cyhalothrin)</w:t>
            </w:r>
          </w:p>
        </w:tc>
        <w:tc>
          <w:tcPr>
            <w:tcW w:w="3064" w:type="pct"/>
          </w:tcPr>
          <w:p w14:paraId="19449CC6" w14:textId="77777777" w:rsidR="00F710FB" w:rsidRPr="00064185" w:rsidRDefault="00F710FB" w:rsidP="00EA61D8">
            <w:pPr>
              <w:rPr>
                <w:sz w:val="16"/>
                <w:szCs w:val="16"/>
              </w:rPr>
            </w:pPr>
            <w:r w:rsidRPr="00064185">
              <w:rPr>
                <w:sz w:val="16"/>
                <w:szCs w:val="16"/>
              </w:rPr>
              <w:t>a) Direct spray treatment (mean of 10 replicates)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09"/>
              <w:gridCol w:w="1418"/>
              <w:gridCol w:w="1275"/>
              <w:gridCol w:w="993"/>
              <w:gridCol w:w="850"/>
            </w:tblGrid>
            <w:tr w:rsidR="00064185" w:rsidRPr="00064185" w14:paraId="003BAFEC" w14:textId="77777777" w:rsidTr="008F40BA">
              <w:trPr>
                <w:trHeight w:val="323"/>
              </w:trPr>
              <w:tc>
                <w:tcPr>
                  <w:tcW w:w="1939" w:type="dxa"/>
                  <w:vMerge w:val="restart"/>
                  <w:shd w:val="clear" w:color="auto" w:fill="auto"/>
                </w:tcPr>
                <w:p w14:paraId="783F0A6E" w14:textId="77777777" w:rsidR="00F710FB" w:rsidRPr="00064185" w:rsidRDefault="00F710FB" w:rsidP="00EA61D8">
                  <w:pPr>
                    <w:rPr>
                      <w:sz w:val="16"/>
                      <w:szCs w:val="16"/>
                    </w:rPr>
                  </w:pPr>
                </w:p>
                <w:p w14:paraId="25800823" w14:textId="77777777" w:rsidR="00F710FB" w:rsidRPr="00064185" w:rsidRDefault="00F710FB" w:rsidP="00EA61D8">
                  <w:pPr>
                    <w:rPr>
                      <w:sz w:val="16"/>
                      <w:szCs w:val="16"/>
                    </w:rPr>
                  </w:pPr>
                </w:p>
                <w:p w14:paraId="3BC4E907" w14:textId="77777777" w:rsidR="00F710FB" w:rsidRPr="00064185" w:rsidRDefault="00F710FB" w:rsidP="00EA61D8">
                  <w:pPr>
                    <w:rPr>
                      <w:sz w:val="16"/>
                      <w:szCs w:val="16"/>
                    </w:rPr>
                  </w:pPr>
                </w:p>
                <w:p w14:paraId="0C2C81DF" w14:textId="77777777" w:rsidR="00F710FB" w:rsidRPr="00064185" w:rsidRDefault="00F710FB" w:rsidP="00EA61D8">
                  <w:pPr>
                    <w:rPr>
                      <w:b/>
                      <w:sz w:val="16"/>
                      <w:szCs w:val="16"/>
                    </w:rPr>
                  </w:pPr>
                  <w:r w:rsidRPr="00064185">
                    <w:rPr>
                      <w:sz w:val="16"/>
                      <w:szCs w:val="16"/>
                    </w:rPr>
                    <w:t>Product</w:t>
                  </w:r>
                </w:p>
              </w:tc>
              <w:tc>
                <w:tcPr>
                  <w:tcW w:w="2227" w:type="dxa"/>
                  <w:gridSpan w:val="2"/>
                  <w:tcBorders>
                    <w:bottom w:val="nil"/>
                  </w:tcBorders>
                  <w:shd w:val="clear" w:color="auto" w:fill="auto"/>
                </w:tcPr>
                <w:p w14:paraId="227EF0B3" w14:textId="77777777" w:rsidR="00F710FB" w:rsidRPr="00064185" w:rsidRDefault="00F710FB" w:rsidP="00EA61D8">
                  <w:pPr>
                    <w:rPr>
                      <w:b/>
                      <w:sz w:val="16"/>
                      <w:szCs w:val="16"/>
                    </w:rPr>
                  </w:pPr>
                  <w:r w:rsidRPr="00064185">
                    <w:rPr>
                      <w:b/>
                      <w:sz w:val="16"/>
                      <w:szCs w:val="16"/>
                    </w:rPr>
                    <w:t>100% knock down after minutes (‘) and seconds (‘’)</w:t>
                  </w:r>
                </w:p>
              </w:tc>
              <w:tc>
                <w:tcPr>
                  <w:tcW w:w="1275" w:type="dxa"/>
                  <w:tcBorders>
                    <w:bottom w:val="nil"/>
                  </w:tcBorders>
                </w:tcPr>
                <w:p w14:paraId="7AE4CEB4" w14:textId="77777777" w:rsidR="00F710FB" w:rsidRPr="00064185" w:rsidRDefault="00F710FB" w:rsidP="00EA61D8">
                  <w:pPr>
                    <w:rPr>
                      <w:b/>
                      <w:sz w:val="16"/>
                      <w:szCs w:val="16"/>
                    </w:rPr>
                  </w:pPr>
                  <w:r w:rsidRPr="00064185">
                    <w:rPr>
                      <w:b/>
                      <w:sz w:val="16"/>
                      <w:szCs w:val="16"/>
                    </w:rPr>
                    <w:t xml:space="preserve">% knock down after </w:t>
                  </w:r>
                </w:p>
              </w:tc>
              <w:tc>
                <w:tcPr>
                  <w:tcW w:w="1843" w:type="dxa"/>
                  <w:gridSpan w:val="2"/>
                  <w:tcBorders>
                    <w:bottom w:val="nil"/>
                  </w:tcBorders>
                </w:tcPr>
                <w:p w14:paraId="36DABAC4" w14:textId="77777777" w:rsidR="00F710FB" w:rsidRPr="00064185" w:rsidRDefault="00F710FB" w:rsidP="00EA61D8">
                  <w:pPr>
                    <w:rPr>
                      <w:b/>
                      <w:sz w:val="16"/>
                      <w:szCs w:val="16"/>
                    </w:rPr>
                  </w:pPr>
                  <w:r w:rsidRPr="00064185">
                    <w:rPr>
                      <w:b/>
                      <w:sz w:val="16"/>
                      <w:szCs w:val="16"/>
                    </w:rPr>
                    <w:t>100% mortality after</w:t>
                  </w:r>
                </w:p>
              </w:tc>
            </w:tr>
            <w:tr w:rsidR="00064185" w:rsidRPr="00064185" w14:paraId="2404E225" w14:textId="77777777" w:rsidTr="008F40BA">
              <w:trPr>
                <w:trHeight w:val="323"/>
              </w:trPr>
              <w:tc>
                <w:tcPr>
                  <w:tcW w:w="1939" w:type="dxa"/>
                  <w:vMerge/>
                  <w:shd w:val="clear" w:color="auto" w:fill="auto"/>
                </w:tcPr>
                <w:p w14:paraId="0CD8A57D" w14:textId="77777777" w:rsidR="00F710FB" w:rsidRPr="00064185" w:rsidRDefault="00F710FB" w:rsidP="00EA61D8">
                  <w:pPr>
                    <w:rPr>
                      <w:sz w:val="16"/>
                      <w:szCs w:val="16"/>
                    </w:rPr>
                  </w:pPr>
                </w:p>
              </w:tc>
              <w:tc>
                <w:tcPr>
                  <w:tcW w:w="809" w:type="dxa"/>
                  <w:tcBorders>
                    <w:top w:val="nil"/>
                  </w:tcBorders>
                  <w:shd w:val="clear" w:color="auto" w:fill="auto"/>
                </w:tcPr>
                <w:p w14:paraId="6E515B17" w14:textId="77777777" w:rsidR="00F710FB" w:rsidRPr="00064185" w:rsidRDefault="00F710FB" w:rsidP="00EA61D8">
                  <w:pPr>
                    <w:rPr>
                      <w:sz w:val="16"/>
                      <w:szCs w:val="16"/>
                    </w:rPr>
                  </w:pPr>
                  <w:r w:rsidRPr="00064185">
                    <w:rPr>
                      <w:sz w:val="16"/>
                      <w:szCs w:val="16"/>
                    </w:rPr>
                    <w:t>mean</w:t>
                  </w:r>
                </w:p>
              </w:tc>
              <w:tc>
                <w:tcPr>
                  <w:tcW w:w="1418" w:type="dxa"/>
                  <w:tcBorders>
                    <w:top w:val="nil"/>
                  </w:tcBorders>
                </w:tcPr>
                <w:p w14:paraId="42206FCA" w14:textId="77777777" w:rsidR="00F710FB" w:rsidRPr="00064185" w:rsidRDefault="00F710FB" w:rsidP="00EA61D8">
                  <w:pPr>
                    <w:rPr>
                      <w:sz w:val="16"/>
                      <w:szCs w:val="16"/>
                    </w:rPr>
                  </w:pPr>
                  <w:r w:rsidRPr="00064185">
                    <w:rPr>
                      <w:sz w:val="16"/>
                      <w:szCs w:val="16"/>
                    </w:rPr>
                    <w:t>range</w:t>
                  </w:r>
                </w:p>
              </w:tc>
              <w:tc>
                <w:tcPr>
                  <w:tcW w:w="1275" w:type="dxa"/>
                  <w:tcBorders>
                    <w:top w:val="nil"/>
                  </w:tcBorders>
                </w:tcPr>
                <w:p w14:paraId="716D7F68" w14:textId="77777777" w:rsidR="00F710FB" w:rsidRPr="00064185" w:rsidRDefault="00F710FB" w:rsidP="00EA61D8">
                  <w:pPr>
                    <w:rPr>
                      <w:sz w:val="16"/>
                      <w:szCs w:val="16"/>
                    </w:rPr>
                  </w:pPr>
                  <w:r w:rsidRPr="00064185">
                    <w:rPr>
                      <w:sz w:val="16"/>
                      <w:szCs w:val="16"/>
                    </w:rPr>
                    <w:t>2h</w:t>
                  </w:r>
                </w:p>
              </w:tc>
              <w:tc>
                <w:tcPr>
                  <w:tcW w:w="993" w:type="dxa"/>
                  <w:tcBorders>
                    <w:top w:val="nil"/>
                  </w:tcBorders>
                </w:tcPr>
                <w:p w14:paraId="10BDAF9F" w14:textId="77777777" w:rsidR="00F710FB" w:rsidRPr="00064185" w:rsidRDefault="00F710FB" w:rsidP="00EA61D8">
                  <w:pPr>
                    <w:rPr>
                      <w:sz w:val="16"/>
                      <w:szCs w:val="16"/>
                    </w:rPr>
                  </w:pPr>
                  <w:r w:rsidRPr="00064185">
                    <w:rPr>
                      <w:sz w:val="16"/>
                      <w:szCs w:val="16"/>
                    </w:rPr>
                    <w:t>24h</w:t>
                  </w:r>
                </w:p>
              </w:tc>
              <w:tc>
                <w:tcPr>
                  <w:tcW w:w="850" w:type="dxa"/>
                  <w:tcBorders>
                    <w:top w:val="nil"/>
                  </w:tcBorders>
                </w:tcPr>
                <w:p w14:paraId="58071D88" w14:textId="77777777" w:rsidR="00F710FB" w:rsidRPr="00064185" w:rsidRDefault="00F710FB" w:rsidP="00EA61D8">
                  <w:pPr>
                    <w:rPr>
                      <w:sz w:val="16"/>
                      <w:szCs w:val="16"/>
                    </w:rPr>
                  </w:pPr>
                  <w:r w:rsidRPr="00064185">
                    <w:rPr>
                      <w:sz w:val="16"/>
                      <w:szCs w:val="16"/>
                    </w:rPr>
                    <w:t>48h</w:t>
                  </w:r>
                </w:p>
              </w:tc>
            </w:tr>
            <w:tr w:rsidR="00064185" w:rsidRPr="00064185" w14:paraId="7AD23BE4" w14:textId="77777777" w:rsidTr="008F40BA">
              <w:trPr>
                <w:trHeight w:val="311"/>
              </w:trPr>
              <w:tc>
                <w:tcPr>
                  <w:tcW w:w="1939" w:type="dxa"/>
                  <w:shd w:val="clear" w:color="auto" w:fill="auto"/>
                </w:tcPr>
                <w:p w14:paraId="6A6462F5" w14:textId="77777777" w:rsidR="00F710FB" w:rsidRPr="00064185" w:rsidRDefault="00F710FB" w:rsidP="00EA61D8">
                  <w:pPr>
                    <w:rPr>
                      <w:sz w:val="16"/>
                      <w:szCs w:val="16"/>
                    </w:rPr>
                  </w:pPr>
                  <w:r w:rsidRPr="00064185">
                    <w:rPr>
                      <w:sz w:val="16"/>
                      <w:szCs w:val="16"/>
                    </w:rPr>
                    <w:t>COM 116 02 I AL spray</w:t>
                  </w:r>
                </w:p>
              </w:tc>
              <w:tc>
                <w:tcPr>
                  <w:tcW w:w="809" w:type="dxa"/>
                  <w:shd w:val="clear" w:color="auto" w:fill="auto"/>
                </w:tcPr>
                <w:p w14:paraId="28352FB7" w14:textId="77777777" w:rsidR="00F710FB" w:rsidRPr="00064185" w:rsidRDefault="00F710FB" w:rsidP="00EA61D8">
                  <w:pPr>
                    <w:rPr>
                      <w:sz w:val="16"/>
                      <w:szCs w:val="16"/>
                    </w:rPr>
                  </w:pPr>
                  <w:r w:rsidRPr="00064185">
                    <w:rPr>
                      <w:sz w:val="16"/>
                      <w:szCs w:val="16"/>
                    </w:rPr>
                    <w:t>2’47’’</w:t>
                  </w:r>
                </w:p>
              </w:tc>
              <w:tc>
                <w:tcPr>
                  <w:tcW w:w="1418" w:type="dxa"/>
                </w:tcPr>
                <w:p w14:paraId="1B7449BD" w14:textId="77777777" w:rsidR="00F710FB" w:rsidRPr="00064185" w:rsidRDefault="00F710FB" w:rsidP="00EA61D8">
                  <w:pPr>
                    <w:rPr>
                      <w:sz w:val="16"/>
                      <w:szCs w:val="16"/>
                    </w:rPr>
                  </w:pPr>
                  <w:r w:rsidRPr="00064185">
                    <w:rPr>
                      <w:sz w:val="16"/>
                      <w:szCs w:val="16"/>
                    </w:rPr>
                    <w:t>2’05’’–3’24’’</w:t>
                  </w:r>
                </w:p>
              </w:tc>
              <w:tc>
                <w:tcPr>
                  <w:tcW w:w="1275" w:type="dxa"/>
                </w:tcPr>
                <w:p w14:paraId="573D8B5C" w14:textId="77777777" w:rsidR="00F710FB" w:rsidRPr="00064185" w:rsidRDefault="00F710FB" w:rsidP="00EA61D8">
                  <w:pPr>
                    <w:rPr>
                      <w:sz w:val="16"/>
                      <w:szCs w:val="16"/>
                    </w:rPr>
                  </w:pPr>
                  <w:r w:rsidRPr="00064185">
                    <w:rPr>
                      <w:sz w:val="16"/>
                      <w:szCs w:val="16"/>
                    </w:rPr>
                    <w:t>100</w:t>
                  </w:r>
                </w:p>
              </w:tc>
              <w:tc>
                <w:tcPr>
                  <w:tcW w:w="993" w:type="dxa"/>
                </w:tcPr>
                <w:p w14:paraId="6F182EFF" w14:textId="77777777" w:rsidR="00F710FB" w:rsidRPr="00064185" w:rsidRDefault="00F710FB" w:rsidP="00EA61D8">
                  <w:pPr>
                    <w:rPr>
                      <w:sz w:val="16"/>
                      <w:szCs w:val="16"/>
                    </w:rPr>
                  </w:pPr>
                  <w:r w:rsidRPr="00064185">
                    <w:rPr>
                      <w:sz w:val="16"/>
                      <w:szCs w:val="16"/>
                    </w:rPr>
                    <w:t>100</w:t>
                  </w:r>
                </w:p>
              </w:tc>
              <w:tc>
                <w:tcPr>
                  <w:tcW w:w="850" w:type="dxa"/>
                </w:tcPr>
                <w:p w14:paraId="0DCFE008" w14:textId="77777777" w:rsidR="00F710FB" w:rsidRPr="00064185" w:rsidRDefault="00F710FB" w:rsidP="00EA61D8">
                  <w:pPr>
                    <w:rPr>
                      <w:sz w:val="16"/>
                      <w:szCs w:val="16"/>
                    </w:rPr>
                  </w:pPr>
                  <w:r w:rsidRPr="00064185">
                    <w:rPr>
                      <w:sz w:val="16"/>
                      <w:szCs w:val="16"/>
                    </w:rPr>
                    <w:t>100</w:t>
                  </w:r>
                </w:p>
              </w:tc>
            </w:tr>
            <w:tr w:rsidR="00064185" w:rsidRPr="00064185" w14:paraId="3EC2FD65" w14:textId="77777777" w:rsidTr="008F40BA">
              <w:trPr>
                <w:trHeight w:val="565"/>
              </w:trPr>
              <w:tc>
                <w:tcPr>
                  <w:tcW w:w="1939" w:type="dxa"/>
                  <w:shd w:val="clear" w:color="auto" w:fill="auto"/>
                </w:tcPr>
                <w:p w14:paraId="6E508160" w14:textId="77777777" w:rsidR="00F710FB" w:rsidRPr="00064185" w:rsidRDefault="00F710FB" w:rsidP="00EA61D8">
                  <w:pPr>
                    <w:rPr>
                      <w:sz w:val="16"/>
                      <w:szCs w:val="16"/>
                    </w:rPr>
                  </w:pPr>
                  <w:r w:rsidRPr="00064185">
                    <w:rPr>
                      <w:sz w:val="16"/>
                      <w:szCs w:val="16"/>
                    </w:rPr>
                    <w:t>Untreated</w:t>
                  </w:r>
                </w:p>
              </w:tc>
              <w:tc>
                <w:tcPr>
                  <w:tcW w:w="809" w:type="dxa"/>
                  <w:shd w:val="clear" w:color="auto" w:fill="auto"/>
                </w:tcPr>
                <w:p w14:paraId="21804147" w14:textId="77777777" w:rsidR="00F710FB" w:rsidRPr="00064185" w:rsidRDefault="00F710FB" w:rsidP="00EA61D8">
                  <w:pPr>
                    <w:rPr>
                      <w:sz w:val="16"/>
                      <w:szCs w:val="16"/>
                    </w:rPr>
                  </w:pPr>
                  <w:r w:rsidRPr="00064185">
                    <w:rPr>
                      <w:sz w:val="16"/>
                      <w:szCs w:val="16"/>
                    </w:rPr>
                    <w:t>-</w:t>
                  </w:r>
                </w:p>
              </w:tc>
              <w:tc>
                <w:tcPr>
                  <w:tcW w:w="1418" w:type="dxa"/>
                </w:tcPr>
                <w:p w14:paraId="50550EF1" w14:textId="77777777" w:rsidR="00F710FB" w:rsidRPr="00064185" w:rsidRDefault="00F710FB" w:rsidP="00EA61D8">
                  <w:pPr>
                    <w:rPr>
                      <w:sz w:val="16"/>
                      <w:szCs w:val="16"/>
                    </w:rPr>
                  </w:pPr>
                  <w:r w:rsidRPr="00064185">
                    <w:rPr>
                      <w:sz w:val="16"/>
                      <w:szCs w:val="16"/>
                    </w:rPr>
                    <w:t>-</w:t>
                  </w:r>
                </w:p>
              </w:tc>
              <w:tc>
                <w:tcPr>
                  <w:tcW w:w="1275" w:type="dxa"/>
                </w:tcPr>
                <w:p w14:paraId="6A2B1EB2" w14:textId="77777777" w:rsidR="00F710FB" w:rsidRPr="00064185" w:rsidRDefault="00F710FB" w:rsidP="00EA61D8">
                  <w:pPr>
                    <w:rPr>
                      <w:sz w:val="16"/>
                      <w:szCs w:val="16"/>
                    </w:rPr>
                  </w:pPr>
                  <w:r w:rsidRPr="00064185">
                    <w:rPr>
                      <w:sz w:val="16"/>
                      <w:szCs w:val="16"/>
                    </w:rPr>
                    <w:t>0</w:t>
                  </w:r>
                </w:p>
              </w:tc>
              <w:tc>
                <w:tcPr>
                  <w:tcW w:w="993" w:type="dxa"/>
                </w:tcPr>
                <w:p w14:paraId="13458921" w14:textId="77777777" w:rsidR="00F710FB" w:rsidRPr="00064185" w:rsidRDefault="00F710FB" w:rsidP="00EA61D8">
                  <w:pPr>
                    <w:rPr>
                      <w:sz w:val="16"/>
                      <w:szCs w:val="16"/>
                    </w:rPr>
                  </w:pPr>
                  <w:r w:rsidRPr="00064185">
                    <w:rPr>
                      <w:sz w:val="16"/>
                      <w:szCs w:val="16"/>
                    </w:rPr>
                    <w:t>0</w:t>
                  </w:r>
                </w:p>
              </w:tc>
              <w:tc>
                <w:tcPr>
                  <w:tcW w:w="850" w:type="dxa"/>
                </w:tcPr>
                <w:p w14:paraId="6DAA7121" w14:textId="77777777" w:rsidR="00F710FB" w:rsidRPr="00064185" w:rsidRDefault="00F710FB" w:rsidP="00EA61D8">
                  <w:pPr>
                    <w:rPr>
                      <w:sz w:val="16"/>
                      <w:szCs w:val="16"/>
                    </w:rPr>
                  </w:pPr>
                  <w:r w:rsidRPr="00064185">
                    <w:rPr>
                      <w:sz w:val="16"/>
                      <w:szCs w:val="16"/>
                    </w:rPr>
                    <w:t>0</w:t>
                  </w:r>
                </w:p>
              </w:tc>
            </w:tr>
          </w:tbl>
          <w:p w14:paraId="597FCFA6" w14:textId="77777777" w:rsidR="00F710FB" w:rsidRPr="00064185" w:rsidRDefault="00F710FB" w:rsidP="00EA61D8">
            <w:pPr>
              <w:rPr>
                <w:sz w:val="16"/>
                <w:szCs w:val="16"/>
              </w:rPr>
            </w:pPr>
          </w:p>
          <w:p w14:paraId="174E09D8" w14:textId="77777777" w:rsidR="00F710FB" w:rsidRPr="00064185" w:rsidRDefault="00F710FB" w:rsidP="00EA61D8">
            <w:pPr>
              <w:rPr>
                <w:sz w:val="16"/>
                <w:szCs w:val="16"/>
              </w:rPr>
            </w:pPr>
            <w:r w:rsidRPr="00064185">
              <w:rPr>
                <w:sz w:val="16"/>
                <w:szCs w:val="16"/>
              </w:rPr>
              <w:t>b) Residual efficacy (mean of 3 replicates)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893"/>
              <w:gridCol w:w="1187"/>
              <w:gridCol w:w="1134"/>
              <w:gridCol w:w="1417"/>
            </w:tblGrid>
            <w:tr w:rsidR="00064185" w:rsidRPr="00064185" w14:paraId="4A7DD75D" w14:textId="77777777" w:rsidTr="008F40BA">
              <w:trPr>
                <w:trHeight w:val="323"/>
              </w:trPr>
              <w:tc>
                <w:tcPr>
                  <w:tcW w:w="1653" w:type="dxa"/>
                  <w:vMerge w:val="restart"/>
                  <w:shd w:val="clear" w:color="auto" w:fill="auto"/>
                </w:tcPr>
                <w:p w14:paraId="27DC6495" w14:textId="77777777" w:rsidR="00F710FB" w:rsidRPr="00064185" w:rsidRDefault="00F710FB" w:rsidP="00EA61D8">
                  <w:pPr>
                    <w:rPr>
                      <w:sz w:val="16"/>
                      <w:szCs w:val="16"/>
                    </w:rPr>
                  </w:pPr>
                </w:p>
                <w:p w14:paraId="4D0B7C0C" w14:textId="77777777" w:rsidR="00F710FB" w:rsidRPr="00064185" w:rsidRDefault="00F710FB" w:rsidP="00EA61D8">
                  <w:pPr>
                    <w:rPr>
                      <w:sz w:val="16"/>
                      <w:szCs w:val="16"/>
                    </w:rPr>
                  </w:pPr>
                </w:p>
                <w:p w14:paraId="4CA2C2FB" w14:textId="77777777" w:rsidR="00F710FB" w:rsidRPr="00064185" w:rsidRDefault="00F710FB" w:rsidP="00EA61D8">
                  <w:pPr>
                    <w:rPr>
                      <w:sz w:val="16"/>
                      <w:szCs w:val="16"/>
                    </w:rPr>
                  </w:pPr>
                </w:p>
                <w:p w14:paraId="1B1F033C" w14:textId="77777777" w:rsidR="00F710FB" w:rsidRPr="00064185" w:rsidRDefault="00F710FB" w:rsidP="00EA61D8">
                  <w:pPr>
                    <w:rPr>
                      <w:b/>
                      <w:sz w:val="16"/>
                      <w:szCs w:val="16"/>
                    </w:rPr>
                  </w:pPr>
                  <w:r w:rsidRPr="00064185">
                    <w:rPr>
                      <w:sz w:val="16"/>
                      <w:szCs w:val="16"/>
                    </w:rPr>
                    <w:t>Product</w:t>
                  </w:r>
                </w:p>
              </w:tc>
              <w:tc>
                <w:tcPr>
                  <w:tcW w:w="1893" w:type="dxa"/>
                  <w:vMerge w:val="restart"/>
                </w:tcPr>
                <w:p w14:paraId="0FCBC56E" w14:textId="77777777" w:rsidR="00F710FB" w:rsidRPr="00064185" w:rsidRDefault="00F710FB" w:rsidP="00EA61D8">
                  <w:pPr>
                    <w:rPr>
                      <w:sz w:val="16"/>
                      <w:szCs w:val="16"/>
                    </w:rPr>
                  </w:pPr>
                </w:p>
                <w:p w14:paraId="1761BC05" w14:textId="77777777" w:rsidR="00F710FB" w:rsidRPr="00064185" w:rsidRDefault="00F710FB" w:rsidP="00EA61D8">
                  <w:pPr>
                    <w:rPr>
                      <w:sz w:val="16"/>
                      <w:szCs w:val="16"/>
                    </w:rPr>
                  </w:pPr>
                </w:p>
                <w:p w14:paraId="1B76C1FE" w14:textId="77777777" w:rsidR="00F710FB" w:rsidRPr="00064185" w:rsidRDefault="00F710FB" w:rsidP="00EA61D8">
                  <w:pPr>
                    <w:rPr>
                      <w:sz w:val="16"/>
                      <w:szCs w:val="16"/>
                    </w:rPr>
                  </w:pPr>
                </w:p>
                <w:p w14:paraId="35FCED43" w14:textId="77777777" w:rsidR="00F710FB" w:rsidRPr="00064185" w:rsidRDefault="00F710FB" w:rsidP="00EA61D8">
                  <w:pPr>
                    <w:rPr>
                      <w:b/>
                      <w:sz w:val="16"/>
                      <w:szCs w:val="16"/>
                    </w:rPr>
                  </w:pPr>
                  <w:r w:rsidRPr="00064185">
                    <w:rPr>
                      <w:sz w:val="16"/>
                      <w:szCs w:val="16"/>
                    </w:rPr>
                    <w:t>Tiles</w:t>
                  </w:r>
                </w:p>
              </w:tc>
              <w:tc>
                <w:tcPr>
                  <w:tcW w:w="3738" w:type="dxa"/>
                  <w:gridSpan w:val="3"/>
                  <w:tcBorders>
                    <w:bottom w:val="nil"/>
                  </w:tcBorders>
                  <w:shd w:val="clear" w:color="auto" w:fill="auto"/>
                </w:tcPr>
                <w:p w14:paraId="432701D3" w14:textId="77777777" w:rsidR="00F710FB" w:rsidRPr="00064185" w:rsidRDefault="00F710FB" w:rsidP="00EA61D8">
                  <w:pPr>
                    <w:rPr>
                      <w:b/>
                      <w:sz w:val="16"/>
                      <w:szCs w:val="16"/>
                    </w:rPr>
                  </w:pPr>
                  <w:r w:rsidRPr="00064185">
                    <w:rPr>
                      <w:b/>
                      <w:sz w:val="16"/>
                      <w:szCs w:val="16"/>
                    </w:rPr>
                    <w:t xml:space="preserve">100% knock down followed by mortality after minutes during an exposure time of 72 hours after: </w:t>
                  </w:r>
                </w:p>
              </w:tc>
            </w:tr>
            <w:tr w:rsidR="00064185" w:rsidRPr="00064185" w14:paraId="0710057E" w14:textId="77777777" w:rsidTr="008F40BA">
              <w:trPr>
                <w:trHeight w:val="323"/>
              </w:trPr>
              <w:tc>
                <w:tcPr>
                  <w:tcW w:w="1653" w:type="dxa"/>
                  <w:vMerge/>
                  <w:shd w:val="clear" w:color="auto" w:fill="auto"/>
                </w:tcPr>
                <w:p w14:paraId="58BBF136" w14:textId="77777777" w:rsidR="00F710FB" w:rsidRPr="00064185" w:rsidRDefault="00F710FB" w:rsidP="00EA61D8">
                  <w:pPr>
                    <w:rPr>
                      <w:sz w:val="16"/>
                      <w:szCs w:val="16"/>
                    </w:rPr>
                  </w:pPr>
                </w:p>
              </w:tc>
              <w:tc>
                <w:tcPr>
                  <w:tcW w:w="1893" w:type="dxa"/>
                  <w:vMerge/>
                </w:tcPr>
                <w:p w14:paraId="3D218A12" w14:textId="77777777" w:rsidR="00F710FB" w:rsidRPr="00064185" w:rsidRDefault="00F710FB" w:rsidP="00EA61D8">
                  <w:pPr>
                    <w:rPr>
                      <w:sz w:val="16"/>
                      <w:szCs w:val="16"/>
                    </w:rPr>
                  </w:pPr>
                </w:p>
              </w:tc>
              <w:tc>
                <w:tcPr>
                  <w:tcW w:w="1187" w:type="dxa"/>
                  <w:tcBorders>
                    <w:top w:val="nil"/>
                  </w:tcBorders>
                  <w:shd w:val="clear" w:color="auto" w:fill="auto"/>
                </w:tcPr>
                <w:p w14:paraId="4ABAAC21" w14:textId="77777777" w:rsidR="00F710FB" w:rsidRPr="00064185" w:rsidRDefault="00F710FB" w:rsidP="00EA61D8">
                  <w:pPr>
                    <w:rPr>
                      <w:sz w:val="16"/>
                      <w:szCs w:val="16"/>
                    </w:rPr>
                  </w:pPr>
                  <w:r w:rsidRPr="00064185">
                    <w:rPr>
                      <w:sz w:val="16"/>
                      <w:szCs w:val="16"/>
                    </w:rPr>
                    <w:t>1 day</w:t>
                  </w:r>
                </w:p>
              </w:tc>
              <w:tc>
                <w:tcPr>
                  <w:tcW w:w="1134" w:type="dxa"/>
                  <w:tcBorders>
                    <w:top w:val="nil"/>
                  </w:tcBorders>
                </w:tcPr>
                <w:p w14:paraId="766A54C9" w14:textId="77777777" w:rsidR="00F710FB" w:rsidRPr="00064185" w:rsidRDefault="00F710FB" w:rsidP="00EA61D8">
                  <w:pPr>
                    <w:rPr>
                      <w:sz w:val="16"/>
                      <w:szCs w:val="16"/>
                    </w:rPr>
                  </w:pPr>
                  <w:r w:rsidRPr="00064185">
                    <w:rPr>
                      <w:sz w:val="16"/>
                      <w:szCs w:val="16"/>
                    </w:rPr>
                    <w:t>1 week</w:t>
                  </w:r>
                </w:p>
              </w:tc>
              <w:tc>
                <w:tcPr>
                  <w:tcW w:w="1417" w:type="dxa"/>
                  <w:tcBorders>
                    <w:top w:val="nil"/>
                  </w:tcBorders>
                </w:tcPr>
                <w:p w14:paraId="6843AB50" w14:textId="77777777" w:rsidR="00F710FB" w:rsidRPr="00064185" w:rsidRDefault="00F710FB" w:rsidP="00EA61D8">
                  <w:pPr>
                    <w:rPr>
                      <w:sz w:val="16"/>
                      <w:szCs w:val="16"/>
                    </w:rPr>
                  </w:pPr>
                  <w:r w:rsidRPr="00064185">
                    <w:rPr>
                      <w:sz w:val="16"/>
                      <w:szCs w:val="16"/>
                    </w:rPr>
                    <w:t>2 weeks</w:t>
                  </w:r>
                </w:p>
              </w:tc>
            </w:tr>
            <w:tr w:rsidR="00064185" w:rsidRPr="00064185" w14:paraId="2A0CDBEF" w14:textId="77777777" w:rsidTr="008F40BA">
              <w:trPr>
                <w:trHeight w:val="311"/>
              </w:trPr>
              <w:tc>
                <w:tcPr>
                  <w:tcW w:w="1653" w:type="dxa"/>
                  <w:vMerge w:val="restart"/>
                  <w:shd w:val="clear" w:color="auto" w:fill="auto"/>
                </w:tcPr>
                <w:p w14:paraId="0CAF55B2" w14:textId="77777777" w:rsidR="00F710FB" w:rsidRPr="00064185" w:rsidRDefault="00F710FB" w:rsidP="00EA61D8">
                  <w:pPr>
                    <w:rPr>
                      <w:sz w:val="16"/>
                      <w:szCs w:val="16"/>
                    </w:rPr>
                  </w:pPr>
                  <w:r w:rsidRPr="00064185">
                    <w:rPr>
                      <w:sz w:val="16"/>
                      <w:szCs w:val="16"/>
                    </w:rPr>
                    <w:t>COM 116 02 I AL spray</w:t>
                  </w:r>
                </w:p>
              </w:tc>
              <w:tc>
                <w:tcPr>
                  <w:tcW w:w="1893" w:type="dxa"/>
                </w:tcPr>
                <w:p w14:paraId="3D773381" w14:textId="77777777" w:rsidR="00F710FB" w:rsidRPr="00064185" w:rsidRDefault="00F710FB" w:rsidP="00EA61D8">
                  <w:pPr>
                    <w:rPr>
                      <w:sz w:val="16"/>
                      <w:szCs w:val="16"/>
                    </w:rPr>
                  </w:pPr>
                  <w:r w:rsidRPr="00064185">
                    <w:rPr>
                      <w:sz w:val="16"/>
                      <w:szCs w:val="16"/>
                    </w:rPr>
                    <w:t>Glazed Tiles</w:t>
                  </w:r>
                </w:p>
              </w:tc>
              <w:tc>
                <w:tcPr>
                  <w:tcW w:w="1187" w:type="dxa"/>
                  <w:shd w:val="clear" w:color="auto" w:fill="auto"/>
                </w:tcPr>
                <w:p w14:paraId="20FFAB4A" w14:textId="77777777" w:rsidR="00F710FB" w:rsidRPr="00064185" w:rsidRDefault="00F710FB" w:rsidP="00EA61D8">
                  <w:pPr>
                    <w:rPr>
                      <w:sz w:val="16"/>
                      <w:szCs w:val="16"/>
                    </w:rPr>
                  </w:pPr>
                  <w:r w:rsidRPr="00064185">
                    <w:rPr>
                      <w:sz w:val="16"/>
                      <w:szCs w:val="16"/>
                    </w:rPr>
                    <w:t>25</w:t>
                  </w:r>
                </w:p>
              </w:tc>
              <w:tc>
                <w:tcPr>
                  <w:tcW w:w="1134" w:type="dxa"/>
                </w:tcPr>
                <w:p w14:paraId="0B5AFE0B" w14:textId="77777777" w:rsidR="00F710FB" w:rsidRPr="00064185" w:rsidRDefault="00F710FB" w:rsidP="00EA61D8">
                  <w:pPr>
                    <w:rPr>
                      <w:sz w:val="16"/>
                      <w:szCs w:val="16"/>
                    </w:rPr>
                  </w:pPr>
                  <w:r w:rsidRPr="00064185">
                    <w:rPr>
                      <w:sz w:val="16"/>
                      <w:szCs w:val="16"/>
                    </w:rPr>
                    <w:t>25</w:t>
                  </w:r>
                </w:p>
              </w:tc>
              <w:tc>
                <w:tcPr>
                  <w:tcW w:w="1417" w:type="dxa"/>
                </w:tcPr>
                <w:p w14:paraId="3CD09C66" w14:textId="77777777" w:rsidR="00F710FB" w:rsidRPr="00064185" w:rsidRDefault="00F710FB" w:rsidP="00EA61D8">
                  <w:pPr>
                    <w:rPr>
                      <w:sz w:val="16"/>
                      <w:szCs w:val="16"/>
                    </w:rPr>
                  </w:pPr>
                  <w:r w:rsidRPr="00064185">
                    <w:rPr>
                      <w:sz w:val="16"/>
                      <w:szCs w:val="16"/>
                    </w:rPr>
                    <w:t>20</w:t>
                  </w:r>
                </w:p>
              </w:tc>
            </w:tr>
            <w:tr w:rsidR="00064185" w:rsidRPr="00064185" w14:paraId="5040E77C" w14:textId="77777777" w:rsidTr="008F40BA">
              <w:trPr>
                <w:trHeight w:val="353"/>
              </w:trPr>
              <w:tc>
                <w:tcPr>
                  <w:tcW w:w="1653" w:type="dxa"/>
                  <w:vMerge/>
                  <w:shd w:val="clear" w:color="auto" w:fill="auto"/>
                </w:tcPr>
                <w:p w14:paraId="4A5E225C" w14:textId="77777777" w:rsidR="00F710FB" w:rsidRPr="00064185" w:rsidRDefault="00F710FB" w:rsidP="00EA61D8">
                  <w:pPr>
                    <w:rPr>
                      <w:sz w:val="16"/>
                      <w:szCs w:val="16"/>
                    </w:rPr>
                  </w:pPr>
                </w:p>
              </w:tc>
              <w:tc>
                <w:tcPr>
                  <w:tcW w:w="1893" w:type="dxa"/>
                </w:tcPr>
                <w:p w14:paraId="185908A7" w14:textId="77777777" w:rsidR="00F710FB" w:rsidRPr="00064185" w:rsidRDefault="00F710FB" w:rsidP="00EA61D8">
                  <w:pPr>
                    <w:rPr>
                      <w:sz w:val="16"/>
                      <w:szCs w:val="16"/>
                    </w:rPr>
                  </w:pPr>
                  <w:r w:rsidRPr="00064185">
                    <w:rPr>
                      <w:sz w:val="16"/>
                      <w:szCs w:val="16"/>
                    </w:rPr>
                    <w:t>PVC</w:t>
                  </w:r>
                </w:p>
              </w:tc>
              <w:tc>
                <w:tcPr>
                  <w:tcW w:w="1187" w:type="dxa"/>
                  <w:shd w:val="clear" w:color="auto" w:fill="auto"/>
                </w:tcPr>
                <w:p w14:paraId="2AADB15B" w14:textId="77777777" w:rsidR="00F710FB" w:rsidRPr="00064185" w:rsidRDefault="00F710FB" w:rsidP="00EA61D8">
                  <w:pPr>
                    <w:rPr>
                      <w:sz w:val="16"/>
                      <w:szCs w:val="16"/>
                    </w:rPr>
                  </w:pPr>
                  <w:r w:rsidRPr="00064185">
                    <w:rPr>
                      <w:sz w:val="16"/>
                      <w:szCs w:val="16"/>
                    </w:rPr>
                    <w:t>60</w:t>
                  </w:r>
                </w:p>
              </w:tc>
              <w:tc>
                <w:tcPr>
                  <w:tcW w:w="1134" w:type="dxa"/>
                </w:tcPr>
                <w:p w14:paraId="6479BCDC" w14:textId="77777777" w:rsidR="00F710FB" w:rsidRPr="00064185" w:rsidRDefault="00F710FB" w:rsidP="00EA61D8">
                  <w:pPr>
                    <w:rPr>
                      <w:sz w:val="16"/>
                      <w:szCs w:val="16"/>
                    </w:rPr>
                  </w:pPr>
                  <w:r w:rsidRPr="00064185">
                    <w:rPr>
                      <w:sz w:val="16"/>
                      <w:szCs w:val="16"/>
                    </w:rPr>
                    <w:t>60</w:t>
                  </w:r>
                </w:p>
              </w:tc>
              <w:tc>
                <w:tcPr>
                  <w:tcW w:w="1417" w:type="dxa"/>
                </w:tcPr>
                <w:p w14:paraId="2D4F24BB" w14:textId="77777777" w:rsidR="00F710FB" w:rsidRPr="00064185" w:rsidRDefault="00F710FB" w:rsidP="00EA61D8">
                  <w:pPr>
                    <w:rPr>
                      <w:sz w:val="16"/>
                      <w:szCs w:val="16"/>
                    </w:rPr>
                  </w:pPr>
                  <w:r w:rsidRPr="00064185">
                    <w:rPr>
                      <w:sz w:val="16"/>
                      <w:szCs w:val="16"/>
                    </w:rPr>
                    <w:t>50</w:t>
                  </w:r>
                </w:p>
              </w:tc>
            </w:tr>
            <w:tr w:rsidR="00064185" w:rsidRPr="00064185" w14:paraId="5CCE9D66" w14:textId="77777777" w:rsidTr="008F40BA">
              <w:trPr>
                <w:trHeight w:val="414"/>
              </w:trPr>
              <w:tc>
                <w:tcPr>
                  <w:tcW w:w="1653" w:type="dxa"/>
                  <w:vMerge w:val="restart"/>
                  <w:shd w:val="clear" w:color="auto" w:fill="auto"/>
                </w:tcPr>
                <w:p w14:paraId="64FD59CF" w14:textId="77777777" w:rsidR="00F710FB" w:rsidRPr="00064185" w:rsidRDefault="00F710FB" w:rsidP="00EA61D8">
                  <w:pPr>
                    <w:rPr>
                      <w:sz w:val="16"/>
                      <w:szCs w:val="16"/>
                    </w:rPr>
                  </w:pPr>
                  <w:r w:rsidRPr="00064185">
                    <w:rPr>
                      <w:sz w:val="16"/>
                      <w:szCs w:val="16"/>
                    </w:rPr>
                    <w:t>Untreated</w:t>
                  </w:r>
                </w:p>
              </w:tc>
              <w:tc>
                <w:tcPr>
                  <w:tcW w:w="1893" w:type="dxa"/>
                </w:tcPr>
                <w:p w14:paraId="666B4B44" w14:textId="77777777" w:rsidR="00F710FB" w:rsidRPr="00064185" w:rsidRDefault="00F710FB" w:rsidP="00EA61D8">
                  <w:pPr>
                    <w:rPr>
                      <w:sz w:val="16"/>
                      <w:szCs w:val="16"/>
                    </w:rPr>
                  </w:pPr>
                  <w:r w:rsidRPr="00064185">
                    <w:rPr>
                      <w:sz w:val="16"/>
                      <w:szCs w:val="16"/>
                    </w:rPr>
                    <w:t>Glazed Tiles</w:t>
                  </w:r>
                </w:p>
              </w:tc>
              <w:tc>
                <w:tcPr>
                  <w:tcW w:w="1187" w:type="dxa"/>
                  <w:shd w:val="clear" w:color="auto" w:fill="auto"/>
                </w:tcPr>
                <w:p w14:paraId="3D334D37" w14:textId="77777777" w:rsidR="00F710FB" w:rsidRPr="00064185" w:rsidRDefault="00F710FB" w:rsidP="00EA61D8">
                  <w:pPr>
                    <w:rPr>
                      <w:sz w:val="16"/>
                      <w:szCs w:val="16"/>
                    </w:rPr>
                  </w:pPr>
                  <w:r w:rsidRPr="00064185">
                    <w:rPr>
                      <w:sz w:val="16"/>
                      <w:szCs w:val="16"/>
                    </w:rPr>
                    <w:t>72h (20%)</w:t>
                  </w:r>
                </w:p>
              </w:tc>
              <w:tc>
                <w:tcPr>
                  <w:tcW w:w="1134" w:type="dxa"/>
                </w:tcPr>
                <w:p w14:paraId="742604D4" w14:textId="77777777" w:rsidR="00F710FB" w:rsidRPr="00064185" w:rsidRDefault="00F710FB" w:rsidP="00EA61D8">
                  <w:pPr>
                    <w:rPr>
                      <w:sz w:val="16"/>
                      <w:szCs w:val="16"/>
                    </w:rPr>
                  </w:pPr>
                  <w:r w:rsidRPr="00064185">
                    <w:rPr>
                      <w:sz w:val="16"/>
                      <w:szCs w:val="16"/>
                    </w:rPr>
                    <w:t>72h (0%)</w:t>
                  </w:r>
                </w:p>
              </w:tc>
              <w:tc>
                <w:tcPr>
                  <w:tcW w:w="1417" w:type="dxa"/>
                </w:tcPr>
                <w:p w14:paraId="71942EA6" w14:textId="77777777" w:rsidR="00F710FB" w:rsidRPr="00064185" w:rsidRDefault="00F710FB" w:rsidP="00EA61D8">
                  <w:pPr>
                    <w:rPr>
                      <w:sz w:val="16"/>
                      <w:szCs w:val="16"/>
                    </w:rPr>
                  </w:pPr>
                  <w:r w:rsidRPr="00064185">
                    <w:rPr>
                      <w:sz w:val="16"/>
                      <w:szCs w:val="16"/>
                    </w:rPr>
                    <w:t>72h (0%)</w:t>
                  </w:r>
                </w:p>
              </w:tc>
            </w:tr>
            <w:tr w:rsidR="00064185" w:rsidRPr="00064185" w14:paraId="6A474C76" w14:textId="77777777" w:rsidTr="008F40BA">
              <w:trPr>
                <w:trHeight w:val="421"/>
              </w:trPr>
              <w:tc>
                <w:tcPr>
                  <w:tcW w:w="1653" w:type="dxa"/>
                  <w:vMerge/>
                  <w:shd w:val="clear" w:color="auto" w:fill="auto"/>
                </w:tcPr>
                <w:p w14:paraId="7D793F12" w14:textId="77777777" w:rsidR="00F710FB" w:rsidRPr="00064185" w:rsidRDefault="00F710FB" w:rsidP="00EA61D8">
                  <w:pPr>
                    <w:rPr>
                      <w:sz w:val="16"/>
                      <w:szCs w:val="16"/>
                    </w:rPr>
                  </w:pPr>
                </w:p>
              </w:tc>
              <w:tc>
                <w:tcPr>
                  <w:tcW w:w="1893" w:type="dxa"/>
                </w:tcPr>
                <w:p w14:paraId="2F75A0C2" w14:textId="77777777" w:rsidR="00F710FB" w:rsidRPr="00064185" w:rsidRDefault="00F710FB" w:rsidP="00EA61D8">
                  <w:pPr>
                    <w:rPr>
                      <w:sz w:val="16"/>
                      <w:szCs w:val="16"/>
                    </w:rPr>
                  </w:pPr>
                  <w:r w:rsidRPr="00064185">
                    <w:rPr>
                      <w:sz w:val="16"/>
                      <w:szCs w:val="16"/>
                    </w:rPr>
                    <w:t>PVC</w:t>
                  </w:r>
                </w:p>
              </w:tc>
              <w:tc>
                <w:tcPr>
                  <w:tcW w:w="1187" w:type="dxa"/>
                  <w:shd w:val="clear" w:color="auto" w:fill="auto"/>
                </w:tcPr>
                <w:p w14:paraId="4EA4F8D5" w14:textId="77777777" w:rsidR="00F710FB" w:rsidRPr="00064185" w:rsidRDefault="00F710FB" w:rsidP="00EA61D8">
                  <w:pPr>
                    <w:rPr>
                      <w:sz w:val="16"/>
                      <w:szCs w:val="16"/>
                    </w:rPr>
                  </w:pPr>
                  <w:r w:rsidRPr="00064185">
                    <w:rPr>
                      <w:sz w:val="16"/>
                      <w:szCs w:val="16"/>
                    </w:rPr>
                    <w:t>72h (0%)</w:t>
                  </w:r>
                </w:p>
              </w:tc>
              <w:tc>
                <w:tcPr>
                  <w:tcW w:w="1134" w:type="dxa"/>
                </w:tcPr>
                <w:p w14:paraId="29EAF2B9" w14:textId="77777777" w:rsidR="00F710FB" w:rsidRPr="00064185" w:rsidRDefault="00F710FB" w:rsidP="00EA61D8">
                  <w:pPr>
                    <w:rPr>
                      <w:sz w:val="16"/>
                      <w:szCs w:val="16"/>
                    </w:rPr>
                  </w:pPr>
                  <w:r w:rsidRPr="00064185">
                    <w:rPr>
                      <w:sz w:val="16"/>
                      <w:szCs w:val="16"/>
                    </w:rPr>
                    <w:t>72h (0%)</w:t>
                  </w:r>
                </w:p>
              </w:tc>
              <w:tc>
                <w:tcPr>
                  <w:tcW w:w="1417" w:type="dxa"/>
                </w:tcPr>
                <w:p w14:paraId="356E79E6" w14:textId="77777777" w:rsidR="00F710FB" w:rsidRPr="00064185" w:rsidRDefault="00F710FB" w:rsidP="00EA61D8">
                  <w:pPr>
                    <w:rPr>
                      <w:sz w:val="16"/>
                      <w:szCs w:val="16"/>
                    </w:rPr>
                  </w:pPr>
                  <w:r w:rsidRPr="00064185">
                    <w:rPr>
                      <w:sz w:val="16"/>
                      <w:szCs w:val="16"/>
                    </w:rPr>
                    <w:t>72h (0%)</w:t>
                  </w:r>
                </w:p>
              </w:tc>
            </w:tr>
          </w:tbl>
          <w:p w14:paraId="4C4D37E3" w14:textId="77777777" w:rsidR="00F710FB" w:rsidRPr="00064185" w:rsidRDefault="00F710FB" w:rsidP="00EA61D8">
            <w:pPr>
              <w:rPr>
                <w:sz w:val="16"/>
                <w:szCs w:val="16"/>
              </w:rPr>
            </w:pPr>
          </w:p>
          <w:p w14:paraId="4965E451" w14:textId="77777777" w:rsidR="00F710FB" w:rsidRPr="00064185" w:rsidRDefault="00F710FB" w:rsidP="00EA61D8">
            <w:pPr>
              <w:pStyle w:val="Standardlinks"/>
              <w:rPr>
                <w:rFonts w:ascii="Verdana" w:hAnsi="Verdana"/>
                <w:i w:val="0"/>
                <w:sz w:val="16"/>
                <w:szCs w:val="16"/>
              </w:rPr>
            </w:pPr>
            <w:r w:rsidRPr="00064185">
              <w:rPr>
                <w:rFonts w:ascii="Verdana" w:hAnsi="Verdana"/>
                <w:i w:val="0"/>
                <w:sz w:val="16"/>
                <w:szCs w:val="16"/>
              </w:rPr>
              <w:t xml:space="preserve">Conclusion: In this laboratory test, COM 116 02 I AL (spray) has proved a complete and fast efficacy towards the silverfish </w:t>
            </w:r>
            <w:r w:rsidRPr="00064185">
              <w:rPr>
                <w:rFonts w:ascii="Verdana" w:hAnsi="Verdana"/>
                <w:sz w:val="16"/>
                <w:szCs w:val="16"/>
              </w:rPr>
              <w:t>Lepisma saccharina</w:t>
            </w:r>
            <w:r w:rsidRPr="00064185">
              <w:rPr>
                <w:rFonts w:ascii="Verdana" w:hAnsi="Verdana"/>
                <w:i w:val="0"/>
                <w:sz w:val="16"/>
                <w:szCs w:val="16"/>
              </w:rPr>
              <w:t>.</w:t>
            </w:r>
          </w:p>
          <w:p w14:paraId="64F4E3FF" w14:textId="77777777" w:rsidR="0070745E" w:rsidRPr="00064185" w:rsidRDefault="0070745E" w:rsidP="00EA61D8">
            <w:pPr>
              <w:rPr>
                <w:sz w:val="16"/>
                <w:szCs w:val="16"/>
              </w:rPr>
            </w:pPr>
          </w:p>
        </w:tc>
        <w:tc>
          <w:tcPr>
            <w:tcW w:w="388" w:type="pct"/>
          </w:tcPr>
          <w:p w14:paraId="21DB8F0C" w14:textId="77777777" w:rsidR="0070745E" w:rsidRPr="00064185" w:rsidRDefault="00F710FB" w:rsidP="00EA61D8">
            <w:pPr>
              <w:rPr>
                <w:sz w:val="16"/>
                <w:szCs w:val="16"/>
              </w:rPr>
            </w:pPr>
            <w:r w:rsidRPr="00064185">
              <w:rPr>
                <w:sz w:val="16"/>
                <w:szCs w:val="16"/>
              </w:rPr>
              <w:t>Lüpkes, 2008</w:t>
            </w:r>
          </w:p>
        </w:tc>
      </w:tr>
    </w:tbl>
    <w:p w14:paraId="7604C49E" w14:textId="77777777" w:rsidR="00F710FB" w:rsidRPr="00064185" w:rsidRDefault="00F710FB" w:rsidP="00EA61D8"/>
    <w:p w14:paraId="2FF7D59D" w14:textId="77777777" w:rsidR="00F710FB" w:rsidRPr="00064185" w:rsidRDefault="00F710FB" w:rsidP="00EA61D8">
      <w:r w:rsidRPr="00064185">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09"/>
        <w:gridCol w:w="1322"/>
        <w:gridCol w:w="1746"/>
        <w:gridCol w:w="8269"/>
        <w:gridCol w:w="1047"/>
      </w:tblGrid>
      <w:tr w:rsidR="00064185" w:rsidRPr="00064185" w14:paraId="68EA1226" w14:textId="77777777" w:rsidTr="008F40BA">
        <w:trPr>
          <w:trHeight w:val="303"/>
        </w:trPr>
        <w:tc>
          <w:tcPr>
            <w:tcW w:w="5000" w:type="pct"/>
            <w:gridSpan w:val="5"/>
            <w:shd w:val="clear" w:color="auto" w:fill="FFFFCC"/>
            <w:vAlign w:val="center"/>
          </w:tcPr>
          <w:p w14:paraId="51CAB762" w14:textId="77777777" w:rsidR="00F710FB" w:rsidRPr="00064185" w:rsidRDefault="00F710FB" w:rsidP="00EA61D8">
            <w:pPr>
              <w:rPr>
                <w:b/>
                <w:sz w:val="16"/>
                <w:szCs w:val="16"/>
              </w:rPr>
            </w:pPr>
            <w:r w:rsidRPr="00064185">
              <w:rPr>
                <w:b/>
                <w:sz w:val="16"/>
                <w:szCs w:val="16"/>
              </w:rPr>
              <w:lastRenderedPageBreak/>
              <w:t>Experimental data on the efficacy of the biocidal product against target organism(s)</w:t>
            </w:r>
          </w:p>
        </w:tc>
      </w:tr>
      <w:tr w:rsidR="00064185" w:rsidRPr="00064185" w14:paraId="64D3A38B" w14:textId="77777777" w:rsidTr="008F40BA">
        <w:tc>
          <w:tcPr>
            <w:tcW w:w="411" w:type="pct"/>
            <w:shd w:val="clear" w:color="auto" w:fill="FFFFFF"/>
          </w:tcPr>
          <w:p w14:paraId="76C73D0E" w14:textId="77777777" w:rsidR="00F710FB" w:rsidRPr="00064185" w:rsidRDefault="00F710FB" w:rsidP="00EA61D8">
            <w:pPr>
              <w:rPr>
                <w:b/>
                <w:i/>
                <w:sz w:val="16"/>
                <w:szCs w:val="16"/>
              </w:rPr>
            </w:pPr>
            <w:r w:rsidRPr="00064185">
              <w:rPr>
                <w:b/>
                <w:sz w:val="16"/>
                <w:szCs w:val="16"/>
              </w:rPr>
              <w:t>Test substance</w:t>
            </w:r>
          </w:p>
        </w:tc>
        <w:tc>
          <w:tcPr>
            <w:tcW w:w="490" w:type="pct"/>
            <w:shd w:val="clear" w:color="auto" w:fill="FFFFFF"/>
          </w:tcPr>
          <w:p w14:paraId="547E2896" w14:textId="77777777" w:rsidR="00F710FB" w:rsidRPr="00064185" w:rsidRDefault="00F710FB" w:rsidP="00EA61D8">
            <w:pPr>
              <w:rPr>
                <w:b/>
                <w:i/>
                <w:sz w:val="16"/>
                <w:szCs w:val="16"/>
              </w:rPr>
            </w:pPr>
            <w:r w:rsidRPr="00064185">
              <w:rPr>
                <w:b/>
                <w:sz w:val="16"/>
                <w:szCs w:val="16"/>
              </w:rPr>
              <w:t>Test organism(s)</w:t>
            </w:r>
          </w:p>
        </w:tc>
        <w:tc>
          <w:tcPr>
            <w:tcW w:w="647" w:type="pct"/>
            <w:shd w:val="clear" w:color="auto" w:fill="FFFFFF"/>
          </w:tcPr>
          <w:p w14:paraId="06E7EEEB" w14:textId="77777777" w:rsidR="00F710FB" w:rsidRPr="00064185" w:rsidRDefault="00F710FB" w:rsidP="00EA61D8">
            <w:pPr>
              <w:rPr>
                <w:b/>
                <w:sz w:val="16"/>
                <w:szCs w:val="16"/>
              </w:rPr>
            </w:pPr>
            <w:r w:rsidRPr="00064185">
              <w:rPr>
                <w:b/>
                <w:sz w:val="16"/>
                <w:szCs w:val="16"/>
              </w:rPr>
              <w:t>Test system / concentrations applied / exposure time</w:t>
            </w:r>
          </w:p>
        </w:tc>
        <w:tc>
          <w:tcPr>
            <w:tcW w:w="3064" w:type="pct"/>
            <w:shd w:val="clear" w:color="auto" w:fill="FFFFFF"/>
          </w:tcPr>
          <w:p w14:paraId="0AC55A7B" w14:textId="77777777" w:rsidR="00F710FB" w:rsidRPr="00064185" w:rsidRDefault="00F710FB" w:rsidP="00EA61D8">
            <w:pPr>
              <w:rPr>
                <w:b/>
                <w:sz w:val="16"/>
                <w:szCs w:val="16"/>
              </w:rPr>
            </w:pPr>
            <w:r w:rsidRPr="00064185">
              <w:rPr>
                <w:b/>
                <w:sz w:val="16"/>
                <w:szCs w:val="16"/>
              </w:rPr>
              <w:t>Test results: effects</w:t>
            </w:r>
          </w:p>
        </w:tc>
        <w:tc>
          <w:tcPr>
            <w:tcW w:w="388" w:type="pct"/>
            <w:shd w:val="clear" w:color="auto" w:fill="FFFFFF"/>
          </w:tcPr>
          <w:p w14:paraId="502CE17F" w14:textId="77777777" w:rsidR="00F710FB" w:rsidRPr="00064185" w:rsidRDefault="00F710FB" w:rsidP="00EA61D8">
            <w:pPr>
              <w:rPr>
                <w:b/>
                <w:sz w:val="16"/>
                <w:szCs w:val="16"/>
              </w:rPr>
            </w:pPr>
            <w:r w:rsidRPr="00064185">
              <w:rPr>
                <w:b/>
                <w:sz w:val="16"/>
                <w:szCs w:val="16"/>
              </w:rPr>
              <w:t>Reference</w:t>
            </w:r>
          </w:p>
        </w:tc>
      </w:tr>
      <w:tr w:rsidR="0070745E" w:rsidRPr="00064185" w14:paraId="3A8E4D5C" w14:textId="77777777" w:rsidTr="0070745E">
        <w:tc>
          <w:tcPr>
            <w:tcW w:w="411" w:type="pct"/>
          </w:tcPr>
          <w:p w14:paraId="2636069B" w14:textId="77777777" w:rsidR="0070745E" w:rsidRPr="00064185" w:rsidRDefault="00F710FB" w:rsidP="00EA61D8">
            <w:pPr>
              <w:rPr>
                <w:sz w:val="16"/>
                <w:szCs w:val="16"/>
              </w:rPr>
            </w:pPr>
            <w:r w:rsidRPr="00064185">
              <w:rPr>
                <w:sz w:val="16"/>
                <w:szCs w:val="16"/>
              </w:rPr>
              <w:t xml:space="preserve">COM 116 02 I AL, 0.05% w/w </w:t>
            </w:r>
            <w:r w:rsidRPr="00064185">
              <w:rPr>
                <w:i/>
                <w:sz w:val="16"/>
                <w:szCs w:val="16"/>
              </w:rPr>
              <w:t>lambda</w:t>
            </w:r>
            <w:r w:rsidRPr="00064185">
              <w:rPr>
                <w:sz w:val="16"/>
                <w:szCs w:val="16"/>
              </w:rPr>
              <w:t>-cyhalothrin</w:t>
            </w:r>
          </w:p>
        </w:tc>
        <w:tc>
          <w:tcPr>
            <w:tcW w:w="490" w:type="pct"/>
          </w:tcPr>
          <w:p w14:paraId="01A82C7F" w14:textId="77777777" w:rsidR="00F710FB" w:rsidRPr="00064185" w:rsidRDefault="00F710FB" w:rsidP="00EA61D8">
            <w:pPr>
              <w:spacing w:before="60" w:after="60"/>
              <w:rPr>
                <w:sz w:val="16"/>
                <w:szCs w:val="16"/>
                <w:u w:val="single"/>
              </w:rPr>
            </w:pPr>
            <w:r w:rsidRPr="00064185">
              <w:rPr>
                <w:sz w:val="16"/>
                <w:szCs w:val="16"/>
                <w:u w:val="single"/>
              </w:rPr>
              <w:t>Insects:</w:t>
            </w:r>
          </w:p>
          <w:p w14:paraId="2BBFC2DA" w14:textId="77777777" w:rsidR="0070745E" w:rsidRPr="00064185" w:rsidRDefault="00F710FB" w:rsidP="00EA61D8">
            <w:pPr>
              <w:rPr>
                <w:sz w:val="16"/>
                <w:szCs w:val="16"/>
              </w:rPr>
            </w:pPr>
            <w:r w:rsidRPr="00064185">
              <w:rPr>
                <w:i/>
                <w:sz w:val="16"/>
                <w:szCs w:val="16"/>
              </w:rPr>
              <w:t>Porcellio scaber</w:t>
            </w:r>
          </w:p>
        </w:tc>
        <w:tc>
          <w:tcPr>
            <w:tcW w:w="647" w:type="pct"/>
          </w:tcPr>
          <w:p w14:paraId="76A3004E" w14:textId="157AE7BC" w:rsidR="00F710FB" w:rsidRPr="00064185" w:rsidRDefault="00F710FB" w:rsidP="00EA61D8">
            <w:pPr>
              <w:pStyle w:val="Standardlinks"/>
              <w:rPr>
                <w:rFonts w:ascii="Verdana" w:hAnsi="Verdana"/>
                <w:i w:val="0"/>
                <w:sz w:val="16"/>
                <w:szCs w:val="16"/>
              </w:rPr>
            </w:pPr>
            <w:r w:rsidRPr="00064185">
              <w:rPr>
                <w:rFonts w:ascii="Verdana" w:hAnsi="Verdana"/>
                <w:i w:val="0"/>
                <w:sz w:val="16"/>
                <w:szCs w:val="16"/>
              </w:rPr>
              <w:t xml:space="preserve">Laboratory tests of the efficacy of different experimental products </w:t>
            </w:r>
            <w:r w:rsidR="009B36E5" w:rsidRPr="00064185">
              <w:rPr>
                <w:rFonts w:ascii="Verdana" w:hAnsi="Verdana"/>
                <w:i w:val="0"/>
                <w:sz w:val="16"/>
                <w:szCs w:val="16"/>
              </w:rPr>
              <w:t>intended to control woodlice</w:t>
            </w:r>
            <w:r w:rsidRPr="00064185">
              <w:rPr>
                <w:rFonts w:ascii="Verdana" w:hAnsi="Verdana"/>
                <w:i w:val="0"/>
                <w:sz w:val="16"/>
                <w:szCs w:val="16"/>
              </w:rPr>
              <w:t xml:space="preserve"> in garden and house environment were conducted.</w:t>
            </w:r>
          </w:p>
          <w:p w14:paraId="664FB73E" w14:textId="77777777" w:rsidR="00F710FB" w:rsidRPr="00064185" w:rsidRDefault="00F710FB" w:rsidP="00EA61D8">
            <w:pPr>
              <w:pStyle w:val="Standardlinks"/>
              <w:rPr>
                <w:rFonts w:ascii="Verdana" w:hAnsi="Verdana"/>
                <w:i w:val="0"/>
                <w:sz w:val="16"/>
                <w:szCs w:val="16"/>
              </w:rPr>
            </w:pPr>
            <w:r w:rsidRPr="00064185">
              <w:rPr>
                <w:rFonts w:ascii="Verdana" w:hAnsi="Verdana"/>
                <w:i w:val="0"/>
                <w:sz w:val="16"/>
                <w:szCs w:val="16"/>
              </w:rPr>
              <w:t xml:space="preserve">a) Direct spray treatment (exposure time 72 hours days) </w:t>
            </w:r>
          </w:p>
          <w:p w14:paraId="1B35B458" w14:textId="77777777" w:rsidR="00F710FB" w:rsidRPr="00064185" w:rsidRDefault="00F710FB" w:rsidP="00EA61D8">
            <w:pPr>
              <w:pStyle w:val="Standardlinks"/>
              <w:rPr>
                <w:rFonts w:ascii="Verdana" w:hAnsi="Verdana"/>
                <w:i w:val="0"/>
                <w:sz w:val="16"/>
                <w:szCs w:val="16"/>
              </w:rPr>
            </w:pPr>
            <w:r w:rsidRPr="00064185">
              <w:rPr>
                <w:rFonts w:ascii="Verdana" w:hAnsi="Verdana"/>
                <w:i w:val="0"/>
                <w:sz w:val="16"/>
                <w:szCs w:val="16"/>
              </w:rPr>
              <w:t>b) Residual test (exposure of 72 hours, residues aged up to 26 weeks)</w:t>
            </w:r>
          </w:p>
          <w:p w14:paraId="7654603E" w14:textId="77777777" w:rsidR="00F710FB" w:rsidRPr="00064185" w:rsidRDefault="00F710FB" w:rsidP="00EA61D8">
            <w:pPr>
              <w:pStyle w:val="Standardlinks"/>
              <w:rPr>
                <w:rFonts w:ascii="Verdana" w:hAnsi="Verdana"/>
                <w:i w:val="0"/>
                <w:sz w:val="16"/>
                <w:szCs w:val="16"/>
              </w:rPr>
            </w:pPr>
            <w:r w:rsidRPr="00064185">
              <w:rPr>
                <w:rFonts w:ascii="Verdana" w:hAnsi="Verdana"/>
                <w:i w:val="0"/>
                <w:sz w:val="16"/>
                <w:szCs w:val="16"/>
              </w:rPr>
              <w:t xml:space="preserve">Type of test chamber: </w:t>
            </w:r>
          </w:p>
          <w:p w14:paraId="1DFD2748" w14:textId="77777777" w:rsidR="00F710FB" w:rsidRPr="00064185" w:rsidRDefault="00F710FB" w:rsidP="00EA61D8">
            <w:pPr>
              <w:pStyle w:val="Standardlinks"/>
              <w:rPr>
                <w:rFonts w:ascii="Verdana" w:hAnsi="Verdana"/>
                <w:i w:val="0"/>
                <w:sz w:val="16"/>
                <w:szCs w:val="16"/>
              </w:rPr>
            </w:pPr>
            <w:r w:rsidRPr="00064185">
              <w:rPr>
                <w:rFonts w:ascii="Verdana" w:hAnsi="Verdana"/>
                <w:i w:val="0"/>
                <w:sz w:val="16"/>
                <w:szCs w:val="16"/>
              </w:rPr>
              <w:t xml:space="preserve">a) Direct spray treatment: Product was sprayed directly on the woodlice </w:t>
            </w:r>
          </w:p>
          <w:p w14:paraId="13D8B945" w14:textId="77777777" w:rsidR="00F710FB" w:rsidRPr="00064185" w:rsidRDefault="00F710FB" w:rsidP="00EA61D8">
            <w:pPr>
              <w:pStyle w:val="Standardlinks"/>
              <w:rPr>
                <w:rFonts w:ascii="Verdana" w:hAnsi="Verdana"/>
                <w:i w:val="0"/>
                <w:sz w:val="16"/>
                <w:szCs w:val="16"/>
              </w:rPr>
            </w:pPr>
            <w:r w:rsidRPr="00064185">
              <w:rPr>
                <w:rFonts w:ascii="Verdana" w:hAnsi="Verdana"/>
                <w:i w:val="0"/>
                <w:sz w:val="16"/>
                <w:szCs w:val="16"/>
              </w:rPr>
              <w:t>b) Residual effects: Ceramic or PVC tiles (19.5×19.5 cm) were sprayed with the product</w:t>
            </w:r>
          </w:p>
          <w:p w14:paraId="7C4843CF" w14:textId="77777777" w:rsidR="0070745E" w:rsidRPr="00064185" w:rsidRDefault="00F710FB" w:rsidP="00EA61D8">
            <w:pPr>
              <w:rPr>
                <w:sz w:val="16"/>
                <w:szCs w:val="16"/>
              </w:rPr>
            </w:pPr>
            <w:r w:rsidRPr="00064185">
              <w:rPr>
                <w:sz w:val="16"/>
                <w:szCs w:val="16"/>
              </w:rPr>
              <w:t>0.05% w/w</w:t>
            </w:r>
            <w:r w:rsidRPr="00064185">
              <w:rPr>
                <w:i/>
                <w:sz w:val="16"/>
                <w:szCs w:val="16"/>
              </w:rPr>
              <w:t xml:space="preserve"> lambda-</w:t>
            </w:r>
            <w:r w:rsidRPr="00064185">
              <w:rPr>
                <w:sz w:val="16"/>
                <w:szCs w:val="16"/>
              </w:rPr>
              <w:t>cyhalothrin</w:t>
            </w:r>
          </w:p>
        </w:tc>
        <w:tc>
          <w:tcPr>
            <w:tcW w:w="3064" w:type="pct"/>
          </w:tcPr>
          <w:p w14:paraId="7B5E61CB" w14:textId="77777777" w:rsidR="00F710FB" w:rsidRPr="00064185" w:rsidRDefault="00F710FB" w:rsidP="00EA61D8">
            <w:pPr>
              <w:rPr>
                <w:sz w:val="16"/>
                <w:szCs w:val="16"/>
              </w:rPr>
            </w:pPr>
            <w:r w:rsidRPr="00064185">
              <w:rPr>
                <w:sz w:val="16"/>
                <w:szCs w:val="16"/>
              </w:rPr>
              <w:t xml:space="preserve">a) Direct spray treatment: </w:t>
            </w:r>
          </w:p>
          <w:p w14:paraId="6EDAA3DA" w14:textId="77777777" w:rsidR="00F710FB" w:rsidRPr="00064185" w:rsidRDefault="00F710FB" w:rsidP="00EA61D8">
            <w:pPr>
              <w:rPr>
                <w:sz w:val="16"/>
                <w:szCs w:val="16"/>
              </w:rPr>
            </w:pPr>
            <w:r w:rsidRPr="00064185">
              <w:rPr>
                <w:sz w:val="16"/>
                <w:szCs w:val="16"/>
              </w:rPr>
              <w:t>70% knock down efficacy was given within 15 minutes. After 24 hours mortality was 100%.</w:t>
            </w:r>
          </w:p>
          <w:p w14:paraId="54CCCCD1" w14:textId="77777777" w:rsidR="00F710FB" w:rsidRPr="00064185" w:rsidRDefault="00F710FB" w:rsidP="00EA61D8">
            <w:pPr>
              <w:rPr>
                <w:sz w:val="16"/>
                <w:szCs w:val="16"/>
              </w:rPr>
            </w:pPr>
          </w:p>
          <w:p w14:paraId="4FDA5A0C" w14:textId="77777777" w:rsidR="00F710FB" w:rsidRPr="00064185" w:rsidRDefault="00F710FB" w:rsidP="00EA61D8">
            <w:pPr>
              <w:rPr>
                <w:sz w:val="16"/>
                <w:szCs w:val="16"/>
              </w:rPr>
            </w:pPr>
            <w:r w:rsidRPr="00064185">
              <w:rPr>
                <w:sz w:val="16"/>
                <w:szCs w:val="16"/>
              </w:rPr>
              <w:t xml:space="preserve">b) Residual effects on glazed tiles: </w:t>
            </w:r>
          </w:p>
          <w:p w14:paraId="06BD5C53" w14:textId="77777777" w:rsidR="00F710FB" w:rsidRPr="00064185" w:rsidRDefault="00F710FB" w:rsidP="00EA61D8">
            <w:pPr>
              <w:rPr>
                <w:sz w:val="16"/>
                <w:szCs w:val="16"/>
              </w:rPr>
            </w:pPr>
            <w:r w:rsidRPr="00064185">
              <w:rPr>
                <w:sz w:val="16"/>
                <w:szCs w:val="16"/>
              </w:rPr>
              <w:t>It took 2h (for residues aged 1 or 2 weeks) up to 6h (for all other residues) to achieve 100% of efficacy (knock down and / or mortality).</w:t>
            </w:r>
          </w:p>
          <w:p w14:paraId="298B8717" w14:textId="77777777" w:rsidR="00F710FB" w:rsidRPr="00064185" w:rsidRDefault="00F710FB" w:rsidP="00EA61D8">
            <w:pPr>
              <w:rPr>
                <w:sz w:val="16"/>
                <w:szCs w:val="16"/>
              </w:rPr>
            </w:pPr>
          </w:p>
          <w:p w14:paraId="68CA33E7" w14:textId="77777777" w:rsidR="00F710FB" w:rsidRPr="00064185" w:rsidRDefault="00F710FB" w:rsidP="00EA61D8">
            <w:pPr>
              <w:rPr>
                <w:sz w:val="16"/>
                <w:szCs w:val="16"/>
              </w:rPr>
            </w:pPr>
            <w:r w:rsidRPr="00064185">
              <w:rPr>
                <w:sz w:val="16"/>
                <w:szCs w:val="16"/>
              </w:rPr>
              <w:t xml:space="preserve">Residual effects on PVC: </w:t>
            </w:r>
          </w:p>
          <w:p w14:paraId="303607C0" w14:textId="77777777" w:rsidR="00F710FB" w:rsidRPr="00064185" w:rsidRDefault="00F710FB" w:rsidP="00EA61D8">
            <w:pPr>
              <w:rPr>
                <w:sz w:val="16"/>
                <w:szCs w:val="16"/>
              </w:rPr>
            </w:pPr>
            <w:r w:rsidRPr="00064185">
              <w:rPr>
                <w:sz w:val="16"/>
                <w:szCs w:val="16"/>
              </w:rPr>
              <w:t>The efficacy was weaker. It took 1h (for residues aged 1 day or 1 week) or up to 24h (for residues aged 22 weeks) to achieve 100% of efficacy (knock down and /or mortality).</w:t>
            </w:r>
          </w:p>
          <w:p w14:paraId="23D41AA2" w14:textId="77777777" w:rsidR="00F710FB" w:rsidRPr="00064185" w:rsidRDefault="00F710FB" w:rsidP="00EA61D8">
            <w:pPr>
              <w:pStyle w:val="Standardlinks"/>
              <w:rPr>
                <w:rFonts w:ascii="Verdana" w:hAnsi="Verdana"/>
                <w:sz w:val="16"/>
                <w:szCs w:val="16"/>
              </w:rPr>
            </w:pPr>
          </w:p>
          <w:p w14:paraId="7680F529" w14:textId="77777777" w:rsidR="0070745E" w:rsidRPr="00064185" w:rsidRDefault="00F710FB" w:rsidP="00EA61D8">
            <w:pPr>
              <w:rPr>
                <w:sz w:val="16"/>
                <w:szCs w:val="16"/>
              </w:rPr>
            </w:pPr>
            <w:r w:rsidRPr="00064185">
              <w:rPr>
                <w:sz w:val="16"/>
                <w:szCs w:val="16"/>
              </w:rPr>
              <w:t xml:space="preserve">Conclusion: In this laboratory test, COM 116 02 I AL (spray) has proved a complete and fast efficacy towards the woodlice </w:t>
            </w:r>
            <w:r w:rsidRPr="00064185">
              <w:rPr>
                <w:i/>
                <w:sz w:val="16"/>
                <w:szCs w:val="16"/>
              </w:rPr>
              <w:t>Porcellio scaber</w:t>
            </w:r>
            <w:r w:rsidRPr="00064185">
              <w:rPr>
                <w:sz w:val="16"/>
                <w:szCs w:val="16"/>
              </w:rPr>
              <w:t>.</w:t>
            </w:r>
          </w:p>
          <w:p w14:paraId="4C4A153D" w14:textId="77777777" w:rsidR="0097574A" w:rsidRPr="00064185" w:rsidRDefault="0097574A" w:rsidP="00EA61D8">
            <w:pPr>
              <w:rPr>
                <w:sz w:val="16"/>
                <w:szCs w:val="16"/>
              </w:rPr>
            </w:pPr>
          </w:p>
          <w:p w14:paraId="1B5D56D0" w14:textId="77777777" w:rsidR="0097574A" w:rsidRPr="00064185" w:rsidRDefault="0097574A" w:rsidP="00EA61D8">
            <w:pPr>
              <w:rPr>
                <w:sz w:val="16"/>
                <w:szCs w:val="16"/>
              </w:rPr>
            </w:pPr>
          </w:p>
          <w:p w14:paraId="1B0E7014" w14:textId="66D81DA3" w:rsidR="0097574A" w:rsidRPr="00064185" w:rsidRDefault="0097574A" w:rsidP="00EA61D8">
            <w:pPr>
              <w:rPr>
                <w:sz w:val="16"/>
                <w:szCs w:val="16"/>
              </w:rPr>
            </w:pPr>
          </w:p>
        </w:tc>
        <w:tc>
          <w:tcPr>
            <w:tcW w:w="388" w:type="pct"/>
          </w:tcPr>
          <w:p w14:paraId="13EE5DB9" w14:textId="77777777" w:rsidR="0070745E" w:rsidRPr="00064185" w:rsidRDefault="00F710FB" w:rsidP="00EA61D8">
            <w:pPr>
              <w:rPr>
                <w:sz w:val="16"/>
                <w:szCs w:val="16"/>
              </w:rPr>
            </w:pPr>
            <w:r w:rsidRPr="00064185">
              <w:rPr>
                <w:sz w:val="16"/>
                <w:szCs w:val="16"/>
              </w:rPr>
              <w:t>Felke, 2009</w:t>
            </w:r>
          </w:p>
        </w:tc>
      </w:tr>
    </w:tbl>
    <w:p w14:paraId="003AA362" w14:textId="77777777" w:rsidR="00A53EE0" w:rsidRPr="00064185" w:rsidRDefault="00A53EE0" w:rsidP="00EA61D8">
      <w:pPr>
        <w:spacing w:line="260" w:lineRule="atLeast"/>
        <w:rPr>
          <w:rFonts w:eastAsia="Calibri"/>
          <w:b/>
          <w:bCs/>
          <w:lang w:eastAsia="en-US"/>
        </w:rPr>
      </w:pPr>
    </w:p>
    <w:p w14:paraId="649A9BB9" w14:textId="77777777" w:rsidR="00284828" w:rsidRPr="00064185" w:rsidRDefault="00284828" w:rsidP="00EA61D8">
      <w:pPr>
        <w:spacing w:line="260" w:lineRule="atLeast"/>
        <w:rPr>
          <w:rFonts w:ascii="Times New Roman" w:eastAsia="Calibri" w:hAnsi="Times New Roman"/>
          <w:i/>
          <w:iCs/>
          <w:lang w:eastAsia="en-US"/>
        </w:rPr>
      </w:pPr>
    </w:p>
    <w:p w14:paraId="7CBA23DA" w14:textId="5AE1B313" w:rsidR="00DD0AA0" w:rsidRPr="00064185" w:rsidRDefault="00DD0AA0" w:rsidP="00EA61D8">
      <w:pPr>
        <w:spacing w:line="260" w:lineRule="atLeast"/>
        <w:rPr>
          <w:rFonts w:ascii="Times New Roman" w:eastAsia="Calibri" w:hAnsi="Times New Roman"/>
          <w:i/>
          <w:iCs/>
          <w:lang w:eastAsia="en-US"/>
        </w:rPr>
      </w:pPr>
    </w:p>
    <w:p w14:paraId="6611FB47" w14:textId="77777777" w:rsidR="00DD0AA0" w:rsidRPr="00064185" w:rsidRDefault="00DD0AA0" w:rsidP="00EA61D8">
      <w:pPr>
        <w:spacing w:line="260" w:lineRule="atLeast"/>
        <w:rPr>
          <w:rFonts w:ascii="Times New Roman" w:eastAsia="Calibri" w:hAnsi="Times New Roman"/>
          <w:i/>
          <w:iCs/>
          <w:lang w:eastAsia="en-US"/>
        </w:rPr>
      </w:pPr>
    </w:p>
    <w:p w14:paraId="058638F0" w14:textId="77777777" w:rsidR="00DD0AA0" w:rsidRPr="00064185" w:rsidRDefault="00DD0AA0" w:rsidP="00EA61D8">
      <w:pPr>
        <w:spacing w:line="260" w:lineRule="atLeast"/>
        <w:rPr>
          <w:rFonts w:ascii="Times New Roman" w:eastAsia="Calibri" w:hAnsi="Times New Roman"/>
          <w:i/>
          <w:iCs/>
          <w:lang w:eastAsia="en-US"/>
        </w:rPr>
      </w:pPr>
    </w:p>
    <w:p w14:paraId="7C77E7F0" w14:textId="77777777" w:rsidR="00DD0AA0" w:rsidRPr="00064185" w:rsidRDefault="00DD0AA0" w:rsidP="00EA61D8">
      <w:pPr>
        <w:spacing w:line="260" w:lineRule="atLeast"/>
        <w:rPr>
          <w:rFonts w:ascii="Times New Roman" w:eastAsia="Calibri" w:hAnsi="Times New Roman"/>
          <w:i/>
          <w:iCs/>
          <w:lang w:eastAsia="en-US"/>
        </w:rPr>
        <w:sectPr w:rsidR="00DD0AA0" w:rsidRPr="00064185" w:rsidSect="00284828">
          <w:endnotePr>
            <w:numFmt w:val="decimal"/>
          </w:endnotePr>
          <w:pgSz w:w="16840" w:h="11907" w:orient="landscape" w:code="9"/>
          <w:pgMar w:top="1446" w:right="1474" w:bottom="1247" w:left="2013" w:header="850" w:footer="850" w:gutter="0"/>
          <w:cols w:space="720"/>
          <w:titlePg/>
          <w:docGrid w:linePitch="272"/>
        </w:sectPr>
      </w:pPr>
    </w:p>
    <w:p w14:paraId="4C4265D6" w14:textId="23843A96" w:rsidR="00DD0AA0" w:rsidRPr="00064185" w:rsidRDefault="00164E37" w:rsidP="00403806">
      <w:pPr>
        <w:jc w:val="both"/>
        <w:rPr>
          <w:b/>
          <w:u w:val="single"/>
        </w:rPr>
      </w:pPr>
      <w:r w:rsidRPr="00064185">
        <w:rPr>
          <w:b/>
          <w:u w:val="single"/>
        </w:rPr>
        <w:lastRenderedPageBreak/>
        <w:t>C</w:t>
      </w:r>
      <w:r w:rsidR="00DD0AA0" w:rsidRPr="00064185">
        <w:rPr>
          <w:b/>
          <w:u w:val="single"/>
        </w:rPr>
        <w:t>alculation of application rates</w:t>
      </w:r>
    </w:p>
    <w:p w14:paraId="2A49A786" w14:textId="77777777" w:rsidR="00DD0AA0" w:rsidRPr="00064185" w:rsidRDefault="00DD0AA0" w:rsidP="00403806">
      <w:pPr>
        <w:jc w:val="both"/>
        <w:rPr>
          <w:i/>
        </w:rPr>
      </w:pPr>
    </w:p>
    <w:p w14:paraId="66AC7EEB" w14:textId="104C0160" w:rsidR="00DD0AA0" w:rsidRPr="00064185" w:rsidRDefault="00DD0AA0" w:rsidP="00403806">
      <w:pPr>
        <w:jc w:val="both"/>
      </w:pPr>
      <w:r w:rsidRPr="00064185">
        <w:t xml:space="preserve">In the efficacy tests </w:t>
      </w:r>
      <w:r w:rsidR="00672327" w:rsidRPr="00064185">
        <w:t xml:space="preserve">submitted </w:t>
      </w:r>
      <w:r w:rsidRPr="00064185">
        <w:t>the application of COM 116 02 I AL was executed with a spray can (BOV system):</w:t>
      </w:r>
    </w:p>
    <w:p w14:paraId="028DE2E7" w14:textId="77777777" w:rsidR="00DD0AA0" w:rsidRPr="00064185" w:rsidRDefault="00DD0AA0" w:rsidP="00403806">
      <w:pPr>
        <w:jc w:val="both"/>
      </w:pPr>
    </w:p>
    <w:p w14:paraId="1846701E" w14:textId="4853217D" w:rsidR="00DD0AA0" w:rsidRPr="00064185" w:rsidRDefault="00DD0AA0" w:rsidP="00403806">
      <w:pPr>
        <w:numPr>
          <w:ilvl w:val="0"/>
          <w:numId w:val="16"/>
        </w:numPr>
        <w:jc w:val="both"/>
      </w:pPr>
      <w:r w:rsidRPr="00064185">
        <w:t>Efficacy of BOV (Bag-on-Valve) System CO</w:t>
      </w:r>
      <w:r w:rsidR="0097440D" w:rsidRPr="00064185">
        <w:t>M 116 02 I AL / Ameisen Stop (0.</w:t>
      </w:r>
      <w:r w:rsidRPr="00064185">
        <w:t xml:space="preserve">05% </w:t>
      </w:r>
      <w:r w:rsidR="004C54C7" w:rsidRPr="00064185">
        <w:rPr>
          <w:i/>
        </w:rPr>
        <w:t>l</w:t>
      </w:r>
      <w:r w:rsidRPr="00064185">
        <w:rPr>
          <w:i/>
        </w:rPr>
        <w:t>ambda</w:t>
      </w:r>
      <w:r w:rsidRPr="00064185">
        <w:t>-</w:t>
      </w:r>
      <w:r w:rsidR="004C54C7" w:rsidRPr="00064185">
        <w:t>c</w:t>
      </w:r>
      <w:r w:rsidRPr="00064185">
        <w:t>yhalothrin) against cockroaches, Study No. Mo3684 Author K.-H. Lüpkes including Amendment No. 1, Author K.-H. Lüpkes</w:t>
      </w:r>
    </w:p>
    <w:p w14:paraId="6147EB37" w14:textId="5360F40D" w:rsidR="00DD0AA0" w:rsidRPr="00064185" w:rsidRDefault="00DD0AA0" w:rsidP="00403806">
      <w:pPr>
        <w:numPr>
          <w:ilvl w:val="0"/>
          <w:numId w:val="16"/>
        </w:numPr>
        <w:jc w:val="both"/>
      </w:pPr>
      <w:r w:rsidRPr="00064185">
        <w:t>Efficacy of BOV (Bag-on-Valve) System CO</w:t>
      </w:r>
      <w:r w:rsidR="0097440D" w:rsidRPr="00064185">
        <w:t>M 116 02 I AL / Ameisen Stop (0.</w:t>
      </w:r>
      <w:r w:rsidRPr="00064185">
        <w:t xml:space="preserve">05% </w:t>
      </w:r>
      <w:r w:rsidR="004C54C7" w:rsidRPr="00064185">
        <w:rPr>
          <w:i/>
        </w:rPr>
        <w:t>l</w:t>
      </w:r>
      <w:r w:rsidRPr="00064185">
        <w:rPr>
          <w:i/>
        </w:rPr>
        <w:t>ambda</w:t>
      </w:r>
      <w:r w:rsidR="004C54C7" w:rsidRPr="00064185">
        <w:t>-c</w:t>
      </w:r>
      <w:r w:rsidRPr="00064185">
        <w:t>yhalothrin) against silverfishes, Study No. Mo3611 Author K.-H. Lüpkes, 2008-07-09</w:t>
      </w:r>
    </w:p>
    <w:p w14:paraId="1F17964B" w14:textId="77777777" w:rsidR="00DD0AA0" w:rsidRPr="00064185" w:rsidRDefault="00DD0AA0" w:rsidP="00403806">
      <w:pPr>
        <w:numPr>
          <w:ilvl w:val="0"/>
          <w:numId w:val="16"/>
        </w:numPr>
        <w:jc w:val="both"/>
      </w:pPr>
      <w:r w:rsidRPr="00064185">
        <w:t>Contact toxicity and residual activity of COM 116 02 I AL on woodlice (</w:t>
      </w:r>
      <w:r w:rsidRPr="00064185">
        <w:rPr>
          <w:i/>
        </w:rPr>
        <w:t>Porcellio scaber</w:t>
      </w:r>
      <w:r w:rsidRPr="00064185">
        <w:t>), Dr. Martin Felke, 20.05.2009</w:t>
      </w:r>
    </w:p>
    <w:p w14:paraId="66ED71A4" w14:textId="77777777" w:rsidR="00DD0AA0" w:rsidRPr="00064185" w:rsidRDefault="00DD0AA0" w:rsidP="00403806">
      <w:pPr>
        <w:ind w:left="360"/>
        <w:jc w:val="both"/>
      </w:pPr>
    </w:p>
    <w:p w14:paraId="3E2D9BD6" w14:textId="65721D97" w:rsidR="00DD0AA0" w:rsidRPr="00064185" w:rsidRDefault="00DD0AA0" w:rsidP="00403806">
      <w:pPr>
        <w:jc w:val="both"/>
      </w:pPr>
      <w:r w:rsidRPr="00064185">
        <w:t>Summing up the results of these biological test reports and taking into account the parameters discharge rate and spray diameter of the system trigger sprayer and bottle, described in study A16132A Impact of batch LOT 06/002 on Trigger Sprayer Clogging, Discharge Rate and Spray Diameter, Author Dr. F. Wochner, 18-Jun-2009, Study No. 120025, a relationship for the product applied for contact and residual toxicity could be drawn.</w:t>
      </w:r>
    </w:p>
    <w:p w14:paraId="76C032DC" w14:textId="77777777" w:rsidR="00DD0AA0" w:rsidRPr="00064185" w:rsidRDefault="00DD0AA0" w:rsidP="00403806">
      <w:pPr>
        <w:jc w:val="both"/>
      </w:pPr>
    </w:p>
    <w:p w14:paraId="466C251F" w14:textId="77777777" w:rsidR="00DD0AA0" w:rsidRPr="00064185" w:rsidRDefault="00DD0AA0" w:rsidP="00403806">
      <w:pPr>
        <w:jc w:val="both"/>
      </w:pPr>
      <w:r w:rsidRPr="00064185">
        <w:t>The treatment for direct spraying and residual spray in study no. Mo3684 and study no. Mo3611 are almost the same, so only study no. Mo3684 is taking into consideration.</w:t>
      </w:r>
    </w:p>
    <w:p w14:paraId="46D0637F" w14:textId="77777777" w:rsidR="00DD0AA0" w:rsidRPr="00064185" w:rsidRDefault="00DD0AA0" w:rsidP="00403806">
      <w:pPr>
        <w:jc w:val="both"/>
      </w:pPr>
    </w:p>
    <w:p w14:paraId="23132212" w14:textId="77777777" w:rsidR="00672327" w:rsidRPr="00064185" w:rsidRDefault="00672327" w:rsidP="00403806">
      <w:pPr>
        <w:jc w:val="both"/>
      </w:pPr>
    </w:p>
    <w:p w14:paraId="41FA3ED7" w14:textId="77777777" w:rsidR="00672327" w:rsidRPr="00064185" w:rsidRDefault="00672327" w:rsidP="00403806">
      <w:pPr>
        <w:jc w:val="both"/>
        <w:rPr>
          <w:b/>
        </w:rPr>
      </w:pPr>
      <w:r w:rsidRPr="00064185">
        <w:rPr>
          <w:b/>
        </w:rPr>
        <w:t>References</w:t>
      </w:r>
    </w:p>
    <w:p w14:paraId="38498FA1" w14:textId="77777777" w:rsidR="00672327" w:rsidRPr="00064185" w:rsidRDefault="00672327" w:rsidP="00403806">
      <w:pPr>
        <w:jc w:val="both"/>
      </w:pPr>
    </w:p>
    <w:p w14:paraId="7917DEF0" w14:textId="77777777" w:rsidR="00672327" w:rsidRPr="00064185" w:rsidRDefault="00672327" w:rsidP="00403806">
      <w:pPr>
        <w:jc w:val="both"/>
      </w:pPr>
      <w:r w:rsidRPr="00064185">
        <w:t>The reports cited have been referenced in the text above. All reports have already been submitted along with the product dossier for COM 116 02 I AL with exception of the following new report which will be submitted as part of this statement:</w:t>
      </w:r>
    </w:p>
    <w:p w14:paraId="23D09A05" w14:textId="77777777" w:rsidR="00672327" w:rsidRPr="00064185" w:rsidRDefault="00672327" w:rsidP="00403806">
      <w:pPr>
        <w:jc w:val="both"/>
      </w:pPr>
    </w:p>
    <w:p w14:paraId="14B17CF9" w14:textId="77777777" w:rsidR="00672327" w:rsidRPr="00064185" w:rsidRDefault="00672327" w:rsidP="00403806">
      <w:pPr>
        <w:jc w:val="both"/>
      </w:pPr>
      <w:r w:rsidRPr="00064185">
        <w:t>Lüpkes, K.-H (2009): Biological Test Report, Efficacy against cockroaches. Study No. Mo3684, Report No. BIO027/09</w:t>
      </w:r>
    </w:p>
    <w:p w14:paraId="7814170C" w14:textId="77777777" w:rsidR="00672327" w:rsidRPr="00064185" w:rsidRDefault="00672327" w:rsidP="00403806">
      <w:pPr>
        <w:jc w:val="both"/>
      </w:pPr>
      <w:r w:rsidRPr="00064185">
        <w:t>Lüpkes, K.-H (2015): Amendment No. 1 to Biological Test Report, Efficacy of a product against cockroaches, Study No. Mo3684, Report No. BIO027/09</w:t>
      </w:r>
    </w:p>
    <w:p w14:paraId="35C52936" w14:textId="424CBEF0" w:rsidR="00672327" w:rsidRPr="00064185" w:rsidRDefault="00672327" w:rsidP="00403806">
      <w:pPr>
        <w:jc w:val="both"/>
      </w:pPr>
      <w:r w:rsidRPr="00064185">
        <w:t>Lüpkes, K.-H (2008): Biological Test Report, Efficacy of a product against silverfish. Study No. Mo3611, Report No. BIO048/08</w:t>
      </w:r>
      <w:r w:rsidR="00713230" w:rsidRPr="00064185">
        <w:t xml:space="preserve"> </w:t>
      </w:r>
    </w:p>
    <w:p w14:paraId="67CACE36" w14:textId="77777777" w:rsidR="00672327" w:rsidRPr="00064185" w:rsidRDefault="00672327" w:rsidP="00403806">
      <w:pPr>
        <w:jc w:val="both"/>
      </w:pPr>
      <w:r w:rsidRPr="00064185">
        <w:t>Felke, Dr. Martin (2009): Study Report, Contact toxicity and residual activity of COM 116 02 I AL on woodlice (</w:t>
      </w:r>
      <w:r w:rsidRPr="00064185">
        <w:rPr>
          <w:i/>
        </w:rPr>
        <w:t>Porcellio scaber</w:t>
      </w:r>
      <w:r w:rsidRPr="00064185">
        <w:t>)</w:t>
      </w:r>
    </w:p>
    <w:p w14:paraId="300EC722" w14:textId="77777777" w:rsidR="00672327" w:rsidRPr="00064185" w:rsidRDefault="00672327" w:rsidP="00EA61D8">
      <w:pPr>
        <w:sectPr w:rsidR="00672327" w:rsidRPr="00064185">
          <w:pgSz w:w="11906" w:h="16838"/>
          <w:pgMar w:top="1418" w:right="1418" w:bottom="1134" w:left="1418" w:header="720" w:footer="720" w:gutter="0"/>
          <w:cols w:space="720"/>
        </w:sectPr>
      </w:pPr>
    </w:p>
    <w:tbl>
      <w:tblPr>
        <w:tblpPr w:leftFromText="141" w:rightFromText="141" w:horzAnchor="margin"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297"/>
        <w:gridCol w:w="3637"/>
        <w:gridCol w:w="3889"/>
      </w:tblGrid>
      <w:tr w:rsidR="00064185" w:rsidRPr="00064185" w14:paraId="467B554B" w14:textId="77777777" w:rsidTr="00164E37">
        <w:trPr>
          <w:trHeight w:val="484"/>
        </w:trPr>
        <w:tc>
          <w:tcPr>
            <w:tcW w:w="3296" w:type="dxa"/>
            <w:tcBorders>
              <w:top w:val="single" w:sz="4" w:space="0" w:color="auto"/>
              <w:left w:val="single" w:sz="4" w:space="0" w:color="auto"/>
              <w:bottom w:val="single" w:sz="4" w:space="0" w:color="auto"/>
              <w:right w:val="single" w:sz="4" w:space="0" w:color="auto"/>
            </w:tcBorders>
          </w:tcPr>
          <w:p w14:paraId="4385D83A" w14:textId="77777777" w:rsidR="00DD0AA0" w:rsidRPr="00064185" w:rsidRDefault="00DD0AA0" w:rsidP="00EA61D8">
            <w:pPr>
              <w:rPr>
                <w:rFonts w:ascii="Arial" w:hAnsi="Arial"/>
                <w:sz w:val="24"/>
              </w:rPr>
            </w:pPr>
          </w:p>
        </w:tc>
        <w:tc>
          <w:tcPr>
            <w:tcW w:w="3297" w:type="dxa"/>
            <w:tcBorders>
              <w:top w:val="single" w:sz="4" w:space="0" w:color="auto"/>
              <w:left w:val="single" w:sz="4" w:space="0" w:color="auto"/>
              <w:bottom w:val="single" w:sz="4" w:space="0" w:color="auto"/>
              <w:right w:val="single" w:sz="4" w:space="0" w:color="auto"/>
            </w:tcBorders>
            <w:hideMark/>
          </w:tcPr>
          <w:p w14:paraId="00C501CA" w14:textId="77777777" w:rsidR="00DD0AA0" w:rsidRPr="00064185" w:rsidRDefault="00DD0AA0" w:rsidP="00EA61D8">
            <w:pPr>
              <w:rPr>
                <w:rFonts w:ascii="Arial" w:hAnsi="Arial"/>
                <w:b/>
                <w:sz w:val="24"/>
              </w:rPr>
            </w:pPr>
            <w:proofErr w:type="gramStart"/>
            <w:r w:rsidRPr="00064185">
              <w:rPr>
                <w:b/>
              </w:rPr>
              <w:t>study</w:t>
            </w:r>
            <w:proofErr w:type="gramEnd"/>
            <w:r w:rsidRPr="00064185">
              <w:rPr>
                <w:b/>
              </w:rPr>
              <w:t xml:space="preserve"> no. Mo3684</w:t>
            </w:r>
          </w:p>
          <w:p w14:paraId="20E25842" w14:textId="77777777" w:rsidR="00DD0AA0" w:rsidRPr="00064185" w:rsidRDefault="00DD0AA0" w:rsidP="00EA61D8">
            <w:pPr>
              <w:rPr>
                <w:rFonts w:ascii="Arial" w:hAnsi="Arial"/>
                <w:b/>
                <w:sz w:val="24"/>
              </w:rPr>
            </w:pPr>
            <w:r w:rsidRPr="00064185">
              <w:rPr>
                <w:b/>
              </w:rPr>
              <w:t>K.-H. Lüpkes</w:t>
            </w:r>
          </w:p>
        </w:tc>
        <w:tc>
          <w:tcPr>
            <w:tcW w:w="3637" w:type="dxa"/>
            <w:tcBorders>
              <w:top w:val="single" w:sz="4" w:space="0" w:color="auto"/>
              <w:left w:val="single" w:sz="4" w:space="0" w:color="auto"/>
              <w:bottom w:val="single" w:sz="4" w:space="0" w:color="auto"/>
              <w:right w:val="single" w:sz="4" w:space="0" w:color="auto"/>
            </w:tcBorders>
            <w:hideMark/>
          </w:tcPr>
          <w:p w14:paraId="2660A675" w14:textId="77777777" w:rsidR="00DD0AA0" w:rsidRPr="00064185" w:rsidRDefault="00DD0AA0" w:rsidP="00EA61D8">
            <w:pPr>
              <w:rPr>
                <w:rFonts w:ascii="Arial" w:hAnsi="Arial"/>
                <w:b/>
                <w:sz w:val="24"/>
              </w:rPr>
            </w:pPr>
            <w:r w:rsidRPr="00064185">
              <w:rPr>
                <w:b/>
              </w:rPr>
              <w:t>study Dr. M. Felke</w:t>
            </w:r>
          </w:p>
        </w:tc>
        <w:tc>
          <w:tcPr>
            <w:tcW w:w="3889" w:type="dxa"/>
            <w:tcBorders>
              <w:top w:val="single" w:sz="4" w:space="0" w:color="auto"/>
              <w:left w:val="single" w:sz="4" w:space="0" w:color="auto"/>
              <w:bottom w:val="single" w:sz="4" w:space="0" w:color="auto"/>
              <w:right w:val="single" w:sz="4" w:space="0" w:color="auto"/>
            </w:tcBorders>
            <w:hideMark/>
          </w:tcPr>
          <w:p w14:paraId="64DEAA9C" w14:textId="77777777" w:rsidR="00DD0AA0" w:rsidRPr="00064185" w:rsidRDefault="00DD0AA0" w:rsidP="00EA61D8">
            <w:pPr>
              <w:rPr>
                <w:rFonts w:ascii="Arial" w:hAnsi="Arial"/>
                <w:b/>
                <w:sz w:val="24"/>
              </w:rPr>
            </w:pPr>
            <w:r w:rsidRPr="00064185">
              <w:rPr>
                <w:b/>
              </w:rPr>
              <w:t>study no. 120025,</w:t>
            </w:r>
          </w:p>
          <w:p w14:paraId="09AAC339" w14:textId="6A113CD4" w:rsidR="00164E37" w:rsidRPr="00064185" w:rsidRDefault="00164E37" w:rsidP="00EA61D8">
            <w:pPr>
              <w:pStyle w:val="Kommentartext"/>
            </w:pPr>
            <w:r w:rsidRPr="00064185">
              <w:t>Study A16132A, Report Nr</w:t>
            </w:r>
            <w:r w:rsidR="0097440D" w:rsidRPr="00064185">
              <w:t>.</w:t>
            </w:r>
            <w:r w:rsidRPr="00064185">
              <w:t xml:space="preserve"> 10394896, Archiv Nr 120025</w:t>
            </w:r>
          </w:p>
          <w:p w14:paraId="4D440B89" w14:textId="77777777" w:rsidR="00DD0AA0" w:rsidRPr="00064185" w:rsidRDefault="00DD0AA0" w:rsidP="00EA61D8">
            <w:pPr>
              <w:rPr>
                <w:rFonts w:ascii="Arial" w:hAnsi="Arial"/>
                <w:b/>
                <w:sz w:val="24"/>
              </w:rPr>
            </w:pPr>
            <w:r w:rsidRPr="00064185">
              <w:rPr>
                <w:b/>
              </w:rPr>
              <w:t>Dr. F. Wochner</w:t>
            </w:r>
          </w:p>
        </w:tc>
      </w:tr>
      <w:tr w:rsidR="00064185" w:rsidRPr="00064185" w14:paraId="4A3D7E8E" w14:textId="77777777" w:rsidTr="00164E37">
        <w:trPr>
          <w:trHeight w:val="262"/>
        </w:trPr>
        <w:tc>
          <w:tcPr>
            <w:tcW w:w="3296" w:type="dxa"/>
            <w:tcBorders>
              <w:top w:val="single" w:sz="4" w:space="0" w:color="auto"/>
              <w:left w:val="single" w:sz="4" w:space="0" w:color="auto"/>
              <w:bottom w:val="single" w:sz="4" w:space="0" w:color="auto"/>
              <w:right w:val="single" w:sz="4" w:space="0" w:color="auto"/>
            </w:tcBorders>
            <w:hideMark/>
          </w:tcPr>
          <w:p w14:paraId="048405E0" w14:textId="77777777" w:rsidR="00DD0AA0" w:rsidRPr="00064185" w:rsidRDefault="00DD0AA0" w:rsidP="00EA61D8">
            <w:pPr>
              <w:rPr>
                <w:rFonts w:ascii="Arial" w:hAnsi="Arial" w:cs="Arial"/>
                <w:b/>
                <w:sz w:val="24"/>
                <w:szCs w:val="24"/>
              </w:rPr>
            </w:pPr>
            <w:r w:rsidRPr="00064185">
              <w:rPr>
                <w:rFonts w:cs="Arial"/>
                <w:b/>
                <w:szCs w:val="24"/>
              </w:rPr>
              <w:t>direct spray treatment</w:t>
            </w:r>
          </w:p>
        </w:tc>
        <w:tc>
          <w:tcPr>
            <w:tcW w:w="3297" w:type="dxa"/>
            <w:tcBorders>
              <w:top w:val="single" w:sz="4" w:space="0" w:color="auto"/>
              <w:left w:val="single" w:sz="4" w:space="0" w:color="auto"/>
              <w:bottom w:val="single" w:sz="4" w:space="0" w:color="auto"/>
              <w:right w:val="single" w:sz="4" w:space="0" w:color="auto"/>
            </w:tcBorders>
          </w:tcPr>
          <w:p w14:paraId="57E21DDE" w14:textId="77777777" w:rsidR="00DD0AA0" w:rsidRPr="00064185" w:rsidRDefault="00DD0AA0" w:rsidP="00EA61D8">
            <w:pPr>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tcPr>
          <w:p w14:paraId="18A0B008" w14:textId="77777777" w:rsidR="00DD0AA0" w:rsidRPr="00064185" w:rsidRDefault="00DD0AA0" w:rsidP="00EA61D8">
            <w:pPr>
              <w:rPr>
                <w:rFonts w:ascii="Arial" w:hAnsi="Arial" w:cs="Arial"/>
                <w:sz w:val="24"/>
                <w:szCs w:val="24"/>
              </w:rPr>
            </w:pPr>
          </w:p>
        </w:tc>
        <w:tc>
          <w:tcPr>
            <w:tcW w:w="3889" w:type="dxa"/>
            <w:tcBorders>
              <w:top w:val="single" w:sz="4" w:space="0" w:color="auto"/>
              <w:left w:val="single" w:sz="4" w:space="0" w:color="auto"/>
              <w:bottom w:val="single" w:sz="4" w:space="0" w:color="auto"/>
              <w:right w:val="single" w:sz="4" w:space="0" w:color="auto"/>
            </w:tcBorders>
          </w:tcPr>
          <w:p w14:paraId="678DE956" w14:textId="77777777" w:rsidR="00DD0AA0" w:rsidRPr="00064185" w:rsidRDefault="00DD0AA0" w:rsidP="00EA61D8">
            <w:pPr>
              <w:rPr>
                <w:rFonts w:ascii="Arial" w:hAnsi="Arial" w:cs="Arial"/>
                <w:sz w:val="24"/>
                <w:szCs w:val="24"/>
              </w:rPr>
            </w:pPr>
          </w:p>
        </w:tc>
      </w:tr>
      <w:tr w:rsidR="00064185" w:rsidRPr="00064185" w14:paraId="23487EF8" w14:textId="77777777" w:rsidTr="00164E37">
        <w:trPr>
          <w:trHeight w:val="249"/>
        </w:trPr>
        <w:tc>
          <w:tcPr>
            <w:tcW w:w="3296" w:type="dxa"/>
            <w:tcBorders>
              <w:top w:val="single" w:sz="4" w:space="0" w:color="auto"/>
              <w:left w:val="single" w:sz="4" w:space="0" w:color="auto"/>
              <w:bottom w:val="single" w:sz="4" w:space="0" w:color="auto"/>
              <w:right w:val="single" w:sz="4" w:space="0" w:color="auto"/>
            </w:tcBorders>
            <w:hideMark/>
          </w:tcPr>
          <w:p w14:paraId="342CE028" w14:textId="77777777" w:rsidR="00DD0AA0" w:rsidRPr="00064185" w:rsidRDefault="00DD0AA0" w:rsidP="00EA61D8">
            <w:pPr>
              <w:rPr>
                <w:rFonts w:ascii="Arial" w:hAnsi="Arial" w:cs="Arial"/>
                <w:sz w:val="24"/>
                <w:szCs w:val="24"/>
              </w:rPr>
            </w:pPr>
            <w:r w:rsidRPr="00064185">
              <w:rPr>
                <w:rFonts w:cs="Arial"/>
                <w:szCs w:val="24"/>
              </w:rPr>
              <w:t>quantity of product, average</w:t>
            </w:r>
          </w:p>
        </w:tc>
        <w:tc>
          <w:tcPr>
            <w:tcW w:w="3297" w:type="dxa"/>
            <w:tcBorders>
              <w:top w:val="single" w:sz="4" w:space="0" w:color="auto"/>
              <w:left w:val="single" w:sz="4" w:space="0" w:color="auto"/>
              <w:bottom w:val="single" w:sz="4" w:space="0" w:color="auto"/>
              <w:right w:val="single" w:sz="4" w:space="0" w:color="auto"/>
            </w:tcBorders>
            <w:hideMark/>
          </w:tcPr>
          <w:p w14:paraId="38A03ED1" w14:textId="77777777" w:rsidR="00DD0AA0" w:rsidRPr="00064185" w:rsidRDefault="00DD0AA0" w:rsidP="00EA61D8">
            <w:pPr>
              <w:rPr>
                <w:rFonts w:ascii="Arial" w:hAnsi="Arial" w:cs="Arial"/>
                <w:sz w:val="24"/>
                <w:szCs w:val="24"/>
              </w:rPr>
            </w:pPr>
            <w:r w:rsidRPr="00064185">
              <w:rPr>
                <w:rFonts w:cs="Arial"/>
                <w:szCs w:val="24"/>
              </w:rPr>
              <w:t>2.8 g (2 seconds spray)</w:t>
            </w:r>
          </w:p>
        </w:tc>
        <w:tc>
          <w:tcPr>
            <w:tcW w:w="3637" w:type="dxa"/>
            <w:tcBorders>
              <w:top w:val="single" w:sz="4" w:space="0" w:color="auto"/>
              <w:left w:val="single" w:sz="4" w:space="0" w:color="auto"/>
              <w:bottom w:val="single" w:sz="4" w:space="0" w:color="auto"/>
              <w:right w:val="single" w:sz="4" w:space="0" w:color="auto"/>
            </w:tcBorders>
            <w:hideMark/>
          </w:tcPr>
          <w:p w14:paraId="76969B0F" w14:textId="77777777" w:rsidR="00DD0AA0" w:rsidRPr="00064185" w:rsidRDefault="00DD0AA0" w:rsidP="00EA61D8">
            <w:pPr>
              <w:rPr>
                <w:rFonts w:ascii="Arial" w:hAnsi="Arial" w:cs="Arial"/>
                <w:sz w:val="24"/>
                <w:szCs w:val="24"/>
              </w:rPr>
            </w:pPr>
            <w:r w:rsidRPr="00064185">
              <w:rPr>
                <w:rFonts w:cs="Arial"/>
                <w:szCs w:val="24"/>
              </w:rPr>
              <w:t>2.8 g</w:t>
            </w:r>
          </w:p>
        </w:tc>
        <w:tc>
          <w:tcPr>
            <w:tcW w:w="3889" w:type="dxa"/>
            <w:tcBorders>
              <w:top w:val="single" w:sz="4" w:space="0" w:color="auto"/>
              <w:left w:val="single" w:sz="4" w:space="0" w:color="auto"/>
              <w:bottom w:val="single" w:sz="4" w:space="0" w:color="auto"/>
              <w:right w:val="single" w:sz="4" w:space="0" w:color="auto"/>
            </w:tcBorders>
            <w:hideMark/>
          </w:tcPr>
          <w:p w14:paraId="0AC78510" w14:textId="77777777" w:rsidR="00DD0AA0" w:rsidRPr="00064185" w:rsidRDefault="00DD0AA0" w:rsidP="00EA61D8">
            <w:pPr>
              <w:rPr>
                <w:rFonts w:ascii="Arial" w:hAnsi="Arial" w:cs="Arial"/>
                <w:sz w:val="24"/>
                <w:szCs w:val="24"/>
              </w:rPr>
            </w:pPr>
            <w:r w:rsidRPr="00064185">
              <w:rPr>
                <w:rFonts w:cs="Arial"/>
                <w:szCs w:val="24"/>
              </w:rPr>
              <w:t>0.78 g/stroke</w:t>
            </w:r>
          </w:p>
        </w:tc>
      </w:tr>
      <w:tr w:rsidR="00064185" w:rsidRPr="00064185" w14:paraId="4C00D5B1" w14:textId="77777777" w:rsidTr="00164E37">
        <w:trPr>
          <w:trHeight w:val="236"/>
        </w:trPr>
        <w:tc>
          <w:tcPr>
            <w:tcW w:w="3296" w:type="dxa"/>
            <w:tcBorders>
              <w:top w:val="single" w:sz="4" w:space="0" w:color="auto"/>
              <w:left w:val="single" w:sz="4" w:space="0" w:color="auto"/>
              <w:bottom w:val="single" w:sz="4" w:space="0" w:color="auto"/>
              <w:right w:val="single" w:sz="4" w:space="0" w:color="auto"/>
            </w:tcBorders>
            <w:hideMark/>
          </w:tcPr>
          <w:p w14:paraId="2F3BC6DD" w14:textId="77777777" w:rsidR="00DD0AA0" w:rsidRPr="00064185" w:rsidRDefault="00DD0AA0" w:rsidP="00EA61D8">
            <w:pPr>
              <w:rPr>
                <w:rFonts w:ascii="Arial" w:hAnsi="Arial" w:cs="Arial"/>
                <w:sz w:val="24"/>
                <w:szCs w:val="24"/>
              </w:rPr>
            </w:pPr>
            <w:r w:rsidRPr="00064185">
              <w:rPr>
                <w:rFonts w:cs="Arial"/>
                <w:szCs w:val="24"/>
              </w:rPr>
              <w:t>distance of spray</w:t>
            </w:r>
          </w:p>
        </w:tc>
        <w:tc>
          <w:tcPr>
            <w:tcW w:w="3297" w:type="dxa"/>
            <w:tcBorders>
              <w:top w:val="single" w:sz="4" w:space="0" w:color="auto"/>
              <w:left w:val="single" w:sz="4" w:space="0" w:color="auto"/>
              <w:bottom w:val="single" w:sz="4" w:space="0" w:color="auto"/>
              <w:right w:val="single" w:sz="4" w:space="0" w:color="auto"/>
            </w:tcBorders>
            <w:hideMark/>
          </w:tcPr>
          <w:p w14:paraId="2348CCCD" w14:textId="77777777" w:rsidR="00DD0AA0" w:rsidRPr="00064185" w:rsidRDefault="00DD0AA0" w:rsidP="00EA61D8">
            <w:pPr>
              <w:rPr>
                <w:rFonts w:ascii="Arial" w:hAnsi="Arial" w:cs="Arial"/>
                <w:sz w:val="24"/>
                <w:szCs w:val="24"/>
              </w:rPr>
            </w:pPr>
            <w:r w:rsidRPr="00064185">
              <w:rPr>
                <w:rFonts w:cs="Arial"/>
                <w:szCs w:val="24"/>
              </w:rPr>
              <w:t>60 cm</w:t>
            </w:r>
          </w:p>
        </w:tc>
        <w:tc>
          <w:tcPr>
            <w:tcW w:w="3637" w:type="dxa"/>
            <w:tcBorders>
              <w:top w:val="single" w:sz="4" w:space="0" w:color="auto"/>
              <w:left w:val="single" w:sz="4" w:space="0" w:color="auto"/>
              <w:bottom w:val="single" w:sz="4" w:space="0" w:color="auto"/>
              <w:right w:val="single" w:sz="4" w:space="0" w:color="auto"/>
            </w:tcBorders>
            <w:hideMark/>
          </w:tcPr>
          <w:p w14:paraId="3AE59702" w14:textId="77777777" w:rsidR="00DD0AA0" w:rsidRPr="00064185" w:rsidRDefault="00DD0AA0" w:rsidP="00EA61D8">
            <w:pPr>
              <w:rPr>
                <w:rFonts w:ascii="Arial" w:hAnsi="Arial" w:cs="Arial"/>
                <w:sz w:val="24"/>
                <w:szCs w:val="24"/>
              </w:rPr>
            </w:pPr>
            <w:r w:rsidRPr="00064185">
              <w:rPr>
                <w:rFonts w:cs="Arial"/>
                <w:szCs w:val="24"/>
              </w:rPr>
              <w:t>40 cm</w:t>
            </w:r>
          </w:p>
        </w:tc>
        <w:tc>
          <w:tcPr>
            <w:tcW w:w="3889" w:type="dxa"/>
            <w:tcBorders>
              <w:top w:val="single" w:sz="4" w:space="0" w:color="auto"/>
              <w:left w:val="single" w:sz="4" w:space="0" w:color="auto"/>
              <w:bottom w:val="single" w:sz="4" w:space="0" w:color="auto"/>
              <w:right w:val="single" w:sz="4" w:space="0" w:color="auto"/>
            </w:tcBorders>
            <w:hideMark/>
          </w:tcPr>
          <w:p w14:paraId="14DF0CF5" w14:textId="77777777" w:rsidR="00DD0AA0" w:rsidRPr="00064185" w:rsidRDefault="00DD0AA0" w:rsidP="00EA61D8">
            <w:pPr>
              <w:rPr>
                <w:rFonts w:ascii="Arial" w:hAnsi="Arial" w:cs="Arial"/>
                <w:sz w:val="24"/>
                <w:szCs w:val="24"/>
              </w:rPr>
            </w:pPr>
            <w:r w:rsidRPr="00064185">
              <w:rPr>
                <w:rFonts w:cs="Arial"/>
                <w:szCs w:val="24"/>
              </w:rPr>
              <w:t>30 cm</w:t>
            </w:r>
          </w:p>
        </w:tc>
      </w:tr>
      <w:tr w:rsidR="00064185" w:rsidRPr="00064185" w14:paraId="578716E2" w14:textId="77777777" w:rsidTr="00164E37">
        <w:trPr>
          <w:trHeight w:val="236"/>
        </w:trPr>
        <w:tc>
          <w:tcPr>
            <w:tcW w:w="3296" w:type="dxa"/>
            <w:tcBorders>
              <w:top w:val="single" w:sz="4" w:space="0" w:color="auto"/>
              <w:left w:val="single" w:sz="4" w:space="0" w:color="auto"/>
              <w:bottom w:val="single" w:sz="4" w:space="0" w:color="auto"/>
              <w:right w:val="single" w:sz="4" w:space="0" w:color="auto"/>
            </w:tcBorders>
            <w:hideMark/>
          </w:tcPr>
          <w:p w14:paraId="5712B41A" w14:textId="77777777" w:rsidR="00DD0AA0" w:rsidRPr="00064185" w:rsidRDefault="00DD0AA0" w:rsidP="00EA61D8">
            <w:pPr>
              <w:rPr>
                <w:rFonts w:ascii="Arial" w:hAnsi="Arial" w:cs="Arial"/>
                <w:sz w:val="24"/>
                <w:szCs w:val="24"/>
              </w:rPr>
            </w:pPr>
            <w:r w:rsidRPr="00064185">
              <w:rPr>
                <w:rFonts w:cs="Arial"/>
                <w:szCs w:val="24"/>
              </w:rPr>
              <w:t>spray diameter</w:t>
            </w:r>
          </w:p>
        </w:tc>
        <w:tc>
          <w:tcPr>
            <w:tcW w:w="3297" w:type="dxa"/>
            <w:tcBorders>
              <w:top w:val="single" w:sz="4" w:space="0" w:color="auto"/>
              <w:left w:val="single" w:sz="4" w:space="0" w:color="auto"/>
              <w:bottom w:val="single" w:sz="4" w:space="0" w:color="auto"/>
              <w:right w:val="single" w:sz="4" w:space="0" w:color="auto"/>
            </w:tcBorders>
            <w:hideMark/>
          </w:tcPr>
          <w:p w14:paraId="03942A42" w14:textId="77777777" w:rsidR="00DD0AA0" w:rsidRPr="00064185" w:rsidRDefault="00DD0AA0" w:rsidP="00EA61D8">
            <w:pPr>
              <w:rPr>
                <w:rFonts w:ascii="Arial" w:hAnsi="Arial" w:cs="Arial"/>
                <w:sz w:val="24"/>
                <w:szCs w:val="24"/>
              </w:rPr>
            </w:pPr>
            <w:r w:rsidRPr="00064185">
              <w:rPr>
                <w:rFonts w:cs="Arial"/>
                <w:szCs w:val="24"/>
              </w:rPr>
              <w:t>17 cm</w:t>
            </w:r>
          </w:p>
        </w:tc>
        <w:tc>
          <w:tcPr>
            <w:tcW w:w="3637" w:type="dxa"/>
            <w:tcBorders>
              <w:top w:val="single" w:sz="4" w:space="0" w:color="auto"/>
              <w:left w:val="single" w:sz="4" w:space="0" w:color="auto"/>
              <w:bottom w:val="single" w:sz="4" w:space="0" w:color="auto"/>
              <w:right w:val="single" w:sz="4" w:space="0" w:color="auto"/>
            </w:tcBorders>
            <w:hideMark/>
          </w:tcPr>
          <w:p w14:paraId="6625CD29" w14:textId="3D1D9F0F" w:rsidR="00DD0AA0" w:rsidRPr="00064185" w:rsidRDefault="00672327" w:rsidP="00EA61D8">
            <w:pPr>
              <w:rPr>
                <w:rFonts w:ascii="Arial" w:hAnsi="Arial" w:cs="Arial"/>
                <w:sz w:val="24"/>
                <w:szCs w:val="24"/>
              </w:rPr>
            </w:pPr>
            <w:r w:rsidRPr="00064185">
              <w:rPr>
                <w:rFonts w:cs="Arial"/>
                <w:szCs w:val="24"/>
              </w:rPr>
              <w:t>N/S</w:t>
            </w:r>
          </w:p>
        </w:tc>
        <w:tc>
          <w:tcPr>
            <w:tcW w:w="3889" w:type="dxa"/>
            <w:tcBorders>
              <w:top w:val="single" w:sz="4" w:space="0" w:color="auto"/>
              <w:left w:val="single" w:sz="4" w:space="0" w:color="auto"/>
              <w:bottom w:val="single" w:sz="4" w:space="0" w:color="auto"/>
              <w:right w:val="single" w:sz="4" w:space="0" w:color="auto"/>
            </w:tcBorders>
            <w:hideMark/>
          </w:tcPr>
          <w:p w14:paraId="533C9E05" w14:textId="77777777" w:rsidR="00DD0AA0" w:rsidRPr="00064185" w:rsidRDefault="00DD0AA0" w:rsidP="00EA61D8">
            <w:pPr>
              <w:rPr>
                <w:rFonts w:ascii="Arial" w:hAnsi="Arial" w:cs="Arial"/>
                <w:sz w:val="24"/>
                <w:szCs w:val="24"/>
              </w:rPr>
            </w:pPr>
            <w:r w:rsidRPr="00064185">
              <w:rPr>
                <w:rFonts w:cs="Arial"/>
                <w:szCs w:val="24"/>
              </w:rPr>
              <w:t>24 cm</w:t>
            </w:r>
          </w:p>
        </w:tc>
      </w:tr>
      <w:tr w:rsidR="00064185" w:rsidRPr="00064185" w14:paraId="63E395D9" w14:textId="77777777" w:rsidTr="00164E37">
        <w:trPr>
          <w:trHeight w:val="1008"/>
        </w:trPr>
        <w:tc>
          <w:tcPr>
            <w:tcW w:w="3296" w:type="dxa"/>
            <w:tcBorders>
              <w:top w:val="single" w:sz="4" w:space="0" w:color="auto"/>
              <w:left w:val="single" w:sz="4" w:space="0" w:color="auto"/>
              <w:bottom w:val="single" w:sz="4" w:space="0" w:color="auto"/>
              <w:right w:val="single" w:sz="4" w:space="0" w:color="auto"/>
            </w:tcBorders>
            <w:hideMark/>
          </w:tcPr>
          <w:p w14:paraId="7485B99C" w14:textId="77777777" w:rsidR="00DD0AA0" w:rsidRPr="00064185" w:rsidRDefault="00DD0AA0" w:rsidP="00EA61D8">
            <w:pPr>
              <w:rPr>
                <w:rFonts w:ascii="Arial" w:hAnsi="Arial" w:cs="Arial"/>
                <w:b/>
                <w:i/>
                <w:sz w:val="24"/>
                <w:szCs w:val="24"/>
              </w:rPr>
            </w:pPr>
            <w:r w:rsidRPr="00064185">
              <w:rPr>
                <w:rFonts w:cs="Arial"/>
                <w:b/>
                <w:i/>
                <w:szCs w:val="24"/>
              </w:rPr>
              <w:t>surface covered:</w:t>
            </w:r>
          </w:p>
          <w:p w14:paraId="492E89E3" w14:textId="77777777" w:rsidR="00DD0AA0" w:rsidRPr="00064185" w:rsidRDefault="00DD0AA0" w:rsidP="00EA61D8">
            <w:pPr>
              <w:rPr>
                <w:rFonts w:ascii="Arial" w:hAnsi="Arial" w:cs="Arial"/>
                <w:sz w:val="24"/>
                <w:szCs w:val="24"/>
              </w:rPr>
            </w:pPr>
            <w:r w:rsidRPr="00064185">
              <w:rPr>
                <w:rFonts w:cs="Arial"/>
                <w:szCs w:val="24"/>
              </w:rPr>
              <w:t>insects kept inside:</w:t>
            </w:r>
          </w:p>
        </w:tc>
        <w:tc>
          <w:tcPr>
            <w:tcW w:w="3297" w:type="dxa"/>
            <w:tcBorders>
              <w:top w:val="single" w:sz="4" w:space="0" w:color="auto"/>
              <w:left w:val="single" w:sz="4" w:space="0" w:color="auto"/>
              <w:bottom w:val="single" w:sz="4" w:space="0" w:color="auto"/>
              <w:right w:val="single" w:sz="4" w:space="0" w:color="auto"/>
            </w:tcBorders>
          </w:tcPr>
          <w:p w14:paraId="196C98D1" w14:textId="77777777" w:rsidR="00DD0AA0" w:rsidRPr="00064185" w:rsidRDefault="00DD0AA0" w:rsidP="00EA61D8">
            <w:pPr>
              <w:rPr>
                <w:rFonts w:ascii="Arial" w:hAnsi="Arial" w:cs="Arial"/>
                <w:sz w:val="24"/>
                <w:szCs w:val="24"/>
              </w:rPr>
            </w:pPr>
          </w:p>
          <w:p w14:paraId="762F4B1C" w14:textId="77777777" w:rsidR="00DD0AA0" w:rsidRPr="00064185" w:rsidRDefault="00DD0AA0" w:rsidP="00EA61D8">
            <w:pPr>
              <w:rPr>
                <w:rFonts w:cs="Arial"/>
                <w:szCs w:val="24"/>
              </w:rPr>
            </w:pPr>
            <w:r w:rsidRPr="00064185">
              <w:rPr>
                <w:rFonts w:cs="Arial"/>
                <w:szCs w:val="24"/>
              </w:rPr>
              <w:t>glass ring, 9 cm diameter</w:t>
            </w:r>
          </w:p>
          <w:p w14:paraId="0F61726D" w14:textId="77777777" w:rsidR="00DD0AA0" w:rsidRPr="00064185" w:rsidRDefault="00DD0AA0" w:rsidP="00EA61D8">
            <w:pPr>
              <w:rPr>
                <w:rFonts w:cs="Arial"/>
                <w:szCs w:val="24"/>
              </w:rPr>
            </w:pPr>
            <w:r w:rsidRPr="00064185">
              <w:rPr>
                <w:rFonts w:cs="Arial"/>
                <w:szCs w:val="24"/>
              </w:rPr>
              <w:t>surface inside: 63.6 cm²</w:t>
            </w:r>
          </w:p>
          <w:p w14:paraId="286F7FD0" w14:textId="77777777" w:rsidR="00DD0AA0" w:rsidRPr="00064185" w:rsidRDefault="00DD0AA0" w:rsidP="00EA61D8">
            <w:pPr>
              <w:rPr>
                <w:rFonts w:ascii="Arial" w:hAnsi="Arial" w:cs="Arial"/>
                <w:sz w:val="24"/>
                <w:szCs w:val="24"/>
              </w:rPr>
            </w:pPr>
            <w:r w:rsidRPr="00064185">
              <w:rPr>
                <w:rFonts w:cs="Arial"/>
                <w:szCs w:val="24"/>
              </w:rPr>
              <w:t>treated with 0.78 g product</w:t>
            </w:r>
          </w:p>
        </w:tc>
        <w:tc>
          <w:tcPr>
            <w:tcW w:w="3637" w:type="dxa"/>
            <w:tcBorders>
              <w:top w:val="single" w:sz="4" w:space="0" w:color="auto"/>
              <w:left w:val="single" w:sz="4" w:space="0" w:color="auto"/>
              <w:bottom w:val="single" w:sz="4" w:space="0" w:color="auto"/>
              <w:right w:val="single" w:sz="4" w:space="0" w:color="auto"/>
            </w:tcBorders>
          </w:tcPr>
          <w:p w14:paraId="58871B96" w14:textId="77777777" w:rsidR="00DD0AA0" w:rsidRPr="00064185" w:rsidRDefault="00DD0AA0" w:rsidP="00EA61D8">
            <w:pPr>
              <w:rPr>
                <w:rFonts w:ascii="Arial" w:hAnsi="Arial" w:cs="Arial"/>
                <w:sz w:val="24"/>
                <w:szCs w:val="24"/>
              </w:rPr>
            </w:pPr>
          </w:p>
          <w:p w14:paraId="523A3F34" w14:textId="77777777" w:rsidR="00DD0AA0" w:rsidRPr="00064185" w:rsidRDefault="00DD0AA0" w:rsidP="00EA61D8">
            <w:pPr>
              <w:rPr>
                <w:rFonts w:cs="Arial"/>
                <w:szCs w:val="24"/>
              </w:rPr>
            </w:pPr>
            <w:r w:rsidRPr="00064185">
              <w:rPr>
                <w:rFonts w:cs="Arial"/>
                <w:szCs w:val="24"/>
              </w:rPr>
              <w:t>petri dishes, diameter 14.5 cm</w:t>
            </w:r>
          </w:p>
          <w:p w14:paraId="1F979572" w14:textId="77777777" w:rsidR="00DD0AA0" w:rsidRPr="00064185" w:rsidRDefault="00DD0AA0" w:rsidP="00EA61D8">
            <w:pPr>
              <w:rPr>
                <w:rFonts w:cs="Arial"/>
                <w:szCs w:val="24"/>
              </w:rPr>
            </w:pPr>
            <w:r w:rsidRPr="00064185">
              <w:rPr>
                <w:rFonts w:cs="Arial"/>
                <w:szCs w:val="24"/>
              </w:rPr>
              <w:t>surface inside: 165.1 cm²</w:t>
            </w:r>
          </w:p>
          <w:p w14:paraId="154CEAF1" w14:textId="77777777" w:rsidR="00DD0AA0" w:rsidRPr="00064185" w:rsidRDefault="00DD0AA0" w:rsidP="00EA61D8">
            <w:pPr>
              <w:rPr>
                <w:rFonts w:ascii="Arial" w:hAnsi="Arial" w:cs="Arial"/>
                <w:sz w:val="24"/>
                <w:szCs w:val="24"/>
              </w:rPr>
            </w:pPr>
            <w:r w:rsidRPr="00064185">
              <w:rPr>
                <w:rFonts w:cs="Arial"/>
                <w:szCs w:val="24"/>
              </w:rPr>
              <w:t>treated with: 2.8 g product</w:t>
            </w:r>
          </w:p>
        </w:tc>
        <w:tc>
          <w:tcPr>
            <w:tcW w:w="3889" w:type="dxa"/>
            <w:tcBorders>
              <w:top w:val="single" w:sz="4" w:space="0" w:color="auto"/>
              <w:left w:val="single" w:sz="4" w:space="0" w:color="auto"/>
              <w:bottom w:val="single" w:sz="4" w:space="0" w:color="auto"/>
              <w:right w:val="single" w:sz="4" w:space="0" w:color="auto"/>
            </w:tcBorders>
          </w:tcPr>
          <w:p w14:paraId="42DDDFB1" w14:textId="77777777" w:rsidR="00DD0AA0" w:rsidRPr="00064185" w:rsidRDefault="00DD0AA0" w:rsidP="00EA61D8">
            <w:pPr>
              <w:rPr>
                <w:rFonts w:ascii="Arial" w:hAnsi="Arial" w:cs="Arial"/>
                <w:sz w:val="24"/>
                <w:szCs w:val="24"/>
              </w:rPr>
            </w:pPr>
            <w:r w:rsidRPr="00064185">
              <w:rPr>
                <w:rFonts w:cs="Arial"/>
                <w:szCs w:val="24"/>
              </w:rPr>
              <w:t>452.4 cm²</w:t>
            </w:r>
          </w:p>
          <w:p w14:paraId="54DB4F5C" w14:textId="77777777" w:rsidR="00DD0AA0" w:rsidRPr="00064185" w:rsidRDefault="00DD0AA0" w:rsidP="00EA61D8">
            <w:pPr>
              <w:rPr>
                <w:rFonts w:cs="Arial"/>
                <w:szCs w:val="24"/>
              </w:rPr>
            </w:pPr>
          </w:p>
          <w:p w14:paraId="7C804FE3" w14:textId="77777777" w:rsidR="00DD0AA0" w:rsidRPr="00064185" w:rsidRDefault="00DD0AA0" w:rsidP="00EA61D8">
            <w:pPr>
              <w:rPr>
                <w:rFonts w:cs="Arial"/>
                <w:szCs w:val="24"/>
              </w:rPr>
            </w:pPr>
          </w:p>
          <w:p w14:paraId="6185C501" w14:textId="77777777" w:rsidR="00DD0AA0" w:rsidRPr="00064185" w:rsidRDefault="00DD0AA0" w:rsidP="00EA61D8">
            <w:pPr>
              <w:rPr>
                <w:rFonts w:ascii="Arial" w:hAnsi="Arial" w:cs="Arial"/>
                <w:sz w:val="24"/>
                <w:szCs w:val="24"/>
              </w:rPr>
            </w:pPr>
            <w:r w:rsidRPr="00064185">
              <w:rPr>
                <w:rFonts w:cs="Arial"/>
                <w:szCs w:val="24"/>
              </w:rPr>
              <w:t>0.78 g/stroke</w:t>
            </w:r>
          </w:p>
        </w:tc>
      </w:tr>
      <w:tr w:rsidR="00064185" w:rsidRPr="00064185" w14:paraId="63C7C66B" w14:textId="77777777" w:rsidTr="00164E37">
        <w:trPr>
          <w:trHeight w:val="236"/>
        </w:trPr>
        <w:tc>
          <w:tcPr>
            <w:tcW w:w="3296" w:type="dxa"/>
            <w:tcBorders>
              <w:top w:val="single" w:sz="4" w:space="0" w:color="auto"/>
              <w:left w:val="single" w:sz="4" w:space="0" w:color="auto"/>
              <w:bottom w:val="single" w:sz="4" w:space="0" w:color="auto"/>
              <w:right w:val="single" w:sz="4" w:space="0" w:color="auto"/>
            </w:tcBorders>
            <w:hideMark/>
          </w:tcPr>
          <w:p w14:paraId="2CF8818C" w14:textId="77777777" w:rsidR="00DD0AA0" w:rsidRPr="00064185" w:rsidRDefault="00DD0AA0" w:rsidP="00EA61D8">
            <w:pPr>
              <w:rPr>
                <w:rFonts w:ascii="Arial" w:hAnsi="Arial" w:cs="Arial"/>
                <w:sz w:val="24"/>
                <w:szCs w:val="24"/>
              </w:rPr>
            </w:pPr>
            <w:r w:rsidRPr="00064185">
              <w:rPr>
                <w:rFonts w:cs="Arial"/>
                <w:szCs w:val="24"/>
              </w:rPr>
              <w:t>grams product / cm²</w:t>
            </w:r>
          </w:p>
        </w:tc>
        <w:tc>
          <w:tcPr>
            <w:tcW w:w="3297" w:type="dxa"/>
            <w:tcBorders>
              <w:top w:val="single" w:sz="4" w:space="0" w:color="auto"/>
              <w:left w:val="single" w:sz="4" w:space="0" w:color="auto"/>
              <w:bottom w:val="single" w:sz="4" w:space="0" w:color="auto"/>
              <w:right w:val="single" w:sz="4" w:space="0" w:color="auto"/>
            </w:tcBorders>
            <w:hideMark/>
          </w:tcPr>
          <w:p w14:paraId="548E97EC" w14:textId="77777777" w:rsidR="00DD0AA0" w:rsidRPr="00064185" w:rsidRDefault="00DD0AA0" w:rsidP="00EA61D8">
            <w:pPr>
              <w:rPr>
                <w:rFonts w:ascii="Arial" w:hAnsi="Arial" w:cs="Arial"/>
                <w:sz w:val="24"/>
                <w:szCs w:val="24"/>
              </w:rPr>
            </w:pPr>
            <w:r w:rsidRPr="00064185">
              <w:rPr>
                <w:rFonts w:cs="Arial"/>
                <w:szCs w:val="24"/>
              </w:rPr>
              <w:t>0.0123 g/cm²</w:t>
            </w:r>
          </w:p>
        </w:tc>
        <w:tc>
          <w:tcPr>
            <w:tcW w:w="3637" w:type="dxa"/>
            <w:tcBorders>
              <w:top w:val="single" w:sz="4" w:space="0" w:color="auto"/>
              <w:left w:val="single" w:sz="4" w:space="0" w:color="auto"/>
              <w:bottom w:val="single" w:sz="4" w:space="0" w:color="auto"/>
              <w:right w:val="single" w:sz="4" w:space="0" w:color="auto"/>
            </w:tcBorders>
            <w:hideMark/>
          </w:tcPr>
          <w:p w14:paraId="7D671E2F" w14:textId="77777777" w:rsidR="00DD0AA0" w:rsidRPr="00064185" w:rsidRDefault="00DD0AA0" w:rsidP="00EA61D8">
            <w:pPr>
              <w:rPr>
                <w:rFonts w:ascii="Arial" w:hAnsi="Arial" w:cs="Arial"/>
                <w:sz w:val="24"/>
                <w:szCs w:val="24"/>
              </w:rPr>
            </w:pPr>
            <w:r w:rsidRPr="00064185">
              <w:rPr>
                <w:rFonts w:cs="Arial"/>
                <w:szCs w:val="24"/>
              </w:rPr>
              <w:t>0.017 g/cm²</w:t>
            </w:r>
          </w:p>
        </w:tc>
        <w:tc>
          <w:tcPr>
            <w:tcW w:w="3889" w:type="dxa"/>
            <w:tcBorders>
              <w:top w:val="single" w:sz="4" w:space="0" w:color="auto"/>
              <w:left w:val="single" w:sz="4" w:space="0" w:color="auto"/>
              <w:bottom w:val="single" w:sz="4" w:space="0" w:color="auto"/>
              <w:right w:val="single" w:sz="4" w:space="0" w:color="auto"/>
            </w:tcBorders>
            <w:hideMark/>
          </w:tcPr>
          <w:p w14:paraId="77FDEF07" w14:textId="77777777" w:rsidR="00DD0AA0" w:rsidRPr="00064185" w:rsidRDefault="00DD0AA0" w:rsidP="00EA61D8">
            <w:pPr>
              <w:rPr>
                <w:rFonts w:ascii="Arial" w:hAnsi="Arial" w:cs="Arial"/>
                <w:sz w:val="24"/>
                <w:szCs w:val="24"/>
              </w:rPr>
            </w:pPr>
            <w:r w:rsidRPr="00064185">
              <w:rPr>
                <w:rFonts w:cs="Arial"/>
                <w:szCs w:val="24"/>
              </w:rPr>
              <w:t>0.0017 g/cm² per stroke</w:t>
            </w:r>
          </w:p>
        </w:tc>
      </w:tr>
      <w:tr w:rsidR="00064185" w:rsidRPr="00064185" w14:paraId="0B97561F" w14:textId="77777777" w:rsidTr="00164E37">
        <w:trPr>
          <w:trHeight w:val="275"/>
        </w:trPr>
        <w:tc>
          <w:tcPr>
            <w:tcW w:w="3296" w:type="dxa"/>
            <w:tcBorders>
              <w:top w:val="single" w:sz="4" w:space="0" w:color="auto"/>
              <w:left w:val="single" w:sz="4" w:space="0" w:color="auto"/>
              <w:bottom w:val="single" w:sz="4" w:space="0" w:color="auto"/>
              <w:right w:val="single" w:sz="4" w:space="0" w:color="auto"/>
            </w:tcBorders>
          </w:tcPr>
          <w:p w14:paraId="0213DFDA" w14:textId="77777777" w:rsidR="00DD0AA0" w:rsidRPr="00064185" w:rsidRDefault="00DD0AA0" w:rsidP="00EA61D8">
            <w:pPr>
              <w:rPr>
                <w:rFonts w:ascii="Arial" w:hAnsi="Arial" w:cs="Arial"/>
                <w:sz w:val="24"/>
                <w:szCs w:val="24"/>
              </w:rPr>
            </w:pPr>
          </w:p>
        </w:tc>
        <w:tc>
          <w:tcPr>
            <w:tcW w:w="3297" w:type="dxa"/>
            <w:tcBorders>
              <w:top w:val="single" w:sz="4" w:space="0" w:color="auto"/>
              <w:left w:val="single" w:sz="4" w:space="0" w:color="auto"/>
              <w:bottom w:val="single" w:sz="4" w:space="0" w:color="auto"/>
              <w:right w:val="single" w:sz="4" w:space="0" w:color="auto"/>
            </w:tcBorders>
          </w:tcPr>
          <w:p w14:paraId="4F7F4DAA" w14:textId="77777777" w:rsidR="00DD0AA0" w:rsidRPr="00064185" w:rsidRDefault="00DD0AA0" w:rsidP="00EA61D8">
            <w:pPr>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1D357B0" w14:textId="77777777" w:rsidR="00DD0AA0" w:rsidRPr="00064185" w:rsidRDefault="00DD0AA0" w:rsidP="00EA61D8">
            <w:pPr>
              <w:rPr>
                <w:rFonts w:ascii="Arial" w:hAnsi="Arial" w:cs="Arial"/>
                <w:sz w:val="24"/>
                <w:szCs w:val="24"/>
              </w:rPr>
            </w:pPr>
          </w:p>
        </w:tc>
        <w:tc>
          <w:tcPr>
            <w:tcW w:w="3889" w:type="dxa"/>
            <w:tcBorders>
              <w:top w:val="single" w:sz="4" w:space="0" w:color="auto"/>
              <w:left w:val="single" w:sz="4" w:space="0" w:color="auto"/>
              <w:bottom w:val="single" w:sz="4" w:space="0" w:color="auto"/>
              <w:right w:val="single" w:sz="4" w:space="0" w:color="auto"/>
            </w:tcBorders>
          </w:tcPr>
          <w:p w14:paraId="03D7DF1F" w14:textId="77777777" w:rsidR="00DD0AA0" w:rsidRPr="00064185" w:rsidRDefault="00DD0AA0" w:rsidP="00EA61D8">
            <w:pPr>
              <w:rPr>
                <w:rFonts w:ascii="Arial" w:hAnsi="Arial" w:cs="Arial"/>
                <w:sz w:val="24"/>
                <w:szCs w:val="24"/>
              </w:rPr>
            </w:pPr>
          </w:p>
        </w:tc>
      </w:tr>
      <w:tr w:rsidR="00064185" w:rsidRPr="00064185" w14:paraId="615B2BFF" w14:textId="77777777" w:rsidTr="00164E37">
        <w:trPr>
          <w:trHeight w:val="275"/>
        </w:trPr>
        <w:tc>
          <w:tcPr>
            <w:tcW w:w="3296" w:type="dxa"/>
            <w:tcBorders>
              <w:top w:val="single" w:sz="4" w:space="0" w:color="auto"/>
              <w:left w:val="single" w:sz="4" w:space="0" w:color="auto"/>
              <w:bottom w:val="single" w:sz="4" w:space="0" w:color="auto"/>
              <w:right w:val="single" w:sz="4" w:space="0" w:color="auto"/>
            </w:tcBorders>
            <w:hideMark/>
          </w:tcPr>
          <w:p w14:paraId="47CF9D08" w14:textId="77777777" w:rsidR="00DD0AA0" w:rsidRPr="00064185" w:rsidRDefault="00DD0AA0" w:rsidP="00EA61D8">
            <w:pPr>
              <w:rPr>
                <w:rFonts w:ascii="Arial" w:hAnsi="Arial" w:cs="Arial"/>
                <w:b/>
                <w:sz w:val="24"/>
                <w:szCs w:val="24"/>
              </w:rPr>
            </w:pPr>
            <w:r w:rsidRPr="00064185">
              <w:rPr>
                <w:rFonts w:cs="Arial"/>
                <w:b/>
                <w:szCs w:val="24"/>
              </w:rPr>
              <w:t>residual spray treatment</w:t>
            </w:r>
          </w:p>
        </w:tc>
        <w:tc>
          <w:tcPr>
            <w:tcW w:w="3297" w:type="dxa"/>
            <w:tcBorders>
              <w:top w:val="single" w:sz="4" w:space="0" w:color="auto"/>
              <w:left w:val="single" w:sz="4" w:space="0" w:color="auto"/>
              <w:bottom w:val="single" w:sz="4" w:space="0" w:color="auto"/>
              <w:right w:val="single" w:sz="4" w:space="0" w:color="auto"/>
            </w:tcBorders>
          </w:tcPr>
          <w:p w14:paraId="02C81779" w14:textId="77777777" w:rsidR="00DD0AA0" w:rsidRPr="00064185" w:rsidRDefault="00DD0AA0" w:rsidP="00EA61D8">
            <w:pPr>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392F15" w14:textId="77777777" w:rsidR="00DD0AA0" w:rsidRPr="00064185" w:rsidRDefault="00DD0AA0" w:rsidP="00EA61D8">
            <w:pPr>
              <w:rPr>
                <w:rFonts w:ascii="Arial" w:hAnsi="Arial" w:cs="Arial"/>
                <w:sz w:val="24"/>
                <w:szCs w:val="24"/>
              </w:rPr>
            </w:pPr>
          </w:p>
        </w:tc>
        <w:tc>
          <w:tcPr>
            <w:tcW w:w="3889" w:type="dxa"/>
            <w:tcBorders>
              <w:top w:val="single" w:sz="4" w:space="0" w:color="auto"/>
              <w:left w:val="single" w:sz="4" w:space="0" w:color="auto"/>
              <w:bottom w:val="single" w:sz="4" w:space="0" w:color="auto"/>
              <w:right w:val="single" w:sz="4" w:space="0" w:color="auto"/>
            </w:tcBorders>
          </w:tcPr>
          <w:p w14:paraId="19D02654" w14:textId="77777777" w:rsidR="00DD0AA0" w:rsidRPr="00064185" w:rsidRDefault="00DD0AA0" w:rsidP="00EA61D8">
            <w:pPr>
              <w:rPr>
                <w:rFonts w:ascii="Arial" w:hAnsi="Arial" w:cs="Arial"/>
                <w:sz w:val="24"/>
                <w:szCs w:val="24"/>
              </w:rPr>
            </w:pPr>
          </w:p>
        </w:tc>
      </w:tr>
      <w:tr w:rsidR="00064185" w:rsidRPr="00064185" w14:paraId="370DF378" w14:textId="77777777" w:rsidTr="00164E37">
        <w:trPr>
          <w:trHeight w:val="236"/>
        </w:trPr>
        <w:tc>
          <w:tcPr>
            <w:tcW w:w="3296" w:type="dxa"/>
            <w:tcBorders>
              <w:top w:val="single" w:sz="4" w:space="0" w:color="auto"/>
              <w:left w:val="single" w:sz="4" w:space="0" w:color="auto"/>
              <w:bottom w:val="single" w:sz="4" w:space="0" w:color="auto"/>
              <w:right w:val="single" w:sz="4" w:space="0" w:color="auto"/>
            </w:tcBorders>
            <w:hideMark/>
          </w:tcPr>
          <w:p w14:paraId="01B3BA6B" w14:textId="77777777" w:rsidR="00DD0AA0" w:rsidRPr="00064185" w:rsidRDefault="00DD0AA0" w:rsidP="00EA61D8">
            <w:pPr>
              <w:rPr>
                <w:rFonts w:ascii="Arial" w:hAnsi="Arial" w:cs="Arial"/>
                <w:sz w:val="24"/>
                <w:szCs w:val="24"/>
              </w:rPr>
            </w:pPr>
            <w:r w:rsidRPr="00064185">
              <w:rPr>
                <w:rFonts w:cs="Arial"/>
                <w:szCs w:val="24"/>
              </w:rPr>
              <w:t>quantity of product</w:t>
            </w:r>
          </w:p>
        </w:tc>
        <w:tc>
          <w:tcPr>
            <w:tcW w:w="3297" w:type="dxa"/>
            <w:tcBorders>
              <w:top w:val="single" w:sz="4" w:space="0" w:color="auto"/>
              <w:left w:val="single" w:sz="4" w:space="0" w:color="auto"/>
              <w:bottom w:val="single" w:sz="4" w:space="0" w:color="auto"/>
              <w:right w:val="single" w:sz="4" w:space="0" w:color="auto"/>
            </w:tcBorders>
            <w:hideMark/>
          </w:tcPr>
          <w:p w14:paraId="67035A1C" w14:textId="77777777" w:rsidR="00DD0AA0" w:rsidRPr="00064185" w:rsidRDefault="00DD0AA0" w:rsidP="00EA61D8">
            <w:pPr>
              <w:rPr>
                <w:rFonts w:ascii="Arial" w:hAnsi="Arial" w:cs="Arial"/>
                <w:sz w:val="24"/>
                <w:szCs w:val="24"/>
              </w:rPr>
            </w:pPr>
            <w:r w:rsidRPr="00064185">
              <w:rPr>
                <w:rFonts w:cs="Arial"/>
                <w:szCs w:val="24"/>
              </w:rPr>
              <w:t>7 g (5 seconds spray)</w:t>
            </w:r>
          </w:p>
        </w:tc>
        <w:tc>
          <w:tcPr>
            <w:tcW w:w="3637" w:type="dxa"/>
            <w:tcBorders>
              <w:top w:val="single" w:sz="4" w:space="0" w:color="auto"/>
              <w:left w:val="single" w:sz="4" w:space="0" w:color="auto"/>
              <w:bottom w:val="single" w:sz="4" w:space="0" w:color="auto"/>
              <w:right w:val="single" w:sz="4" w:space="0" w:color="auto"/>
            </w:tcBorders>
            <w:hideMark/>
          </w:tcPr>
          <w:p w14:paraId="06A4C9B5" w14:textId="77777777" w:rsidR="00DD0AA0" w:rsidRPr="00064185" w:rsidRDefault="00DD0AA0" w:rsidP="00EA61D8">
            <w:pPr>
              <w:rPr>
                <w:rFonts w:ascii="Arial" w:hAnsi="Arial" w:cs="Arial"/>
                <w:sz w:val="24"/>
                <w:szCs w:val="24"/>
              </w:rPr>
            </w:pPr>
            <w:r w:rsidRPr="00064185">
              <w:rPr>
                <w:rFonts w:cs="Arial"/>
                <w:szCs w:val="24"/>
              </w:rPr>
              <w:t>2.8 g</w:t>
            </w:r>
          </w:p>
        </w:tc>
        <w:tc>
          <w:tcPr>
            <w:tcW w:w="3889" w:type="dxa"/>
            <w:tcBorders>
              <w:top w:val="single" w:sz="4" w:space="0" w:color="auto"/>
              <w:left w:val="single" w:sz="4" w:space="0" w:color="auto"/>
              <w:bottom w:val="single" w:sz="4" w:space="0" w:color="auto"/>
              <w:right w:val="single" w:sz="4" w:space="0" w:color="auto"/>
            </w:tcBorders>
            <w:hideMark/>
          </w:tcPr>
          <w:p w14:paraId="7ADACD96" w14:textId="77777777" w:rsidR="00DD0AA0" w:rsidRPr="00064185" w:rsidRDefault="00DD0AA0" w:rsidP="00EA61D8">
            <w:pPr>
              <w:rPr>
                <w:rFonts w:ascii="Arial" w:hAnsi="Arial" w:cs="Arial"/>
                <w:sz w:val="24"/>
                <w:szCs w:val="24"/>
              </w:rPr>
            </w:pPr>
            <w:r w:rsidRPr="00064185">
              <w:rPr>
                <w:rFonts w:cs="Arial"/>
                <w:szCs w:val="24"/>
              </w:rPr>
              <w:t>0.78 g/stroke</w:t>
            </w:r>
          </w:p>
        </w:tc>
      </w:tr>
      <w:tr w:rsidR="00064185" w:rsidRPr="00064185" w14:paraId="10068014" w14:textId="77777777" w:rsidTr="00164E37">
        <w:trPr>
          <w:trHeight w:val="249"/>
        </w:trPr>
        <w:tc>
          <w:tcPr>
            <w:tcW w:w="3296" w:type="dxa"/>
            <w:tcBorders>
              <w:top w:val="single" w:sz="4" w:space="0" w:color="auto"/>
              <w:left w:val="single" w:sz="4" w:space="0" w:color="auto"/>
              <w:bottom w:val="single" w:sz="4" w:space="0" w:color="auto"/>
              <w:right w:val="single" w:sz="4" w:space="0" w:color="auto"/>
            </w:tcBorders>
            <w:hideMark/>
          </w:tcPr>
          <w:p w14:paraId="2D4225BA" w14:textId="77777777" w:rsidR="00DD0AA0" w:rsidRPr="00064185" w:rsidRDefault="00DD0AA0" w:rsidP="00EA61D8">
            <w:pPr>
              <w:rPr>
                <w:rFonts w:ascii="Arial" w:hAnsi="Arial" w:cs="Arial"/>
                <w:sz w:val="24"/>
                <w:szCs w:val="24"/>
              </w:rPr>
            </w:pPr>
            <w:r w:rsidRPr="00064185">
              <w:rPr>
                <w:rFonts w:cs="Arial"/>
                <w:szCs w:val="24"/>
              </w:rPr>
              <w:t>distance of spray</w:t>
            </w:r>
          </w:p>
        </w:tc>
        <w:tc>
          <w:tcPr>
            <w:tcW w:w="3297" w:type="dxa"/>
            <w:tcBorders>
              <w:top w:val="single" w:sz="4" w:space="0" w:color="auto"/>
              <w:left w:val="single" w:sz="4" w:space="0" w:color="auto"/>
              <w:bottom w:val="single" w:sz="4" w:space="0" w:color="auto"/>
              <w:right w:val="single" w:sz="4" w:space="0" w:color="auto"/>
            </w:tcBorders>
            <w:hideMark/>
          </w:tcPr>
          <w:p w14:paraId="5DAE0FF5" w14:textId="77777777" w:rsidR="00DD0AA0" w:rsidRPr="00064185" w:rsidRDefault="00DD0AA0" w:rsidP="00EA61D8">
            <w:pPr>
              <w:rPr>
                <w:rFonts w:ascii="Arial" w:hAnsi="Arial" w:cs="Arial"/>
                <w:sz w:val="24"/>
                <w:szCs w:val="24"/>
              </w:rPr>
            </w:pPr>
            <w:r w:rsidRPr="00064185">
              <w:rPr>
                <w:rFonts w:cs="Arial"/>
                <w:szCs w:val="24"/>
              </w:rPr>
              <w:t>25 cm</w:t>
            </w:r>
          </w:p>
        </w:tc>
        <w:tc>
          <w:tcPr>
            <w:tcW w:w="3637" w:type="dxa"/>
            <w:tcBorders>
              <w:top w:val="single" w:sz="4" w:space="0" w:color="auto"/>
              <w:left w:val="single" w:sz="4" w:space="0" w:color="auto"/>
              <w:bottom w:val="single" w:sz="4" w:space="0" w:color="auto"/>
              <w:right w:val="single" w:sz="4" w:space="0" w:color="auto"/>
            </w:tcBorders>
            <w:hideMark/>
          </w:tcPr>
          <w:p w14:paraId="79A71D77" w14:textId="77777777" w:rsidR="00DD0AA0" w:rsidRPr="00064185" w:rsidRDefault="00DD0AA0" w:rsidP="00EA61D8">
            <w:pPr>
              <w:rPr>
                <w:rFonts w:ascii="Arial" w:hAnsi="Arial" w:cs="Arial"/>
                <w:sz w:val="24"/>
                <w:szCs w:val="24"/>
              </w:rPr>
            </w:pPr>
            <w:r w:rsidRPr="00064185">
              <w:rPr>
                <w:rFonts w:cs="Arial"/>
                <w:szCs w:val="24"/>
              </w:rPr>
              <w:t>40 cm</w:t>
            </w:r>
          </w:p>
        </w:tc>
        <w:tc>
          <w:tcPr>
            <w:tcW w:w="3889" w:type="dxa"/>
            <w:tcBorders>
              <w:top w:val="single" w:sz="4" w:space="0" w:color="auto"/>
              <w:left w:val="single" w:sz="4" w:space="0" w:color="auto"/>
              <w:bottom w:val="single" w:sz="4" w:space="0" w:color="auto"/>
              <w:right w:val="single" w:sz="4" w:space="0" w:color="auto"/>
            </w:tcBorders>
            <w:hideMark/>
          </w:tcPr>
          <w:p w14:paraId="1B225AEA" w14:textId="77777777" w:rsidR="00DD0AA0" w:rsidRPr="00064185" w:rsidRDefault="00DD0AA0" w:rsidP="00EA61D8">
            <w:pPr>
              <w:rPr>
                <w:rFonts w:ascii="Arial" w:hAnsi="Arial" w:cs="Arial"/>
                <w:sz w:val="24"/>
                <w:szCs w:val="24"/>
              </w:rPr>
            </w:pPr>
            <w:r w:rsidRPr="00064185">
              <w:rPr>
                <w:rFonts w:cs="Arial"/>
                <w:szCs w:val="24"/>
              </w:rPr>
              <w:t>30 cm</w:t>
            </w:r>
          </w:p>
        </w:tc>
      </w:tr>
      <w:tr w:rsidR="00064185" w:rsidRPr="00064185" w14:paraId="29C429D4" w14:textId="77777777" w:rsidTr="00164E37">
        <w:trPr>
          <w:trHeight w:val="236"/>
        </w:trPr>
        <w:tc>
          <w:tcPr>
            <w:tcW w:w="3296" w:type="dxa"/>
            <w:tcBorders>
              <w:top w:val="single" w:sz="4" w:space="0" w:color="auto"/>
              <w:left w:val="single" w:sz="4" w:space="0" w:color="auto"/>
              <w:bottom w:val="single" w:sz="4" w:space="0" w:color="auto"/>
              <w:right w:val="single" w:sz="4" w:space="0" w:color="auto"/>
            </w:tcBorders>
            <w:hideMark/>
          </w:tcPr>
          <w:p w14:paraId="646C342A" w14:textId="77777777" w:rsidR="00DD0AA0" w:rsidRPr="00064185" w:rsidRDefault="00DD0AA0" w:rsidP="00EA61D8">
            <w:pPr>
              <w:rPr>
                <w:rFonts w:ascii="Arial" w:hAnsi="Arial" w:cs="Arial"/>
                <w:sz w:val="24"/>
                <w:szCs w:val="24"/>
              </w:rPr>
            </w:pPr>
            <w:r w:rsidRPr="00064185">
              <w:rPr>
                <w:rFonts w:cs="Arial"/>
                <w:szCs w:val="24"/>
              </w:rPr>
              <w:t>spray diameter</w:t>
            </w:r>
          </w:p>
        </w:tc>
        <w:tc>
          <w:tcPr>
            <w:tcW w:w="3297" w:type="dxa"/>
            <w:tcBorders>
              <w:top w:val="single" w:sz="4" w:space="0" w:color="auto"/>
              <w:left w:val="single" w:sz="4" w:space="0" w:color="auto"/>
              <w:bottom w:val="single" w:sz="4" w:space="0" w:color="auto"/>
              <w:right w:val="single" w:sz="4" w:space="0" w:color="auto"/>
            </w:tcBorders>
            <w:hideMark/>
          </w:tcPr>
          <w:p w14:paraId="261A123D" w14:textId="77777777" w:rsidR="00DD0AA0" w:rsidRPr="00064185" w:rsidRDefault="00DD0AA0" w:rsidP="00EA61D8">
            <w:pPr>
              <w:rPr>
                <w:rFonts w:ascii="Arial" w:hAnsi="Arial" w:cs="Arial"/>
                <w:sz w:val="24"/>
                <w:szCs w:val="24"/>
              </w:rPr>
            </w:pPr>
            <w:r w:rsidRPr="00064185">
              <w:rPr>
                <w:rFonts w:cs="Arial"/>
                <w:szCs w:val="24"/>
              </w:rPr>
              <w:t>n.a.</w:t>
            </w:r>
          </w:p>
        </w:tc>
        <w:tc>
          <w:tcPr>
            <w:tcW w:w="3637" w:type="dxa"/>
            <w:tcBorders>
              <w:top w:val="single" w:sz="4" w:space="0" w:color="auto"/>
              <w:left w:val="single" w:sz="4" w:space="0" w:color="auto"/>
              <w:bottom w:val="single" w:sz="4" w:space="0" w:color="auto"/>
              <w:right w:val="single" w:sz="4" w:space="0" w:color="auto"/>
            </w:tcBorders>
            <w:hideMark/>
          </w:tcPr>
          <w:p w14:paraId="513A85FA" w14:textId="77777777" w:rsidR="00DD0AA0" w:rsidRPr="00064185" w:rsidRDefault="00DD0AA0" w:rsidP="00EA61D8">
            <w:pPr>
              <w:rPr>
                <w:rFonts w:ascii="Arial" w:hAnsi="Arial" w:cs="Arial"/>
                <w:sz w:val="24"/>
                <w:szCs w:val="24"/>
              </w:rPr>
            </w:pPr>
            <w:r w:rsidRPr="00064185">
              <w:rPr>
                <w:rFonts w:cs="Arial"/>
                <w:szCs w:val="24"/>
              </w:rPr>
              <w:t>11 cm</w:t>
            </w:r>
          </w:p>
        </w:tc>
        <w:tc>
          <w:tcPr>
            <w:tcW w:w="3889" w:type="dxa"/>
            <w:tcBorders>
              <w:top w:val="single" w:sz="4" w:space="0" w:color="auto"/>
              <w:left w:val="single" w:sz="4" w:space="0" w:color="auto"/>
              <w:bottom w:val="single" w:sz="4" w:space="0" w:color="auto"/>
              <w:right w:val="single" w:sz="4" w:space="0" w:color="auto"/>
            </w:tcBorders>
            <w:hideMark/>
          </w:tcPr>
          <w:p w14:paraId="4D329D2A" w14:textId="77777777" w:rsidR="00DD0AA0" w:rsidRPr="00064185" w:rsidRDefault="00DD0AA0" w:rsidP="00EA61D8">
            <w:pPr>
              <w:rPr>
                <w:rFonts w:ascii="Arial" w:hAnsi="Arial" w:cs="Arial"/>
                <w:sz w:val="24"/>
                <w:szCs w:val="24"/>
              </w:rPr>
            </w:pPr>
            <w:r w:rsidRPr="00064185">
              <w:rPr>
                <w:rFonts w:cs="Arial"/>
                <w:szCs w:val="24"/>
              </w:rPr>
              <w:t>24 cm</w:t>
            </w:r>
          </w:p>
        </w:tc>
      </w:tr>
      <w:tr w:rsidR="00064185" w:rsidRPr="00064185" w14:paraId="312A27C9" w14:textId="77777777" w:rsidTr="00164E37">
        <w:trPr>
          <w:trHeight w:val="1977"/>
        </w:trPr>
        <w:tc>
          <w:tcPr>
            <w:tcW w:w="3296" w:type="dxa"/>
            <w:tcBorders>
              <w:top w:val="single" w:sz="4" w:space="0" w:color="auto"/>
              <w:left w:val="single" w:sz="4" w:space="0" w:color="auto"/>
              <w:bottom w:val="single" w:sz="4" w:space="0" w:color="auto"/>
              <w:right w:val="single" w:sz="4" w:space="0" w:color="auto"/>
            </w:tcBorders>
            <w:hideMark/>
          </w:tcPr>
          <w:p w14:paraId="65856E20" w14:textId="77777777" w:rsidR="00DD0AA0" w:rsidRPr="00064185" w:rsidRDefault="00DD0AA0" w:rsidP="00EA61D8">
            <w:pPr>
              <w:rPr>
                <w:rFonts w:ascii="Arial" w:hAnsi="Arial" w:cs="Arial"/>
                <w:sz w:val="24"/>
                <w:szCs w:val="24"/>
              </w:rPr>
            </w:pPr>
            <w:r w:rsidRPr="00064185">
              <w:rPr>
                <w:rFonts w:cs="Arial"/>
                <w:szCs w:val="24"/>
              </w:rPr>
              <w:t>surface covered</w:t>
            </w:r>
          </w:p>
        </w:tc>
        <w:tc>
          <w:tcPr>
            <w:tcW w:w="3297" w:type="dxa"/>
            <w:tcBorders>
              <w:top w:val="single" w:sz="4" w:space="0" w:color="auto"/>
              <w:left w:val="single" w:sz="4" w:space="0" w:color="auto"/>
              <w:bottom w:val="single" w:sz="4" w:space="0" w:color="auto"/>
              <w:right w:val="single" w:sz="4" w:space="0" w:color="auto"/>
            </w:tcBorders>
          </w:tcPr>
          <w:p w14:paraId="4ADE9FBC" w14:textId="77777777" w:rsidR="00DD0AA0" w:rsidRPr="00064185" w:rsidRDefault="00DD0AA0" w:rsidP="00EA61D8">
            <w:pPr>
              <w:rPr>
                <w:rFonts w:ascii="Arial" w:hAnsi="Arial" w:cs="Arial"/>
                <w:sz w:val="24"/>
                <w:szCs w:val="24"/>
              </w:rPr>
            </w:pPr>
            <w:r w:rsidRPr="00064185">
              <w:rPr>
                <w:rFonts w:cs="Arial"/>
                <w:szCs w:val="24"/>
                <w:lang w:val="en-US"/>
              </w:rPr>
              <w:t>Tiles 1 linear meter</w:t>
            </w:r>
            <w:r w:rsidRPr="00064185">
              <w:rPr>
                <w:rFonts w:cs="Arial"/>
                <w:szCs w:val="24"/>
              </w:rPr>
              <w:t xml:space="preserve"> treated with 7.0 g product</w:t>
            </w:r>
            <w:r w:rsidRPr="00064185">
              <w:rPr>
                <w:rFonts w:cs="Arial"/>
                <w:szCs w:val="24"/>
                <w:lang w:val="en-US"/>
              </w:rPr>
              <w:t>, 1 tile 15 cm, application per tile 1.05 g</w:t>
            </w:r>
          </w:p>
          <w:p w14:paraId="59A2CE88" w14:textId="77777777" w:rsidR="00DD0AA0" w:rsidRPr="00064185" w:rsidRDefault="00DD0AA0" w:rsidP="00EA61D8">
            <w:pPr>
              <w:rPr>
                <w:rFonts w:cs="Arial"/>
                <w:szCs w:val="24"/>
              </w:rPr>
            </w:pPr>
            <w:r w:rsidRPr="00064185">
              <w:rPr>
                <w:rFonts w:cs="Arial"/>
                <w:szCs w:val="24"/>
              </w:rPr>
              <w:t>diameter of the glass ring on the tile 9 cm</w:t>
            </w:r>
          </w:p>
          <w:p w14:paraId="73A70123" w14:textId="728091F8" w:rsidR="001B0188" w:rsidRPr="00064185" w:rsidRDefault="00DD0AA0" w:rsidP="00EA61D8">
            <w:pPr>
              <w:rPr>
                <w:rFonts w:cs="Arial"/>
                <w:szCs w:val="24"/>
              </w:rPr>
            </w:pPr>
            <w:r w:rsidRPr="00064185">
              <w:rPr>
                <w:rFonts w:cs="Arial"/>
                <w:szCs w:val="24"/>
              </w:rPr>
              <w:t>surface inside: 63.</w:t>
            </w:r>
            <w:r w:rsidR="001B0188" w:rsidRPr="00064185">
              <w:rPr>
                <w:rFonts w:cs="Arial"/>
                <w:szCs w:val="24"/>
              </w:rPr>
              <w:t>6 cm²</w:t>
            </w:r>
          </w:p>
          <w:p w14:paraId="290E187C" w14:textId="1F0DE8C1" w:rsidR="00DD0AA0" w:rsidRPr="00064185" w:rsidRDefault="00DD0AA0" w:rsidP="00EA61D8">
            <w:pPr>
              <w:rPr>
                <w:rFonts w:cs="Arial"/>
                <w:szCs w:val="24"/>
              </w:rPr>
            </w:pPr>
            <w:r w:rsidRPr="00064185">
              <w:rPr>
                <w:rFonts w:cs="Arial"/>
                <w:szCs w:val="24"/>
              </w:rPr>
              <w:t>treated with: 0.63 g</w:t>
            </w:r>
          </w:p>
          <w:p w14:paraId="1CCE0FE3" w14:textId="77777777" w:rsidR="00DD0AA0" w:rsidRPr="00064185" w:rsidRDefault="00DD0AA0" w:rsidP="00EA61D8">
            <w:pPr>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hideMark/>
          </w:tcPr>
          <w:p w14:paraId="28442BD7" w14:textId="77777777" w:rsidR="00DD0AA0" w:rsidRPr="00064185" w:rsidRDefault="00DD0AA0" w:rsidP="00EA61D8">
            <w:pPr>
              <w:rPr>
                <w:rFonts w:ascii="Arial" w:hAnsi="Arial" w:cs="Arial"/>
                <w:sz w:val="24"/>
                <w:szCs w:val="24"/>
              </w:rPr>
            </w:pPr>
            <w:r w:rsidRPr="00064185">
              <w:rPr>
                <w:rFonts w:cs="Arial"/>
                <w:szCs w:val="24"/>
              </w:rPr>
              <w:t>Not the whole tiles (19.5 x 19.5 cm) were treated as tiles had to be fixed by adhesive tape, so it could be assumed that a surface of 17 x 17 cm, equal to 289 cm² was treated.</w:t>
            </w:r>
          </w:p>
        </w:tc>
        <w:tc>
          <w:tcPr>
            <w:tcW w:w="3889" w:type="dxa"/>
            <w:tcBorders>
              <w:top w:val="single" w:sz="4" w:space="0" w:color="auto"/>
              <w:left w:val="single" w:sz="4" w:space="0" w:color="auto"/>
              <w:bottom w:val="single" w:sz="4" w:space="0" w:color="auto"/>
              <w:right w:val="single" w:sz="4" w:space="0" w:color="auto"/>
            </w:tcBorders>
            <w:hideMark/>
          </w:tcPr>
          <w:p w14:paraId="5A52AFAB" w14:textId="41234A4B" w:rsidR="00DD0AA0" w:rsidRPr="00064185" w:rsidRDefault="00DD0AA0" w:rsidP="00EA61D8">
            <w:pPr>
              <w:rPr>
                <w:rFonts w:ascii="Arial" w:hAnsi="Arial" w:cs="Arial"/>
                <w:sz w:val="24"/>
                <w:szCs w:val="24"/>
              </w:rPr>
            </w:pPr>
            <w:r w:rsidRPr="00064185">
              <w:rPr>
                <w:rFonts w:cs="Arial"/>
                <w:szCs w:val="24"/>
              </w:rPr>
              <w:t>Actuating the trigger sprayer from a distance of ca 30 cm a surface of 452 cm² is treated  with 0.78 g: 452 cm²= 0.0017 g/cm² by one stroke</w:t>
            </w:r>
          </w:p>
        </w:tc>
      </w:tr>
      <w:tr w:rsidR="00064185" w:rsidRPr="00064185" w14:paraId="064BC370" w14:textId="77777777" w:rsidTr="00164E37">
        <w:trPr>
          <w:trHeight w:val="484"/>
        </w:trPr>
        <w:tc>
          <w:tcPr>
            <w:tcW w:w="3296" w:type="dxa"/>
            <w:tcBorders>
              <w:top w:val="single" w:sz="4" w:space="0" w:color="auto"/>
              <w:left w:val="single" w:sz="4" w:space="0" w:color="auto"/>
              <w:bottom w:val="single" w:sz="4" w:space="0" w:color="auto"/>
              <w:right w:val="single" w:sz="4" w:space="0" w:color="auto"/>
            </w:tcBorders>
            <w:hideMark/>
          </w:tcPr>
          <w:p w14:paraId="39451CBE" w14:textId="77777777" w:rsidR="00DD0AA0" w:rsidRPr="00064185" w:rsidRDefault="00DD0AA0" w:rsidP="00EA61D8">
            <w:pPr>
              <w:rPr>
                <w:rFonts w:ascii="Arial" w:hAnsi="Arial" w:cs="Arial"/>
                <w:b/>
                <w:sz w:val="24"/>
                <w:szCs w:val="24"/>
              </w:rPr>
            </w:pPr>
            <w:r w:rsidRPr="00064185">
              <w:rPr>
                <w:rFonts w:cs="Arial"/>
                <w:b/>
                <w:szCs w:val="24"/>
              </w:rPr>
              <w:t>grams product / cm²</w:t>
            </w:r>
          </w:p>
        </w:tc>
        <w:tc>
          <w:tcPr>
            <w:tcW w:w="3297" w:type="dxa"/>
            <w:tcBorders>
              <w:top w:val="single" w:sz="4" w:space="0" w:color="auto"/>
              <w:left w:val="single" w:sz="4" w:space="0" w:color="auto"/>
              <w:bottom w:val="single" w:sz="4" w:space="0" w:color="auto"/>
              <w:right w:val="single" w:sz="4" w:space="0" w:color="auto"/>
            </w:tcBorders>
            <w:hideMark/>
          </w:tcPr>
          <w:p w14:paraId="2B6C6CE2" w14:textId="77777777" w:rsidR="00DD0AA0" w:rsidRPr="00064185" w:rsidRDefault="00DD0AA0" w:rsidP="00EA61D8">
            <w:pPr>
              <w:rPr>
                <w:rFonts w:ascii="Arial" w:hAnsi="Arial" w:cs="Arial"/>
                <w:b/>
                <w:sz w:val="24"/>
                <w:szCs w:val="24"/>
              </w:rPr>
            </w:pPr>
            <w:r w:rsidRPr="00064185">
              <w:rPr>
                <w:rFonts w:cs="Arial"/>
                <w:b/>
                <w:szCs w:val="24"/>
              </w:rPr>
              <w:t>0.010 g/cm²</w:t>
            </w:r>
          </w:p>
        </w:tc>
        <w:tc>
          <w:tcPr>
            <w:tcW w:w="3637" w:type="dxa"/>
            <w:tcBorders>
              <w:top w:val="single" w:sz="4" w:space="0" w:color="auto"/>
              <w:left w:val="single" w:sz="4" w:space="0" w:color="auto"/>
              <w:bottom w:val="single" w:sz="4" w:space="0" w:color="auto"/>
              <w:right w:val="single" w:sz="4" w:space="0" w:color="auto"/>
            </w:tcBorders>
            <w:hideMark/>
          </w:tcPr>
          <w:p w14:paraId="7999D4FE" w14:textId="77777777" w:rsidR="00DD0AA0" w:rsidRPr="00064185" w:rsidRDefault="00DD0AA0" w:rsidP="00EA61D8">
            <w:pPr>
              <w:rPr>
                <w:rFonts w:ascii="Arial" w:hAnsi="Arial" w:cs="Arial"/>
                <w:b/>
                <w:sz w:val="24"/>
                <w:szCs w:val="24"/>
              </w:rPr>
            </w:pPr>
            <w:r w:rsidRPr="00064185">
              <w:rPr>
                <w:rFonts w:cs="Arial"/>
                <w:b/>
                <w:szCs w:val="24"/>
              </w:rPr>
              <w:t>0.010 g/cm²</w:t>
            </w:r>
          </w:p>
        </w:tc>
        <w:tc>
          <w:tcPr>
            <w:tcW w:w="3889" w:type="dxa"/>
            <w:tcBorders>
              <w:top w:val="single" w:sz="4" w:space="0" w:color="auto"/>
              <w:left w:val="single" w:sz="4" w:space="0" w:color="auto"/>
              <w:bottom w:val="single" w:sz="4" w:space="0" w:color="auto"/>
              <w:right w:val="single" w:sz="4" w:space="0" w:color="auto"/>
            </w:tcBorders>
            <w:hideMark/>
          </w:tcPr>
          <w:p w14:paraId="1D8D0BA3" w14:textId="77777777" w:rsidR="00DD0AA0" w:rsidRPr="00064185" w:rsidRDefault="00DD0AA0" w:rsidP="00EA61D8">
            <w:pPr>
              <w:rPr>
                <w:rFonts w:ascii="Arial" w:hAnsi="Arial" w:cs="Arial"/>
                <w:b/>
                <w:sz w:val="24"/>
                <w:szCs w:val="24"/>
              </w:rPr>
            </w:pPr>
            <w:r w:rsidRPr="00064185">
              <w:rPr>
                <w:rFonts w:cs="Arial"/>
                <w:b/>
                <w:szCs w:val="24"/>
              </w:rPr>
              <w:t>0.0017 g/cm² per stroke</w:t>
            </w:r>
          </w:p>
          <w:p w14:paraId="47042D54" w14:textId="77777777" w:rsidR="00DD0AA0" w:rsidRPr="00064185" w:rsidRDefault="00DD0AA0" w:rsidP="00EA61D8">
            <w:pPr>
              <w:rPr>
                <w:rFonts w:ascii="Arial" w:hAnsi="Arial" w:cs="Arial"/>
                <w:b/>
                <w:sz w:val="24"/>
                <w:szCs w:val="24"/>
              </w:rPr>
            </w:pPr>
            <w:r w:rsidRPr="00064185">
              <w:rPr>
                <w:rFonts w:cs="Arial"/>
                <w:b/>
                <w:szCs w:val="24"/>
              </w:rPr>
              <w:t>0.010 : 0.0017 = 5.88 strokes</w:t>
            </w:r>
          </w:p>
        </w:tc>
      </w:tr>
      <w:tr w:rsidR="00064185" w:rsidRPr="00064185" w14:paraId="78AF8CA4" w14:textId="77777777" w:rsidTr="00164E37">
        <w:trPr>
          <w:trHeight w:val="484"/>
        </w:trPr>
        <w:tc>
          <w:tcPr>
            <w:tcW w:w="14118" w:type="dxa"/>
            <w:gridSpan w:val="4"/>
            <w:tcBorders>
              <w:top w:val="single" w:sz="4" w:space="0" w:color="auto"/>
              <w:left w:val="single" w:sz="4" w:space="0" w:color="auto"/>
              <w:bottom w:val="single" w:sz="4" w:space="0" w:color="auto"/>
              <w:right w:val="single" w:sz="4" w:space="0" w:color="auto"/>
            </w:tcBorders>
          </w:tcPr>
          <w:p w14:paraId="1774D8D8" w14:textId="2B4156B8" w:rsidR="00164E37" w:rsidRPr="00064185" w:rsidRDefault="00164E37" w:rsidP="00EA61D8">
            <w:pPr>
              <w:rPr>
                <w:rFonts w:ascii="Arial" w:hAnsi="Arial" w:cs="Arial"/>
                <w:sz w:val="24"/>
                <w:szCs w:val="24"/>
              </w:rPr>
            </w:pPr>
            <w:r w:rsidRPr="00064185">
              <w:rPr>
                <w:rFonts w:cs="Arial"/>
                <w:b/>
                <w:szCs w:val="24"/>
              </w:rPr>
              <w:t>Result: Treat spot</w:t>
            </w:r>
            <w:r w:rsidR="00823C7C" w:rsidRPr="00064185">
              <w:rPr>
                <w:rFonts w:cs="Arial"/>
                <w:b/>
                <w:szCs w:val="24"/>
              </w:rPr>
              <w:t xml:space="preserve"> </w:t>
            </w:r>
            <w:r w:rsidRPr="00064185">
              <w:rPr>
                <w:rFonts w:cs="Arial"/>
                <w:b/>
                <w:szCs w:val="24"/>
              </w:rPr>
              <w:t>wise surfaces from a distance of ca. 30 cm with the trigger</w:t>
            </w:r>
            <w:r w:rsidR="00681693" w:rsidRPr="00064185">
              <w:rPr>
                <w:rFonts w:cs="Arial"/>
                <w:b/>
                <w:szCs w:val="24"/>
              </w:rPr>
              <w:t xml:space="preserve"> sprayer</w:t>
            </w:r>
            <w:r w:rsidRPr="00064185">
              <w:rPr>
                <w:rFonts w:cs="Arial"/>
                <w:b/>
                <w:szCs w:val="24"/>
              </w:rPr>
              <w:t xml:space="preserve">. Apply only where insects are expected running over or treat </w:t>
            </w:r>
            <w:r w:rsidR="00B217FF" w:rsidRPr="00064185">
              <w:rPr>
                <w:rFonts w:cs="Arial"/>
                <w:b/>
                <w:szCs w:val="24"/>
              </w:rPr>
              <w:t xml:space="preserve">target organisms </w:t>
            </w:r>
            <w:r w:rsidRPr="00064185">
              <w:rPr>
                <w:rFonts w:cs="Arial"/>
                <w:b/>
                <w:szCs w:val="24"/>
              </w:rPr>
              <w:t>directly.</w:t>
            </w:r>
          </w:p>
        </w:tc>
      </w:tr>
    </w:tbl>
    <w:p w14:paraId="57F46A18" w14:textId="5ECFEC09" w:rsidR="00DD0AA0" w:rsidRDefault="00DD0AA0" w:rsidP="00EA61D8">
      <w:pPr>
        <w:rPr>
          <w:rFonts w:ascii="Arial" w:hAnsi="Arial"/>
          <w:b/>
        </w:rPr>
      </w:pPr>
      <w:r w:rsidRPr="00064185">
        <w:rPr>
          <w:b/>
        </w:rPr>
        <w:t>Conversion of application rates from BOV system to trigger sprayer</w:t>
      </w:r>
    </w:p>
    <w:p w14:paraId="699EEEA8" w14:textId="77777777" w:rsidR="00CD287F" w:rsidRPr="00CD287F" w:rsidRDefault="00CD287F" w:rsidP="00EA61D8">
      <w:pPr>
        <w:rPr>
          <w:rFonts w:ascii="Arial" w:hAnsi="Arial"/>
          <w:b/>
        </w:rPr>
        <w:sectPr w:rsidR="00CD287F" w:rsidRPr="00CD287F">
          <w:pgSz w:w="16838" w:h="11906" w:orient="landscape"/>
          <w:pgMar w:top="1418" w:right="1418" w:bottom="1418" w:left="1134" w:header="720" w:footer="720" w:gutter="0"/>
          <w:cols w:space="720"/>
        </w:sectPr>
      </w:pPr>
    </w:p>
    <w:p w14:paraId="1136979F" w14:textId="77777777" w:rsidR="00CD287F" w:rsidRPr="00064185" w:rsidRDefault="00CD287F" w:rsidP="00CD287F">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064185" w:rsidRPr="00064185" w14:paraId="13B6EF8A" w14:textId="77777777" w:rsidTr="00203455">
        <w:tc>
          <w:tcPr>
            <w:tcW w:w="5000" w:type="pct"/>
            <w:tcBorders>
              <w:top w:val="single" w:sz="4" w:space="0" w:color="auto"/>
              <w:left w:val="single" w:sz="4" w:space="0" w:color="auto"/>
              <w:bottom w:val="single" w:sz="6" w:space="0" w:color="auto"/>
              <w:right w:val="single" w:sz="6" w:space="0" w:color="auto"/>
            </w:tcBorders>
            <w:shd w:val="clear" w:color="auto" w:fill="CCFFCC"/>
          </w:tcPr>
          <w:p w14:paraId="5FB73D48" w14:textId="77777777" w:rsidR="00DD0AA0" w:rsidRPr="00064185" w:rsidRDefault="00DD0AA0" w:rsidP="00EA61D8">
            <w:pPr>
              <w:spacing w:line="260" w:lineRule="atLeast"/>
              <w:rPr>
                <w:rFonts w:eastAsia="Calibri"/>
                <w:b/>
                <w:bCs/>
                <w:lang w:eastAsia="en-US"/>
              </w:rPr>
            </w:pPr>
            <w:r w:rsidRPr="00064185">
              <w:rPr>
                <w:rFonts w:eastAsia="Calibri"/>
                <w:b/>
                <w:bCs/>
                <w:lang w:eastAsia="en-US"/>
              </w:rPr>
              <w:t>Conclusion on the efficacy of the product</w:t>
            </w:r>
          </w:p>
        </w:tc>
      </w:tr>
      <w:tr w:rsidR="00DD0AA0" w:rsidRPr="00064185" w14:paraId="47C173AF" w14:textId="77777777" w:rsidTr="00424068">
        <w:trPr>
          <w:trHeight w:val="61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9DC7B5D" w14:textId="40199451" w:rsidR="00B910F1" w:rsidRPr="00064185" w:rsidRDefault="00B910F1" w:rsidP="00EA61D8">
            <w:pPr>
              <w:spacing w:line="260" w:lineRule="atLeast"/>
            </w:pPr>
            <w:r w:rsidRPr="00064185">
              <w:t>A</w:t>
            </w:r>
            <w:r w:rsidR="008173DE" w:rsidRPr="00064185">
              <w:t>nts: A</w:t>
            </w:r>
            <w:r w:rsidRPr="00064185">
              <w:t>ccording to the field test (Serrano, 2007a), t</w:t>
            </w:r>
            <w:r w:rsidR="00DD0AA0" w:rsidRPr="00064185">
              <w:t>he biocidal product shows sufficient efficacy against garden ants (</w:t>
            </w:r>
            <w:r w:rsidR="00DD0AA0" w:rsidRPr="00064185">
              <w:rPr>
                <w:i/>
              </w:rPr>
              <w:t>Lasius niger</w:t>
            </w:r>
            <w:r w:rsidR="00DD0AA0" w:rsidRPr="00064185">
              <w:t>)</w:t>
            </w:r>
            <w:r w:rsidRPr="00064185">
              <w:t xml:space="preserve">:  </w:t>
            </w:r>
            <w:r w:rsidR="008173DE" w:rsidRPr="00064185">
              <w:t>N</w:t>
            </w:r>
            <w:r w:rsidRPr="00064185">
              <w:t xml:space="preserve">estkill </w:t>
            </w:r>
            <w:r w:rsidR="00681693" w:rsidRPr="00064185">
              <w:t xml:space="preserve">is shown </w:t>
            </w:r>
            <w:r w:rsidRPr="00064185">
              <w:t>within 3 weeks</w:t>
            </w:r>
            <w:r w:rsidR="00681693" w:rsidRPr="00064185">
              <w:t>.</w:t>
            </w:r>
            <w:r w:rsidR="006A4C9D" w:rsidRPr="00064185">
              <w:t xml:space="preserve"> </w:t>
            </w:r>
            <w:r w:rsidR="00BE6AC9" w:rsidRPr="00064185">
              <w:rPr>
                <w:rFonts w:eastAsia="Calibri"/>
                <w:lang w:eastAsia="en-US"/>
              </w:rPr>
              <w:t xml:space="preserve">Instruction of use: </w:t>
            </w:r>
            <w:r w:rsidRPr="00064185">
              <w:rPr>
                <w:rFonts w:cs="Arial"/>
              </w:rPr>
              <w:t xml:space="preserve">10 strokes </w:t>
            </w:r>
            <w:r w:rsidR="00BE6AC9" w:rsidRPr="00064185">
              <w:rPr>
                <w:rFonts w:cs="Arial"/>
              </w:rPr>
              <w:t xml:space="preserve">on ant routes for 1 m route </w:t>
            </w:r>
            <w:r w:rsidR="00113965" w:rsidRPr="00064185">
              <w:rPr>
                <w:rFonts w:cs="Arial"/>
              </w:rPr>
              <w:t xml:space="preserve">and nest entries </w:t>
            </w:r>
            <w:r w:rsidR="00BE6AC9" w:rsidRPr="00064185">
              <w:rPr>
                <w:rFonts w:cs="Arial"/>
              </w:rPr>
              <w:t>corresponding</w:t>
            </w:r>
            <w:r w:rsidRPr="00064185">
              <w:rPr>
                <w:rFonts w:cs="Arial"/>
              </w:rPr>
              <w:t xml:space="preserve"> to 10 g product</w:t>
            </w:r>
            <w:r w:rsidR="00BE6AC9" w:rsidRPr="00064185">
              <w:rPr>
                <w:rFonts w:cs="Arial"/>
              </w:rPr>
              <w:t>.</w:t>
            </w:r>
            <w:r w:rsidRPr="00064185">
              <w:t xml:space="preserve"> </w:t>
            </w:r>
          </w:p>
          <w:p w14:paraId="3334D6C1" w14:textId="77777777" w:rsidR="00B910F1" w:rsidRPr="00064185" w:rsidRDefault="00B910F1" w:rsidP="00EA61D8">
            <w:pPr>
              <w:spacing w:line="260" w:lineRule="atLeast"/>
            </w:pPr>
          </w:p>
          <w:p w14:paraId="752ED10A" w14:textId="41B97A0C" w:rsidR="00DD0AA0" w:rsidRPr="00064185" w:rsidRDefault="00BE6AC9" w:rsidP="00EA61D8">
            <w:pPr>
              <w:spacing w:line="260" w:lineRule="atLeast"/>
            </w:pPr>
            <w:r w:rsidRPr="00064185">
              <w:t>Residual efficacy is shown against</w:t>
            </w:r>
            <w:r w:rsidR="00DD0AA0" w:rsidRPr="00064185">
              <w:t xml:space="preserve"> silverfishes </w:t>
            </w:r>
            <w:r w:rsidR="00DD0AA0" w:rsidRPr="00064185">
              <w:rPr>
                <w:i/>
              </w:rPr>
              <w:t>(Lepisma saccharina),</w:t>
            </w:r>
            <w:r w:rsidR="00DD0AA0" w:rsidRPr="00064185">
              <w:t xml:space="preserve"> wood lice (</w:t>
            </w:r>
            <w:r w:rsidR="00DD0AA0" w:rsidRPr="00064185">
              <w:rPr>
                <w:i/>
              </w:rPr>
              <w:t>Porcellio scaber</w:t>
            </w:r>
            <w:r w:rsidR="00DD0AA0" w:rsidRPr="00064185">
              <w:t>) and cockroaches (</w:t>
            </w:r>
            <w:r w:rsidR="00DD0AA0" w:rsidRPr="00064185">
              <w:rPr>
                <w:i/>
              </w:rPr>
              <w:t>Blattella germanica, Blatta orientalis, Periplaneta americana</w:t>
            </w:r>
            <w:r w:rsidR="00DD0AA0" w:rsidRPr="00064185">
              <w:t>)</w:t>
            </w:r>
          </w:p>
          <w:p w14:paraId="7C21A85B" w14:textId="1678622E" w:rsidR="00BE6AC9" w:rsidRPr="00064185" w:rsidRDefault="00BE6AC9" w:rsidP="00EA61D8">
            <w:pPr>
              <w:rPr>
                <w:rFonts w:eastAsia="Calibri"/>
                <w:lang w:eastAsia="en-US"/>
              </w:rPr>
            </w:pPr>
            <w:proofErr w:type="gramStart"/>
            <w:r w:rsidRPr="00064185">
              <w:rPr>
                <w:rFonts w:cs="Arial"/>
              </w:rPr>
              <w:t>at</w:t>
            </w:r>
            <w:proofErr w:type="gramEnd"/>
            <w:r w:rsidRPr="00064185">
              <w:rPr>
                <w:rFonts w:cs="Arial"/>
              </w:rPr>
              <w:t xml:space="preserve"> an application rate of 100</w:t>
            </w:r>
            <w:r w:rsidRPr="00064185">
              <w:rPr>
                <w:rFonts w:cs="Arial"/>
                <w:b/>
              </w:rPr>
              <w:t xml:space="preserve"> </w:t>
            </w:r>
            <w:r w:rsidRPr="00064185">
              <w:rPr>
                <w:rFonts w:cs="Arial"/>
              </w:rPr>
              <w:t>mg/cm². The treatment</w:t>
            </w:r>
            <w:r w:rsidR="00B62DA2" w:rsidRPr="00064185">
              <w:rPr>
                <w:rFonts w:cs="Arial"/>
              </w:rPr>
              <w:t xml:space="preserve"> </w:t>
            </w:r>
            <w:r w:rsidRPr="00064185">
              <w:rPr>
                <w:rFonts w:cs="Arial"/>
              </w:rPr>
              <w:t xml:space="preserve">should be </w:t>
            </w:r>
            <w:r w:rsidRPr="00064185">
              <w:rPr>
                <w:rFonts w:eastAsia="Calibri"/>
                <w:lang w:eastAsia="en-US"/>
              </w:rPr>
              <w:t>spot</w:t>
            </w:r>
            <w:r w:rsidR="00B83CE3" w:rsidRPr="00064185">
              <w:rPr>
                <w:rFonts w:eastAsia="Calibri"/>
                <w:lang w:eastAsia="en-US"/>
              </w:rPr>
              <w:t xml:space="preserve"> </w:t>
            </w:r>
            <w:r w:rsidRPr="00064185">
              <w:rPr>
                <w:rFonts w:eastAsia="Calibri"/>
                <w:lang w:eastAsia="en-US"/>
              </w:rPr>
              <w:t>wise on surfaces from a distance of ca. 30 cm with the trigger sprayer</w:t>
            </w:r>
            <w:r w:rsidR="006A4C9D" w:rsidRPr="00064185">
              <w:rPr>
                <w:rFonts w:eastAsia="Calibri"/>
                <w:lang w:eastAsia="en-US"/>
              </w:rPr>
              <w:t xml:space="preserve"> applying 5 to 6 strokes. Applic</w:t>
            </w:r>
            <w:r w:rsidRPr="00064185">
              <w:rPr>
                <w:rFonts w:eastAsia="Calibri"/>
                <w:lang w:eastAsia="en-US"/>
              </w:rPr>
              <w:t xml:space="preserve">ation should only be done where insects are expected running over. </w:t>
            </w:r>
          </w:p>
          <w:p w14:paraId="1022F2D0" w14:textId="77777777" w:rsidR="00BE6AC9" w:rsidRPr="00064185" w:rsidRDefault="00BE6AC9" w:rsidP="00EA61D8">
            <w:pPr>
              <w:rPr>
                <w:rFonts w:eastAsia="Calibri"/>
                <w:lang w:eastAsia="en-US"/>
              </w:rPr>
            </w:pPr>
          </w:p>
          <w:p w14:paraId="6312668D" w14:textId="3443E6CC" w:rsidR="00BE6AC9" w:rsidRPr="00064185" w:rsidRDefault="00BE6AC9" w:rsidP="00EA61D8">
            <w:pPr>
              <w:rPr>
                <w:rFonts w:cs="Arial"/>
              </w:rPr>
            </w:pPr>
            <w:r w:rsidRPr="00064185">
              <w:rPr>
                <w:rFonts w:eastAsia="Calibri"/>
                <w:lang w:eastAsia="en-US"/>
              </w:rPr>
              <w:t>For direct treatment of</w:t>
            </w:r>
            <w:r w:rsidR="006A4C9D" w:rsidRPr="00064185">
              <w:rPr>
                <w:rFonts w:eastAsia="Calibri"/>
                <w:lang w:eastAsia="en-US"/>
              </w:rPr>
              <w:t xml:space="preserve"> </w:t>
            </w:r>
            <w:r w:rsidR="00B217FF" w:rsidRPr="00064185">
              <w:rPr>
                <w:rFonts w:eastAsia="Calibri"/>
                <w:lang w:eastAsia="en-US"/>
              </w:rPr>
              <w:t>target organisms</w:t>
            </w:r>
            <w:r w:rsidRPr="00064185">
              <w:rPr>
                <w:rFonts w:eastAsia="Calibri"/>
                <w:lang w:eastAsia="en-US"/>
              </w:rPr>
              <w:t>, following application rates sho</w:t>
            </w:r>
            <w:r w:rsidR="00B62DA2" w:rsidRPr="00064185">
              <w:rPr>
                <w:rFonts w:eastAsia="Calibri"/>
                <w:lang w:eastAsia="en-US"/>
              </w:rPr>
              <w:t>we</w:t>
            </w:r>
            <w:r w:rsidRPr="00064185">
              <w:rPr>
                <w:rFonts w:eastAsia="Calibri"/>
                <w:lang w:eastAsia="en-US"/>
              </w:rPr>
              <w:t>d sufficient mortality:</w:t>
            </w:r>
          </w:p>
          <w:p w14:paraId="17929C7D" w14:textId="1C721F81" w:rsidR="00164E37" w:rsidRPr="00064185" w:rsidRDefault="006523DF" w:rsidP="00EA61D8">
            <w:pPr>
              <w:rPr>
                <w:rFonts w:eastAsia="Calibri"/>
                <w:lang w:eastAsia="en-US"/>
              </w:rPr>
            </w:pPr>
            <w:r w:rsidRPr="00064185">
              <w:rPr>
                <w:rFonts w:eastAsia="Calibri"/>
                <w:lang w:eastAsia="en-US"/>
              </w:rPr>
              <w:t xml:space="preserve">Against cockroaches, and silverfishes: </w:t>
            </w:r>
            <w:r w:rsidR="004331A3" w:rsidRPr="00064185">
              <w:rPr>
                <w:rFonts w:eastAsia="Calibri"/>
                <w:lang w:eastAsia="en-US"/>
              </w:rPr>
              <w:t>7 strokes</w:t>
            </w:r>
            <w:r w:rsidR="006A4C9D" w:rsidRPr="00064185">
              <w:rPr>
                <w:rFonts w:eastAsia="Calibri"/>
                <w:lang w:eastAsia="en-US"/>
              </w:rPr>
              <w:t xml:space="preserve"> </w:t>
            </w:r>
            <w:r w:rsidR="000970EB" w:rsidRPr="00064185">
              <w:rPr>
                <w:rFonts w:eastAsia="Calibri"/>
                <w:lang w:eastAsia="en-US"/>
              </w:rPr>
              <w:t>spot</w:t>
            </w:r>
            <w:r w:rsidR="00B83CE3" w:rsidRPr="00064185">
              <w:rPr>
                <w:rFonts w:eastAsia="Calibri"/>
                <w:lang w:eastAsia="en-US"/>
              </w:rPr>
              <w:t xml:space="preserve"> </w:t>
            </w:r>
            <w:r w:rsidR="000970EB" w:rsidRPr="00064185">
              <w:rPr>
                <w:rFonts w:eastAsia="Calibri"/>
                <w:lang w:eastAsia="en-US"/>
              </w:rPr>
              <w:t>wise</w:t>
            </w:r>
          </w:p>
          <w:p w14:paraId="3918BF3B" w14:textId="516A3042" w:rsidR="004331A3" w:rsidRPr="00064185" w:rsidRDefault="004331A3" w:rsidP="00EA61D8">
            <w:pPr>
              <w:rPr>
                <w:rFonts w:eastAsia="Calibri"/>
                <w:lang w:eastAsia="en-US"/>
              </w:rPr>
            </w:pPr>
            <w:r w:rsidRPr="00064185">
              <w:rPr>
                <w:rFonts w:eastAsia="Calibri"/>
                <w:lang w:eastAsia="en-US"/>
              </w:rPr>
              <w:t>Against wood lice</w:t>
            </w:r>
            <w:r w:rsidR="006A4C9D" w:rsidRPr="00064185">
              <w:rPr>
                <w:rFonts w:eastAsia="Calibri"/>
                <w:lang w:eastAsia="en-US"/>
              </w:rPr>
              <w:t>:</w:t>
            </w:r>
            <w:r w:rsidRPr="00064185">
              <w:rPr>
                <w:rFonts w:eastAsia="Calibri"/>
                <w:lang w:eastAsia="en-US"/>
              </w:rPr>
              <w:t xml:space="preserve"> 10 strokes</w:t>
            </w:r>
            <w:r w:rsidR="000970EB" w:rsidRPr="00064185">
              <w:rPr>
                <w:rFonts w:eastAsia="Calibri"/>
                <w:lang w:eastAsia="en-US"/>
              </w:rPr>
              <w:t xml:space="preserve"> spot</w:t>
            </w:r>
            <w:r w:rsidR="00B83CE3" w:rsidRPr="00064185">
              <w:rPr>
                <w:rFonts w:eastAsia="Calibri"/>
                <w:lang w:eastAsia="en-US"/>
              </w:rPr>
              <w:t xml:space="preserve"> </w:t>
            </w:r>
            <w:r w:rsidR="000970EB" w:rsidRPr="00064185">
              <w:rPr>
                <w:rFonts w:eastAsia="Calibri"/>
                <w:lang w:eastAsia="en-US"/>
              </w:rPr>
              <w:t>wise</w:t>
            </w:r>
          </w:p>
          <w:p w14:paraId="4FC3390C" w14:textId="77777777" w:rsidR="008173DE" w:rsidRPr="00064185" w:rsidRDefault="008173DE" w:rsidP="00EA61D8">
            <w:pPr>
              <w:pStyle w:val="Column3"/>
              <w:ind w:left="0"/>
              <w:rPr>
                <w:rFonts w:ascii="Verdana" w:eastAsia="Times New Roman" w:hAnsi="Verdana" w:cs="Arial"/>
                <w:bCs/>
                <w:sz w:val="20"/>
                <w:szCs w:val="20"/>
                <w:lang w:val="en-US" w:eastAsia="de-DE"/>
              </w:rPr>
            </w:pPr>
          </w:p>
          <w:tbl>
            <w:tblPr>
              <w:tblW w:w="8784" w:type="dxa"/>
              <w:tblCellMar>
                <w:left w:w="70" w:type="dxa"/>
                <w:right w:w="70" w:type="dxa"/>
              </w:tblCellMar>
              <w:tblLook w:val="04A0" w:firstRow="1" w:lastRow="0" w:firstColumn="1" w:lastColumn="0" w:noHBand="0" w:noVBand="1"/>
            </w:tblPr>
            <w:tblGrid>
              <w:gridCol w:w="1556"/>
              <w:gridCol w:w="2692"/>
              <w:gridCol w:w="2410"/>
              <w:gridCol w:w="2126"/>
            </w:tblGrid>
            <w:tr w:rsidR="00064185" w:rsidRPr="00064185" w14:paraId="7137D6AB" w14:textId="77777777" w:rsidTr="008173DE">
              <w:trPr>
                <w:trHeight w:val="630"/>
              </w:trPr>
              <w:tc>
                <w:tcPr>
                  <w:tcW w:w="155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F705D4D" w14:textId="77777777" w:rsidR="008173DE" w:rsidRPr="00064185" w:rsidRDefault="008173DE" w:rsidP="00EA61D8">
                  <w:pPr>
                    <w:rPr>
                      <w:rFonts w:cs="Arial"/>
                      <w:b/>
                    </w:rPr>
                  </w:pPr>
                  <w:r w:rsidRPr="00064185">
                    <w:rPr>
                      <w:rFonts w:cs="Arial"/>
                      <w:b/>
                    </w:rPr>
                    <w:t>Pest species</w:t>
                  </w:r>
                </w:p>
              </w:tc>
              <w:tc>
                <w:tcPr>
                  <w:tcW w:w="2692" w:type="dxa"/>
                  <w:tcBorders>
                    <w:top w:val="single" w:sz="4" w:space="0" w:color="auto"/>
                    <w:bottom w:val="single" w:sz="4" w:space="0" w:color="auto"/>
                    <w:right w:val="single" w:sz="4" w:space="0" w:color="auto"/>
                  </w:tcBorders>
                  <w:shd w:val="clear" w:color="000000" w:fill="F2F2F2"/>
                  <w:vAlign w:val="center"/>
                </w:tcPr>
                <w:p w14:paraId="64B80193" w14:textId="77777777" w:rsidR="008173DE" w:rsidRPr="00064185" w:rsidRDefault="008173DE" w:rsidP="00EA61D8">
                  <w:pPr>
                    <w:rPr>
                      <w:rFonts w:cs="Arial"/>
                      <w:b/>
                      <w:lang w:val="en-US"/>
                    </w:rPr>
                  </w:pPr>
                  <w:r w:rsidRPr="00064185">
                    <w:rPr>
                      <w:rFonts w:cs="Arial"/>
                      <w:b/>
                      <w:lang w:val="en-US"/>
                    </w:rPr>
                    <w:t>Knockdown after direct application on pest species</w:t>
                  </w:r>
                </w:p>
              </w:tc>
              <w:tc>
                <w:tcPr>
                  <w:tcW w:w="2410" w:type="dxa"/>
                  <w:tcBorders>
                    <w:top w:val="single" w:sz="4" w:space="0" w:color="auto"/>
                    <w:bottom w:val="single" w:sz="4" w:space="0" w:color="auto"/>
                    <w:right w:val="single" w:sz="4" w:space="0" w:color="auto"/>
                  </w:tcBorders>
                  <w:shd w:val="clear" w:color="000000" w:fill="F2F2F2"/>
                  <w:vAlign w:val="center"/>
                  <w:hideMark/>
                </w:tcPr>
                <w:p w14:paraId="022163DC" w14:textId="77777777" w:rsidR="008173DE" w:rsidRPr="00064185" w:rsidRDefault="008173DE" w:rsidP="00EA61D8">
                  <w:pPr>
                    <w:rPr>
                      <w:rFonts w:cs="Arial"/>
                      <w:b/>
                      <w:lang w:val="en-US"/>
                    </w:rPr>
                  </w:pPr>
                  <w:r w:rsidRPr="00064185">
                    <w:rPr>
                      <w:rFonts w:cs="Arial"/>
                      <w:b/>
                      <w:lang w:val="en-US"/>
                    </w:rPr>
                    <w:t>Time until 100% control (treatment of surface area)</w:t>
                  </w:r>
                </w:p>
              </w:tc>
              <w:tc>
                <w:tcPr>
                  <w:tcW w:w="2126" w:type="dxa"/>
                  <w:tcBorders>
                    <w:top w:val="single" w:sz="4" w:space="0" w:color="auto"/>
                    <w:bottom w:val="single" w:sz="4" w:space="0" w:color="auto"/>
                    <w:right w:val="single" w:sz="4" w:space="0" w:color="auto"/>
                  </w:tcBorders>
                  <w:shd w:val="clear" w:color="000000" w:fill="F2F2F2"/>
                  <w:vAlign w:val="center"/>
                  <w:hideMark/>
                </w:tcPr>
                <w:p w14:paraId="5600A146" w14:textId="77777777" w:rsidR="008173DE" w:rsidRPr="00064185" w:rsidRDefault="008173DE" w:rsidP="00EA61D8">
                  <w:pPr>
                    <w:rPr>
                      <w:rFonts w:cs="Arial"/>
                      <w:b/>
                      <w:lang w:val="en-US"/>
                    </w:rPr>
                  </w:pPr>
                  <w:r w:rsidRPr="00064185">
                    <w:rPr>
                      <w:rFonts w:cs="Arial"/>
                      <w:b/>
                      <w:lang w:val="en-US"/>
                    </w:rPr>
                    <w:t>Time until which product remains efficient on treated areas</w:t>
                  </w:r>
                </w:p>
              </w:tc>
            </w:tr>
            <w:tr w:rsidR="00064185" w:rsidRPr="00064185" w14:paraId="7CCB185F" w14:textId="77777777" w:rsidTr="008173DE">
              <w:trPr>
                <w:trHeight w:val="315"/>
              </w:trPr>
              <w:tc>
                <w:tcPr>
                  <w:tcW w:w="1556" w:type="dxa"/>
                  <w:tcBorders>
                    <w:left w:val="single" w:sz="4" w:space="0" w:color="auto"/>
                    <w:bottom w:val="single" w:sz="4" w:space="0" w:color="auto"/>
                    <w:right w:val="single" w:sz="4" w:space="0" w:color="auto"/>
                  </w:tcBorders>
                  <w:noWrap/>
                  <w:vAlign w:val="center"/>
                  <w:hideMark/>
                </w:tcPr>
                <w:p w14:paraId="06333F9B" w14:textId="77777777" w:rsidR="008173DE" w:rsidRPr="00064185" w:rsidRDefault="008173DE" w:rsidP="00EA61D8">
                  <w:pPr>
                    <w:rPr>
                      <w:rFonts w:cs="Arial"/>
                      <w:b/>
                    </w:rPr>
                  </w:pPr>
                  <w:r w:rsidRPr="00064185">
                    <w:rPr>
                      <w:rFonts w:cs="Arial"/>
                      <w:b/>
                    </w:rPr>
                    <w:t>Ants</w:t>
                  </w:r>
                </w:p>
              </w:tc>
              <w:tc>
                <w:tcPr>
                  <w:tcW w:w="2692" w:type="dxa"/>
                  <w:tcBorders>
                    <w:bottom w:val="single" w:sz="4" w:space="0" w:color="auto"/>
                    <w:right w:val="single" w:sz="4" w:space="0" w:color="auto"/>
                  </w:tcBorders>
                  <w:noWrap/>
                  <w:vAlign w:val="center"/>
                </w:tcPr>
                <w:p w14:paraId="771BDCEB" w14:textId="77777777" w:rsidR="008173DE" w:rsidRPr="00064185" w:rsidRDefault="008173DE" w:rsidP="00EA61D8">
                  <w:pPr>
                    <w:rPr>
                      <w:rFonts w:cs="Arial"/>
                    </w:rPr>
                  </w:pPr>
                  <w:r w:rsidRPr="00064185">
                    <w:rPr>
                      <w:rFonts w:cs="Arial"/>
                    </w:rPr>
                    <w:t>not tested</w:t>
                  </w:r>
                </w:p>
              </w:tc>
              <w:tc>
                <w:tcPr>
                  <w:tcW w:w="2410" w:type="dxa"/>
                  <w:tcBorders>
                    <w:bottom w:val="single" w:sz="4" w:space="0" w:color="auto"/>
                    <w:right w:val="single" w:sz="4" w:space="0" w:color="auto"/>
                  </w:tcBorders>
                  <w:noWrap/>
                  <w:vAlign w:val="center"/>
                  <w:hideMark/>
                </w:tcPr>
                <w:p w14:paraId="02F72BBF" w14:textId="77777777" w:rsidR="008173DE" w:rsidRPr="00064185" w:rsidRDefault="008173DE" w:rsidP="00EA61D8">
                  <w:pPr>
                    <w:rPr>
                      <w:rFonts w:cs="Arial"/>
                      <w:lang w:val="en-US"/>
                    </w:rPr>
                  </w:pPr>
                  <w:r w:rsidRPr="00064185">
                    <w:rPr>
                      <w:rFonts w:cs="Arial"/>
                      <w:lang w:val="en-US"/>
                    </w:rPr>
                    <w:t>Nest kill within 21 d</w:t>
                  </w:r>
                </w:p>
              </w:tc>
              <w:tc>
                <w:tcPr>
                  <w:tcW w:w="2126" w:type="dxa"/>
                  <w:tcBorders>
                    <w:bottom w:val="single" w:sz="4" w:space="0" w:color="auto"/>
                    <w:right w:val="single" w:sz="4" w:space="0" w:color="auto"/>
                  </w:tcBorders>
                  <w:noWrap/>
                  <w:vAlign w:val="center"/>
                  <w:hideMark/>
                </w:tcPr>
                <w:p w14:paraId="5F55E1FA" w14:textId="77777777" w:rsidR="008173DE" w:rsidRPr="00064185" w:rsidRDefault="008173DE" w:rsidP="00EA61D8">
                  <w:pPr>
                    <w:rPr>
                      <w:rFonts w:cs="Arial"/>
                      <w:lang w:val="en-US"/>
                    </w:rPr>
                  </w:pPr>
                  <w:r w:rsidRPr="00064185">
                    <w:rPr>
                      <w:rFonts w:cs="Arial"/>
                      <w:lang w:val="en-US"/>
                    </w:rPr>
                    <w:t xml:space="preserve">Application will result in complete nest destruction </w:t>
                  </w:r>
                </w:p>
              </w:tc>
            </w:tr>
            <w:tr w:rsidR="00064185" w:rsidRPr="00064185" w14:paraId="193F5C5E" w14:textId="77777777" w:rsidTr="008173DE">
              <w:trPr>
                <w:trHeight w:val="952"/>
              </w:trPr>
              <w:tc>
                <w:tcPr>
                  <w:tcW w:w="1556" w:type="dxa"/>
                  <w:tcBorders>
                    <w:left w:val="single" w:sz="4" w:space="0" w:color="auto"/>
                    <w:bottom w:val="single" w:sz="4" w:space="0" w:color="auto"/>
                    <w:right w:val="single" w:sz="4" w:space="0" w:color="auto"/>
                  </w:tcBorders>
                  <w:noWrap/>
                  <w:vAlign w:val="center"/>
                  <w:hideMark/>
                </w:tcPr>
                <w:p w14:paraId="16730294" w14:textId="77777777" w:rsidR="008173DE" w:rsidRPr="00064185" w:rsidRDefault="008173DE" w:rsidP="00EA61D8">
                  <w:pPr>
                    <w:rPr>
                      <w:rFonts w:cs="Arial"/>
                      <w:b/>
                      <w:lang w:val="en-US"/>
                    </w:rPr>
                  </w:pPr>
                  <w:r w:rsidRPr="00064185">
                    <w:rPr>
                      <w:rFonts w:cs="Arial"/>
                      <w:b/>
                      <w:lang w:val="en-US"/>
                    </w:rPr>
                    <w:t>Silverfish</w:t>
                  </w:r>
                </w:p>
              </w:tc>
              <w:tc>
                <w:tcPr>
                  <w:tcW w:w="2692" w:type="dxa"/>
                  <w:tcBorders>
                    <w:bottom w:val="single" w:sz="4" w:space="0" w:color="auto"/>
                    <w:right w:val="single" w:sz="4" w:space="0" w:color="auto"/>
                  </w:tcBorders>
                  <w:noWrap/>
                  <w:vAlign w:val="center"/>
                </w:tcPr>
                <w:p w14:paraId="5536AA3A" w14:textId="77777777" w:rsidR="008173DE" w:rsidRPr="00064185" w:rsidRDefault="008173DE" w:rsidP="00EA61D8">
                  <w:pPr>
                    <w:rPr>
                      <w:rFonts w:cs="Arial"/>
                      <w:lang w:val="en-US"/>
                    </w:rPr>
                  </w:pPr>
                  <w:r w:rsidRPr="00064185">
                    <w:rPr>
                      <w:rFonts w:cs="Arial"/>
                      <w:lang w:val="en-US"/>
                    </w:rPr>
                    <w:t>within 3 min</w:t>
                  </w:r>
                </w:p>
              </w:tc>
              <w:tc>
                <w:tcPr>
                  <w:tcW w:w="2410" w:type="dxa"/>
                  <w:tcBorders>
                    <w:bottom w:val="single" w:sz="4" w:space="0" w:color="auto"/>
                    <w:right w:val="single" w:sz="4" w:space="0" w:color="auto"/>
                  </w:tcBorders>
                  <w:vAlign w:val="center"/>
                  <w:hideMark/>
                </w:tcPr>
                <w:p w14:paraId="2D2D5155" w14:textId="55A102F1" w:rsidR="008173DE" w:rsidRPr="00064185" w:rsidRDefault="008173DE" w:rsidP="00EA61D8">
                  <w:pPr>
                    <w:rPr>
                      <w:rFonts w:cs="Arial"/>
                      <w:lang w:val="en-US"/>
                    </w:rPr>
                  </w:pPr>
                  <w:r w:rsidRPr="00064185">
                    <w:rPr>
                      <w:rFonts w:cs="Arial"/>
                      <w:lang w:val="en-US"/>
                    </w:rPr>
                    <w:t>25 min (e.g. glazed tiles) - 60 min (e.g. vinyl flooring</w:t>
                  </w:r>
                  <w:r w:rsidR="00775FF9" w:rsidRPr="00064185">
                    <w:rPr>
                      <w:rFonts w:cs="Arial"/>
                      <w:lang w:val="en-US"/>
                    </w:rPr>
                    <w:t>, PVC</w:t>
                  </w:r>
                  <w:r w:rsidRPr="00064185">
                    <w:rPr>
                      <w:rFonts w:cs="Arial"/>
                      <w:lang w:val="en-US"/>
                    </w:rPr>
                    <w:t>)</w:t>
                  </w:r>
                </w:p>
              </w:tc>
              <w:tc>
                <w:tcPr>
                  <w:tcW w:w="2126" w:type="dxa"/>
                  <w:tcBorders>
                    <w:bottom w:val="single" w:sz="4" w:space="0" w:color="auto"/>
                    <w:right w:val="single" w:sz="4" w:space="0" w:color="auto"/>
                  </w:tcBorders>
                  <w:noWrap/>
                  <w:vAlign w:val="center"/>
                  <w:hideMark/>
                </w:tcPr>
                <w:p w14:paraId="3E95F0B0" w14:textId="77777777" w:rsidR="008173DE" w:rsidRPr="00064185" w:rsidRDefault="008173DE" w:rsidP="00EA61D8">
                  <w:pPr>
                    <w:rPr>
                      <w:rFonts w:cs="Arial"/>
                      <w:lang w:val="en-US"/>
                    </w:rPr>
                  </w:pPr>
                  <w:r w:rsidRPr="00064185">
                    <w:rPr>
                      <w:rFonts w:cs="Arial"/>
                      <w:lang w:val="en-US"/>
                    </w:rPr>
                    <w:t>at least 2 weeks</w:t>
                  </w:r>
                </w:p>
              </w:tc>
            </w:tr>
            <w:tr w:rsidR="00064185" w:rsidRPr="00064185" w14:paraId="21D6B109" w14:textId="77777777" w:rsidTr="00035F57">
              <w:trPr>
                <w:trHeight w:val="1395"/>
              </w:trPr>
              <w:tc>
                <w:tcPr>
                  <w:tcW w:w="1556" w:type="dxa"/>
                  <w:tcBorders>
                    <w:left w:val="single" w:sz="4" w:space="0" w:color="auto"/>
                    <w:bottom w:val="single" w:sz="4" w:space="0" w:color="auto"/>
                    <w:right w:val="single" w:sz="4" w:space="0" w:color="auto"/>
                  </w:tcBorders>
                  <w:noWrap/>
                  <w:vAlign w:val="center"/>
                  <w:hideMark/>
                </w:tcPr>
                <w:p w14:paraId="2EC7401E" w14:textId="77777777" w:rsidR="008173DE" w:rsidRPr="00064185" w:rsidRDefault="008173DE" w:rsidP="00EA61D8">
                  <w:pPr>
                    <w:rPr>
                      <w:rFonts w:cs="Arial"/>
                      <w:b/>
                      <w:lang w:val="en-US"/>
                    </w:rPr>
                  </w:pPr>
                  <w:r w:rsidRPr="00064185">
                    <w:rPr>
                      <w:rFonts w:cs="Arial"/>
                      <w:b/>
                      <w:lang w:val="en-US"/>
                    </w:rPr>
                    <w:t>Wood lice</w:t>
                  </w:r>
                </w:p>
              </w:tc>
              <w:tc>
                <w:tcPr>
                  <w:tcW w:w="2692" w:type="dxa"/>
                  <w:tcBorders>
                    <w:bottom w:val="single" w:sz="4" w:space="0" w:color="auto"/>
                    <w:right w:val="single" w:sz="4" w:space="0" w:color="auto"/>
                  </w:tcBorders>
                  <w:noWrap/>
                  <w:vAlign w:val="center"/>
                </w:tcPr>
                <w:p w14:paraId="2CF37AB1" w14:textId="77777777" w:rsidR="008173DE" w:rsidRPr="00064185" w:rsidRDefault="008173DE" w:rsidP="00EA61D8">
                  <w:pPr>
                    <w:rPr>
                      <w:rFonts w:cs="Arial"/>
                      <w:lang w:val="en-US"/>
                    </w:rPr>
                  </w:pPr>
                  <w:r w:rsidRPr="00064185">
                    <w:rPr>
                      <w:rFonts w:cs="Arial"/>
                      <w:lang w:val="en-US"/>
                    </w:rPr>
                    <w:t xml:space="preserve">70% knock down efficacy was given within 15 minutes. </w:t>
                  </w:r>
                  <w:r w:rsidRPr="00064185">
                    <w:rPr>
                      <w:rFonts w:cs="Arial"/>
                      <w:lang w:val="en-US"/>
                    </w:rPr>
                    <w:br/>
                    <w:t xml:space="preserve">After 24 hours mortality was 100% </w:t>
                  </w:r>
                </w:p>
              </w:tc>
              <w:tc>
                <w:tcPr>
                  <w:tcW w:w="2410" w:type="dxa"/>
                  <w:tcBorders>
                    <w:bottom w:val="single" w:sz="4" w:space="0" w:color="auto"/>
                    <w:right w:val="single" w:sz="4" w:space="0" w:color="auto"/>
                  </w:tcBorders>
                  <w:vAlign w:val="center"/>
                  <w:hideMark/>
                </w:tcPr>
                <w:p w14:paraId="13B6B032" w14:textId="77777777" w:rsidR="008173DE" w:rsidRPr="00064185" w:rsidRDefault="008173DE" w:rsidP="00EA61D8">
                  <w:pPr>
                    <w:rPr>
                      <w:rFonts w:cs="Arial"/>
                      <w:lang w:val="en-US"/>
                    </w:rPr>
                  </w:pPr>
                  <w:r w:rsidRPr="00064185">
                    <w:rPr>
                      <w:rFonts w:cs="Arial"/>
                      <w:lang w:val="en-US"/>
                    </w:rPr>
                    <w:t xml:space="preserve">2h - 6h (e.g. glazed tiles) – </w:t>
                  </w:r>
                </w:p>
                <w:p w14:paraId="6292241C" w14:textId="735BB9D5" w:rsidR="008173DE" w:rsidRPr="00064185" w:rsidRDefault="008173DE" w:rsidP="00EA61D8">
                  <w:pPr>
                    <w:rPr>
                      <w:rFonts w:cs="Arial"/>
                      <w:lang w:val="en-US"/>
                    </w:rPr>
                  </w:pPr>
                  <w:r w:rsidRPr="00064185">
                    <w:rPr>
                      <w:rFonts w:cs="Arial"/>
                      <w:lang w:val="en-US"/>
                    </w:rPr>
                    <w:t>1- 24h (e.g. vinyl flooring</w:t>
                  </w:r>
                  <w:r w:rsidR="00775FF9" w:rsidRPr="00064185">
                    <w:rPr>
                      <w:rFonts w:cs="Arial"/>
                      <w:lang w:val="en-US"/>
                    </w:rPr>
                    <w:t>, PVC</w:t>
                  </w:r>
                  <w:r w:rsidRPr="00064185">
                    <w:rPr>
                      <w:rFonts w:cs="Arial"/>
                      <w:lang w:val="en-US"/>
                    </w:rPr>
                    <w:t>)</w:t>
                  </w:r>
                </w:p>
              </w:tc>
              <w:tc>
                <w:tcPr>
                  <w:tcW w:w="2126" w:type="dxa"/>
                  <w:tcBorders>
                    <w:bottom w:val="single" w:sz="4" w:space="0" w:color="auto"/>
                    <w:right w:val="single" w:sz="4" w:space="0" w:color="auto"/>
                  </w:tcBorders>
                  <w:noWrap/>
                  <w:vAlign w:val="center"/>
                  <w:hideMark/>
                </w:tcPr>
                <w:p w14:paraId="1B803DFC" w14:textId="77777777" w:rsidR="008173DE" w:rsidRPr="00064185" w:rsidRDefault="008173DE" w:rsidP="00EA61D8">
                  <w:pPr>
                    <w:rPr>
                      <w:rFonts w:cs="Arial"/>
                    </w:rPr>
                  </w:pPr>
                  <w:r w:rsidRPr="00064185">
                    <w:rPr>
                      <w:rFonts w:cs="Arial"/>
                    </w:rPr>
                    <w:t>at least 25 weeks (glaced tiles)</w:t>
                  </w:r>
                </w:p>
              </w:tc>
            </w:tr>
            <w:tr w:rsidR="00064185" w:rsidRPr="00064185" w14:paraId="4B53D652" w14:textId="77777777" w:rsidTr="00677160">
              <w:trPr>
                <w:trHeight w:val="1612"/>
              </w:trPr>
              <w:tc>
                <w:tcPr>
                  <w:tcW w:w="1556" w:type="dxa"/>
                  <w:tcBorders>
                    <w:left w:val="single" w:sz="4" w:space="0" w:color="auto"/>
                    <w:bottom w:val="single" w:sz="4" w:space="0" w:color="auto"/>
                    <w:right w:val="single" w:sz="4" w:space="0" w:color="auto"/>
                  </w:tcBorders>
                  <w:noWrap/>
                  <w:vAlign w:val="center"/>
                  <w:hideMark/>
                </w:tcPr>
                <w:p w14:paraId="44525A7F" w14:textId="77777777" w:rsidR="008173DE" w:rsidRPr="00064185" w:rsidRDefault="008173DE" w:rsidP="00EA61D8">
                  <w:pPr>
                    <w:rPr>
                      <w:b/>
                    </w:rPr>
                  </w:pPr>
                  <w:r w:rsidRPr="00064185">
                    <w:rPr>
                      <w:b/>
                    </w:rPr>
                    <w:t>Cockroaches</w:t>
                  </w:r>
                </w:p>
              </w:tc>
              <w:tc>
                <w:tcPr>
                  <w:tcW w:w="2692" w:type="dxa"/>
                  <w:tcBorders>
                    <w:bottom w:val="single" w:sz="4" w:space="0" w:color="auto"/>
                    <w:right w:val="single" w:sz="4" w:space="0" w:color="auto"/>
                  </w:tcBorders>
                  <w:noWrap/>
                  <w:vAlign w:val="center"/>
                </w:tcPr>
                <w:p w14:paraId="266684C4" w14:textId="77777777" w:rsidR="008173DE" w:rsidRPr="00064185" w:rsidRDefault="008173DE" w:rsidP="00EA61D8">
                  <w:r w:rsidRPr="00064185">
                    <w:t>10 min (German cockroach) up to 33 min (</w:t>
                  </w:r>
                  <w:r w:rsidRPr="00064185">
                    <w:rPr>
                      <w:i/>
                    </w:rPr>
                    <w:t>Blatta orientalis</w:t>
                  </w:r>
                  <w:r w:rsidRPr="00064185">
                    <w:t>)</w:t>
                  </w:r>
                </w:p>
              </w:tc>
              <w:tc>
                <w:tcPr>
                  <w:tcW w:w="2410" w:type="dxa"/>
                  <w:tcBorders>
                    <w:bottom w:val="single" w:sz="4" w:space="0" w:color="auto"/>
                    <w:right w:val="single" w:sz="4" w:space="0" w:color="auto"/>
                  </w:tcBorders>
                  <w:vAlign w:val="center"/>
                </w:tcPr>
                <w:p w14:paraId="6264D8AE" w14:textId="22D6CDF6" w:rsidR="008173DE" w:rsidRPr="00064185" w:rsidRDefault="008173DE" w:rsidP="00EA61D8">
                  <w:pPr>
                    <w:rPr>
                      <w:lang w:val="en-US"/>
                    </w:rPr>
                  </w:pPr>
                  <w:r w:rsidRPr="00064185">
                    <w:rPr>
                      <w:lang w:val="en-US"/>
                    </w:rPr>
                    <w:t>15 min (e.g. glazed tiles) -</w:t>
                  </w:r>
                  <w:r w:rsidRPr="00064185">
                    <w:rPr>
                      <w:lang w:val="en-US"/>
                    </w:rPr>
                    <w:br/>
                    <w:t xml:space="preserve"> 6 h (e.g. vinyl flooring</w:t>
                  </w:r>
                  <w:r w:rsidR="00775FF9" w:rsidRPr="00064185">
                    <w:rPr>
                      <w:lang w:val="en-US"/>
                    </w:rPr>
                    <w:t>, PVC</w:t>
                  </w:r>
                  <w:r w:rsidRPr="00064185">
                    <w:rPr>
                      <w:lang w:val="en-US"/>
                    </w:rPr>
                    <w:t>)</w:t>
                  </w:r>
                </w:p>
                <w:p w14:paraId="460029BF" w14:textId="24842912" w:rsidR="00677160" w:rsidRPr="00064185" w:rsidRDefault="00677160" w:rsidP="00EA61D8">
                  <w:pPr>
                    <w:rPr>
                      <w:lang w:val="en-US"/>
                    </w:rPr>
                  </w:pPr>
                </w:p>
              </w:tc>
              <w:tc>
                <w:tcPr>
                  <w:tcW w:w="2126" w:type="dxa"/>
                  <w:tcBorders>
                    <w:bottom w:val="single" w:sz="4" w:space="0" w:color="auto"/>
                    <w:right w:val="single" w:sz="4" w:space="0" w:color="auto"/>
                  </w:tcBorders>
                  <w:vAlign w:val="center"/>
                </w:tcPr>
                <w:p w14:paraId="6ACF6490" w14:textId="6E686A59" w:rsidR="008173DE" w:rsidRPr="00064185" w:rsidRDefault="008173DE" w:rsidP="00EA61D8">
                  <w:pPr>
                    <w:rPr>
                      <w:lang w:val="en-US"/>
                    </w:rPr>
                  </w:pPr>
                  <w:r w:rsidRPr="00064185">
                    <w:rPr>
                      <w:lang w:val="en-US"/>
                    </w:rPr>
                    <w:t>at least 1 week (e.g. vinyl flooring</w:t>
                  </w:r>
                  <w:r w:rsidR="00035F57" w:rsidRPr="00064185">
                    <w:rPr>
                      <w:rFonts w:cs="Arial"/>
                      <w:lang w:val="en-US"/>
                    </w:rPr>
                    <w:t>, PVC</w:t>
                  </w:r>
                  <w:r w:rsidRPr="00064185">
                    <w:rPr>
                      <w:lang w:val="en-US"/>
                    </w:rPr>
                    <w:t>)</w:t>
                  </w:r>
                </w:p>
                <w:p w14:paraId="0CD5C076" w14:textId="77777777" w:rsidR="0007421D" w:rsidRPr="00064185" w:rsidRDefault="0007421D" w:rsidP="00EA61D8">
                  <w:pPr>
                    <w:rPr>
                      <w:rFonts w:cs="Arial"/>
                      <w:lang w:val="en-US"/>
                    </w:rPr>
                  </w:pPr>
                </w:p>
                <w:p w14:paraId="0F4E565D" w14:textId="3E0BA89D" w:rsidR="00677160" w:rsidRPr="00064185" w:rsidRDefault="00677160" w:rsidP="00EA61D8">
                  <w:pPr>
                    <w:rPr>
                      <w:lang w:val="en-US"/>
                    </w:rPr>
                  </w:pPr>
                  <w:r w:rsidRPr="00064185">
                    <w:rPr>
                      <w:lang w:val="en-US"/>
                    </w:rPr>
                    <w:t>every 24 weeks (non-porous ground e.g. glazed tiles)</w:t>
                  </w:r>
                </w:p>
              </w:tc>
            </w:tr>
          </w:tbl>
          <w:p w14:paraId="3336DDAC" w14:textId="77777777" w:rsidR="00960F8C" w:rsidRPr="00064185" w:rsidRDefault="00960F8C" w:rsidP="00960F8C">
            <w:pPr>
              <w:pStyle w:val="Column3"/>
              <w:spacing w:line="240" w:lineRule="auto"/>
              <w:ind w:left="0"/>
              <w:rPr>
                <w:rFonts w:ascii="Verdana" w:hAnsi="Verdana" w:cs="Arial"/>
                <w:sz w:val="20"/>
                <w:lang w:val="en-GB"/>
              </w:rPr>
            </w:pPr>
          </w:p>
          <w:p w14:paraId="07BD7E81" w14:textId="77777777" w:rsidR="00960F8C" w:rsidRPr="00064185" w:rsidRDefault="00960F8C" w:rsidP="00960F8C">
            <w:pPr>
              <w:pStyle w:val="Column3"/>
              <w:spacing w:line="240" w:lineRule="auto"/>
              <w:ind w:left="0"/>
              <w:rPr>
                <w:rFonts w:ascii="Arial" w:hAnsi="Arial" w:cs="Arial"/>
                <w:sz w:val="20"/>
                <w:lang w:val="en-GB"/>
              </w:rPr>
            </w:pPr>
            <w:r w:rsidRPr="00064185">
              <w:rPr>
                <w:rFonts w:ascii="Verdana" w:hAnsi="Verdana" w:cs="Arial"/>
                <w:sz w:val="20"/>
                <w:lang w:val="en-GB"/>
              </w:rPr>
              <w:t>The current guidance for PT 18 (2012) was not available at the time of the initial application. At the renewal stage, new data to address the requirements in the most up to date guidance will be required</w:t>
            </w:r>
            <w:r w:rsidRPr="00064185">
              <w:rPr>
                <w:rFonts w:ascii="Arial" w:hAnsi="Arial" w:cs="Arial"/>
                <w:sz w:val="20"/>
                <w:lang w:val="en-GB"/>
              </w:rPr>
              <w:t>.</w:t>
            </w:r>
          </w:p>
          <w:p w14:paraId="522F4A73" w14:textId="5DA0DC81" w:rsidR="006129EF" w:rsidRPr="00064185" w:rsidRDefault="003205DE" w:rsidP="00EA61D8">
            <w:pPr>
              <w:rPr>
                <w:rFonts w:cs="Arial"/>
              </w:rPr>
            </w:pPr>
            <w:r w:rsidRPr="00064185">
              <w:rPr>
                <w:rFonts w:cs="Arial"/>
              </w:rPr>
              <w:t>In accordance with the TNsG (2012) it is necessary to provide simulated use tests against</w:t>
            </w:r>
            <w:r w:rsidR="00C96B61" w:rsidRPr="00064185">
              <w:rPr>
                <w:rFonts w:cs="Arial"/>
              </w:rPr>
              <w:t xml:space="preserve"> the</w:t>
            </w:r>
            <w:r w:rsidRPr="00064185">
              <w:rPr>
                <w:rFonts w:cs="Arial"/>
              </w:rPr>
              <w:t xml:space="preserve"> claimed target species. However, the application was made before the TNsG we</w:t>
            </w:r>
            <w:r w:rsidR="006129EF" w:rsidRPr="00064185">
              <w:rPr>
                <w:rFonts w:cs="Arial"/>
              </w:rPr>
              <w:t xml:space="preserve">re available for 2 years </w:t>
            </w:r>
            <w:r w:rsidR="00220E4F" w:rsidRPr="00064185">
              <w:rPr>
                <w:rFonts w:cs="Arial"/>
              </w:rPr>
              <w:t>(</w:t>
            </w:r>
            <w:r w:rsidR="006129EF" w:rsidRPr="00064185">
              <w:rPr>
                <w:rFonts w:cs="Arial"/>
              </w:rPr>
              <w:t>the application has been submitted in September 2013</w:t>
            </w:r>
            <w:r w:rsidR="00220E4F" w:rsidRPr="00064185">
              <w:rPr>
                <w:rFonts w:cs="Arial"/>
              </w:rPr>
              <w:t>)</w:t>
            </w:r>
            <w:r w:rsidR="006129EF" w:rsidRPr="00064185">
              <w:rPr>
                <w:rFonts w:cs="Arial"/>
              </w:rPr>
              <w:t>.</w:t>
            </w:r>
          </w:p>
          <w:p w14:paraId="6C1048B0" w14:textId="445115AC" w:rsidR="00DD24F3" w:rsidRPr="00064185" w:rsidRDefault="001C5127" w:rsidP="00DD24F3">
            <w:pPr>
              <w:rPr>
                <w:rFonts w:eastAsia="Calibri"/>
                <w:lang w:eastAsia="en-US"/>
              </w:rPr>
            </w:pPr>
            <w:r w:rsidRPr="00064185">
              <w:rPr>
                <w:rFonts w:cs="Arial"/>
                <w:lang w:val="en"/>
              </w:rPr>
              <w:t>T</w:t>
            </w:r>
            <w:r w:rsidR="00220E4F" w:rsidRPr="00064185">
              <w:rPr>
                <w:rFonts w:cs="Arial"/>
                <w:lang w:val="en"/>
              </w:rPr>
              <w:t>he previou</w:t>
            </w:r>
            <w:r w:rsidRPr="00064185">
              <w:rPr>
                <w:rFonts w:cs="Arial"/>
                <w:lang w:val="en"/>
              </w:rPr>
              <w:t>s guideline (</w:t>
            </w:r>
            <w:r w:rsidRPr="00064185">
              <w:rPr>
                <w:rFonts w:cs="Arial"/>
              </w:rPr>
              <w:t xml:space="preserve">TNsG on Product evaluation Feb 08) </w:t>
            </w:r>
            <w:r w:rsidRPr="00064185">
              <w:rPr>
                <w:rFonts w:cs="Arial"/>
                <w:lang w:val="en"/>
              </w:rPr>
              <w:t>does not provide</w:t>
            </w:r>
            <w:r w:rsidR="00220E4F" w:rsidRPr="00064185">
              <w:rPr>
                <w:rFonts w:cs="Arial"/>
                <w:lang w:val="en"/>
              </w:rPr>
              <w:t xml:space="preserve"> clear statements</w:t>
            </w:r>
            <w:r w:rsidRPr="00064185">
              <w:rPr>
                <w:rFonts w:cs="Arial"/>
                <w:lang w:val="en"/>
              </w:rPr>
              <w:t xml:space="preserve">. </w:t>
            </w:r>
            <w:r w:rsidR="006129EF" w:rsidRPr="00064185">
              <w:rPr>
                <w:rFonts w:eastAsia="Calibri" w:cs="Arial"/>
                <w:lang w:eastAsia="en-US"/>
              </w:rPr>
              <w:t xml:space="preserve">As a compromise, an authorisation of the product on the basis of the available data and the ambiguous guidance is done, provided that an application for change will be </w:t>
            </w:r>
            <w:r w:rsidR="006129EF" w:rsidRPr="00064185">
              <w:rPr>
                <w:rFonts w:eastAsia="Calibri" w:cs="Arial"/>
                <w:lang w:eastAsia="en-US"/>
              </w:rPr>
              <w:lastRenderedPageBreak/>
              <w:t xml:space="preserve">submitted </w:t>
            </w:r>
            <w:r w:rsidRPr="00064185">
              <w:rPr>
                <w:rFonts w:eastAsia="Calibri" w:cs="Arial"/>
                <w:lang w:eastAsia="en-US"/>
              </w:rPr>
              <w:t xml:space="preserve">within </w:t>
            </w:r>
            <w:r w:rsidR="006129EF" w:rsidRPr="00064185">
              <w:rPr>
                <w:rFonts w:eastAsia="Calibri" w:cs="Arial"/>
                <w:lang w:eastAsia="en-US"/>
              </w:rPr>
              <w:t xml:space="preserve">1 year post authorisation which is based on new data. The data </w:t>
            </w:r>
            <w:r w:rsidRPr="00064185">
              <w:rPr>
                <w:rFonts w:eastAsia="Calibri" w:cs="Arial"/>
                <w:lang w:eastAsia="en-US"/>
              </w:rPr>
              <w:t xml:space="preserve">for the </w:t>
            </w:r>
            <w:r w:rsidR="00220E4F" w:rsidRPr="00064185">
              <w:rPr>
                <w:rFonts w:eastAsia="Calibri" w:cs="Arial"/>
                <w:lang w:eastAsia="en-US"/>
              </w:rPr>
              <w:t>change should comply with the current guidelines</w:t>
            </w:r>
            <w:r w:rsidR="00220E4F" w:rsidRPr="00064185">
              <w:rPr>
                <w:rFonts w:eastAsia="Calibri"/>
                <w:lang w:eastAsia="en-US"/>
              </w:rPr>
              <w:t>.</w:t>
            </w:r>
          </w:p>
        </w:tc>
      </w:tr>
    </w:tbl>
    <w:p w14:paraId="556764DD" w14:textId="77777777" w:rsidR="00DD0AA0" w:rsidRPr="00064185" w:rsidRDefault="00DD0AA0" w:rsidP="00EA61D8">
      <w:pPr>
        <w:spacing w:line="260" w:lineRule="atLeast"/>
        <w:ind w:left="360"/>
        <w:rPr>
          <w:rFonts w:eastAsia="Calibri"/>
          <w:lang w:eastAsia="en-US"/>
        </w:rPr>
      </w:pPr>
    </w:p>
    <w:p w14:paraId="79094107" w14:textId="77777777" w:rsidR="000835FA" w:rsidRPr="00064185" w:rsidRDefault="000835FA" w:rsidP="00EA61D8">
      <w:pPr>
        <w:spacing w:line="260" w:lineRule="atLeast"/>
        <w:ind w:left="360"/>
        <w:rPr>
          <w:rFonts w:eastAsia="Calibri"/>
          <w:lang w:eastAsia="en-US"/>
        </w:rPr>
      </w:pPr>
    </w:p>
    <w:p w14:paraId="24EA5E72" w14:textId="77777777" w:rsidR="00670473" w:rsidRPr="00064185" w:rsidRDefault="00670473" w:rsidP="00EA61D8">
      <w:pPr>
        <w:spacing w:line="260" w:lineRule="atLeast"/>
        <w:ind w:left="360"/>
        <w:rPr>
          <w:rFonts w:eastAsia="Calibri"/>
          <w:lang w:eastAsia="en-US"/>
        </w:rPr>
      </w:pPr>
    </w:p>
    <w:p w14:paraId="4E360764" w14:textId="77777777" w:rsidR="00A53EE0" w:rsidRPr="00064185" w:rsidRDefault="00A53EE0" w:rsidP="00EA61D8">
      <w:pPr>
        <w:pStyle w:val="berschrift4"/>
        <w:jc w:val="left"/>
        <w:rPr>
          <w:lang w:val="en-GB"/>
        </w:rPr>
      </w:pPr>
      <w:bookmarkStart w:id="1586" w:name="_Toc389729040"/>
      <w:bookmarkStart w:id="1587" w:name="_Toc403472749"/>
      <w:bookmarkStart w:id="1588" w:name="_Toc440879657"/>
      <w:bookmarkStart w:id="1589" w:name="_Toc440889970"/>
      <w:bookmarkStart w:id="1590" w:name="_Toc530563675"/>
      <w:r w:rsidRPr="00064185">
        <w:rPr>
          <w:lang w:val="en-GB"/>
        </w:rPr>
        <w:t>Occurrence of resistance and resistance management</w:t>
      </w:r>
      <w:bookmarkEnd w:id="1586"/>
      <w:bookmarkEnd w:id="1587"/>
      <w:bookmarkEnd w:id="1588"/>
      <w:bookmarkEnd w:id="1589"/>
      <w:bookmarkEnd w:id="1590"/>
    </w:p>
    <w:p w14:paraId="1B98B424" w14:textId="2B404CB7" w:rsidR="00ED173D" w:rsidRPr="00064185" w:rsidRDefault="00322855" w:rsidP="00403806">
      <w:pPr>
        <w:spacing w:line="260" w:lineRule="atLeast"/>
        <w:jc w:val="both"/>
        <w:rPr>
          <w:rFonts w:eastAsia="Calibri"/>
          <w:iCs/>
          <w:lang w:eastAsia="en-US"/>
        </w:rPr>
      </w:pPr>
      <w:r w:rsidRPr="00064185">
        <w:rPr>
          <w:rFonts w:eastAsia="Calibri"/>
          <w:iCs/>
          <w:lang w:eastAsia="en-US"/>
        </w:rPr>
        <w:t xml:space="preserve">As </w:t>
      </w:r>
      <w:r w:rsidR="00ED6602" w:rsidRPr="00064185">
        <w:rPr>
          <w:rFonts w:eastAsia="Calibri"/>
          <w:iCs/>
          <w:lang w:eastAsia="en-US"/>
        </w:rPr>
        <w:t>the treatment is very local</w:t>
      </w:r>
      <w:r w:rsidR="00ED173D" w:rsidRPr="00064185">
        <w:rPr>
          <w:rFonts w:eastAsia="Calibri"/>
          <w:iCs/>
          <w:lang w:eastAsia="en-US"/>
        </w:rPr>
        <w:t xml:space="preserve"> (no massive or big areas treated), and the strategic spraying around the</w:t>
      </w:r>
      <w:r w:rsidR="00187838" w:rsidRPr="00064185">
        <w:rPr>
          <w:rFonts w:eastAsia="Calibri"/>
          <w:iCs/>
          <w:lang w:eastAsia="en-US"/>
        </w:rPr>
        <w:t xml:space="preserve"> nest or on limited ground</w:t>
      </w:r>
      <w:r w:rsidR="00ED173D" w:rsidRPr="00064185">
        <w:rPr>
          <w:rFonts w:eastAsia="Calibri"/>
          <w:iCs/>
          <w:lang w:eastAsia="en-US"/>
        </w:rPr>
        <w:t xml:space="preserve"> areas avoids dispersing the substance into the environment. This further reduces the risk of resistance developing.</w:t>
      </w:r>
    </w:p>
    <w:p w14:paraId="4C43785C" w14:textId="77777777" w:rsidR="00A53EE0" w:rsidRPr="00064185" w:rsidRDefault="00ED173D" w:rsidP="00403806">
      <w:pPr>
        <w:spacing w:line="260" w:lineRule="atLeast"/>
        <w:jc w:val="both"/>
        <w:rPr>
          <w:rFonts w:eastAsia="Calibri"/>
          <w:iCs/>
          <w:lang w:eastAsia="en-US"/>
        </w:rPr>
      </w:pPr>
      <w:r w:rsidRPr="00064185">
        <w:rPr>
          <w:rFonts w:eastAsia="Calibri"/>
          <w:iCs/>
          <w:lang w:eastAsia="en-US"/>
        </w:rPr>
        <w:t xml:space="preserve">For the biocidal use of </w:t>
      </w:r>
      <w:r w:rsidRPr="00064185">
        <w:rPr>
          <w:rFonts w:eastAsia="Calibri"/>
          <w:i/>
          <w:lang w:eastAsia="en-US"/>
        </w:rPr>
        <w:t>lambda</w:t>
      </w:r>
      <w:r w:rsidRPr="00064185">
        <w:rPr>
          <w:rFonts w:eastAsia="Calibri"/>
          <w:iCs/>
          <w:lang w:eastAsia="en-US"/>
        </w:rPr>
        <w:t>-cyhalothrin against Lasius spp. (garden ants) the probability of resistance is very low due to the eusocial lifestyle of ants.</w:t>
      </w:r>
      <w:r w:rsidR="00E93DF3" w:rsidRPr="00064185">
        <w:rPr>
          <w:rFonts w:eastAsia="Calibri"/>
          <w:iCs/>
          <w:lang w:eastAsia="en-US"/>
        </w:rPr>
        <w:t xml:space="preserve"> </w:t>
      </w:r>
      <w:r w:rsidRPr="00064185">
        <w:rPr>
          <w:rFonts w:eastAsia="Calibri"/>
          <w:iCs/>
          <w:lang w:eastAsia="en-US"/>
        </w:rPr>
        <w:t>The individuals of this species are social insects from which only the queen can reproduce. A great part of worker ants will not be able to transfer food to the nest colony after contamination whereas other ants might be able to reach the nest with the microcapsules. Therefore, even if some worker ants would survive, the colony would disappear if the queen is dead, i.e. the resistance could then not be passed on to offspring.</w:t>
      </w:r>
    </w:p>
    <w:p w14:paraId="536D2C80" w14:textId="77777777" w:rsidR="00BA55D8" w:rsidRPr="00064185" w:rsidRDefault="00BA55D8" w:rsidP="00403806">
      <w:pPr>
        <w:spacing w:line="260" w:lineRule="atLeast"/>
        <w:jc w:val="both"/>
        <w:rPr>
          <w:rFonts w:eastAsia="Calibri"/>
          <w:iCs/>
          <w:lang w:eastAsia="en-US"/>
        </w:rPr>
      </w:pPr>
    </w:p>
    <w:p w14:paraId="1560D1B8" w14:textId="77777777" w:rsidR="00C43FAC" w:rsidRPr="00064185" w:rsidRDefault="00C43FAC" w:rsidP="00403806">
      <w:pPr>
        <w:spacing w:line="260" w:lineRule="atLeast"/>
        <w:jc w:val="both"/>
        <w:rPr>
          <w:rFonts w:eastAsia="Calibri"/>
          <w:lang w:eastAsia="en-US"/>
        </w:rPr>
      </w:pPr>
      <w:r w:rsidRPr="00064185">
        <w:rPr>
          <w:rFonts w:eastAsia="Calibri"/>
          <w:lang w:eastAsia="en-US"/>
        </w:rPr>
        <w:t xml:space="preserve">To avoid the development of resistance in susceptible insect populations, the following recommendations have to be implemented: </w:t>
      </w:r>
    </w:p>
    <w:p w14:paraId="5E078773" w14:textId="56277DEF" w:rsidR="00C43FAC" w:rsidRPr="00064185" w:rsidRDefault="00C43FAC" w:rsidP="00403806">
      <w:pPr>
        <w:spacing w:line="260" w:lineRule="atLeast"/>
        <w:jc w:val="both"/>
        <w:rPr>
          <w:rFonts w:eastAsia="Calibri"/>
          <w:lang w:eastAsia="en-US"/>
        </w:rPr>
      </w:pPr>
    </w:p>
    <w:p w14:paraId="61E42F13" w14:textId="51DC7BA7" w:rsidR="00C43FAC" w:rsidRPr="00064185" w:rsidRDefault="00C43FAC" w:rsidP="00403806">
      <w:pPr>
        <w:spacing w:line="260" w:lineRule="atLeast"/>
        <w:jc w:val="both"/>
        <w:rPr>
          <w:rFonts w:eastAsia="Calibri"/>
          <w:lang w:eastAsia="en-US"/>
        </w:rPr>
      </w:pPr>
      <w:r w:rsidRPr="00064185">
        <w:rPr>
          <w:rFonts w:eastAsia="Calibri"/>
          <w:lang w:eastAsia="en-US"/>
        </w:rPr>
        <w:t xml:space="preserve">- Inform the authorisation holder if the treatment is ineffective. </w:t>
      </w:r>
    </w:p>
    <w:p w14:paraId="09EEE61D" w14:textId="77777777" w:rsidR="00C43FAC" w:rsidRPr="00064185" w:rsidRDefault="00C43FAC" w:rsidP="00403806">
      <w:pPr>
        <w:spacing w:line="260" w:lineRule="atLeast"/>
        <w:jc w:val="both"/>
        <w:rPr>
          <w:rFonts w:eastAsia="Calibri"/>
          <w:lang w:eastAsia="en-US"/>
        </w:rPr>
      </w:pPr>
      <w:r w:rsidRPr="00064185">
        <w:rPr>
          <w:rFonts w:eastAsia="Calibri"/>
          <w:lang w:eastAsia="en-US"/>
        </w:rPr>
        <w:t>- If the infestation persists despite following the instructions of the label, contact a pest control professional.</w:t>
      </w:r>
    </w:p>
    <w:p w14:paraId="3B78A799" w14:textId="6F043AE0" w:rsidR="00C43FAC" w:rsidRPr="00064185" w:rsidRDefault="003F77A7" w:rsidP="00403806">
      <w:pPr>
        <w:spacing w:line="260" w:lineRule="atLeast"/>
        <w:jc w:val="both"/>
        <w:rPr>
          <w:rFonts w:eastAsia="Calibri"/>
          <w:iCs/>
          <w:lang w:eastAsia="en-US"/>
        </w:rPr>
      </w:pPr>
      <w:r w:rsidRPr="00064185">
        <w:rPr>
          <w:rFonts w:eastAsia="Calibri"/>
          <w:iCs/>
          <w:lang w:eastAsia="en-US"/>
        </w:rPr>
        <w:t xml:space="preserve">- </w:t>
      </w:r>
      <w:r w:rsidR="004D72F8" w:rsidRPr="00064185">
        <w:rPr>
          <w:rFonts w:eastAsia="Calibri"/>
          <w:iCs/>
          <w:lang w:eastAsia="en-US"/>
        </w:rPr>
        <w:t>Adopt integrated pest management methods such as alternation between treatment strategies during the treatment regime (biological, chemical and mechanical), taking into account local specificities (climatic conditions, target species, conditions of use, etc.).</w:t>
      </w:r>
    </w:p>
    <w:p w14:paraId="25260F05" w14:textId="77777777" w:rsidR="0007510A" w:rsidRPr="00064185" w:rsidRDefault="0007510A" w:rsidP="00403806">
      <w:pPr>
        <w:spacing w:line="260" w:lineRule="atLeast"/>
        <w:jc w:val="both"/>
        <w:rPr>
          <w:rFonts w:ascii="Times New Roman" w:eastAsia="Calibri" w:hAnsi="Times New Roman"/>
          <w:i/>
          <w:iCs/>
          <w:lang w:eastAsia="en-US"/>
        </w:rPr>
      </w:pPr>
    </w:p>
    <w:p w14:paraId="6D5C3746" w14:textId="77777777" w:rsidR="000835FA" w:rsidRPr="00064185" w:rsidRDefault="000835FA" w:rsidP="00EA61D8">
      <w:pPr>
        <w:spacing w:line="260" w:lineRule="atLeast"/>
        <w:rPr>
          <w:rFonts w:ascii="Times New Roman" w:eastAsia="Calibri" w:hAnsi="Times New Roman"/>
          <w:i/>
          <w:iCs/>
          <w:lang w:eastAsia="en-US"/>
        </w:rPr>
      </w:pPr>
      <w:bookmarkStart w:id="1591" w:name="_Toc389725203"/>
      <w:bookmarkStart w:id="1592" w:name="_Toc389726195"/>
      <w:bookmarkStart w:id="1593" w:name="_Toc389727247"/>
      <w:bookmarkStart w:id="1594" w:name="_Toc389727605"/>
      <w:bookmarkStart w:id="1595" w:name="_Toc389727964"/>
      <w:bookmarkStart w:id="1596" w:name="_Toc389728323"/>
      <w:bookmarkStart w:id="1597" w:name="_Toc389728683"/>
      <w:bookmarkStart w:id="1598" w:name="_Toc389729041"/>
      <w:bookmarkStart w:id="1599" w:name="_Toc389725204"/>
      <w:bookmarkStart w:id="1600" w:name="_Toc389726196"/>
      <w:bookmarkStart w:id="1601" w:name="_Toc389727248"/>
      <w:bookmarkStart w:id="1602" w:name="_Toc389727606"/>
      <w:bookmarkStart w:id="1603" w:name="_Toc389727965"/>
      <w:bookmarkStart w:id="1604" w:name="_Toc389728324"/>
      <w:bookmarkStart w:id="1605" w:name="_Toc389728684"/>
      <w:bookmarkStart w:id="1606" w:name="_Toc389729042"/>
      <w:bookmarkStart w:id="1607" w:name="_Toc389729043"/>
      <w:bookmarkStart w:id="1608" w:name="_Toc403472750"/>
      <w:bookmarkStart w:id="1609" w:name="_Toc440879658"/>
      <w:bookmarkStart w:id="1610" w:name="_Toc440889971"/>
      <w:bookmarkStart w:id="1611" w:name="_Toc530563676"/>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14:paraId="401B03F7" w14:textId="77777777" w:rsidR="00A53EE0" w:rsidRPr="00064185" w:rsidRDefault="00A53EE0" w:rsidP="00EA61D8">
      <w:pPr>
        <w:pStyle w:val="berschrift4"/>
        <w:jc w:val="left"/>
      </w:pPr>
      <w:r w:rsidRPr="00064185">
        <w:t>Known limitations</w:t>
      </w:r>
      <w:bookmarkEnd w:id="1607"/>
      <w:bookmarkEnd w:id="1608"/>
      <w:bookmarkEnd w:id="1609"/>
      <w:bookmarkEnd w:id="1610"/>
      <w:bookmarkEnd w:id="1611"/>
    </w:p>
    <w:p w14:paraId="111C1AD8" w14:textId="77777777" w:rsidR="0023354B" w:rsidRPr="00064185" w:rsidRDefault="0023354B" w:rsidP="00403806">
      <w:pPr>
        <w:spacing w:line="260" w:lineRule="atLeast"/>
        <w:jc w:val="both"/>
        <w:rPr>
          <w:rFonts w:ascii="Times New Roman" w:eastAsia="Calibri" w:hAnsi="Times New Roman"/>
          <w:i/>
          <w:iCs/>
          <w:lang w:eastAsia="en-US"/>
        </w:rPr>
      </w:pPr>
      <w:r w:rsidRPr="00064185">
        <w:rPr>
          <w:rFonts w:eastAsia="Calibri"/>
          <w:iCs/>
          <w:lang w:eastAsia="en-US"/>
        </w:rPr>
        <w:t>No undesirable or unintended side effects e.g. on beneficial and other non-target organisms were observed.</w:t>
      </w:r>
    </w:p>
    <w:p w14:paraId="087B635D" w14:textId="77777777" w:rsidR="0007510A" w:rsidRPr="00064185" w:rsidRDefault="0007510A" w:rsidP="00403806">
      <w:pPr>
        <w:spacing w:line="260" w:lineRule="atLeast"/>
        <w:jc w:val="both"/>
        <w:rPr>
          <w:rFonts w:ascii="Times New Roman" w:eastAsia="Calibri" w:hAnsi="Times New Roman"/>
          <w:i/>
          <w:iCs/>
          <w:lang w:eastAsia="en-US"/>
        </w:rPr>
      </w:pPr>
    </w:p>
    <w:p w14:paraId="3196F781" w14:textId="77777777" w:rsidR="00D17FEC" w:rsidRPr="00064185" w:rsidRDefault="00D17FEC" w:rsidP="00403806">
      <w:pPr>
        <w:spacing w:line="260" w:lineRule="atLeast"/>
        <w:jc w:val="both"/>
        <w:rPr>
          <w:rFonts w:ascii="Times New Roman" w:eastAsia="Calibri" w:hAnsi="Times New Roman"/>
          <w:i/>
          <w:iCs/>
          <w:lang w:eastAsia="en-US"/>
        </w:rPr>
      </w:pPr>
    </w:p>
    <w:p w14:paraId="009FA50E" w14:textId="77777777" w:rsidR="00A53EE0" w:rsidRPr="00064185" w:rsidRDefault="009B2DB7" w:rsidP="00403806">
      <w:pPr>
        <w:pStyle w:val="berschrift4"/>
      </w:pPr>
      <w:bookmarkStart w:id="1612" w:name="_Toc389725206"/>
      <w:bookmarkStart w:id="1613" w:name="_Toc389726198"/>
      <w:bookmarkStart w:id="1614" w:name="_Toc389727250"/>
      <w:bookmarkStart w:id="1615" w:name="_Toc389727608"/>
      <w:bookmarkStart w:id="1616" w:name="_Toc389727967"/>
      <w:bookmarkStart w:id="1617" w:name="_Toc389728326"/>
      <w:bookmarkStart w:id="1618" w:name="_Toc389728686"/>
      <w:bookmarkStart w:id="1619" w:name="_Toc389729044"/>
      <w:bookmarkStart w:id="1620" w:name="_Toc389729045"/>
      <w:bookmarkStart w:id="1621" w:name="_Toc403472751"/>
      <w:bookmarkStart w:id="1622" w:name="_Toc440879659"/>
      <w:bookmarkStart w:id="1623" w:name="_Toc440889972"/>
      <w:bookmarkStart w:id="1624" w:name="_Toc530563677"/>
      <w:bookmarkEnd w:id="1612"/>
      <w:bookmarkEnd w:id="1613"/>
      <w:bookmarkEnd w:id="1614"/>
      <w:bookmarkEnd w:id="1615"/>
      <w:bookmarkEnd w:id="1616"/>
      <w:bookmarkEnd w:id="1617"/>
      <w:bookmarkEnd w:id="1618"/>
      <w:bookmarkEnd w:id="1619"/>
      <w:r w:rsidRPr="00064185">
        <w:t>E</w:t>
      </w:r>
      <w:r w:rsidR="00A53EE0" w:rsidRPr="00064185">
        <w:t>valuation of the label claims</w:t>
      </w:r>
      <w:bookmarkEnd w:id="1620"/>
      <w:bookmarkEnd w:id="1621"/>
      <w:bookmarkEnd w:id="1622"/>
      <w:bookmarkEnd w:id="1623"/>
      <w:bookmarkEnd w:id="1624"/>
    </w:p>
    <w:p w14:paraId="078BBB64" w14:textId="77777777" w:rsidR="00E117F8" w:rsidRPr="00064185" w:rsidRDefault="00E117F8" w:rsidP="00403806">
      <w:pPr>
        <w:spacing w:line="260" w:lineRule="atLeast"/>
        <w:jc w:val="both"/>
        <w:rPr>
          <w:rFonts w:eastAsia="Calibri"/>
          <w:iCs/>
          <w:lang w:eastAsia="en-US"/>
        </w:rPr>
      </w:pPr>
      <w:r w:rsidRPr="00064185">
        <w:rPr>
          <w:rFonts w:eastAsia="Calibri"/>
          <w:iCs/>
          <w:lang w:eastAsia="en-US"/>
        </w:rPr>
        <w:t>The label claims reflect the efficacy of the biocidal product.</w:t>
      </w:r>
    </w:p>
    <w:p w14:paraId="16A0B2BD" w14:textId="77777777" w:rsidR="0007510A" w:rsidRPr="00064185" w:rsidRDefault="0007510A" w:rsidP="00403806">
      <w:pPr>
        <w:spacing w:line="260" w:lineRule="atLeast"/>
        <w:jc w:val="both"/>
        <w:rPr>
          <w:rFonts w:ascii="Times New Roman" w:eastAsia="Calibri" w:hAnsi="Times New Roman" w:cs="Arial"/>
          <w:bCs/>
          <w:caps/>
          <w:szCs w:val="28"/>
          <w:lang w:eastAsia="en-US"/>
        </w:rPr>
      </w:pPr>
    </w:p>
    <w:p w14:paraId="7C4DF06C" w14:textId="77777777" w:rsidR="00D17FEC" w:rsidRPr="00064185" w:rsidRDefault="00D17FEC" w:rsidP="00403806">
      <w:pPr>
        <w:spacing w:line="260" w:lineRule="atLeast"/>
        <w:jc w:val="both"/>
        <w:rPr>
          <w:rFonts w:ascii="Times New Roman" w:eastAsia="Calibri" w:hAnsi="Times New Roman" w:cs="Arial"/>
          <w:bCs/>
          <w:caps/>
          <w:szCs w:val="28"/>
          <w:lang w:eastAsia="en-US"/>
        </w:rPr>
      </w:pPr>
    </w:p>
    <w:p w14:paraId="2DF5BF9C" w14:textId="77777777" w:rsidR="00A53EE0" w:rsidRPr="00064185" w:rsidRDefault="00A53EE0" w:rsidP="00403806">
      <w:pPr>
        <w:pStyle w:val="berschrift4"/>
        <w:rPr>
          <w:lang w:val="en-GB"/>
        </w:rPr>
      </w:pPr>
      <w:bookmarkStart w:id="1625" w:name="_Toc389729046"/>
      <w:bookmarkStart w:id="1626" w:name="_Toc403472752"/>
      <w:bookmarkStart w:id="1627" w:name="_Toc440879660"/>
      <w:bookmarkStart w:id="1628" w:name="_Toc440889973"/>
      <w:bookmarkStart w:id="1629" w:name="_Toc530563678"/>
      <w:r w:rsidRPr="00064185">
        <w:rPr>
          <w:lang w:val="en-GB"/>
        </w:rPr>
        <w:t>Relevant information if the product is intended to be authorised for use with other biocidal product(s)</w:t>
      </w:r>
      <w:bookmarkEnd w:id="1625"/>
      <w:bookmarkEnd w:id="1626"/>
      <w:bookmarkEnd w:id="1627"/>
      <w:bookmarkEnd w:id="1628"/>
      <w:bookmarkEnd w:id="1629"/>
    </w:p>
    <w:p w14:paraId="47C495AE" w14:textId="77777777" w:rsidR="00ED173D" w:rsidRPr="00064185" w:rsidRDefault="00ED173D" w:rsidP="00403806">
      <w:pPr>
        <w:jc w:val="both"/>
        <w:rPr>
          <w:rFonts w:eastAsia="Calibri"/>
          <w:lang w:eastAsia="en-US"/>
        </w:rPr>
      </w:pPr>
      <w:r w:rsidRPr="00064185">
        <w:rPr>
          <w:rFonts w:eastAsia="Calibri"/>
        </w:rPr>
        <w:t>The biocidal product is not intended to be used with other products including other biocidal products.</w:t>
      </w:r>
    </w:p>
    <w:p w14:paraId="5BAF19C6" w14:textId="77777777" w:rsidR="00A53EE0" w:rsidRPr="00064185" w:rsidRDefault="00A53EE0" w:rsidP="00403806">
      <w:pPr>
        <w:pStyle w:val="berschrift3"/>
        <w:jc w:val="both"/>
        <w:rPr>
          <w:rFonts w:eastAsia="Calibri"/>
          <w:lang w:eastAsia="en-US"/>
        </w:rPr>
      </w:pPr>
      <w:r w:rsidRPr="00064185">
        <w:rPr>
          <w:rFonts w:eastAsia="Calibri"/>
          <w:u w:val="single"/>
          <w:lang w:val="en-US" w:eastAsia="en-US"/>
        </w:rPr>
        <w:br w:type="page"/>
      </w:r>
      <w:bookmarkStart w:id="1630" w:name="_Toc389729047"/>
      <w:bookmarkStart w:id="1631" w:name="_Toc440879661"/>
      <w:bookmarkStart w:id="1632" w:name="_Toc440889974"/>
      <w:bookmarkStart w:id="1633" w:name="_Toc530563679"/>
      <w:r w:rsidRPr="00064185">
        <w:rPr>
          <w:rFonts w:eastAsia="Calibri"/>
          <w:lang w:eastAsia="en-US"/>
        </w:rPr>
        <w:lastRenderedPageBreak/>
        <w:t>Risk assessment for human health</w:t>
      </w:r>
      <w:bookmarkEnd w:id="1630"/>
      <w:bookmarkEnd w:id="1631"/>
      <w:bookmarkEnd w:id="1632"/>
      <w:bookmarkEnd w:id="1633"/>
    </w:p>
    <w:p w14:paraId="0BEEF688" w14:textId="77777777" w:rsidR="00A53EE0" w:rsidRPr="00064185" w:rsidRDefault="00A53EE0" w:rsidP="00EA61D8">
      <w:pPr>
        <w:pStyle w:val="berschrift4"/>
        <w:numPr>
          <w:ilvl w:val="0"/>
          <w:numId w:val="13"/>
        </w:numPr>
        <w:jc w:val="left"/>
        <w:rPr>
          <w:lang w:val="en-GB"/>
        </w:rPr>
      </w:pPr>
      <w:bookmarkStart w:id="1634" w:name="_Toc388281591"/>
      <w:bookmarkStart w:id="1635" w:name="_Toc388282047"/>
      <w:bookmarkStart w:id="1636" w:name="_Toc388282529"/>
      <w:bookmarkStart w:id="1637" w:name="_Toc388282977"/>
      <w:bookmarkStart w:id="1638" w:name="_Toc403472753"/>
      <w:bookmarkStart w:id="1639" w:name="_Toc440879662"/>
      <w:bookmarkStart w:id="1640" w:name="_Toc440889975"/>
      <w:bookmarkStart w:id="1641" w:name="_Toc530563680"/>
      <w:bookmarkStart w:id="1642" w:name="_Toc389729048"/>
      <w:bookmarkEnd w:id="1634"/>
      <w:bookmarkEnd w:id="1635"/>
      <w:bookmarkEnd w:id="1636"/>
      <w:bookmarkEnd w:id="1637"/>
      <w:r w:rsidRPr="00064185">
        <w:rPr>
          <w:lang w:val="en-GB"/>
        </w:rPr>
        <w:t>Assessment of effects on Human Health</w:t>
      </w:r>
      <w:bookmarkEnd w:id="1638"/>
      <w:bookmarkEnd w:id="1639"/>
      <w:bookmarkEnd w:id="1640"/>
      <w:bookmarkEnd w:id="1641"/>
      <w:r w:rsidRPr="00064185">
        <w:rPr>
          <w:lang w:val="en-GB"/>
        </w:rPr>
        <w:t xml:space="preserve"> </w:t>
      </w:r>
      <w:bookmarkEnd w:id="1642"/>
    </w:p>
    <w:p w14:paraId="69746864" w14:textId="77777777" w:rsidR="00A53EE0" w:rsidRPr="00064185" w:rsidRDefault="00A53EE0" w:rsidP="00EA61D8">
      <w:pPr>
        <w:rPr>
          <w:rFonts w:eastAsia="Calibri"/>
          <w:b/>
          <w:i/>
          <w:sz w:val="22"/>
          <w:szCs w:val="22"/>
          <w:lang w:eastAsia="en-US"/>
        </w:rPr>
      </w:pPr>
      <w:bookmarkStart w:id="1643" w:name="_Toc388281593"/>
      <w:bookmarkStart w:id="1644" w:name="_Toc388282049"/>
      <w:bookmarkStart w:id="1645" w:name="_Toc388282531"/>
      <w:bookmarkStart w:id="1646" w:name="_Toc388282979"/>
      <w:bookmarkStart w:id="1647" w:name="_Toc388285291"/>
      <w:bookmarkStart w:id="1648" w:name="_Toc388374325"/>
      <w:bookmarkStart w:id="1649" w:name="_Toc389729049"/>
      <w:bookmarkStart w:id="1650" w:name="_Toc403472754"/>
      <w:bookmarkEnd w:id="1643"/>
      <w:bookmarkEnd w:id="1644"/>
      <w:bookmarkEnd w:id="1645"/>
      <w:bookmarkEnd w:id="1646"/>
      <w:bookmarkEnd w:id="1647"/>
      <w:bookmarkEnd w:id="1648"/>
      <w:r w:rsidRPr="00064185">
        <w:rPr>
          <w:rFonts w:eastAsia="Calibri"/>
          <w:b/>
          <w:i/>
          <w:sz w:val="22"/>
          <w:szCs w:val="22"/>
          <w:lang w:eastAsia="en-US"/>
        </w:rPr>
        <w:t>Skin corrosion and irritation</w:t>
      </w:r>
      <w:bookmarkEnd w:id="1649"/>
      <w:bookmarkEnd w:id="1650"/>
    </w:p>
    <w:p w14:paraId="31D5ABE1" w14:textId="77777777" w:rsidR="00A53EE0" w:rsidRPr="00064185" w:rsidRDefault="00A53EE0" w:rsidP="00EA61D8">
      <w:pPr>
        <w:spacing w:line="260" w:lineRule="atLeast"/>
        <w:rPr>
          <w:rFonts w:ascii="Times New Roman" w:eastAsia="Calibri" w:hAnsi="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064185" w:rsidRPr="00064185" w14:paraId="59BE2DA0" w14:textId="77777777" w:rsidTr="00922E8F">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D2FB1A0"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Conclusion used in Risk Assessment – Skin corrosion and irritation</w:t>
            </w:r>
          </w:p>
        </w:tc>
      </w:tr>
      <w:tr w:rsidR="00064185" w:rsidRPr="00064185" w14:paraId="0D9ACAD8" w14:textId="77777777" w:rsidTr="00922E8F">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6FE93F8B" w14:textId="77777777" w:rsidR="00A53EE0" w:rsidRPr="00064185" w:rsidRDefault="00A53EE0" w:rsidP="00EA61D8">
            <w:pPr>
              <w:spacing w:line="260" w:lineRule="atLeast"/>
              <w:rPr>
                <w:rFonts w:eastAsia="Calibri"/>
                <w:lang w:eastAsia="en-US"/>
              </w:rPr>
            </w:pPr>
            <w:r w:rsidRPr="00064185">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6237B154" w14:textId="77777777" w:rsidR="00A53EE0" w:rsidRPr="00064185" w:rsidRDefault="002F2B54" w:rsidP="00EA61D8">
            <w:pPr>
              <w:spacing w:line="260" w:lineRule="atLeast"/>
              <w:rPr>
                <w:rFonts w:eastAsia="Calibri"/>
                <w:lang w:eastAsia="en-US"/>
              </w:rPr>
            </w:pPr>
            <w:r w:rsidRPr="00064185">
              <w:rPr>
                <w:rFonts w:eastAsia="Calibri"/>
                <w:lang w:eastAsia="en-US"/>
              </w:rPr>
              <w:t>Not irritating to skin.</w:t>
            </w:r>
          </w:p>
        </w:tc>
      </w:tr>
      <w:tr w:rsidR="00064185" w:rsidRPr="00064185" w14:paraId="25CB6AE1" w14:textId="77777777" w:rsidTr="00922E8F">
        <w:tc>
          <w:tcPr>
            <w:tcW w:w="1276" w:type="pct"/>
            <w:tcBorders>
              <w:top w:val="single" w:sz="6" w:space="0" w:color="auto"/>
              <w:left w:val="single" w:sz="4" w:space="0" w:color="auto"/>
              <w:bottom w:val="single" w:sz="6" w:space="0" w:color="auto"/>
              <w:right w:val="single" w:sz="6" w:space="0" w:color="auto"/>
            </w:tcBorders>
            <w:shd w:val="clear" w:color="auto" w:fill="auto"/>
          </w:tcPr>
          <w:p w14:paraId="06648675" w14:textId="77777777" w:rsidR="00A53EE0" w:rsidRPr="00064185" w:rsidRDefault="00A53EE0" w:rsidP="00EA61D8">
            <w:pPr>
              <w:spacing w:line="260" w:lineRule="atLeast"/>
              <w:rPr>
                <w:rFonts w:eastAsia="Calibri"/>
                <w:lang w:eastAsia="en-US"/>
              </w:rPr>
            </w:pPr>
            <w:r w:rsidRPr="00064185">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986DCA4" w14:textId="77777777" w:rsidR="00A53EE0" w:rsidRPr="00064185" w:rsidRDefault="002F2B54" w:rsidP="00EA61D8">
            <w:pPr>
              <w:spacing w:line="260" w:lineRule="atLeast"/>
              <w:rPr>
                <w:rFonts w:eastAsia="Calibri"/>
                <w:lang w:eastAsia="en-US"/>
              </w:rPr>
            </w:pPr>
            <w:r w:rsidRPr="00064185">
              <w:rPr>
                <w:rFonts w:eastAsia="Calibri"/>
                <w:lang w:eastAsia="en-US"/>
              </w:rPr>
              <w:t xml:space="preserve">A skin irritation test with COM 116 02 I AL has not been conducted. Testing of the pure active substance </w:t>
            </w:r>
            <w:r w:rsidRPr="00064185">
              <w:rPr>
                <w:rFonts w:eastAsia="Calibri"/>
                <w:i/>
                <w:lang w:eastAsia="en-US"/>
              </w:rPr>
              <w:t>lambda</w:t>
            </w:r>
            <w:r w:rsidRPr="00064185">
              <w:rPr>
                <w:rFonts w:eastAsia="Calibri"/>
                <w:lang w:eastAsia="en-US"/>
              </w:rPr>
              <w:t>-cyhalothrin revealed no skin-irritating potential. Other components of the formulation do not give rise to skin-irritating properties. It is therefore concluded that the b.p. also has no skin-irritating potential.</w:t>
            </w:r>
          </w:p>
        </w:tc>
      </w:tr>
      <w:tr w:rsidR="00064185" w:rsidRPr="00064185" w14:paraId="28A791F0" w14:textId="77777777" w:rsidTr="00922E8F">
        <w:tc>
          <w:tcPr>
            <w:tcW w:w="1276" w:type="pct"/>
            <w:tcBorders>
              <w:top w:val="single" w:sz="6" w:space="0" w:color="auto"/>
              <w:left w:val="single" w:sz="4" w:space="0" w:color="auto"/>
              <w:bottom w:val="single" w:sz="6" w:space="0" w:color="auto"/>
              <w:right w:val="single" w:sz="6" w:space="0" w:color="auto"/>
            </w:tcBorders>
            <w:shd w:val="clear" w:color="auto" w:fill="auto"/>
          </w:tcPr>
          <w:p w14:paraId="07CFF16A" w14:textId="66C294DF" w:rsidR="00A53EE0" w:rsidRPr="00064185" w:rsidRDefault="00A53EE0" w:rsidP="00EA61D8">
            <w:pPr>
              <w:spacing w:line="260" w:lineRule="atLeast"/>
              <w:rPr>
                <w:rFonts w:eastAsia="Calibri"/>
                <w:lang w:eastAsia="en-US"/>
              </w:rPr>
            </w:pPr>
            <w:r w:rsidRPr="00064185">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4F6D2169" w14:textId="543E838D" w:rsidR="00A53EE0" w:rsidRPr="00064185" w:rsidRDefault="009B434A" w:rsidP="00EA61D8">
            <w:pPr>
              <w:spacing w:line="260" w:lineRule="atLeast"/>
              <w:rPr>
                <w:rFonts w:eastAsia="Calibri"/>
                <w:lang w:eastAsia="en-US"/>
              </w:rPr>
            </w:pPr>
            <w:r w:rsidRPr="00064185">
              <w:t>According to CLP</w:t>
            </w:r>
            <w:r w:rsidR="000903A0" w:rsidRPr="00064185">
              <w:t xml:space="preserve"> n</w:t>
            </w:r>
            <w:r w:rsidR="00241FBA" w:rsidRPr="00064185">
              <w:t xml:space="preserve">o classification </w:t>
            </w:r>
            <w:r w:rsidR="002F2B54" w:rsidRPr="00064185">
              <w:t xml:space="preserve">for skin irritation </w:t>
            </w:r>
            <w:r w:rsidR="00241FBA" w:rsidRPr="00064185">
              <w:t xml:space="preserve">is </w:t>
            </w:r>
            <w:r w:rsidR="00F77030" w:rsidRPr="00064185">
              <w:t>necessary</w:t>
            </w:r>
            <w:r w:rsidR="000903A0" w:rsidRPr="00064185">
              <w:t>.</w:t>
            </w:r>
          </w:p>
        </w:tc>
      </w:tr>
    </w:tbl>
    <w:p w14:paraId="3F966108" w14:textId="77777777" w:rsidR="00A53EE0" w:rsidRPr="00064185" w:rsidRDefault="00A53EE0" w:rsidP="00EA61D8">
      <w:pPr>
        <w:spacing w:line="260" w:lineRule="atLeast"/>
        <w:rPr>
          <w:rFonts w:eastAsia="Calibri"/>
          <w:lang w:eastAsia="en-US"/>
        </w:rPr>
      </w:pPr>
    </w:p>
    <w:p w14:paraId="07153645" w14:textId="77777777" w:rsidR="00A53EE0" w:rsidRPr="00064185" w:rsidRDefault="00A53EE0" w:rsidP="00EA61D8">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064185" w:rsidRPr="00064185" w14:paraId="5DFAEB44" w14:textId="77777777" w:rsidTr="00922E8F">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3CF97AF" w14:textId="77777777" w:rsidR="00A53EE0" w:rsidRPr="00064185" w:rsidRDefault="00A53EE0" w:rsidP="00EA61D8">
            <w:pPr>
              <w:spacing w:line="260" w:lineRule="atLeast"/>
              <w:rPr>
                <w:rFonts w:eastAsia="Calibri"/>
                <w:b/>
                <w:lang w:eastAsia="en-US"/>
              </w:rPr>
            </w:pPr>
            <w:r w:rsidRPr="00064185">
              <w:rPr>
                <w:rFonts w:eastAsia="Calibri"/>
                <w:b/>
                <w:lang w:eastAsia="en-US"/>
              </w:rPr>
              <w:t>Data waiving</w:t>
            </w:r>
          </w:p>
        </w:tc>
      </w:tr>
      <w:tr w:rsidR="00064185" w:rsidRPr="00064185" w14:paraId="252F8B3B" w14:textId="77777777" w:rsidTr="00C55F5B">
        <w:tc>
          <w:tcPr>
            <w:tcW w:w="1276" w:type="pct"/>
            <w:tcBorders>
              <w:top w:val="single" w:sz="6" w:space="0" w:color="auto"/>
              <w:left w:val="single" w:sz="4" w:space="0" w:color="auto"/>
              <w:bottom w:val="single" w:sz="6" w:space="0" w:color="auto"/>
              <w:right w:val="single" w:sz="6" w:space="0" w:color="auto"/>
            </w:tcBorders>
            <w:shd w:val="clear" w:color="auto" w:fill="auto"/>
          </w:tcPr>
          <w:p w14:paraId="7E206F9C" w14:textId="77777777" w:rsidR="00A53EE0" w:rsidRPr="00064185" w:rsidRDefault="00A53EE0" w:rsidP="00EA61D8">
            <w:pPr>
              <w:spacing w:line="260" w:lineRule="atLeast"/>
              <w:rPr>
                <w:rFonts w:eastAsia="Calibri"/>
                <w:lang w:eastAsia="en-US"/>
              </w:rPr>
            </w:pPr>
            <w:r w:rsidRPr="00064185">
              <w:rPr>
                <w:rFonts w:eastAsia="Calibri"/>
                <w:lang w:eastAsia="en-US"/>
              </w:rPr>
              <w:t>Information requirement</w:t>
            </w:r>
          </w:p>
        </w:tc>
        <w:tc>
          <w:tcPr>
            <w:tcW w:w="3724" w:type="pct"/>
            <w:tcBorders>
              <w:top w:val="single" w:sz="6" w:space="0" w:color="auto"/>
              <w:left w:val="single" w:sz="6" w:space="0" w:color="auto"/>
              <w:bottom w:val="single" w:sz="6" w:space="0" w:color="auto"/>
              <w:right w:val="single" w:sz="6" w:space="0" w:color="auto"/>
            </w:tcBorders>
          </w:tcPr>
          <w:p w14:paraId="3D66A0B1" w14:textId="77777777" w:rsidR="00A53EE0" w:rsidRPr="00064185" w:rsidRDefault="00AE7AAD" w:rsidP="00EA61D8">
            <w:pPr>
              <w:rPr>
                <w:rFonts w:eastAsia="Calibri"/>
                <w:lang w:eastAsia="en-US"/>
              </w:rPr>
            </w:pPr>
            <w:r w:rsidRPr="00064185">
              <w:rPr>
                <w:rFonts w:eastAsia="Calibri"/>
                <w:lang w:eastAsia="en-US"/>
              </w:rPr>
              <w:t>Study scientifically unjustified</w:t>
            </w:r>
          </w:p>
        </w:tc>
      </w:tr>
      <w:tr w:rsidR="00064185" w:rsidRPr="00064185" w14:paraId="62013A50" w14:textId="77777777" w:rsidTr="00C55F5B">
        <w:tc>
          <w:tcPr>
            <w:tcW w:w="1276" w:type="pct"/>
            <w:tcBorders>
              <w:top w:val="single" w:sz="6" w:space="0" w:color="auto"/>
              <w:left w:val="single" w:sz="4" w:space="0" w:color="auto"/>
              <w:bottom w:val="single" w:sz="6" w:space="0" w:color="auto"/>
              <w:right w:val="single" w:sz="6" w:space="0" w:color="auto"/>
            </w:tcBorders>
            <w:shd w:val="clear" w:color="auto" w:fill="auto"/>
          </w:tcPr>
          <w:p w14:paraId="2BFD239C" w14:textId="77777777" w:rsidR="00A53EE0" w:rsidRPr="00064185" w:rsidRDefault="00A53EE0" w:rsidP="00EA61D8">
            <w:pPr>
              <w:spacing w:line="260" w:lineRule="atLeast"/>
              <w:rPr>
                <w:rFonts w:eastAsia="Calibri"/>
                <w:lang w:eastAsia="en-US"/>
              </w:rPr>
            </w:pPr>
            <w:r w:rsidRPr="00064185">
              <w:rPr>
                <w:rFonts w:eastAsia="Calibri"/>
                <w:lang w:eastAsia="en-US"/>
              </w:rPr>
              <w:t>Justification</w:t>
            </w:r>
          </w:p>
        </w:tc>
        <w:tc>
          <w:tcPr>
            <w:tcW w:w="3724" w:type="pct"/>
            <w:tcBorders>
              <w:top w:val="single" w:sz="6" w:space="0" w:color="auto"/>
              <w:left w:val="single" w:sz="6" w:space="0" w:color="auto"/>
              <w:bottom w:val="single" w:sz="6" w:space="0" w:color="auto"/>
              <w:right w:val="single" w:sz="6" w:space="0" w:color="auto"/>
            </w:tcBorders>
          </w:tcPr>
          <w:p w14:paraId="294BF4F6" w14:textId="77777777" w:rsidR="00A53EE0" w:rsidRPr="00064185" w:rsidRDefault="00AE7AAD" w:rsidP="00EA61D8">
            <w:pPr>
              <w:rPr>
                <w:rFonts w:eastAsia="Calibri"/>
                <w:lang w:eastAsia="en-US"/>
              </w:rPr>
            </w:pPr>
            <w:r w:rsidRPr="00064185">
              <w:rPr>
                <w:rFonts w:eastAsia="Calibri"/>
                <w:lang w:eastAsia="en-US"/>
              </w:rPr>
              <w:t xml:space="preserve">The b.p. does not contain ingredients classified for primary skin irritation. The b.p. contains &gt;99% water. In addition, the b.p. has been tested for eye-irritating properties and was found to be not irritating. Therefore, no classification for primary skin irritation is necessary. Due to the composition of the b.p., a skin irritation test with the b.p. is scientifically unjustified. </w:t>
            </w:r>
          </w:p>
        </w:tc>
      </w:tr>
    </w:tbl>
    <w:p w14:paraId="4406B47C" w14:textId="17EA3EED" w:rsidR="00A53EE0" w:rsidRPr="00064185" w:rsidRDefault="00D043C9" w:rsidP="00EA61D8">
      <w:pPr>
        <w:spacing w:line="260" w:lineRule="atLeast"/>
        <w:rPr>
          <w:rFonts w:ascii="Times New Roman" w:eastAsia="Calibri" w:hAnsi="Times New Roman"/>
          <w:i/>
          <w:iCs/>
          <w:lang w:eastAsia="en-US"/>
        </w:rPr>
      </w:pPr>
      <w:r w:rsidRPr="00064185">
        <w:rPr>
          <w:rFonts w:eastAsia="Calibri"/>
          <w:lang w:eastAsia="en-US"/>
        </w:rPr>
        <w:t>For skin corrosion and irritation no human data is available.</w:t>
      </w:r>
    </w:p>
    <w:p w14:paraId="5046E29F" w14:textId="77777777" w:rsidR="00A53EE0" w:rsidRPr="00064185" w:rsidRDefault="00A53EE0" w:rsidP="00EA61D8">
      <w:pPr>
        <w:spacing w:line="260" w:lineRule="atLeast"/>
        <w:rPr>
          <w:rFonts w:eastAsia="Calibri"/>
          <w:lang w:eastAsia="en-US"/>
        </w:rPr>
      </w:pPr>
    </w:p>
    <w:p w14:paraId="27AF9BB5" w14:textId="77777777" w:rsidR="00873EEF" w:rsidRPr="00064185" w:rsidRDefault="00873EEF" w:rsidP="00EA61D8">
      <w:pPr>
        <w:rPr>
          <w:rFonts w:eastAsia="Calibri"/>
          <w:b/>
          <w:i/>
          <w:sz w:val="22"/>
          <w:szCs w:val="22"/>
          <w:lang w:eastAsia="en-US"/>
        </w:rPr>
      </w:pPr>
      <w:bookmarkStart w:id="1651" w:name="_Toc389729050"/>
      <w:bookmarkStart w:id="1652" w:name="_Toc403472755"/>
    </w:p>
    <w:p w14:paraId="4A70C4FA" w14:textId="77777777" w:rsidR="00A53EE0" w:rsidRPr="00064185" w:rsidRDefault="00A53EE0" w:rsidP="00EA61D8">
      <w:pPr>
        <w:rPr>
          <w:rFonts w:eastAsia="Calibri"/>
          <w:lang w:eastAsia="en-US"/>
        </w:rPr>
      </w:pPr>
      <w:r w:rsidRPr="00064185">
        <w:rPr>
          <w:rFonts w:eastAsia="Calibri"/>
          <w:b/>
          <w:i/>
          <w:sz w:val="22"/>
          <w:szCs w:val="22"/>
          <w:lang w:eastAsia="en-US"/>
        </w:rPr>
        <w:t>Eye irritation</w:t>
      </w:r>
      <w:bookmarkEnd w:id="1651"/>
      <w:bookmarkEnd w:id="1652"/>
    </w:p>
    <w:p w14:paraId="63419524" w14:textId="77777777" w:rsidR="00A53EE0" w:rsidRPr="00064185" w:rsidRDefault="00A53EE0" w:rsidP="00EA61D8">
      <w:pPr>
        <w:spacing w:line="260" w:lineRule="atLeast"/>
        <w:rPr>
          <w:rFonts w:eastAsia="Calibri"/>
          <w:b/>
          <w:b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559"/>
        <w:gridCol w:w="1985"/>
        <w:gridCol w:w="1276"/>
        <w:gridCol w:w="1417"/>
      </w:tblGrid>
      <w:tr w:rsidR="00064185" w:rsidRPr="00064185" w14:paraId="2ED07A83" w14:textId="77777777" w:rsidTr="00922E8F">
        <w:tc>
          <w:tcPr>
            <w:tcW w:w="9214" w:type="dxa"/>
            <w:gridSpan w:val="6"/>
            <w:shd w:val="clear" w:color="auto" w:fill="FFFFCC"/>
          </w:tcPr>
          <w:p w14:paraId="66037C9D" w14:textId="77777777" w:rsidR="00A53EE0" w:rsidRPr="00064185" w:rsidRDefault="00A53EE0" w:rsidP="00EA61D8">
            <w:pPr>
              <w:keepNext/>
              <w:widowControl w:val="0"/>
              <w:tabs>
                <w:tab w:val="center" w:pos="4536"/>
                <w:tab w:val="right" w:pos="9072"/>
              </w:tabs>
              <w:spacing w:line="260" w:lineRule="atLeast"/>
              <w:rPr>
                <w:rFonts w:eastAsia="Calibri"/>
                <w:b/>
                <w:bCs/>
                <w:lang w:eastAsia="en-GB"/>
              </w:rPr>
            </w:pPr>
            <w:r w:rsidRPr="00064185">
              <w:rPr>
                <w:rFonts w:eastAsia="Calibri"/>
                <w:b/>
                <w:bCs/>
                <w:lang w:eastAsia="en-GB"/>
              </w:rPr>
              <w:t>Summary table of animal studies on serious eye damage and eye irritation</w:t>
            </w:r>
          </w:p>
        </w:tc>
      </w:tr>
      <w:tr w:rsidR="00064185" w:rsidRPr="00064185" w14:paraId="55125F20" w14:textId="77777777" w:rsidTr="0001179D">
        <w:tc>
          <w:tcPr>
            <w:tcW w:w="1418" w:type="dxa"/>
            <w:shd w:val="clear" w:color="auto" w:fill="auto"/>
          </w:tcPr>
          <w:p w14:paraId="0EF8C783" w14:textId="77777777" w:rsidR="00A53EE0" w:rsidRPr="00064185" w:rsidRDefault="00A53EE0" w:rsidP="00EA61D8">
            <w:pPr>
              <w:keepNext/>
              <w:widowControl w:val="0"/>
              <w:tabs>
                <w:tab w:val="center" w:pos="4536"/>
                <w:tab w:val="right" w:pos="9072"/>
              </w:tabs>
              <w:spacing w:line="260" w:lineRule="atLeast"/>
              <w:rPr>
                <w:rFonts w:eastAsia="Calibri"/>
                <w:b/>
                <w:bCs/>
                <w:lang w:eastAsia="en-GB"/>
              </w:rPr>
            </w:pPr>
            <w:r w:rsidRPr="00064185">
              <w:rPr>
                <w:rFonts w:eastAsia="Calibri"/>
                <w:b/>
                <w:bCs/>
                <w:lang w:eastAsia="en-GB"/>
              </w:rPr>
              <w:t>Method,</w:t>
            </w:r>
            <w:r w:rsidRPr="00064185">
              <w:rPr>
                <w:rFonts w:eastAsia="Calibri"/>
                <w:b/>
                <w:bCs/>
                <w:lang w:eastAsia="en-GB"/>
              </w:rPr>
              <w:br/>
              <w:t xml:space="preserve">Guideline, </w:t>
            </w:r>
          </w:p>
          <w:p w14:paraId="790AB0D9" w14:textId="77777777" w:rsidR="00A53EE0" w:rsidRPr="00064185" w:rsidRDefault="00A53EE0" w:rsidP="00EA61D8">
            <w:pPr>
              <w:spacing w:line="260" w:lineRule="atLeast"/>
              <w:rPr>
                <w:rFonts w:eastAsia="Calibri"/>
                <w:lang w:eastAsia="en-US"/>
              </w:rPr>
            </w:pPr>
            <w:r w:rsidRPr="00064185">
              <w:rPr>
                <w:rFonts w:eastAsia="Calibri"/>
                <w:b/>
                <w:bCs/>
                <w:lang w:eastAsia="en-GB"/>
              </w:rPr>
              <w:t>GLP status, Reliability</w:t>
            </w:r>
          </w:p>
        </w:tc>
        <w:tc>
          <w:tcPr>
            <w:tcW w:w="1559" w:type="dxa"/>
            <w:shd w:val="clear" w:color="auto" w:fill="auto"/>
          </w:tcPr>
          <w:p w14:paraId="2A2F60E1" w14:textId="77777777" w:rsidR="00A53EE0" w:rsidRPr="00064185" w:rsidRDefault="00A53EE0" w:rsidP="00EA61D8">
            <w:pPr>
              <w:keepNext/>
              <w:widowControl w:val="0"/>
              <w:tabs>
                <w:tab w:val="center" w:pos="4536"/>
                <w:tab w:val="right" w:pos="9072"/>
              </w:tabs>
              <w:spacing w:line="260" w:lineRule="atLeast"/>
              <w:rPr>
                <w:rFonts w:eastAsia="Calibri"/>
                <w:b/>
                <w:bCs/>
                <w:lang w:eastAsia="en-GB"/>
              </w:rPr>
            </w:pPr>
            <w:r w:rsidRPr="00064185">
              <w:rPr>
                <w:rFonts w:eastAsia="Calibri"/>
                <w:b/>
                <w:bCs/>
                <w:lang w:eastAsia="en-GB"/>
              </w:rPr>
              <w:t>Species,</w:t>
            </w:r>
            <w:r w:rsidRPr="00064185">
              <w:rPr>
                <w:rFonts w:eastAsia="Calibri"/>
                <w:b/>
                <w:bCs/>
                <w:lang w:eastAsia="en-GB"/>
              </w:rPr>
              <w:br/>
              <w:t>Strain,</w:t>
            </w:r>
            <w:r w:rsidRPr="00064185">
              <w:rPr>
                <w:rFonts w:eastAsia="Calibri"/>
                <w:b/>
                <w:bCs/>
                <w:lang w:eastAsia="en-GB"/>
              </w:rPr>
              <w:br/>
              <w:t>Sex,</w:t>
            </w:r>
            <w:r w:rsidRPr="00064185">
              <w:rPr>
                <w:rFonts w:eastAsia="Calibri"/>
                <w:b/>
                <w:bCs/>
                <w:lang w:eastAsia="en-GB"/>
              </w:rPr>
              <w:br/>
              <w:t>No/group</w:t>
            </w:r>
          </w:p>
        </w:tc>
        <w:tc>
          <w:tcPr>
            <w:tcW w:w="1559" w:type="dxa"/>
            <w:shd w:val="clear" w:color="auto" w:fill="auto"/>
          </w:tcPr>
          <w:p w14:paraId="76A46EE0" w14:textId="77777777" w:rsidR="00A53EE0" w:rsidRPr="00064185" w:rsidRDefault="00A53EE0" w:rsidP="00EA61D8">
            <w:pPr>
              <w:keepNext/>
              <w:widowControl w:val="0"/>
              <w:tabs>
                <w:tab w:val="center" w:pos="4536"/>
                <w:tab w:val="right" w:pos="9072"/>
              </w:tabs>
              <w:spacing w:line="260" w:lineRule="atLeast"/>
              <w:rPr>
                <w:rFonts w:eastAsia="Calibri"/>
                <w:b/>
                <w:bCs/>
                <w:lang w:eastAsia="en-GB"/>
              </w:rPr>
            </w:pPr>
            <w:r w:rsidRPr="00064185">
              <w:rPr>
                <w:rFonts w:eastAsia="Calibri"/>
                <w:b/>
                <w:bCs/>
                <w:lang w:eastAsia="en-GB"/>
              </w:rPr>
              <w:t>Test substance,Dose levels, Duration of exposure</w:t>
            </w:r>
          </w:p>
        </w:tc>
        <w:tc>
          <w:tcPr>
            <w:tcW w:w="1985" w:type="dxa"/>
            <w:shd w:val="clear" w:color="auto" w:fill="auto"/>
          </w:tcPr>
          <w:p w14:paraId="1D3E9118" w14:textId="77777777" w:rsidR="00A53EE0" w:rsidRPr="00064185" w:rsidRDefault="00A53EE0" w:rsidP="00EA61D8">
            <w:pPr>
              <w:keepNext/>
              <w:widowControl w:val="0"/>
              <w:tabs>
                <w:tab w:val="center" w:pos="4536"/>
                <w:tab w:val="right" w:pos="9072"/>
              </w:tabs>
              <w:spacing w:line="260" w:lineRule="atLeast"/>
              <w:rPr>
                <w:rFonts w:eastAsia="Calibri"/>
                <w:b/>
                <w:bCs/>
                <w:lang w:eastAsia="en-GB"/>
              </w:rPr>
            </w:pPr>
            <w:r w:rsidRPr="00064185">
              <w:rPr>
                <w:rFonts w:eastAsia="Calibri"/>
                <w:b/>
                <w:bCs/>
                <w:lang w:eastAsia="en-GB"/>
              </w:rPr>
              <w:t>Results</w:t>
            </w:r>
          </w:p>
          <w:p w14:paraId="04511A2B" w14:textId="77777777" w:rsidR="00A53EE0" w:rsidRPr="00064185" w:rsidRDefault="00A53EE0" w:rsidP="00EA61D8">
            <w:pPr>
              <w:keepNext/>
              <w:widowControl w:val="0"/>
              <w:tabs>
                <w:tab w:val="center" w:pos="4536"/>
                <w:tab w:val="right" w:pos="9072"/>
              </w:tabs>
              <w:spacing w:line="260" w:lineRule="atLeast"/>
              <w:rPr>
                <w:rFonts w:eastAsia="Calibri"/>
                <w:bCs/>
                <w:i/>
                <w:lang w:eastAsia="en-GB"/>
              </w:rPr>
            </w:pPr>
            <w:r w:rsidRPr="00064185">
              <w:rPr>
                <w:rFonts w:eastAsia="Calibri"/>
                <w:bCs/>
                <w:i/>
                <w:lang w:eastAsia="en-GB"/>
              </w:rPr>
              <w:t>Average score (24, 48, 72h)/</w:t>
            </w:r>
          </w:p>
          <w:p w14:paraId="36658BEF" w14:textId="77777777" w:rsidR="00A53EE0" w:rsidRPr="00064185" w:rsidRDefault="00A53EE0" w:rsidP="00EA61D8">
            <w:pPr>
              <w:keepNext/>
              <w:widowControl w:val="0"/>
              <w:tabs>
                <w:tab w:val="center" w:pos="4536"/>
                <w:tab w:val="right" w:pos="9072"/>
              </w:tabs>
              <w:spacing w:line="260" w:lineRule="atLeast"/>
              <w:rPr>
                <w:rFonts w:eastAsia="Calibri"/>
                <w:b/>
                <w:bCs/>
                <w:lang w:eastAsia="en-GB"/>
              </w:rPr>
            </w:pPr>
            <w:r w:rsidRPr="00064185">
              <w:rPr>
                <w:rFonts w:eastAsia="Calibri"/>
                <w:bCs/>
                <w:i/>
                <w:lang w:eastAsia="en-GB"/>
              </w:rPr>
              <w:t>observations and time point of onset, reversibility</w:t>
            </w:r>
          </w:p>
        </w:tc>
        <w:tc>
          <w:tcPr>
            <w:tcW w:w="1276" w:type="dxa"/>
          </w:tcPr>
          <w:p w14:paraId="70B61F05" w14:textId="77777777" w:rsidR="00A53EE0" w:rsidRPr="00064185" w:rsidRDefault="00A53EE0" w:rsidP="00EA61D8">
            <w:pPr>
              <w:keepNext/>
              <w:widowControl w:val="0"/>
              <w:tabs>
                <w:tab w:val="center" w:pos="4536"/>
                <w:tab w:val="right" w:pos="9072"/>
              </w:tabs>
              <w:spacing w:line="260" w:lineRule="atLeast"/>
              <w:rPr>
                <w:rFonts w:eastAsia="Calibri"/>
                <w:b/>
                <w:bCs/>
                <w:lang w:eastAsia="en-GB"/>
              </w:rPr>
            </w:pPr>
            <w:r w:rsidRPr="00064185">
              <w:rPr>
                <w:rFonts w:eastAsia="Calibri"/>
                <w:b/>
                <w:bCs/>
                <w:lang w:eastAsia="en-GB"/>
              </w:rPr>
              <w:t xml:space="preserve">Remarks </w:t>
            </w:r>
          </w:p>
        </w:tc>
        <w:tc>
          <w:tcPr>
            <w:tcW w:w="1417" w:type="dxa"/>
            <w:shd w:val="clear" w:color="auto" w:fill="auto"/>
          </w:tcPr>
          <w:p w14:paraId="15D102CC" w14:textId="77777777" w:rsidR="00A53EE0" w:rsidRPr="00064185" w:rsidRDefault="00A53EE0" w:rsidP="00EA61D8">
            <w:pPr>
              <w:keepNext/>
              <w:widowControl w:val="0"/>
              <w:tabs>
                <w:tab w:val="center" w:pos="4536"/>
                <w:tab w:val="right" w:pos="9072"/>
              </w:tabs>
              <w:spacing w:line="260" w:lineRule="atLeast"/>
              <w:rPr>
                <w:rFonts w:eastAsia="Calibri"/>
                <w:b/>
                <w:bCs/>
                <w:lang w:eastAsia="en-GB"/>
              </w:rPr>
            </w:pPr>
            <w:r w:rsidRPr="00064185">
              <w:rPr>
                <w:rFonts w:eastAsia="Calibri"/>
                <w:b/>
                <w:bCs/>
                <w:lang w:eastAsia="en-GB"/>
              </w:rPr>
              <w:t xml:space="preserve">Reference </w:t>
            </w:r>
          </w:p>
          <w:p w14:paraId="0E6508E1" w14:textId="77777777" w:rsidR="00A53EE0" w:rsidRPr="00064185" w:rsidRDefault="00A53EE0" w:rsidP="00EA61D8">
            <w:pPr>
              <w:keepNext/>
              <w:widowControl w:val="0"/>
              <w:tabs>
                <w:tab w:val="center" w:pos="4536"/>
                <w:tab w:val="right" w:pos="9072"/>
              </w:tabs>
              <w:spacing w:line="260" w:lineRule="atLeast"/>
              <w:rPr>
                <w:rFonts w:eastAsia="Calibri"/>
                <w:b/>
                <w:bCs/>
                <w:lang w:eastAsia="en-GB"/>
              </w:rPr>
            </w:pPr>
          </w:p>
        </w:tc>
      </w:tr>
      <w:tr w:rsidR="00993B58" w:rsidRPr="00064185" w14:paraId="1B44C40E" w14:textId="77777777" w:rsidTr="0001179D">
        <w:tc>
          <w:tcPr>
            <w:tcW w:w="1418" w:type="dxa"/>
            <w:shd w:val="clear" w:color="auto" w:fill="auto"/>
          </w:tcPr>
          <w:p w14:paraId="3CD84217" w14:textId="77777777" w:rsidR="00CF3286" w:rsidRPr="00064185" w:rsidRDefault="00CF3286" w:rsidP="00EA61D8">
            <w:pPr>
              <w:spacing w:line="260" w:lineRule="atLeast"/>
              <w:rPr>
                <w:rFonts w:eastAsia="Calibri"/>
                <w:lang w:eastAsia="en-US"/>
              </w:rPr>
            </w:pPr>
            <w:r w:rsidRPr="00064185">
              <w:rPr>
                <w:rFonts w:eastAsia="Calibri"/>
                <w:lang w:eastAsia="en-US"/>
              </w:rPr>
              <w:t>Eye irritation,</w:t>
            </w:r>
          </w:p>
          <w:p w14:paraId="4F6C42AC" w14:textId="77777777" w:rsidR="00A53EE0" w:rsidRPr="00064185" w:rsidRDefault="00F77030" w:rsidP="00EA61D8">
            <w:pPr>
              <w:spacing w:line="260" w:lineRule="atLeast"/>
              <w:rPr>
                <w:rFonts w:eastAsia="Calibri"/>
                <w:lang w:eastAsia="en-US"/>
              </w:rPr>
            </w:pPr>
            <w:r w:rsidRPr="00064185">
              <w:rPr>
                <w:rFonts w:eastAsia="Calibri"/>
                <w:lang w:eastAsia="en-US"/>
              </w:rPr>
              <w:t>OECD 405</w:t>
            </w:r>
            <w:r w:rsidR="000903A0" w:rsidRPr="00064185">
              <w:rPr>
                <w:rFonts w:eastAsia="Calibri"/>
                <w:lang w:eastAsia="en-US"/>
              </w:rPr>
              <w:t>,</w:t>
            </w:r>
          </w:p>
          <w:p w14:paraId="0746A3EB" w14:textId="77777777" w:rsidR="000903A0" w:rsidRPr="00064185" w:rsidRDefault="00732517" w:rsidP="00EA61D8">
            <w:pPr>
              <w:spacing w:line="260" w:lineRule="atLeast"/>
              <w:rPr>
                <w:rFonts w:eastAsia="Calibri"/>
                <w:lang w:eastAsia="en-US"/>
              </w:rPr>
            </w:pPr>
            <w:r w:rsidRPr="00064185">
              <w:rPr>
                <w:rFonts w:eastAsia="Calibri"/>
                <w:lang w:eastAsia="en-US"/>
              </w:rPr>
              <w:t>GLP Study</w:t>
            </w:r>
            <w:r w:rsidR="00CF3286" w:rsidRPr="00064185">
              <w:rPr>
                <w:rFonts w:eastAsia="Calibri"/>
                <w:lang w:eastAsia="en-US"/>
              </w:rPr>
              <w:t>,</w:t>
            </w:r>
          </w:p>
          <w:p w14:paraId="3C0B2345" w14:textId="77777777" w:rsidR="00CF3286" w:rsidRPr="00064185" w:rsidRDefault="00CF3286" w:rsidP="00EA61D8">
            <w:pPr>
              <w:spacing w:line="260" w:lineRule="atLeast"/>
              <w:rPr>
                <w:rFonts w:eastAsia="Calibri"/>
                <w:lang w:eastAsia="en-US"/>
              </w:rPr>
            </w:pPr>
            <w:r w:rsidRPr="00064185">
              <w:rPr>
                <w:rFonts w:eastAsia="Calibri"/>
                <w:lang w:eastAsia="en-US"/>
              </w:rPr>
              <w:t>RL 1</w:t>
            </w:r>
          </w:p>
        </w:tc>
        <w:tc>
          <w:tcPr>
            <w:tcW w:w="1559" w:type="dxa"/>
            <w:shd w:val="clear" w:color="auto" w:fill="auto"/>
          </w:tcPr>
          <w:p w14:paraId="1254F10D" w14:textId="77777777" w:rsidR="00A53EE0" w:rsidRPr="00064185" w:rsidRDefault="00F77030" w:rsidP="00EA61D8">
            <w:pPr>
              <w:spacing w:line="260" w:lineRule="atLeast"/>
              <w:rPr>
                <w:rFonts w:eastAsia="Calibri"/>
                <w:lang w:eastAsia="en-US"/>
              </w:rPr>
            </w:pPr>
            <w:r w:rsidRPr="00064185">
              <w:rPr>
                <w:rFonts w:eastAsia="Calibri"/>
                <w:lang w:eastAsia="en-US"/>
              </w:rPr>
              <w:t>Rabbit</w:t>
            </w:r>
            <w:r w:rsidR="00CF3286" w:rsidRPr="00064185">
              <w:rPr>
                <w:rFonts w:eastAsia="Calibri"/>
                <w:lang w:eastAsia="en-US"/>
              </w:rPr>
              <w:t>,</w:t>
            </w:r>
          </w:p>
          <w:p w14:paraId="5FB0312C" w14:textId="77777777" w:rsidR="00CF3286" w:rsidRPr="00064185" w:rsidRDefault="00CF3286" w:rsidP="00EA61D8">
            <w:pPr>
              <w:spacing w:line="260" w:lineRule="atLeast"/>
              <w:rPr>
                <w:rFonts w:eastAsia="Calibri"/>
                <w:lang w:eastAsia="en-US"/>
              </w:rPr>
            </w:pPr>
            <w:r w:rsidRPr="00064185">
              <w:rPr>
                <w:rFonts w:eastAsia="Calibri"/>
                <w:lang w:eastAsia="en-US"/>
              </w:rPr>
              <w:t>New Zealand White,</w:t>
            </w:r>
          </w:p>
          <w:p w14:paraId="055B60B2" w14:textId="77777777" w:rsidR="00CF3286" w:rsidRPr="00064185" w:rsidRDefault="00CF3286" w:rsidP="00EA61D8">
            <w:pPr>
              <w:spacing w:line="260" w:lineRule="atLeast"/>
              <w:rPr>
                <w:rFonts w:eastAsia="Calibri"/>
                <w:lang w:eastAsia="en-US"/>
              </w:rPr>
            </w:pPr>
            <w:r w:rsidRPr="00064185">
              <w:rPr>
                <w:rFonts w:eastAsia="Calibri"/>
                <w:lang w:eastAsia="en-US"/>
              </w:rPr>
              <w:t>Male/female,</w:t>
            </w:r>
          </w:p>
          <w:p w14:paraId="1D993BDF" w14:textId="77777777" w:rsidR="00CF3286" w:rsidRPr="00064185" w:rsidRDefault="00CF3286" w:rsidP="00EA61D8">
            <w:pPr>
              <w:spacing w:line="260" w:lineRule="atLeast"/>
              <w:rPr>
                <w:rFonts w:eastAsia="Calibri"/>
                <w:lang w:eastAsia="en-US"/>
              </w:rPr>
            </w:pPr>
            <w:r w:rsidRPr="00064185">
              <w:rPr>
                <w:rFonts w:eastAsia="Calibri"/>
                <w:lang w:eastAsia="en-US"/>
              </w:rPr>
              <w:t>3</w:t>
            </w:r>
          </w:p>
        </w:tc>
        <w:tc>
          <w:tcPr>
            <w:tcW w:w="1559" w:type="dxa"/>
            <w:shd w:val="clear" w:color="auto" w:fill="auto"/>
          </w:tcPr>
          <w:p w14:paraId="1A9A9E20" w14:textId="77777777" w:rsidR="00A53EE0" w:rsidRPr="00064185" w:rsidRDefault="00911FCD" w:rsidP="00EA61D8">
            <w:pPr>
              <w:spacing w:line="260" w:lineRule="atLeast"/>
            </w:pPr>
            <w:r w:rsidRPr="00064185">
              <w:t>COM 116 02 I AL</w:t>
            </w:r>
            <w:r w:rsidR="00CF3286" w:rsidRPr="00064185">
              <w:t>,</w:t>
            </w:r>
          </w:p>
          <w:p w14:paraId="38B0E95F" w14:textId="77777777" w:rsidR="00CF3286" w:rsidRPr="00064185" w:rsidRDefault="00CF3286" w:rsidP="00EA61D8">
            <w:pPr>
              <w:spacing w:line="260" w:lineRule="atLeast"/>
            </w:pPr>
            <w:r w:rsidRPr="00064185">
              <w:t>Neat substance,</w:t>
            </w:r>
          </w:p>
          <w:p w14:paraId="75F5C0BE" w14:textId="77777777" w:rsidR="00CF3286" w:rsidRPr="00064185" w:rsidRDefault="00CF3286" w:rsidP="00EA61D8">
            <w:pPr>
              <w:spacing w:line="260" w:lineRule="atLeast"/>
              <w:rPr>
                <w:rFonts w:eastAsia="Calibri"/>
                <w:lang w:eastAsia="en-US"/>
              </w:rPr>
            </w:pPr>
            <w:r w:rsidRPr="00064185">
              <w:t>Single application, No rinse</w:t>
            </w:r>
          </w:p>
        </w:tc>
        <w:tc>
          <w:tcPr>
            <w:tcW w:w="1985" w:type="dxa"/>
            <w:shd w:val="clear" w:color="auto" w:fill="auto"/>
          </w:tcPr>
          <w:p w14:paraId="6FF0340E" w14:textId="77777777" w:rsidR="00A53EE0" w:rsidRPr="00064185" w:rsidRDefault="00AE7AAD" w:rsidP="00EA61D8">
            <w:pPr>
              <w:spacing w:line="260" w:lineRule="atLeast"/>
              <w:rPr>
                <w:rFonts w:eastAsia="Calibri"/>
                <w:lang w:eastAsia="en-US"/>
              </w:rPr>
            </w:pPr>
            <w:r w:rsidRPr="00064185">
              <w:rPr>
                <w:rFonts w:eastAsia="Calibri"/>
                <w:lang w:eastAsia="en-US"/>
              </w:rPr>
              <w:t>Cornea: 0</w:t>
            </w:r>
          </w:p>
          <w:p w14:paraId="6D09E0D0" w14:textId="77777777" w:rsidR="00AE7AAD" w:rsidRPr="00064185" w:rsidRDefault="00AE7AAD" w:rsidP="00EA61D8">
            <w:pPr>
              <w:spacing w:line="260" w:lineRule="atLeast"/>
              <w:rPr>
                <w:rFonts w:eastAsia="Calibri"/>
                <w:lang w:eastAsia="en-US"/>
              </w:rPr>
            </w:pPr>
            <w:r w:rsidRPr="00064185">
              <w:rPr>
                <w:rFonts w:eastAsia="Calibri"/>
                <w:lang w:eastAsia="en-US"/>
              </w:rPr>
              <w:t>Iris: 0</w:t>
            </w:r>
          </w:p>
          <w:p w14:paraId="2F0282C6" w14:textId="77777777" w:rsidR="00AE7AAD" w:rsidRPr="00064185" w:rsidRDefault="00AE7AAD" w:rsidP="00EA61D8">
            <w:pPr>
              <w:spacing w:line="260" w:lineRule="atLeast"/>
              <w:rPr>
                <w:rFonts w:eastAsia="Calibri"/>
                <w:lang w:eastAsia="en-US"/>
              </w:rPr>
            </w:pPr>
            <w:r w:rsidRPr="00064185">
              <w:rPr>
                <w:rFonts w:eastAsia="Calibri"/>
                <w:lang w:eastAsia="en-US"/>
              </w:rPr>
              <w:t>Conjunctivae: 0</w:t>
            </w:r>
          </w:p>
          <w:p w14:paraId="0E5FBF79" w14:textId="77777777" w:rsidR="00AE7AAD" w:rsidRPr="00064185" w:rsidRDefault="00AE7AAD" w:rsidP="00EA61D8">
            <w:pPr>
              <w:spacing w:line="260" w:lineRule="atLeast"/>
              <w:rPr>
                <w:rFonts w:eastAsia="Calibri"/>
                <w:lang w:eastAsia="en-US"/>
              </w:rPr>
            </w:pPr>
            <w:r w:rsidRPr="00064185">
              <w:rPr>
                <w:rFonts w:eastAsia="Calibri"/>
                <w:lang w:eastAsia="en-US"/>
              </w:rPr>
              <w:t>Chemosis: 0</w:t>
            </w:r>
          </w:p>
          <w:p w14:paraId="0A413AC2" w14:textId="77777777" w:rsidR="00F77030" w:rsidRPr="00064185" w:rsidRDefault="00F77030" w:rsidP="00EA61D8">
            <w:pPr>
              <w:spacing w:line="260" w:lineRule="atLeast"/>
              <w:rPr>
                <w:rFonts w:eastAsia="Calibri"/>
                <w:lang w:eastAsia="en-US"/>
              </w:rPr>
            </w:pPr>
            <w:r w:rsidRPr="00064185">
              <w:rPr>
                <w:rFonts w:eastAsia="Calibri"/>
                <w:lang w:eastAsia="en-US"/>
              </w:rPr>
              <w:t>Reversibility: n.a.</w:t>
            </w:r>
          </w:p>
        </w:tc>
        <w:tc>
          <w:tcPr>
            <w:tcW w:w="1276" w:type="dxa"/>
            <w:shd w:val="clear" w:color="auto" w:fill="auto"/>
          </w:tcPr>
          <w:p w14:paraId="0377E7FE" w14:textId="77777777" w:rsidR="00A53EE0" w:rsidRPr="00064185" w:rsidRDefault="00CF3286" w:rsidP="00EA61D8">
            <w:pPr>
              <w:spacing w:line="260" w:lineRule="atLeast"/>
              <w:rPr>
                <w:rFonts w:eastAsia="Calibri"/>
                <w:lang w:eastAsia="en-US"/>
              </w:rPr>
            </w:pPr>
            <w:r w:rsidRPr="00064185">
              <w:rPr>
                <w:rFonts w:eastAsia="Calibri"/>
                <w:lang w:eastAsia="en-US"/>
              </w:rPr>
              <w:t>not irritating</w:t>
            </w:r>
          </w:p>
        </w:tc>
        <w:tc>
          <w:tcPr>
            <w:tcW w:w="1417" w:type="dxa"/>
          </w:tcPr>
          <w:p w14:paraId="2A0BA1A3" w14:textId="77777777" w:rsidR="00A53EE0" w:rsidRPr="00064185" w:rsidRDefault="00F77030" w:rsidP="00EA61D8">
            <w:pPr>
              <w:spacing w:line="260" w:lineRule="atLeast"/>
              <w:rPr>
                <w:rFonts w:eastAsia="Calibri"/>
                <w:lang w:eastAsia="en-US"/>
              </w:rPr>
            </w:pPr>
            <w:r w:rsidRPr="00064185">
              <w:rPr>
                <w:rFonts w:eastAsia="Calibri"/>
                <w:lang w:eastAsia="en-US"/>
              </w:rPr>
              <w:t>Giannini, 2008</w:t>
            </w:r>
            <w:r w:rsidR="00F7020F" w:rsidRPr="00064185">
              <w:rPr>
                <w:rFonts w:eastAsia="Calibri"/>
                <w:lang w:eastAsia="en-US"/>
              </w:rPr>
              <w:t>a</w:t>
            </w:r>
          </w:p>
        </w:tc>
      </w:tr>
    </w:tbl>
    <w:p w14:paraId="38221EC2" w14:textId="77777777" w:rsidR="00A53EE0" w:rsidRPr="00064185" w:rsidRDefault="00A53EE0" w:rsidP="00EA61D8">
      <w:pPr>
        <w:spacing w:line="260" w:lineRule="atLeast"/>
        <w:rPr>
          <w:rFonts w:ascii="Times New Roman" w:eastAsia="Calibri" w:hAnsi="Times New Roman"/>
          <w:i/>
          <w:iCs/>
          <w:lang w:eastAsia="en-US"/>
        </w:rPr>
      </w:pPr>
    </w:p>
    <w:p w14:paraId="1002D1DF" w14:textId="77777777" w:rsidR="002F2B54" w:rsidRPr="00064185" w:rsidRDefault="002F2B54" w:rsidP="00EA61D8">
      <w:pPr>
        <w:rPr>
          <w:rFonts w:eastAsia="Calibri"/>
          <w:lang w:eastAsia="en-US"/>
        </w:rPr>
      </w:pPr>
      <w:r w:rsidRPr="00064185">
        <w:rPr>
          <w:rFonts w:eastAsia="Calibri"/>
          <w:lang w:eastAsia="en-US"/>
        </w:rPr>
        <w:t>For eye damage and eye irritation no human data is available.</w:t>
      </w:r>
    </w:p>
    <w:p w14:paraId="5739FFDF" w14:textId="77777777" w:rsidR="00A53EE0" w:rsidRPr="00064185" w:rsidRDefault="00A53EE0" w:rsidP="00EA61D8">
      <w:pPr>
        <w:spacing w:line="260" w:lineRule="atLeast"/>
        <w:rPr>
          <w:rFonts w:ascii="Times New Roman" w:eastAsia="Calibri" w:hAnsi="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064185" w:rsidRPr="00064185" w14:paraId="6B83BDF7" w14:textId="77777777" w:rsidTr="00922E8F">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71A0020"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 xml:space="preserve">Conclusion used in Risk Assessment – Eye irritation </w:t>
            </w:r>
          </w:p>
        </w:tc>
      </w:tr>
      <w:tr w:rsidR="00064185" w:rsidRPr="00064185" w14:paraId="7496C119" w14:textId="77777777" w:rsidTr="00922E8F">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81B8D9D" w14:textId="77777777" w:rsidR="00A53EE0" w:rsidRPr="00064185" w:rsidRDefault="00A53EE0" w:rsidP="00EA61D8">
            <w:pPr>
              <w:spacing w:line="260" w:lineRule="atLeast"/>
              <w:rPr>
                <w:rFonts w:eastAsia="Calibri"/>
                <w:lang w:eastAsia="en-US"/>
              </w:rPr>
            </w:pPr>
            <w:r w:rsidRPr="00064185">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41494A2" w14:textId="77777777" w:rsidR="00A53EE0" w:rsidRPr="00064185" w:rsidRDefault="002F2B54" w:rsidP="00EA61D8">
            <w:pPr>
              <w:spacing w:line="260" w:lineRule="atLeast"/>
              <w:rPr>
                <w:rFonts w:eastAsia="Calibri"/>
                <w:lang w:eastAsia="en-US"/>
              </w:rPr>
            </w:pPr>
            <w:r w:rsidRPr="00064185">
              <w:rPr>
                <w:rFonts w:eastAsia="Calibri"/>
                <w:lang w:eastAsia="en-US"/>
              </w:rPr>
              <w:t>Not irritating to eyes.</w:t>
            </w:r>
          </w:p>
        </w:tc>
      </w:tr>
      <w:tr w:rsidR="00064185" w:rsidRPr="00064185" w14:paraId="2B170A9E" w14:textId="77777777" w:rsidTr="00922E8F">
        <w:tc>
          <w:tcPr>
            <w:tcW w:w="1276" w:type="pct"/>
            <w:tcBorders>
              <w:top w:val="single" w:sz="6" w:space="0" w:color="auto"/>
              <w:left w:val="single" w:sz="4" w:space="0" w:color="auto"/>
              <w:bottom w:val="single" w:sz="6" w:space="0" w:color="auto"/>
              <w:right w:val="single" w:sz="6" w:space="0" w:color="auto"/>
            </w:tcBorders>
            <w:shd w:val="clear" w:color="auto" w:fill="auto"/>
          </w:tcPr>
          <w:p w14:paraId="567AC967" w14:textId="77777777" w:rsidR="00A53EE0" w:rsidRPr="00064185" w:rsidRDefault="00A53EE0" w:rsidP="00EA61D8">
            <w:pPr>
              <w:spacing w:line="260" w:lineRule="atLeast"/>
              <w:rPr>
                <w:rFonts w:eastAsia="Calibri"/>
                <w:lang w:eastAsia="en-US"/>
              </w:rPr>
            </w:pPr>
            <w:r w:rsidRPr="00064185">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3F8D4EDB" w14:textId="77777777" w:rsidR="00A53EE0" w:rsidRPr="00064185" w:rsidRDefault="002F2B54" w:rsidP="00EA61D8">
            <w:pPr>
              <w:spacing w:line="260" w:lineRule="atLeast"/>
              <w:rPr>
                <w:rFonts w:eastAsia="Calibri"/>
                <w:lang w:eastAsia="en-US"/>
              </w:rPr>
            </w:pPr>
            <w:r w:rsidRPr="00064185">
              <w:rPr>
                <w:rFonts w:eastAsia="Calibri"/>
                <w:lang w:eastAsia="en-US"/>
              </w:rPr>
              <w:t xml:space="preserve">COM 116 02 I AL was not irritating to </w:t>
            </w:r>
            <w:r w:rsidR="00CF3286" w:rsidRPr="00064185">
              <w:rPr>
                <w:rFonts w:eastAsia="Calibri"/>
                <w:lang w:eastAsia="en-US"/>
              </w:rPr>
              <w:t xml:space="preserve">rabbits </w:t>
            </w:r>
            <w:r w:rsidRPr="00064185">
              <w:rPr>
                <w:rFonts w:eastAsia="Calibri"/>
                <w:lang w:eastAsia="en-US"/>
              </w:rPr>
              <w:t>eyes</w:t>
            </w:r>
            <w:r w:rsidR="00CF3286" w:rsidRPr="00064185">
              <w:rPr>
                <w:rFonts w:eastAsia="Calibri"/>
                <w:lang w:eastAsia="en-US"/>
              </w:rPr>
              <w:t xml:space="preserve">. </w:t>
            </w:r>
          </w:p>
        </w:tc>
      </w:tr>
      <w:tr w:rsidR="00064185" w:rsidRPr="00064185" w14:paraId="2B747B89" w14:textId="77777777" w:rsidTr="00922E8F">
        <w:tc>
          <w:tcPr>
            <w:tcW w:w="1276" w:type="pct"/>
            <w:tcBorders>
              <w:top w:val="single" w:sz="6" w:space="0" w:color="auto"/>
              <w:left w:val="single" w:sz="4" w:space="0" w:color="auto"/>
              <w:bottom w:val="single" w:sz="6" w:space="0" w:color="auto"/>
              <w:right w:val="single" w:sz="6" w:space="0" w:color="auto"/>
            </w:tcBorders>
            <w:shd w:val="clear" w:color="auto" w:fill="auto"/>
          </w:tcPr>
          <w:p w14:paraId="2DFF07D2" w14:textId="192045C5" w:rsidR="00A53EE0" w:rsidRPr="00064185" w:rsidRDefault="00A53EE0" w:rsidP="00EA61D8">
            <w:pPr>
              <w:spacing w:line="260" w:lineRule="atLeast"/>
              <w:rPr>
                <w:rFonts w:eastAsia="Calibri"/>
                <w:lang w:eastAsia="en-US"/>
              </w:rPr>
            </w:pPr>
            <w:r w:rsidRPr="00064185">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2BDBD483" w14:textId="1020C552" w:rsidR="00A53EE0" w:rsidRPr="00064185" w:rsidRDefault="00732517" w:rsidP="00EA61D8">
            <w:pPr>
              <w:spacing w:line="260" w:lineRule="atLeast"/>
              <w:rPr>
                <w:rFonts w:eastAsia="Calibri"/>
                <w:lang w:eastAsia="en-US"/>
              </w:rPr>
            </w:pPr>
            <w:r w:rsidRPr="00064185">
              <w:t>According to CLP n</w:t>
            </w:r>
            <w:r w:rsidR="00503B5F" w:rsidRPr="00064185">
              <w:t xml:space="preserve">o classification </w:t>
            </w:r>
            <w:r w:rsidR="002F2B54" w:rsidRPr="00064185">
              <w:t xml:space="preserve">for eye irritation </w:t>
            </w:r>
            <w:r w:rsidR="00503B5F" w:rsidRPr="00064185">
              <w:t>is necessary</w:t>
            </w:r>
            <w:r w:rsidR="002F2B54" w:rsidRPr="00064185">
              <w:t>.</w:t>
            </w:r>
          </w:p>
        </w:tc>
      </w:tr>
    </w:tbl>
    <w:p w14:paraId="2EB3F75C" w14:textId="77777777" w:rsidR="00A53EE0" w:rsidRPr="00064185" w:rsidRDefault="00A53EE0" w:rsidP="00EA61D8">
      <w:pPr>
        <w:spacing w:line="260" w:lineRule="atLeast"/>
        <w:rPr>
          <w:rFonts w:ascii="Times New Roman" w:eastAsia="Calibri" w:hAnsi="Times New Roman"/>
          <w:i/>
          <w:iCs/>
          <w:lang w:eastAsia="en-US"/>
        </w:rPr>
      </w:pPr>
    </w:p>
    <w:p w14:paraId="49254DED" w14:textId="77777777" w:rsidR="00E74738" w:rsidRPr="00064185" w:rsidRDefault="00E74738" w:rsidP="00EA61D8">
      <w:pPr>
        <w:spacing w:line="260" w:lineRule="atLeast"/>
        <w:rPr>
          <w:rFonts w:ascii="Times New Roman" w:eastAsia="Calibri" w:hAnsi="Times New Roman"/>
          <w:i/>
          <w:iCs/>
          <w:lang w:eastAsia="en-US"/>
        </w:rPr>
      </w:pPr>
    </w:p>
    <w:p w14:paraId="372B5E35" w14:textId="77777777" w:rsidR="00A53EE0" w:rsidRPr="00064185" w:rsidRDefault="00A53EE0" w:rsidP="00EA61D8">
      <w:pPr>
        <w:rPr>
          <w:rFonts w:eastAsia="Calibri"/>
          <w:b/>
          <w:i/>
          <w:sz w:val="22"/>
          <w:szCs w:val="22"/>
          <w:lang w:eastAsia="en-US"/>
        </w:rPr>
      </w:pPr>
      <w:bookmarkStart w:id="1653" w:name="_Toc367976971"/>
      <w:bookmarkStart w:id="1654" w:name="_Toc367977148"/>
      <w:bookmarkStart w:id="1655" w:name="_Toc389729051"/>
      <w:bookmarkStart w:id="1656" w:name="_Toc403472756"/>
      <w:r w:rsidRPr="00064185">
        <w:rPr>
          <w:rFonts w:eastAsia="Calibri"/>
          <w:b/>
          <w:i/>
          <w:sz w:val="22"/>
          <w:szCs w:val="22"/>
          <w:lang w:eastAsia="en-US"/>
        </w:rPr>
        <w:t>Respiratory tract irritation</w:t>
      </w:r>
      <w:bookmarkEnd w:id="1653"/>
      <w:bookmarkEnd w:id="1654"/>
      <w:bookmarkEnd w:id="1655"/>
      <w:bookmarkEnd w:id="1656"/>
      <w:r w:rsidRPr="00064185">
        <w:rPr>
          <w:rFonts w:eastAsia="Calibri"/>
          <w:b/>
          <w:i/>
          <w:sz w:val="22"/>
          <w:szCs w:val="22"/>
          <w:lang w:eastAsia="en-US"/>
        </w:rPr>
        <w:t xml:space="preserve"> </w:t>
      </w:r>
    </w:p>
    <w:p w14:paraId="15C9DA51" w14:textId="77777777" w:rsidR="00A53EE0" w:rsidRPr="00064185" w:rsidRDefault="00A53EE0" w:rsidP="00EA61D8">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064185" w:rsidRPr="00064185" w14:paraId="6DABD1F4" w14:textId="77777777" w:rsidTr="00922E8F">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BC91EB4" w14:textId="77777777" w:rsidR="00A53EE0" w:rsidRPr="00064185" w:rsidRDefault="00A53EE0" w:rsidP="00EA61D8">
            <w:pPr>
              <w:keepNext/>
              <w:keepLines/>
              <w:spacing w:before="60" w:after="60" w:line="260" w:lineRule="atLeast"/>
              <w:rPr>
                <w:rFonts w:eastAsia="Calibri"/>
                <w:b/>
                <w:lang w:val="en-US" w:eastAsia="da-DK"/>
              </w:rPr>
            </w:pPr>
            <w:r w:rsidRPr="00064185">
              <w:rPr>
                <w:rFonts w:eastAsia="Calibri"/>
                <w:b/>
                <w:bCs/>
                <w:lang w:eastAsia="en-US"/>
              </w:rPr>
              <w:t>Conclusion used in the Risk Assessment – Respiratory tract irritation</w:t>
            </w:r>
          </w:p>
        </w:tc>
      </w:tr>
      <w:tr w:rsidR="00064185" w:rsidRPr="00064185" w14:paraId="41879E80" w14:textId="77777777" w:rsidTr="00CF3286">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3A27380" w14:textId="77777777" w:rsidR="00CF3286" w:rsidRPr="00064185" w:rsidRDefault="00CF3286" w:rsidP="00EA61D8">
            <w:pPr>
              <w:spacing w:line="260" w:lineRule="atLeast"/>
              <w:rPr>
                <w:rFonts w:eastAsia="Calibri"/>
                <w:lang w:eastAsia="en-US"/>
              </w:rPr>
            </w:pPr>
            <w:r w:rsidRPr="00064185">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3A35EB10" w14:textId="77777777" w:rsidR="00CF3286" w:rsidRPr="00064185" w:rsidRDefault="00CF3286" w:rsidP="00EA61D8">
            <w:pPr>
              <w:spacing w:line="260" w:lineRule="atLeast"/>
              <w:rPr>
                <w:rFonts w:eastAsia="Calibri"/>
                <w:lang w:eastAsia="en-US"/>
              </w:rPr>
            </w:pPr>
            <w:r w:rsidRPr="00064185">
              <w:rPr>
                <w:rFonts w:eastAsia="Calibri"/>
                <w:lang w:eastAsia="en-US"/>
              </w:rPr>
              <w:t>Not irritating to the respiratory tract.</w:t>
            </w:r>
          </w:p>
        </w:tc>
      </w:tr>
      <w:tr w:rsidR="00064185" w:rsidRPr="00064185" w14:paraId="22D22C75" w14:textId="77777777" w:rsidTr="00CF3286">
        <w:tc>
          <w:tcPr>
            <w:tcW w:w="1276" w:type="pct"/>
            <w:tcBorders>
              <w:top w:val="single" w:sz="6" w:space="0" w:color="auto"/>
              <w:left w:val="single" w:sz="4" w:space="0" w:color="auto"/>
              <w:bottom w:val="single" w:sz="6" w:space="0" w:color="auto"/>
              <w:right w:val="single" w:sz="6" w:space="0" w:color="auto"/>
            </w:tcBorders>
            <w:shd w:val="clear" w:color="auto" w:fill="auto"/>
          </w:tcPr>
          <w:p w14:paraId="0AD87E9A" w14:textId="77777777" w:rsidR="00A53EE0" w:rsidRPr="00064185" w:rsidRDefault="00A53EE0" w:rsidP="00EA61D8">
            <w:pPr>
              <w:keepNext/>
              <w:keepLines/>
              <w:spacing w:before="60" w:after="60" w:line="260" w:lineRule="atLeast"/>
              <w:rPr>
                <w:rFonts w:eastAsia="Calibri"/>
                <w:bCs/>
                <w:lang w:eastAsia="en-US"/>
              </w:rPr>
            </w:pPr>
            <w:r w:rsidRPr="00064185">
              <w:rPr>
                <w:rFonts w:eastAsia="Calibri"/>
                <w:bCs/>
                <w:lang w:eastAsia="en-US"/>
              </w:rPr>
              <w:t>Justification for the conclusion</w:t>
            </w:r>
          </w:p>
        </w:tc>
        <w:tc>
          <w:tcPr>
            <w:tcW w:w="3724" w:type="pct"/>
            <w:tcBorders>
              <w:top w:val="single" w:sz="6" w:space="0" w:color="auto"/>
              <w:left w:val="single" w:sz="6" w:space="0" w:color="auto"/>
              <w:bottom w:val="single" w:sz="6" w:space="0" w:color="auto"/>
              <w:right w:val="single" w:sz="6" w:space="0" w:color="auto"/>
            </w:tcBorders>
          </w:tcPr>
          <w:p w14:paraId="2E7D9537" w14:textId="77777777" w:rsidR="00A53EE0" w:rsidRPr="00064185" w:rsidRDefault="00CF3286" w:rsidP="00EA61D8">
            <w:pPr>
              <w:keepNext/>
              <w:keepLines/>
              <w:spacing w:before="60" w:after="60" w:line="260" w:lineRule="atLeast"/>
              <w:rPr>
                <w:rFonts w:eastAsia="Calibri"/>
                <w:bCs/>
                <w:lang w:eastAsia="en-US"/>
              </w:rPr>
            </w:pPr>
            <w:r w:rsidRPr="00064185">
              <w:rPr>
                <w:rFonts w:eastAsia="Calibri"/>
                <w:lang w:eastAsia="en-US"/>
              </w:rPr>
              <w:t xml:space="preserve">COM 116 02 I AL is neither irritating to eyes nor to the skin. </w:t>
            </w:r>
          </w:p>
        </w:tc>
      </w:tr>
      <w:tr w:rsidR="00064185" w:rsidRPr="00064185" w14:paraId="4D92B63F" w14:textId="77777777" w:rsidTr="00CF3286">
        <w:tc>
          <w:tcPr>
            <w:tcW w:w="1276" w:type="pct"/>
            <w:tcBorders>
              <w:top w:val="single" w:sz="6" w:space="0" w:color="auto"/>
              <w:left w:val="single" w:sz="4" w:space="0" w:color="auto"/>
              <w:bottom w:val="single" w:sz="6" w:space="0" w:color="auto"/>
              <w:right w:val="single" w:sz="6" w:space="0" w:color="auto"/>
            </w:tcBorders>
            <w:shd w:val="clear" w:color="auto" w:fill="auto"/>
          </w:tcPr>
          <w:p w14:paraId="7400574C" w14:textId="177A6C84" w:rsidR="00A53EE0" w:rsidRPr="00064185" w:rsidRDefault="00A53EE0" w:rsidP="00EA61D8">
            <w:pPr>
              <w:keepNext/>
              <w:keepLines/>
              <w:spacing w:before="60" w:after="60" w:line="260" w:lineRule="atLeast"/>
              <w:rPr>
                <w:rFonts w:eastAsia="Calibri"/>
                <w:bCs/>
                <w:lang w:eastAsia="en-US"/>
              </w:rPr>
            </w:pPr>
            <w:r w:rsidRPr="00064185">
              <w:rPr>
                <w:rFonts w:eastAsia="Calibri"/>
                <w:bCs/>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4C21F3CC" w14:textId="1700AE05" w:rsidR="00A53EE0" w:rsidRPr="00064185" w:rsidRDefault="00732517" w:rsidP="00EA61D8">
            <w:pPr>
              <w:keepNext/>
              <w:keepLines/>
              <w:spacing w:before="60" w:after="60" w:line="260" w:lineRule="atLeast"/>
              <w:rPr>
                <w:rFonts w:eastAsia="Calibri"/>
                <w:bCs/>
                <w:lang w:eastAsia="en-US"/>
              </w:rPr>
            </w:pPr>
            <w:r w:rsidRPr="00064185">
              <w:t xml:space="preserve">According to CLP </w:t>
            </w:r>
            <w:r w:rsidRPr="00064185">
              <w:rPr>
                <w:rFonts w:eastAsia="Calibri"/>
                <w:bCs/>
                <w:lang w:eastAsia="en-US"/>
              </w:rPr>
              <w:t>no classification for respiratory tract irritation is necessary.</w:t>
            </w:r>
          </w:p>
        </w:tc>
      </w:tr>
    </w:tbl>
    <w:p w14:paraId="10666043" w14:textId="77777777" w:rsidR="00A53EE0" w:rsidRPr="00064185" w:rsidRDefault="00A53EE0" w:rsidP="00EA61D8">
      <w:pPr>
        <w:spacing w:line="260" w:lineRule="atLeast"/>
        <w:rPr>
          <w:rFonts w:eastAsia="Calibri"/>
          <w:lang w:eastAsia="en-US"/>
        </w:rPr>
      </w:pPr>
    </w:p>
    <w:p w14:paraId="4287A7DB" w14:textId="77777777" w:rsidR="00A53EE0" w:rsidRPr="00064185" w:rsidRDefault="00A53EE0" w:rsidP="00EA61D8">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64185" w:rsidRPr="00064185" w14:paraId="3E9D3052" w14:textId="77777777" w:rsidTr="00922E8F">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93F5B44" w14:textId="77777777" w:rsidR="00A53EE0" w:rsidRPr="00064185" w:rsidRDefault="00A53EE0" w:rsidP="00EA61D8">
            <w:pPr>
              <w:spacing w:line="260" w:lineRule="atLeast"/>
              <w:rPr>
                <w:rFonts w:eastAsia="Calibri"/>
                <w:b/>
                <w:lang w:eastAsia="en-US"/>
              </w:rPr>
            </w:pPr>
            <w:r w:rsidRPr="00064185">
              <w:rPr>
                <w:rFonts w:eastAsia="Calibri"/>
                <w:b/>
                <w:lang w:eastAsia="en-US"/>
              </w:rPr>
              <w:t>Data waiving</w:t>
            </w:r>
          </w:p>
        </w:tc>
      </w:tr>
      <w:tr w:rsidR="00064185" w:rsidRPr="00064185" w14:paraId="476390F5"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2F5393DB" w14:textId="77777777" w:rsidR="00A53EE0" w:rsidRPr="00064185" w:rsidRDefault="00A53EE0" w:rsidP="00EA61D8">
            <w:pPr>
              <w:spacing w:line="260" w:lineRule="atLeast"/>
              <w:rPr>
                <w:rFonts w:eastAsia="Calibri"/>
                <w:lang w:eastAsia="en-US"/>
              </w:rPr>
            </w:pPr>
            <w:r w:rsidRPr="00064185">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45BF8C6" w14:textId="77777777" w:rsidR="00A53EE0" w:rsidRPr="00064185" w:rsidRDefault="00C55F5B" w:rsidP="00EA61D8">
            <w:pPr>
              <w:spacing w:line="260" w:lineRule="atLeast"/>
              <w:rPr>
                <w:rFonts w:eastAsia="Calibri"/>
                <w:lang w:eastAsia="en-US"/>
              </w:rPr>
            </w:pPr>
            <w:r w:rsidRPr="00064185">
              <w:rPr>
                <w:rFonts w:eastAsia="Calibri"/>
                <w:lang w:eastAsia="en-US"/>
              </w:rPr>
              <w:t>Study scientifically unjustified</w:t>
            </w:r>
          </w:p>
        </w:tc>
      </w:tr>
      <w:tr w:rsidR="00064185" w:rsidRPr="00064185" w14:paraId="1FC6A5C7"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51BCD65A" w14:textId="77777777" w:rsidR="00A53EE0" w:rsidRPr="00064185" w:rsidRDefault="00A53EE0" w:rsidP="00EA61D8">
            <w:pPr>
              <w:spacing w:line="260" w:lineRule="atLeast"/>
              <w:rPr>
                <w:rFonts w:eastAsia="Calibri"/>
                <w:lang w:eastAsia="en-US"/>
              </w:rPr>
            </w:pPr>
            <w:r w:rsidRPr="00064185">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478223F" w14:textId="77777777" w:rsidR="00A53EE0" w:rsidRPr="00064185" w:rsidRDefault="00A4536C" w:rsidP="00EA61D8">
            <w:pPr>
              <w:spacing w:line="260" w:lineRule="atLeast"/>
              <w:rPr>
                <w:rFonts w:eastAsia="Calibri"/>
                <w:lang w:eastAsia="en-US"/>
              </w:rPr>
            </w:pPr>
            <w:r w:rsidRPr="00064185">
              <w:rPr>
                <w:rFonts w:eastAsia="Calibri"/>
                <w:lang w:eastAsia="en-US"/>
              </w:rPr>
              <w:t xml:space="preserve">The b.p. COM 116 02 I AL contains &gt;99% water and </w:t>
            </w:r>
            <w:r w:rsidR="00C55F5B" w:rsidRPr="00064185">
              <w:rPr>
                <w:rFonts w:eastAsia="Calibri"/>
                <w:lang w:eastAsia="en-US"/>
              </w:rPr>
              <w:t>is not irritating to eyes. The average 24, 48, 72h score</w:t>
            </w:r>
            <w:r w:rsidRPr="00064185">
              <w:rPr>
                <w:rFonts w:eastAsia="Calibri"/>
                <w:lang w:eastAsia="en-US"/>
              </w:rPr>
              <w:t xml:space="preserve"> in a reliable OECD Guideline study</w:t>
            </w:r>
            <w:r w:rsidR="00C55F5B" w:rsidRPr="00064185">
              <w:rPr>
                <w:rFonts w:eastAsia="Calibri"/>
                <w:lang w:eastAsia="en-US"/>
              </w:rPr>
              <w:t xml:space="preserve"> for each parameter was 0. </w:t>
            </w:r>
            <w:r w:rsidRPr="00064185">
              <w:rPr>
                <w:rFonts w:eastAsia="Calibri"/>
                <w:lang w:eastAsia="en-US"/>
              </w:rPr>
              <w:t>Therefore</w:t>
            </w:r>
            <w:r w:rsidR="00C55F5B" w:rsidRPr="00064185">
              <w:rPr>
                <w:rFonts w:eastAsia="Calibri"/>
                <w:lang w:eastAsia="en-US"/>
              </w:rPr>
              <w:t xml:space="preserve"> a</w:t>
            </w:r>
            <w:r w:rsidR="00E74738" w:rsidRPr="00064185">
              <w:rPr>
                <w:rFonts w:eastAsia="Calibri"/>
                <w:lang w:eastAsia="en-US"/>
              </w:rPr>
              <w:t>n</w:t>
            </w:r>
            <w:r w:rsidR="00C55F5B" w:rsidRPr="00064185">
              <w:rPr>
                <w:rFonts w:eastAsia="Calibri"/>
                <w:lang w:eastAsia="en-US"/>
              </w:rPr>
              <w:t xml:space="preserve"> irritation test with the b.p. is scientifically unjustified.</w:t>
            </w:r>
          </w:p>
        </w:tc>
      </w:tr>
    </w:tbl>
    <w:p w14:paraId="22D2836F" w14:textId="77777777" w:rsidR="00A53EE0" w:rsidRPr="00064185" w:rsidRDefault="00A53EE0" w:rsidP="00EA61D8">
      <w:pPr>
        <w:spacing w:line="260" w:lineRule="atLeast"/>
        <w:rPr>
          <w:rFonts w:eastAsia="Calibri"/>
          <w:lang w:eastAsia="en-US"/>
        </w:rPr>
      </w:pPr>
    </w:p>
    <w:p w14:paraId="0108FF63" w14:textId="77777777" w:rsidR="00C55F5B" w:rsidRPr="00064185" w:rsidRDefault="00C55F5B" w:rsidP="00EA61D8">
      <w:pPr>
        <w:spacing w:line="260" w:lineRule="atLeast"/>
        <w:rPr>
          <w:rFonts w:eastAsia="Calibri"/>
          <w:lang w:eastAsia="en-US"/>
        </w:rPr>
      </w:pPr>
    </w:p>
    <w:p w14:paraId="513A2612" w14:textId="77777777" w:rsidR="00A53EE0" w:rsidRPr="00064185" w:rsidRDefault="00A53EE0" w:rsidP="00EA61D8">
      <w:pPr>
        <w:rPr>
          <w:rFonts w:eastAsia="Calibri"/>
          <w:b/>
          <w:i/>
          <w:sz w:val="22"/>
          <w:szCs w:val="22"/>
          <w:lang w:eastAsia="en-US"/>
        </w:rPr>
      </w:pPr>
      <w:bookmarkStart w:id="1657" w:name="_Toc389729052"/>
      <w:bookmarkStart w:id="1658" w:name="_Toc403472757"/>
      <w:r w:rsidRPr="00064185">
        <w:rPr>
          <w:rFonts w:eastAsia="Calibri"/>
          <w:b/>
          <w:i/>
          <w:sz w:val="22"/>
          <w:szCs w:val="22"/>
          <w:lang w:eastAsia="en-US"/>
        </w:rPr>
        <w:t>Skin sensitization</w:t>
      </w:r>
      <w:bookmarkEnd w:id="1657"/>
      <w:bookmarkEnd w:id="1658"/>
    </w:p>
    <w:p w14:paraId="3ED367B8" w14:textId="77777777" w:rsidR="00A53EE0" w:rsidRPr="00064185" w:rsidRDefault="00A53EE0" w:rsidP="00EA61D8">
      <w:pPr>
        <w:spacing w:line="260" w:lineRule="atLeast"/>
        <w:rPr>
          <w:rFonts w:eastAsia="Calibri"/>
          <w:lang w:eastAsia="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559"/>
        <w:gridCol w:w="1985"/>
        <w:gridCol w:w="1701"/>
        <w:gridCol w:w="1417"/>
        <w:gridCol w:w="1276"/>
      </w:tblGrid>
      <w:tr w:rsidR="00064185" w:rsidRPr="00064185" w14:paraId="358C8CC9" w14:textId="77777777" w:rsidTr="00922E8F">
        <w:trPr>
          <w:trHeight w:val="348"/>
          <w:tblHeader/>
        </w:trPr>
        <w:tc>
          <w:tcPr>
            <w:tcW w:w="9284" w:type="dxa"/>
            <w:gridSpan w:val="6"/>
            <w:shd w:val="clear" w:color="auto" w:fill="FFFFCC"/>
          </w:tcPr>
          <w:p w14:paraId="4F3EC15B" w14:textId="77777777" w:rsidR="00A53EE0" w:rsidRPr="00064185" w:rsidRDefault="00A53EE0" w:rsidP="00EA61D8">
            <w:pPr>
              <w:spacing w:line="260" w:lineRule="atLeast"/>
              <w:rPr>
                <w:rFonts w:eastAsia="Calibri"/>
                <w:b/>
                <w:lang w:eastAsia="en-US"/>
              </w:rPr>
            </w:pPr>
            <w:r w:rsidRPr="00064185">
              <w:rPr>
                <w:rFonts w:eastAsia="Calibri"/>
                <w:b/>
                <w:lang w:eastAsia="en-US"/>
              </w:rPr>
              <w:t>Summary table of animal studies on skin sensitisation</w:t>
            </w:r>
          </w:p>
        </w:tc>
      </w:tr>
      <w:tr w:rsidR="00064185" w:rsidRPr="00064185" w14:paraId="3DCA442B" w14:textId="77777777" w:rsidTr="00214D01">
        <w:trPr>
          <w:trHeight w:val="651"/>
          <w:tblHeader/>
        </w:trPr>
        <w:tc>
          <w:tcPr>
            <w:tcW w:w="1346" w:type="dxa"/>
            <w:shd w:val="clear" w:color="auto" w:fill="auto"/>
            <w:tcMar>
              <w:top w:w="57" w:type="dxa"/>
              <w:bottom w:w="57" w:type="dxa"/>
            </w:tcMar>
          </w:tcPr>
          <w:p w14:paraId="6C01D4DB" w14:textId="77777777" w:rsidR="00A53EE0" w:rsidRPr="00064185" w:rsidRDefault="00A53EE0" w:rsidP="00EA61D8">
            <w:pPr>
              <w:spacing w:line="260" w:lineRule="atLeast"/>
              <w:rPr>
                <w:rFonts w:eastAsia="Calibri"/>
                <w:lang w:eastAsia="en-US"/>
              </w:rPr>
            </w:pPr>
            <w:r w:rsidRPr="00064185">
              <w:rPr>
                <w:rFonts w:eastAsia="Calibri"/>
                <w:b/>
                <w:lang w:eastAsia="en-GB"/>
              </w:rPr>
              <w:t>Method,</w:t>
            </w:r>
            <w:r w:rsidRPr="00064185">
              <w:rPr>
                <w:rFonts w:eastAsia="Calibri"/>
                <w:b/>
                <w:lang w:eastAsia="en-GB"/>
              </w:rPr>
              <w:br/>
              <w:t>Guideline, GLP status,</w:t>
            </w:r>
            <w:r w:rsidRPr="00064185">
              <w:rPr>
                <w:rFonts w:eastAsia="Calibri"/>
                <w:b/>
                <w:bCs/>
                <w:lang w:eastAsia="en-GB"/>
              </w:rPr>
              <w:t xml:space="preserve"> Reliability</w:t>
            </w:r>
          </w:p>
        </w:tc>
        <w:tc>
          <w:tcPr>
            <w:tcW w:w="1559" w:type="dxa"/>
          </w:tcPr>
          <w:p w14:paraId="1D4FCD99" w14:textId="77777777" w:rsidR="00A53EE0" w:rsidRPr="00064185" w:rsidRDefault="00A53EE0" w:rsidP="00EA61D8">
            <w:pPr>
              <w:spacing w:line="260" w:lineRule="atLeast"/>
              <w:rPr>
                <w:rFonts w:eastAsia="Calibri"/>
                <w:b/>
                <w:lang w:eastAsia="en-US"/>
              </w:rPr>
            </w:pPr>
            <w:r w:rsidRPr="00064185">
              <w:rPr>
                <w:rFonts w:eastAsia="Calibri"/>
                <w:b/>
                <w:lang w:eastAsia="en-US"/>
              </w:rPr>
              <w:t>Species,</w:t>
            </w:r>
            <w:r w:rsidRPr="00064185">
              <w:rPr>
                <w:rFonts w:eastAsia="Calibri"/>
                <w:b/>
                <w:lang w:eastAsia="en-US"/>
              </w:rPr>
              <w:br/>
              <w:t>Strain,</w:t>
            </w:r>
            <w:r w:rsidRPr="00064185">
              <w:rPr>
                <w:rFonts w:eastAsia="Calibri"/>
                <w:b/>
                <w:lang w:eastAsia="en-US"/>
              </w:rPr>
              <w:br/>
              <w:t>Sex,</w:t>
            </w:r>
            <w:r w:rsidRPr="00064185">
              <w:rPr>
                <w:rFonts w:eastAsia="Calibri"/>
                <w:b/>
                <w:lang w:eastAsia="en-US"/>
              </w:rPr>
              <w:br/>
              <w:t>No/group</w:t>
            </w:r>
          </w:p>
        </w:tc>
        <w:tc>
          <w:tcPr>
            <w:tcW w:w="1985" w:type="dxa"/>
            <w:shd w:val="clear" w:color="auto" w:fill="auto"/>
            <w:tcMar>
              <w:top w:w="57" w:type="dxa"/>
              <w:bottom w:w="57" w:type="dxa"/>
            </w:tcMar>
          </w:tcPr>
          <w:p w14:paraId="198F19C3" w14:textId="77777777" w:rsidR="00A53EE0" w:rsidRPr="00064185" w:rsidRDefault="00A53EE0" w:rsidP="00EA61D8">
            <w:pPr>
              <w:keepNext/>
              <w:widowControl w:val="0"/>
              <w:tabs>
                <w:tab w:val="center" w:pos="4536"/>
                <w:tab w:val="right" w:pos="9072"/>
              </w:tabs>
              <w:spacing w:before="60" w:after="60" w:line="260" w:lineRule="atLeast"/>
              <w:rPr>
                <w:rFonts w:eastAsia="Calibri"/>
                <w:b/>
                <w:bCs/>
                <w:lang w:eastAsia="en-GB"/>
              </w:rPr>
            </w:pPr>
            <w:r w:rsidRPr="00064185">
              <w:rPr>
                <w:rFonts w:eastAsia="Calibri"/>
                <w:b/>
                <w:bCs/>
                <w:lang w:eastAsia="en-GB"/>
              </w:rPr>
              <w:t>Test substance, Vehicle,</w:t>
            </w:r>
          </w:p>
          <w:p w14:paraId="21DC03A4" w14:textId="77777777" w:rsidR="00A53EE0" w:rsidRPr="00064185" w:rsidRDefault="00A53EE0" w:rsidP="00EA61D8">
            <w:pPr>
              <w:spacing w:line="260" w:lineRule="atLeast"/>
              <w:rPr>
                <w:rFonts w:eastAsia="Calibri"/>
                <w:lang w:eastAsia="en-US"/>
              </w:rPr>
            </w:pPr>
            <w:r w:rsidRPr="00064185">
              <w:rPr>
                <w:rFonts w:eastAsia="Calibri"/>
                <w:b/>
                <w:bCs/>
                <w:lang w:eastAsia="en-GB"/>
              </w:rPr>
              <w:t xml:space="preserve">Dose levels, </w:t>
            </w:r>
            <w:r w:rsidRPr="00064185">
              <w:rPr>
                <w:rFonts w:eastAsia="Calibri"/>
                <w:b/>
                <w:bCs/>
                <w:lang w:eastAsia="en-GB"/>
              </w:rPr>
              <w:br/>
              <w:t>duration of exposure</w:t>
            </w:r>
            <w:r w:rsidRPr="00064185">
              <w:rPr>
                <w:rFonts w:eastAsia="Calibri"/>
                <w:b/>
                <w:lang w:eastAsia="en-GB"/>
              </w:rPr>
              <w:t xml:space="preserve"> Route of exposure </w:t>
            </w:r>
          </w:p>
        </w:tc>
        <w:tc>
          <w:tcPr>
            <w:tcW w:w="1701" w:type="dxa"/>
            <w:shd w:val="clear" w:color="auto" w:fill="auto"/>
            <w:tcMar>
              <w:top w:w="57" w:type="dxa"/>
              <w:bottom w:w="57" w:type="dxa"/>
            </w:tcMar>
          </w:tcPr>
          <w:p w14:paraId="10846E17" w14:textId="77777777" w:rsidR="00A53EE0" w:rsidRPr="00064185" w:rsidRDefault="00A53EE0" w:rsidP="00EA61D8">
            <w:pPr>
              <w:spacing w:line="260" w:lineRule="atLeast"/>
              <w:rPr>
                <w:rFonts w:eastAsia="Calibri"/>
                <w:b/>
                <w:lang w:eastAsia="en-US"/>
              </w:rPr>
            </w:pPr>
            <w:r w:rsidRPr="00064185">
              <w:rPr>
                <w:rFonts w:eastAsia="Calibri"/>
                <w:b/>
                <w:lang w:eastAsia="en-US"/>
              </w:rPr>
              <w:t xml:space="preserve">Results </w:t>
            </w:r>
          </w:p>
          <w:p w14:paraId="43803515" w14:textId="77777777" w:rsidR="00A53EE0" w:rsidRPr="00064185" w:rsidRDefault="00A53EE0" w:rsidP="00EA61D8">
            <w:pPr>
              <w:spacing w:line="260" w:lineRule="atLeast"/>
              <w:rPr>
                <w:rFonts w:eastAsia="Calibri"/>
                <w:b/>
                <w:lang w:eastAsia="en-US"/>
              </w:rPr>
            </w:pPr>
            <w:r w:rsidRPr="00064185">
              <w:rPr>
                <w:rFonts w:eastAsia="Calibri"/>
                <w:i/>
                <w:lang w:eastAsia="en-US"/>
              </w:rPr>
              <w:t>(</w:t>
            </w:r>
            <w:r w:rsidR="00555BDC" w:rsidRPr="00064185">
              <w:rPr>
                <w:rFonts w:eastAsia="Calibri"/>
                <w:i/>
                <w:lang w:eastAsia="en-US"/>
              </w:rPr>
              <w:t xml:space="preserve">Number </w:t>
            </w:r>
            <w:r w:rsidRPr="00064185">
              <w:rPr>
                <w:rFonts w:eastAsia="Calibri"/>
                <w:i/>
                <w:lang w:eastAsia="en-US"/>
              </w:rPr>
              <w:t>of sensitised animals at induction dose)</w:t>
            </w:r>
          </w:p>
        </w:tc>
        <w:tc>
          <w:tcPr>
            <w:tcW w:w="1417" w:type="dxa"/>
          </w:tcPr>
          <w:p w14:paraId="28814078" w14:textId="77777777" w:rsidR="00A53EE0" w:rsidRPr="00064185" w:rsidRDefault="00A53EE0" w:rsidP="00EA61D8">
            <w:pPr>
              <w:spacing w:line="260" w:lineRule="atLeast"/>
              <w:rPr>
                <w:rFonts w:eastAsia="Calibri"/>
                <w:b/>
                <w:lang w:eastAsia="en-US"/>
              </w:rPr>
            </w:pPr>
            <w:r w:rsidRPr="00064185">
              <w:rPr>
                <w:rFonts w:eastAsia="Calibri"/>
                <w:b/>
                <w:lang w:eastAsia="en-US"/>
              </w:rPr>
              <w:t>Remarks</w:t>
            </w:r>
          </w:p>
          <w:p w14:paraId="01930D45" w14:textId="77777777" w:rsidR="00A53EE0" w:rsidRPr="00064185" w:rsidRDefault="00A53EE0" w:rsidP="00EA61D8">
            <w:pPr>
              <w:spacing w:line="260" w:lineRule="atLeast"/>
              <w:rPr>
                <w:rFonts w:eastAsia="Calibri"/>
                <w:i/>
                <w:lang w:eastAsia="en-US"/>
              </w:rPr>
            </w:pPr>
          </w:p>
        </w:tc>
        <w:tc>
          <w:tcPr>
            <w:tcW w:w="1276" w:type="dxa"/>
            <w:shd w:val="clear" w:color="auto" w:fill="auto"/>
            <w:tcMar>
              <w:top w:w="57" w:type="dxa"/>
              <w:bottom w:w="57" w:type="dxa"/>
            </w:tcMar>
          </w:tcPr>
          <w:p w14:paraId="0170C319" w14:textId="77777777" w:rsidR="00A53EE0" w:rsidRPr="00064185" w:rsidRDefault="00A53EE0" w:rsidP="00EA61D8">
            <w:pPr>
              <w:spacing w:line="260" w:lineRule="atLeast"/>
              <w:rPr>
                <w:rFonts w:eastAsia="Calibri"/>
                <w:b/>
                <w:lang w:eastAsia="en-US"/>
              </w:rPr>
            </w:pPr>
            <w:r w:rsidRPr="00064185">
              <w:rPr>
                <w:rFonts w:eastAsia="Calibri"/>
                <w:b/>
                <w:lang w:eastAsia="en-US"/>
              </w:rPr>
              <w:t xml:space="preserve">Reference </w:t>
            </w:r>
          </w:p>
          <w:p w14:paraId="5DF93DF2" w14:textId="77777777" w:rsidR="00A53EE0" w:rsidRPr="00064185" w:rsidRDefault="00A53EE0" w:rsidP="00EA61D8">
            <w:pPr>
              <w:spacing w:line="260" w:lineRule="atLeast"/>
              <w:rPr>
                <w:rFonts w:eastAsia="Calibri"/>
                <w:lang w:eastAsia="en-US"/>
              </w:rPr>
            </w:pPr>
          </w:p>
        </w:tc>
      </w:tr>
      <w:tr w:rsidR="00A53EE0" w:rsidRPr="00064185" w14:paraId="126947CA" w14:textId="77777777" w:rsidTr="00214D01">
        <w:trPr>
          <w:trHeight w:val="227"/>
          <w:tblHeader/>
        </w:trPr>
        <w:tc>
          <w:tcPr>
            <w:tcW w:w="1346" w:type="dxa"/>
            <w:shd w:val="clear" w:color="auto" w:fill="auto"/>
          </w:tcPr>
          <w:p w14:paraId="13A5E949" w14:textId="77777777" w:rsidR="00C55F5B" w:rsidRPr="00064185" w:rsidRDefault="00C55F5B" w:rsidP="00EA61D8">
            <w:pPr>
              <w:spacing w:line="260" w:lineRule="atLeast"/>
              <w:rPr>
                <w:rFonts w:eastAsia="Calibri"/>
                <w:lang w:eastAsia="en-US"/>
              </w:rPr>
            </w:pPr>
            <w:r w:rsidRPr="00064185">
              <w:rPr>
                <w:rFonts w:eastAsia="Calibri"/>
                <w:lang w:eastAsia="en-US"/>
              </w:rPr>
              <w:t>GPMT,</w:t>
            </w:r>
          </w:p>
          <w:p w14:paraId="5EF349D1" w14:textId="77777777" w:rsidR="008355EE" w:rsidRPr="00064185" w:rsidRDefault="008355EE" w:rsidP="00EA61D8">
            <w:pPr>
              <w:spacing w:line="260" w:lineRule="atLeast"/>
              <w:rPr>
                <w:rFonts w:eastAsia="Calibri"/>
                <w:lang w:eastAsia="en-US"/>
              </w:rPr>
            </w:pPr>
            <w:r w:rsidRPr="00064185">
              <w:rPr>
                <w:rFonts w:eastAsia="Calibri"/>
                <w:lang w:eastAsia="en-US"/>
              </w:rPr>
              <w:t xml:space="preserve">OECD 406 </w:t>
            </w:r>
          </w:p>
          <w:p w14:paraId="3663CEE3" w14:textId="77777777" w:rsidR="00732517" w:rsidRPr="00064185" w:rsidRDefault="00732517" w:rsidP="00EA61D8">
            <w:pPr>
              <w:spacing w:line="260" w:lineRule="atLeast"/>
              <w:rPr>
                <w:rFonts w:eastAsia="Calibri"/>
                <w:lang w:eastAsia="en-US"/>
              </w:rPr>
            </w:pPr>
            <w:r w:rsidRPr="00064185">
              <w:rPr>
                <w:rFonts w:eastAsia="Calibri"/>
                <w:lang w:eastAsia="en-US"/>
              </w:rPr>
              <w:t>GLP Study</w:t>
            </w:r>
            <w:r w:rsidR="00C55F5B" w:rsidRPr="00064185">
              <w:rPr>
                <w:rFonts w:eastAsia="Calibri"/>
                <w:lang w:eastAsia="en-US"/>
              </w:rPr>
              <w:t>,</w:t>
            </w:r>
          </w:p>
          <w:p w14:paraId="2E04ACE3" w14:textId="77777777" w:rsidR="00C55F5B" w:rsidRPr="00064185" w:rsidRDefault="00C55F5B" w:rsidP="00EA61D8">
            <w:pPr>
              <w:spacing w:line="260" w:lineRule="atLeast"/>
              <w:rPr>
                <w:rFonts w:eastAsia="Calibri"/>
                <w:lang w:eastAsia="en-US"/>
              </w:rPr>
            </w:pPr>
            <w:r w:rsidRPr="00064185">
              <w:rPr>
                <w:rFonts w:eastAsia="Calibri"/>
                <w:lang w:eastAsia="en-US"/>
              </w:rPr>
              <w:t>RL 1</w:t>
            </w:r>
          </w:p>
        </w:tc>
        <w:tc>
          <w:tcPr>
            <w:tcW w:w="1559" w:type="dxa"/>
          </w:tcPr>
          <w:p w14:paraId="046952D1" w14:textId="77777777" w:rsidR="00A53EE0" w:rsidRPr="00064185" w:rsidRDefault="008355EE" w:rsidP="00EA61D8">
            <w:pPr>
              <w:spacing w:line="260" w:lineRule="atLeast"/>
              <w:rPr>
                <w:rFonts w:eastAsia="Calibri"/>
                <w:lang w:eastAsia="en-US"/>
              </w:rPr>
            </w:pPr>
            <w:r w:rsidRPr="00064185">
              <w:rPr>
                <w:rFonts w:eastAsia="Calibri"/>
                <w:lang w:eastAsia="en-US"/>
              </w:rPr>
              <w:t>Guinea pig</w:t>
            </w:r>
            <w:r w:rsidR="00C55F5B" w:rsidRPr="00064185">
              <w:rPr>
                <w:rFonts w:eastAsia="Calibri"/>
                <w:lang w:eastAsia="en-US"/>
              </w:rPr>
              <w:t>,</w:t>
            </w:r>
          </w:p>
          <w:p w14:paraId="579AC0F0" w14:textId="77777777" w:rsidR="00C55F5B" w:rsidRPr="00064185" w:rsidRDefault="00C55F5B" w:rsidP="00EA61D8">
            <w:pPr>
              <w:spacing w:line="260" w:lineRule="atLeast"/>
              <w:rPr>
                <w:rFonts w:eastAsia="Calibri"/>
                <w:lang w:eastAsia="en-US"/>
              </w:rPr>
            </w:pPr>
            <w:r w:rsidRPr="00064185">
              <w:rPr>
                <w:rFonts w:eastAsia="Calibri"/>
                <w:lang w:eastAsia="en-US"/>
              </w:rPr>
              <w:t>Dunking Hartley,</w:t>
            </w:r>
          </w:p>
          <w:p w14:paraId="66E8AD0C" w14:textId="77777777" w:rsidR="00C55F5B" w:rsidRPr="00064185" w:rsidRDefault="00C55F5B" w:rsidP="00EA61D8">
            <w:pPr>
              <w:spacing w:line="260" w:lineRule="atLeast"/>
              <w:rPr>
                <w:rFonts w:eastAsia="Calibri"/>
                <w:lang w:eastAsia="en-US"/>
              </w:rPr>
            </w:pPr>
            <w:r w:rsidRPr="00064185">
              <w:rPr>
                <w:rFonts w:eastAsia="Calibri"/>
                <w:lang w:eastAsia="en-US"/>
              </w:rPr>
              <w:t>Male/female,</w:t>
            </w:r>
          </w:p>
          <w:p w14:paraId="07439ADA" w14:textId="77777777" w:rsidR="00C55F5B" w:rsidRPr="00064185" w:rsidRDefault="00C55F5B" w:rsidP="00EA61D8">
            <w:pPr>
              <w:spacing w:line="260" w:lineRule="atLeast"/>
              <w:rPr>
                <w:rFonts w:eastAsia="Calibri"/>
                <w:lang w:eastAsia="en-US"/>
              </w:rPr>
            </w:pPr>
            <w:r w:rsidRPr="00064185">
              <w:rPr>
                <w:rFonts w:eastAsia="Calibri"/>
                <w:lang w:eastAsia="en-US"/>
              </w:rPr>
              <w:t>10</w:t>
            </w:r>
          </w:p>
        </w:tc>
        <w:tc>
          <w:tcPr>
            <w:tcW w:w="1985" w:type="dxa"/>
          </w:tcPr>
          <w:p w14:paraId="4798497A" w14:textId="77777777" w:rsidR="00555BDC" w:rsidRPr="00064185" w:rsidRDefault="008355EE" w:rsidP="00EA61D8">
            <w:pPr>
              <w:spacing w:line="260" w:lineRule="atLeast"/>
            </w:pPr>
            <w:r w:rsidRPr="00064185">
              <w:rPr>
                <w:rFonts w:eastAsia="Calibri"/>
                <w:lang w:eastAsia="en-US"/>
              </w:rPr>
              <w:t>COM 116 02 I AL;</w:t>
            </w:r>
            <w:r w:rsidRPr="00064185">
              <w:t xml:space="preserve"> </w:t>
            </w:r>
          </w:p>
          <w:p w14:paraId="3847B493" w14:textId="77777777" w:rsidR="00555BDC" w:rsidRPr="00064185" w:rsidRDefault="00555BDC" w:rsidP="00EA61D8">
            <w:pPr>
              <w:spacing w:line="260" w:lineRule="atLeast"/>
            </w:pPr>
            <w:r w:rsidRPr="00064185">
              <w:t>Water,</w:t>
            </w:r>
          </w:p>
          <w:p w14:paraId="31E72A6B" w14:textId="77777777" w:rsidR="008355EE" w:rsidRPr="00064185" w:rsidRDefault="00555BDC" w:rsidP="00EA61D8">
            <w:pPr>
              <w:spacing w:line="260" w:lineRule="atLeast"/>
              <w:rPr>
                <w:rFonts w:eastAsia="Calibri"/>
                <w:lang w:eastAsia="en-US"/>
              </w:rPr>
            </w:pPr>
            <w:r w:rsidRPr="00064185">
              <w:rPr>
                <w:rFonts w:eastAsia="Calibri"/>
                <w:lang w:eastAsia="en-US"/>
              </w:rPr>
              <w:t xml:space="preserve">Intradermal induction: </w:t>
            </w:r>
            <w:r w:rsidR="008355EE" w:rsidRPr="00064185">
              <w:rPr>
                <w:rFonts w:eastAsia="Calibri"/>
                <w:lang w:eastAsia="en-US"/>
              </w:rPr>
              <w:t xml:space="preserve">50% </w:t>
            </w:r>
            <w:r w:rsidRPr="00064185">
              <w:rPr>
                <w:rFonts w:eastAsia="Calibri"/>
                <w:lang w:eastAsia="en-US"/>
              </w:rPr>
              <w:t xml:space="preserve">topical induction and challenge: </w:t>
            </w:r>
            <w:r w:rsidR="008355EE" w:rsidRPr="00064185">
              <w:rPr>
                <w:rFonts w:eastAsia="Calibri"/>
                <w:lang w:eastAsia="en-US"/>
              </w:rPr>
              <w:t>100</w:t>
            </w:r>
            <w:r w:rsidRPr="00064185">
              <w:rPr>
                <w:rFonts w:eastAsia="Calibri"/>
                <w:lang w:eastAsia="en-US"/>
              </w:rPr>
              <w:t>%,</w:t>
            </w:r>
            <w:r w:rsidR="008355EE" w:rsidRPr="00064185">
              <w:rPr>
                <w:rFonts w:eastAsia="Calibri"/>
                <w:lang w:eastAsia="en-US"/>
              </w:rPr>
              <w:t xml:space="preserve"> </w:t>
            </w:r>
          </w:p>
        </w:tc>
        <w:tc>
          <w:tcPr>
            <w:tcW w:w="1701" w:type="dxa"/>
            <w:shd w:val="clear" w:color="auto" w:fill="auto"/>
          </w:tcPr>
          <w:p w14:paraId="0C531B7F" w14:textId="77777777" w:rsidR="00555BDC" w:rsidRPr="00064185" w:rsidRDefault="00371F44" w:rsidP="00EA61D8">
            <w:pPr>
              <w:spacing w:line="260" w:lineRule="atLeast"/>
              <w:rPr>
                <w:rFonts w:eastAsia="Calibri"/>
                <w:lang w:eastAsia="en-US"/>
              </w:rPr>
            </w:pPr>
            <w:r w:rsidRPr="00064185">
              <w:rPr>
                <w:rFonts w:eastAsia="Calibri"/>
                <w:lang w:eastAsia="en-US"/>
              </w:rPr>
              <w:t>24</w:t>
            </w:r>
            <w:r w:rsidR="008355EE" w:rsidRPr="00064185">
              <w:rPr>
                <w:rFonts w:eastAsia="Calibri"/>
                <w:lang w:eastAsia="en-US"/>
              </w:rPr>
              <w:t xml:space="preserve">h: 0/10; </w:t>
            </w:r>
          </w:p>
          <w:p w14:paraId="6B529BB2" w14:textId="77777777" w:rsidR="008355EE" w:rsidRPr="00064185" w:rsidRDefault="00371F44" w:rsidP="00EA61D8">
            <w:pPr>
              <w:spacing w:line="260" w:lineRule="atLeast"/>
              <w:rPr>
                <w:rFonts w:eastAsia="Calibri"/>
                <w:lang w:eastAsia="en-US"/>
              </w:rPr>
            </w:pPr>
            <w:r w:rsidRPr="00064185">
              <w:rPr>
                <w:rFonts w:eastAsia="Calibri"/>
                <w:lang w:eastAsia="en-US"/>
              </w:rPr>
              <w:t>48</w:t>
            </w:r>
            <w:r w:rsidR="008355EE" w:rsidRPr="00064185">
              <w:rPr>
                <w:rFonts w:eastAsia="Calibri"/>
                <w:lang w:eastAsia="en-US"/>
              </w:rPr>
              <w:t>h: 0/10;</w:t>
            </w:r>
          </w:p>
          <w:p w14:paraId="5B2BDD38" w14:textId="77777777" w:rsidR="008355EE" w:rsidRPr="00064185" w:rsidRDefault="008355EE" w:rsidP="00EA61D8">
            <w:pPr>
              <w:spacing w:line="260" w:lineRule="atLeast"/>
              <w:rPr>
                <w:rFonts w:eastAsia="Calibri"/>
                <w:lang w:eastAsia="en-US"/>
              </w:rPr>
            </w:pPr>
          </w:p>
        </w:tc>
        <w:tc>
          <w:tcPr>
            <w:tcW w:w="1417" w:type="dxa"/>
            <w:shd w:val="clear" w:color="auto" w:fill="auto"/>
          </w:tcPr>
          <w:p w14:paraId="3CD29A5D" w14:textId="77777777" w:rsidR="00A53EE0" w:rsidRPr="00064185" w:rsidRDefault="00555BDC" w:rsidP="00EA61D8">
            <w:pPr>
              <w:spacing w:line="260" w:lineRule="atLeast"/>
              <w:rPr>
                <w:rFonts w:eastAsia="Calibri"/>
                <w:lang w:eastAsia="en-US"/>
              </w:rPr>
            </w:pPr>
            <w:r w:rsidRPr="00064185">
              <w:rPr>
                <w:rFonts w:eastAsia="Calibri"/>
                <w:lang w:eastAsia="en-US"/>
              </w:rPr>
              <w:t>Not sensitising</w:t>
            </w:r>
          </w:p>
        </w:tc>
        <w:tc>
          <w:tcPr>
            <w:tcW w:w="1276" w:type="dxa"/>
          </w:tcPr>
          <w:p w14:paraId="7678C6A3" w14:textId="77777777" w:rsidR="00A53EE0" w:rsidRPr="00064185" w:rsidRDefault="008355EE" w:rsidP="00EA61D8">
            <w:pPr>
              <w:spacing w:line="260" w:lineRule="atLeast"/>
              <w:rPr>
                <w:rFonts w:eastAsia="Calibri"/>
                <w:lang w:eastAsia="en-US"/>
              </w:rPr>
            </w:pPr>
            <w:r w:rsidRPr="00064185">
              <w:t>Giannini, 2008b</w:t>
            </w:r>
          </w:p>
        </w:tc>
      </w:tr>
    </w:tbl>
    <w:p w14:paraId="6BF3CB80" w14:textId="77777777" w:rsidR="00555BDC" w:rsidRPr="00064185" w:rsidRDefault="00555BDC" w:rsidP="00EA61D8">
      <w:pPr>
        <w:rPr>
          <w:rFonts w:eastAsia="Calibri"/>
          <w:lang w:eastAsia="en-US"/>
        </w:rPr>
      </w:pPr>
    </w:p>
    <w:p w14:paraId="02D2D368" w14:textId="77777777" w:rsidR="00A53EE0" w:rsidRPr="00064185" w:rsidRDefault="00A53EE0" w:rsidP="00EA61D8">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064185" w:rsidRPr="00064185" w14:paraId="71AFE394" w14:textId="77777777" w:rsidTr="00922E8F">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D04F174"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Conclusion used in Risk Assessment – Skin sensitisation</w:t>
            </w:r>
          </w:p>
        </w:tc>
      </w:tr>
      <w:tr w:rsidR="00064185" w:rsidRPr="00064185" w14:paraId="0E0EBEAF" w14:textId="77777777" w:rsidTr="00922E8F">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3BAA007" w14:textId="77777777" w:rsidR="00A53EE0" w:rsidRPr="00064185" w:rsidRDefault="00A53EE0" w:rsidP="00EA61D8">
            <w:pPr>
              <w:spacing w:line="260" w:lineRule="atLeast"/>
              <w:rPr>
                <w:rFonts w:eastAsia="Calibri"/>
                <w:lang w:eastAsia="en-US"/>
              </w:rPr>
            </w:pPr>
            <w:r w:rsidRPr="00064185">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2999D861" w14:textId="77777777" w:rsidR="00A53EE0" w:rsidRPr="00064185" w:rsidRDefault="00052D38" w:rsidP="00EA61D8">
            <w:pPr>
              <w:spacing w:line="260" w:lineRule="atLeast"/>
              <w:rPr>
                <w:rFonts w:eastAsia="Calibri"/>
                <w:lang w:eastAsia="en-US"/>
              </w:rPr>
            </w:pPr>
            <w:r w:rsidRPr="00064185">
              <w:rPr>
                <w:rFonts w:eastAsia="Calibri"/>
                <w:lang w:eastAsia="en-US"/>
              </w:rPr>
              <w:t>Not sensitising.</w:t>
            </w:r>
          </w:p>
        </w:tc>
      </w:tr>
      <w:tr w:rsidR="00064185" w:rsidRPr="00064185" w14:paraId="57206624" w14:textId="77777777" w:rsidTr="00922E8F">
        <w:tc>
          <w:tcPr>
            <w:tcW w:w="1276" w:type="pct"/>
            <w:tcBorders>
              <w:top w:val="single" w:sz="6" w:space="0" w:color="auto"/>
              <w:left w:val="single" w:sz="4" w:space="0" w:color="auto"/>
              <w:bottom w:val="single" w:sz="6" w:space="0" w:color="auto"/>
              <w:right w:val="single" w:sz="6" w:space="0" w:color="auto"/>
            </w:tcBorders>
            <w:shd w:val="clear" w:color="auto" w:fill="auto"/>
          </w:tcPr>
          <w:p w14:paraId="66B5F0F3" w14:textId="77777777" w:rsidR="00A53EE0" w:rsidRPr="00064185" w:rsidRDefault="00A53EE0" w:rsidP="00EA61D8">
            <w:pPr>
              <w:spacing w:line="260" w:lineRule="atLeast"/>
              <w:rPr>
                <w:rFonts w:eastAsia="Calibri"/>
                <w:lang w:eastAsia="en-US"/>
              </w:rPr>
            </w:pPr>
            <w:r w:rsidRPr="00064185">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CE98F03" w14:textId="77777777" w:rsidR="00A53EE0" w:rsidRPr="00064185" w:rsidRDefault="00052D38" w:rsidP="00EA61D8">
            <w:pPr>
              <w:spacing w:line="260" w:lineRule="atLeast"/>
              <w:rPr>
                <w:rFonts w:eastAsia="Calibri"/>
                <w:lang w:eastAsia="en-US"/>
              </w:rPr>
            </w:pPr>
            <w:r w:rsidRPr="00064185">
              <w:rPr>
                <w:rFonts w:eastAsia="Calibri"/>
                <w:lang w:eastAsia="en-US"/>
              </w:rPr>
              <w:t>The liquid formulation COM 116 02 I AL was tested in the Guinea Pig Maximisation Test. There were no skin reactions at any examined time point following challenge.</w:t>
            </w:r>
          </w:p>
        </w:tc>
      </w:tr>
      <w:tr w:rsidR="00064185" w:rsidRPr="00064185" w14:paraId="15389C8E" w14:textId="77777777" w:rsidTr="00922E8F">
        <w:tc>
          <w:tcPr>
            <w:tcW w:w="1276" w:type="pct"/>
            <w:tcBorders>
              <w:top w:val="single" w:sz="6" w:space="0" w:color="auto"/>
              <w:left w:val="single" w:sz="4" w:space="0" w:color="auto"/>
              <w:bottom w:val="single" w:sz="6" w:space="0" w:color="auto"/>
              <w:right w:val="single" w:sz="6" w:space="0" w:color="auto"/>
            </w:tcBorders>
            <w:shd w:val="clear" w:color="auto" w:fill="auto"/>
          </w:tcPr>
          <w:p w14:paraId="10FB5D41" w14:textId="672629F8" w:rsidR="00A53EE0" w:rsidRPr="00064185" w:rsidRDefault="00A53EE0" w:rsidP="00EA61D8">
            <w:pPr>
              <w:spacing w:line="260" w:lineRule="atLeast"/>
              <w:rPr>
                <w:rFonts w:eastAsia="Calibri"/>
                <w:lang w:eastAsia="en-US"/>
              </w:rPr>
            </w:pPr>
            <w:r w:rsidRPr="00064185">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6D513EE4" w14:textId="77777777" w:rsidR="00A53EE0" w:rsidRPr="00064185" w:rsidRDefault="00732517" w:rsidP="00EA61D8">
            <w:pPr>
              <w:spacing w:line="260" w:lineRule="atLeast"/>
              <w:rPr>
                <w:rFonts w:eastAsia="Calibri"/>
                <w:lang w:eastAsia="en-US"/>
              </w:rPr>
            </w:pPr>
            <w:r w:rsidRPr="00064185">
              <w:t>According to CLP n</w:t>
            </w:r>
            <w:r w:rsidR="008355EE" w:rsidRPr="00064185">
              <w:rPr>
                <w:rFonts w:eastAsia="Calibri"/>
                <w:lang w:eastAsia="en-US"/>
              </w:rPr>
              <w:t xml:space="preserve">o classification </w:t>
            </w:r>
            <w:r w:rsidR="002B71BD" w:rsidRPr="00064185">
              <w:rPr>
                <w:rFonts w:eastAsia="Calibri"/>
                <w:lang w:eastAsia="en-US"/>
              </w:rPr>
              <w:t xml:space="preserve">as a skin sensitizer </w:t>
            </w:r>
            <w:r w:rsidR="008355EE" w:rsidRPr="00064185">
              <w:rPr>
                <w:rFonts w:eastAsia="Calibri"/>
                <w:lang w:eastAsia="en-US"/>
              </w:rPr>
              <w:t>is necessary</w:t>
            </w:r>
            <w:r w:rsidR="002B71BD" w:rsidRPr="00064185">
              <w:rPr>
                <w:rFonts w:eastAsia="Calibri"/>
                <w:lang w:eastAsia="en-US"/>
              </w:rPr>
              <w:t>.</w:t>
            </w:r>
          </w:p>
          <w:p w14:paraId="163548DA" w14:textId="19F7FBA5" w:rsidR="00965B43" w:rsidRPr="00064185" w:rsidRDefault="00965B43" w:rsidP="00EA61D8">
            <w:pPr>
              <w:spacing w:line="260" w:lineRule="atLeast"/>
              <w:rPr>
                <w:rFonts w:eastAsia="Calibri"/>
                <w:lang w:eastAsia="en-US"/>
              </w:rPr>
            </w:pPr>
            <w:r w:rsidRPr="00064185">
              <w:rPr>
                <w:rFonts w:eastAsia="Calibri"/>
                <w:lang w:eastAsia="en-US"/>
              </w:rPr>
              <w:t>However application of “</w:t>
            </w:r>
            <w:r w:rsidRPr="00064185">
              <w:rPr>
                <w:rFonts w:cs="Times"/>
                <w:bCs/>
                <w:szCs w:val="29"/>
                <w:lang w:eastAsia="fi-FI"/>
              </w:rPr>
              <w:t>EUH208: Contains 1</w:t>
            </w:r>
            <w:proofErr w:type="gramStart"/>
            <w:r w:rsidRPr="00064185">
              <w:rPr>
                <w:rFonts w:cs="Times"/>
                <w:bCs/>
                <w:szCs w:val="29"/>
                <w:lang w:eastAsia="fi-FI"/>
              </w:rPr>
              <w:t>,2</w:t>
            </w:r>
            <w:proofErr w:type="gramEnd"/>
            <w:r w:rsidRPr="00064185">
              <w:rPr>
                <w:rFonts w:cs="Times"/>
                <w:bCs/>
                <w:szCs w:val="29"/>
                <w:lang w:eastAsia="fi-FI"/>
              </w:rPr>
              <w:t>-benzisothiazolin-3-one. May produce an allergic reaction.” is necessary.</w:t>
            </w:r>
          </w:p>
        </w:tc>
      </w:tr>
    </w:tbl>
    <w:p w14:paraId="59480DFE" w14:textId="54EC122B" w:rsidR="00214D01" w:rsidRPr="00064185" w:rsidRDefault="00214D01" w:rsidP="00EA61D8">
      <w:pPr>
        <w:rPr>
          <w:rFonts w:eastAsia="Calibri"/>
          <w:lang w:eastAsia="en-US"/>
        </w:rPr>
      </w:pPr>
      <w:r w:rsidRPr="00064185">
        <w:rPr>
          <w:rFonts w:eastAsia="Calibri"/>
          <w:lang w:eastAsia="en-US"/>
        </w:rPr>
        <w:t>For skin sensitisation no human data is available.</w:t>
      </w:r>
    </w:p>
    <w:p w14:paraId="3C4DB82B" w14:textId="77777777" w:rsidR="005E44DD" w:rsidRPr="00064185" w:rsidRDefault="005E44DD" w:rsidP="00EA61D8">
      <w:pPr>
        <w:spacing w:line="260" w:lineRule="atLeast"/>
        <w:rPr>
          <w:rFonts w:ascii="Times New Roman" w:eastAsia="Calibri" w:hAnsi="Times New Roman"/>
          <w:i/>
          <w:iCs/>
          <w:lang w:eastAsia="en-US"/>
        </w:rPr>
      </w:pPr>
    </w:p>
    <w:p w14:paraId="7F81F05B" w14:textId="77777777" w:rsidR="009E73FB" w:rsidRPr="00064185" w:rsidRDefault="009E73FB" w:rsidP="00EA61D8">
      <w:pPr>
        <w:spacing w:line="260" w:lineRule="atLeast"/>
        <w:rPr>
          <w:rFonts w:ascii="Times New Roman" w:eastAsia="Calibri" w:hAnsi="Times New Roman"/>
          <w:i/>
          <w:iCs/>
          <w:lang w:eastAsia="en-US"/>
        </w:rPr>
      </w:pPr>
    </w:p>
    <w:p w14:paraId="0C9F1CDF" w14:textId="77777777" w:rsidR="00A53EE0" w:rsidRPr="00064185" w:rsidRDefault="00A53EE0" w:rsidP="00EA61D8">
      <w:pPr>
        <w:rPr>
          <w:rFonts w:eastAsia="Calibri"/>
          <w:b/>
          <w:i/>
          <w:sz w:val="22"/>
          <w:szCs w:val="22"/>
          <w:lang w:eastAsia="en-US"/>
        </w:rPr>
      </w:pPr>
      <w:bookmarkStart w:id="1659" w:name="_Toc389729053"/>
      <w:bookmarkStart w:id="1660" w:name="_Toc403472758"/>
      <w:r w:rsidRPr="00064185">
        <w:rPr>
          <w:rFonts w:eastAsia="Calibri"/>
          <w:b/>
          <w:i/>
          <w:sz w:val="22"/>
          <w:szCs w:val="22"/>
          <w:lang w:eastAsia="en-US"/>
        </w:rPr>
        <w:t>Respiratory sensitization (ADS)</w:t>
      </w:r>
      <w:bookmarkEnd w:id="1659"/>
      <w:bookmarkEnd w:id="1660"/>
    </w:p>
    <w:p w14:paraId="4F2342EB" w14:textId="77777777" w:rsidR="00A53EE0" w:rsidRPr="00064185" w:rsidRDefault="00A53EE0" w:rsidP="00EA61D8">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064185" w:rsidRPr="00064185" w14:paraId="09038B11" w14:textId="77777777" w:rsidTr="00922E8F">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6CB1C26" w14:textId="77777777" w:rsidR="00A53EE0" w:rsidRPr="00064185" w:rsidRDefault="00A53EE0" w:rsidP="00EA61D8">
            <w:pPr>
              <w:spacing w:line="260" w:lineRule="atLeast"/>
              <w:rPr>
                <w:rFonts w:eastAsia="Calibri"/>
                <w:lang w:eastAsia="en-US"/>
              </w:rPr>
            </w:pPr>
            <w:r w:rsidRPr="00064185">
              <w:rPr>
                <w:rFonts w:eastAsia="Calibri"/>
                <w:b/>
                <w:bCs/>
                <w:lang w:eastAsia="en-US"/>
              </w:rPr>
              <w:t>Conclusion</w:t>
            </w:r>
            <w:r w:rsidRPr="00064185">
              <w:rPr>
                <w:rFonts w:eastAsia="Calibri"/>
                <w:lang w:eastAsia="en-US"/>
              </w:rPr>
              <w:t xml:space="preserve"> </w:t>
            </w:r>
            <w:r w:rsidRPr="00064185">
              <w:rPr>
                <w:rFonts w:eastAsia="Calibri"/>
                <w:b/>
                <w:bCs/>
                <w:lang w:eastAsia="en-US"/>
              </w:rPr>
              <w:t>used in Risk Assessment – Respiratory sensitisation</w:t>
            </w:r>
          </w:p>
        </w:tc>
      </w:tr>
      <w:tr w:rsidR="00064185" w:rsidRPr="00064185" w14:paraId="5959512D" w14:textId="77777777" w:rsidTr="00922E8F">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67FAB38F" w14:textId="77777777" w:rsidR="00A53EE0" w:rsidRPr="00064185" w:rsidRDefault="00A53EE0" w:rsidP="00EA61D8">
            <w:pPr>
              <w:spacing w:line="260" w:lineRule="atLeast"/>
              <w:rPr>
                <w:rFonts w:eastAsia="Calibri"/>
                <w:lang w:eastAsia="en-US"/>
              </w:rPr>
            </w:pPr>
            <w:r w:rsidRPr="00064185">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7C7717C" w14:textId="77777777" w:rsidR="00A53EE0" w:rsidRPr="00064185" w:rsidRDefault="00A4536C" w:rsidP="00EA61D8">
            <w:pPr>
              <w:spacing w:line="260" w:lineRule="atLeast"/>
              <w:rPr>
                <w:rFonts w:eastAsia="Calibri"/>
                <w:lang w:eastAsia="en-US"/>
              </w:rPr>
            </w:pPr>
            <w:r w:rsidRPr="00064185">
              <w:rPr>
                <w:rFonts w:eastAsia="Calibri"/>
                <w:lang w:eastAsia="en-US"/>
              </w:rPr>
              <w:t>Not sensitising</w:t>
            </w:r>
          </w:p>
        </w:tc>
      </w:tr>
      <w:tr w:rsidR="00064185" w:rsidRPr="00064185" w14:paraId="65E46B74" w14:textId="77777777" w:rsidTr="00922E8F">
        <w:tc>
          <w:tcPr>
            <w:tcW w:w="1276" w:type="pct"/>
            <w:tcBorders>
              <w:top w:val="single" w:sz="6" w:space="0" w:color="auto"/>
              <w:left w:val="single" w:sz="4" w:space="0" w:color="auto"/>
              <w:bottom w:val="single" w:sz="6" w:space="0" w:color="auto"/>
              <w:right w:val="single" w:sz="6" w:space="0" w:color="auto"/>
            </w:tcBorders>
            <w:shd w:val="clear" w:color="auto" w:fill="auto"/>
          </w:tcPr>
          <w:p w14:paraId="528C0EDA" w14:textId="77777777" w:rsidR="00A53EE0" w:rsidRPr="00064185" w:rsidRDefault="00A53EE0" w:rsidP="00EA61D8">
            <w:pPr>
              <w:spacing w:line="260" w:lineRule="atLeast"/>
              <w:rPr>
                <w:rFonts w:eastAsia="Calibri"/>
                <w:lang w:eastAsia="en-US"/>
              </w:rPr>
            </w:pPr>
            <w:r w:rsidRPr="00064185">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222A36D" w14:textId="77777777" w:rsidR="00A53EE0" w:rsidRPr="00064185" w:rsidRDefault="00A4536C" w:rsidP="00EA61D8">
            <w:pPr>
              <w:spacing w:line="260" w:lineRule="atLeast"/>
              <w:rPr>
                <w:rFonts w:eastAsia="Calibri"/>
                <w:lang w:eastAsia="en-US"/>
              </w:rPr>
            </w:pPr>
            <w:r w:rsidRPr="00064185">
              <w:rPr>
                <w:rFonts w:eastAsia="Calibri"/>
                <w:lang w:eastAsia="en-US"/>
              </w:rPr>
              <w:t>The b.p. COM 116 02 I AL contains &gt;99% water and is not sensitising to skin. No</w:t>
            </w:r>
            <w:r w:rsidR="0014609F" w:rsidRPr="00064185">
              <w:rPr>
                <w:rFonts w:eastAsia="Calibri"/>
                <w:lang w:eastAsia="en-US"/>
              </w:rPr>
              <w:t>ne of the ingredients is classified for sensitisation.</w:t>
            </w:r>
          </w:p>
        </w:tc>
      </w:tr>
      <w:tr w:rsidR="00064185" w:rsidRPr="00064185" w14:paraId="4EF3B95F" w14:textId="77777777" w:rsidTr="00922E8F">
        <w:tc>
          <w:tcPr>
            <w:tcW w:w="1276" w:type="pct"/>
            <w:tcBorders>
              <w:top w:val="single" w:sz="6" w:space="0" w:color="auto"/>
              <w:left w:val="single" w:sz="4" w:space="0" w:color="auto"/>
              <w:bottom w:val="single" w:sz="6" w:space="0" w:color="auto"/>
              <w:right w:val="single" w:sz="6" w:space="0" w:color="auto"/>
            </w:tcBorders>
            <w:shd w:val="clear" w:color="auto" w:fill="auto"/>
          </w:tcPr>
          <w:p w14:paraId="06FB3FB3" w14:textId="71CC1D19" w:rsidR="00A53EE0" w:rsidRPr="00064185" w:rsidRDefault="00A53EE0" w:rsidP="00EA61D8">
            <w:pPr>
              <w:spacing w:line="260" w:lineRule="atLeast"/>
              <w:rPr>
                <w:rFonts w:eastAsia="Calibri"/>
                <w:lang w:eastAsia="en-US"/>
              </w:rPr>
            </w:pPr>
            <w:r w:rsidRPr="00064185">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6FC7617C" w14:textId="368D8D37" w:rsidR="00A53EE0" w:rsidRPr="00064185" w:rsidRDefault="00732517" w:rsidP="00EA61D8">
            <w:pPr>
              <w:spacing w:line="260" w:lineRule="atLeast"/>
              <w:rPr>
                <w:rFonts w:eastAsia="Calibri"/>
                <w:lang w:eastAsia="en-US"/>
              </w:rPr>
            </w:pPr>
            <w:r w:rsidRPr="00064185">
              <w:t>According to CLP no classification for respiratory sensitisation is necessary.</w:t>
            </w:r>
          </w:p>
        </w:tc>
      </w:tr>
    </w:tbl>
    <w:p w14:paraId="771B5DEE" w14:textId="77777777" w:rsidR="00A53EE0" w:rsidRPr="00064185" w:rsidRDefault="00A53EE0" w:rsidP="00EA61D8">
      <w:pPr>
        <w:spacing w:line="260" w:lineRule="atLeast"/>
        <w:rPr>
          <w:rFonts w:eastAsia="Calibri"/>
          <w:lang w:eastAsia="en-US"/>
        </w:rPr>
      </w:pPr>
    </w:p>
    <w:p w14:paraId="6FEF6D4B" w14:textId="77777777" w:rsidR="00A53EE0" w:rsidRPr="00064185" w:rsidRDefault="00A53EE0" w:rsidP="00EA61D8">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064185" w:rsidRPr="00064185" w14:paraId="01B57677" w14:textId="77777777" w:rsidTr="00922E8F">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F40BD92" w14:textId="77777777" w:rsidR="00A53EE0" w:rsidRPr="00064185" w:rsidRDefault="00A53EE0" w:rsidP="00EA61D8">
            <w:pPr>
              <w:spacing w:line="260" w:lineRule="atLeast"/>
              <w:rPr>
                <w:rFonts w:eastAsia="Calibri"/>
                <w:b/>
                <w:lang w:eastAsia="en-US"/>
              </w:rPr>
            </w:pPr>
            <w:r w:rsidRPr="00064185">
              <w:rPr>
                <w:rFonts w:eastAsia="Calibri"/>
                <w:b/>
                <w:lang w:eastAsia="en-US"/>
              </w:rPr>
              <w:t>Data waiving</w:t>
            </w:r>
          </w:p>
        </w:tc>
      </w:tr>
      <w:tr w:rsidR="00064185" w:rsidRPr="00064185" w14:paraId="2520C049" w14:textId="77777777" w:rsidTr="0014609F">
        <w:tc>
          <w:tcPr>
            <w:tcW w:w="1276" w:type="pct"/>
            <w:tcBorders>
              <w:top w:val="single" w:sz="6" w:space="0" w:color="auto"/>
              <w:left w:val="single" w:sz="4" w:space="0" w:color="auto"/>
              <w:bottom w:val="single" w:sz="6" w:space="0" w:color="auto"/>
              <w:right w:val="single" w:sz="6" w:space="0" w:color="auto"/>
            </w:tcBorders>
            <w:shd w:val="clear" w:color="auto" w:fill="auto"/>
          </w:tcPr>
          <w:p w14:paraId="298E6057" w14:textId="77777777" w:rsidR="00A53EE0" w:rsidRPr="00064185" w:rsidRDefault="00A53EE0" w:rsidP="00EA61D8">
            <w:pPr>
              <w:spacing w:line="260" w:lineRule="atLeast"/>
              <w:rPr>
                <w:rFonts w:eastAsia="Calibri"/>
                <w:lang w:eastAsia="en-US"/>
              </w:rPr>
            </w:pPr>
            <w:r w:rsidRPr="00064185">
              <w:rPr>
                <w:rFonts w:eastAsia="Calibri"/>
                <w:lang w:eastAsia="en-US"/>
              </w:rPr>
              <w:t>Information requirement</w:t>
            </w:r>
          </w:p>
        </w:tc>
        <w:tc>
          <w:tcPr>
            <w:tcW w:w="3724" w:type="pct"/>
            <w:tcBorders>
              <w:top w:val="single" w:sz="6" w:space="0" w:color="auto"/>
              <w:left w:val="single" w:sz="6" w:space="0" w:color="auto"/>
              <w:bottom w:val="single" w:sz="6" w:space="0" w:color="auto"/>
              <w:right w:val="single" w:sz="6" w:space="0" w:color="auto"/>
            </w:tcBorders>
          </w:tcPr>
          <w:p w14:paraId="5612AA6B" w14:textId="77777777" w:rsidR="00A53EE0" w:rsidRPr="00064185" w:rsidRDefault="0014609F" w:rsidP="00EA61D8">
            <w:pPr>
              <w:spacing w:line="260" w:lineRule="atLeast"/>
              <w:rPr>
                <w:rFonts w:eastAsia="Calibri"/>
                <w:lang w:eastAsia="en-US"/>
              </w:rPr>
            </w:pPr>
            <w:r w:rsidRPr="00064185">
              <w:rPr>
                <w:rFonts w:eastAsia="Calibri"/>
                <w:lang w:eastAsia="en-US"/>
              </w:rPr>
              <w:t>Study scientifically unjustified</w:t>
            </w:r>
          </w:p>
        </w:tc>
      </w:tr>
      <w:tr w:rsidR="00064185" w:rsidRPr="00064185" w14:paraId="1833EDDA" w14:textId="77777777" w:rsidTr="0014609F">
        <w:tc>
          <w:tcPr>
            <w:tcW w:w="1276" w:type="pct"/>
            <w:tcBorders>
              <w:top w:val="single" w:sz="6" w:space="0" w:color="auto"/>
              <w:left w:val="single" w:sz="4" w:space="0" w:color="auto"/>
              <w:bottom w:val="single" w:sz="6" w:space="0" w:color="auto"/>
              <w:right w:val="single" w:sz="6" w:space="0" w:color="auto"/>
            </w:tcBorders>
            <w:shd w:val="clear" w:color="auto" w:fill="auto"/>
          </w:tcPr>
          <w:p w14:paraId="747D7C32" w14:textId="77777777" w:rsidR="00A53EE0" w:rsidRPr="00064185" w:rsidRDefault="00A53EE0" w:rsidP="00EA61D8">
            <w:pPr>
              <w:spacing w:line="260" w:lineRule="atLeast"/>
              <w:rPr>
                <w:rFonts w:eastAsia="Calibri"/>
                <w:lang w:eastAsia="en-US"/>
              </w:rPr>
            </w:pPr>
            <w:r w:rsidRPr="00064185">
              <w:rPr>
                <w:rFonts w:eastAsia="Calibri"/>
                <w:lang w:eastAsia="en-US"/>
              </w:rPr>
              <w:t>Justification</w:t>
            </w:r>
          </w:p>
        </w:tc>
        <w:tc>
          <w:tcPr>
            <w:tcW w:w="3724" w:type="pct"/>
            <w:tcBorders>
              <w:top w:val="single" w:sz="6" w:space="0" w:color="auto"/>
              <w:left w:val="single" w:sz="6" w:space="0" w:color="auto"/>
              <w:bottom w:val="single" w:sz="6" w:space="0" w:color="auto"/>
              <w:right w:val="single" w:sz="6" w:space="0" w:color="auto"/>
            </w:tcBorders>
          </w:tcPr>
          <w:p w14:paraId="0D12758A" w14:textId="77777777" w:rsidR="00A53EE0" w:rsidRPr="00064185" w:rsidRDefault="0014609F" w:rsidP="00EA61D8">
            <w:pPr>
              <w:spacing w:line="260" w:lineRule="atLeast"/>
              <w:rPr>
                <w:rFonts w:eastAsia="Calibri"/>
                <w:lang w:eastAsia="en-US"/>
              </w:rPr>
            </w:pPr>
            <w:r w:rsidRPr="00064185">
              <w:rPr>
                <w:rFonts w:eastAsia="Calibri"/>
                <w:lang w:eastAsia="en-US"/>
              </w:rPr>
              <w:t xml:space="preserve">The b.p. COM 116 02 I AL contains &gt;99% water and is not sensitising to skin. None of the ingredients is classified for sensitisation. No </w:t>
            </w:r>
            <w:r w:rsidR="00944344" w:rsidRPr="00064185">
              <w:rPr>
                <w:rFonts w:eastAsia="Calibri"/>
                <w:lang w:eastAsia="en-US"/>
              </w:rPr>
              <w:t xml:space="preserve">publications with regard to respiratory sensitisation are available. </w:t>
            </w:r>
            <w:r w:rsidRPr="00064185">
              <w:rPr>
                <w:rFonts w:eastAsia="Calibri"/>
                <w:lang w:eastAsia="en-US"/>
              </w:rPr>
              <w:t>Theref</w:t>
            </w:r>
            <w:r w:rsidR="00944344" w:rsidRPr="00064185">
              <w:rPr>
                <w:rFonts w:eastAsia="Calibri"/>
                <w:lang w:eastAsia="en-US"/>
              </w:rPr>
              <w:t>ore no data for this additional data set are provided</w:t>
            </w:r>
            <w:r w:rsidRPr="00064185">
              <w:rPr>
                <w:rFonts w:eastAsia="Calibri"/>
                <w:lang w:eastAsia="en-US"/>
              </w:rPr>
              <w:t>.</w:t>
            </w:r>
          </w:p>
        </w:tc>
      </w:tr>
    </w:tbl>
    <w:p w14:paraId="1B3878F3" w14:textId="77777777" w:rsidR="00A53EE0" w:rsidRPr="00064185" w:rsidRDefault="00A53EE0" w:rsidP="00EA61D8">
      <w:pPr>
        <w:spacing w:line="260" w:lineRule="atLeast"/>
        <w:rPr>
          <w:rFonts w:eastAsia="Calibri"/>
          <w:lang w:eastAsia="en-US"/>
        </w:rPr>
      </w:pPr>
    </w:p>
    <w:p w14:paraId="6084B0F5" w14:textId="77777777" w:rsidR="005E44DD" w:rsidRPr="00064185" w:rsidRDefault="005E44DD" w:rsidP="00EA61D8">
      <w:pPr>
        <w:spacing w:line="260" w:lineRule="atLeast"/>
        <w:rPr>
          <w:rFonts w:eastAsia="Calibri"/>
          <w:lang w:eastAsia="en-US"/>
        </w:rPr>
      </w:pPr>
    </w:p>
    <w:p w14:paraId="5D85870F" w14:textId="77777777" w:rsidR="00A53EE0" w:rsidRPr="00064185" w:rsidRDefault="00A53EE0" w:rsidP="00EA61D8">
      <w:pPr>
        <w:rPr>
          <w:rFonts w:eastAsia="Calibri"/>
          <w:b/>
          <w:i/>
          <w:sz w:val="22"/>
          <w:szCs w:val="22"/>
          <w:lang w:eastAsia="en-US"/>
        </w:rPr>
      </w:pPr>
      <w:bookmarkStart w:id="1661" w:name="_Toc389729054"/>
      <w:bookmarkStart w:id="1662" w:name="_Toc403472759"/>
      <w:r w:rsidRPr="00064185">
        <w:rPr>
          <w:rFonts w:eastAsia="Calibri"/>
          <w:b/>
          <w:i/>
          <w:sz w:val="22"/>
          <w:szCs w:val="22"/>
          <w:lang w:eastAsia="en-US"/>
        </w:rPr>
        <w:t>Acute toxicity</w:t>
      </w:r>
      <w:bookmarkEnd w:id="1661"/>
      <w:bookmarkEnd w:id="1662"/>
    </w:p>
    <w:p w14:paraId="669B4568" w14:textId="77777777" w:rsidR="0072361A" w:rsidRPr="00064185" w:rsidRDefault="0072361A" w:rsidP="00EA61D8">
      <w:pPr>
        <w:rPr>
          <w:rFonts w:eastAsia="Calibri"/>
          <w:i/>
          <w:u w:val="single"/>
          <w:lang w:eastAsia="en-US"/>
        </w:rPr>
      </w:pPr>
      <w:bookmarkStart w:id="1663" w:name="_Toc389729055"/>
    </w:p>
    <w:p w14:paraId="6DC28364" w14:textId="77777777" w:rsidR="00A53EE0" w:rsidRPr="00064185" w:rsidRDefault="00A53EE0" w:rsidP="00EA61D8">
      <w:pPr>
        <w:rPr>
          <w:rFonts w:eastAsia="Calibri"/>
          <w:i/>
          <w:u w:val="single"/>
          <w:lang w:eastAsia="en-US"/>
        </w:rPr>
      </w:pPr>
      <w:r w:rsidRPr="00064185">
        <w:rPr>
          <w:rFonts w:eastAsia="Calibri"/>
          <w:i/>
          <w:u w:val="single"/>
          <w:lang w:eastAsia="en-US"/>
        </w:rPr>
        <w:t>Acute toxicity by oral route</w:t>
      </w:r>
      <w:bookmarkEnd w:id="1663"/>
    </w:p>
    <w:p w14:paraId="5A3780A6" w14:textId="77777777" w:rsidR="00A53EE0" w:rsidRPr="00064185" w:rsidRDefault="00A53EE0" w:rsidP="00EA61D8">
      <w:pPr>
        <w:spacing w:line="260" w:lineRule="atLeast"/>
        <w:rPr>
          <w:rFonts w:eastAsia="Calibri"/>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064185" w:rsidRPr="00064185" w14:paraId="608D6E14" w14:textId="77777777" w:rsidTr="00922E8F">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E4F3ABF"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Value used in the Risk Assessment – Acute oral toxicity</w:t>
            </w:r>
          </w:p>
        </w:tc>
      </w:tr>
      <w:tr w:rsidR="00064185" w:rsidRPr="00064185" w14:paraId="438E64DB" w14:textId="77777777" w:rsidTr="00922E8F">
        <w:tc>
          <w:tcPr>
            <w:tcW w:w="1061" w:type="pct"/>
            <w:tcBorders>
              <w:top w:val="single" w:sz="6" w:space="0" w:color="auto"/>
              <w:left w:val="single" w:sz="4" w:space="0" w:color="auto"/>
              <w:bottom w:val="single" w:sz="6" w:space="0" w:color="auto"/>
              <w:right w:val="single" w:sz="6" w:space="0" w:color="auto"/>
            </w:tcBorders>
            <w:shd w:val="clear" w:color="auto" w:fill="auto"/>
          </w:tcPr>
          <w:p w14:paraId="2CC4D40D" w14:textId="77777777" w:rsidR="00A53EE0" w:rsidRPr="00064185" w:rsidRDefault="00A53EE0" w:rsidP="00EA61D8">
            <w:pPr>
              <w:spacing w:line="260" w:lineRule="atLeast"/>
              <w:rPr>
                <w:rFonts w:eastAsia="Calibri"/>
                <w:lang w:eastAsia="en-US"/>
              </w:rPr>
            </w:pPr>
            <w:r w:rsidRPr="00064185">
              <w:rPr>
                <w:rFonts w:eastAsia="Calibri"/>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1607C7F3" w14:textId="77777777" w:rsidR="00A53EE0" w:rsidRPr="00064185" w:rsidRDefault="00944344" w:rsidP="00EA61D8">
            <w:pPr>
              <w:spacing w:line="260" w:lineRule="atLeast"/>
              <w:rPr>
                <w:rFonts w:eastAsia="Calibri"/>
                <w:lang w:eastAsia="en-US"/>
              </w:rPr>
            </w:pPr>
            <w:r w:rsidRPr="00064185">
              <w:rPr>
                <w:rFonts w:eastAsia="Calibri"/>
                <w:lang w:eastAsia="en-US"/>
              </w:rPr>
              <w:t>Not harmful</w:t>
            </w:r>
          </w:p>
        </w:tc>
      </w:tr>
      <w:tr w:rsidR="00064185" w:rsidRPr="00064185" w14:paraId="215EC4D4" w14:textId="77777777" w:rsidTr="00922E8F">
        <w:tc>
          <w:tcPr>
            <w:tcW w:w="1061" w:type="pct"/>
            <w:tcBorders>
              <w:top w:val="single" w:sz="6" w:space="0" w:color="auto"/>
              <w:left w:val="single" w:sz="4" w:space="0" w:color="auto"/>
              <w:bottom w:val="single" w:sz="6" w:space="0" w:color="auto"/>
              <w:right w:val="single" w:sz="6" w:space="0" w:color="auto"/>
            </w:tcBorders>
            <w:shd w:val="clear" w:color="auto" w:fill="auto"/>
          </w:tcPr>
          <w:p w14:paraId="48C00C83" w14:textId="77777777" w:rsidR="00A53EE0" w:rsidRPr="00064185" w:rsidRDefault="00A53EE0" w:rsidP="00EA61D8">
            <w:pPr>
              <w:spacing w:line="260" w:lineRule="atLeast"/>
              <w:rPr>
                <w:rFonts w:eastAsia="Calibri"/>
                <w:lang w:eastAsia="en-US"/>
              </w:rPr>
            </w:pPr>
            <w:r w:rsidRPr="00064185">
              <w:rPr>
                <w:rFonts w:eastAsia="Calibri"/>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0AACC719" w14:textId="77777777" w:rsidR="00A53EE0" w:rsidRPr="00064185" w:rsidRDefault="002E187D" w:rsidP="00EA61D8">
            <w:pPr>
              <w:spacing w:line="260" w:lineRule="atLeast"/>
              <w:rPr>
                <w:rFonts w:eastAsia="Calibri"/>
                <w:lang w:eastAsia="en-US"/>
              </w:rPr>
            </w:pPr>
            <w:r w:rsidRPr="00064185">
              <w:rPr>
                <w:rFonts w:eastAsia="Calibri"/>
                <w:lang w:eastAsia="en-US"/>
              </w:rPr>
              <w:t xml:space="preserve">Acute toxicity studies with COM 116 02 I AL have not been conducted. </w:t>
            </w:r>
            <w:r w:rsidR="009E2B36" w:rsidRPr="00064185">
              <w:rPr>
                <w:rFonts w:eastAsia="Calibri"/>
                <w:lang w:eastAsia="en-US"/>
              </w:rPr>
              <w:t xml:space="preserve">The b.p. mainly consists of water (&gt;99%). Only the a.s. is toxicologically relevant. The content of </w:t>
            </w:r>
            <w:r w:rsidR="009E2B36" w:rsidRPr="00064185">
              <w:rPr>
                <w:rFonts w:eastAsia="Calibri"/>
                <w:i/>
                <w:lang w:eastAsia="en-US"/>
              </w:rPr>
              <w:t>lambda</w:t>
            </w:r>
            <w:r w:rsidR="009E2B36" w:rsidRPr="00064185">
              <w:rPr>
                <w:rFonts w:eastAsia="Calibri"/>
                <w:lang w:eastAsia="en-US"/>
              </w:rPr>
              <w:t>-cyhalothrin in the preparation (0.05% w/w) does not exceed 0.1% (w/w).</w:t>
            </w:r>
          </w:p>
        </w:tc>
      </w:tr>
      <w:tr w:rsidR="00064185" w:rsidRPr="00064185" w14:paraId="31E60B10" w14:textId="77777777" w:rsidTr="00922E8F">
        <w:tc>
          <w:tcPr>
            <w:tcW w:w="1061" w:type="pct"/>
            <w:tcBorders>
              <w:top w:val="single" w:sz="6" w:space="0" w:color="auto"/>
              <w:left w:val="single" w:sz="4" w:space="0" w:color="auto"/>
              <w:bottom w:val="single" w:sz="6" w:space="0" w:color="auto"/>
              <w:right w:val="single" w:sz="6" w:space="0" w:color="auto"/>
            </w:tcBorders>
            <w:shd w:val="clear" w:color="auto" w:fill="auto"/>
          </w:tcPr>
          <w:p w14:paraId="4BB1BC13" w14:textId="3D2EC5CF" w:rsidR="00A53EE0" w:rsidRPr="00064185" w:rsidRDefault="00A53EE0" w:rsidP="00EA61D8">
            <w:pPr>
              <w:spacing w:line="260" w:lineRule="atLeast"/>
              <w:rPr>
                <w:rFonts w:eastAsia="Calibri"/>
                <w:lang w:eastAsia="en-US"/>
              </w:rPr>
            </w:pPr>
            <w:r w:rsidRPr="00064185">
              <w:rPr>
                <w:rFonts w:eastAsia="Calibri"/>
                <w:lang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tcPr>
          <w:p w14:paraId="7C89148B" w14:textId="74F65614" w:rsidR="00A53EE0" w:rsidRPr="00064185" w:rsidRDefault="00732517" w:rsidP="00EA61D8">
            <w:pPr>
              <w:spacing w:line="260" w:lineRule="atLeast"/>
              <w:rPr>
                <w:rFonts w:eastAsia="Calibri"/>
                <w:lang w:eastAsia="en-US"/>
              </w:rPr>
            </w:pPr>
            <w:r w:rsidRPr="00064185">
              <w:rPr>
                <w:rFonts w:eastAsia="Calibri"/>
                <w:lang w:eastAsia="en-US"/>
              </w:rPr>
              <w:t>According to CLP n</w:t>
            </w:r>
            <w:r w:rsidR="002E187D" w:rsidRPr="00064185">
              <w:rPr>
                <w:rFonts w:eastAsia="Calibri"/>
                <w:lang w:eastAsia="en-US"/>
              </w:rPr>
              <w:t xml:space="preserve">o classification for acute </w:t>
            </w:r>
            <w:r w:rsidR="009E2B36" w:rsidRPr="00064185">
              <w:rPr>
                <w:rFonts w:eastAsia="Calibri"/>
                <w:lang w:eastAsia="en-US"/>
              </w:rPr>
              <w:t>oral toxicity</w:t>
            </w:r>
            <w:r w:rsidR="002E187D" w:rsidRPr="00064185">
              <w:rPr>
                <w:rFonts w:eastAsia="Calibri"/>
                <w:lang w:eastAsia="en-US"/>
              </w:rPr>
              <w:t xml:space="preserve"> is necessary.</w:t>
            </w:r>
          </w:p>
        </w:tc>
      </w:tr>
    </w:tbl>
    <w:p w14:paraId="6143344F" w14:textId="77777777" w:rsidR="00A53EE0" w:rsidRPr="00064185" w:rsidRDefault="00A53EE0" w:rsidP="00EA61D8">
      <w:pPr>
        <w:spacing w:line="260" w:lineRule="atLeast"/>
        <w:rPr>
          <w:rFonts w:eastAsia="Calibri"/>
          <w:lang w:eastAsia="en-US"/>
        </w:rPr>
      </w:pPr>
    </w:p>
    <w:p w14:paraId="6A3AB02F" w14:textId="77777777" w:rsidR="00A53EE0" w:rsidRPr="00064185" w:rsidRDefault="00A53EE0" w:rsidP="00EA61D8">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64185" w:rsidRPr="00064185" w14:paraId="75F1B0E1" w14:textId="77777777" w:rsidTr="00922E8F">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885F415" w14:textId="77777777" w:rsidR="00A53EE0" w:rsidRPr="00064185" w:rsidRDefault="00A53EE0" w:rsidP="00EA61D8">
            <w:pPr>
              <w:spacing w:line="260" w:lineRule="atLeast"/>
              <w:rPr>
                <w:rFonts w:eastAsia="Calibri"/>
                <w:b/>
                <w:lang w:eastAsia="en-US"/>
              </w:rPr>
            </w:pPr>
            <w:r w:rsidRPr="00064185">
              <w:rPr>
                <w:rFonts w:eastAsia="Calibri"/>
                <w:b/>
                <w:lang w:eastAsia="en-US"/>
              </w:rPr>
              <w:lastRenderedPageBreak/>
              <w:t>Data waiving</w:t>
            </w:r>
          </w:p>
        </w:tc>
      </w:tr>
      <w:tr w:rsidR="00064185" w:rsidRPr="00064185" w14:paraId="15E2211D"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541B8D1E" w14:textId="77777777" w:rsidR="00A53EE0" w:rsidRPr="00064185" w:rsidRDefault="00A53EE0" w:rsidP="00EA61D8">
            <w:pPr>
              <w:spacing w:line="260" w:lineRule="atLeast"/>
              <w:rPr>
                <w:rFonts w:eastAsia="Calibri"/>
                <w:lang w:eastAsia="en-US"/>
              </w:rPr>
            </w:pPr>
            <w:r w:rsidRPr="00064185">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0018899" w14:textId="77777777" w:rsidR="00A53EE0" w:rsidRPr="00064185" w:rsidRDefault="00944344" w:rsidP="00EA61D8">
            <w:pPr>
              <w:spacing w:line="260" w:lineRule="atLeast"/>
              <w:rPr>
                <w:rFonts w:eastAsia="Calibri"/>
                <w:lang w:eastAsia="en-US"/>
              </w:rPr>
            </w:pPr>
            <w:r w:rsidRPr="00064185">
              <w:rPr>
                <w:rFonts w:eastAsia="Calibri"/>
                <w:lang w:eastAsia="en-US"/>
              </w:rPr>
              <w:t>Study scientifically unjustified</w:t>
            </w:r>
          </w:p>
        </w:tc>
      </w:tr>
      <w:tr w:rsidR="00064185" w:rsidRPr="00064185" w14:paraId="5090CA64"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1F1D0C9C" w14:textId="77777777" w:rsidR="00A53EE0" w:rsidRPr="00064185" w:rsidRDefault="00A53EE0" w:rsidP="00EA61D8">
            <w:pPr>
              <w:spacing w:line="260" w:lineRule="atLeast"/>
              <w:rPr>
                <w:rFonts w:eastAsia="Calibri"/>
                <w:lang w:eastAsia="en-US"/>
              </w:rPr>
            </w:pPr>
            <w:r w:rsidRPr="00064185">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3879838E" w14:textId="18E136F3" w:rsidR="00D51063" w:rsidRPr="00064185" w:rsidRDefault="0072361A" w:rsidP="00EA61D8">
            <w:pPr>
              <w:spacing w:line="260" w:lineRule="atLeast"/>
              <w:rPr>
                <w:rFonts w:eastAsia="Calibri"/>
                <w:lang w:eastAsia="en-US"/>
              </w:rPr>
            </w:pPr>
            <w:r w:rsidRPr="00064185">
              <w:rPr>
                <w:rFonts w:eastAsia="Calibri"/>
                <w:lang w:eastAsia="en-US"/>
              </w:rPr>
              <w:t xml:space="preserve">The b.p. contains only one ingredient classified for acute oral toxicity. The a.s., </w:t>
            </w:r>
            <w:r w:rsidRPr="00064185">
              <w:rPr>
                <w:rFonts w:eastAsia="Calibri"/>
                <w:i/>
                <w:lang w:eastAsia="en-US"/>
              </w:rPr>
              <w:t>lambda</w:t>
            </w:r>
            <w:r w:rsidRPr="00064185">
              <w:rPr>
                <w:rFonts w:eastAsia="Calibri"/>
                <w:lang w:eastAsia="en-US"/>
              </w:rPr>
              <w:t xml:space="preserve">-cyhalothrin is classified as </w:t>
            </w:r>
            <w:r w:rsidR="00D51063" w:rsidRPr="00064185">
              <w:rPr>
                <w:rFonts w:eastAsia="Calibri"/>
                <w:lang w:eastAsia="en-US"/>
              </w:rPr>
              <w:t>Acute Tox.3, H301 according to CLP.</w:t>
            </w:r>
          </w:p>
          <w:p w14:paraId="28B8B1FC" w14:textId="77777777" w:rsidR="00A53EE0" w:rsidRPr="00064185" w:rsidRDefault="0072361A" w:rsidP="00EA61D8">
            <w:pPr>
              <w:rPr>
                <w:rFonts w:eastAsia="Calibri"/>
                <w:lang w:eastAsia="en-US"/>
              </w:rPr>
            </w:pPr>
            <w:r w:rsidRPr="00064185">
              <w:rPr>
                <w:rFonts w:eastAsia="Calibri"/>
                <w:lang w:eastAsia="en-US"/>
              </w:rPr>
              <w:t xml:space="preserve">However, the b.p. contains only 0.05% of the a.s. and &gt;99% water. Due to the composition of the b.p., an acute oral toxicity test with the b.p. is scientifically unjustified. </w:t>
            </w:r>
          </w:p>
        </w:tc>
      </w:tr>
    </w:tbl>
    <w:p w14:paraId="74120C4A" w14:textId="4B48D8D2" w:rsidR="00D51063" w:rsidRPr="00064185" w:rsidRDefault="00D51063" w:rsidP="00EA61D8">
      <w:pPr>
        <w:rPr>
          <w:rFonts w:eastAsia="Calibri"/>
          <w:lang w:eastAsia="en-US"/>
        </w:rPr>
      </w:pPr>
      <w:r w:rsidRPr="00064185">
        <w:rPr>
          <w:rFonts w:eastAsia="Calibri"/>
          <w:lang w:eastAsia="en-US"/>
        </w:rPr>
        <w:t>For acute oral toxicity no human data is available.</w:t>
      </w:r>
    </w:p>
    <w:p w14:paraId="2E1AB602" w14:textId="77777777" w:rsidR="0020580C" w:rsidRPr="00064185" w:rsidRDefault="0020580C" w:rsidP="00EA61D8">
      <w:pPr>
        <w:rPr>
          <w:rFonts w:eastAsia="Calibri"/>
          <w:lang w:eastAsia="en-US"/>
        </w:rPr>
      </w:pPr>
    </w:p>
    <w:p w14:paraId="736E60F3" w14:textId="77777777" w:rsidR="0055700C" w:rsidRPr="00064185" w:rsidRDefault="0055700C" w:rsidP="00EA61D8">
      <w:pPr>
        <w:rPr>
          <w:rFonts w:eastAsia="Calibri"/>
          <w:lang w:eastAsia="en-US"/>
        </w:rPr>
      </w:pPr>
    </w:p>
    <w:p w14:paraId="6C8A4409" w14:textId="77777777" w:rsidR="00A53EE0" w:rsidRPr="00064185" w:rsidRDefault="00A53EE0" w:rsidP="00EA61D8">
      <w:pPr>
        <w:rPr>
          <w:rFonts w:eastAsia="Calibri"/>
          <w:i/>
          <w:u w:val="single"/>
          <w:lang w:eastAsia="en-US"/>
        </w:rPr>
      </w:pPr>
      <w:bookmarkStart w:id="1664" w:name="_Toc389729056"/>
      <w:r w:rsidRPr="00064185">
        <w:rPr>
          <w:rFonts w:eastAsia="Calibri"/>
          <w:i/>
          <w:u w:val="single"/>
          <w:lang w:eastAsia="en-US"/>
        </w:rPr>
        <w:t>Acute toxicity by inhalation</w:t>
      </w:r>
      <w:bookmarkEnd w:id="1664"/>
    </w:p>
    <w:p w14:paraId="0F60ED8E" w14:textId="77777777" w:rsidR="00A53EE0" w:rsidRPr="00064185" w:rsidRDefault="00A53EE0" w:rsidP="00EA61D8">
      <w:pPr>
        <w:spacing w:line="260" w:lineRule="atLeast"/>
        <w:rPr>
          <w:rFonts w:ascii="Times New Roman" w:eastAsia="Calibri" w:hAnsi="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64185" w:rsidRPr="00064185" w14:paraId="79182053" w14:textId="77777777" w:rsidTr="00922E8F">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48623CD"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Value used in the Risk Assessment – Acute inhalation toxicity</w:t>
            </w:r>
          </w:p>
        </w:tc>
      </w:tr>
      <w:tr w:rsidR="00064185" w:rsidRPr="00064185" w14:paraId="4DD0AB1F"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2D9CFA7A" w14:textId="77777777" w:rsidR="00A53EE0" w:rsidRPr="00064185" w:rsidRDefault="00A53EE0" w:rsidP="00EA61D8">
            <w:pPr>
              <w:spacing w:line="260" w:lineRule="atLeast"/>
              <w:rPr>
                <w:rFonts w:eastAsia="Calibri"/>
                <w:lang w:eastAsia="en-US"/>
              </w:rPr>
            </w:pPr>
            <w:r w:rsidRPr="00064185">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7A41EA91" w14:textId="77777777" w:rsidR="00A53EE0" w:rsidRPr="00064185" w:rsidRDefault="0072361A" w:rsidP="00EA61D8">
            <w:pPr>
              <w:spacing w:line="260" w:lineRule="atLeast"/>
              <w:rPr>
                <w:rFonts w:eastAsia="Calibri"/>
                <w:lang w:eastAsia="en-US"/>
              </w:rPr>
            </w:pPr>
            <w:r w:rsidRPr="00064185">
              <w:rPr>
                <w:rFonts w:eastAsia="Calibri"/>
                <w:lang w:eastAsia="en-US"/>
              </w:rPr>
              <w:t>Not harmful</w:t>
            </w:r>
          </w:p>
        </w:tc>
      </w:tr>
      <w:tr w:rsidR="00064185" w:rsidRPr="00064185" w14:paraId="772A47B8"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59419436" w14:textId="77777777" w:rsidR="009E2B36" w:rsidRPr="00064185" w:rsidRDefault="009E2B36" w:rsidP="00EA61D8">
            <w:pPr>
              <w:spacing w:line="260" w:lineRule="atLeast"/>
              <w:rPr>
                <w:rFonts w:eastAsia="Calibri"/>
                <w:lang w:eastAsia="en-US"/>
              </w:rPr>
            </w:pPr>
            <w:r w:rsidRPr="00064185">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43DFAE30" w14:textId="77777777" w:rsidR="009E2B36" w:rsidRPr="00064185" w:rsidRDefault="009E2B36" w:rsidP="00EA61D8">
            <w:pPr>
              <w:spacing w:line="260" w:lineRule="atLeast"/>
              <w:rPr>
                <w:rFonts w:eastAsia="Calibri"/>
                <w:lang w:eastAsia="en-US"/>
              </w:rPr>
            </w:pPr>
            <w:r w:rsidRPr="00064185">
              <w:rPr>
                <w:rFonts w:eastAsia="Calibri"/>
                <w:lang w:eastAsia="en-US"/>
              </w:rPr>
              <w:t xml:space="preserve">Acute toxicity studies with COM 116 02 I AL have not been conducted. The b.p. mainly consists of water (&gt;99%). Only the a.s. is toxicologically relevant. The content of </w:t>
            </w:r>
            <w:r w:rsidRPr="00064185">
              <w:rPr>
                <w:rFonts w:eastAsia="Calibri"/>
                <w:i/>
                <w:lang w:eastAsia="en-US"/>
              </w:rPr>
              <w:t>lambda</w:t>
            </w:r>
            <w:r w:rsidRPr="00064185">
              <w:rPr>
                <w:rFonts w:eastAsia="Calibri"/>
                <w:lang w:eastAsia="en-US"/>
              </w:rPr>
              <w:t>-cyhalothrin in the preparation (0.05% w/w) does not exceed 0.1% (w/w).</w:t>
            </w:r>
          </w:p>
        </w:tc>
      </w:tr>
      <w:tr w:rsidR="00064185" w:rsidRPr="00064185" w14:paraId="6A27EB6C"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2C0E4758" w14:textId="64B222F1" w:rsidR="009E2B36" w:rsidRPr="00064185" w:rsidRDefault="009E2B36" w:rsidP="00EA61D8">
            <w:pPr>
              <w:spacing w:line="260" w:lineRule="atLeast"/>
              <w:rPr>
                <w:rFonts w:eastAsia="Calibri"/>
                <w:lang w:eastAsia="en-US"/>
              </w:rPr>
            </w:pPr>
            <w:r w:rsidRPr="00064185">
              <w:rPr>
                <w:rFonts w:eastAsia="Calibri"/>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3AD3CB38" w14:textId="22517291" w:rsidR="009E2B36" w:rsidRPr="00064185" w:rsidRDefault="00732517" w:rsidP="00EA61D8">
            <w:pPr>
              <w:spacing w:line="260" w:lineRule="atLeast"/>
              <w:rPr>
                <w:rFonts w:eastAsia="Calibri"/>
                <w:lang w:eastAsia="en-US"/>
              </w:rPr>
            </w:pPr>
            <w:r w:rsidRPr="00064185">
              <w:rPr>
                <w:rFonts w:eastAsia="Calibri"/>
                <w:lang w:eastAsia="en-US"/>
              </w:rPr>
              <w:t>According to CLP</w:t>
            </w:r>
            <w:r w:rsidRPr="00064185" w:rsidDel="00C73723">
              <w:rPr>
                <w:rFonts w:eastAsia="Calibri"/>
                <w:lang w:eastAsia="en-US"/>
              </w:rPr>
              <w:t xml:space="preserve"> </w:t>
            </w:r>
            <w:r w:rsidRPr="00064185">
              <w:rPr>
                <w:rFonts w:eastAsia="Calibri"/>
                <w:lang w:eastAsia="en-US"/>
              </w:rPr>
              <w:t>n</w:t>
            </w:r>
            <w:r w:rsidR="009E2B36" w:rsidRPr="00064185">
              <w:rPr>
                <w:rFonts w:eastAsia="Calibri"/>
                <w:lang w:eastAsia="en-US"/>
              </w:rPr>
              <w:t>o classification for acute inhalation toxicity is necessary.</w:t>
            </w:r>
          </w:p>
        </w:tc>
      </w:tr>
    </w:tbl>
    <w:p w14:paraId="6F0701B0" w14:textId="77777777" w:rsidR="005E44DD" w:rsidRPr="00064185" w:rsidRDefault="005E44DD" w:rsidP="00EA61D8">
      <w:pPr>
        <w:spacing w:line="260" w:lineRule="atLeast"/>
        <w:rPr>
          <w:rFonts w:eastAsia="Calibri"/>
          <w:lang w:eastAsia="en-US"/>
        </w:rPr>
      </w:pPr>
    </w:p>
    <w:p w14:paraId="7AD8A576" w14:textId="77777777" w:rsidR="00A53EE0" w:rsidRPr="00064185" w:rsidRDefault="00A53EE0" w:rsidP="00EA61D8">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64185" w:rsidRPr="00064185" w14:paraId="0098CCA4" w14:textId="77777777" w:rsidTr="00922E8F">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45088B1" w14:textId="77777777" w:rsidR="00A53EE0" w:rsidRPr="00064185" w:rsidRDefault="00A53EE0" w:rsidP="00EA61D8">
            <w:pPr>
              <w:spacing w:line="260" w:lineRule="atLeast"/>
              <w:rPr>
                <w:rFonts w:eastAsia="Calibri"/>
                <w:b/>
                <w:lang w:eastAsia="en-US"/>
              </w:rPr>
            </w:pPr>
            <w:r w:rsidRPr="00064185">
              <w:rPr>
                <w:rFonts w:eastAsia="Calibri"/>
                <w:b/>
                <w:lang w:eastAsia="en-US"/>
              </w:rPr>
              <w:t>Data waiving</w:t>
            </w:r>
          </w:p>
        </w:tc>
      </w:tr>
      <w:tr w:rsidR="00064185" w:rsidRPr="00064185" w14:paraId="21141BF8"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00EF56FF" w14:textId="77777777" w:rsidR="00A53EE0" w:rsidRPr="00064185" w:rsidRDefault="00A53EE0" w:rsidP="00EA61D8">
            <w:pPr>
              <w:spacing w:line="260" w:lineRule="atLeast"/>
              <w:rPr>
                <w:rFonts w:eastAsia="Calibri"/>
                <w:lang w:eastAsia="en-US"/>
              </w:rPr>
            </w:pPr>
            <w:r w:rsidRPr="00064185">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8E91694" w14:textId="77777777" w:rsidR="00A53EE0" w:rsidRPr="00064185" w:rsidRDefault="0072361A" w:rsidP="00EA61D8">
            <w:pPr>
              <w:spacing w:line="260" w:lineRule="atLeast"/>
              <w:rPr>
                <w:rFonts w:eastAsia="Calibri"/>
                <w:lang w:eastAsia="en-US"/>
              </w:rPr>
            </w:pPr>
            <w:r w:rsidRPr="00064185">
              <w:rPr>
                <w:rFonts w:eastAsia="Calibri"/>
                <w:lang w:eastAsia="en-US"/>
              </w:rPr>
              <w:t>Study scientifically unjustified</w:t>
            </w:r>
          </w:p>
        </w:tc>
      </w:tr>
      <w:tr w:rsidR="00064185" w:rsidRPr="00064185" w14:paraId="0227968F"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1B81CF7D" w14:textId="77777777" w:rsidR="00A53EE0" w:rsidRPr="00064185" w:rsidRDefault="00A53EE0" w:rsidP="00EA61D8">
            <w:pPr>
              <w:spacing w:line="260" w:lineRule="atLeast"/>
              <w:rPr>
                <w:rFonts w:eastAsia="Calibri"/>
                <w:lang w:eastAsia="en-US"/>
              </w:rPr>
            </w:pPr>
            <w:r w:rsidRPr="00064185">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E01B272" w14:textId="22839694" w:rsidR="00A53EE0" w:rsidRPr="00064185" w:rsidRDefault="0072361A" w:rsidP="00EA61D8">
            <w:pPr>
              <w:rPr>
                <w:rFonts w:eastAsia="Calibri"/>
                <w:lang w:eastAsia="en-US"/>
              </w:rPr>
            </w:pPr>
            <w:r w:rsidRPr="00064185">
              <w:rPr>
                <w:rFonts w:eastAsia="Calibri"/>
                <w:lang w:eastAsia="en-US"/>
              </w:rPr>
              <w:t xml:space="preserve">The b.p. contains only one ingredient classified for acute inhalation toxicity. The a.s., </w:t>
            </w:r>
            <w:r w:rsidRPr="00064185">
              <w:rPr>
                <w:rFonts w:eastAsia="Calibri"/>
                <w:i/>
                <w:lang w:eastAsia="en-US"/>
              </w:rPr>
              <w:t>lambda</w:t>
            </w:r>
            <w:r w:rsidRPr="00064185">
              <w:rPr>
                <w:rFonts w:eastAsia="Calibri"/>
                <w:lang w:eastAsia="en-US"/>
              </w:rPr>
              <w:t>-cyhalothrin is classified as Acute Inhal 2, H330. However, the b.p. contains only 0.05% of the a.s. and &gt;99% water. Therefore, no classification for acute inhalation toxicity is necessary. Due to the composition of the b.p., an acute inhalation test with the b.p. is scientifically unjustified. For acute inhalation toxicity no human data is available.</w:t>
            </w:r>
          </w:p>
        </w:tc>
      </w:tr>
    </w:tbl>
    <w:p w14:paraId="5DA8F9D9" w14:textId="77777777" w:rsidR="00A53EE0" w:rsidRPr="00064185" w:rsidRDefault="00A53EE0" w:rsidP="00EA61D8">
      <w:pPr>
        <w:spacing w:line="260" w:lineRule="atLeast"/>
        <w:rPr>
          <w:rFonts w:eastAsia="Calibri"/>
          <w:lang w:eastAsia="en-US"/>
        </w:rPr>
      </w:pPr>
    </w:p>
    <w:p w14:paraId="24EFE0A4" w14:textId="77777777" w:rsidR="0020580C" w:rsidRPr="00064185" w:rsidRDefault="0020580C" w:rsidP="00EA61D8">
      <w:pPr>
        <w:spacing w:line="260" w:lineRule="atLeast"/>
        <w:rPr>
          <w:rFonts w:eastAsia="Calibri"/>
          <w:lang w:eastAsia="en-US"/>
        </w:rPr>
      </w:pPr>
    </w:p>
    <w:p w14:paraId="3685D193" w14:textId="77777777" w:rsidR="00A53EE0" w:rsidRPr="00064185" w:rsidRDefault="00A53EE0" w:rsidP="00EA61D8">
      <w:pPr>
        <w:rPr>
          <w:rFonts w:eastAsia="Calibri"/>
          <w:i/>
          <w:u w:val="single"/>
          <w:lang w:eastAsia="en-US"/>
        </w:rPr>
      </w:pPr>
      <w:bookmarkStart w:id="1665" w:name="_Toc389729057"/>
      <w:r w:rsidRPr="00064185">
        <w:rPr>
          <w:rFonts w:eastAsia="Calibri"/>
          <w:i/>
          <w:u w:val="single"/>
          <w:lang w:eastAsia="en-US"/>
        </w:rPr>
        <w:t>Acute toxicity by dermal route</w:t>
      </w:r>
      <w:bookmarkEnd w:id="1665"/>
    </w:p>
    <w:p w14:paraId="46C5C2C7" w14:textId="77777777" w:rsidR="00A53EE0" w:rsidRPr="00064185" w:rsidRDefault="00A53EE0" w:rsidP="00EA61D8">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64185" w:rsidRPr="00064185" w14:paraId="1E93F849" w14:textId="77777777" w:rsidTr="00922E8F">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CE25FC"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Value used in the Risk Assessment – Acute dermal toxicity</w:t>
            </w:r>
          </w:p>
        </w:tc>
      </w:tr>
      <w:tr w:rsidR="00064185" w:rsidRPr="00064185" w14:paraId="4CF76FB8"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2DA8C3CA" w14:textId="77777777" w:rsidR="00A53EE0" w:rsidRPr="00064185" w:rsidRDefault="00A53EE0" w:rsidP="00EA61D8">
            <w:pPr>
              <w:spacing w:line="260" w:lineRule="atLeast"/>
              <w:rPr>
                <w:rFonts w:eastAsia="Calibri"/>
                <w:lang w:eastAsia="en-US"/>
              </w:rPr>
            </w:pPr>
            <w:r w:rsidRPr="00064185">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3E6BE9DC" w14:textId="77777777" w:rsidR="00A53EE0" w:rsidRPr="00064185" w:rsidRDefault="0072361A" w:rsidP="00EA61D8">
            <w:pPr>
              <w:spacing w:line="260" w:lineRule="atLeast"/>
              <w:rPr>
                <w:rFonts w:eastAsia="Calibri"/>
                <w:lang w:eastAsia="en-US"/>
              </w:rPr>
            </w:pPr>
            <w:r w:rsidRPr="00064185">
              <w:rPr>
                <w:rFonts w:eastAsia="Calibri"/>
                <w:lang w:eastAsia="en-US"/>
              </w:rPr>
              <w:t>Not harmful</w:t>
            </w:r>
          </w:p>
        </w:tc>
      </w:tr>
      <w:tr w:rsidR="00064185" w:rsidRPr="00064185" w14:paraId="7C7E7258"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4B85B4AB" w14:textId="77777777" w:rsidR="009E2B36" w:rsidRPr="00064185" w:rsidRDefault="009E2B36" w:rsidP="00EA61D8">
            <w:pPr>
              <w:spacing w:line="260" w:lineRule="atLeast"/>
              <w:rPr>
                <w:rFonts w:eastAsia="Calibri"/>
                <w:lang w:eastAsia="en-US"/>
              </w:rPr>
            </w:pPr>
            <w:r w:rsidRPr="00064185">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6370E141" w14:textId="77777777" w:rsidR="009E2B36" w:rsidRPr="00064185" w:rsidRDefault="009E2B36" w:rsidP="00EA61D8">
            <w:pPr>
              <w:spacing w:line="260" w:lineRule="atLeast"/>
              <w:rPr>
                <w:rFonts w:eastAsia="Calibri"/>
                <w:lang w:eastAsia="en-US"/>
              </w:rPr>
            </w:pPr>
            <w:r w:rsidRPr="00064185">
              <w:rPr>
                <w:rFonts w:eastAsia="Calibri"/>
                <w:lang w:eastAsia="en-US"/>
              </w:rPr>
              <w:t xml:space="preserve">Acute toxicity studies with COM 116 02 I AL have not been conducted. The b.p. mainly consists of water (&gt;99%). Only the a.s. is toxicologically relevant. The content of </w:t>
            </w:r>
            <w:r w:rsidRPr="00064185">
              <w:rPr>
                <w:rFonts w:eastAsia="Calibri"/>
                <w:i/>
                <w:lang w:eastAsia="en-US"/>
              </w:rPr>
              <w:t>lambda</w:t>
            </w:r>
            <w:r w:rsidRPr="00064185">
              <w:rPr>
                <w:rFonts w:eastAsia="Calibri"/>
                <w:lang w:eastAsia="en-US"/>
              </w:rPr>
              <w:t>-cyhalothrin in the preparation (0.05% w/w) does not exceed 0.1% (w/w).</w:t>
            </w:r>
          </w:p>
        </w:tc>
      </w:tr>
      <w:tr w:rsidR="00064185" w:rsidRPr="00064185" w14:paraId="262F62A4"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19F5A437" w14:textId="2D3460BE" w:rsidR="009E2B36" w:rsidRPr="00064185" w:rsidRDefault="009E2B36" w:rsidP="00EA61D8">
            <w:pPr>
              <w:spacing w:line="260" w:lineRule="atLeast"/>
              <w:rPr>
                <w:rFonts w:eastAsia="Calibri"/>
                <w:lang w:eastAsia="en-US"/>
              </w:rPr>
            </w:pPr>
            <w:r w:rsidRPr="00064185">
              <w:rPr>
                <w:rFonts w:eastAsia="Calibri"/>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7FA98A66" w14:textId="2610B8E0" w:rsidR="009E2B36" w:rsidRPr="00064185" w:rsidRDefault="00732517" w:rsidP="00EA61D8">
            <w:pPr>
              <w:spacing w:line="260" w:lineRule="atLeast"/>
              <w:rPr>
                <w:rFonts w:eastAsia="Calibri"/>
                <w:lang w:eastAsia="en-US"/>
              </w:rPr>
            </w:pPr>
            <w:r w:rsidRPr="00064185">
              <w:rPr>
                <w:rFonts w:eastAsia="Calibri"/>
                <w:lang w:eastAsia="en-US"/>
              </w:rPr>
              <w:t>According to CLP</w:t>
            </w:r>
            <w:r w:rsidRPr="00064185" w:rsidDel="00C73723">
              <w:rPr>
                <w:rFonts w:eastAsia="Calibri"/>
                <w:lang w:eastAsia="en-US"/>
              </w:rPr>
              <w:t xml:space="preserve"> </w:t>
            </w:r>
            <w:r w:rsidRPr="00064185">
              <w:rPr>
                <w:rFonts w:eastAsia="Calibri"/>
                <w:lang w:eastAsia="en-US"/>
              </w:rPr>
              <w:t>n</w:t>
            </w:r>
            <w:r w:rsidR="009E2B36" w:rsidRPr="00064185">
              <w:rPr>
                <w:rFonts w:eastAsia="Calibri"/>
                <w:lang w:eastAsia="en-US"/>
              </w:rPr>
              <w:t>o classification for acute dermal toxicity is necessary.</w:t>
            </w:r>
          </w:p>
        </w:tc>
      </w:tr>
    </w:tbl>
    <w:p w14:paraId="02E80386" w14:textId="77777777" w:rsidR="00A53EE0" w:rsidRPr="00064185" w:rsidRDefault="00A53EE0" w:rsidP="00EA61D8">
      <w:pPr>
        <w:spacing w:line="260" w:lineRule="atLeast"/>
        <w:rPr>
          <w:rFonts w:eastAsia="Calibri"/>
          <w:lang w:eastAsia="en-US"/>
        </w:rPr>
      </w:pPr>
    </w:p>
    <w:p w14:paraId="19DBEC45" w14:textId="77777777" w:rsidR="00A53EE0" w:rsidRPr="00064185" w:rsidRDefault="00A53EE0" w:rsidP="00EA61D8">
      <w:pPr>
        <w:spacing w:line="260" w:lineRule="atLeast"/>
        <w:rPr>
          <w:rFonts w:eastAsia="Calibri"/>
          <w:lang w:eastAsia="en-US"/>
        </w:rPr>
      </w:pPr>
    </w:p>
    <w:p w14:paraId="13017E6B" w14:textId="77777777" w:rsidR="000835FA" w:rsidRPr="00064185" w:rsidRDefault="000835FA" w:rsidP="00EA61D8">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64185" w:rsidRPr="00064185" w14:paraId="2031C527" w14:textId="77777777" w:rsidTr="00922E8F">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503DC93" w14:textId="77777777" w:rsidR="00A53EE0" w:rsidRPr="00064185" w:rsidRDefault="00A53EE0" w:rsidP="00EA61D8">
            <w:pPr>
              <w:spacing w:line="260" w:lineRule="atLeast"/>
              <w:rPr>
                <w:rFonts w:eastAsia="Calibri"/>
                <w:b/>
                <w:lang w:eastAsia="en-US"/>
              </w:rPr>
            </w:pPr>
            <w:r w:rsidRPr="00064185">
              <w:rPr>
                <w:rFonts w:eastAsia="Calibri"/>
                <w:b/>
                <w:lang w:eastAsia="en-US"/>
              </w:rPr>
              <w:lastRenderedPageBreak/>
              <w:t>Data waiving</w:t>
            </w:r>
          </w:p>
        </w:tc>
      </w:tr>
      <w:tr w:rsidR="00064185" w:rsidRPr="00064185" w14:paraId="0D66D7EA"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3065232A" w14:textId="77777777" w:rsidR="00A53EE0" w:rsidRPr="00064185" w:rsidRDefault="00A53EE0" w:rsidP="00EA61D8">
            <w:pPr>
              <w:spacing w:line="260" w:lineRule="atLeast"/>
              <w:rPr>
                <w:rFonts w:eastAsia="Calibri"/>
                <w:lang w:eastAsia="en-US"/>
              </w:rPr>
            </w:pPr>
            <w:r w:rsidRPr="00064185">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302CC5D" w14:textId="77777777" w:rsidR="00A53EE0" w:rsidRPr="00064185" w:rsidRDefault="0072361A" w:rsidP="00EA61D8">
            <w:pPr>
              <w:spacing w:line="260" w:lineRule="atLeast"/>
              <w:rPr>
                <w:rFonts w:eastAsia="Calibri"/>
                <w:lang w:eastAsia="en-US"/>
              </w:rPr>
            </w:pPr>
            <w:r w:rsidRPr="00064185">
              <w:rPr>
                <w:rFonts w:eastAsia="Calibri"/>
                <w:lang w:eastAsia="en-US"/>
              </w:rPr>
              <w:t>Study scientifically unjustified</w:t>
            </w:r>
          </w:p>
        </w:tc>
      </w:tr>
      <w:tr w:rsidR="00064185" w:rsidRPr="00064185" w14:paraId="63E7629E"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3D75F477" w14:textId="77777777" w:rsidR="00A53EE0" w:rsidRPr="00064185" w:rsidRDefault="00A53EE0" w:rsidP="00EA61D8">
            <w:pPr>
              <w:spacing w:line="260" w:lineRule="atLeast"/>
              <w:rPr>
                <w:rFonts w:eastAsia="Calibri"/>
                <w:lang w:eastAsia="en-US"/>
              </w:rPr>
            </w:pPr>
            <w:r w:rsidRPr="00064185">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71304581" w14:textId="60035B37" w:rsidR="00A53EE0" w:rsidRPr="00064185" w:rsidRDefault="0072361A" w:rsidP="00EA61D8">
            <w:pPr>
              <w:rPr>
                <w:rFonts w:eastAsia="Calibri"/>
                <w:lang w:eastAsia="en-US"/>
              </w:rPr>
            </w:pPr>
            <w:r w:rsidRPr="00064185">
              <w:rPr>
                <w:rFonts w:eastAsia="Calibri"/>
                <w:lang w:eastAsia="en-US"/>
              </w:rPr>
              <w:t xml:space="preserve">The b.p. contains only one ingredient classified for acute percutaneous toxicity. The a.s., </w:t>
            </w:r>
            <w:r w:rsidRPr="00064185">
              <w:rPr>
                <w:rFonts w:eastAsia="Calibri"/>
                <w:i/>
                <w:lang w:eastAsia="en-US"/>
              </w:rPr>
              <w:t>lambda</w:t>
            </w:r>
            <w:r w:rsidRPr="00064185">
              <w:rPr>
                <w:rFonts w:eastAsia="Calibri"/>
                <w:lang w:eastAsia="en-US"/>
              </w:rPr>
              <w:t xml:space="preserve">-cyhalothrin is classified as </w:t>
            </w:r>
            <w:r w:rsidR="00091A2E" w:rsidRPr="00064185">
              <w:rPr>
                <w:rFonts w:eastAsia="Calibri"/>
                <w:lang w:eastAsia="en-US"/>
              </w:rPr>
              <w:t>Acute Tox.4, H312 according to CLP.</w:t>
            </w:r>
            <w:r w:rsidRPr="00064185">
              <w:rPr>
                <w:rFonts w:eastAsia="Calibri"/>
                <w:lang w:eastAsia="en-US"/>
              </w:rPr>
              <w:t xml:space="preserve"> However, the b.p. contains only 0.05% of the a.s. and &gt;99% water. Due to the composition of the b.p., an acute dermal toxicity test with the b.p. is scientifically unjustified. </w:t>
            </w:r>
          </w:p>
        </w:tc>
      </w:tr>
    </w:tbl>
    <w:p w14:paraId="47E9161F" w14:textId="77777777" w:rsidR="00091A2E" w:rsidRPr="00064185" w:rsidRDefault="00091A2E" w:rsidP="00EA61D8">
      <w:pPr>
        <w:spacing w:line="260" w:lineRule="atLeast"/>
        <w:rPr>
          <w:rFonts w:eastAsia="Calibri"/>
          <w:lang w:eastAsia="en-US"/>
        </w:rPr>
      </w:pPr>
      <w:r w:rsidRPr="00064185">
        <w:rPr>
          <w:rFonts w:eastAsia="Calibri"/>
          <w:lang w:eastAsia="en-US"/>
        </w:rPr>
        <w:t>For acute dermal toxicity no human data is available.</w:t>
      </w:r>
    </w:p>
    <w:p w14:paraId="4D0BCBCE" w14:textId="492968F2" w:rsidR="00847AE4" w:rsidRPr="00064185" w:rsidRDefault="00847AE4" w:rsidP="00EA61D8">
      <w:pPr>
        <w:spacing w:line="260" w:lineRule="atLeast"/>
        <w:rPr>
          <w:rFonts w:eastAsia="Calibri"/>
          <w:lang w:eastAsia="en-US"/>
        </w:rPr>
      </w:pPr>
    </w:p>
    <w:p w14:paraId="764B7DE3" w14:textId="5F862DFC" w:rsidR="00847AE4" w:rsidRPr="00064185" w:rsidRDefault="00847AE4" w:rsidP="00EA61D8">
      <w:pPr>
        <w:spacing w:line="260" w:lineRule="atLeast"/>
        <w:rPr>
          <w:rFonts w:eastAsia="Calibri"/>
          <w:i/>
          <w:u w:val="single"/>
          <w:lang w:eastAsia="en-US"/>
        </w:rPr>
      </w:pPr>
      <w:r w:rsidRPr="00064185">
        <w:rPr>
          <w:rFonts w:eastAsia="Calibri"/>
          <w:i/>
          <w:u w:val="single"/>
          <w:lang w:eastAsia="en-US"/>
        </w:rPr>
        <w:t>Other dermal effects</w:t>
      </w:r>
    </w:p>
    <w:p w14:paraId="7791A40E" w14:textId="77777777" w:rsidR="00847AE4" w:rsidRPr="00064185" w:rsidRDefault="00847AE4" w:rsidP="00EA61D8">
      <w:pPr>
        <w:spacing w:line="260" w:lineRule="atLeast"/>
        <w:rPr>
          <w:rFonts w:eastAsia="Calibri"/>
          <w:lang w:eastAsia="en-US"/>
        </w:rPr>
      </w:pPr>
    </w:p>
    <w:p w14:paraId="20D25853" w14:textId="1AE60A6A" w:rsidR="00847AE4" w:rsidRPr="00064185" w:rsidRDefault="00847AE4" w:rsidP="00403806">
      <w:pPr>
        <w:spacing w:line="260" w:lineRule="atLeast"/>
        <w:jc w:val="both"/>
        <w:rPr>
          <w:rFonts w:eastAsia="Calibri"/>
          <w:lang w:eastAsia="en-US"/>
        </w:rPr>
      </w:pPr>
      <w:r w:rsidRPr="00064185">
        <w:rPr>
          <w:rFonts w:eastAsia="Calibri"/>
          <w:i/>
          <w:lang w:eastAsia="en-US"/>
        </w:rPr>
        <w:t>Lambda</w:t>
      </w:r>
      <w:r w:rsidRPr="00064185">
        <w:rPr>
          <w:rFonts w:eastAsia="Calibri"/>
          <w:lang w:eastAsia="en-US"/>
        </w:rPr>
        <w:t xml:space="preserve">-cyhalothrin is a synthetic type II pyrethroid insecticide. The principal effect of pyrethroids is to delay sodium channel closure on nerve axons which in turn delays membrane repolarisation following an action potential. In this sense, synthetic pyrethroids affect the nervous system of insects by prolonging the deactivation of voltage-gated sodium channels, which results in prolonged excitation of nerve fibers. There is evidence that synthetic pyrethroids containing an alpha-cyano group (such as </w:t>
      </w:r>
      <w:r w:rsidRPr="00064185">
        <w:rPr>
          <w:rFonts w:eastAsia="Calibri"/>
          <w:i/>
          <w:lang w:eastAsia="en-US"/>
        </w:rPr>
        <w:t>lambda</w:t>
      </w:r>
      <w:r w:rsidRPr="00064185">
        <w:rPr>
          <w:rFonts w:eastAsia="Calibri"/>
          <w:lang w:eastAsia="en-US"/>
        </w:rPr>
        <w:t>-cyhalothrin) are more potent in eliciting neurotoxic effects, in comparison to pyrethroids that do not contain an alpha-cyano group.</w:t>
      </w:r>
    </w:p>
    <w:p w14:paraId="40931E67" w14:textId="77777777" w:rsidR="00847AE4" w:rsidRPr="00064185" w:rsidRDefault="00847AE4" w:rsidP="00403806">
      <w:pPr>
        <w:spacing w:line="260" w:lineRule="atLeast"/>
        <w:jc w:val="both"/>
        <w:rPr>
          <w:rFonts w:eastAsia="Calibri"/>
          <w:lang w:eastAsia="en-US"/>
        </w:rPr>
      </w:pPr>
    </w:p>
    <w:p w14:paraId="67021C5F" w14:textId="535C66F1" w:rsidR="00847AE4" w:rsidRPr="00064185" w:rsidRDefault="00847AE4" w:rsidP="00403806">
      <w:pPr>
        <w:spacing w:line="260" w:lineRule="atLeast"/>
        <w:jc w:val="both"/>
        <w:rPr>
          <w:rFonts w:eastAsia="Calibri"/>
          <w:lang w:eastAsia="en-US"/>
        </w:rPr>
      </w:pPr>
      <w:r w:rsidRPr="00064185">
        <w:rPr>
          <w:rFonts w:eastAsia="Calibri"/>
          <w:lang w:eastAsia="en-US"/>
        </w:rPr>
        <w:t xml:space="preserve">While synthetic pyrethroids have a higher level of selectivity and toxicity for the insect nervous system, local effects on human skin resulting in paresthesias can occur in association with overexposure. Systemic intoxication is uncommon in humans, as the dermal absorption of these chemicals appears to be minimal. However, cases of subjective facial sensation (also known as 'SFS' or paraesthesia) have occurred at all stages of </w:t>
      </w:r>
      <w:r w:rsidRPr="00064185">
        <w:rPr>
          <w:rFonts w:eastAsia="Calibri"/>
          <w:i/>
          <w:lang w:eastAsia="en-US"/>
        </w:rPr>
        <w:t>lambda</w:t>
      </w:r>
      <w:r w:rsidRPr="00064185">
        <w:rPr>
          <w:rFonts w:eastAsia="Calibri"/>
          <w:lang w:eastAsia="en-US"/>
        </w:rPr>
        <w:t>-cyhalothrin handling, from small-scale laboratory work to commercial synthesis and formulation operations. The paresthesia has been described as ranging from a mild itch to a stinging sensation, with progression to numbness in some cases. The duration of symptoms varies, ranging from several hours to approximately 24 hours.</w:t>
      </w:r>
    </w:p>
    <w:p w14:paraId="5707693D" w14:textId="77777777" w:rsidR="00847AE4" w:rsidRPr="00064185" w:rsidRDefault="00847AE4" w:rsidP="00403806">
      <w:pPr>
        <w:spacing w:line="260" w:lineRule="atLeast"/>
        <w:jc w:val="both"/>
        <w:rPr>
          <w:rFonts w:eastAsia="Calibri"/>
          <w:lang w:eastAsia="en-US"/>
        </w:rPr>
      </w:pPr>
    </w:p>
    <w:p w14:paraId="399EF33D" w14:textId="5A93EC66" w:rsidR="00847AE4" w:rsidRPr="00064185" w:rsidRDefault="00847AE4" w:rsidP="00403806">
      <w:pPr>
        <w:spacing w:line="260" w:lineRule="atLeast"/>
        <w:jc w:val="both"/>
        <w:rPr>
          <w:rFonts w:eastAsia="Calibri"/>
          <w:lang w:eastAsia="en-US"/>
        </w:rPr>
      </w:pPr>
      <w:r w:rsidRPr="00064185">
        <w:rPr>
          <w:rFonts w:eastAsia="Calibri"/>
          <w:lang w:eastAsia="en-US"/>
        </w:rPr>
        <w:t xml:space="preserve">According to the technical statement of Syngenta no information regarding that paraesthesia may happen also at 0.05% </w:t>
      </w:r>
      <w:proofErr w:type="gramStart"/>
      <w:r w:rsidRPr="00064185">
        <w:rPr>
          <w:rFonts w:eastAsia="Calibri"/>
          <w:lang w:eastAsia="en-US"/>
        </w:rPr>
        <w:t>a.s</w:t>
      </w:r>
      <w:proofErr w:type="gramEnd"/>
      <w:r w:rsidRPr="00064185">
        <w:rPr>
          <w:rFonts w:eastAsia="Calibri"/>
          <w:lang w:eastAsia="en-US"/>
        </w:rPr>
        <w:t xml:space="preserve">. is available. Additionally it is considered unlikely that entry into a treated home would result in sufficient exposure to </w:t>
      </w:r>
      <w:r w:rsidRPr="00064185">
        <w:rPr>
          <w:rFonts w:eastAsia="Calibri"/>
          <w:i/>
          <w:lang w:eastAsia="en-US"/>
        </w:rPr>
        <w:t>lambda-</w:t>
      </w:r>
      <w:r w:rsidRPr="00064185">
        <w:rPr>
          <w:rFonts w:eastAsia="Calibri"/>
          <w:lang w:eastAsia="en-US"/>
        </w:rPr>
        <w:t xml:space="preserve">cyhalothrin to cause paraesthesia. Additionally, the likelihood of exposure is reduced by encapsulation of the formulation and use of personal protective equipment. Nonetheless, personal protective equipment cannot normally be considered for non-professional users and in order to cover vulnerable population. Therefore a statement should be added: “May cause temporary and reversible itching, tingling, burning, or numbness of exposed skin, called paraesthesia. These skin contact paresthesia effects are transient, and normally disappear within 24 hours. Treat symptomatically”.  </w:t>
      </w:r>
    </w:p>
    <w:p w14:paraId="4088C900" w14:textId="77777777" w:rsidR="00847AE4" w:rsidRPr="00064185" w:rsidRDefault="00847AE4" w:rsidP="00403806">
      <w:pPr>
        <w:spacing w:line="260" w:lineRule="atLeast"/>
        <w:jc w:val="both"/>
        <w:rPr>
          <w:rFonts w:eastAsia="Calibri"/>
          <w:lang w:eastAsia="en-US"/>
        </w:rPr>
      </w:pPr>
    </w:p>
    <w:p w14:paraId="7AF8D060" w14:textId="77777777" w:rsidR="00847AE4" w:rsidRPr="00064185" w:rsidRDefault="00847AE4" w:rsidP="00403806">
      <w:pPr>
        <w:spacing w:line="260" w:lineRule="atLeast"/>
        <w:jc w:val="both"/>
        <w:rPr>
          <w:rFonts w:eastAsia="Calibri"/>
          <w:lang w:eastAsia="en-US"/>
        </w:rPr>
      </w:pPr>
      <w:r w:rsidRPr="00064185">
        <w:rPr>
          <w:rFonts w:eastAsia="Calibri"/>
          <w:lang w:eastAsia="en-US"/>
        </w:rPr>
        <w:t xml:space="preserve">References:  </w:t>
      </w:r>
    </w:p>
    <w:p w14:paraId="63DC41D9" w14:textId="365EDBDA" w:rsidR="00847AE4" w:rsidRPr="00064185" w:rsidRDefault="00847AE4" w:rsidP="00403806">
      <w:pPr>
        <w:ind w:left="1729" w:hanging="1729"/>
        <w:jc w:val="both"/>
        <w:rPr>
          <w:rFonts w:eastAsia="Calibri"/>
          <w:i/>
          <w:lang w:eastAsia="en-US"/>
        </w:rPr>
      </w:pPr>
      <w:r w:rsidRPr="00064185">
        <w:rPr>
          <w:rFonts w:eastAsia="Calibri"/>
          <w:i/>
          <w:lang w:eastAsia="en-US"/>
        </w:rPr>
        <w:t xml:space="preserve">Soderlund DM, Clark JM, Sheets LP, Mullin LS, Piccirillo 1. </w:t>
      </w:r>
      <w:r w:rsidRPr="00064185">
        <w:rPr>
          <w:rFonts w:eastAsia="Calibri"/>
          <w:i/>
          <w:lang w:val="de-AT" w:eastAsia="en-US"/>
        </w:rPr>
        <w:t>VJ, Sargent D, Stevens JT</w:t>
      </w:r>
      <w:proofErr w:type="gramStart"/>
      <w:r w:rsidRPr="00064185">
        <w:rPr>
          <w:rFonts w:eastAsia="Calibri"/>
          <w:i/>
          <w:lang w:val="de-AT" w:eastAsia="en-US"/>
        </w:rPr>
        <w:t>,Weiner</w:t>
      </w:r>
      <w:proofErr w:type="gramEnd"/>
      <w:r w:rsidRPr="00064185">
        <w:rPr>
          <w:rFonts w:eastAsia="Calibri"/>
          <w:i/>
          <w:lang w:val="de-AT" w:eastAsia="en-US"/>
        </w:rPr>
        <w:t xml:space="preserve"> ML. </w:t>
      </w:r>
      <w:r w:rsidRPr="00064185">
        <w:rPr>
          <w:rFonts w:eastAsia="Calibri"/>
          <w:i/>
          <w:lang w:eastAsia="en-US"/>
        </w:rPr>
        <w:t>Mechanisms of pyrethroid neurotoxicity: implications for cumulative risk assessment. Toxicology 2002, 171: 3-59.</w:t>
      </w:r>
    </w:p>
    <w:p w14:paraId="13D709D6" w14:textId="3F3EBFEC" w:rsidR="00847AE4" w:rsidRPr="00064185" w:rsidRDefault="00847AE4" w:rsidP="00403806">
      <w:pPr>
        <w:ind w:left="1729" w:hanging="1729"/>
        <w:jc w:val="both"/>
        <w:rPr>
          <w:rFonts w:eastAsia="Calibri"/>
          <w:i/>
          <w:lang w:eastAsia="en-US"/>
        </w:rPr>
      </w:pPr>
      <w:r w:rsidRPr="00064185">
        <w:rPr>
          <w:rFonts w:eastAsia="Calibri"/>
          <w:i/>
          <w:lang w:eastAsia="en-US"/>
        </w:rPr>
        <w:t>Flannigan SA, Tucker SB, Key MM, Ross CE, Fairchild EJ, Grimes BA</w:t>
      </w:r>
      <w:proofErr w:type="gramStart"/>
      <w:r w:rsidRPr="00064185">
        <w:rPr>
          <w:rFonts w:eastAsia="Calibri"/>
          <w:i/>
          <w:lang w:eastAsia="en-US"/>
        </w:rPr>
        <w:t>,Harrist</w:t>
      </w:r>
      <w:proofErr w:type="gramEnd"/>
      <w:r w:rsidRPr="00064185">
        <w:rPr>
          <w:rFonts w:eastAsia="Calibri"/>
          <w:i/>
          <w:lang w:eastAsia="en-US"/>
        </w:rPr>
        <w:t xml:space="preserve"> RB. Synthetic pyrethroid insecticides: a dermatological evaluation. Br J Ind Med 1985, 42: 363-372.</w:t>
      </w:r>
    </w:p>
    <w:p w14:paraId="3BA10EB7" w14:textId="3A3BF84A" w:rsidR="00847AE4" w:rsidRPr="00064185" w:rsidRDefault="00847AE4" w:rsidP="00403806">
      <w:pPr>
        <w:ind w:left="1729" w:hanging="1729"/>
        <w:jc w:val="both"/>
        <w:rPr>
          <w:rFonts w:eastAsia="Calibri"/>
          <w:i/>
          <w:lang w:eastAsia="en-US"/>
        </w:rPr>
      </w:pPr>
      <w:r w:rsidRPr="00064185">
        <w:rPr>
          <w:rFonts w:eastAsia="Calibri"/>
          <w:i/>
          <w:lang w:val="de-AT" w:eastAsia="en-US"/>
        </w:rPr>
        <w:lastRenderedPageBreak/>
        <w:t xml:space="preserve">Woollen BH, Marsh JR, Laird WJ,Lesser JE. </w:t>
      </w:r>
      <w:r w:rsidRPr="00064185">
        <w:rPr>
          <w:rFonts w:eastAsia="Calibri"/>
          <w:i/>
          <w:lang w:eastAsia="en-US"/>
        </w:rPr>
        <w:t>The metabolism of cypermethrin in man: differences in urinary metabolite profiles following oral and dermal administration. Xenobiotica 1992, 22: 983-991.</w:t>
      </w:r>
    </w:p>
    <w:p w14:paraId="2CBE5042" w14:textId="54794915" w:rsidR="00847AE4" w:rsidRPr="00064185" w:rsidRDefault="00847AE4" w:rsidP="00403806">
      <w:pPr>
        <w:ind w:left="1729" w:hanging="1729"/>
        <w:jc w:val="both"/>
        <w:rPr>
          <w:rFonts w:eastAsia="Calibri"/>
          <w:i/>
          <w:lang w:eastAsia="en-US"/>
        </w:rPr>
      </w:pPr>
      <w:r w:rsidRPr="00CD287F">
        <w:rPr>
          <w:rFonts w:eastAsia="Calibri"/>
          <w:i/>
          <w:lang w:val="de-AT" w:eastAsia="en-US"/>
        </w:rPr>
        <w:t xml:space="preserve">Williams RL, Bernard CE,Krieger RI. </w:t>
      </w:r>
      <w:proofErr w:type="gramStart"/>
      <w:r w:rsidRPr="00064185">
        <w:rPr>
          <w:rFonts w:eastAsia="Calibri"/>
          <w:i/>
          <w:lang w:eastAsia="en-US"/>
        </w:rPr>
        <w:t>Human exposure to indoor residential cyfluthrin residues during a structured activity program.</w:t>
      </w:r>
      <w:proofErr w:type="gramEnd"/>
      <w:r w:rsidRPr="00064185">
        <w:rPr>
          <w:rFonts w:eastAsia="Calibri"/>
          <w:i/>
          <w:lang w:eastAsia="en-US"/>
        </w:rPr>
        <w:t xml:space="preserve"> J Expo Anal Environ Epidemiol 2003, 13: 112-119.</w:t>
      </w:r>
    </w:p>
    <w:p w14:paraId="1C19BC49" w14:textId="562E8FD0" w:rsidR="00847AE4" w:rsidRPr="00064185" w:rsidRDefault="00847AE4" w:rsidP="00403806">
      <w:pPr>
        <w:ind w:left="1729" w:hanging="1729"/>
        <w:jc w:val="both"/>
        <w:rPr>
          <w:rFonts w:eastAsia="Calibri"/>
          <w:i/>
          <w:lang w:eastAsia="en-US"/>
        </w:rPr>
      </w:pPr>
      <w:r w:rsidRPr="00064185">
        <w:rPr>
          <w:rFonts w:eastAsia="Calibri"/>
          <w:i/>
          <w:lang w:eastAsia="en-US"/>
        </w:rPr>
        <w:t>Tucker SB</w:t>
      </w:r>
      <w:proofErr w:type="gramStart"/>
      <w:r w:rsidRPr="00064185">
        <w:rPr>
          <w:rFonts w:eastAsia="Calibri"/>
          <w:i/>
          <w:lang w:eastAsia="en-US"/>
        </w:rPr>
        <w:t>,Flannigan</w:t>
      </w:r>
      <w:proofErr w:type="gramEnd"/>
      <w:r w:rsidRPr="00064185">
        <w:rPr>
          <w:rFonts w:eastAsia="Calibri"/>
          <w:i/>
          <w:lang w:eastAsia="en-US"/>
        </w:rPr>
        <w:t xml:space="preserve"> SA. </w:t>
      </w:r>
      <w:proofErr w:type="gramStart"/>
      <w:r w:rsidRPr="00064185">
        <w:rPr>
          <w:rFonts w:eastAsia="Calibri"/>
          <w:i/>
          <w:lang w:eastAsia="en-US"/>
        </w:rPr>
        <w:t>Cutaneous effects from occupational exposure to fenvalerate.</w:t>
      </w:r>
      <w:proofErr w:type="gramEnd"/>
      <w:r w:rsidRPr="00064185">
        <w:rPr>
          <w:rFonts w:eastAsia="Calibri"/>
          <w:i/>
          <w:lang w:eastAsia="en-US"/>
        </w:rPr>
        <w:t xml:space="preserve"> Arch Toxicol 1983, 54: 195-202.</w:t>
      </w:r>
    </w:p>
    <w:p w14:paraId="48B15733" w14:textId="7A7B8F4A" w:rsidR="00847AE4" w:rsidRPr="00064185" w:rsidRDefault="00847AE4" w:rsidP="00403806">
      <w:pPr>
        <w:ind w:left="1729" w:hanging="1729"/>
        <w:jc w:val="both"/>
        <w:rPr>
          <w:rFonts w:eastAsia="Calibri"/>
          <w:i/>
          <w:lang w:eastAsia="en-US"/>
        </w:rPr>
      </w:pPr>
      <w:r w:rsidRPr="00CD287F">
        <w:rPr>
          <w:rFonts w:eastAsia="Calibri"/>
          <w:i/>
          <w:lang w:val="de-AT" w:eastAsia="en-US"/>
        </w:rPr>
        <w:t xml:space="preserve">Knox JM, Tucker SB,Flannigan SA. </w:t>
      </w:r>
      <w:proofErr w:type="gramStart"/>
      <w:r w:rsidRPr="00064185">
        <w:rPr>
          <w:rFonts w:eastAsia="Calibri"/>
          <w:i/>
          <w:lang w:eastAsia="en-US"/>
        </w:rPr>
        <w:t>Paresthesia from cutaneous exposure to a synthetic pyrethroid insecticide.</w:t>
      </w:r>
      <w:proofErr w:type="gramEnd"/>
      <w:r w:rsidRPr="00064185">
        <w:rPr>
          <w:rFonts w:eastAsia="Calibri"/>
          <w:i/>
          <w:lang w:eastAsia="en-US"/>
        </w:rPr>
        <w:t xml:space="preserve"> Arch Dermatol 1984, 120: 744-746.</w:t>
      </w:r>
    </w:p>
    <w:p w14:paraId="5402827F" w14:textId="77777777" w:rsidR="00A53EE0" w:rsidRPr="00064185" w:rsidRDefault="00A53EE0" w:rsidP="00403806">
      <w:pPr>
        <w:spacing w:line="260" w:lineRule="atLeast"/>
        <w:jc w:val="both"/>
        <w:rPr>
          <w:rFonts w:eastAsia="Calibri"/>
          <w:lang w:eastAsia="en-US"/>
        </w:rPr>
      </w:pPr>
    </w:p>
    <w:p w14:paraId="4F0D5062" w14:textId="77777777" w:rsidR="001E71C7" w:rsidRPr="00064185" w:rsidRDefault="001E71C7" w:rsidP="00EA61D8">
      <w:pPr>
        <w:spacing w:line="260" w:lineRule="atLeast"/>
        <w:rPr>
          <w:rFonts w:eastAsia="Calibri"/>
          <w:lang w:eastAsia="en-US"/>
        </w:rPr>
      </w:pPr>
    </w:p>
    <w:p w14:paraId="7F5516CD" w14:textId="77777777" w:rsidR="00A53EE0" w:rsidRPr="00064185" w:rsidRDefault="00A53EE0" w:rsidP="00EA61D8">
      <w:pPr>
        <w:rPr>
          <w:rFonts w:eastAsia="Calibri"/>
          <w:b/>
          <w:i/>
          <w:sz w:val="22"/>
          <w:szCs w:val="22"/>
          <w:lang w:eastAsia="en-US"/>
        </w:rPr>
      </w:pPr>
      <w:bookmarkStart w:id="1666" w:name="_Toc389729058"/>
      <w:bookmarkStart w:id="1667" w:name="_Toc403472760"/>
      <w:r w:rsidRPr="00064185">
        <w:rPr>
          <w:rFonts w:eastAsia="Calibri"/>
          <w:b/>
          <w:i/>
          <w:sz w:val="22"/>
          <w:szCs w:val="22"/>
          <w:lang w:eastAsia="en-US"/>
        </w:rPr>
        <w:t>Information on dermal absorption</w:t>
      </w:r>
      <w:bookmarkEnd w:id="1666"/>
      <w:bookmarkEnd w:id="1667"/>
    </w:p>
    <w:p w14:paraId="7E58C06A" w14:textId="77777777" w:rsidR="00A53EE0" w:rsidRPr="00064185" w:rsidRDefault="00A53EE0" w:rsidP="00EA61D8">
      <w:pPr>
        <w:spacing w:line="260" w:lineRule="atLeast"/>
        <w:rPr>
          <w:rFonts w:eastAsia="Calibri"/>
          <w:lang w:eastAsia="en-US"/>
        </w:rPr>
      </w:pPr>
      <w:r w:rsidRPr="00064185">
        <w:rPr>
          <w:rFonts w:ascii="Times New Roman" w:eastAsia="Calibri" w:hAnsi="Times New Roman"/>
          <w:i/>
          <w:iCs/>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05"/>
      </w:tblGrid>
      <w:tr w:rsidR="00064185" w:rsidRPr="00064185" w14:paraId="34315970" w14:textId="77777777" w:rsidTr="00922E8F">
        <w:tc>
          <w:tcPr>
            <w:tcW w:w="9242" w:type="dxa"/>
            <w:gridSpan w:val="2"/>
            <w:tcBorders>
              <w:top w:val="single" w:sz="4" w:space="0" w:color="auto"/>
              <w:left w:val="single" w:sz="4" w:space="0" w:color="auto"/>
              <w:bottom w:val="single" w:sz="6" w:space="0" w:color="auto"/>
              <w:right w:val="single" w:sz="6" w:space="0" w:color="auto"/>
            </w:tcBorders>
            <w:shd w:val="clear" w:color="auto" w:fill="CCFFCC"/>
          </w:tcPr>
          <w:p w14:paraId="2DDA8BC9"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Value(s) used in the Risk Assessment – Dermal absorption</w:t>
            </w:r>
          </w:p>
        </w:tc>
      </w:tr>
      <w:tr w:rsidR="00064185" w:rsidRPr="00064185" w14:paraId="60154092" w14:textId="77777777" w:rsidTr="00FF5942">
        <w:tc>
          <w:tcPr>
            <w:tcW w:w="1937" w:type="dxa"/>
            <w:tcBorders>
              <w:top w:val="single" w:sz="6" w:space="0" w:color="auto"/>
              <w:left w:val="single" w:sz="4" w:space="0" w:color="auto"/>
              <w:bottom w:val="single" w:sz="6" w:space="0" w:color="auto"/>
              <w:right w:val="single" w:sz="6" w:space="0" w:color="auto"/>
            </w:tcBorders>
            <w:shd w:val="clear" w:color="auto" w:fill="auto"/>
          </w:tcPr>
          <w:p w14:paraId="6440F919" w14:textId="77777777" w:rsidR="00091A2E" w:rsidRPr="00064185" w:rsidRDefault="00091A2E" w:rsidP="00EA61D8">
            <w:pPr>
              <w:spacing w:line="260" w:lineRule="atLeast"/>
              <w:rPr>
                <w:rFonts w:eastAsia="Calibri"/>
                <w:lang w:eastAsia="en-US"/>
              </w:rPr>
            </w:pPr>
            <w:r w:rsidRPr="00064185">
              <w:rPr>
                <w:rFonts w:eastAsia="Calibri"/>
                <w:lang w:eastAsia="en-US"/>
              </w:rPr>
              <w:t>Substance</w:t>
            </w:r>
          </w:p>
        </w:tc>
        <w:tc>
          <w:tcPr>
            <w:tcW w:w="7305" w:type="dxa"/>
            <w:tcBorders>
              <w:top w:val="single" w:sz="6" w:space="0" w:color="auto"/>
              <w:left w:val="single" w:sz="6" w:space="0" w:color="auto"/>
              <w:bottom w:val="single" w:sz="6" w:space="0" w:color="auto"/>
              <w:right w:val="single" w:sz="6" w:space="0" w:color="auto"/>
            </w:tcBorders>
          </w:tcPr>
          <w:p w14:paraId="2BA12500" w14:textId="77777777" w:rsidR="00091A2E" w:rsidRPr="00064185" w:rsidRDefault="00091A2E" w:rsidP="00EA61D8">
            <w:pPr>
              <w:spacing w:line="260" w:lineRule="atLeast"/>
              <w:rPr>
                <w:rFonts w:eastAsia="Calibri"/>
                <w:lang w:eastAsia="en-US"/>
              </w:rPr>
            </w:pPr>
            <w:r w:rsidRPr="00064185">
              <w:rPr>
                <w:rFonts w:eastAsia="Calibri"/>
                <w:i/>
                <w:lang w:eastAsia="en-US"/>
              </w:rPr>
              <w:t>lambda</w:t>
            </w:r>
            <w:r w:rsidRPr="00064185">
              <w:rPr>
                <w:rFonts w:eastAsia="Calibri"/>
                <w:lang w:eastAsia="en-US"/>
              </w:rPr>
              <w:t>-cyhalothrin</w:t>
            </w:r>
          </w:p>
        </w:tc>
      </w:tr>
      <w:tr w:rsidR="00064185" w:rsidRPr="00064185" w14:paraId="586DBE05" w14:textId="77777777" w:rsidTr="00FF5942">
        <w:tc>
          <w:tcPr>
            <w:tcW w:w="1937" w:type="dxa"/>
            <w:tcBorders>
              <w:top w:val="single" w:sz="6" w:space="0" w:color="auto"/>
              <w:left w:val="single" w:sz="4" w:space="0" w:color="auto"/>
              <w:bottom w:val="single" w:sz="6" w:space="0" w:color="auto"/>
              <w:right w:val="single" w:sz="6" w:space="0" w:color="auto"/>
            </w:tcBorders>
            <w:shd w:val="clear" w:color="auto" w:fill="auto"/>
          </w:tcPr>
          <w:p w14:paraId="2A5B1D7F" w14:textId="77777777" w:rsidR="00091A2E" w:rsidRPr="00064185" w:rsidRDefault="00091A2E" w:rsidP="00EA61D8">
            <w:pPr>
              <w:spacing w:line="260" w:lineRule="atLeast"/>
              <w:rPr>
                <w:rFonts w:eastAsia="Calibri"/>
                <w:lang w:eastAsia="en-US"/>
              </w:rPr>
            </w:pPr>
            <w:r w:rsidRPr="00064185">
              <w:rPr>
                <w:rFonts w:eastAsia="Calibri"/>
                <w:lang w:eastAsia="en-US"/>
              </w:rPr>
              <w:t>Value(s)</w:t>
            </w:r>
          </w:p>
        </w:tc>
        <w:tc>
          <w:tcPr>
            <w:tcW w:w="7305" w:type="dxa"/>
            <w:tcBorders>
              <w:top w:val="single" w:sz="6" w:space="0" w:color="auto"/>
              <w:left w:val="single" w:sz="6" w:space="0" w:color="auto"/>
              <w:bottom w:val="single" w:sz="6" w:space="0" w:color="auto"/>
              <w:right w:val="single" w:sz="6" w:space="0" w:color="auto"/>
            </w:tcBorders>
          </w:tcPr>
          <w:p w14:paraId="04875FAA" w14:textId="77777777" w:rsidR="00091A2E" w:rsidRPr="00064185" w:rsidRDefault="00091A2E" w:rsidP="00EA61D8">
            <w:pPr>
              <w:spacing w:line="260" w:lineRule="atLeast"/>
              <w:rPr>
                <w:rFonts w:eastAsia="Calibri"/>
                <w:lang w:eastAsia="en-US"/>
              </w:rPr>
            </w:pPr>
            <w:r w:rsidRPr="00064185">
              <w:rPr>
                <w:rFonts w:eastAsia="Calibri"/>
                <w:lang w:eastAsia="en-US"/>
              </w:rPr>
              <w:t>1%</w:t>
            </w:r>
          </w:p>
        </w:tc>
      </w:tr>
      <w:tr w:rsidR="00091A2E" w:rsidRPr="00064185" w14:paraId="324E3215" w14:textId="77777777" w:rsidTr="00FF5942">
        <w:tc>
          <w:tcPr>
            <w:tcW w:w="1937" w:type="dxa"/>
            <w:tcBorders>
              <w:top w:val="single" w:sz="6" w:space="0" w:color="auto"/>
              <w:left w:val="single" w:sz="4" w:space="0" w:color="auto"/>
              <w:bottom w:val="single" w:sz="6" w:space="0" w:color="auto"/>
              <w:right w:val="single" w:sz="6" w:space="0" w:color="auto"/>
            </w:tcBorders>
            <w:shd w:val="clear" w:color="auto" w:fill="auto"/>
          </w:tcPr>
          <w:p w14:paraId="051FA7AD" w14:textId="77777777" w:rsidR="00091A2E" w:rsidRPr="00064185" w:rsidRDefault="00091A2E" w:rsidP="00EA61D8">
            <w:pPr>
              <w:spacing w:line="260" w:lineRule="atLeast"/>
              <w:rPr>
                <w:rFonts w:eastAsia="Calibri"/>
                <w:lang w:eastAsia="en-US"/>
              </w:rPr>
            </w:pPr>
            <w:r w:rsidRPr="00064185">
              <w:rPr>
                <w:rFonts w:eastAsia="Calibri"/>
                <w:lang w:eastAsia="en-US"/>
              </w:rPr>
              <w:t>Justification for the selected value(s)</w:t>
            </w:r>
          </w:p>
        </w:tc>
        <w:tc>
          <w:tcPr>
            <w:tcW w:w="7305" w:type="dxa"/>
            <w:tcBorders>
              <w:top w:val="single" w:sz="6" w:space="0" w:color="auto"/>
              <w:left w:val="single" w:sz="6" w:space="0" w:color="auto"/>
              <w:bottom w:val="single" w:sz="6" w:space="0" w:color="auto"/>
              <w:right w:val="single" w:sz="6" w:space="0" w:color="auto"/>
            </w:tcBorders>
          </w:tcPr>
          <w:p w14:paraId="74CD70B5" w14:textId="77777777" w:rsidR="00766A08" w:rsidRPr="00064185" w:rsidRDefault="00766A08" w:rsidP="00EA61D8">
            <w:pPr>
              <w:spacing w:before="120"/>
              <w:rPr>
                <w:rFonts w:eastAsia="Calibri"/>
                <w:lang w:eastAsia="en-US"/>
              </w:rPr>
            </w:pPr>
            <w:r w:rsidRPr="00064185">
              <w:rPr>
                <w:rFonts w:eastAsia="Calibri"/>
                <w:lang w:eastAsia="en-US"/>
              </w:rPr>
              <w:t xml:space="preserve">According to the Guidance on the BPR: Volume III. Part A Chapter III: Requirements for Biocidal Products (ECHA 2014), information on dermal absorption is needed if exposure occurs to the biocidal product. The assessment of this endpoint shall proceed using a tiered approach. It is not always mandatory to submit experimental data. Dermal absorption can be estimated on the basis of existing information. According to the Note for Discussion Paper on Approach for Dermal Absorption (CA-July13-Doc.6.2.b) one can use data from the Assessment Report for Annex I inclusion or for product authorisation provided that conditions 1 and 2 are met: </w:t>
            </w:r>
          </w:p>
          <w:p w14:paraId="0869B6C9" w14:textId="77777777" w:rsidR="00766A08" w:rsidRPr="00064185" w:rsidRDefault="00766A08" w:rsidP="00EA61D8">
            <w:pPr>
              <w:spacing w:before="120"/>
              <w:rPr>
                <w:rFonts w:eastAsia="Calibri"/>
                <w:lang w:eastAsia="en-US"/>
              </w:rPr>
            </w:pPr>
            <w:r w:rsidRPr="00064185">
              <w:rPr>
                <w:rFonts w:eastAsia="Calibri"/>
                <w:lang w:eastAsia="en-US"/>
              </w:rPr>
              <w:t xml:space="preserve">1. It is justified that the formulations presented in dermal absorption studies submitted for Annex I inclusion or for product authorisation have a similar composition as compared to the biocidal product to be authorised. </w:t>
            </w:r>
          </w:p>
          <w:p w14:paraId="5A95E734" w14:textId="77777777" w:rsidR="00766A08" w:rsidRPr="00064185" w:rsidRDefault="00766A08" w:rsidP="00EA61D8">
            <w:pPr>
              <w:spacing w:before="120"/>
              <w:rPr>
                <w:rFonts w:eastAsia="Calibri"/>
                <w:lang w:eastAsia="en-US"/>
              </w:rPr>
            </w:pPr>
            <w:r w:rsidRPr="00064185">
              <w:rPr>
                <w:rFonts w:eastAsia="Calibri"/>
                <w:lang w:eastAsia="en-US"/>
              </w:rPr>
              <w:t xml:space="preserve">2. The applicant holds a letter of access (LoA) from the data owner of the dermal absorption study which is relevant for the biocidal product to be authorised. </w:t>
            </w:r>
          </w:p>
          <w:p w14:paraId="43D399D8" w14:textId="77777777" w:rsidR="00766A08" w:rsidRPr="00064185" w:rsidRDefault="00766A08" w:rsidP="00EA61D8">
            <w:pPr>
              <w:spacing w:before="120"/>
              <w:rPr>
                <w:rFonts w:eastAsia="Calibri"/>
                <w:lang w:eastAsia="en-US"/>
              </w:rPr>
            </w:pPr>
            <w:r w:rsidRPr="00064185">
              <w:rPr>
                <w:rFonts w:eastAsia="Calibri"/>
                <w:lang w:eastAsia="en-US"/>
              </w:rPr>
              <w:t xml:space="preserve">Data of the active substance (a.s.) </w:t>
            </w:r>
            <w:r w:rsidRPr="00064185">
              <w:rPr>
                <w:rFonts w:eastAsia="Calibri"/>
                <w:i/>
                <w:lang w:eastAsia="en-US"/>
              </w:rPr>
              <w:t>lambda</w:t>
            </w:r>
            <w:r w:rsidRPr="00064185">
              <w:rPr>
                <w:rFonts w:eastAsia="Calibri"/>
                <w:lang w:eastAsia="en-US"/>
              </w:rPr>
              <w:t xml:space="preserve">-cyhalothrin were evaluated by the Rapporteur Member State (RMS) Sweden and published as Assessment Report (AR, RMS Sweden, 2011). One of the representative biocidal products used is Demand 10 CS, a capsule suspension formulation containing 9.6% w/w </w:t>
            </w:r>
            <w:r w:rsidRPr="00064185">
              <w:rPr>
                <w:rFonts w:eastAsia="Calibri"/>
                <w:i/>
                <w:lang w:eastAsia="en-US"/>
              </w:rPr>
              <w:t>lambda</w:t>
            </w:r>
            <w:r w:rsidRPr="00064185">
              <w:rPr>
                <w:rFonts w:eastAsia="Calibri"/>
                <w:lang w:eastAsia="en-US"/>
              </w:rPr>
              <w:t xml:space="preserve">-cyhalothrin. Demand 10 CS is also used as the active substance concentrate formulation in the present biocidal product (b.p.) COM 116 </w:t>
            </w:r>
            <w:proofErr w:type="gramStart"/>
            <w:r w:rsidRPr="00064185">
              <w:rPr>
                <w:rFonts w:eastAsia="Calibri"/>
                <w:lang w:eastAsia="en-US"/>
              </w:rPr>
              <w:t>02 I</w:t>
            </w:r>
            <w:proofErr w:type="gramEnd"/>
            <w:r w:rsidRPr="00064185">
              <w:rPr>
                <w:rFonts w:eastAsia="Calibri"/>
                <w:lang w:eastAsia="en-US"/>
              </w:rPr>
              <w:t xml:space="preserve"> AL.</w:t>
            </w:r>
          </w:p>
          <w:p w14:paraId="27C1D926" w14:textId="77777777" w:rsidR="00766A08" w:rsidRPr="00064185" w:rsidRDefault="00766A08" w:rsidP="00EA61D8">
            <w:pPr>
              <w:spacing w:before="120"/>
              <w:rPr>
                <w:rFonts w:eastAsia="Calibri"/>
                <w:lang w:eastAsia="en-US"/>
              </w:rPr>
            </w:pPr>
          </w:p>
          <w:p w14:paraId="52B44CF0" w14:textId="77777777" w:rsidR="00766A08" w:rsidRPr="00064185" w:rsidRDefault="00766A08" w:rsidP="00EA61D8">
            <w:pPr>
              <w:spacing w:before="120"/>
              <w:rPr>
                <w:rFonts w:eastAsia="Calibri"/>
                <w:b/>
                <w:lang w:eastAsia="en-US"/>
              </w:rPr>
            </w:pPr>
            <w:r w:rsidRPr="00064185">
              <w:rPr>
                <w:rFonts w:eastAsia="Calibri"/>
                <w:b/>
                <w:lang w:eastAsia="en-US"/>
              </w:rPr>
              <w:t xml:space="preserve">Summary of available in vitro dermal absorption data </w:t>
            </w:r>
          </w:p>
          <w:p w14:paraId="69F86DA0" w14:textId="77777777" w:rsidR="00766A08" w:rsidRPr="00064185" w:rsidRDefault="00766A08" w:rsidP="00EA61D8">
            <w:pPr>
              <w:spacing w:before="120"/>
              <w:rPr>
                <w:rFonts w:eastAsia="Calibri"/>
                <w:lang w:eastAsia="en-US"/>
              </w:rPr>
            </w:pPr>
            <w:r w:rsidRPr="00064185">
              <w:rPr>
                <w:rFonts w:eastAsia="Calibri"/>
                <w:lang w:eastAsia="en-US"/>
              </w:rPr>
              <w:t xml:space="preserve">The sponsor of the study provided information on in vitro data on dermal absorption of </w:t>
            </w:r>
            <w:r w:rsidRPr="00064185">
              <w:rPr>
                <w:rFonts w:eastAsia="Calibri"/>
                <w:i/>
                <w:lang w:eastAsia="en-US"/>
              </w:rPr>
              <w:t>lambda-</w:t>
            </w:r>
            <w:r w:rsidRPr="00064185">
              <w:rPr>
                <w:rFonts w:eastAsia="Calibri"/>
                <w:lang w:eastAsia="en-US"/>
              </w:rPr>
              <w:t>cyhalothrin through human skin for a CS formulation to the applicant.</w:t>
            </w:r>
          </w:p>
          <w:p w14:paraId="7A92762D" w14:textId="3DC98B56" w:rsidR="00766A08" w:rsidRPr="00064185" w:rsidRDefault="00766A08" w:rsidP="00EA61D8">
            <w:pPr>
              <w:spacing w:before="120"/>
              <w:rPr>
                <w:rFonts w:eastAsia="Calibri"/>
                <w:lang w:eastAsia="en-US"/>
              </w:rPr>
            </w:pPr>
            <w:r w:rsidRPr="00064185">
              <w:rPr>
                <w:rFonts w:eastAsia="Calibri"/>
                <w:lang w:eastAsia="en-US"/>
              </w:rPr>
              <w:t xml:space="preserve">The study was conducted according OECD Guideline 428 “Dermal Absorption (human skin)”. The tested CS formulation contains the same amount of </w:t>
            </w:r>
            <w:r w:rsidRPr="00064185">
              <w:rPr>
                <w:rFonts w:eastAsia="Calibri"/>
                <w:i/>
                <w:lang w:eastAsia="en-US"/>
              </w:rPr>
              <w:t>lambda</w:t>
            </w:r>
            <w:r w:rsidRPr="00064185">
              <w:rPr>
                <w:rFonts w:eastAsia="Calibri"/>
                <w:lang w:eastAsia="en-US"/>
              </w:rPr>
              <w:t xml:space="preserve">-cyhalothrin as the formulation Demand 10 </w:t>
            </w:r>
            <w:r w:rsidRPr="00064185">
              <w:rPr>
                <w:rFonts w:eastAsia="Calibri"/>
                <w:lang w:eastAsia="en-US"/>
              </w:rPr>
              <w:lastRenderedPageBreak/>
              <w:t xml:space="preserve">CS used in the b.p., i.e. 9.6% w/w </w:t>
            </w:r>
            <w:r w:rsidRPr="00064185">
              <w:rPr>
                <w:rFonts w:eastAsia="Calibri"/>
                <w:i/>
                <w:lang w:eastAsia="en-US"/>
              </w:rPr>
              <w:t>lambda</w:t>
            </w:r>
            <w:r w:rsidRPr="00064185">
              <w:rPr>
                <w:rFonts w:eastAsia="Calibri"/>
                <w:lang w:eastAsia="en-US"/>
              </w:rPr>
              <w:t xml:space="preserve">-cyhalothrin. The physical/chemical properties of the tested CS formulation indicate that data obtained for this formulation could be considered conservative for Demand 10 CS (RMS Sweden, 2011). The formulation was applied to the skin membranes as the concentrate (100 g/L) and as 0.4 g </w:t>
            </w:r>
            <w:r w:rsidRPr="00064185">
              <w:rPr>
                <w:rFonts w:eastAsia="Calibri"/>
                <w:i/>
                <w:lang w:eastAsia="en-US"/>
              </w:rPr>
              <w:t>lambda</w:t>
            </w:r>
            <w:r w:rsidRPr="00064185">
              <w:rPr>
                <w:rFonts w:eastAsia="Calibri"/>
                <w:lang w:eastAsia="en-US"/>
              </w:rPr>
              <w:t>-cyhalothrin/</w:t>
            </w:r>
            <w:r w:rsidR="00802DCC" w:rsidRPr="00064185">
              <w:rPr>
                <w:rFonts w:eastAsia="Calibri"/>
                <w:lang w:eastAsia="en-US"/>
              </w:rPr>
              <w:t>l</w:t>
            </w:r>
            <w:r w:rsidRPr="00064185">
              <w:rPr>
                <w:rFonts w:eastAsia="Calibri"/>
                <w:lang w:eastAsia="en-US"/>
              </w:rPr>
              <w:t xml:space="preserve"> aqueous spray strength dilution. The total exposure time was 48 h with analyses of samples made at 6, 8, 10, 24 h. </w:t>
            </w:r>
          </w:p>
          <w:p w14:paraId="5FCCA17E" w14:textId="77777777" w:rsidR="00766A08" w:rsidRPr="00064185" w:rsidRDefault="00766A08" w:rsidP="00EA61D8">
            <w:pPr>
              <w:spacing w:before="120"/>
              <w:rPr>
                <w:rFonts w:eastAsia="Calibri"/>
                <w:lang w:eastAsia="en-US"/>
              </w:rPr>
            </w:pPr>
            <w:r w:rsidRPr="00064185">
              <w:rPr>
                <w:rFonts w:eastAsia="Calibri"/>
                <w:lang w:eastAsia="en-US"/>
              </w:rPr>
              <w:t xml:space="preserve">The mean absorption rate for lambda-cyhalothrin from the concentrate formulation during the first 10 h of exposure was </w:t>
            </w:r>
            <w:proofErr w:type="gramStart"/>
            <w:r w:rsidRPr="00064185">
              <w:rPr>
                <w:rFonts w:eastAsia="Calibri"/>
                <w:lang w:eastAsia="en-US"/>
              </w:rPr>
              <w:t>0.018 µg/cm</w:t>
            </w:r>
            <w:r w:rsidRPr="00064185">
              <w:rPr>
                <w:rFonts w:eastAsia="Calibri"/>
                <w:vertAlign w:val="superscript"/>
                <w:lang w:eastAsia="en-US"/>
              </w:rPr>
              <w:t>2</w:t>
            </w:r>
            <w:r w:rsidRPr="00064185">
              <w:rPr>
                <w:rFonts w:eastAsia="Calibri"/>
                <w:lang w:eastAsia="en-US"/>
              </w:rPr>
              <w:t>/h</w:t>
            </w:r>
            <w:proofErr w:type="gramEnd"/>
            <w:r w:rsidRPr="00064185">
              <w:rPr>
                <w:rFonts w:eastAsia="Calibri"/>
                <w:lang w:eastAsia="en-US"/>
              </w:rPr>
              <w:t xml:space="preserve">. This increased to give an essentially unchanging mean rate </w:t>
            </w:r>
            <w:proofErr w:type="gramStart"/>
            <w:r w:rsidRPr="00064185">
              <w:rPr>
                <w:rFonts w:eastAsia="Calibri"/>
                <w:lang w:eastAsia="en-US"/>
              </w:rPr>
              <w:t>of 0.036 µg/cm</w:t>
            </w:r>
            <w:r w:rsidRPr="00064185">
              <w:rPr>
                <w:rFonts w:eastAsia="Calibri"/>
                <w:vertAlign w:val="superscript"/>
                <w:lang w:eastAsia="en-US"/>
              </w:rPr>
              <w:t>2</w:t>
            </w:r>
            <w:r w:rsidRPr="00064185">
              <w:rPr>
                <w:rFonts w:eastAsia="Calibri"/>
                <w:lang w:eastAsia="en-US"/>
              </w:rPr>
              <w:t>/h between 12-48 h</w:t>
            </w:r>
            <w:proofErr w:type="gramEnd"/>
            <w:r w:rsidRPr="00064185">
              <w:rPr>
                <w:rFonts w:eastAsia="Calibri"/>
                <w:lang w:eastAsia="en-US"/>
              </w:rPr>
              <w:t xml:space="preserve">. From the concentrate formulation, a mean of 0.006% of applied dose was absorbed by 6 h, 0.0013% by 10 h and 0.059% was absorbed over a 24 h period. From the spray dilution, no absorbed </w:t>
            </w:r>
            <w:r w:rsidRPr="00064185">
              <w:rPr>
                <w:rFonts w:eastAsia="Calibri"/>
                <w:i/>
                <w:lang w:eastAsia="en-US"/>
              </w:rPr>
              <w:t>lambda</w:t>
            </w:r>
            <w:r w:rsidRPr="00064185">
              <w:rPr>
                <w:rFonts w:eastAsia="Calibri"/>
                <w:lang w:eastAsia="en-US"/>
              </w:rPr>
              <w:t xml:space="preserve">-cyhalothrin was detected during the first 10 h of exposure. After 12 h, absorption was just detectable. A mean of 0.315% was absorbed by 24 h. The relatively high percentage of the dose absorbed from the aqueous solution at 24 h (0.315%) reflects the fact that only a very slow dose (4.12 µg </w:t>
            </w:r>
            <w:r w:rsidRPr="00064185">
              <w:rPr>
                <w:rFonts w:eastAsia="Calibri"/>
                <w:i/>
                <w:lang w:eastAsia="en-US"/>
              </w:rPr>
              <w:t>lambda</w:t>
            </w:r>
            <w:r w:rsidRPr="00064185">
              <w:rPr>
                <w:rFonts w:eastAsia="Calibri"/>
                <w:lang w:eastAsia="en-US"/>
              </w:rPr>
              <w:t xml:space="preserve">-cyhalothrin/cm²) was applied. Thus, the study indicate that </w:t>
            </w:r>
            <w:r w:rsidRPr="00064185">
              <w:rPr>
                <w:rFonts w:eastAsia="Calibri"/>
                <w:b/>
                <w:lang w:eastAsia="en-US"/>
              </w:rPr>
              <w:t>lambda</w:t>
            </w:r>
            <w:r w:rsidRPr="00064185">
              <w:rPr>
                <w:rFonts w:eastAsia="Calibri"/>
                <w:lang w:eastAsia="en-US"/>
              </w:rPr>
              <w:t>-cyhalothrin is absorbed very slowly from the CS concentrate formulation and even more slowly from the 0.4 g/L aqueous solution through human epidermis.</w:t>
            </w:r>
          </w:p>
          <w:p w14:paraId="485C566F" w14:textId="77777777" w:rsidR="00766A08" w:rsidRPr="00064185" w:rsidRDefault="00766A08" w:rsidP="00EA61D8">
            <w:pPr>
              <w:spacing w:before="120"/>
              <w:rPr>
                <w:rFonts w:eastAsia="Calibri"/>
                <w:lang w:eastAsia="en-US"/>
              </w:rPr>
            </w:pPr>
            <w:r w:rsidRPr="00064185">
              <w:rPr>
                <w:rFonts w:eastAsia="Calibri"/>
                <w:lang w:eastAsia="en-US"/>
              </w:rPr>
              <w:t>Since residues remaining in skin and overall recovery was not analysed and since a steady state level was not reached, a conservative value of 1% was suggested for both the undiluted and the diluted Demand 10 CS formulation (AR, RMS Sweden, 2011).</w:t>
            </w:r>
          </w:p>
          <w:p w14:paraId="196CBD3D" w14:textId="77777777" w:rsidR="00766A08" w:rsidRPr="00064185" w:rsidRDefault="00766A08" w:rsidP="00EA61D8">
            <w:pPr>
              <w:spacing w:before="120"/>
              <w:rPr>
                <w:rFonts w:eastAsia="Calibri"/>
                <w:lang w:eastAsia="en-US"/>
              </w:rPr>
            </w:pPr>
          </w:p>
          <w:p w14:paraId="7BA489A0" w14:textId="77777777" w:rsidR="00766A08" w:rsidRPr="00064185" w:rsidRDefault="00766A08" w:rsidP="00EA61D8">
            <w:pPr>
              <w:spacing w:before="120"/>
              <w:rPr>
                <w:rFonts w:eastAsia="Calibri"/>
                <w:b/>
                <w:lang w:eastAsia="en-US"/>
              </w:rPr>
            </w:pPr>
            <w:r w:rsidRPr="00064185">
              <w:rPr>
                <w:rFonts w:eastAsia="Calibri"/>
                <w:b/>
                <w:lang w:eastAsia="en-US"/>
              </w:rPr>
              <w:t xml:space="preserve">Evaluation of the similarity of formulations </w:t>
            </w:r>
          </w:p>
          <w:p w14:paraId="7240AF5D" w14:textId="2DE9B844" w:rsidR="00766A08" w:rsidRPr="00064185" w:rsidRDefault="00766A08" w:rsidP="00EA61D8">
            <w:pPr>
              <w:spacing w:before="120"/>
              <w:rPr>
                <w:rFonts w:eastAsia="Calibri"/>
                <w:lang w:eastAsia="en-US"/>
              </w:rPr>
            </w:pPr>
            <w:r w:rsidRPr="00064185">
              <w:rPr>
                <w:rFonts w:eastAsia="Calibri"/>
                <w:lang w:eastAsia="en-US"/>
              </w:rPr>
              <w:t xml:space="preserve">According to Guidance on Dermal Absorption (EFSA Journal 2012; 10(4):2665) data on another (reference) formulation can be used if the formulation to be assessed is closely related. In the AR it is stated, that the data obtained for the tested CS formulation could be considered conservative for Demand 10 CS. The b.p. COM 116 02 I AL contains 0.52% w/w Demand 10 CS, i.e. exactly the reference formulation in the AR. Demand 10 CS contains 9.7% of the insecticidal a.s. </w:t>
            </w:r>
            <w:r w:rsidRPr="00064185">
              <w:rPr>
                <w:rFonts w:eastAsia="Calibri"/>
                <w:i/>
                <w:lang w:eastAsia="en-US"/>
              </w:rPr>
              <w:t>lambda</w:t>
            </w:r>
            <w:r w:rsidRPr="00064185">
              <w:rPr>
                <w:rFonts w:eastAsia="Calibri"/>
                <w:lang w:eastAsia="en-US"/>
              </w:rPr>
              <w:t>-cyhalothrin kept inside the capsules. Thus, COM 116 02 I AL contains 0.05% w/w (0.5 g/</w:t>
            </w:r>
            <w:r w:rsidR="00802DCC" w:rsidRPr="00064185">
              <w:rPr>
                <w:rFonts w:eastAsia="Calibri"/>
                <w:lang w:eastAsia="en-US"/>
              </w:rPr>
              <w:t>l</w:t>
            </w:r>
            <w:r w:rsidRPr="00064185">
              <w:rPr>
                <w:rFonts w:eastAsia="Calibri"/>
                <w:lang w:eastAsia="en-US"/>
              </w:rPr>
              <w:t xml:space="preserve"> considering a density of approx. 1 g/cm³) of the a.s. lambda-cyhalothrin. Hence, COM 116 02 I AL and the tested aqueous dilution of 0.4 g lambda-cyhalothrin/</w:t>
            </w:r>
            <w:r w:rsidR="00802DCC" w:rsidRPr="00064185">
              <w:rPr>
                <w:rFonts w:eastAsia="Calibri"/>
                <w:lang w:eastAsia="en-US"/>
              </w:rPr>
              <w:t>l</w:t>
            </w:r>
            <w:r w:rsidRPr="00064185">
              <w:rPr>
                <w:rFonts w:eastAsia="Calibri"/>
                <w:lang w:eastAsia="en-US"/>
              </w:rPr>
              <w:t xml:space="preserve"> contain comparable amounts of a.s. The b.p. COM 116 02 I AL mainly consists of water (&gt;99%). Other co-formulants are (1) the surfactant castor oil, ethoxylated (&lt;0.1%), (2) a preserver  containing up to 20% 1,2-benzisothiazolin-3-one (BIT), up to 10% sodium hydroxide and organic solvent (&lt;0.1%), and (3) citric acid as pH adjuster (&lt;0.1%). </w:t>
            </w:r>
          </w:p>
          <w:p w14:paraId="369486BC" w14:textId="76DF34F9" w:rsidR="00766A08" w:rsidRPr="00064185" w:rsidRDefault="00766A08" w:rsidP="00EA61D8">
            <w:pPr>
              <w:spacing w:before="120"/>
              <w:rPr>
                <w:rFonts w:eastAsia="Calibri"/>
                <w:lang w:eastAsia="en-US"/>
              </w:rPr>
            </w:pPr>
            <w:r w:rsidRPr="00064185">
              <w:rPr>
                <w:rFonts w:eastAsia="Calibri"/>
                <w:lang w:eastAsia="en-US"/>
              </w:rPr>
              <w:t xml:space="preserve">Thus, the major difference between the aqueous solutions of Demand 10 CS, for which a conservative dermal absorption value of 1% is established, and the b.p. COM 116 02 I AL is the existence of a surfactant (&lt;0.1%), a preserver (&lt;0.1%) and a pH adjuster (&lt;0.1%) in very low concentrations. Surfactants, dermal irritants and skin </w:t>
            </w:r>
            <w:r w:rsidRPr="00064185">
              <w:rPr>
                <w:rFonts w:eastAsia="Calibri"/>
                <w:lang w:eastAsia="en-US"/>
              </w:rPr>
              <w:lastRenderedPageBreak/>
              <w:t>sensitizer are known to affect dermal absorption. The surfactant is not added to the formulation to solubilize lipophilic ingredients but to lower the surface tension between the solid surface and the liquid to allow a more homogeneous distribution of the formulation on the floor. Generally, surfactants have the ability to solubilize lipids in stratum corneum and to interact with keratin. However non-ionic surfactants, such as the ethoxylated castor oil derivate, have minimal effects compared with ionic surfactants (Guidance Notes on Dermal Absorption ENV/JM/</w:t>
            </w:r>
            <w:proofErr w:type="gramStart"/>
            <w:r w:rsidRPr="00064185">
              <w:rPr>
                <w:rFonts w:eastAsia="Calibri"/>
                <w:lang w:eastAsia="en-US"/>
              </w:rPr>
              <w:t>MONO(</w:t>
            </w:r>
            <w:proofErr w:type="gramEnd"/>
            <w:r w:rsidRPr="00064185">
              <w:rPr>
                <w:rFonts w:eastAsia="Calibri"/>
                <w:lang w:eastAsia="en-US"/>
              </w:rPr>
              <w:t>2011)36). Considering the minimal effects of non-ionic surfactants and taking into account the concentration of the surfactant in the b.p.</w:t>
            </w:r>
            <w:r w:rsidR="00802DCC" w:rsidRPr="00064185">
              <w:rPr>
                <w:rFonts w:eastAsia="Calibri"/>
                <w:lang w:eastAsia="en-US"/>
              </w:rPr>
              <w:t xml:space="preserve"> </w:t>
            </w:r>
            <w:r w:rsidRPr="00064185">
              <w:rPr>
                <w:rFonts w:eastAsia="Calibri"/>
                <w:lang w:eastAsia="en-US"/>
              </w:rPr>
              <w:t xml:space="preserve">&lt;0.1%) the ability to solubilize lipids in stratum corneum and to interact with keratin is virtually excluded. </w:t>
            </w:r>
          </w:p>
          <w:p w14:paraId="7B01AF30" w14:textId="77777777" w:rsidR="00766A08" w:rsidRPr="00064185" w:rsidRDefault="00766A08" w:rsidP="00EA61D8">
            <w:pPr>
              <w:spacing w:before="120"/>
              <w:rPr>
                <w:rFonts w:eastAsia="Calibri"/>
                <w:lang w:eastAsia="en-US"/>
              </w:rPr>
            </w:pPr>
            <w:r w:rsidRPr="00064185">
              <w:rPr>
                <w:rFonts w:eastAsia="Calibri"/>
                <w:lang w:eastAsia="en-US"/>
              </w:rPr>
              <w:t xml:space="preserve">Sodium hydroxide and citric acid might increase dermal absorption by their irritating properties. However, the concentration of sodium hydroxide and citric acid is well below the specific concentration limits (SCL) and the generic concentration limits, respectively, for classifying a mixture for eye and/or skin irritation. Additionally, both co-formulants neutralize each other. In fact, citric acid is applied to adjust the pH value of the product. Taking into account that the b.p. is not irritating to skin and eyes and that the pH value of the neat formulation and of a 1% suspension in water is 6.1 and 6.5, respectively, both co-formulants will not affect dermal absorption of the a.s. </w:t>
            </w:r>
          </w:p>
          <w:p w14:paraId="0AAABCED" w14:textId="77777777" w:rsidR="00766A08" w:rsidRPr="00064185" w:rsidRDefault="00766A08" w:rsidP="00EA61D8">
            <w:pPr>
              <w:spacing w:before="120"/>
              <w:rPr>
                <w:rFonts w:eastAsia="Calibri"/>
                <w:lang w:eastAsia="en-US"/>
              </w:rPr>
            </w:pPr>
            <w:r w:rsidRPr="00064185">
              <w:rPr>
                <w:rFonts w:eastAsia="Calibri"/>
                <w:lang w:eastAsia="en-US"/>
              </w:rPr>
              <w:t>The preserver BIT is classified for skin sensitization. A SCL for this hazard is established at or exceeding a concentration of 0.05%. The concentration of BIT in the b.p. COM 116 02 I AL is clearly below the SCL. Thus, no sensitizing reaction that may enhance dermal absorption needs to be expected.</w:t>
            </w:r>
          </w:p>
          <w:p w14:paraId="531E8692" w14:textId="3E7745DD" w:rsidR="00766A08" w:rsidRPr="00064185" w:rsidRDefault="00766A08" w:rsidP="00EA61D8">
            <w:pPr>
              <w:spacing w:before="120"/>
              <w:rPr>
                <w:rFonts w:eastAsia="Calibri"/>
                <w:lang w:eastAsia="en-US"/>
              </w:rPr>
            </w:pPr>
            <w:r w:rsidRPr="00064185">
              <w:rPr>
                <w:rFonts w:eastAsia="Calibri"/>
                <w:lang w:eastAsia="en-US"/>
              </w:rPr>
              <w:t xml:space="preserve">A not further specified organic solvent (&lt;0.1%) is part of the preservative and might therefore influence the dermal absorption of </w:t>
            </w:r>
            <w:r w:rsidRPr="00064185">
              <w:rPr>
                <w:rFonts w:eastAsia="Calibri"/>
                <w:i/>
                <w:lang w:eastAsia="en-US"/>
              </w:rPr>
              <w:t>lambda</w:t>
            </w:r>
            <w:r w:rsidRPr="00064185">
              <w:rPr>
                <w:rFonts w:eastAsia="Calibri"/>
                <w:lang w:eastAsia="en-US"/>
              </w:rPr>
              <w:t>-cyhalothrin from the b.p. COM 116 02 I AL compared to the reference formulation. It is well known that dermal absorption of a.s. from solvent based-formulations can be higher compared to water based-formulations. However, the b.p. contains &gt;99% water and therefore represents clearly a water based formulation. Independently of the nature of organic solvent the low concentration of the solvent will not significantly increase the dermal absorption of the a.s. from the b.p.</w:t>
            </w:r>
          </w:p>
          <w:p w14:paraId="551D6AE6" w14:textId="77777777" w:rsidR="00766A08" w:rsidRPr="00064185" w:rsidRDefault="00766A08" w:rsidP="00EA61D8">
            <w:pPr>
              <w:spacing w:before="120"/>
              <w:rPr>
                <w:rFonts w:eastAsia="Calibri"/>
                <w:lang w:eastAsia="en-US"/>
              </w:rPr>
            </w:pPr>
            <w:r w:rsidRPr="00064185">
              <w:rPr>
                <w:rFonts w:eastAsia="Calibri"/>
                <w:lang w:eastAsia="en-US"/>
              </w:rPr>
              <w:t xml:space="preserve">Taking together, due to the very low content of the co-formulants in the b.p. (each well below 0.1%), potential effects enhancing the dermal absorption like irritancy and/or solubilisation of the lipid layer is virtually excluded. </w:t>
            </w:r>
          </w:p>
          <w:p w14:paraId="649AEDEB" w14:textId="77777777" w:rsidR="00766A08" w:rsidRPr="00064185" w:rsidRDefault="00766A08" w:rsidP="00EA61D8">
            <w:pPr>
              <w:spacing w:before="120"/>
              <w:rPr>
                <w:rFonts w:eastAsia="Calibri"/>
                <w:lang w:eastAsia="en-US"/>
              </w:rPr>
            </w:pPr>
            <w:r w:rsidRPr="00064185">
              <w:rPr>
                <w:rFonts w:eastAsia="Calibri"/>
                <w:lang w:eastAsia="en-US"/>
              </w:rPr>
              <w:t xml:space="preserve">In conclusion, the b.p. formulation and an aqueous solution of Demand 10 CS are sufficiently similar to conclude that the dermal absorption of 1% </w:t>
            </w:r>
            <w:r w:rsidRPr="00064185">
              <w:rPr>
                <w:rFonts w:eastAsia="Calibri"/>
                <w:i/>
                <w:lang w:eastAsia="en-US"/>
              </w:rPr>
              <w:t>lambda</w:t>
            </w:r>
            <w:r w:rsidRPr="00064185">
              <w:rPr>
                <w:rFonts w:eastAsia="Calibri"/>
                <w:lang w:eastAsia="en-US"/>
              </w:rPr>
              <w:t>-cyhalothrin given in the AR is suited for the risk assessment of the b.p. COM 116 02 I AL.</w:t>
            </w:r>
          </w:p>
          <w:p w14:paraId="26A62D95" w14:textId="77777777" w:rsidR="00766A08" w:rsidRPr="00064185" w:rsidRDefault="00766A08" w:rsidP="00EA61D8">
            <w:pPr>
              <w:spacing w:before="120"/>
              <w:rPr>
                <w:rFonts w:eastAsia="Calibri"/>
                <w:lang w:eastAsia="en-US"/>
              </w:rPr>
            </w:pPr>
          </w:p>
          <w:p w14:paraId="502F8578" w14:textId="77777777" w:rsidR="00766A08" w:rsidRPr="00064185" w:rsidRDefault="00766A08" w:rsidP="00EA61D8">
            <w:pPr>
              <w:spacing w:before="120"/>
              <w:rPr>
                <w:rFonts w:eastAsia="Calibri"/>
                <w:b/>
                <w:lang w:eastAsia="en-US"/>
              </w:rPr>
            </w:pPr>
            <w:r w:rsidRPr="00064185">
              <w:rPr>
                <w:rFonts w:eastAsia="Calibri"/>
                <w:b/>
                <w:lang w:eastAsia="en-US"/>
              </w:rPr>
              <w:t>Further considerations</w:t>
            </w:r>
          </w:p>
          <w:p w14:paraId="4A202C5A" w14:textId="77777777" w:rsidR="00766A08" w:rsidRPr="00064185" w:rsidRDefault="00766A08" w:rsidP="00EA61D8">
            <w:pPr>
              <w:spacing w:before="120"/>
              <w:rPr>
                <w:rFonts w:eastAsia="Calibri"/>
                <w:lang w:eastAsia="en-US"/>
              </w:rPr>
            </w:pPr>
            <w:r w:rsidRPr="00064185">
              <w:rPr>
                <w:rFonts w:eastAsia="Calibri"/>
                <w:lang w:eastAsia="en-US"/>
              </w:rPr>
              <w:t xml:space="preserve">A dermal absorption of 0.315% within 24 h was observed when the skin was exposed to the diluted test preparation for 24 h. After 12 h, </w:t>
            </w:r>
            <w:r w:rsidRPr="00064185">
              <w:rPr>
                <w:rFonts w:eastAsia="Calibri"/>
                <w:lang w:eastAsia="en-US"/>
              </w:rPr>
              <w:lastRenderedPageBreak/>
              <w:t>absorption was just detectable. Therefore, the dermal absorption value of 1% represents a clear worst case when considering the duration of skin contact during primary exposure but also during secondary exposure.</w:t>
            </w:r>
          </w:p>
          <w:p w14:paraId="4F5257C7" w14:textId="77777777" w:rsidR="00766A08" w:rsidRPr="00064185" w:rsidRDefault="00766A08" w:rsidP="00EA61D8">
            <w:pPr>
              <w:spacing w:before="120"/>
              <w:rPr>
                <w:rFonts w:eastAsia="Calibri"/>
                <w:lang w:eastAsia="en-US"/>
              </w:rPr>
            </w:pPr>
            <w:r w:rsidRPr="00064185">
              <w:rPr>
                <w:rFonts w:eastAsia="Calibri"/>
                <w:lang w:eastAsia="en-US"/>
              </w:rPr>
              <w:t xml:space="preserve">Additionally, the type of formulation, i.e. a capsule suspension, and the kind of likely exposure to the b.p. should be taken into account to assess whether the dermal absorption value provided in the assessment report is valid for the b.p. The liquid b.p. is applied on surfaces. The solvent (water) evaporates and the dried a.s. kept inside the capsules is attached to the treated surfaces. The a.s. is liberated when the capsules are punctured, e.g. in a secondary scenario by a child crawling over the surface. Under this condition the child is in contact to the concentrated b.p. Due to the reverse relationship between dermal absorption and concentration in a formulation, the relative dermal absorption decreases with increasing concentrations. Thus, the dermal absorption value of 1% derived for an aqueous solution of a CS formulation distinctly overestimates the dermal penetration of the a.s. from a dried solution and therefore represents a worst case. </w:t>
            </w:r>
          </w:p>
          <w:p w14:paraId="24FE5A64" w14:textId="77777777" w:rsidR="00766A08" w:rsidRPr="00064185" w:rsidRDefault="00766A08" w:rsidP="00EA61D8">
            <w:pPr>
              <w:spacing w:before="120"/>
              <w:rPr>
                <w:rFonts w:eastAsia="Calibri"/>
                <w:lang w:eastAsia="en-US"/>
              </w:rPr>
            </w:pPr>
            <w:r w:rsidRPr="00064185">
              <w:rPr>
                <w:rFonts w:eastAsia="Calibri"/>
                <w:lang w:eastAsia="en-US"/>
              </w:rPr>
              <w:t>For primary exposure it should be noted that the capsules cannot pass through the skin and that therefore the majority of the a.s. contained within the capsules will not be available for dermal penetration. However, the a.s. might be released when the capsule is opened via mechanical breakage. This primary exposure scenario is modelled by the application of the formulation to the human skin. The dermal absorption value of 1% derived for the CS formulation should be considered for exposure assessment of the b.p. COM 116 02 I AL, instead of default values that do not taken into account the type of formulation.</w:t>
            </w:r>
          </w:p>
          <w:p w14:paraId="4CDE73C9" w14:textId="7F81B15D" w:rsidR="00766A08" w:rsidRPr="00064185" w:rsidRDefault="00766A08" w:rsidP="00EA61D8">
            <w:pPr>
              <w:spacing w:before="120"/>
              <w:rPr>
                <w:rFonts w:eastAsia="Calibri"/>
                <w:lang w:eastAsia="en-US"/>
              </w:rPr>
            </w:pPr>
            <w:r w:rsidRPr="00064185">
              <w:rPr>
                <w:rFonts w:eastAsia="Calibri"/>
                <w:lang w:eastAsia="en-US"/>
              </w:rPr>
              <w:t xml:space="preserve">The low dermal penetration of the pyrethroid </w:t>
            </w:r>
            <w:r w:rsidRPr="00064185">
              <w:rPr>
                <w:rFonts w:eastAsia="Calibri"/>
                <w:i/>
                <w:lang w:eastAsia="en-US"/>
              </w:rPr>
              <w:t>lambda</w:t>
            </w:r>
            <w:r w:rsidRPr="00064185">
              <w:rPr>
                <w:rFonts w:eastAsia="Calibri"/>
                <w:lang w:eastAsia="en-US"/>
              </w:rPr>
              <w:t xml:space="preserve">-cyhalothrin as determined in the dermal absorption study using human skin in vitro is supported by additional data available in the public literature. The UKPID Monograph “Pyrethroids” reported that based on excretion studies, dermal absorption of pyrethroids is in general low, reaching a maximum of 1.5% (Nassif et al., 1980 as cited in UKPID Monograph “Pyrethroids”). Only about 0.0001% (54 µg) of </w:t>
            </w:r>
            <w:r w:rsidRPr="00064185">
              <w:rPr>
                <w:rFonts w:eastAsia="Calibri"/>
                <w:i/>
                <w:lang w:eastAsia="en-US"/>
              </w:rPr>
              <w:t>lambda</w:t>
            </w:r>
            <w:r w:rsidRPr="00064185">
              <w:rPr>
                <w:rFonts w:eastAsia="Calibri"/>
                <w:lang w:eastAsia="en-US"/>
              </w:rPr>
              <w:t xml:space="preserve">-cyhalothrin handled and sprayed each day by spraymen was absorbed, based on estimation of    metabolites in urine and serum (Chester et al, 1992 as cited in UKPID Monograph “Pyrethroids”). Even data on a solvent-based pyrethroid formulation (cypermethrin in a hydrocarbon solvent, Eadsforth et al, 1988 as cited in UKPID Monograph “Pyrethroids”) also suggest that pyrethroid absorption is limited. Also, the Bavarian Health and Food Safety Authority (2005) reported for pyrethroids a low cutaneous absorption of 0.3-1.8% in animal and in in vitro studies using intact skin. </w:t>
            </w:r>
          </w:p>
          <w:p w14:paraId="0D0CCE79" w14:textId="77777777" w:rsidR="00766A08" w:rsidRPr="00064185" w:rsidRDefault="00766A08" w:rsidP="00EA61D8">
            <w:pPr>
              <w:spacing w:before="120"/>
              <w:rPr>
                <w:rFonts w:eastAsia="Calibri"/>
                <w:lang w:eastAsia="en-US"/>
              </w:rPr>
            </w:pPr>
          </w:p>
          <w:p w14:paraId="3F59B360" w14:textId="77777777" w:rsidR="00766A08" w:rsidRPr="00064185" w:rsidRDefault="00766A08" w:rsidP="00EA61D8">
            <w:pPr>
              <w:spacing w:before="120"/>
              <w:rPr>
                <w:rFonts w:eastAsia="Calibri"/>
                <w:b/>
                <w:lang w:eastAsia="en-US"/>
              </w:rPr>
            </w:pPr>
            <w:r w:rsidRPr="00064185">
              <w:rPr>
                <w:rFonts w:eastAsia="Calibri"/>
                <w:b/>
                <w:lang w:eastAsia="en-US"/>
              </w:rPr>
              <w:t xml:space="preserve">Conclusion </w:t>
            </w:r>
          </w:p>
          <w:p w14:paraId="6F434549" w14:textId="77777777" w:rsidR="00766A08" w:rsidRPr="00064185" w:rsidRDefault="00766A08" w:rsidP="00EA61D8">
            <w:pPr>
              <w:spacing w:before="120"/>
              <w:rPr>
                <w:rFonts w:eastAsia="Calibri"/>
                <w:lang w:eastAsia="en-US"/>
              </w:rPr>
            </w:pPr>
            <w:r w:rsidRPr="00064185">
              <w:rPr>
                <w:rFonts w:eastAsia="Calibri"/>
                <w:lang w:eastAsia="en-US"/>
              </w:rPr>
              <w:t xml:space="preserve">Based on an in vitro dermal absorption study, a conservative dermal absorption value of 1% was provided in the AR for both the undiluted and the diluted Demand 10 CS formulation (AR, RMS Sweden, 2011). It is justified, to consider the dermal absorption value of 1% for the </w:t>
            </w:r>
            <w:r w:rsidRPr="00064185">
              <w:rPr>
                <w:rFonts w:eastAsia="Calibri"/>
                <w:lang w:eastAsia="en-US"/>
              </w:rPr>
              <w:lastRenderedPageBreak/>
              <w:t>b.p. COM 116 02 I AL in the relevant scenarios of the human health exposure and risk assessment due to the following reasons:</w:t>
            </w:r>
          </w:p>
          <w:p w14:paraId="02C5F271" w14:textId="77777777" w:rsidR="00766A08" w:rsidRPr="00064185" w:rsidRDefault="00766A08" w:rsidP="00EA61D8">
            <w:pPr>
              <w:spacing w:before="120"/>
              <w:rPr>
                <w:rFonts w:eastAsia="Calibri"/>
                <w:lang w:eastAsia="en-US"/>
              </w:rPr>
            </w:pPr>
            <w:r w:rsidRPr="00064185">
              <w:rPr>
                <w:rFonts w:eastAsia="Calibri"/>
                <w:lang w:eastAsia="en-US"/>
              </w:rPr>
              <w:t>1. The b.p. COM 116 02 I AL and an aqueous dilution of Demand 10 CS formulation are sufficiently similar with respect to dermal absorption.</w:t>
            </w:r>
          </w:p>
          <w:p w14:paraId="7EF28255" w14:textId="77777777" w:rsidR="00766A08" w:rsidRPr="00064185" w:rsidRDefault="00766A08" w:rsidP="00EA61D8">
            <w:pPr>
              <w:spacing w:before="120"/>
              <w:rPr>
                <w:rFonts w:eastAsia="Calibri"/>
                <w:lang w:eastAsia="en-US"/>
              </w:rPr>
            </w:pPr>
            <w:r w:rsidRPr="00064185">
              <w:rPr>
                <w:rFonts w:eastAsia="Calibri"/>
                <w:lang w:eastAsia="en-US"/>
              </w:rPr>
              <w:t>2. Since the skin was continuously exposed for 24 h, the dermal absorption value of 1% represents a clear worst case when considering the duration of skin contact during primary and secondary exposure.</w:t>
            </w:r>
          </w:p>
          <w:p w14:paraId="387EFA4E" w14:textId="77777777" w:rsidR="00766A08" w:rsidRPr="00064185" w:rsidRDefault="00766A08" w:rsidP="00EA61D8">
            <w:pPr>
              <w:spacing w:before="120"/>
              <w:rPr>
                <w:rFonts w:eastAsia="Calibri"/>
                <w:lang w:eastAsia="en-US"/>
              </w:rPr>
            </w:pPr>
            <w:r w:rsidRPr="00064185">
              <w:rPr>
                <w:rFonts w:eastAsia="Calibri"/>
                <w:lang w:eastAsia="en-US"/>
              </w:rPr>
              <w:t xml:space="preserve">3. Considering secondary exposure towards the dried solution, the dermal absorption value of 1% represents a worst case. </w:t>
            </w:r>
          </w:p>
          <w:p w14:paraId="2A7053DE" w14:textId="0AADEC53" w:rsidR="00091A2E" w:rsidRPr="00064185" w:rsidRDefault="00766A08" w:rsidP="00EA61D8">
            <w:pPr>
              <w:spacing w:before="120"/>
              <w:rPr>
                <w:rFonts w:eastAsia="Calibri"/>
                <w:lang w:eastAsia="en-US"/>
              </w:rPr>
            </w:pPr>
            <w:r w:rsidRPr="00064185">
              <w:rPr>
                <w:rFonts w:eastAsia="Calibri"/>
                <w:lang w:eastAsia="en-US"/>
              </w:rPr>
              <w:t xml:space="preserve">4. Additional data available in the public literature support a dermal absorption value in the range of 1% for </w:t>
            </w:r>
            <w:r w:rsidR="00802DCC" w:rsidRPr="00064185">
              <w:rPr>
                <w:rFonts w:eastAsia="Calibri"/>
                <w:lang w:eastAsia="en-US"/>
              </w:rPr>
              <w:t>p</w:t>
            </w:r>
            <w:r w:rsidRPr="00064185">
              <w:rPr>
                <w:rFonts w:eastAsia="Calibri"/>
                <w:lang w:eastAsia="en-US"/>
              </w:rPr>
              <w:t xml:space="preserve">yrethroids. For </w:t>
            </w:r>
            <w:r w:rsidRPr="00064185">
              <w:rPr>
                <w:rFonts w:eastAsia="Calibri"/>
                <w:i/>
                <w:lang w:eastAsia="en-US"/>
              </w:rPr>
              <w:t>lambda</w:t>
            </w:r>
            <w:r w:rsidRPr="00064185">
              <w:rPr>
                <w:rFonts w:eastAsia="Calibri"/>
                <w:lang w:eastAsia="en-US"/>
              </w:rPr>
              <w:t>-cyhalothrin the dermal absorption values are even lower.</w:t>
            </w:r>
          </w:p>
        </w:tc>
      </w:tr>
    </w:tbl>
    <w:p w14:paraId="7CE41F93" w14:textId="77777777" w:rsidR="00A53EE0" w:rsidRPr="00064185" w:rsidRDefault="00A53EE0" w:rsidP="00EA61D8">
      <w:pPr>
        <w:spacing w:line="260" w:lineRule="atLeast"/>
        <w:rPr>
          <w:rFonts w:eastAsia="Calibri"/>
          <w:lang w:eastAsia="en-US"/>
        </w:rPr>
      </w:pPr>
    </w:p>
    <w:p w14:paraId="569C4356" w14:textId="77777777" w:rsidR="005E44DD" w:rsidRPr="00064185" w:rsidRDefault="005E44DD" w:rsidP="00EA61D8">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64185" w:rsidRPr="00064185" w14:paraId="219C2FEC" w14:textId="77777777" w:rsidTr="00922E8F">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3D01AAD" w14:textId="77777777" w:rsidR="00A53EE0" w:rsidRPr="00064185" w:rsidRDefault="00A53EE0" w:rsidP="00EA61D8">
            <w:pPr>
              <w:keepNext/>
              <w:keepLines/>
              <w:widowControl w:val="0"/>
              <w:spacing w:line="260" w:lineRule="atLeast"/>
              <w:rPr>
                <w:rFonts w:eastAsia="Calibri"/>
                <w:b/>
                <w:lang w:eastAsia="en-US"/>
              </w:rPr>
            </w:pPr>
            <w:r w:rsidRPr="00064185">
              <w:rPr>
                <w:rFonts w:eastAsia="Calibri"/>
                <w:b/>
                <w:lang w:eastAsia="en-US"/>
              </w:rPr>
              <w:t>Data waiving</w:t>
            </w:r>
          </w:p>
        </w:tc>
      </w:tr>
      <w:tr w:rsidR="00064185" w:rsidRPr="00064185" w14:paraId="01B32F51"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7FE738BD" w14:textId="77777777" w:rsidR="00A53EE0" w:rsidRPr="00064185" w:rsidRDefault="00A53EE0" w:rsidP="00EA61D8">
            <w:pPr>
              <w:keepNext/>
              <w:keepLines/>
              <w:widowControl w:val="0"/>
              <w:spacing w:line="260" w:lineRule="atLeast"/>
              <w:rPr>
                <w:rFonts w:eastAsia="Calibri"/>
                <w:lang w:eastAsia="en-US"/>
              </w:rPr>
            </w:pPr>
            <w:r w:rsidRPr="00064185">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47899DA" w14:textId="77777777" w:rsidR="00A53EE0" w:rsidRPr="00064185" w:rsidRDefault="00A4148E" w:rsidP="00EA61D8">
            <w:pPr>
              <w:spacing w:line="260" w:lineRule="atLeast"/>
              <w:rPr>
                <w:rFonts w:eastAsia="Calibri"/>
                <w:lang w:eastAsia="en-US"/>
              </w:rPr>
            </w:pPr>
            <w:r w:rsidRPr="00064185">
              <w:rPr>
                <w:rFonts w:eastAsia="Calibri"/>
                <w:lang w:eastAsia="en-US"/>
              </w:rPr>
              <w:t>Other justification</w:t>
            </w:r>
          </w:p>
        </w:tc>
      </w:tr>
      <w:tr w:rsidR="00064185" w:rsidRPr="00064185" w14:paraId="5517D65D" w14:textId="77777777" w:rsidTr="00922E8F">
        <w:tc>
          <w:tcPr>
            <w:tcW w:w="1048" w:type="pct"/>
            <w:tcBorders>
              <w:top w:val="single" w:sz="6" w:space="0" w:color="auto"/>
              <w:left w:val="single" w:sz="4" w:space="0" w:color="auto"/>
              <w:bottom w:val="single" w:sz="6" w:space="0" w:color="auto"/>
              <w:right w:val="single" w:sz="6" w:space="0" w:color="auto"/>
            </w:tcBorders>
            <w:shd w:val="clear" w:color="auto" w:fill="auto"/>
          </w:tcPr>
          <w:p w14:paraId="522AF836" w14:textId="77777777" w:rsidR="00A53EE0" w:rsidRPr="00064185" w:rsidRDefault="00A53EE0" w:rsidP="00EA61D8">
            <w:pPr>
              <w:keepNext/>
              <w:keepLines/>
              <w:widowControl w:val="0"/>
              <w:spacing w:line="260" w:lineRule="atLeast"/>
              <w:rPr>
                <w:rFonts w:eastAsia="Calibri"/>
                <w:lang w:eastAsia="en-US"/>
              </w:rPr>
            </w:pPr>
            <w:r w:rsidRPr="00064185">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5811BE4" w14:textId="3388C1DA" w:rsidR="00A53EE0" w:rsidRPr="00064185" w:rsidRDefault="00766A08" w:rsidP="00EA61D8">
            <w:pPr>
              <w:spacing w:line="260" w:lineRule="atLeast"/>
              <w:rPr>
                <w:rFonts w:eastAsia="Calibri"/>
                <w:lang w:eastAsia="en-US"/>
              </w:rPr>
            </w:pPr>
            <w:r w:rsidRPr="00064185">
              <w:rPr>
                <w:rFonts w:eastAsia="Calibri"/>
                <w:lang w:eastAsia="en-US"/>
              </w:rPr>
              <w:t>See above, justification for the selected value.</w:t>
            </w:r>
          </w:p>
        </w:tc>
      </w:tr>
    </w:tbl>
    <w:p w14:paraId="0E879424" w14:textId="77777777" w:rsidR="00A53EE0" w:rsidRPr="00064185" w:rsidRDefault="00A53EE0" w:rsidP="00EA61D8">
      <w:pPr>
        <w:spacing w:line="260" w:lineRule="atLeast"/>
        <w:rPr>
          <w:rFonts w:eastAsia="Calibri"/>
          <w:lang w:eastAsia="en-US"/>
        </w:rPr>
      </w:pPr>
    </w:p>
    <w:p w14:paraId="661E346C" w14:textId="77777777" w:rsidR="009D5569" w:rsidRPr="00064185" w:rsidRDefault="009D5569" w:rsidP="00EA61D8">
      <w:pPr>
        <w:spacing w:line="260" w:lineRule="atLeast"/>
        <w:rPr>
          <w:rFonts w:eastAsia="Calibri"/>
          <w:lang w:eastAsia="en-US"/>
        </w:rPr>
      </w:pPr>
    </w:p>
    <w:p w14:paraId="024AE134" w14:textId="77777777" w:rsidR="00A53EE0" w:rsidRPr="00064185" w:rsidRDefault="00A53EE0" w:rsidP="00403806">
      <w:pPr>
        <w:jc w:val="both"/>
        <w:rPr>
          <w:rFonts w:eastAsia="Calibri"/>
          <w:b/>
          <w:i/>
          <w:sz w:val="22"/>
          <w:szCs w:val="22"/>
          <w:lang w:eastAsia="en-US"/>
        </w:rPr>
      </w:pPr>
      <w:bookmarkStart w:id="1668" w:name="_Toc389729059"/>
      <w:bookmarkStart w:id="1669" w:name="_Toc403472761"/>
      <w:r w:rsidRPr="00064185">
        <w:rPr>
          <w:rFonts w:eastAsia="Calibri"/>
          <w:b/>
          <w:i/>
          <w:sz w:val="22"/>
          <w:szCs w:val="22"/>
          <w:lang w:eastAsia="en-US"/>
        </w:rPr>
        <w:t>Available tox</w:t>
      </w:r>
      <w:r w:rsidR="00EA4788" w:rsidRPr="00064185">
        <w:rPr>
          <w:rFonts w:eastAsia="Calibri"/>
          <w:b/>
          <w:i/>
          <w:sz w:val="22"/>
          <w:szCs w:val="22"/>
          <w:lang w:eastAsia="en-US"/>
        </w:rPr>
        <w:t>icological data relating to non-</w:t>
      </w:r>
      <w:r w:rsidRPr="00064185">
        <w:rPr>
          <w:rFonts w:eastAsia="Calibri"/>
          <w:b/>
          <w:i/>
          <w:sz w:val="22"/>
          <w:szCs w:val="22"/>
          <w:lang w:eastAsia="en-US"/>
        </w:rPr>
        <w:t>active substance(s) (i.e. substance(s) of concern)</w:t>
      </w:r>
      <w:bookmarkEnd w:id="1668"/>
      <w:bookmarkEnd w:id="1669"/>
    </w:p>
    <w:p w14:paraId="0DAE3D3E" w14:textId="77777777" w:rsidR="00620CA7" w:rsidRPr="00064185" w:rsidRDefault="00620CA7" w:rsidP="00403806">
      <w:pPr>
        <w:spacing w:line="260" w:lineRule="atLeast"/>
        <w:jc w:val="both"/>
        <w:rPr>
          <w:rFonts w:ascii="Times New Roman" w:eastAsia="Calibri" w:hAnsi="Times New Roman"/>
          <w:i/>
          <w:iCs/>
          <w:lang w:eastAsia="en-US"/>
        </w:rPr>
      </w:pPr>
      <w:r w:rsidRPr="00064185">
        <w:t xml:space="preserve">The </w:t>
      </w:r>
      <w:proofErr w:type="gramStart"/>
      <w:r w:rsidRPr="00064185">
        <w:t>b.p</w:t>
      </w:r>
      <w:proofErr w:type="gramEnd"/>
      <w:r w:rsidRPr="00064185">
        <w:t xml:space="preserve">. mainly consists of water (&gt;99%). </w:t>
      </w:r>
      <w:r w:rsidR="00091A2E" w:rsidRPr="00064185">
        <w:t>No substances of concern were identified.</w:t>
      </w:r>
    </w:p>
    <w:p w14:paraId="57075DBA" w14:textId="3DB0EAA5" w:rsidR="00873EEF" w:rsidRPr="00064185" w:rsidRDefault="00873EEF" w:rsidP="00403806">
      <w:pPr>
        <w:jc w:val="both"/>
        <w:rPr>
          <w:rFonts w:eastAsia="Calibri"/>
          <w:lang w:eastAsia="en-US"/>
        </w:rPr>
      </w:pPr>
      <w:bookmarkStart w:id="1670" w:name="_Toc389729060"/>
      <w:bookmarkStart w:id="1671" w:name="_Toc403472762"/>
      <w:r w:rsidRPr="00064185">
        <w:rPr>
          <w:rFonts w:eastAsia="Calibri"/>
          <w:lang w:eastAsia="en-US"/>
        </w:rPr>
        <w:t xml:space="preserve"> </w:t>
      </w:r>
    </w:p>
    <w:p w14:paraId="4BD4CC5D" w14:textId="77777777" w:rsidR="00873EEF" w:rsidRPr="00064185" w:rsidRDefault="00873EEF" w:rsidP="00403806">
      <w:pPr>
        <w:jc w:val="both"/>
        <w:rPr>
          <w:rFonts w:eastAsia="Calibri"/>
          <w:lang w:eastAsia="en-US"/>
        </w:rPr>
      </w:pPr>
    </w:p>
    <w:p w14:paraId="1B77FDF3" w14:textId="77777777" w:rsidR="00A53EE0" w:rsidRPr="00064185" w:rsidRDefault="00A53EE0" w:rsidP="00403806">
      <w:pPr>
        <w:jc w:val="both"/>
        <w:rPr>
          <w:rFonts w:eastAsia="Calibri"/>
          <w:b/>
          <w:i/>
          <w:sz w:val="22"/>
          <w:szCs w:val="22"/>
          <w:lang w:eastAsia="en-US"/>
        </w:rPr>
      </w:pPr>
      <w:r w:rsidRPr="00064185">
        <w:rPr>
          <w:rFonts w:eastAsia="Calibri"/>
          <w:b/>
          <w:i/>
          <w:sz w:val="22"/>
          <w:szCs w:val="22"/>
          <w:lang w:eastAsia="en-US"/>
        </w:rPr>
        <w:t>Available toxicological data relating to a mixture</w:t>
      </w:r>
      <w:bookmarkEnd w:id="1670"/>
      <w:bookmarkEnd w:id="1671"/>
      <w:r w:rsidRPr="00064185">
        <w:rPr>
          <w:rFonts w:eastAsia="Calibri"/>
          <w:b/>
          <w:i/>
          <w:sz w:val="22"/>
          <w:szCs w:val="22"/>
          <w:lang w:eastAsia="en-US"/>
        </w:rPr>
        <w:t xml:space="preserve"> </w:t>
      </w:r>
    </w:p>
    <w:p w14:paraId="655621E0" w14:textId="77777777" w:rsidR="00091A2E" w:rsidRPr="00064185" w:rsidRDefault="00091A2E" w:rsidP="00403806">
      <w:pPr>
        <w:spacing w:line="260" w:lineRule="atLeast"/>
        <w:jc w:val="both"/>
        <w:rPr>
          <w:rFonts w:eastAsia="Calibri"/>
          <w:lang w:eastAsia="en-US"/>
        </w:rPr>
      </w:pPr>
      <w:r w:rsidRPr="00064185">
        <w:rPr>
          <w:rFonts w:eastAsia="Calibri"/>
          <w:lang w:eastAsia="en-US"/>
        </w:rPr>
        <w:t xml:space="preserve">Available toxicological data relating to a mixture that a substance(s) of concern is a component of are not required as </w:t>
      </w:r>
      <w:r w:rsidRPr="00064185">
        <w:t>no substances of concern were identified.</w:t>
      </w:r>
    </w:p>
    <w:p w14:paraId="345E7CF8" w14:textId="77777777" w:rsidR="00A53EE0" w:rsidRPr="00064185" w:rsidRDefault="00A53EE0" w:rsidP="00403806">
      <w:pPr>
        <w:spacing w:line="260" w:lineRule="atLeast"/>
        <w:jc w:val="both"/>
        <w:rPr>
          <w:rFonts w:ascii="Times New Roman" w:eastAsia="Calibri" w:hAnsi="Times New Roman"/>
          <w:i/>
          <w:iCs/>
          <w:lang w:eastAsia="en-US"/>
        </w:rPr>
      </w:pPr>
    </w:p>
    <w:p w14:paraId="6A3B840B" w14:textId="77777777" w:rsidR="00873EEF" w:rsidRPr="00064185" w:rsidRDefault="00873EEF" w:rsidP="00403806">
      <w:pPr>
        <w:spacing w:line="260" w:lineRule="atLeast"/>
        <w:jc w:val="both"/>
        <w:rPr>
          <w:rFonts w:ascii="Times New Roman" w:eastAsia="Calibri" w:hAnsi="Times New Roman"/>
          <w:i/>
          <w:iCs/>
          <w:lang w:eastAsia="en-US"/>
        </w:rPr>
      </w:pPr>
    </w:p>
    <w:p w14:paraId="27ED13D5" w14:textId="77777777" w:rsidR="00A53EE0" w:rsidRPr="00064185" w:rsidRDefault="00A53EE0" w:rsidP="00403806">
      <w:pPr>
        <w:jc w:val="both"/>
        <w:rPr>
          <w:rFonts w:eastAsia="Calibri"/>
          <w:b/>
          <w:i/>
          <w:sz w:val="22"/>
          <w:szCs w:val="22"/>
          <w:lang w:eastAsia="en-US"/>
        </w:rPr>
      </w:pPr>
      <w:bookmarkStart w:id="1672" w:name="_Toc389729061"/>
      <w:bookmarkStart w:id="1673" w:name="_Toc403472763"/>
      <w:r w:rsidRPr="00064185">
        <w:rPr>
          <w:rFonts w:eastAsia="Calibri"/>
          <w:b/>
          <w:i/>
          <w:sz w:val="22"/>
          <w:szCs w:val="22"/>
          <w:lang w:eastAsia="en-US"/>
        </w:rPr>
        <w:t>Other</w:t>
      </w:r>
      <w:bookmarkEnd w:id="1672"/>
      <w:bookmarkEnd w:id="1673"/>
    </w:p>
    <w:p w14:paraId="4D1E8EC5" w14:textId="77777777" w:rsidR="00A4148E" w:rsidRPr="00064185" w:rsidRDefault="00091A2E" w:rsidP="00403806">
      <w:pPr>
        <w:jc w:val="both"/>
      </w:pPr>
      <w:r w:rsidRPr="00064185">
        <w:t>The biocidal product</w:t>
      </w:r>
      <w:r w:rsidR="00A4148E" w:rsidRPr="00064185">
        <w:t xml:space="preserve"> is not intended for direct application to foods or feeding</w:t>
      </w:r>
      <w:r w:rsidR="00EA4788" w:rsidRPr="00064185">
        <w:t xml:space="preserve"> </w:t>
      </w:r>
      <w:r w:rsidR="00A4148E" w:rsidRPr="00064185">
        <w:t>stuff or to surfaces and areas where foods or feeding</w:t>
      </w:r>
      <w:r w:rsidR="00EA4788" w:rsidRPr="00064185">
        <w:t xml:space="preserve"> </w:t>
      </w:r>
      <w:r w:rsidR="00A4148E" w:rsidRPr="00064185">
        <w:t xml:space="preserve">stuff are prepared or stored. Hence, an exposure of </w:t>
      </w:r>
      <w:r w:rsidRPr="00064185">
        <w:t xml:space="preserve">food and feeding stuff to </w:t>
      </w:r>
      <w:r w:rsidR="00A4148E" w:rsidRPr="00064185">
        <w:rPr>
          <w:i/>
        </w:rPr>
        <w:t>lambda</w:t>
      </w:r>
      <w:r w:rsidR="00A4148E" w:rsidRPr="00064185">
        <w:t>-cyhalothrin can be excluded when applied according to the recommended uses. Additional food or feeding</w:t>
      </w:r>
      <w:r w:rsidR="00EA4788" w:rsidRPr="00064185">
        <w:t xml:space="preserve"> </w:t>
      </w:r>
      <w:r w:rsidR="00A4148E" w:rsidRPr="00064185">
        <w:t>stuffs studies are not required.</w:t>
      </w:r>
    </w:p>
    <w:p w14:paraId="285804D8" w14:textId="77777777" w:rsidR="007A20E8" w:rsidRPr="00064185" w:rsidRDefault="007A20E8" w:rsidP="00403806">
      <w:pPr>
        <w:spacing w:line="260" w:lineRule="atLeast"/>
        <w:jc w:val="both"/>
        <w:rPr>
          <w:rFonts w:eastAsia="Calibri"/>
          <w:lang w:eastAsia="en-US"/>
        </w:rPr>
      </w:pPr>
    </w:p>
    <w:p w14:paraId="53BE8DD0" w14:textId="77777777" w:rsidR="00BE7AF3" w:rsidRPr="00064185" w:rsidRDefault="00BE7AF3" w:rsidP="00403806">
      <w:pPr>
        <w:spacing w:line="260" w:lineRule="atLeast"/>
        <w:jc w:val="both"/>
        <w:rPr>
          <w:rFonts w:ascii="Times New Roman" w:eastAsia="Calibri" w:hAnsi="Times New Roman"/>
          <w:i/>
          <w:iCs/>
          <w:lang w:eastAsia="en-US"/>
        </w:rPr>
      </w:pPr>
    </w:p>
    <w:p w14:paraId="50533902" w14:textId="77777777" w:rsidR="00A53EE0" w:rsidRPr="00064185" w:rsidRDefault="00A53EE0" w:rsidP="00EA61D8">
      <w:pPr>
        <w:pStyle w:val="berschrift4"/>
        <w:jc w:val="left"/>
      </w:pPr>
      <w:bookmarkStart w:id="1674" w:name="_Toc389729062"/>
      <w:bookmarkStart w:id="1675" w:name="_Toc403472764"/>
      <w:bookmarkStart w:id="1676" w:name="_Toc440879663"/>
      <w:bookmarkStart w:id="1677" w:name="_Toc440889976"/>
      <w:bookmarkStart w:id="1678" w:name="_Toc530563681"/>
      <w:r w:rsidRPr="00064185">
        <w:lastRenderedPageBreak/>
        <w:t>Exposure assessment</w:t>
      </w:r>
      <w:bookmarkEnd w:id="1674"/>
      <w:bookmarkEnd w:id="1675"/>
      <w:bookmarkEnd w:id="1676"/>
      <w:bookmarkEnd w:id="1677"/>
      <w:bookmarkEnd w:id="1678"/>
    </w:p>
    <w:p w14:paraId="257EF404" w14:textId="77777777" w:rsidR="00807AC0" w:rsidRPr="00064185" w:rsidRDefault="00B82D36" w:rsidP="00403806">
      <w:pPr>
        <w:keepNext/>
        <w:keepLines/>
        <w:widowControl w:val="0"/>
        <w:spacing w:line="260" w:lineRule="atLeast"/>
        <w:jc w:val="both"/>
        <w:rPr>
          <w:rFonts w:eastAsia="Calibri"/>
          <w:lang w:eastAsia="en-US"/>
        </w:rPr>
      </w:pPr>
      <w:r w:rsidRPr="00064185">
        <w:rPr>
          <w:rFonts w:eastAsia="Calibri"/>
          <w:lang w:eastAsia="en-US"/>
        </w:rPr>
        <w:t xml:space="preserve">The </w:t>
      </w:r>
      <w:proofErr w:type="gramStart"/>
      <w:r w:rsidRPr="00064185">
        <w:rPr>
          <w:rFonts w:eastAsia="Calibri"/>
          <w:lang w:eastAsia="en-US"/>
        </w:rPr>
        <w:t>b.p</w:t>
      </w:r>
      <w:proofErr w:type="gramEnd"/>
      <w:r w:rsidRPr="00064185">
        <w:rPr>
          <w:rFonts w:eastAsia="Calibri"/>
          <w:lang w:eastAsia="en-US"/>
        </w:rPr>
        <w:t xml:space="preserve">. is sold as a trigger pump spray for non-professional use. It is used </w:t>
      </w:r>
      <w:r w:rsidR="002121AF" w:rsidRPr="00064185">
        <w:rPr>
          <w:rFonts w:eastAsia="Calibri"/>
          <w:lang w:eastAsia="en-US"/>
        </w:rPr>
        <w:t xml:space="preserve">by spraying </w:t>
      </w:r>
      <w:r w:rsidRPr="00064185">
        <w:rPr>
          <w:rFonts w:eastAsia="Calibri"/>
          <w:lang w:eastAsia="en-US"/>
        </w:rPr>
        <w:t xml:space="preserve">for spot treatment. </w:t>
      </w:r>
    </w:p>
    <w:p w14:paraId="4F3F3F2E" w14:textId="77777777" w:rsidR="00807AC0" w:rsidRPr="00064185" w:rsidRDefault="00807AC0" w:rsidP="00403806">
      <w:pPr>
        <w:keepNext/>
        <w:keepLines/>
        <w:widowControl w:val="0"/>
        <w:spacing w:line="260" w:lineRule="atLeast"/>
        <w:jc w:val="both"/>
        <w:rPr>
          <w:rFonts w:eastAsia="Calibri"/>
          <w:lang w:eastAsia="en-US"/>
        </w:rPr>
      </w:pPr>
    </w:p>
    <w:p w14:paraId="68C8D1D7" w14:textId="1263F56D" w:rsidR="00807AC0" w:rsidRPr="00064185" w:rsidRDefault="00B82D36" w:rsidP="00403806">
      <w:pPr>
        <w:keepNext/>
        <w:keepLines/>
        <w:widowControl w:val="0"/>
        <w:spacing w:line="260" w:lineRule="atLeast"/>
        <w:jc w:val="both"/>
        <w:rPr>
          <w:rFonts w:eastAsia="Calibri"/>
          <w:lang w:eastAsia="en-US"/>
        </w:rPr>
      </w:pPr>
      <w:r w:rsidRPr="00064185">
        <w:rPr>
          <w:rFonts w:eastAsia="Calibri"/>
          <w:lang w:eastAsia="en-US"/>
        </w:rPr>
        <w:t>Based on the intended use, exposure to generated aerosol leading to inhalation and dermal ex</w:t>
      </w:r>
      <w:r w:rsidR="002121AF" w:rsidRPr="00064185">
        <w:rPr>
          <w:rFonts w:eastAsia="Calibri"/>
          <w:lang w:eastAsia="en-US"/>
        </w:rPr>
        <w:t>posure is</w:t>
      </w:r>
      <w:r w:rsidRPr="00064185">
        <w:rPr>
          <w:rFonts w:eastAsia="Calibri"/>
          <w:lang w:eastAsia="en-US"/>
        </w:rPr>
        <w:t xml:space="preserve"> considered to be relevant for users. Oral exposure is expected to </w:t>
      </w:r>
      <w:r w:rsidR="002121AF" w:rsidRPr="00064185">
        <w:rPr>
          <w:rFonts w:eastAsia="Calibri"/>
          <w:lang w:eastAsia="en-US"/>
        </w:rPr>
        <w:t xml:space="preserve">be not significant in comparison to the previous routes. </w:t>
      </w:r>
    </w:p>
    <w:p w14:paraId="1FCB2460" w14:textId="77777777" w:rsidR="00807AC0" w:rsidRPr="00064185" w:rsidRDefault="00807AC0" w:rsidP="00403806">
      <w:pPr>
        <w:keepNext/>
        <w:keepLines/>
        <w:widowControl w:val="0"/>
        <w:spacing w:line="260" w:lineRule="atLeast"/>
        <w:jc w:val="both"/>
        <w:rPr>
          <w:rFonts w:eastAsia="Calibri"/>
          <w:lang w:eastAsia="en-US"/>
        </w:rPr>
      </w:pPr>
    </w:p>
    <w:p w14:paraId="07E6275E" w14:textId="4867AC6A" w:rsidR="00B82D36" w:rsidRPr="00064185" w:rsidRDefault="002121AF" w:rsidP="00403806">
      <w:pPr>
        <w:keepNext/>
        <w:keepLines/>
        <w:widowControl w:val="0"/>
        <w:spacing w:line="260" w:lineRule="atLeast"/>
        <w:jc w:val="both"/>
        <w:rPr>
          <w:rFonts w:eastAsia="Calibri"/>
          <w:lang w:eastAsia="en-US"/>
        </w:rPr>
      </w:pPr>
      <w:r w:rsidRPr="00064185">
        <w:rPr>
          <w:rFonts w:eastAsia="Calibri"/>
          <w:lang w:eastAsia="en-US"/>
        </w:rPr>
        <w:t xml:space="preserve">Secondary exposure is considered to be possible assuming contact with treated surfaces. Inhalation exposure due to gaseous release is expected to be not relevant, as </w:t>
      </w:r>
      <w:r w:rsidR="00807AC0" w:rsidRPr="00064185">
        <w:rPr>
          <w:rFonts w:eastAsia="Calibri"/>
          <w:lang w:eastAsia="en-US"/>
        </w:rPr>
        <w:t xml:space="preserve">only </w:t>
      </w:r>
      <w:r w:rsidRPr="00064185">
        <w:rPr>
          <w:rFonts w:eastAsia="Calibri"/>
          <w:lang w:eastAsia="en-US"/>
        </w:rPr>
        <w:t>small areas</w:t>
      </w:r>
      <w:r w:rsidR="00807AC0" w:rsidRPr="00064185">
        <w:rPr>
          <w:rFonts w:eastAsia="Calibri"/>
          <w:lang w:eastAsia="en-US"/>
        </w:rPr>
        <w:t xml:space="preserve"> are treated</w:t>
      </w:r>
      <w:r w:rsidRPr="00064185">
        <w:rPr>
          <w:rFonts w:eastAsia="Calibri"/>
          <w:lang w:eastAsia="en-US"/>
        </w:rPr>
        <w:t xml:space="preserve"> (spot treatment) and due to the low vapour pressure of the </w:t>
      </w:r>
      <w:proofErr w:type="gramStart"/>
      <w:r w:rsidRPr="00064185">
        <w:rPr>
          <w:rFonts w:eastAsia="Calibri"/>
          <w:lang w:eastAsia="en-US"/>
        </w:rPr>
        <w:t>a.s</w:t>
      </w:r>
      <w:proofErr w:type="gramEnd"/>
      <w:r w:rsidRPr="00064185">
        <w:rPr>
          <w:rFonts w:eastAsia="Calibri"/>
          <w:lang w:eastAsia="en-US"/>
        </w:rPr>
        <w:t>. Dermal and oral exposure might be relevant as reasonable worst case for secondary exposure</w:t>
      </w:r>
      <w:r w:rsidR="00807AC0" w:rsidRPr="00064185">
        <w:rPr>
          <w:rFonts w:eastAsia="Calibri"/>
          <w:lang w:eastAsia="en-US"/>
        </w:rPr>
        <w:t>, assuming infants crawling over treated areas</w:t>
      </w:r>
      <w:r w:rsidRPr="00064185">
        <w:rPr>
          <w:rFonts w:eastAsia="Calibri"/>
          <w:lang w:eastAsia="en-US"/>
        </w:rPr>
        <w:t>.</w:t>
      </w:r>
      <w:r w:rsidR="00B82D36" w:rsidRPr="00064185">
        <w:rPr>
          <w:rFonts w:eastAsia="Calibri"/>
          <w:lang w:eastAsia="en-US"/>
        </w:rPr>
        <w:t xml:space="preserve"> </w:t>
      </w:r>
    </w:p>
    <w:p w14:paraId="2020290A" w14:textId="77777777" w:rsidR="00807AC0" w:rsidRPr="00064185" w:rsidRDefault="00807AC0" w:rsidP="00403806">
      <w:pPr>
        <w:spacing w:line="260" w:lineRule="atLeast"/>
        <w:jc w:val="both"/>
        <w:rPr>
          <w:rFonts w:eastAsia="Calibri"/>
          <w:b/>
          <w:bCs/>
          <w:lang w:eastAsia="en-US"/>
        </w:rPr>
      </w:pPr>
    </w:p>
    <w:p w14:paraId="097BEA41" w14:textId="77777777" w:rsidR="00807AC0" w:rsidRPr="00064185" w:rsidRDefault="00807AC0" w:rsidP="00EA61D8">
      <w:pPr>
        <w:spacing w:line="260" w:lineRule="atLeast"/>
        <w:rPr>
          <w:rFonts w:eastAsia="Calibri"/>
          <w:b/>
          <w:bCs/>
          <w:lang w:eastAsia="en-US"/>
        </w:rPr>
      </w:pPr>
    </w:p>
    <w:p w14:paraId="23BED067"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Identification of main paths of human exposure towards active substance(s) and substances of concern from its use in biocidal product</w:t>
      </w:r>
    </w:p>
    <w:p w14:paraId="6A4DCE9D" w14:textId="77777777" w:rsidR="00A53EE0" w:rsidRPr="00064185" w:rsidRDefault="00A53EE0" w:rsidP="00EA61D8">
      <w:pPr>
        <w:spacing w:line="260" w:lineRule="atLeast"/>
        <w:rPr>
          <w:rFonts w:eastAsia="Calibri"/>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12"/>
        <w:gridCol w:w="1182"/>
        <w:gridCol w:w="1439"/>
        <w:gridCol w:w="1439"/>
        <w:gridCol w:w="1179"/>
        <w:gridCol w:w="1439"/>
        <w:gridCol w:w="956"/>
        <w:gridCol w:w="608"/>
      </w:tblGrid>
      <w:tr w:rsidR="00064185" w:rsidRPr="00064185" w14:paraId="7D891F37" w14:textId="77777777" w:rsidTr="00EF0524">
        <w:trPr>
          <w:tblHeader/>
        </w:trPr>
        <w:tc>
          <w:tcPr>
            <w:tcW w:w="5000" w:type="pct"/>
            <w:gridSpan w:val="8"/>
            <w:shd w:val="clear" w:color="auto" w:fill="FFFFCC"/>
          </w:tcPr>
          <w:p w14:paraId="45FC5D03" w14:textId="77777777" w:rsidR="00A53EE0" w:rsidRPr="00064185" w:rsidRDefault="00A53EE0" w:rsidP="00EA61D8">
            <w:pPr>
              <w:spacing w:line="260" w:lineRule="atLeast"/>
              <w:rPr>
                <w:rFonts w:eastAsia="Calibri"/>
                <w:b/>
                <w:lang w:eastAsia="en-US"/>
              </w:rPr>
            </w:pPr>
            <w:r w:rsidRPr="00064185">
              <w:rPr>
                <w:rFonts w:eastAsia="Calibri"/>
                <w:b/>
                <w:lang w:eastAsia="en-US"/>
              </w:rPr>
              <w:t>Summary table: relevant paths of human exposure</w:t>
            </w:r>
          </w:p>
        </w:tc>
      </w:tr>
      <w:tr w:rsidR="00064185" w:rsidRPr="00064185" w14:paraId="5C471D8A" w14:textId="77777777" w:rsidTr="00EF0524">
        <w:trPr>
          <w:tblHeader/>
        </w:trPr>
        <w:tc>
          <w:tcPr>
            <w:tcW w:w="595" w:type="pct"/>
            <w:vMerge w:val="restart"/>
            <w:shd w:val="clear" w:color="auto" w:fill="auto"/>
            <w:tcMar>
              <w:top w:w="57" w:type="dxa"/>
              <w:bottom w:w="57" w:type="dxa"/>
            </w:tcMar>
            <w:vAlign w:val="center"/>
          </w:tcPr>
          <w:p w14:paraId="107F8D1A" w14:textId="77777777" w:rsidR="00A53EE0" w:rsidRPr="00064185" w:rsidRDefault="00A53EE0" w:rsidP="00EA61D8">
            <w:pPr>
              <w:spacing w:line="260" w:lineRule="atLeast"/>
              <w:rPr>
                <w:rFonts w:eastAsia="Calibri"/>
                <w:b/>
                <w:lang w:eastAsia="en-US"/>
              </w:rPr>
            </w:pPr>
            <w:r w:rsidRPr="00064185">
              <w:rPr>
                <w:rFonts w:eastAsia="Calibri"/>
                <w:b/>
                <w:lang w:eastAsia="en-US"/>
              </w:rPr>
              <w:t>Exposure path</w:t>
            </w:r>
          </w:p>
        </w:tc>
        <w:tc>
          <w:tcPr>
            <w:tcW w:w="2170" w:type="pct"/>
            <w:gridSpan w:val="3"/>
            <w:shd w:val="clear" w:color="auto" w:fill="auto"/>
            <w:tcMar>
              <w:top w:w="57" w:type="dxa"/>
              <w:bottom w:w="57" w:type="dxa"/>
            </w:tcMar>
            <w:vAlign w:val="center"/>
          </w:tcPr>
          <w:p w14:paraId="0854C556" w14:textId="77777777" w:rsidR="00A53EE0" w:rsidRPr="00064185" w:rsidRDefault="00A53EE0" w:rsidP="00EA61D8">
            <w:pPr>
              <w:spacing w:line="260" w:lineRule="atLeast"/>
              <w:rPr>
                <w:rFonts w:eastAsia="Calibri"/>
                <w:b/>
                <w:lang w:eastAsia="en-US"/>
              </w:rPr>
            </w:pPr>
            <w:r w:rsidRPr="00064185">
              <w:rPr>
                <w:rFonts w:eastAsia="Calibri"/>
                <w:b/>
                <w:lang w:eastAsia="en-US"/>
              </w:rPr>
              <w:t xml:space="preserve">Primary (direct) exposure </w:t>
            </w:r>
          </w:p>
        </w:tc>
        <w:tc>
          <w:tcPr>
            <w:tcW w:w="2235" w:type="pct"/>
            <w:gridSpan w:val="4"/>
          </w:tcPr>
          <w:p w14:paraId="37233222" w14:textId="77777777" w:rsidR="00A53EE0" w:rsidRPr="00064185" w:rsidRDefault="00A53EE0" w:rsidP="00EA61D8">
            <w:pPr>
              <w:spacing w:line="260" w:lineRule="atLeast"/>
              <w:rPr>
                <w:rFonts w:eastAsia="Calibri"/>
                <w:b/>
                <w:lang w:eastAsia="en-US"/>
              </w:rPr>
            </w:pPr>
            <w:r w:rsidRPr="00064185">
              <w:rPr>
                <w:rFonts w:eastAsia="Calibri"/>
                <w:b/>
                <w:lang w:eastAsia="en-US"/>
              </w:rPr>
              <w:t xml:space="preserve">Secondary (indirect) exposure </w:t>
            </w:r>
          </w:p>
        </w:tc>
      </w:tr>
      <w:tr w:rsidR="00064185" w:rsidRPr="00064185" w14:paraId="45846887" w14:textId="77777777" w:rsidTr="00EF0524">
        <w:trPr>
          <w:tblHeader/>
        </w:trPr>
        <w:tc>
          <w:tcPr>
            <w:tcW w:w="595" w:type="pct"/>
            <w:vMerge/>
            <w:shd w:val="clear" w:color="auto" w:fill="auto"/>
            <w:tcMar>
              <w:top w:w="57" w:type="dxa"/>
              <w:bottom w:w="57" w:type="dxa"/>
            </w:tcMar>
          </w:tcPr>
          <w:p w14:paraId="2F451325" w14:textId="77777777" w:rsidR="00A53EE0" w:rsidRPr="00064185" w:rsidRDefault="00A53EE0" w:rsidP="00EA61D8">
            <w:pPr>
              <w:spacing w:line="260" w:lineRule="atLeast"/>
              <w:rPr>
                <w:rFonts w:eastAsia="Calibri"/>
                <w:lang w:eastAsia="en-US"/>
              </w:rPr>
            </w:pPr>
          </w:p>
        </w:tc>
        <w:tc>
          <w:tcPr>
            <w:tcW w:w="632" w:type="pct"/>
            <w:shd w:val="clear" w:color="auto" w:fill="auto"/>
            <w:tcMar>
              <w:top w:w="57" w:type="dxa"/>
              <w:bottom w:w="57" w:type="dxa"/>
            </w:tcMar>
          </w:tcPr>
          <w:p w14:paraId="07FC4E62" w14:textId="77777777" w:rsidR="00A53EE0" w:rsidRPr="00064185" w:rsidRDefault="00A53EE0" w:rsidP="00EA61D8">
            <w:pPr>
              <w:spacing w:line="260" w:lineRule="atLeast"/>
              <w:rPr>
                <w:rFonts w:eastAsia="Calibri"/>
                <w:b/>
                <w:lang w:eastAsia="en-US"/>
              </w:rPr>
            </w:pPr>
            <w:r w:rsidRPr="00064185">
              <w:rPr>
                <w:rFonts w:eastAsia="Calibri"/>
                <w:b/>
                <w:lang w:eastAsia="en-US"/>
              </w:rPr>
              <w:t>Industrial use</w:t>
            </w:r>
          </w:p>
        </w:tc>
        <w:tc>
          <w:tcPr>
            <w:tcW w:w="769" w:type="pct"/>
            <w:shd w:val="clear" w:color="auto" w:fill="auto"/>
            <w:tcMar>
              <w:top w:w="57" w:type="dxa"/>
              <w:bottom w:w="57" w:type="dxa"/>
            </w:tcMar>
          </w:tcPr>
          <w:p w14:paraId="7557B434" w14:textId="77777777" w:rsidR="00A53EE0" w:rsidRPr="00064185" w:rsidRDefault="00A53EE0" w:rsidP="00EA61D8">
            <w:pPr>
              <w:spacing w:line="260" w:lineRule="atLeast"/>
              <w:rPr>
                <w:rFonts w:eastAsia="Calibri"/>
                <w:b/>
                <w:lang w:eastAsia="en-US"/>
              </w:rPr>
            </w:pPr>
            <w:r w:rsidRPr="00064185">
              <w:rPr>
                <w:rFonts w:eastAsia="Calibri"/>
                <w:b/>
                <w:lang w:eastAsia="en-US"/>
              </w:rPr>
              <w:t>Professional use</w:t>
            </w:r>
          </w:p>
        </w:tc>
        <w:tc>
          <w:tcPr>
            <w:tcW w:w="769" w:type="pct"/>
            <w:shd w:val="clear" w:color="auto" w:fill="auto"/>
            <w:tcMar>
              <w:top w:w="57" w:type="dxa"/>
              <w:bottom w:w="57" w:type="dxa"/>
            </w:tcMar>
          </w:tcPr>
          <w:p w14:paraId="40A92E58" w14:textId="77777777" w:rsidR="00A53EE0" w:rsidRPr="00064185" w:rsidRDefault="00A53EE0" w:rsidP="00EA61D8">
            <w:pPr>
              <w:spacing w:line="260" w:lineRule="atLeast"/>
              <w:rPr>
                <w:rFonts w:eastAsia="Calibri"/>
                <w:b/>
                <w:lang w:eastAsia="en-US"/>
              </w:rPr>
            </w:pPr>
            <w:r w:rsidRPr="00064185">
              <w:rPr>
                <w:rFonts w:eastAsia="Calibri"/>
                <w:b/>
                <w:lang w:eastAsia="en-US"/>
              </w:rPr>
              <w:t>Non-professional use</w:t>
            </w:r>
          </w:p>
        </w:tc>
        <w:tc>
          <w:tcPr>
            <w:tcW w:w="630" w:type="pct"/>
          </w:tcPr>
          <w:p w14:paraId="3563BEC2" w14:textId="77777777" w:rsidR="00A53EE0" w:rsidRPr="00064185" w:rsidRDefault="00A53EE0" w:rsidP="00EA61D8">
            <w:pPr>
              <w:spacing w:line="260" w:lineRule="atLeast"/>
              <w:rPr>
                <w:rFonts w:eastAsia="Calibri"/>
                <w:b/>
                <w:lang w:eastAsia="en-US"/>
              </w:rPr>
            </w:pPr>
            <w:r w:rsidRPr="00064185">
              <w:rPr>
                <w:rFonts w:eastAsia="Calibri"/>
                <w:b/>
                <w:lang w:eastAsia="en-US"/>
              </w:rPr>
              <w:t>Industrial use</w:t>
            </w:r>
          </w:p>
        </w:tc>
        <w:tc>
          <w:tcPr>
            <w:tcW w:w="769" w:type="pct"/>
          </w:tcPr>
          <w:p w14:paraId="4E99FBAE" w14:textId="77777777" w:rsidR="00A53EE0" w:rsidRPr="00064185" w:rsidRDefault="00A53EE0" w:rsidP="00EA61D8">
            <w:pPr>
              <w:spacing w:line="260" w:lineRule="atLeast"/>
              <w:rPr>
                <w:rFonts w:eastAsia="Calibri"/>
                <w:b/>
                <w:lang w:eastAsia="en-US"/>
              </w:rPr>
            </w:pPr>
            <w:r w:rsidRPr="00064185">
              <w:rPr>
                <w:rFonts w:eastAsia="Calibri"/>
                <w:b/>
                <w:lang w:eastAsia="en-US"/>
              </w:rPr>
              <w:t>Professional use</w:t>
            </w:r>
          </w:p>
        </w:tc>
        <w:tc>
          <w:tcPr>
            <w:tcW w:w="511" w:type="pct"/>
          </w:tcPr>
          <w:p w14:paraId="04592EF0" w14:textId="77777777" w:rsidR="00A53EE0" w:rsidRPr="00064185" w:rsidRDefault="00A53EE0" w:rsidP="00EA61D8">
            <w:pPr>
              <w:spacing w:line="260" w:lineRule="atLeast"/>
              <w:rPr>
                <w:rFonts w:eastAsia="Calibri"/>
                <w:b/>
                <w:lang w:eastAsia="en-US"/>
              </w:rPr>
            </w:pPr>
            <w:r w:rsidRPr="00064185">
              <w:rPr>
                <w:rFonts w:eastAsia="Calibri"/>
                <w:b/>
                <w:lang w:eastAsia="en-US"/>
              </w:rPr>
              <w:t>General public</w:t>
            </w:r>
          </w:p>
        </w:tc>
        <w:tc>
          <w:tcPr>
            <w:tcW w:w="325" w:type="pct"/>
          </w:tcPr>
          <w:p w14:paraId="6C6A4FCD" w14:textId="77777777" w:rsidR="00A53EE0" w:rsidRPr="00064185" w:rsidRDefault="00A53EE0" w:rsidP="00EA61D8">
            <w:pPr>
              <w:spacing w:line="260" w:lineRule="atLeast"/>
              <w:rPr>
                <w:rFonts w:eastAsia="Calibri"/>
                <w:b/>
                <w:lang w:eastAsia="en-US"/>
              </w:rPr>
            </w:pPr>
            <w:r w:rsidRPr="00064185">
              <w:rPr>
                <w:rFonts w:eastAsia="Calibri"/>
                <w:b/>
                <w:lang w:eastAsia="en-US"/>
              </w:rPr>
              <w:t>Via food</w:t>
            </w:r>
          </w:p>
        </w:tc>
      </w:tr>
      <w:tr w:rsidR="00064185" w:rsidRPr="00064185" w14:paraId="5D34D9D9" w14:textId="77777777" w:rsidTr="00EF0524">
        <w:trPr>
          <w:tblHeader/>
        </w:trPr>
        <w:tc>
          <w:tcPr>
            <w:tcW w:w="595" w:type="pct"/>
            <w:shd w:val="clear" w:color="auto" w:fill="auto"/>
            <w:tcMar>
              <w:top w:w="57" w:type="dxa"/>
              <w:bottom w:w="57" w:type="dxa"/>
            </w:tcMar>
          </w:tcPr>
          <w:p w14:paraId="03AAE308" w14:textId="77777777" w:rsidR="00A53EE0" w:rsidRPr="00064185" w:rsidRDefault="00A53EE0" w:rsidP="00EA61D8">
            <w:pPr>
              <w:spacing w:line="260" w:lineRule="atLeast"/>
              <w:rPr>
                <w:rFonts w:eastAsia="Calibri"/>
                <w:lang w:eastAsia="en-US"/>
              </w:rPr>
            </w:pPr>
            <w:r w:rsidRPr="00064185">
              <w:rPr>
                <w:rFonts w:eastAsia="Calibri"/>
                <w:lang w:eastAsia="en-US"/>
              </w:rPr>
              <w:t>Inhalation</w:t>
            </w:r>
          </w:p>
        </w:tc>
        <w:tc>
          <w:tcPr>
            <w:tcW w:w="632" w:type="pct"/>
            <w:tcMar>
              <w:top w:w="57" w:type="dxa"/>
              <w:bottom w:w="57" w:type="dxa"/>
            </w:tcMar>
          </w:tcPr>
          <w:p w14:paraId="4DD4512B" w14:textId="77777777" w:rsidR="00A53EE0" w:rsidRPr="00064185" w:rsidRDefault="007A20E8" w:rsidP="00EA61D8">
            <w:pPr>
              <w:spacing w:line="260" w:lineRule="atLeast"/>
              <w:rPr>
                <w:rFonts w:eastAsia="Calibri"/>
                <w:lang w:eastAsia="en-US"/>
              </w:rPr>
            </w:pPr>
            <w:r w:rsidRPr="00064185">
              <w:rPr>
                <w:rFonts w:eastAsia="Calibri"/>
                <w:lang w:eastAsia="en-US"/>
              </w:rPr>
              <w:t>n.a.</w:t>
            </w:r>
          </w:p>
        </w:tc>
        <w:tc>
          <w:tcPr>
            <w:tcW w:w="769" w:type="pct"/>
            <w:shd w:val="clear" w:color="auto" w:fill="auto"/>
            <w:tcMar>
              <w:top w:w="57" w:type="dxa"/>
              <w:bottom w:w="57" w:type="dxa"/>
            </w:tcMar>
          </w:tcPr>
          <w:p w14:paraId="653ABF5A" w14:textId="77777777" w:rsidR="00A53EE0" w:rsidRPr="00064185" w:rsidRDefault="007A20E8" w:rsidP="00EA61D8">
            <w:pPr>
              <w:spacing w:line="260" w:lineRule="atLeast"/>
              <w:rPr>
                <w:rFonts w:eastAsia="Calibri"/>
                <w:lang w:eastAsia="en-US"/>
              </w:rPr>
            </w:pPr>
            <w:r w:rsidRPr="00064185">
              <w:rPr>
                <w:rFonts w:eastAsia="Calibri"/>
                <w:lang w:eastAsia="en-US"/>
              </w:rPr>
              <w:t>n.a.</w:t>
            </w:r>
          </w:p>
        </w:tc>
        <w:tc>
          <w:tcPr>
            <w:tcW w:w="769" w:type="pct"/>
            <w:shd w:val="clear" w:color="auto" w:fill="auto"/>
            <w:tcMar>
              <w:top w:w="57" w:type="dxa"/>
              <w:bottom w:w="57" w:type="dxa"/>
            </w:tcMar>
          </w:tcPr>
          <w:p w14:paraId="19CBCCA5" w14:textId="77777777" w:rsidR="00A53EE0" w:rsidRPr="00064185" w:rsidRDefault="007A20E8" w:rsidP="00EA61D8">
            <w:pPr>
              <w:spacing w:line="260" w:lineRule="atLeast"/>
              <w:rPr>
                <w:rFonts w:eastAsia="Calibri"/>
                <w:lang w:eastAsia="en-US"/>
              </w:rPr>
            </w:pPr>
            <w:r w:rsidRPr="00064185">
              <w:rPr>
                <w:rFonts w:eastAsia="Calibri"/>
                <w:lang w:eastAsia="en-US"/>
              </w:rPr>
              <w:t>yes</w:t>
            </w:r>
          </w:p>
        </w:tc>
        <w:tc>
          <w:tcPr>
            <w:tcW w:w="630" w:type="pct"/>
          </w:tcPr>
          <w:p w14:paraId="3A768D77" w14:textId="77777777" w:rsidR="00A53EE0" w:rsidRPr="00064185" w:rsidRDefault="007A20E8" w:rsidP="00EA61D8">
            <w:pPr>
              <w:spacing w:line="260" w:lineRule="atLeast"/>
              <w:rPr>
                <w:rFonts w:eastAsia="Calibri"/>
                <w:lang w:eastAsia="en-US"/>
              </w:rPr>
            </w:pPr>
            <w:r w:rsidRPr="00064185">
              <w:rPr>
                <w:rFonts w:eastAsia="Calibri"/>
                <w:lang w:eastAsia="en-US"/>
              </w:rPr>
              <w:t>n.a.</w:t>
            </w:r>
          </w:p>
        </w:tc>
        <w:tc>
          <w:tcPr>
            <w:tcW w:w="769" w:type="pct"/>
          </w:tcPr>
          <w:p w14:paraId="711DD88F" w14:textId="77777777" w:rsidR="00A53EE0" w:rsidRPr="00064185" w:rsidRDefault="007A20E8" w:rsidP="00EA61D8">
            <w:pPr>
              <w:spacing w:line="260" w:lineRule="atLeast"/>
              <w:rPr>
                <w:rFonts w:eastAsia="Calibri"/>
                <w:lang w:eastAsia="en-US"/>
              </w:rPr>
            </w:pPr>
            <w:r w:rsidRPr="00064185">
              <w:rPr>
                <w:rFonts w:eastAsia="Calibri"/>
                <w:lang w:eastAsia="en-US"/>
              </w:rPr>
              <w:t>n.a.</w:t>
            </w:r>
          </w:p>
        </w:tc>
        <w:tc>
          <w:tcPr>
            <w:tcW w:w="511" w:type="pct"/>
          </w:tcPr>
          <w:p w14:paraId="2109C6FC" w14:textId="77777777" w:rsidR="00A53EE0" w:rsidRPr="00064185" w:rsidRDefault="007A20E8" w:rsidP="00EA61D8">
            <w:pPr>
              <w:spacing w:line="260" w:lineRule="atLeast"/>
              <w:rPr>
                <w:rFonts w:eastAsia="Calibri"/>
                <w:lang w:eastAsia="en-US"/>
              </w:rPr>
            </w:pPr>
            <w:r w:rsidRPr="00064185">
              <w:rPr>
                <w:rFonts w:eastAsia="Calibri"/>
                <w:lang w:eastAsia="en-US"/>
              </w:rPr>
              <w:t>no</w:t>
            </w:r>
          </w:p>
        </w:tc>
        <w:tc>
          <w:tcPr>
            <w:tcW w:w="325" w:type="pct"/>
          </w:tcPr>
          <w:p w14:paraId="0F236DB8" w14:textId="77777777" w:rsidR="00A53EE0" w:rsidRPr="00064185" w:rsidRDefault="009460E7" w:rsidP="00EA61D8">
            <w:pPr>
              <w:spacing w:line="260" w:lineRule="atLeast"/>
              <w:rPr>
                <w:rFonts w:eastAsia="Calibri"/>
                <w:lang w:eastAsia="en-US"/>
              </w:rPr>
            </w:pPr>
            <w:r w:rsidRPr="00064185">
              <w:rPr>
                <w:rFonts w:eastAsia="Calibri"/>
                <w:lang w:eastAsia="en-US"/>
              </w:rPr>
              <w:t>n.a.</w:t>
            </w:r>
          </w:p>
        </w:tc>
      </w:tr>
      <w:tr w:rsidR="00064185" w:rsidRPr="00064185" w14:paraId="1DAF51E6" w14:textId="77777777" w:rsidTr="00EF0524">
        <w:trPr>
          <w:tblHeader/>
        </w:trPr>
        <w:tc>
          <w:tcPr>
            <w:tcW w:w="595" w:type="pct"/>
            <w:shd w:val="clear" w:color="auto" w:fill="auto"/>
            <w:tcMar>
              <w:top w:w="57" w:type="dxa"/>
              <w:bottom w:w="57" w:type="dxa"/>
            </w:tcMar>
          </w:tcPr>
          <w:p w14:paraId="4F9647E7" w14:textId="77777777" w:rsidR="00A53EE0" w:rsidRPr="00064185" w:rsidRDefault="00A53EE0" w:rsidP="00EA61D8">
            <w:pPr>
              <w:spacing w:line="260" w:lineRule="atLeast"/>
              <w:rPr>
                <w:rFonts w:eastAsia="Calibri"/>
                <w:lang w:eastAsia="en-US"/>
              </w:rPr>
            </w:pPr>
            <w:r w:rsidRPr="00064185">
              <w:rPr>
                <w:rFonts w:eastAsia="Calibri"/>
                <w:lang w:eastAsia="en-US"/>
              </w:rPr>
              <w:t>Dermal</w:t>
            </w:r>
          </w:p>
        </w:tc>
        <w:tc>
          <w:tcPr>
            <w:tcW w:w="632" w:type="pct"/>
            <w:tcMar>
              <w:top w:w="57" w:type="dxa"/>
              <w:bottom w:w="57" w:type="dxa"/>
            </w:tcMar>
          </w:tcPr>
          <w:p w14:paraId="53513C3D" w14:textId="77777777" w:rsidR="00A53EE0" w:rsidRPr="00064185" w:rsidRDefault="007A20E8" w:rsidP="00EA61D8">
            <w:pPr>
              <w:spacing w:line="260" w:lineRule="atLeast"/>
              <w:rPr>
                <w:rFonts w:eastAsia="Calibri"/>
                <w:lang w:eastAsia="en-US"/>
              </w:rPr>
            </w:pPr>
            <w:r w:rsidRPr="00064185">
              <w:rPr>
                <w:rFonts w:eastAsia="Calibri"/>
                <w:lang w:eastAsia="en-US"/>
              </w:rPr>
              <w:t>n.a.</w:t>
            </w:r>
          </w:p>
        </w:tc>
        <w:tc>
          <w:tcPr>
            <w:tcW w:w="769" w:type="pct"/>
            <w:shd w:val="clear" w:color="auto" w:fill="auto"/>
            <w:tcMar>
              <w:top w:w="57" w:type="dxa"/>
              <w:bottom w:w="57" w:type="dxa"/>
            </w:tcMar>
          </w:tcPr>
          <w:p w14:paraId="6E80C966" w14:textId="77777777" w:rsidR="00A53EE0" w:rsidRPr="00064185" w:rsidRDefault="007A20E8" w:rsidP="00EA61D8">
            <w:pPr>
              <w:spacing w:line="260" w:lineRule="atLeast"/>
              <w:rPr>
                <w:rFonts w:eastAsia="Calibri"/>
                <w:lang w:eastAsia="en-US"/>
              </w:rPr>
            </w:pPr>
            <w:r w:rsidRPr="00064185">
              <w:rPr>
                <w:rFonts w:eastAsia="Calibri"/>
                <w:lang w:eastAsia="en-US"/>
              </w:rPr>
              <w:t>n.a.</w:t>
            </w:r>
          </w:p>
        </w:tc>
        <w:tc>
          <w:tcPr>
            <w:tcW w:w="769" w:type="pct"/>
            <w:shd w:val="clear" w:color="auto" w:fill="auto"/>
            <w:tcMar>
              <w:top w:w="57" w:type="dxa"/>
              <w:bottom w:w="57" w:type="dxa"/>
            </w:tcMar>
          </w:tcPr>
          <w:p w14:paraId="5DBB34B4" w14:textId="77777777" w:rsidR="00A53EE0" w:rsidRPr="00064185" w:rsidRDefault="007A20E8" w:rsidP="00EA61D8">
            <w:pPr>
              <w:spacing w:line="260" w:lineRule="atLeast"/>
              <w:rPr>
                <w:rFonts w:eastAsia="Calibri"/>
                <w:lang w:eastAsia="en-US"/>
              </w:rPr>
            </w:pPr>
            <w:r w:rsidRPr="00064185">
              <w:rPr>
                <w:rFonts w:eastAsia="Calibri"/>
                <w:lang w:eastAsia="en-US"/>
              </w:rPr>
              <w:t>yes</w:t>
            </w:r>
          </w:p>
        </w:tc>
        <w:tc>
          <w:tcPr>
            <w:tcW w:w="630" w:type="pct"/>
          </w:tcPr>
          <w:p w14:paraId="71E1D7E5" w14:textId="77777777" w:rsidR="00A53EE0" w:rsidRPr="00064185" w:rsidRDefault="007A20E8" w:rsidP="00EA61D8">
            <w:pPr>
              <w:spacing w:line="260" w:lineRule="atLeast"/>
              <w:rPr>
                <w:rFonts w:eastAsia="Calibri"/>
                <w:lang w:eastAsia="en-US"/>
              </w:rPr>
            </w:pPr>
            <w:r w:rsidRPr="00064185">
              <w:rPr>
                <w:rFonts w:eastAsia="Calibri"/>
                <w:lang w:eastAsia="en-US"/>
              </w:rPr>
              <w:t>n.a.</w:t>
            </w:r>
          </w:p>
        </w:tc>
        <w:tc>
          <w:tcPr>
            <w:tcW w:w="769" w:type="pct"/>
          </w:tcPr>
          <w:p w14:paraId="00246BB9" w14:textId="77777777" w:rsidR="00A53EE0" w:rsidRPr="00064185" w:rsidRDefault="007A20E8" w:rsidP="00EA61D8">
            <w:pPr>
              <w:spacing w:line="260" w:lineRule="atLeast"/>
              <w:rPr>
                <w:rFonts w:eastAsia="Calibri"/>
                <w:lang w:eastAsia="en-US"/>
              </w:rPr>
            </w:pPr>
            <w:r w:rsidRPr="00064185">
              <w:rPr>
                <w:rFonts w:eastAsia="Calibri"/>
                <w:lang w:eastAsia="en-US"/>
              </w:rPr>
              <w:t>n.a.</w:t>
            </w:r>
          </w:p>
        </w:tc>
        <w:tc>
          <w:tcPr>
            <w:tcW w:w="511" w:type="pct"/>
          </w:tcPr>
          <w:p w14:paraId="104551AE" w14:textId="77777777" w:rsidR="00A53EE0" w:rsidRPr="00064185" w:rsidRDefault="007A20E8" w:rsidP="00EA61D8">
            <w:pPr>
              <w:spacing w:line="260" w:lineRule="atLeast"/>
              <w:rPr>
                <w:rFonts w:eastAsia="Calibri"/>
                <w:lang w:eastAsia="en-US"/>
              </w:rPr>
            </w:pPr>
            <w:r w:rsidRPr="00064185">
              <w:rPr>
                <w:rFonts w:eastAsia="Calibri"/>
                <w:lang w:eastAsia="en-US"/>
              </w:rPr>
              <w:t>yes</w:t>
            </w:r>
          </w:p>
        </w:tc>
        <w:tc>
          <w:tcPr>
            <w:tcW w:w="325" w:type="pct"/>
          </w:tcPr>
          <w:p w14:paraId="4E5B3FE7" w14:textId="77777777" w:rsidR="00A53EE0" w:rsidRPr="00064185" w:rsidRDefault="009460E7" w:rsidP="00EA61D8">
            <w:pPr>
              <w:spacing w:line="260" w:lineRule="atLeast"/>
              <w:rPr>
                <w:rFonts w:eastAsia="Calibri"/>
                <w:lang w:eastAsia="en-US"/>
              </w:rPr>
            </w:pPr>
            <w:r w:rsidRPr="00064185">
              <w:rPr>
                <w:rFonts w:eastAsia="Calibri"/>
                <w:lang w:eastAsia="en-US"/>
              </w:rPr>
              <w:t>n.a.</w:t>
            </w:r>
          </w:p>
        </w:tc>
      </w:tr>
      <w:tr w:rsidR="00A53EE0" w:rsidRPr="00064185" w14:paraId="4A46DBC9" w14:textId="77777777" w:rsidTr="00EF0524">
        <w:trPr>
          <w:tblHeader/>
        </w:trPr>
        <w:tc>
          <w:tcPr>
            <w:tcW w:w="595" w:type="pct"/>
            <w:shd w:val="clear" w:color="auto" w:fill="auto"/>
            <w:tcMar>
              <w:top w:w="57" w:type="dxa"/>
              <w:bottom w:w="57" w:type="dxa"/>
            </w:tcMar>
          </w:tcPr>
          <w:p w14:paraId="69E5AD75" w14:textId="77777777" w:rsidR="00A53EE0" w:rsidRPr="00064185" w:rsidRDefault="00A53EE0" w:rsidP="00EA61D8">
            <w:pPr>
              <w:spacing w:line="260" w:lineRule="atLeast"/>
              <w:rPr>
                <w:rFonts w:eastAsia="Calibri"/>
                <w:lang w:eastAsia="en-US"/>
              </w:rPr>
            </w:pPr>
            <w:r w:rsidRPr="00064185">
              <w:rPr>
                <w:rFonts w:eastAsia="Calibri"/>
                <w:lang w:eastAsia="en-US"/>
              </w:rPr>
              <w:t>Oral</w:t>
            </w:r>
          </w:p>
        </w:tc>
        <w:tc>
          <w:tcPr>
            <w:tcW w:w="632" w:type="pct"/>
            <w:tcMar>
              <w:top w:w="57" w:type="dxa"/>
              <w:bottom w:w="57" w:type="dxa"/>
            </w:tcMar>
          </w:tcPr>
          <w:p w14:paraId="2B3C5798" w14:textId="77777777" w:rsidR="00A53EE0" w:rsidRPr="00064185" w:rsidRDefault="007A20E8" w:rsidP="00EA61D8">
            <w:pPr>
              <w:spacing w:line="260" w:lineRule="atLeast"/>
              <w:rPr>
                <w:rFonts w:eastAsia="Calibri"/>
                <w:lang w:eastAsia="en-US"/>
              </w:rPr>
            </w:pPr>
            <w:r w:rsidRPr="00064185">
              <w:rPr>
                <w:rFonts w:eastAsia="Calibri"/>
                <w:lang w:eastAsia="en-US"/>
              </w:rPr>
              <w:t>n.a.</w:t>
            </w:r>
          </w:p>
        </w:tc>
        <w:tc>
          <w:tcPr>
            <w:tcW w:w="769" w:type="pct"/>
            <w:shd w:val="clear" w:color="auto" w:fill="auto"/>
            <w:tcMar>
              <w:top w:w="57" w:type="dxa"/>
              <w:bottom w:w="57" w:type="dxa"/>
            </w:tcMar>
          </w:tcPr>
          <w:p w14:paraId="44F91FE2" w14:textId="77777777" w:rsidR="00A53EE0" w:rsidRPr="00064185" w:rsidRDefault="007A20E8" w:rsidP="00EA61D8">
            <w:pPr>
              <w:spacing w:line="260" w:lineRule="atLeast"/>
              <w:rPr>
                <w:rFonts w:eastAsia="Calibri"/>
                <w:lang w:eastAsia="en-US"/>
              </w:rPr>
            </w:pPr>
            <w:r w:rsidRPr="00064185">
              <w:rPr>
                <w:rFonts w:eastAsia="Calibri"/>
                <w:lang w:eastAsia="en-US"/>
              </w:rPr>
              <w:t>n.a.</w:t>
            </w:r>
          </w:p>
        </w:tc>
        <w:tc>
          <w:tcPr>
            <w:tcW w:w="769" w:type="pct"/>
            <w:shd w:val="clear" w:color="auto" w:fill="auto"/>
            <w:tcMar>
              <w:top w:w="57" w:type="dxa"/>
              <w:bottom w:w="57" w:type="dxa"/>
            </w:tcMar>
          </w:tcPr>
          <w:p w14:paraId="24490DC0" w14:textId="77777777" w:rsidR="00A53EE0" w:rsidRPr="00064185" w:rsidRDefault="009460E7" w:rsidP="00EA61D8">
            <w:pPr>
              <w:spacing w:line="260" w:lineRule="atLeast"/>
              <w:rPr>
                <w:rFonts w:eastAsia="Calibri"/>
                <w:lang w:eastAsia="en-US"/>
              </w:rPr>
            </w:pPr>
            <w:r w:rsidRPr="00064185">
              <w:rPr>
                <w:rFonts w:eastAsia="Calibri"/>
                <w:lang w:eastAsia="en-US"/>
              </w:rPr>
              <w:t>yes</w:t>
            </w:r>
          </w:p>
        </w:tc>
        <w:tc>
          <w:tcPr>
            <w:tcW w:w="630" w:type="pct"/>
          </w:tcPr>
          <w:p w14:paraId="21A140C4" w14:textId="77777777" w:rsidR="00A53EE0" w:rsidRPr="00064185" w:rsidRDefault="007A20E8" w:rsidP="00EA61D8">
            <w:pPr>
              <w:spacing w:line="260" w:lineRule="atLeast"/>
              <w:rPr>
                <w:rFonts w:eastAsia="Calibri"/>
                <w:lang w:eastAsia="en-US"/>
              </w:rPr>
            </w:pPr>
            <w:r w:rsidRPr="00064185">
              <w:rPr>
                <w:rFonts w:eastAsia="Calibri"/>
                <w:lang w:eastAsia="en-US"/>
              </w:rPr>
              <w:t>n.a.</w:t>
            </w:r>
          </w:p>
        </w:tc>
        <w:tc>
          <w:tcPr>
            <w:tcW w:w="769" w:type="pct"/>
          </w:tcPr>
          <w:p w14:paraId="423E53A7" w14:textId="77777777" w:rsidR="00A53EE0" w:rsidRPr="00064185" w:rsidRDefault="007A20E8" w:rsidP="00EA61D8">
            <w:pPr>
              <w:spacing w:line="260" w:lineRule="atLeast"/>
              <w:rPr>
                <w:rFonts w:eastAsia="Calibri"/>
                <w:lang w:eastAsia="en-US"/>
              </w:rPr>
            </w:pPr>
            <w:r w:rsidRPr="00064185">
              <w:rPr>
                <w:rFonts w:eastAsia="Calibri"/>
                <w:lang w:eastAsia="en-US"/>
              </w:rPr>
              <w:t>n.a.</w:t>
            </w:r>
          </w:p>
        </w:tc>
        <w:tc>
          <w:tcPr>
            <w:tcW w:w="511" w:type="pct"/>
          </w:tcPr>
          <w:p w14:paraId="6C1C0D33" w14:textId="77777777" w:rsidR="00A53EE0" w:rsidRPr="00064185" w:rsidRDefault="007A20E8" w:rsidP="00EA61D8">
            <w:pPr>
              <w:spacing w:line="260" w:lineRule="atLeast"/>
              <w:rPr>
                <w:rFonts w:eastAsia="Calibri"/>
                <w:lang w:eastAsia="en-US"/>
              </w:rPr>
            </w:pPr>
            <w:r w:rsidRPr="00064185">
              <w:rPr>
                <w:rFonts w:eastAsia="Calibri"/>
                <w:lang w:eastAsia="en-US"/>
              </w:rPr>
              <w:t>yes</w:t>
            </w:r>
          </w:p>
        </w:tc>
        <w:tc>
          <w:tcPr>
            <w:tcW w:w="325" w:type="pct"/>
          </w:tcPr>
          <w:p w14:paraId="0B334E13" w14:textId="77777777" w:rsidR="00A53EE0" w:rsidRPr="00064185" w:rsidRDefault="009460E7" w:rsidP="00EA61D8">
            <w:pPr>
              <w:spacing w:line="260" w:lineRule="atLeast"/>
              <w:rPr>
                <w:rFonts w:eastAsia="Calibri"/>
                <w:lang w:eastAsia="en-US"/>
              </w:rPr>
            </w:pPr>
            <w:r w:rsidRPr="00064185">
              <w:rPr>
                <w:rFonts w:eastAsia="Calibri"/>
                <w:lang w:eastAsia="en-US"/>
              </w:rPr>
              <w:t>n.a.</w:t>
            </w:r>
          </w:p>
        </w:tc>
      </w:tr>
    </w:tbl>
    <w:p w14:paraId="1B6A804B" w14:textId="77777777" w:rsidR="00A53EE0" w:rsidRPr="00064185" w:rsidRDefault="00A53EE0" w:rsidP="00EA61D8">
      <w:pPr>
        <w:spacing w:line="260" w:lineRule="atLeast"/>
        <w:rPr>
          <w:rFonts w:eastAsia="Calibri"/>
          <w:lang w:eastAsia="en-US"/>
        </w:rPr>
      </w:pPr>
    </w:p>
    <w:p w14:paraId="5FC881A7" w14:textId="77777777" w:rsidR="00A53EE0" w:rsidRPr="00064185" w:rsidRDefault="00A53EE0" w:rsidP="00EA61D8">
      <w:pPr>
        <w:keepNext/>
        <w:keepLines/>
        <w:rPr>
          <w:rFonts w:eastAsia="Calibri"/>
          <w:b/>
          <w:i/>
          <w:sz w:val="22"/>
          <w:szCs w:val="22"/>
          <w:lang w:eastAsia="en-US"/>
        </w:rPr>
      </w:pPr>
      <w:bookmarkStart w:id="1679" w:name="_Toc367976935"/>
      <w:bookmarkStart w:id="1680" w:name="_Toc387138973"/>
      <w:bookmarkStart w:id="1681" w:name="_Toc387142780"/>
      <w:bookmarkStart w:id="1682" w:name="_Toc387146344"/>
      <w:bookmarkStart w:id="1683" w:name="_Toc389729063"/>
      <w:bookmarkStart w:id="1684" w:name="_Toc403472765"/>
      <w:r w:rsidRPr="00064185">
        <w:rPr>
          <w:rFonts w:eastAsia="Calibri"/>
          <w:b/>
          <w:i/>
          <w:sz w:val="22"/>
          <w:szCs w:val="22"/>
          <w:lang w:eastAsia="en-US"/>
        </w:rPr>
        <w:t>List of scenarios</w:t>
      </w:r>
      <w:bookmarkEnd w:id="1679"/>
      <w:bookmarkEnd w:id="1680"/>
      <w:bookmarkEnd w:id="1681"/>
      <w:bookmarkEnd w:id="1682"/>
      <w:bookmarkEnd w:id="1683"/>
      <w:bookmarkEnd w:id="1684"/>
    </w:p>
    <w:p w14:paraId="2A22DDA7" w14:textId="77777777" w:rsidR="00A53EE0" w:rsidRPr="00064185" w:rsidRDefault="00A53EE0" w:rsidP="00EA61D8">
      <w:pPr>
        <w:keepNext/>
        <w:keepLines/>
        <w:rPr>
          <w:rFonts w:eastAsia="Calibri"/>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8"/>
        <w:gridCol w:w="1291"/>
        <w:gridCol w:w="5528"/>
        <w:gridCol w:w="1487"/>
      </w:tblGrid>
      <w:tr w:rsidR="00064185" w:rsidRPr="00064185" w14:paraId="4B01C50A" w14:textId="77777777" w:rsidTr="00922E8F">
        <w:trPr>
          <w:tblHeader/>
        </w:trPr>
        <w:tc>
          <w:tcPr>
            <w:tcW w:w="5000" w:type="pct"/>
            <w:gridSpan w:val="4"/>
            <w:shd w:val="clear" w:color="auto" w:fill="FFFFCC"/>
          </w:tcPr>
          <w:p w14:paraId="169E1E6C" w14:textId="77777777" w:rsidR="00A53EE0" w:rsidRPr="00064185" w:rsidRDefault="00A53EE0" w:rsidP="00EA61D8">
            <w:pPr>
              <w:keepNext/>
              <w:keepLines/>
              <w:widowControl w:val="0"/>
              <w:tabs>
                <w:tab w:val="center" w:pos="4536"/>
                <w:tab w:val="right" w:pos="9072"/>
              </w:tabs>
              <w:spacing w:before="60" w:after="60"/>
              <w:rPr>
                <w:rFonts w:eastAsia="Calibri"/>
                <w:b/>
                <w:bCs/>
                <w:sz w:val="18"/>
                <w:szCs w:val="18"/>
                <w:lang w:eastAsia="en-GB"/>
              </w:rPr>
            </w:pPr>
            <w:r w:rsidRPr="00064185">
              <w:rPr>
                <w:rFonts w:eastAsia="Calibri"/>
                <w:b/>
                <w:bCs/>
                <w:sz w:val="18"/>
                <w:szCs w:val="18"/>
                <w:lang w:eastAsia="en-GB"/>
              </w:rPr>
              <w:t>Summary table: scenarios</w:t>
            </w:r>
          </w:p>
        </w:tc>
      </w:tr>
      <w:tr w:rsidR="00064185" w:rsidRPr="00064185" w14:paraId="430192CB" w14:textId="77777777" w:rsidTr="004E6765">
        <w:trPr>
          <w:tblHeader/>
        </w:trPr>
        <w:tc>
          <w:tcPr>
            <w:tcW w:w="560" w:type="pct"/>
            <w:shd w:val="clear" w:color="auto" w:fill="auto"/>
            <w:tcMar>
              <w:top w:w="57" w:type="dxa"/>
              <w:bottom w:w="57" w:type="dxa"/>
            </w:tcMar>
          </w:tcPr>
          <w:p w14:paraId="1DF0E621" w14:textId="77777777" w:rsidR="00A53EE0" w:rsidRPr="00064185" w:rsidRDefault="00A53EE0" w:rsidP="00EA61D8">
            <w:pPr>
              <w:keepNext/>
              <w:keepLines/>
              <w:widowControl w:val="0"/>
              <w:tabs>
                <w:tab w:val="center" w:pos="4536"/>
                <w:tab w:val="right" w:pos="9072"/>
              </w:tabs>
              <w:rPr>
                <w:rFonts w:eastAsia="Calibri"/>
                <w:b/>
                <w:bCs/>
                <w:sz w:val="18"/>
                <w:szCs w:val="18"/>
                <w:lang w:eastAsia="en-GB"/>
              </w:rPr>
            </w:pPr>
            <w:r w:rsidRPr="00064185">
              <w:rPr>
                <w:rFonts w:eastAsia="Calibri"/>
                <w:b/>
                <w:bCs/>
                <w:sz w:val="18"/>
                <w:szCs w:val="18"/>
                <w:lang w:eastAsia="en-GB"/>
              </w:rPr>
              <w:t>Scenario number</w:t>
            </w:r>
          </w:p>
        </w:tc>
        <w:tc>
          <w:tcPr>
            <w:tcW w:w="690" w:type="pct"/>
            <w:shd w:val="clear" w:color="auto" w:fill="auto"/>
            <w:tcMar>
              <w:top w:w="57" w:type="dxa"/>
              <w:bottom w:w="57" w:type="dxa"/>
            </w:tcMar>
          </w:tcPr>
          <w:p w14:paraId="3DB93D21" w14:textId="77777777" w:rsidR="00A53EE0" w:rsidRPr="00064185" w:rsidRDefault="00A53EE0" w:rsidP="00EA61D8">
            <w:pPr>
              <w:keepNext/>
              <w:keepLines/>
              <w:widowControl w:val="0"/>
              <w:tabs>
                <w:tab w:val="center" w:pos="4536"/>
                <w:tab w:val="right" w:pos="9072"/>
              </w:tabs>
              <w:rPr>
                <w:rFonts w:eastAsia="Calibri"/>
                <w:b/>
                <w:bCs/>
                <w:sz w:val="18"/>
                <w:szCs w:val="18"/>
                <w:lang w:eastAsia="en-GB"/>
              </w:rPr>
            </w:pPr>
            <w:r w:rsidRPr="00064185">
              <w:rPr>
                <w:rFonts w:eastAsia="Calibri"/>
                <w:b/>
                <w:bCs/>
                <w:sz w:val="18"/>
                <w:szCs w:val="18"/>
                <w:lang w:eastAsia="en-GB"/>
              </w:rPr>
              <w:t>Scenario</w:t>
            </w:r>
          </w:p>
          <w:p w14:paraId="066AFD39" w14:textId="77777777" w:rsidR="00A53EE0" w:rsidRPr="00064185" w:rsidRDefault="00A53EE0" w:rsidP="00EA61D8">
            <w:pPr>
              <w:keepNext/>
              <w:keepLines/>
              <w:widowControl w:val="0"/>
              <w:tabs>
                <w:tab w:val="center" w:pos="4536"/>
                <w:tab w:val="right" w:pos="9072"/>
              </w:tabs>
              <w:rPr>
                <w:rFonts w:eastAsia="Calibri"/>
                <w:bCs/>
                <w:sz w:val="18"/>
                <w:szCs w:val="18"/>
                <w:lang w:eastAsia="en-GB"/>
              </w:rPr>
            </w:pPr>
          </w:p>
        </w:tc>
        <w:tc>
          <w:tcPr>
            <w:tcW w:w="2955" w:type="pct"/>
            <w:shd w:val="clear" w:color="auto" w:fill="auto"/>
            <w:tcMar>
              <w:top w:w="57" w:type="dxa"/>
              <w:bottom w:w="57" w:type="dxa"/>
            </w:tcMar>
          </w:tcPr>
          <w:p w14:paraId="51812C34" w14:textId="77777777" w:rsidR="00A53EE0" w:rsidRPr="00064185" w:rsidRDefault="00A53EE0" w:rsidP="00EA61D8">
            <w:pPr>
              <w:keepNext/>
              <w:keepLines/>
              <w:widowControl w:val="0"/>
              <w:tabs>
                <w:tab w:val="center" w:pos="4536"/>
                <w:tab w:val="right" w:pos="9072"/>
              </w:tabs>
              <w:rPr>
                <w:rFonts w:eastAsia="Calibri"/>
                <w:b/>
                <w:bCs/>
                <w:sz w:val="18"/>
                <w:szCs w:val="18"/>
                <w:lang w:eastAsia="en-GB"/>
              </w:rPr>
            </w:pPr>
            <w:r w:rsidRPr="00064185">
              <w:rPr>
                <w:rFonts w:eastAsia="Calibri"/>
                <w:b/>
                <w:bCs/>
                <w:sz w:val="18"/>
                <w:szCs w:val="18"/>
                <w:lang w:eastAsia="en-GB"/>
              </w:rPr>
              <w:t xml:space="preserve">Primary or secondary exposure </w:t>
            </w:r>
          </w:p>
          <w:p w14:paraId="63899F14" w14:textId="77777777" w:rsidR="00A53EE0" w:rsidRPr="00064185" w:rsidRDefault="00A53EE0" w:rsidP="00EA61D8">
            <w:pPr>
              <w:keepNext/>
              <w:keepLines/>
              <w:widowControl w:val="0"/>
              <w:tabs>
                <w:tab w:val="center" w:pos="4536"/>
                <w:tab w:val="right" w:pos="9072"/>
              </w:tabs>
              <w:rPr>
                <w:rFonts w:eastAsia="Calibri"/>
                <w:bCs/>
                <w:sz w:val="18"/>
                <w:szCs w:val="18"/>
                <w:lang w:eastAsia="en-GB"/>
              </w:rPr>
            </w:pPr>
            <w:r w:rsidRPr="00064185">
              <w:rPr>
                <w:rFonts w:eastAsia="Calibri"/>
                <w:b/>
                <w:bCs/>
                <w:sz w:val="18"/>
                <w:szCs w:val="18"/>
                <w:lang w:eastAsia="en-GB"/>
              </w:rPr>
              <w:t>Description of scenario</w:t>
            </w:r>
          </w:p>
        </w:tc>
        <w:tc>
          <w:tcPr>
            <w:tcW w:w="795" w:type="pct"/>
            <w:shd w:val="clear" w:color="auto" w:fill="auto"/>
            <w:tcMar>
              <w:top w:w="57" w:type="dxa"/>
              <w:bottom w:w="57" w:type="dxa"/>
            </w:tcMar>
          </w:tcPr>
          <w:p w14:paraId="31A8BA74" w14:textId="77777777" w:rsidR="00A53EE0" w:rsidRPr="00064185" w:rsidRDefault="00A53EE0" w:rsidP="00EA61D8">
            <w:pPr>
              <w:keepNext/>
              <w:keepLines/>
              <w:widowControl w:val="0"/>
              <w:tabs>
                <w:tab w:val="center" w:pos="4536"/>
                <w:tab w:val="right" w:pos="9072"/>
              </w:tabs>
              <w:rPr>
                <w:rFonts w:eastAsia="Calibri"/>
                <w:b/>
                <w:bCs/>
                <w:sz w:val="18"/>
                <w:szCs w:val="18"/>
                <w:lang w:eastAsia="en-GB"/>
              </w:rPr>
            </w:pPr>
            <w:r w:rsidRPr="00064185">
              <w:rPr>
                <w:rFonts w:eastAsia="Calibri"/>
                <w:b/>
                <w:bCs/>
                <w:sz w:val="18"/>
                <w:szCs w:val="18"/>
                <w:lang w:eastAsia="en-GB"/>
              </w:rPr>
              <w:t>Exposed group</w:t>
            </w:r>
          </w:p>
          <w:p w14:paraId="3105B51B" w14:textId="77777777" w:rsidR="00A53EE0" w:rsidRPr="00064185" w:rsidRDefault="00A53EE0" w:rsidP="00EA61D8">
            <w:pPr>
              <w:keepNext/>
              <w:keepLines/>
              <w:widowControl w:val="0"/>
              <w:tabs>
                <w:tab w:val="center" w:pos="4536"/>
                <w:tab w:val="right" w:pos="9072"/>
              </w:tabs>
              <w:rPr>
                <w:rFonts w:eastAsia="Calibri"/>
                <w:bCs/>
                <w:sz w:val="18"/>
                <w:szCs w:val="18"/>
                <w:lang w:eastAsia="en-GB"/>
              </w:rPr>
            </w:pPr>
          </w:p>
        </w:tc>
      </w:tr>
      <w:tr w:rsidR="00064185" w:rsidRPr="00064185" w14:paraId="153DE27B" w14:textId="77777777" w:rsidTr="004E6765">
        <w:trPr>
          <w:tblHeader/>
        </w:trPr>
        <w:tc>
          <w:tcPr>
            <w:tcW w:w="560" w:type="pct"/>
            <w:tcMar>
              <w:top w:w="57" w:type="dxa"/>
              <w:bottom w:w="57" w:type="dxa"/>
            </w:tcMar>
          </w:tcPr>
          <w:p w14:paraId="2E694240" w14:textId="77777777" w:rsidR="007A20E8" w:rsidRPr="00064185" w:rsidRDefault="007A20E8" w:rsidP="00EA61D8">
            <w:pPr>
              <w:keepNext/>
              <w:keepLines/>
              <w:spacing w:line="260" w:lineRule="atLeast"/>
              <w:rPr>
                <w:rFonts w:eastAsia="Calibri"/>
                <w:lang w:eastAsia="en-US"/>
              </w:rPr>
            </w:pPr>
            <w:r w:rsidRPr="00064185">
              <w:rPr>
                <w:rFonts w:eastAsia="Calibri"/>
                <w:lang w:eastAsia="en-US"/>
              </w:rPr>
              <w:t>1.</w:t>
            </w:r>
          </w:p>
        </w:tc>
        <w:tc>
          <w:tcPr>
            <w:tcW w:w="690" w:type="pct"/>
            <w:shd w:val="clear" w:color="auto" w:fill="auto"/>
            <w:tcMar>
              <w:top w:w="57" w:type="dxa"/>
              <w:bottom w:w="57" w:type="dxa"/>
            </w:tcMar>
          </w:tcPr>
          <w:p w14:paraId="171F5630" w14:textId="75DF215D" w:rsidR="007A20E8" w:rsidRPr="00064185" w:rsidRDefault="00D24C36" w:rsidP="00EA61D8">
            <w:pPr>
              <w:keepNext/>
              <w:keepLines/>
              <w:spacing w:line="260" w:lineRule="atLeast"/>
              <w:rPr>
                <w:rFonts w:eastAsia="Calibri"/>
                <w:lang w:eastAsia="en-US"/>
              </w:rPr>
            </w:pPr>
            <w:r w:rsidRPr="00064185">
              <w:rPr>
                <w:bCs/>
              </w:rPr>
              <w:t>Spot treatment</w:t>
            </w:r>
            <w:r w:rsidR="007A20E8" w:rsidRPr="00064185">
              <w:rPr>
                <w:bCs/>
              </w:rPr>
              <w:t>,</w:t>
            </w:r>
            <w:r w:rsidR="007A20E8" w:rsidRPr="00064185">
              <w:rPr>
                <w:bCs/>
              </w:rPr>
              <w:br/>
              <w:t>trigger spray</w:t>
            </w:r>
          </w:p>
        </w:tc>
        <w:tc>
          <w:tcPr>
            <w:tcW w:w="2955" w:type="pct"/>
            <w:tcMar>
              <w:top w:w="57" w:type="dxa"/>
              <w:bottom w:w="57" w:type="dxa"/>
            </w:tcMar>
          </w:tcPr>
          <w:p w14:paraId="283A271C" w14:textId="77777777" w:rsidR="007A20E8" w:rsidRPr="00064185" w:rsidRDefault="007A20E8" w:rsidP="00EA61D8">
            <w:pPr>
              <w:keepNext/>
              <w:keepLines/>
              <w:spacing w:line="260" w:lineRule="atLeast"/>
              <w:rPr>
                <w:rFonts w:eastAsia="Calibri"/>
                <w:lang w:eastAsia="en-US"/>
              </w:rPr>
            </w:pPr>
            <w:r w:rsidRPr="00064185">
              <w:rPr>
                <w:rFonts w:eastAsia="Calibri"/>
                <w:lang w:eastAsia="en-US"/>
              </w:rPr>
              <w:t xml:space="preserve">Primary </w:t>
            </w:r>
            <w:proofErr w:type="gramStart"/>
            <w:r w:rsidRPr="00064185">
              <w:rPr>
                <w:rFonts w:eastAsia="Calibri"/>
                <w:lang w:eastAsia="en-US"/>
              </w:rPr>
              <w:t>exposure of non-professional</w:t>
            </w:r>
            <w:r w:rsidR="00582C0A" w:rsidRPr="00064185">
              <w:rPr>
                <w:rFonts w:eastAsia="Calibri"/>
                <w:lang w:eastAsia="en-US"/>
              </w:rPr>
              <w:t>s</w:t>
            </w:r>
            <w:r w:rsidRPr="00064185">
              <w:rPr>
                <w:rFonts w:eastAsia="Calibri"/>
                <w:lang w:eastAsia="en-US"/>
              </w:rPr>
              <w:t xml:space="preserve"> applying liquid formulation by trigger spray</w:t>
            </w:r>
            <w:proofErr w:type="gramEnd"/>
            <w:r w:rsidRPr="00064185">
              <w:rPr>
                <w:rFonts w:eastAsia="Calibri"/>
                <w:lang w:eastAsia="en-US"/>
              </w:rPr>
              <w:t xml:space="preserve"> devices.</w:t>
            </w:r>
          </w:p>
        </w:tc>
        <w:tc>
          <w:tcPr>
            <w:tcW w:w="795" w:type="pct"/>
            <w:shd w:val="clear" w:color="auto" w:fill="auto"/>
            <w:tcMar>
              <w:top w:w="57" w:type="dxa"/>
              <w:bottom w:w="57" w:type="dxa"/>
            </w:tcMar>
          </w:tcPr>
          <w:p w14:paraId="59FB3570" w14:textId="32C1C964" w:rsidR="007A20E8" w:rsidRPr="00064185" w:rsidRDefault="005E197F" w:rsidP="00EA61D8">
            <w:pPr>
              <w:keepNext/>
              <w:keepLines/>
              <w:spacing w:line="260" w:lineRule="atLeast"/>
              <w:rPr>
                <w:rFonts w:eastAsia="Calibri"/>
                <w:lang w:eastAsia="en-US"/>
              </w:rPr>
            </w:pPr>
            <w:r w:rsidRPr="00064185">
              <w:rPr>
                <w:rFonts w:eastAsia="Calibri"/>
                <w:bCs/>
                <w:lang w:eastAsia="en-US"/>
              </w:rPr>
              <w:t>N</w:t>
            </w:r>
            <w:r w:rsidR="007A20E8" w:rsidRPr="00064185">
              <w:rPr>
                <w:rFonts w:eastAsia="Calibri"/>
                <w:bCs/>
                <w:lang w:eastAsia="en-US"/>
              </w:rPr>
              <w:t>on-professionals</w:t>
            </w:r>
          </w:p>
        </w:tc>
      </w:tr>
      <w:tr w:rsidR="007A20E8" w:rsidRPr="00064185" w14:paraId="755B8C97" w14:textId="77777777" w:rsidTr="004E6765">
        <w:trPr>
          <w:tblHeader/>
        </w:trPr>
        <w:tc>
          <w:tcPr>
            <w:tcW w:w="560" w:type="pct"/>
            <w:tcMar>
              <w:top w:w="57" w:type="dxa"/>
              <w:bottom w:w="57" w:type="dxa"/>
            </w:tcMar>
          </w:tcPr>
          <w:p w14:paraId="02264588" w14:textId="77777777" w:rsidR="007A20E8" w:rsidRPr="00064185" w:rsidRDefault="007A20E8" w:rsidP="00EA61D8">
            <w:pPr>
              <w:spacing w:line="260" w:lineRule="atLeast"/>
              <w:rPr>
                <w:rFonts w:eastAsia="Calibri"/>
                <w:lang w:eastAsia="en-US"/>
              </w:rPr>
            </w:pPr>
            <w:r w:rsidRPr="00064185">
              <w:rPr>
                <w:rFonts w:eastAsia="Calibri"/>
                <w:lang w:eastAsia="en-US"/>
              </w:rPr>
              <w:t>2.</w:t>
            </w:r>
          </w:p>
        </w:tc>
        <w:tc>
          <w:tcPr>
            <w:tcW w:w="690" w:type="pct"/>
            <w:shd w:val="clear" w:color="auto" w:fill="auto"/>
            <w:tcMar>
              <w:top w:w="57" w:type="dxa"/>
              <w:bottom w:w="57" w:type="dxa"/>
            </w:tcMar>
          </w:tcPr>
          <w:p w14:paraId="11461267" w14:textId="77777777" w:rsidR="007A20E8" w:rsidRPr="00064185" w:rsidRDefault="007A20E8" w:rsidP="00EA61D8">
            <w:pPr>
              <w:spacing w:line="260" w:lineRule="atLeast"/>
              <w:rPr>
                <w:bCs/>
              </w:rPr>
            </w:pPr>
            <w:r w:rsidRPr="00064185">
              <w:rPr>
                <w:bCs/>
              </w:rPr>
              <w:t>Child playing on floor</w:t>
            </w:r>
          </w:p>
        </w:tc>
        <w:tc>
          <w:tcPr>
            <w:tcW w:w="2955" w:type="pct"/>
            <w:tcMar>
              <w:top w:w="57" w:type="dxa"/>
              <w:bottom w:w="57" w:type="dxa"/>
            </w:tcMar>
          </w:tcPr>
          <w:p w14:paraId="483CC266" w14:textId="77777777" w:rsidR="007A20E8" w:rsidRPr="00064185" w:rsidRDefault="007A20E8" w:rsidP="00EA61D8">
            <w:pPr>
              <w:spacing w:line="260" w:lineRule="atLeast"/>
              <w:rPr>
                <w:rFonts w:eastAsia="Calibri"/>
                <w:lang w:eastAsia="en-US"/>
              </w:rPr>
            </w:pPr>
            <w:r w:rsidRPr="00064185">
              <w:rPr>
                <w:rFonts w:eastAsia="Calibri"/>
                <w:lang w:eastAsia="en-US"/>
              </w:rPr>
              <w:t>Secondary exposure of children crawling on the floor after application.</w:t>
            </w:r>
          </w:p>
        </w:tc>
        <w:tc>
          <w:tcPr>
            <w:tcW w:w="795" w:type="pct"/>
            <w:shd w:val="clear" w:color="auto" w:fill="auto"/>
            <w:tcMar>
              <w:top w:w="57" w:type="dxa"/>
              <w:bottom w:w="57" w:type="dxa"/>
            </w:tcMar>
          </w:tcPr>
          <w:p w14:paraId="5DFAB0C0" w14:textId="7DEED35D" w:rsidR="007A20E8" w:rsidRPr="00064185" w:rsidRDefault="00CE4E89" w:rsidP="00EA61D8">
            <w:pPr>
              <w:spacing w:line="260" w:lineRule="atLeast"/>
              <w:rPr>
                <w:rFonts w:eastAsia="Calibri"/>
                <w:bCs/>
                <w:lang w:eastAsia="en-US"/>
              </w:rPr>
            </w:pPr>
            <w:r w:rsidRPr="00064185">
              <w:rPr>
                <w:rFonts w:eastAsia="Calibri"/>
                <w:bCs/>
                <w:lang w:eastAsia="en-US"/>
              </w:rPr>
              <w:t>General public</w:t>
            </w:r>
            <w:r w:rsidR="007A20E8" w:rsidRPr="00064185">
              <w:rPr>
                <w:rFonts w:eastAsia="Calibri"/>
                <w:bCs/>
                <w:lang w:eastAsia="en-US"/>
              </w:rPr>
              <w:t xml:space="preserve"> (child)</w:t>
            </w:r>
          </w:p>
        </w:tc>
      </w:tr>
    </w:tbl>
    <w:p w14:paraId="542D6AB3" w14:textId="77777777" w:rsidR="00A53EE0" w:rsidRPr="00064185" w:rsidRDefault="00A53EE0" w:rsidP="00EA61D8">
      <w:pPr>
        <w:spacing w:line="260" w:lineRule="atLeast"/>
        <w:rPr>
          <w:rFonts w:eastAsia="Calibri"/>
          <w:lang w:eastAsia="en-US"/>
        </w:rPr>
      </w:pPr>
    </w:p>
    <w:p w14:paraId="6D6339F4" w14:textId="77777777" w:rsidR="00A53EE0" w:rsidRPr="00064185" w:rsidRDefault="00A53EE0" w:rsidP="00EA61D8">
      <w:pPr>
        <w:rPr>
          <w:rFonts w:eastAsia="Calibri"/>
          <w:b/>
          <w:i/>
          <w:sz w:val="22"/>
          <w:szCs w:val="22"/>
          <w:lang w:eastAsia="en-US"/>
        </w:rPr>
      </w:pPr>
      <w:bookmarkStart w:id="1685" w:name="_Toc389729064"/>
      <w:bookmarkStart w:id="1686" w:name="_Toc403472766"/>
      <w:r w:rsidRPr="00064185">
        <w:rPr>
          <w:rFonts w:eastAsia="Calibri"/>
          <w:b/>
          <w:i/>
          <w:sz w:val="22"/>
          <w:szCs w:val="22"/>
          <w:lang w:eastAsia="en-US"/>
        </w:rPr>
        <w:t>Industrial exposure</w:t>
      </w:r>
      <w:bookmarkEnd w:id="1685"/>
      <w:bookmarkEnd w:id="1686"/>
    </w:p>
    <w:p w14:paraId="12B3392F" w14:textId="77777777" w:rsidR="00A53EE0" w:rsidRPr="00064185" w:rsidRDefault="00A53EE0" w:rsidP="00EA61D8">
      <w:pPr>
        <w:spacing w:line="260" w:lineRule="atLeast"/>
        <w:rPr>
          <w:rFonts w:eastAsia="Calibri"/>
          <w:lang w:eastAsia="en-US"/>
        </w:rPr>
      </w:pPr>
    </w:p>
    <w:p w14:paraId="00A57727" w14:textId="77777777" w:rsidR="00F903F0" w:rsidRPr="00064185" w:rsidRDefault="00F903F0" w:rsidP="00EA61D8">
      <w:pPr>
        <w:spacing w:line="260" w:lineRule="atLeast"/>
      </w:pPr>
      <w:bookmarkStart w:id="1687" w:name="_Toc389729065"/>
      <w:r w:rsidRPr="00064185">
        <w:t>No industrial</w:t>
      </w:r>
      <w:r w:rsidRPr="00064185" w:rsidDel="00F273B5">
        <w:t xml:space="preserve"> </w:t>
      </w:r>
      <w:r w:rsidRPr="00064185">
        <w:t>exposure is foreseen.</w:t>
      </w:r>
    </w:p>
    <w:p w14:paraId="66D8B3AF" w14:textId="77777777" w:rsidR="007A20E8" w:rsidRPr="00064185" w:rsidRDefault="007A20E8" w:rsidP="00EA61D8">
      <w:pPr>
        <w:rPr>
          <w:rFonts w:eastAsia="Calibri"/>
          <w:sz w:val="22"/>
          <w:szCs w:val="22"/>
          <w:lang w:eastAsia="en-US"/>
        </w:rPr>
      </w:pPr>
    </w:p>
    <w:p w14:paraId="22723A56" w14:textId="77777777" w:rsidR="007A20E8" w:rsidRPr="00064185" w:rsidRDefault="007A20E8" w:rsidP="00EA61D8">
      <w:pPr>
        <w:rPr>
          <w:rFonts w:eastAsia="Calibri"/>
          <w:sz w:val="22"/>
          <w:szCs w:val="22"/>
          <w:lang w:eastAsia="en-US"/>
        </w:rPr>
      </w:pPr>
    </w:p>
    <w:p w14:paraId="1334BA8E" w14:textId="77777777" w:rsidR="00A53EE0" w:rsidRPr="00064185" w:rsidRDefault="00A53EE0" w:rsidP="00EA61D8">
      <w:pPr>
        <w:rPr>
          <w:rFonts w:eastAsia="Calibri"/>
          <w:b/>
          <w:i/>
          <w:sz w:val="22"/>
          <w:szCs w:val="22"/>
          <w:lang w:eastAsia="en-US"/>
        </w:rPr>
      </w:pPr>
      <w:bookmarkStart w:id="1688" w:name="_Toc389729067"/>
      <w:bookmarkStart w:id="1689" w:name="_Toc403472767"/>
      <w:bookmarkEnd w:id="1687"/>
      <w:r w:rsidRPr="00064185">
        <w:rPr>
          <w:rFonts w:eastAsia="Calibri"/>
          <w:b/>
          <w:i/>
          <w:sz w:val="22"/>
          <w:szCs w:val="22"/>
          <w:lang w:eastAsia="en-US"/>
        </w:rPr>
        <w:t>Professional exposure</w:t>
      </w:r>
      <w:bookmarkEnd w:id="1688"/>
      <w:bookmarkEnd w:id="1689"/>
      <w:r w:rsidRPr="00064185">
        <w:rPr>
          <w:rFonts w:eastAsia="Calibri"/>
          <w:b/>
          <w:i/>
          <w:sz w:val="22"/>
          <w:szCs w:val="22"/>
          <w:lang w:eastAsia="en-US"/>
        </w:rPr>
        <w:t xml:space="preserve"> </w:t>
      </w:r>
    </w:p>
    <w:p w14:paraId="68E58DBC" w14:textId="77777777" w:rsidR="007A20E8" w:rsidRPr="00064185" w:rsidRDefault="007A20E8" w:rsidP="00EA61D8">
      <w:pPr>
        <w:rPr>
          <w:rFonts w:eastAsia="Calibri"/>
          <w:sz w:val="22"/>
          <w:szCs w:val="22"/>
          <w:lang w:eastAsia="en-US"/>
        </w:rPr>
      </w:pPr>
    </w:p>
    <w:p w14:paraId="497B4F52" w14:textId="77777777" w:rsidR="00F903F0" w:rsidRPr="00064185" w:rsidRDefault="00F903F0" w:rsidP="00EA61D8">
      <w:pPr>
        <w:spacing w:line="260" w:lineRule="atLeast"/>
      </w:pPr>
      <w:r w:rsidRPr="00064185">
        <w:t>No professional</w:t>
      </w:r>
      <w:r w:rsidRPr="00064185" w:rsidDel="00F273B5">
        <w:t xml:space="preserve"> </w:t>
      </w:r>
      <w:r w:rsidRPr="00064185">
        <w:t>exposure is foreseen.</w:t>
      </w:r>
    </w:p>
    <w:p w14:paraId="1A9ED774" w14:textId="77777777" w:rsidR="00A53EE0" w:rsidRPr="00064185" w:rsidRDefault="00A53EE0" w:rsidP="00EA61D8">
      <w:pPr>
        <w:spacing w:line="260" w:lineRule="atLeast"/>
        <w:rPr>
          <w:rFonts w:eastAsia="Calibri"/>
          <w:lang w:eastAsia="en-US"/>
        </w:rPr>
      </w:pPr>
    </w:p>
    <w:p w14:paraId="5ABC4EBC" w14:textId="77777777" w:rsidR="00A53EE0" w:rsidRPr="00064185" w:rsidRDefault="00A53EE0" w:rsidP="00EA61D8">
      <w:pPr>
        <w:spacing w:line="260" w:lineRule="atLeast"/>
        <w:rPr>
          <w:rFonts w:eastAsia="Calibri"/>
          <w:lang w:eastAsia="en-US"/>
        </w:rPr>
      </w:pPr>
    </w:p>
    <w:p w14:paraId="05257B16" w14:textId="77777777" w:rsidR="00A53EE0" w:rsidRPr="00064185" w:rsidRDefault="00A53EE0" w:rsidP="00EA61D8">
      <w:pPr>
        <w:rPr>
          <w:rFonts w:eastAsia="Calibri"/>
          <w:b/>
          <w:i/>
          <w:sz w:val="22"/>
          <w:szCs w:val="22"/>
          <w:lang w:val="en-US" w:eastAsia="en-US"/>
        </w:rPr>
      </w:pPr>
      <w:bookmarkStart w:id="1690" w:name="_Toc389729070"/>
      <w:bookmarkStart w:id="1691" w:name="_Toc403472768"/>
      <w:r w:rsidRPr="00064185">
        <w:rPr>
          <w:rFonts w:eastAsia="Calibri"/>
          <w:b/>
          <w:i/>
          <w:sz w:val="22"/>
          <w:szCs w:val="22"/>
          <w:lang w:val="en-US" w:eastAsia="en-US"/>
        </w:rPr>
        <w:t>Non-professional exposure</w:t>
      </w:r>
      <w:bookmarkEnd w:id="1690"/>
      <w:bookmarkEnd w:id="1691"/>
    </w:p>
    <w:p w14:paraId="09EFA6FB" w14:textId="77777777" w:rsidR="00A53EE0" w:rsidRPr="00064185" w:rsidRDefault="00A53EE0" w:rsidP="00EA61D8">
      <w:pPr>
        <w:spacing w:line="260" w:lineRule="atLeast"/>
        <w:rPr>
          <w:rFonts w:eastAsia="Calibri"/>
          <w:lang w:val="en-US" w:eastAsia="en-US"/>
        </w:rPr>
      </w:pPr>
    </w:p>
    <w:p w14:paraId="49E59033" w14:textId="77777777" w:rsidR="00A53EE0" w:rsidRPr="00064185" w:rsidRDefault="00A53EE0" w:rsidP="00EA61D8">
      <w:pPr>
        <w:rPr>
          <w:rFonts w:eastAsia="Calibri"/>
          <w:i/>
          <w:sz w:val="22"/>
          <w:szCs w:val="22"/>
          <w:u w:val="single"/>
          <w:lang w:val="en-US" w:eastAsia="en-US"/>
        </w:rPr>
      </w:pPr>
      <w:bookmarkStart w:id="1692" w:name="_Toc389729071"/>
      <w:r w:rsidRPr="00064185">
        <w:rPr>
          <w:rFonts w:eastAsia="Calibri"/>
          <w:i/>
          <w:sz w:val="22"/>
          <w:szCs w:val="22"/>
          <w:u w:val="single"/>
          <w:lang w:val="en-US" w:eastAsia="en-US"/>
        </w:rPr>
        <w:t>Scenario [</w:t>
      </w:r>
      <w:r w:rsidR="00B96C98" w:rsidRPr="00064185">
        <w:rPr>
          <w:rFonts w:eastAsia="Calibri"/>
          <w:i/>
          <w:sz w:val="22"/>
          <w:szCs w:val="22"/>
          <w:u w:val="single"/>
          <w:lang w:val="en-US" w:eastAsia="en-US"/>
        </w:rPr>
        <w:t>1</w:t>
      </w:r>
      <w:r w:rsidRPr="00064185">
        <w:rPr>
          <w:rFonts w:eastAsia="Calibri"/>
          <w:i/>
          <w:sz w:val="22"/>
          <w:szCs w:val="22"/>
          <w:u w:val="single"/>
          <w:lang w:val="en-US" w:eastAsia="en-US"/>
        </w:rPr>
        <w:t>]</w:t>
      </w:r>
      <w:bookmarkEnd w:id="1692"/>
    </w:p>
    <w:p w14:paraId="06D9C408" w14:textId="77777777" w:rsidR="00A53EE0" w:rsidRPr="00064185" w:rsidRDefault="00A53EE0" w:rsidP="00EA61D8">
      <w:pPr>
        <w:spacing w:line="260" w:lineRule="atLeast"/>
        <w:rPr>
          <w:rFonts w:eastAsia="Calibri"/>
          <w:lang w:eastAsia="en-US"/>
        </w:rPr>
      </w:pPr>
    </w:p>
    <w:p w14:paraId="6B420FAA" w14:textId="77777777" w:rsidR="00B96C98" w:rsidRPr="00064185" w:rsidRDefault="00AE177D" w:rsidP="00EA61D8">
      <w:pPr>
        <w:spacing w:line="260" w:lineRule="atLeast"/>
        <w:rPr>
          <w:rFonts w:eastAsia="Calibri"/>
          <w:i/>
          <w:sz w:val="22"/>
          <w:szCs w:val="22"/>
          <w:u w:val="single"/>
          <w:lang w:eastAsia="en-US"/>
        </w:rPr>
      </w:pPr>
      <w:r w:rsidRPr="00064185">
        <w:rPr>
          <w:rFonts w:eastAsia="Calibri"/>
          <w:i/>
          <w:sz w:val="22"/>
          <w:szCs w:val="22"/>
          <w:u w:val="single"/>
          <w:lang w:eastAsia="en-US"/>
        </w:rPr>
        <w:t>Application of liquid formulation by trigger spray devices</w:t>
      </w:r>
    </w:p>
    <w:p w14:paraId="605FE5C4" w14:textId="77777777" w:rsidR="00AE177D" w:rsidRPr="00064185" w:rsidRDefault="00AE177D" w:rsidP="00EA61D8">
      <w:pPr>
        <w:spacing w:line="260" w:lineRule="atLeast"/>
        <w:rPr>
          <w:rFonts w:eastAsia="Calibri"/>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5"/>
      </w:tblGrid>
      <w:tr w:rsidR="00064185" w:rsidRPr="00064185" w14:paraId="123C6264" w14:textId="77777777" w:rsidTr="00922E8F">
        <w:trPr>
          <w:tblHeader/>
        </w:trPr>
        <w:tc>
          <w:tcPr>
            <w:tcW w:w="5000" w:type="pct"/>
            <w:shd w:val="clear" w:color="auto" w:fill="FFFFCC"/>
            <w:tcMar>
              <w:top w:w="57" w:type="dxa"/>
              <w:bottom w:w="57" w:type="dxa"/>
            </w:tcMar>
          </w:tcPr>
          <w:p w14:paraId="59FE7787" w14:textId="0AB1B193" w:rsidR="00A53EE0" w:rsidRPr="00064185" w:rsidRDefault="00A87C58" w:rsidP="00EA61D8">
            <w:pPr>
              <w:keepNext/>
              <w:keepLines/>
              <w:widowControl w:val="0"/>
              <w:spacing w:line="260" w:lineRule="atLeast"/>
              <w:rPr>
                <w:rFonts w:eastAsia="Calibri"/>
                <w:b/>
                <w:lang w:eastAsia="en-US"/>
              </w:rPr>
            </w:pPr>
            <w:r w:rsidRPr="00064185">
              <w:rPr>
                <w:rFonts w:eastAsia="Calibri"/>
                <w:b/>
                <w:lang w:eastAsia="en-US"/>
              </w:rPr>
              <w:t xml:space="preserve">Scenario </w:t>
            </w:r>
            <w:r w:rsidR="009460E7" w:rsidRPr="00064185">
              <w:rPr>
                <w:rFonts w:eastAsia="Calibri"/>
                <w:b/>
                <w:lang w:eastAsia="en-US"/>
              </w:rPr>
              <w:t>1</w:t>
            </w:r>
            <w:r w:rsidRPr="00064185">
              <w:rPr>
                <w:rFonts w:eastAsia="Calibri"/>
                <w:lang w:eastAsia="en-US"/>
              </w:rPr>
              <w:t>: Primary exposure of non-professionals applying liquid formulation by trigger spray devices</w:t>
            </w:r>
          </w:p>
        </w:tc>
      </w:tr>
      <w:tr w:rsidR="00A53EE0" w:rsidRPr="00064185" w14:paraId="4A254059" w14:textId="77777777" w:rsidTr="00922E8F">
        <w:trPr>
          <w:tblHeader/>
        </w:trPr>
        <w:tc>
          <w:tcPr>
            <w:tcW w:w="5000" w:type="pct"/>
            <w:shd w:val="clear" w:color="auto" w:fill="auto"/>
            <w:tcMar>
              <w:top w:w="57" w:type="dxa"/>
              <w:bottom w:w="57" w:type="dxa"/>
            </w:tcMar>
          </w:tcPr>
          <w:p w14:paraId="319762D5" w14:textId="6F512BAB" w:rsidR="00AE177D" w:rsidRPr="00064185" w:rsidRDefault="00AE177D" w:rsidP="00EA61D8">
            <w:pPr>
              <w:keepNext/>
              <w:keepLines/>
              <w:widowControl w:val="0"/>
              <w:spacing w:line="260" w:lineRule="atLeast"/>
              <w:rPr>
                <w:rFonts w:eastAsia="Calibri"/>
                <w:lang w:eastAsia="en-US"/>
              </w:rPr>
            </w:pPr>
            <w:r w:rsidRPr="00064185">
              <w:rPr>
                <w:rFonts w:eastAsia="Calibri"/>
                <w:lang w:eastAsia="en-US"/>
              </w:rPr>
              <w:t xml:space="preserve">The exposure of </w:t>
            </w:r>
            <w:r w:rsidR="00A87C58" w:rsidRPr="00064185">
              <w:rPr>
                <w:rFonts w:eastAsia="Calibri"/>
                <w:lang w:eastAsia="en-US"/>
              </w:rPr>
              <w:t xml:space="preserve">non-professionals </w:t>
            </w:r>
            <w:r w:rsidRPr="00064185">
              <w:rPr>
                <w:rFonts w:eastAsia="Calibri"/>
                <w:lang w:eastAsia="en-US"/>
              </w:rPr>
              <w:t xml:space="preserve">to </w:t>
            </w:r>
            <w:r w:rsidRPr="00064185">
              <w:rPr>
                <w:rFonts w:eastAsia="Calibri"/>
                <w:i/>
                <w:lang w:eastAsia="en-US"/>
              </w:rPr>
              <w:t>lambda</w:t>
            </w:r>
            <w:r w:rsidRPr="00064185">
              <w:rPr>
                <w:rFonts w:eastAsia="Calibri"/>
                <w:lang w:eastAsia="en-US"/>
              </w:rPr>
              <w:t xml:space="preserve">-cyhalothrin during application of the insecticide is assessed </w:t>
            </w:r>
            <w:r w:rsidR="004216E7" w:rsidRPr="00064185">
              <w:t>by the software ConsExpo 5.0</w:t>
            </w:r>
            <w:r w:rsidRPr="00064185">
              <w:rPr>
                <w:rFonts w:eastAsia="Calibri"/>
                <w:lang w:eastAsia="en-US"/>
              </w:rPr>
              <w:t xml:space="preserve">. The b.p. is sold as a trigger pump spray. The scenario for </w:t>
            </w:r>
            <w:r w:rsidR="00D24C36" w:rsidRPr="00064185">
              <w:rPr>
                <w:rFonts w:eastAsia="Calibri"/>
                <w:lang w:eastAsia="en-US"/>
              </w:rPr>
              <w:t>spot</w:t>
            </w:r>
            <w:r w:rsidRPr="00064185">
              <w:rPr>
                <w:rFonts w:eastAsia="Calibri"/>
                <w:lang w:eastAsia="en-US"/>
              </w:rPr>
              <w:t xml:space="preserve"> treatment is based on a non-professional user who is controlling crawling insects on the floor.</w:t>
            </w:r>
          </w:p>
          <w:p w14:paraId="17B74A51" w14:textId="78ADCF1C" w:rsidR="00AE177D" w:rsidRPr="00064185" w:rsidRDefault="00AE177D" w:rsidP="00EA61D8">
            <w:pPr>
              <w:keepNext/>
              <w:keepLines/>
              <w:widowControl w:val="0"/>
              <w:spacing w:line="260" w:lineRule="atLeast"/>
              <w:rPr>
                <w:rFonts w:eastAsia="Calibri"/>
                <w:lang w:eastAsia="en-US"/>
              </w:rPr>
            </w:pPr>
            <w:r w:rsidRPr="00064185">
              <w:rPr>
                <w:rFonts w:eastAsia="Calibri"/>
                <w:lang w:eastAsia="en-US"/>
              </w:rPr>
              <w:t>The user is assumed to stay in the treated room for 4 h after application. To calculate the exposure of the user during the application, the 'spray' model is used for the inhalatory exposure and the ‘constant rate’ model is used for the dermal exposure. The respiration rate is ConsExpo's default for a 60-kg individual under light exercise (33 m³/day</w:t>
            </w:r>
            <w:r w:rsidR="009B36E5" w:rsidRPr="00064185">
              <w:rPr>
                <w:rFonts w:eastAsia="Calibri"/>
                <w:lang w:eastAsia="en-US"/>
              </w:rPr>
              <w:t xml:space="preserve"> </w:t>
            </w:r>
            <w:r w:rsidRPr="00064185">
              <w:rPr>
                <w:rFonts w:eastAsia="Calibri"/>
                <w:lang w:eastAsia="en-US"/>
              </w:rPr>
              <w:sym w:font="Symbol" w:char="F040"/>
            </w:r>
            <w:r w:rsidR="00A4298F" w:rsidRPr="00064185">
              <w:rPr>
                <w:rFonts w:eastAsia="Calibri"/>
                <w:lang w:eastAsia="en-US"/>
              </w:rPr>
              <w:t xml:space="preserve"> </w:t>
            </w:r>
            <w:proofErr w:type="gramStart"/>
            <w:r w:rsidRPr="00064185">
              <w:rPr>
                <w:rFonts w:eastAsia="Calibri"/>
                <w:lang w:eastAsia="en-US"/>
              </w:rPr>
              <w:t>1.37</w:t>
            </w:r>
            <w:r w:rsidR="005F1E8C" w:rsidRPr="00064185">
              <w:rPr>
                <w:rFonts w:eastAsia="Calibri"/>
                <w:lang w:eastAsia="en-US"/>
              </w:rPr>
              <w:t xml:space="preserve"> </w:t>
            </w:r>
            <w:r w:rsidRPr="00064185">
              <w:rPr>
                <w:rFonts w:eastAsia="Calibri"/>
                <w:lang w:eastAsia="en-US"/>
              </w:rPr>
              <w:t xml:space="preserve"> </w:t>
            </w:r>
            <w:r w:rsidR="005F1E8C" w:rsidRPr="00064185">
              <w:rPr>
                <w:rFonts w:eastAsia="Calibri"/>
                <w:lang w:eastAsia="en-US"/>
              </w:rPr>
              <w:t xml:space="preserve"> </w:t>
            </w:r>
            <w:r w:rsidRPr="00064185">
              <w:rPr>
                <w:rFonts w:eastAsia="Calibri"/>
                <w:lang w:eastAsia="en-US"/>
              </w:rPr>
              <w:t>m³/h</w:t>
            </w:r>
            <w:proofErr w:type="gramEnd"/>
            <w:r w:rsidRPr="00064185">
              <w:rPr>
                <w:rFonts w:eastAsia="Calibri"/>
                <w:lang w:eastAsia="en-US"/>
              </w:rPr>
              <w:t>). The oral exposure is handled in the 'spray' model. ConsExpo assumes that the non-respirable fraction is taken in orally; oral absorption is 50%. The default particle size distribution for trigger sprays is adopted. The default scenarios were adapted in terms of body weight (adult: 60 kg) according to the TNsG and of non-volatile density (1 g/cm³), due to the 99.3% water content of the formulation. The use frequency was set to “1 per day” so that the reported exposures reflect the acute exposure on the day of use. The exposed skin surface is comprised of the back of the one hand holding the bottle/can. This</w:t>
            </w:r>
            <w:r w:rsidR="004216E7" w:rsidRPr="00064185">
              <w:rPr>
                <w:rFonts w:eastAsia="Calibri"/>
                <w:lang w:eastAsia="en-US"/>
              </w:rPr>
              <w:t xml:space="preserve"> is approximately 210 cm², i.e.</w:t>
            </w:r>
            <w:r w:rsidRPr="00064185">
              <w:rPr>
                <w:rFonts w:eastAsia="Calibri"/>
                <w:lang w:eastAsia="en-US"/>
              </w:rPr>
              <w:t xml:space="preserve"> 1/4 of the surface of both hands as given in the RIVM Fact Sheet (Bremmer &amp; van Veen, 2000). A dermal penetration of 1% was determined for diluted solutions (0.04%) of </w:t>
            </w:r>
            <w:r w:rsidRPr="00064185">
              <w:rPr>
                <w:rFonts w:eastAsia="Calibri"/>
                <w:i/>
                <w:lang w:eastAsia="en-US"/>
              </w:rPr>
              <w:t>lambda</w:t>
            </w:r>
            <w:r w:rsidRPr="00064185">
              <w:rPr>
                <w:rFonts w:eastAsia="Calibri"/>
                <w:lang w:eastAsia="en-US"/>
              </w:rPr>
              <w:t>-cyhalothrin by RMS Sweden.</w:t>
            </w:r>
          </w:p>
          <w:p w14:paraId="6DAABD18" w14:textId="35869DE2" w:rsidR="00A53EE0" w:rsidRPr="00064185" w:rsidRDefault="00AE177D" w:rsidP="00EA61D8">
            <w:pPr>
              <w:keepNext/>
              <w:keepLines/>
              <w:widowControl w:val="0"/>
              <w:spacing w:line="260" w:lineRule="atLeast"/>
              <w:rPr>
                <w:rFonts w:eastAsia="Calibri"/>
                <w:lang w:eastAsia="en-US"/>
              </w:rPr>
            </w:pPr>
            <w:r w:rsidRPr="00064185">
              <w:rPr>
                <w:rFonts w:eastAsia="Calibri"/>
                <w:lang w:eastAsia="en-US"/>
              </w:rPr>
              <w:t>N</w:t>
            </w:r>
            <w:r w:rsidR="00737197" w:rsidRPr="00064185">
              <w:rPr>
                <w:rFonts w:eastAsia="Calibri"/>
                <w:lang w:eastAsia="en-US"/>
              </w:rPr>
              <w:t>o personal protective equipment</w:t>
            </w:r>
            <w:r w:rsidRPr="00064185">
              <w:rPr>
                <w:rFonts w:eastAsia="Calibri"/>
                <w:lang w:eastAsia="en-US"/>
              </w:rPr>
              <w:t xml:space="preserve"> w</w:t>
            </w:r>
            <w:r w:rsidR="00737197" w:rsidRPr="00064185">
              <w:rPr>
                <w:rFonts w:eastAsia="Calibri"/>
                <w:lang w:eastAsia="en-US"/>
              </w:rPr>
              <w:t>as</w:t>
            </w:r>
            <w:r w:rsidRPr="00064185">
              <w:rPr>
                <w:rFonts w:eastAsia="Calibri"/>
                <w:lang w:eastAsia="en-US"/>
              </w:rPr>
              <w:t xml:space="preserve"> considered. For details on the exposure asses</w:t>
            </w:r>
            <w:r w:rsidR="00A87C58" w:rsidRPr="00064185">
              <w:rPr>
                <w:rFonts w:eastAsia="Calibri"/>
                <w:lang w:eastAsia="en-US"/>
              </w:rPr>
              <w:t>sment please refer to Annex 3.2</w:t>
            </w:r>
            <w:r w:rsidRPr="00064185">
              <w:rPr>
                <w:rFonts w:eastAsia="Calibri"/>
                <w:lang w:eastAsia="en-US"/>
              </w:rPr>
              <w:t>.</w:t>
            </w:r>
          </w:p>
        </w:tc>
      </w:tr>
    </w:tbl>
    <w:p w14:paraId="12226F46" w14:textId="77777777" w:rsidR="008774C7" w:rsidRPr="00064185" w:rsidRDefault="008774C7" w:rsidP="00EA61D8">
      <w:pPr>
        <w:spacing w:line="260" w:lineRule="atLeast"/>
        <w:rPr>
          <w:rFonts w:ascii="Times New Roman" w:eastAsia="Calibri" w:hAnsi="Times New Roman"/>
          <w:i/>
          <w:iCs/>
          <w:lang w:eastAsia="en-US"/>
        </w:rPr>
      </w:pPr>
    </w:p>
    <w:p w14:paraId="7A15E51C" w14:textId="77777777" w:rsidR="000844F4" w:rsidRPr="00064185" w:rsidRDefault="000844F4" w:rsidP="00EA61D8">
      <w:pPr>
        <w:spacing w:line="260" w:lineRule="atLeast"/>
        <w:rPr>
          <w:rFonts w:eastAsia="Calibri"/>
          <w:b/>
          <w:bCs/>
          <w:lang w:eastAsia="en-US"/>
        </w:rPr>
      </w:pPr>
    </w:p>
    <w:p w14:paraId="4E139B35" w14:textId="120778EA" w:rsidR="00A53EE0" w:rsidRPr="00064185" w:rsidRDefault="00A87C58" w:rsidP="00EA61D8">
      <w:pPr>
        <w:spacing w:line="260" w:lineRule="atLeast"/>
        <w:rPr>
          <w:rFonts w:eastAsia="Calibri"/>
          <w:b/>
          <w:bCs/>
          <w:lang w:eastAsia="en-US"/>
        </w:rPr>
      </w:pPr>
      <w:r w:rsidRPr="00064185">
        <w:rPr>
          <w:rFonts w:eastAsia="Calibri"/>
          <w:b/>
          <w:bCs/>
          <w:lang w:eastAsia="en-US"/>
        </w:rPr>
        <w:t xml:space="preserve">Calculations for Scenario </w:t>
      </w:r>
      <w:r w:rsidR="002915DC" w:rsidRPr="00064185">
        <w:rPr>
          <w:rFonts w:eastAsia="Calibri"/>
          <w:b/>
          <w:bCs/>
          <w:lang w:eastAsia="en-US"/>
        </w:rPr>
        <w:t>1</w:t>
      </w:r>
      <w:r w:rsidRPr="00064185">
        <w:rPr>
          <w:rFonts w:eastAsia="Calibri"/>
          <w:b/>
          <w:bCs/>
          <w:lang w:eastAsia="en-US"/>
        </w:rPr>
        <w:t xml:space="preserve">: </w:t>
      </w:r>
      <w:r w:rsidRPr="00064185">
        <w:rPr>
          <w:rFonts w:eastAsia="Calibri"/>
          <w:lang w:eastAsia="en-US"/>
        </w:rPr>
        <w:t>Primary exposure of non-professionals applying liquid formulation by trigger spray devices</w:t>
      </w:r>
    </w:p>
    <w:p w14:paraId="613624BB" w14:textId="77777777" w:rsidR="00A53EE0" w:rsidRPr="00064185" w:rsidRDefault="00A53EE0" w:rsidP="00EA61D8">
      <w:pPr>
        <w:spacing w:line="260" w:lineRule="atLeast"/>
        <w:rPr>
          <w:rFonts w:ascii="Times New Roman" w:eastAsia="Calibri" w:hAnsi="Times New Roman"/>
          <w:i/>
          <w:i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559"/>
        <w:gridCol w:w="1559"/>
        <w:gridCol w:w="1559"/>
        <w:gridCol w:w="1559"/>
        <w:gridCol w:w="1843"/>
      </w:tblGrid>
      <w:tr w:rsidR="00064185" w:rsidRPr="00064185" w14:paraId="35897E31" w14:textId="77777777" w:rsidTr="00922E8F">
        <w:trPr>
          <w:cantSplit/>
          <w:tblHeader/>
        </w:trPr>
        <w:tc>
          <w:tcPr>
            <w:tcW w:w="9425" w:type="dxa"/>
            <w:gridSpan w:val="6"/>
            <w:shd w:val="clear" w:color="auto" w:fill="FFFFCC"/>
          </w:tcPr>
          <w:p w14:paraId="752C0A06" w14:textId="77777777" w:rsidR="00A53EE0" w:rsidRPr="00064185" w:rsidRDefault="00A53EE0" w:rsidP="00EA61D8">
            <w:pPr>
              <w:spacing w:line="260" w:lineRule="atLeast"/>
              <w:rPr>
                <w:rFonts w:eastAsia="Calibri"/>
                <w:b/>
                <w:lang w:eastAsia="en-US"/>
              </w:rPr>
            </w:pPr>
            <w:r w:rsidRPr="00064185">
              <w:rPr>
                <w:rFonts w:eastAsia="Calibri"/>
                <w:b/>
                <w:lang w:eastAsia="en-US"/>
              </w:rPr>
              <w:t>Summary table: systemic exposure from non-professional uses</w:t>
            </w:r>
          </w:p>
        </w:tc>
      </w:tr>
      <w:tr w:rsidR="00064185" w:rsidRPr="00064185" w14:paraId="1C422C2B" w14:textId="77777777" w:rsidTr="00AE177D">
        <w:trPr>
          <w:cantSplit/>
          <w:tblHeader/>
        </w:trPr>
        <w:tc>
          <w:tcPr>
            <w:tcW w:w="1346" w:type="dxa"/>
            <w:vMerge w:val="restart"/>
            <w:tcBorders>
              <w:right w:val="single" w:sz="4" w:space="0" w:color="auto"/>
            </w:tcBorders>
            <w:shd w:val="clear" w:color="auto" w:fill="auto"/>
          </w:tcPr>
          <w:p w14:paraId="76BAFAEF" w14:textId="77777777" w:rsidR="00AE177D" w:rsidRPr="00064185" w:rsidRDefault="00AE177D" w:rsidP="00EA61D8">
            <w:pPr>
              <w:spacing w:line="260" w:lineRule="atLeast"/>
              <w:rPr>
                <w:rFonts w:eastAsia="Calibri"/>
                <w:b/>
                <w:lang w:eastAsia="en-US"/>
              </w:rPr>
            </w:pPr>
            <w:r w:rsidRPr="00064185">
              <w:rPr>
                <w:rFonts w:eastAsia="Calibri"/>
                <w:b/>
                <w:lang w:eastAsia="en-US"/>
              </w:rPr>
              <w:t>Exposure scenario</w:t>
            </w:r>
          </w:p>
          <w:p w14:paraId="7E399A8E" w14:textId="77777777" w:rsidR="00AE177D" w:rsidRPr="00064185" w:rsidRDefault="00AE177D" w:rsidP="00EA61D8">
            <w:pPr>
              <w:spacing w:line="260" w:lineRule="atLeast"/>
              <w:rPr>
                <w:rFonts w:eastAsia="Calibri"/>
                <w:b/>
                <w:lang w:eastAsia="en-US"/>
              </w:rPr>
            </w:pPr>
          </w:p>
        </w:tc>
        <w:tc>
          <w:tcPr>
            <w:tcW w:w="1559" w:type="dxa"/>
            <w:vMerge w:val="restart"/>
            <w:tcBorders>
              <w:left w:val="single" w:sz="4" w:space="0" w:color="auto"/>
            </w:tcBorders>
            <w:shd w:val="clear" w:color="auto" w:fill="auto"/>
          </w:tcPr>
          <w:p w14:paraId="02EB43FC" w14:textId="77777777" w:rsidR="00AE177D" w:rsidRPr="00064185" w:rsidRDefault="00AE177D" w:rsidP="00EA61D8">
            <w:pPr>
              <w:spacing w:line="260" w:lineRule="atLeast"/>
              <w:rPr>
                <w:rFonts w:eastAsia="Calibri"/>
                <w:b/>
                <w:lang w:eastAsia="en-US"/>
              </w:rPr>
            </w:pPr>
            <w:r w:rsidRPr="00064185">
              <w:rPr>
                <w:rFonts w:eastAsia="Calibri"/>
                <w:b/>
                <w:lang w:eastAsia="en-US"/>
              </w:rPr>
              <w:t>Tier/PPE</w:t>
            </w:r>
          </w:p>
        </w:tc>
        <w:tc>
          <w:tcPr>
            <w:tcW w:w="1559" w:type="dxa"/>
            <w:shd w:val="clear" w:color="auto" w:fill="auto"/>
            <w:tcMar>
              <w:top w:w="57" w:type="dxa"/>
              <w:bottom w:w="57" w:type="dxa"/>
            </w:tcMar>
          </w:tcPr>
          <w:p w14:paraId="169BBA8B" w14:textId="77777777" w:rsidR="00AE177D" w:rsidRPr="00064185" w:rsidRDefault="00AE177D" w:rsidP="00EA61D8">
            <w:pPr>
              <w:spacing w:line="260" w:lineRule="atLeast"/>
              <w:rPr>
                <w:rFonts w:eastAsia="Calibri"/>
                <w:b/>
                <w:lang w:eastAsia="en-US"/>
              </w:rPr>
            </w:pPr>
            <w:r w:rsidRPr="00064185">
              <w:rPr>
                <w:rFonts w:eastAsia="Calibri"/>
                <w:b/>
                <w:lang w:eastAsia="en-US"/>
              </w:rPr>
              <w:t>Estimated inhalation uptake</w:t>
            </w:r>
          </w:p>
        </w:tc>
        <w:tc>
          <w:tcPr>
            <w:tcW w:w="1559" w:type="dxa"/>
            <w:shd w:val="clear" w:color="auto" w:fill="auto"/>
            <w:tcMar>
              <w:top w:w="57" w:type="dxa"/>
              <w:bottom w:w="57" w:type="dxa"/>
            </w:tcMar>
          </w:tcPr>
          <w:p w14:paraId="6F502F7A" w14:textId="77777777" w:rsidR="00AE177D" w:rsidRPr="00064185" w:rsidRDefault="00AE177D" w:rsidP="00EA61D8">
            <w:pPr>
              <w:spacing w:line="260" w:lineRule="atLeast"/>
              <w:rPr>
                <w:rFonts w:eastAsia="Calibri"/>
                <w:b/>
                <w:lang w:eastAsia="en-US"/>
              </w:rPr>
            </w:pPr>
            <w:r w:rsidRPr="00064185">
              <w:rPr>
                <w:rFonts w:eastAsia="Calibri"/>
                <w:b/>
                <w:lang w:eastAsia="en-US"/>
              </w:rPr>
              <w:t>Estimated dermal uptake</w:t>
            </w:r>
          </w:p>
        </w:tc>
        <w:tc>
          <w:tcPr>
            <w:tcW w:w="1559" w:type="dxa"/>
            <w:shd w:val="clear" w:color="auto" w:fill="auto"/>
            <w:tcMar>
              <w:top w:w="57" w:type="dxa"/>
              <w:bottom w:w="57" w:type="dxa"/>
            </w:tcMar>
          </w:tcPr>
          <w:p w14:paraId="723A4903" w14:textId="77777777" w:rsidR="00AE177D" w:rsidRPr="00064185" w:rsidRDefault="00AE177D" w:rsidP="00EA61D8">
            <w:pPr>
              <w:spacing w:line="260" w:lineRule="atLeast"/>
              <w:rPr>
                <w:rFonts w:eastAsia="Calibri"/>
                <w:b/>
                <w:lang w:eastAsia="en-US"/>
              </w:rPr>
            </w:pPr>
            <w:r w:rsidRPr="00064185">
              <w:rPr>
                <w:rFonts w:eastAsia="Calibri"/>
                <w:b/>
                <w:lang w:eastAsia="en-US"/>
              </w:rPr>
              <w:t>Estimated oral uptake</w:t>
            </w:r>
          </w:p>
        </w:tc>
        <w:tc>
          <w:tcPr>
            <w:tcW w:w="1843" w:type="dxa"/>
          </w:tcPr>
          <w:p w14:paraId="410FF54C" w14:textId="77777777" w:rsidR="00AE177D" w:rsidRPr="00064185" w:rsidRDefault="00AE177D" w:rsidP="00EA61D8">
            <w:pPr>
              <w:spacing w:line="260" w:lineRule="atLeast"/>
              <w:rPr>
                <w:rFonts w:eastAsia="Calibri"/>
                <w:b/>
                <w:lang w:eastAsia="en-US"/>
              </w:rPr>
            </w:pPr>
            <w:r w:rsidRPr="00064185">
              <w:rPr>
                <w:rFonts w:eastAsia="Calibri"/>
                <w:b/>
                <w:lang w:eastAsia="en-US"/>
              </w:rPr>
              <w:t>Estimated total uptake</w:t>
            </w:r>
          </w:p>
        </w:tc>
      </w:tr>
      <w:tr w:rsidR="00064185" w:rsidRPr="00064185" w14:paraId="581C498C" w14:textId="77777777" w:rsidTr="00AE177D">
        <w:trPr>
          <w:cantSplit/>
          <w:tblHeader/>
        </w:trPr>
        <w:tc>
          <w:tcPr>
            <w:tcW w:w="1346" w:type="dxa"/>
            <w:vMerge/>
            <w:tcBorders>
              <w:right w:val="single" w:sz="4" w:space="0" w:color="auto"/>
            </w:tcBorders>
            <w:shd w:val="clear" w:color="auto" w:fill="auto"/>
          </w:tcPr>
          <w:p w14:paraId="31A53302" w14:textId="77777777" w:rsidR="00AE177D" w:rsidRPr="00064185" w:rsidRDefault="00AE177D" w:rsidP="00EA61D8">
            <w:pPr>
              <w:spacing w:line="260" w:lineRule="atLeast"/>
              <w:rPr>
                <w:rFonts w:eastAsia="Calibri"/>
                <w:b/>
                <w:lang w:eastAsia="en-US"/>
              </w:rPr>
            </w:pPr>
          </w:p>
        </w:tc>
        <w:tc>
          <w:tcPr>
            <w:tcW w:w="1559" w:type="dxa"/>
            <w:vMerge/>
            <w:tcBorders>
              <w:left w:val="single" w:sz="4" w:space="0" w:color="auto"/>
            </w:tcBorders>
            <w:shd w:val="clear" w:color="auto" w:fill="auto"/>
          </w:tcPr>
          <w:p w14:paraId="29A28ED9" w14:textId="77777777" w:rsidR="00AE177D" w:rsidRPr="00064185" w:rsidRDefault="00AE177D" w:rsidP="00EA61D8">
            <w:pPr>
              <w:spacing w:line="260" w:lineRule="atLeast"/>
              <w:rPr>
                <w:rFonts w:eastAsia="Calibri"/>
                <w:b/>
                <w:lang w:eastAsia="en-US"/>
              </w:rPr>
            </w:pPr>
          </w:p>
        </w:tc>
        <w:tc>
          <w:tcPr>
            <w:tcW w:w="6520" w:type="dxa"/>
            <w:gridSpan w:val="4"/>
            <w:shd w:val="clear" w:color="auto" w:fill="auto"/>
            <w:tcMar>
              <w:top w:w="57" w:type="dxa"/>
              <w:bottom w:w="57" w:type="dxa"/>
            </w:tcMar>
          </w:tcPr>
          <w:p w14:paraId="5C4EDA5F" w14:textId="77777777" w:rsidR="00AE177D" w:rsidRPr="00064185" w:rsidRDefault="00AE177D" w:rsidP="00EA61D8">
            <w:pPr>
              <w:spacing w:line="260" w:lineRule="atLeast"/>
              <w:rPr>
                <w:rFonts w:eastAsia="Calibri"/>
                <w:b/>
                <w:lang w:eastAsia="en-US"/>
              </w:rPr>
            </w:pPr>
            <w:r w:rsidRPr="00064185">
              <w:rPr>
                <w:rFonts w:eastAsia="Calibri"/>
                <w:lang w:eastAsia="en-US"/>
              </w:rPr>
              <w:t>mg/kg bw/day</w:t>
            </w:r>
          </w:p>
        </w:tc>
      </w:tr>
      <w:tr w:rsidR="00A53EE0" w:rsidRPr="00064185" w14:paraId="1690C890" w14:textId="77777777" w:rsidTr="00AE177D">
        <w:trPr>
          <w:cantSplit/>
          <w:tblHeader/>
        </w:trPr>
        <w:tc>
          <w:tcPr>
            <w:tcW w:w="1346" w:type="dxa"/>
            <w:shd w:val="clear" w:color="auto" w:fill="auto"/>
          </w:tcPr>
          <w:p w14:paraId="503E744C" w14:textId="549003A6" w:rsidR="00A53EE0" w:rsidRPr="00064185" w:rsidRDefault="00A87C58" w:rsidP="00EA61D8">
            <w:pPr>
              <w:spacing w:line="260" w:lineRule="atLeast"/>
              <w:rPr>
                <w:rFonts w:eastAsia="Calibri"/>
                <w:lang w:eastAsia="en-US"/>
              </w:rPr>
            </w:pPr>
            <w:r w:rsidRPr="00064185">
              <w:rPr>
                <w:rFonts w:eastAsia="Calibri"/>
                <w:lang w:eastAsia="en-US"/>
              </w:rPr>
              <w:t xml:space="preserve">Scenario </w:t>
            </w:r>
            <w:r w:rsidR="00AA128A" w:rsidRPr="00064185">
              <w:rPr>
                <w:rFonts w:eastAsia="Calibri"/>
                <w:lang w:eastAsia="en-US"/>
              </w:rPr>
              <w:t>1</w:t>
            </w:r>
          </w:p>
        </w:tc>
        <w:tc>
          <w:tcPr>
            <w:tcW w:w="1559" w:type="dxa"/>
          </w:tcPr>
          <w:p w14:paraId="07006BCB" w14:textId="77777777" w:rsidR="00A53EE0" w:rsidRPr="00064185" w:rsidRDefault="00462006" w:rsidP="00EA61D8">
            <w:pPr>
              <w:spacing w:line="260" w:lineRule="atLeast"/>
              <w:rPr>
                <w:rFonts w:eastAsia="Calibri"/>
                <w:lang w:eastAsia="en-US"/>
              </w:rPr>
            </w:pPr>
            <w:r w:rsidRPr="00064185">
              <w:rPr>
                <w:rFonts w:eastAsia="Calibri"/>
                <w:lang w:eastAsia="en-US"/>
              </w:rPr>
              <w:t>1</w:t>
            </w:r>
            <w:r w:rsidR="00AE177D" w:rsidRPr="00064185">
              <w:rPr>
                <w:rFonts w:eastAsia="Calibri"/>
                <w:lang w:eastAsia="en-US"/>
              </w:rPr>
              <w:t xml:space="preserve"> / None</w:t>
            </w:r>
          </w:p>
        </w:tc>
        <w:tc>
          <w:tcPr>
            <w:tcW w:w="1559" w:type="dxa"/>
            <w:shd w:val="clear" w:color="auto" w:fill="auto"/>
            <w:tcMar>
              <w:top w:w="57" w:type="dxa"/>
              <w:bottom w:w="57" w:type="dxa"/>
            </w:tcMar>
          </w:tcPr>
          <w:p w14:paraId="3633F89A" w14:textId="4EA57A6C" w:rsidR="00A53EE0" w:rsidRPr="00064185" w:rsidRDefault="00A80C6D" w:rsidP="00EA61D8">
            <w:pPr>
              <w:spacing w:line="260" w:lineRule="atLeast"/>
              <w:rPr>
                <w:rFonts w:eastAsia="Calibri"/>
                <w:lang w:eastAsia="en-US"/>
              </w:rPr>
            </w:pPr>
            <w:r w:rsidRPr="00064185">
              <w:rPr>
                <w:rFonts w:eastAsia="Calibri"/>
                <w:lang w:eastAsia="en-US"/>
              </w:rPr>
              <w:t>1.9x10</w:t>
            </w:r>
            <w:r w:rsidR="00AA128A" w:rsidRPr="00064185">
              <w:rPr>
                <w:rFonts w:eastAsia="Calibri"/>
                <w:vertAlign w:val="superscript"/>
                <w:lang w:eastAsia="en-US"/>
              </w:rPr>
              <w:t>-5</w:t>
            </w:r>
          </w:p>
        </w:tc>
        <w:tc>
          <w:tcPr>
            <w:tcW w:w="1559" w:type="dxa"/>
            <w:shd w:val="clear" w:color="auto" w:fill="auto"/>
            <w:tcMar>
              <w:top w:w="57" w:type="dxa"/>
              <w:bottom w:w="57" w:type="dxa"/>
            </w:tcMar>
          </w:tcPr>
          <w:p w14:paraId="02D50C15" w14:textId="13585EE9" w:rsidR="00A53EE0" w:rsidRPr="00064185" w:rsidRDefault="00A80C6D" w:rsidP="00EA61D8">
            <w:pPr>
              <w:spacing w:line="260" w:lineRule="atLeast"/>
              <w:rPr>
                <w:rFonts w:eastAsia="Calibri"/>
                <w:lang w:eastAsia="en-US"/>
              </w:rPr>
            </w:pPr>
            <w:r w:rsidRPr="00064185">
              <w:rPr>
                <w:rFonts w:eastAsia="Calibri"/>
                <w:bCs/>
                <w:lang w:eastAsia="en-US"/>
              </w:rPr>
              <w:t>1.5x10</w:t>
            </w:r>
            <w:r w:rsidR="00AA128A" w:rsidRPr="00064185">
              <w:rPr>
                <w:rFonts w:eastAsia="Calibri"/>
                <w:bCs/>
                <w:vertAlign w:val="superscript"/>
                <w:lang w:eastAsia="en-US"/>
              </w:rPr>
              <w:t>-5</w:t>
            </w:r>
          </w:p>
        </w:tc>
        <w:tc>
          <w:tcPr>
            <w:tcW w:w="1559" w:type="dxa"/>
            <w:shd w:val="clear" w:color="auto" w:fill="auto"/>
            <w:tcMar>
              <w:top w:w="57" w:type="dxa"/>
              <w:bottom w:w="57" w:type="dxa"/>
            </w:tcMar>
          </w:tcPr>
          <w:p w14:paraId="423D36D4" w14:textId="2E7256AD" w:rsidR="00A53EE0" w:rsidRPr="00064185" w:rsidRDefault="00A80C6D" w:rsidP="00EA61D8">
            <w:pPr>
              <w:spacing w:line="260" w:lineRule="atLeast"/>
              <w:rPr>
                <w:rFonts w:eastAsia="Calibri"/>
                <w:lang w:eastAsia="en-US"/>
              </w:rPr>
            </w:pPr>
            <w:r w:rsidRPr="00064185">
              <w:rPr>
                <w:bCs/>
                <w:szCs w:val="22"/>
              </w:rPr>
              <w:t>5.2x10</w:t>
            </w:r>
            <w:r w:rsidR="00AA128A" w:rsidRPr="00064185">
              <w:rPr>
                <w:bCs/>
                <w:szCs w:val="22"/>
                <w:vertAlign w:val="superscript"/>
              </w:rPr>
              <w:t>-5</w:t>
            </w:r>
          </w:p>
        </w:tc>
        <w:tc>
          <w:tcPr>
            <w:tcW w:w="1843" w:type="dxa"/>
          </w:tcPr>
          <w:p w14:paraId="416D3B82" w14:textId="268A8C65" w:rsidR="00A53EE0" w:rsidRPr="00064185" w:rsidRDefault="00A80C6D" w:rsidP="00EA61D8">
            <w:pPr>
              <w:spacing w:line="260" w:lineRule="atLeast"/>
              <w:rPr>
                <w:rFonts w:eastAsia="Calibri"/>
                <w:lang w:eastAsia="en-US"/>
              </w:rPr>
            </w:pPr>
            <w:r w:rsidRPr="00064185">
              <w:rPr>
                <w:szCs w:val="22"/>
              </w:rPr>
              <w:t>8.7x10</w:t>
            </w:r>
            <w:r w:rsidR="00AA128A" w:rsidRPr="00064185">
              <w:rPr>
                <w:szCs w:val="22"/>
                <w:vertAlign w:val="superscript"/>
              </w:rPr>
              <w:t>-5</w:t>
            </w:r>
          </w:p>
        </w:tc>
      </w:tr>
    </w:tbl>
    <w:p w14:paraId="4B6B0A16" w14:textId="77777777" w:rsidR="00A53EE0" w:rsidRPr="00064185" w:rsidRDefault="00A53EE0" w:rsidP="00EA61D8">
      <w:pPr>
        <w:spacing w:line="260" w:lineRule="atLeast"/>
        <w:rPr>
          <w:rFonts w:eastAsia="Calibri"/>
          <w:lang w:eastAsia="en-US"/>
        </w:rPr>
      </w:pPr>
    </w:p>
    <w:p w14:paraId="646EDCA9" w14:textId="77777777" w:rsidR="00A53EE0" w:rsidRPr="00064185" w:rsidRDefault="00A53EE0" w:rsidP="00EA61D8">
      <w:pPr>
        <w:spacing w:line="260" w:lineRule="atLeast"/>
        <w:rPr>
          <w:rFonts w:eastAsia="Calibri"/>
          <w:lang w:eastAsia="en-US"/>
        </w:rPr>
      </w:pPr>
    </w:p>
    <w:p w14:paraId="0C14241A" w14:textId="77777777" w:rsidR="00DA465D" w:rsidRPr="00064185" w:rsidRDefault="00DA465D" w:rsidP="00EA61D8">
      <w:pPr>
        <w:spacing w:line="260" w:lineRule="atLeast"/>
        <w:rPr>
          <w:rFonts w:eastAsia="Calibri"/>
          <w:lang w:eastAsia="en-US"/>
        </w:rPr>
      </w:pPr>
    </w:p>
    <w:p w14:paraId="7BB9B1B7" w14:textId="77777777" w:rsidR="00A53EE0" w:rsidRPr="00064185" w:rsidRDefault="00A53EE0" w:rsidP="00EA61D8">
      <w:pPr>
        <w:rPr>
          <w:rFonts w:eastAsia="Calibri"/>
          <w:b/>
          <w:i/>
          <w:sz w:val="22"/>
          <w:szCs w:val="22"/>
          <w:lang w:eastAsia="en-US"/>
        </w:rPr>
      </w:pPr>
      <w:bookmarkStart w:id="1693" w:name="_Toc389729073"/>
      <w:bookmarkStart w:id="1694" w:name="_Toc403472769"/>
      <w:r w:rsidRPr="00064185">
        <w:rPr>
          <w:rFonts w:eastAsia="Calibri"/>
          <w:b/>
          <w:i/>
          <w:sz w:val="22"/>
          <w:szCs w:val="22"/>
          <w:lang w:eastAsia="en-US"/>
        </w:rPr>
        <w:lastRenderedPageBreak/>
        <w:t>Exposure of the general public</w:t>
      </w:r>
      <w:bookmarkEnd w:id="1693"/>
      <w:bookmarkEnd w:id="1694"/>
    </w:p>
    <w:p w14:paraId="1DE3A322" w14:textId="77777777" w:rsidR="00A53EE0" w:rsidRPr="00064185" w:rsidRDefault="00A53EE0" w:rsidP="00EA61D8">
      <w:pPr>
        <w:spacing w:line="260" w:lineRule="atLeast"/>
        <w:rPr>
          <w:rFonts w:eastAsia="Calibri"/>
          <w:lang w:eastAsia="en-US"/>
        </w:rPr>
      </w:pPr>
    </w:p>
    <w:p w14:paraId="0FC01AC5" w14:textId="66EF3501" w:rsidR="007D57EE" w:rsidRPr="00064185" w:rsidRDefault="00A87C58" w:rsidP="00EA61D8">
      <w:pPr>
        <w:rPr>
          <w:rFonts w:eastAsia="Calibri"/>
          <w:i/>
          <w:sz w:val="22"/>
          <w:szCs w:val="22"/>
          <w:u w:val="single"/>
          <w:lang w:eastAsia="en-US"/>
        </w:rPr>
      </w:pPr>
      <w:bookmarkStart w:id="1695" w:name="_Toc389729074"/>
      <w:r w:rsidRPr="00064185">
        <w:rPr>
          <w:rFonts w:eastAsia="Calibri"/>
          <w:i/>
          <w:sz w:val="22"/>
          <w:szCs w:val="22"/>
          <w:u w:val="single"/>
          <w:lang w:eastAsia="en-US"/>
        </w:rPr>
        <w:t xml:space="preserve">Scenario </w:t>
      </w:r>
      <w:r w:rsidR="00B96C98" w:rsidRPr="00064185">
        <w:rPr>
          <w:rFonts w:eastAsia="Calibri"/>
          <w:i/>
          <w:sz w:val="22"/>
          <w:szCs w:val="22"/>
          <w:u w:val="single"/>
          <w:lang w:eastAsia="en-US"/>
        </w:rPr>
        <w:t>2</w:t>
      </w:r>
      <w:bookmarkEnd w:id="1695"/>
      <w:r w:rsidRPr="00064185">
        <w:rPr>
          <w:rFonts w:eastAsia="Calibri"/>
          <w:i/>
          <w:sz w:val="22"/>
          <w:szCs w:val="22"/>
          <w:u w:val="single"/>
          <w:lang w:eastAsia="en-US"/>
        </w:rPr>
        <w:t xml:space="preserve">: </w:t>
      </w:r>
      <w:r w:rsidRPr="00064185">
        <w:rPr>
          <w:bCs/>
          <w:i/>
          <w:sz w:val="22"/>
          <w:szCs w:val="22"/>
          <w:u w:val="single"/>
        </w:rPr>
        <w:t>Child</w:t>
      </w:r>
      <w:r w:rsidR="007D57EE" w:rsidRPr="00064185">
        <w:rPr>
          <w:bCs/>
          <w:i/>
          <w:sz w:val="22"/>
          <w:szCs w:val="22"/>
          <w:u w:val="single"/>
        </w:rPr>
        <w:t xml:space="preserve"> playing on floor</w:t>
      </w:r>
    </w:p>
    <w:p w14:paraId="57CFB5E8" w14:textId="77777777" w:rsidR="00B96C98" w:rsidRPr="00064185" w:rsidRDefault="00B96C98" w:rsidP="00EA61D8">
      <w:pPr>
        <w:spacing w:line="260" w:lineRule="atLeast"/>
        <w:rPr>
          <w:rFonts w:eastAsia="Calibri"/>
          <w:lang w:eastAsia="en-US"/>
        </w:rPr>
      </w:pPr>
    </w:p>
    <w:p w14:paraId="22CAC11E" w14:textId="77777777" w:rsidR="003379E0" w:rsidRPr="00064185" w:rsidRDefault="003379E0" w:rsidP="00403806">
      <w:pPr>
        <w:keepNext/>
        <w:keepLines/>
        <w:widowControl w:val="0"/>
        <w:spacing w:line="260" w:lineRule="atLeast"/>
        <w:jc w:val="both"/>
        <w:rPr>
          <w:rFonts w:eastAsia="Calibri"/>
          <w:lang w:eastAsia="en-US"/>
        </w:rPr>
      </w:pPr>
      <w:r w:rsidRPr="00064185">
        <w:rPr>
          <w:rFonts w:eastAsia="Calibri"/>
          <w:lang w:eastAsia="en-US"/>
        </w:rPr>
        <w:t xml:space="preserve">Secondary exposure is considered to be possible assuming contact with treated surfaces. Inhalation exposure due to gaseous release is expected to be not relevant, as only small areas are treated (spot treatment) and due to the low vapour pressure of the </w:t>
      </w:r>
      <w:proofErr w:type="gramStart"/>
      <w:r w:rsidRPr="00064185">
        <w:rPr>
          <w:rFonts w:eastAsia="Calibri"/>
          <w:lang w:eastAsia="en-US"/>
        </w:rPr>
        <w:t>a.s</w:t>
      </w:r>
      <w:proofErr w:type="gramEnd"/>
      <w:r w:rsidRPr="00064185">
        <w:rPr>
          <w:rFonts w:eastAsia="Calibri"/>
          <w:lang w:eastAsia="en-US"/>
        </w:rPr>
        <w:t xml:space="preserve">. Dermal and oral exposure might be relevant as reasonable worst case for secondary exposure, assuming infants crawling over treated areas. </w:t>
      </w:r>
    </w:p>
    <w:p w14:paraId="5C3BB6C5" w14:textId="77777777" w:rsidR="003379E0" w:rsidRPr="00064185" w:rsidRDefault="003379E0" w:rsidP="00EA61D8">
      <w:pPr>
        <w:spacing w:line="260" w:lineRule="atLeast"/>
        <w:rPr>
          <w:rFonts w:eastAsia="Calibri"/>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938"/>
        <w:gridCol w:w="2552"/>
      </w:tblGrid>
      <w:tr w:rsidR="00064185" w:rsidRPr="00064185" w14:paraId="633FF1A8" w14:textId="77777777" w:rsidTr="00922E8F">
        <w:trPr>
          <w:tblHeader/>
        </w:trPr>
        <w:tc>
          <w:tcPr>
            <w:tcW w:w="5000" w:type="pct"/>
            <w:gridSpan w:val="3"/>
            <w:shd w:val="clear" w:color="auto" w:fill="FFFFCC"/>
            <w:tcMar>
              <w:top w:w="57" w:type="dxa"/>
              <w:bottom w:w="57" w:type="dxa"/>
            </w:tcMar>
          </w:tcPr>
          <w:p w14:paraId="568263EA" w14:textId="60D0536A" w:rsidR="00A53EE0" w:rsidRPr="00064185" w:rsidRDefault="00A87C58" w:rsidP="00EA61D8">
            <w:pPr>
              <w:keepNext/>
              <w:keepLines/>
              <w:widowControl w:val="0"/>
              <w:spacing w:line="260" w:lineRule="atLeast"/>
              <w:rPr>
                <w:rFonts w:eastAsia="Calibri"/>
                <w:b/>
                <w:lang w:eastAsia="en-US"/>
              </w:rPr>
            </w:pPr>
            <w:r w:rsidRPr="00064185">
              <w:rPr>
                <w:rFonts w:eastAsia="Calibri"/>
                <w:b/>
                <w:lang w:eastAsia="en-US"/>
              </w:rPr>
              <w:t xml:space="preserve">Scenario </w:t>
            </w:r>
            <w:r w:rsidR="009460E7" w:rsidRPr="00064185">
              <w:rPr>
                <w:rFonts w:eastAsia="Calibri"/>
                <w:b/>
                <w:lang w:eastAsia="en-US"/>
              </w:rPr>
              <w:t>2</w:t>
            </w:r>
            <w:r w:rsidRPr="00064185">
              <w:rPr>
                <w:rFonts w:eastAsia="Calibri"/>
                <w:b/>
                <w:lang w:eastAsia="en-US"/>
              </w:rPr>
              <w:t>: Child playing on floor</w:t>
            </w:r>
            <w:r w:rsidR="003C0F8B" w:rsidRPr="00064185">
              <w:rPr>
                <w:rFonts w:eastAsia="Calibri"/>
                <w:b/>
                <w:lang w:eastAsia="en-US"/>
              </w:rPr>
              <w:t xml:space="preserve"> – dermal exposure</w:t>
            </w:r>
          </w:p>
        </w:tc>
      </w:tr>
      <w:tr w:rsidR="00064185" w:rsidRPr="00064185" w14:paraId="7867C706" w14:textId="77777777" w:rsidTr="00922E8F">
        <w:trPr>
          <w:tblHeader/>
        </w:trPr>
        <w:tc>
          <w:tcPr>
            <w:tcW w:w="5000" w:type="pct"/>
            <w:gridSpan w:val="3"/>
            <w:shd w:val="clear" w:color="auto" w:fill="auto"/>
            <w:tcMar>
              <w:top w:w="57" w:type="dxa"/>
              <w:bottom w:w="57" w:type="dxa"/>
            </w:tcMar>
          </w:tcPr>
          <w:p w14:paraId="27269838" w14:textId="6C19481C" w:rsidR="008C78DE" w:rsidRPr="00064185" w:rsidRDefault="008C78DE" w:rsidP="00EA61D8">
            <w:pPr>
              <w:keepNext/>
              <w:keepLines/>
              <w:widowControl w:val="0"/>
              <w:spacing w:line="260" w:lineRule="atLeast"/>
              <w:rPr>
                <w:rFonts w:eastAsia="Calibri"/>
                <w:lang w:eastAsia="en-US"/>
              </w:rPr>
            </w:pPr>
            <w:r w:rsidRPr="00064185">
              <w:rPr>
                <w:rFonts w:eastAsia="Calibri"/>
                <w:lang w:eastAsia="en-US"/>
              </w:rPr>
              <w:t xml:space="preserve">The exposure after </w:t>
            </w:r>
            <w:r w:rsidR="00D24C36" w:rsidRPr="00064185">
              <w:rPr>
                <w:rFonts w:eastAsia="Calibri"/>
                <w:lang w:eastAsia="en-US"/>
              </w:rPr>
              <w:t>spot treatment</w:t>
            </w:r>
            <w:r w:rsidRPr="00064185">
              <w:rPr>
                <w:rFonts w:eastAsia="Calibri"/>
                <w:lang w:eastAsia="en-US"/>
              </w:rPr>
              <w:t xml:space="preserve"> is described for crawling children present in the room after the treatment has been carried ou</w:t>
            </w:r>
            <w:r w:rsidR="009B36E5" w:rsidRPr="00064185">
              <w:rPr>
                <w:rFonts w:eastAsia="Calibri"/>
                <w:lang w:eastAsia="en-US"/>
              </w:rPr>
              <w:t>t. It is assumed that a child</w:t>
            </w:r>
            <w:r w:rsidR="007F38E8" w:rsidRPr="00064185">
              <w:rPr>
                <w:rFonts w:eastAsia="Calibri"/>
                <w:lang w:eastAsia="en-US"/>
              </w:rPr>
              <w:t>/toddler</w:t>
            </w:r>
            <w:r w:rsidR="009B36E5" w:rsidRPr="00064185">
              <w:rPr>
                <w:rFonts w:eastAsia="Calibri"/>
                <w:lang w:eastAsia="en-US"/>
              </w:rPr>
              <w:t xml:space="preserve"> (</w:t>
            </w:r>
            <w:r w:rsidRPr="00064185">
              <w:rPr>
                <w:rFonts w:eastAsia="Calibri"/>
                <w:lang w:eastAsia="en-US"/>
              </w:rPr>
              <w:t>=10 kg) plays inside the treated room for 1 h/day. The treated surface within this room is only a small fraction of the total surface and the infant touches the actual treated s</w:t>
            </w:r>
            <w:r w:rsidR="00303C8B" w:rsidRPr="00064185">
              <w:rPr>
                <w:rFonts w:eastAsia="Calibri"/>
                <w:lang w:eastAsia="en-US"/>
              </w:rPr>
              <w:t xml:space="preserve">urface only by chance. </w:t>
            </w:r>
            <w:r w:rsidR="00B47EA2" w:rsidRPr="00064185">
              <w:rPr>
                <w:rFonts w:eastAsia="Calibri"/>
                <w:lang w:eastAsia="en-US"/>
              </w:rPr>
              <w:t>In common, o</w:t>
            </w:r>
            <w:r w:rsidR="00303C8B" w:rsidRPr="00064185">
              <w:rPr>
                <w:rFonts w:eastAsia="Calibri"/>
                <w:lang w:eastAsia="en-US"/>
              </w:rPr>
              <w:t xml:space="preserve">nly ant trails </w:t>
            </w:r>
            <w:r w:rsidR="00B47EA2" w:rsidRPr="00064185">
              <w:rPr>
                <w:rFonts w:eastAsia="Calibri"/>
                <w:lang w:eastAsia="en-US"/>
              </w:rPr>
              <w:t>are also found</w:t>
            </w:r>
            <w:r w:rsidR="00303C8B" w:rsidRPr="00064185">
              <w:rPr>
                <w:rFonts w:eastAsia="Calibri"/>
                <w:lang w:eastAsia="en-US"/>
              </w:rPr>
              <w:t xml:space="preserve"> at easily accessible areas</w:t>
            </w:r>
            <w:r w:rsidRPr="00064185">
              <w:rPr>
                <w:rFonts w:eastAsia="Calibri"/>
                <w:lang w:eastAsia="en-US"/>
              </w:rPr>
              <w:t>. Treatment against silverfish and cockroaches will only require application behind furniture or along baseboards. These areas will be less likely to be touched by children than ant trails that may run across the middle of a room. Treatment against ants therefore represents the worst case in terms of secondary exposure potential.</w:t>
            </w:r>
          </w:p>
          <w:p w14:paraId="6699C8ED" w14:textId="77777777" w:rsidR="00183D3A" w:rsidRPr="00064185" w:rsidRDefault="008C78DE" w:rsidP="00EA61D8">
            <w:pPr>
              <w:keepNext/>
              <w:keepLines/>
              <w:widowControl w:val="0"/>
              <w:spacing w:line="260" w:lineRule="atLeast"/>
              <w:rPr>
                <w:rFonts w:eastAsia="Calibri"/>
                <w:lang w:eastAsia="en-US"/>
              </w:rPr>
            </w:pPr>
            <w:r w:rsidRPr="00064185">
              <w:rPr>
                <w:rFonts w:eastAsia="Calibri"/>
                <w:lang w:eastAsia="en-US"/>
              </w:rPr>
              <w:t xml:space="preserve">Within the small default room of 8 m², it is assumed that the b.p. is sprayed only onto 1 m². This is equivalent to a swath with a length of 5 m at a width of 20 cm. </w:t>
            </w:r>
          </w:p>
          <w:p w14:paraId="0E0E1174" w14:textId="633F2CEE" w:rsidR="00183D3A" w:rsidRPr="00064185" w:rsidRDefault="0077060E" w:rsidP="00EA61D8">
            <w:pPr>
              <w:keepNext/>
              <w:keepLines/>
              <w:widowControl w:val="0"/>
              <w:spacing w:line="260" w:lineRule="atLeast"/>
              <w:rPr>
                <w:rFonts w:eastAsia="Calibri"/>
                <w:lang w:val="en-US" w:eastAsia="en-US"/>
              </w:rPr>
            </w:pPr>
            <w:r w:rsidRPr="00064185">
              <w:rPr>
                <w:rFonts w:eastAsia="Calibri"/>
                <w:lang w:val="en-US" w:eastAsia="en-US"/>
              </w:rPr>
              <w:t>Referring to information provided by the applicant, w</w:t>
            </w:r>
            <w:r w:rsidR="00183D3A" w:rsidRPr="00064185">
              <w:rPr>
                <w:rFonts w:eastAsia="Calibri"/>
                <w:lang w:val="en-US" w:eastAsia="en-US"/>
              </w:rPr>
              <w:t xml:space="preserve">hen </w:t>
            </w:r>
            <w:r w:rsidRPr="00064185">
              <w:rPr>
                <w:rFonts w:eastAsia="Calibri"/>
                <w:lang w:val="en-US" w:eastAsia="en-US"/>
              </w:rPr>
              <w:t xml:space="preserve">the b.p. is </w:t>
            </w:r>
            <w:r w:rsidR="00183D3A" w:rsidRPr="00064185">
              <w:rPr>
                <w:rFonts w:eastAsia="Calibri"/>
                <w:lang w:val="en-US" w:eastAsia="en-US"/>
              </w:rPr>
              <w:t>sprayed from a distance of 30 cm the diameter of</w:t>
            </w:r>
            <w:r w:rsidRPr="00064185">
              <w:rPr>
                <w:rFonts w:eastAsia="Calibri"/>
                <w:lang w:val="en-US" w:eastAsia="en-US"/>
              </w:rPr>
              <w:t xml:space="preserve"> one stroke is 24 cm. </w:t>
            </w:r>
            <w:r w:rsidR="00183D3A" w:rsidRPr="00064185">
              <w:rPr>
                <w:rFonts w:eastAsia="Calibri"/>
                <w:lang w:val="en-US" w:eastAsia="en-US"/>
              </w:rPr>
              <w:t xml:space="preserve">0.78 g b.p. are released </w:t>
            </w:r>
            <w:r w:rsidRPr="00064185">
              <w:rPr>
                <w:rFonts w:eastAsia="Calibri"/>
                <w:lang w:val="en-US" w:eastAsia="en-US"/>
              </w:rPr>
              <w:t>per stroke</w:t>
            </w:r>
            <w:r w:rsidR="00183D3A" w:rsidRPr="00064185">
              <w:rPr>
                <w:rFonts w:eastAsia="Calibri"/>
                <w:lang w:val="en-US" w:eastAsia="en-US"/>
              </w:rPr>
              <w:t>(please refer to the overview table on page 53 in the PAR). However, assuming 10g b.p. per running meter with a spray width of</w:t>
            </w:r>
            <w:r w:rsidRPr="00064185">
              <w:rPr>
                <w:rFonts w:eastAsia="Calibri"/>
                <w:lang w:val="en-US" w:eastAsia="en-US"/>
              </w:rPr>
              <w:t xml:space="preserve"> 24</w:t>
            </w:r>
            <w:r w:rsidR="009A34E8" w:rsidRPr="00064185">
              <w:rPr>
                <w:rFonts w:eastAsia="Calibri"/>
                <w:lang w:val="en-US" w:eastAsia="en-US"/>
              </w:rPr>
              <w:t xml:space="preserve"> cm an application rate of 44.5</w:t>
            </w:r>
            <w:r w:rsidR="00183D3A" w:rsidRPr="00064185">
              <w:rPr>
                <w:rFonts w:eastAsia="Calibri"/>
                <w:lang w:val="en-US" w:eastAsia="en-US"/>
              </w:rPr>
              <w:t xml:space="preserve"> g/m</w:t>
            </w:r>
            <w:r w:rsidR="00183D3A" w:rsidRPr="00064185">
              <w:rPr>
                <w:rFonts w:eastAsia="Calibri"/>
                <w:vertAlign w:val="superscript"/>
                <w:lang w:val="en-US" w:eastAsia="en-US"/>
              </w:rPr>
              <w:t>2</w:t>
            </w:r>
            <w:r w:rsidR="00183D3A" w:rsidRPr="00064185">
              <w:rPr>
                <w:rFonts w:eastAsia="Calibri"/>
                <w:lang w:val="en-US" w:eastAsia="en-US"/>
              </w:rPr>
              <w:t xml:space="preserve"> can be calculated. </w:t>
            </w:r>
          </w:p>
          <w:p w14:paraId="389F479F" w14:textId="5D3878F8" w:rsidR="008C78DE" w:rsidRPr="00064185" w:rsidRDefault="008C78DE" w:rsidP="00EA61D8">
            <w:pPr>
              <w:keepNext/>
              <w:keepLines/>
              <w:widowControl w:val="0"/>
              <w:spacing w:line="260" w:lineRule="atLeast"/>
              <w:rPr>
                <w:rFonts w:eastAsia="Calibri"/>
                <w:lang w:eastAsia="en-US"/>
              </w:rPr>
            </w:pPr>
            <w:r w:rsidRPr="00064185">
              <w:rPr>
                <w:rFonts w:eastAsia="Calibri"/>
                <w:lang w:eastAsia="en-US"/>
              </w:rPr>
              <w:t>It is assumed that the probability of a child touching a given spot on the floor is uniformly distributed across the entire room. Thus, it is justified to assume an average amount of b.p. equivalent to 1/8 of the application rate on th</w:t>
            </w:r>
            <w:r w:rsidR="0077060E" w:rsidRPr="00064185">
              <w:rPr>
                <w:rFonts w:eastAsia="Calibri"/>
                <w:lang w:eastAsia="en-US"/>
              </w:rPr>
              <w:t>e treated swath (</w:t>
            </w:r>
            <w:r w:rsidR="009A34E8" w:rsidRPr="00064185">
              <w:rPr>
                <w:rFonts w:eastAsia="Calibri"/>
                <w:lang w:eastAsia="en-US"/>
              </w:rPr>
              <w:t>44.5</w:t>
            </w:r>
            <w:r w:rsidRPr="00064185">
              <w:rPr>
                <w:rFonts w:eastAsia="Calibri"/>
                <w:lang w:eastAsia="en-US"/>
              </w:rPr>
              <w:t xml:space="preserve"> g b.p</w:t>
            </w:r>
            <w:proofErr w:type="gramStart"/>
            <w:r w:rsidRPr="00064185">
              <w:rPr>
                <w:rFonts w:eastAsia="Calibri"/>
                <w:lang w:eastAsia="en-US"/>
              </w:rPr>
              <w:t>./</w:t>
            </w:r>
            <w:proofErr w:type="gramEnd"/>
            <w:r w:rsidRPr="00064185">
              <w:rPr>
                <w:rFonts w:eastAsia="Calibri"/>
                <w:lang w:eastAsia="en-US"/>
              </w:rPr>
              <w:t xml:space="preserve">m²). Hence, the effective application rate (AR) is </w:t>
            </w:r>
          </w:p>
          <w:p w14:paraId="518B82B7" w14:textId="0C7D3791" w:rsidR="008C78DE" w:rsidRPr="00064185" w:rsidRDefault="00183D3A" w:rsidP="00EA61D8">
            <w:pPr>
              <w:keepNext/>
              <w:keepLines/>
              <w:widowControl w:val="0"/>
              <w:spacing w:line="260" w:lineRule="atLeast"/>
              <w:rPr>
                <w:rFonts w:eastAsia="Calibri"/>
                <w:lang w:eastAsia="en-US"/>
              </w:rPr>
            </w:pPr>
            <w:r w:rsidRPr="00064185">
              <w:rPr>
                <w:rFonts w:eastAsia="Calibri"/>
                <w:lang w:eastAsia="en-US"/>
              </w:rPr>
              <w:tab/>
              <w:t xml:space="preserve">AR = 1/8 × </w:t>
            </w:r>
            <w:r w:rsidR="009A34E8" w:rsidRPr="00064185">
              <w:rPr>
                <w:rFonts w:eastAsia="Calibri"/>
                <w:lang w:eastAsia="en-US"/>
              </w:rPr>
              <w:t>44.5</w:t>
            </w:r>
            <w:r w:rsidR="0077060E" w:rsidRPr="00064185">
              <w:rPr>
                <w:rFonts w:eastAsia="Calibri"/>
                <w:lang w:eastAsia="en-US"/>
              </w:rPr>
              <w:t xml:space="preserve"> g/m² = </w:t>
            </w:r>
            <w:r w:rsidR="008C78DE" w:rsidRPr="00064185">
              <w:rPr>
                <w:rFonts w:eastAsia="Calibri"/>
                <w:lang w:eastAsia="en-US"/>
              </w:rPr>
              <w:t>5</w:t>
            </w:r>
            <w:r w:rsidR="009A34E8" w:rsidRPr="00064185">
              <w:rPr>
                <w:rFonts w:eastAsia="Calibri"/>
                <w:lang w:eastAsia="en-US"/>
              </w:rPr>
              <w:t>.56</w:t>
            </w:r>
            <w:r w:rsidR="008C78DE" w:rsidRPr="00064185">
              <w:rPr>
                <w:rFonts w:eastAsia="Calibri"/>
                <w:lang w:eastAsia="en-US"/>
              </w:rPr>
              <w:t xml:space="preserve"> g/m²</w:t>
            </w:r>
          </w:p>
          <w:p w14:paraId="70228C28" w14:textId="3A7546CD" w:rsidR="007D57EE" w:rsidRPr="00064185" w:rsidRDefault="003C0F8B" w:rsidP="00EA61D8">
            <w:pPr>
              <w:keepNext/>
              <w:keepLines/>
              <w:widowControl w:val="0"/>
              <w:spacing w:line="260" w:lineRule="atLeast"/>
              <w:rPr>
                <w:rFonts w:eastAsia="Calibri"/>
                <w:lang w:eastAsia="en-US"/>
              </w:rPr>
            </w:pPr>
            <w:r w:rsidRPr="00064185">
              <w:rPr>
                <w:rFonts w:eastAsia="Calibri"/>
                <w:lang w:eastAsia="en-US"/>
              </w:rPr>
              <w:t>The scenario was adopted in terms of body weight according to the SOPs from the US-EPA (1997), a source which is cited by ConsExpo itself regarding the transfer coefficient. The dislodgeable floor residues can be estimat</w:t>
            </w:r>
            <w:r w:rsidR="0077060E" w:rsidRPr="00064185">
              <w:rPr>
                <w:rFonts w:eastAsia="Calibri"/>
                <w:lang w:eastAsia="en-US"/>
              </w:rPr>
              <w:t>ed using the maximum value of 60</w:t>
            </w:r>
            <w:r w:rsidRPr="00064185">
              <w:rPr>
                <w:rFonts w:eastAsia="Calibri"/>
                <w:lang w:eastAsia="en-US"/>
              </w:rPr>
              <w:t>% for dried fluids from various types of surface (TNsG 2007- Annex 6, p. 102) giving</w:t>
            </w:r>
            <w:r w:rsidR="0077060E" w:rsidRPr="00064185">
              <w:rPr>
                <w:rFonts w:eastAsia="Calibri"/>
                <w:lang w:eastAsia="en-US"/>
              </w:rPr>
              <w:t xml:space="preserve"> a dislodgeable residue of 1.56</w:t>
            </w:r>
            <w:r w:rsidRPr="00064185">
              <w:rPr>
                <w:rFonts w:eastAsia="Calibri"/>
                <w:lang w:eastAsia="en-US"/>
              </w:rPr>
              <w:t xml:space="preserve"> mg a.s./m². For details on the exposure asses</w:t>
            </w:r>
            <w:r w:rsidR="0077060E" w:rsidRPr="00064185">
              <w:rPr>
                <w:rFonts w:eastAsia="Calibri"/>
                <w:lang w:eastAsia="en-US"/>
              </w:rPr>
              <w:t>sment please refer to Annex</w:t>
            </w:r>
            <w:r w:rsidR="00962B3F" w:rsidRPr="00064185">
              <w:rPr>
                <w:rFonts w:eastAsia="Calibri"/>
                <w:lang w:eastAsia="en-US"/>
              </w:rPr>
              <w:t xml:space="preserve"> </w:t>
            </w:r>
            <w:r w:rsidR="0077060E" w:rsidRPr="00064185">
              <w:rPr>
                <w:rFonts w:eastAsia="Calibri"/>
                <w:lang w:eastAsia="en-US"/>
              </w:rPr>
              <w:t>3.2</w:t>
            </w:r>
            <w:r w:rsidRPr="00064185">
              <w:rPr>
                <w:rFonts w:eastAsia="Calibri"/>
                <w:lang w:eastAsia="en-US"/>
              </w:rPr>
              <w:t>.</w:t>
            </w:r>
          </w:p>
        </w:tc>
      </w:tr>
      <w:tr w:rsidR="00064185" w:rsidRPr="00064185" w14:paraId="2AA8AE07" w14:textId="77777777" w:rsidTr="003C0F8B">
        <w:trPr>
          <w:tblHeader/>
        </w:trPr>
        <w:tc>
          <w:tcPr>
            <w:tcW w:w="967" w:type="pct"/>
            <w:shd w:val="clear" w:color="auto" w:fill="auto"/>
            <w:tcMar>
              <w:top w:w="57" w:type="dxa"/>
              <w:bottom w:w="57" w:type="dxa"/>
            </w:tcMar>
          </w:tcPr>
          <w:p w14:paraId="404B31FB" w14:textId="77777777" w:rsidR="00A53EE0" w:rsidRPr="00064185" w:rsidRDefault="00A53EE0" w:rsidP="00EA61D8">
            <w:pPr>
              <w:spacing w:line="260" w:lineRule="atLeast"/>
              <w:rPr>
                <w:rFonts w:eastAsia="Calibri"/>
                <w:lang w:eastAsia="en-US"/>
              </w:rPr>
            </w:pPr>
          </w:p>
        </w:tc>
        <w:tc>
          <w:tcPr>
            <w:tcW w:w="2659" w:type="pct"/>
            <w:shd w:val="clear" w:color="auto" w:fill="auto"/>
            <w:tcMar>
              <w:top w:w="57" w:type="dxa"/>
              <w:bottom w:w="57" w:type="dxa"/>
            </w:tcMar>
          </w:tcPr>
          <w:p w14:paraId="1FC94D51" w14:textId="77777777" w:rsidR="00A53EE0" w:rsidRPr="00064185" w:rsidRDefault="00A53EE0" w:rsidP="00EA61D8">
            <w:pPr>
              <w:spacing w:line="260" w:lineRule="atLeast"/>
              <w:rPr>
                <w:rFonts w:eastAsia="Calibri"/>
                <w:lang w:eastAsia="en-US"/>
              </w:rPr>
            </w:pPr>
            <w:r w:rsidRPr="00064185">
              <w:rPr>
                <w:rFonts w:eastAsia="Calibri"/>
                <w:lang w:eastAsia="en-US"/>
              </w:rPr>
              <w:t>Parameters</w:t>
            </w:r>
          </w:p>
        </w:tc>
        <w:tc>
          <w:tcPr>
            <w:tcW w:w="1374" w:type="pct"/>
            <w:shd w:val="clear" w:color="auto" w:fill="auto"/>
            <w:tcMar>
              <w:top w:w="57" w:type="dxa"/>
              <w:bottom w:w="57" w:type="dxa"/>
            </w:tcMar>
          </w:tcPr>
          <w:p w14:paraId="08A7DBD2" w14:textId="77777777" w:rsidR="00A53EE0" w:rsidRPr="00064185" w:rsidRDefault="00A53EE0" w:rsidP="00EA61D8">
            <w:pPr>
              <w:spacing w:line="260" w:lineRule="atLeast"/>
              <w:rPr>
                <w:rFonts w:eastAsia="Calibri"/>
                <w:lang w:eastAsia="en-US"/>
              </w:rPr>
            </w:pPr>
            <w:r w:rsidRPr="00064185">
              <w:rPr>
                <w:rFonts w:eastAsia="Calibri"/>
                <w:lang w:eastAsia="en-US"/>
              </w:rPr>
              <w:t>Value</w:t>
            </w:r>
          </w:p>
        </w:tc>
      </w:tr>
      <w:tr w:rsidR="00064185" w:rsidRPr="00064185" w14:paraId="0AEA9FFD" w14:textId="77777777" w:rsidTr="003C0F8B">
        <w:trPr>
          <w:tblHeader/>
        </w:trPr>
        <w:tc>
          <w:tcPr>
            <w:tcW w:w="967" w:type="pct"/>
            <w:vMerge w:val="restart"/>
            <w:tcMar>
              <w:top w:w="57" w:type="dxa"/>
              <w:bottom w:w="57" w:type="dxa"/>
            </w:tcMar>
          </w:tcPr>
          <w:p w14:paraId="242918DD" w14:textId="77777777" w:rsidR="003C0F8B" w:rsidRPr="00064185" w:rsidRDefault="003C0F8B" w:rsidP="00EA61D8">
            <w:pPr>
              <w:spacing w:line="260" w:lineRule="atLeast"/>
              <w:rPr>
                <w:rFonts w:eastAsia="Calibri"/>
                <w:lang w:eastAsia="en-US"/>
              </w:rPr>
            </w:pPr>
            <w:r w:rsidRPr="00064185">
              <w:rPr>
                <w:rFonts w:eastAsia="Calibri"/>
                <w:lang w:eastAsia="en-US"/>
              </w:rPr>
              <w:t>Tier 1</w:t>
            </w:r>
          </w:p>
        </w:tc>
        <w:tc>
          <w:tcPr>
            <w:tcW w:w="2659" w:type="pct"/>
            <w:shd w:val="clear" w:color="auto" w:fill="auto"/>
            <w:tcMar>
              <w:top w:w="57" w:type="dxa"/>
              <w:bottom w:w="57" w:type="dxa"/>
            </w:tcMar>
            <w:vAlign w:val="center"/>
          </w:tcPr>
          <w:p w14:paraId="57AB935A" w14:textId="77777777" w:rsidR="003C0F8B" w:rsidRPr="00064185" w:rsidRDefault="003C0F8B" w:rsidP="00EA61D8">
            <w:pPr>
              <w:keepNext/>
              <w:spacing w:after="60"/>
            </w:pPr>
            <w:r w:rsidRPr="00064185">
              <w:t>Dislodgeable residue [mg a.s./m²]</w:t>
            </w:r>
          </w:p>
        </w:tc>
        <w:tc>
          <w:tcPr>
            <w:tcW w:w="1374" w:type="pct"/>
            <w:shd w:val="clear" w:color="auto" w:fill="auto"/>
            <w:tcMar>
              <w:top w:w="57" w:type="dxa"/>
              <w:bottom w:w="57" w:type="dxa"/>
            </w:tcMar>
            <w:vAlign w:val="center"/>
          </w:tcPr>
          <w:p w14:paraId="6C40BEF5" w14:textId="53978941" w:rsidR="003C0F8B" w:rsidRPr="00064185" w:rsidRDefault="00CE4E89" w:rsidP="00EA61D8">
            <w:pPr>
              <w:keepNext/>
              <w:tabs>
                <w:tab w:val="decimal" w:pos="497"/>
              </w:tabs>
              <w:spacing w:after="60"/>
            </w:pPr>
            <w:r w:rsidRPr="00064185">
              <w:t>1.67</w:t>
            </w:r>
          </w:p>
        </w:tc>
      </w:tr>
      <w:tr w:rsidR="00064185" w:rsidRPr="00064185" w14:paraId="1F7D5044" w14:textId="77777777" w:rsidTr="003C0F8B">
        <w:trPr>
          <w:tblHeader/>
        </w:trPr>
        <w:tc>
          <w:tcPr>
            <w:tcW w:w="967" w:type="pct"/>
            <w:vMerge/>
            <w:tcMar>
              <w:top w:w="57" w:type="dxa"/>
              <w:bottom w:w="57" w:type="dxa"/>
            </w:tcMar>
          </w:tcPr>
          <w:p w14:paraId="66085E70" w14:textId="77777777" w:rsidR="003C0F8B" w:rsidRPr="00064185" w:rsidRDefault="003C0F8B" w:rsidP="00EA61D8">
            <w:pPr>
              <w:spacing w:line="260" w:lineRule="atLeast"/>
              <w:rPr>
                <w:rFonts w:eastAsia="Calibri"/>
                <w:lang w:eastAsia="en-US"/>
              </w:rPr>
            </w:pPr>
          </w:p>
        </w:tc>
        <w:tc>
          <w:tcPr>
            <w:tcW w:w="2659" w:type="pct"/>
            <w:shd w:val="clear" w:color="auto" w:fill="auto"/>
            <w:tcMar>
              <w:top w:w="57" w:type="dxa"/>
              <w:bottom w:w="57" w:type="dxa"/>
            </w:tcMar>
            <w:vAlign w:val="center"/>
          </w:tcPr>
          <w:p w14:paraId="6A1BCAFF" w14:textId="77777777" w:rsidR="003C0F8B" w:rsidRPr="00064185" w:rsidRDefault="003C0F8B" w:rsidP="00EA61D8">
            <w:pPr>
              <w:keepNext/>
              <w:spacing w:after="60"/>
            </w:pPr>
            <w:r w:rsidRPr="00064185">
              <w:t>Transfer coefficient [m²/h]</w:t>
            </w:r>
          </w:p>
        </w:tc>
        <w:tc>
          <w:tcPr>
            <w:tcW w:w="1374" w:type="pct"/>
            <w:shd w:val="clear" w:color="auto" w:fill="auto"/>
            <w:tcMar>
              <w:top w:w="57" w:type="dxa"/>
              <w:bottom w:w="57" w:type="dxa"/>
            </w:tcMar>
            <w:vAlign w:val="center"/>
          </w:tcPr>
          <w:p w14:paraId="47479072" w14:textId="2D61AD0E" w:rsidR="003C0F8B" w:rsidRPr="00064185" w:rsidRDefault="003C0F8B" w:rsidP="00EA61D8">
            <w:pPr>
              <w:keepNext/>
              <w:tabs>
                <w:tab w:val="decimal" w:pos="497"/>
              </w:tabs>
              <w:spacing w:after="60"/>
            </w:pPr>
            <w:r w:rsidRPr="00064185">
              <w:t>0.</w:t>
            </w:r>
            <w:r w:rsidR="00CE4E89" w:rsidRPr="00064185">
              <w:t>2</w:t>
            </w:r>
          </w:p>
        </w:tc>
      </w:tr>
      <w:tr w:rsidR="00064185" w:rsidRPr="00064185" w14:paraId="3B471287" w14:textId="77777777" w:rsidTr="003C0F8B">
        <w:trPr>
          <w:tblHeader/>
        </w:trPr>
        <w:tc>
          <w:tcPr>
            <w:tcW w:w="967" w:type="pct"/>
            <w:vMerge/>
            <w:tcMar>
              <w:top w:w="57" w:type="dxa"/>
              <w:bottom w:w="57" w:type="dxa"/>
            </w:tcMar>
          </w:tcPr>
          <w:p w14:paraId="257CF4EE" w14:textId="77777777" w:rsidR="003C0F8B" w:rsidRPr="00064185" w:rsidRDefault="003C0F8B" w:rsidP="00EA61D8">
            <w:pPr>
              <w:spacing w:line="260" w:lineRule="atLeast"/>
              <w:rPr>
                <w:rFonts w:eastAsia="Calibri"/>
                <w:lang w:eastAsia="en-US"/>
              </w:rPr>
            </w:pPr>
          </w:p>
        </w:tc>
        <w:tc>
          <w:tcPr>
            <w:tcW w:w="2659" w:type="pct"/>
            <w:shd w:val="clear" w:color="auto" w:fill="auto"/>
            <w:tcMar>
              <w:top w:w="57" w:type="dxa"/>
              <w:bottom w:w="57" w:type="dxa"/>
            </w:tcMar>
            <w:vAlign w:val="center"/>
          </w:tcPr>
          <w:p w14:paraId="45CD1917" w14:textId="77777777" w:rsidR="003C0F8B" w:rsidRPr="00064185" w:rsidRDefault="003C0F8B" w:rsidP="00EA61D8">
            <w:pPr>
              <w:keepNext/>
              <w:spacing w:after="60"/>
            </w:pPr>
            <w:r w:rsidRPr="00064185">
              <w:t>Contact duration [h/day]</w:t>
            </w:r>
          </w:p>
        </w:tc>
        <w:tc>
          <w:tcPr>
            <w:tcW w:w="1374" w:type="pct"/>
            <w:shd w:val="clear" w:color="auto" w:fill="auto"/>
            <w:tcMar>
              <w:top w:w="57" w:type="dxa"/>
              <w:bottom w:w="57" w:type="dxa"/>
            </w:tcMar>
            <w:vAlign w:val="center"/>
          </w:tcPr>
          <w:p w14:paraId="68485DE5" w14:textId="77777777" w:rsidR="003C0F8B" w:rsidRPr="00064185" w:rsidRDefault="003C0F8B" w:rsidP="00EA61D8">
            <w:pPr>
              <w:keepNext/>
              <w:tabs>
                <w:tab w:val="decimal" w:pos="497"/>
              </w:tabs>
              <w:spacing w:after="60"/>
            </w:pPr>
            <w:r w:rsidRPr="00064185">
              <w:t>1</w:t>
            </w:r>
          </w:p>
        </w:tc>
      </w:tr>
      <w:tr w:rsidR="00064185" w:rsidRPr="00064185" w14:paraId="60272869" w14:textId="77777777" w:rsidTr="003C0F8B">
        <w:trPr>
          <w:tblHeader/>
        </w:trPr>
        <w:tc>
          <w:tcPr>
            <w:tcW w:w="967" w:type="pct"/>
            <w:vMerge/>
            <w:tcMar>
              <w:top w:w="57" w:type="dxa"/>
              <w:bottom w:w="57" w:type="dxa"/>
            </w:tcMar>
          </w:tcPr>
          <w:p w14:paraId="309E93F2" w14:textId="77777777" w:rsidR="003C0F8B" w:rsidRPr="00064185" w:rsidRDefault="003C0F8B" w:rsidP="00EA61D8">
            <w:pPr>
              <w:spacing w:line="260" w:lineRule="atLeast"/>
              <w:rPr>
                <w:rFonts w:eastAsia="Calibri"/>
                <w:lang w:eastAsia="en-US"/>
              </w:rPr>
            </w:pPr>
          </w:p>
        </w:tc>
        <w:tc>
          <w:tcPr>
            <w:tcW w:w="2659" w:type="pct"/>
            <w:shd w:val="clear" w:color="auto" w:fill="auto"/>
            <w:tcMar>
              <w:top w:w="57" w:type="dxa"/>
              <w:bottom w:w="57" w:type="dxa"/>
            </w:tcMar>
            <w:vAlign w:val="center"/>
          </w:tcPr>
          <w:p w14:paraId="4E9E68A8" w14:textId="77777777" w:rsidR="003C0F8B" w:rsidRPr="00064185" w:rsidRDefault="003C0F8B" w:rsidP="00EA61D8">
            <w:pPr>
              <w:keepNext/>
              <w:spacing w:after="60"/>
            </w:pPr>
            <w:r w:rsidRPr="00064185">
              <w:t>Dermal absorption [%]</w:t>
            </w:r>
          </w:p>
        </w:tc>
        <w:tc>
          <w:tcPr>
            <w:tcW w:w="1374" w:type="pct"/>
            <w:shd w:val="clear" w:color="auto" w:fill="auto"/>
            <w:tcMar>
              <w:top w:w="57" w:type="dxa"/>
              <w:bottom w:w="57" w:type="dxa"/>
            </w:tcMar>
            <w:vAlign w:val="center"/>
          </w:tcPr>
          <w:p w14:paraId="2E21C249" w14:textId="77777777" w:rsidR="003C0F8B" w:rsidRPr="00064185" w:rsidRDefault="003C0F8B" w:rsidP="00EA61D8">
            <w:pPr>
              <w:keepNext/>
              <w:tabs>
                <w:tab w:val="decimal" w:pos="497"/>
              </w:tabs>
              <w:spacing w:after="60"/>
            </w:pPr>
            <w:r w:rsidRPr="00064185">
              <w:t>1</w:t>
            </w:r>
          </w:p>
        </w:tc>
      </w:tr>
      <w:tr w:rsidR="003C0F8B" w:rsidRPr="00064185" w14:paraId="1E0A5540" w14:textId="77777777" w:rsidTr="003C0F8B">
        <w:trPr>
          <w:tblHeader/>
        </w:trPr>
        <w:tc>
          <w:tcPr>
            <w:tcW w:w="967" w:type="pct"/>
            <w:vMerge/>
            <w:tcMar>
              <w:top w:w="57" w:type="dxa"/>
              <w:bottom w:w="57" w:type="dxa"/>
            </w:tcMar>
          </w:tcPr>
          <w:p w14:paraId="59461F55" w14:textId="77777777" w:rsidR="003C0F8B" w:rsidRPr="00064185" w:rsidRDefault="003C0F8B" w:rsidP="00EA61D8">
            <w:pPr>
              <w:spacing w:line="260" w:lineRule="atLeast"/>
              <w:rPr>
                <w:rFonts w:eastAsia="Calibri"/>
                <w:lang w:eastAsia="en-US"/>
              </w:rPr>
            </w:pPr>
          </w:p>
        </w:tc>
        <w:tc>
          <w:tcPr>
            <w:tcW w:w="2659" w:type="pct"/>
            <w:shd w:val="clear" w:color="auto" w:fill="auto"/>
            <w:tcMar>
              <w:top w:w="57" w:type="dxa"/>
              <w:bottom w:w="57" w:type="dxa"/>
            </w:tcMar>
            <w:vAlign w:val="center"/>
          </w:tcPr>
          <w:p w14:paraId="722CDBE3" w14:textId="738196B4" w:rsidR="003C0F8B" w:rsidRPr="00064185" w:rsidRDefault="003C0F8B" w:rsidP="00EA61D8">
            <w:pPr>
              <w:keepNext/>
              <w:spacing w:after="60"/>
            </w:pPr>
            <w:r w:rsidRPr="00064185">
              <w:t xml:space="preserve">Body weight </w:t>
            </w:r>
            <w:r w:rsidR="007F38E8" w:rsidRPr="00064185">
              <w:t xml:space="preserve"> of toddler</w:t>
            </w:r>
            <w:r w:rsidRPr="00064185">
              <w:t>[kg]</w:t>
            </w:r>
          </w:p>
        </w:tc>
        <w:tc>
          <w:tcPr>
            <w:tcW w:w="1374" w:type="pct"/>
            <w:shd w:val="clear" w:color="auto" w:fill="auto"/>
            <w:tcMar>
              <w:top w:w="57" w:type="dxa"/>
              <w:bottom w:w="57" w:type="dxa"/>
            </w:tcMar>
            <w:vAlign w:val="center"/>
          </w:tcPr>
          <w:p w14:paraId="3DFC95C4" w14:textId="77777777" w:rsidR="003C0F8B" w:rsidRPr="00064185" w:rsidRDefault="003C0F8B" w:rsidP="00EA61D8">
            <w:pPr>
              <w:keepNext/>
              <w:tabs>
                <w:tab w:val="decimal" w:pos="497"/>
              </w:tabs>
              <w:spacing w:after="60"/>
            </w:pPr>
            <w:r w:rsidRPr="00064185">
              <w:t>10</w:t>
            </w:r>
          </w:p>
        </w:tc>
      </w:tr>
    </w:tbl>
    <w:p w14:paraId="0D7531F3" w14:textId="77777777" w:rsidR="00A53EE0" w:rsidRPr="00064185" w:rsidRDefault="00A53EE0" w:rsidP="00EA61D8">
      <w:pPr>
        <w:spacing w:line="260" w:lineRule="atLeast"/>
        <w:rPr>
          <w:rFonts w:eastAsia="Calibri"/>
          <w:lang w:eastAsia="en-US"/>
        </w:rPr>
      </w:pPr>
    </w:p>
    <w:p w14:paraId="6409E582" w14:textId="77777777" w:rsidR="00DA465D" w:rsidRPr="00064185" w:rsidRDefault="00DA465D" w:rsidP="00EA61D8">
      <w:pPr>
        <w:spacing w:line="260" w:lineRule="atLeast"/>
        <w:rPr>
          <w:rFonts w:eastAsia="Calibri"/>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938"/>
        <w:gridCol w:w="2552"/>
      </w:tblGrid>
      <w:tr w:rsidR="00064185" w:rsidRPr="00064185" w14:paraId="77AC670F" w14:textId="77777777" w:rsidTr="00F3486E">
        <w:trPr>
          <w:tblHeader/>
        </w:trPr>
        <w:tc>
          <w:tcPr>
            <w:tcW w:w="5000" w:type="pct"/>
            <w:gridSpan w:val="3"/>
            <w:shd w:val="clear" w:color="auto" w:fill="FFFFCC"/>
            <w:tcMar>
              <w:top w:w="57" w:type="dxa"/>
              <w:bottom w:w="57" w:type="dxa"/>
            </w:tcMar>
          </w:tcPr>
          <w:p w14:paraId="6AB688D6" w14:textId="3DCF8DE4" w:rsidR="003C0F8B" w:rsidRPr="00064185" w:rsidRDefault="00A87C58" w:rsidP="00EA61D8">
            <w:pPr>
              <w:spacing w:line="260" w:lineRule="atLeast"/>
              <w:rPr>
                <w:rFonts w:eastAsia="Calibri"/>
                <w:b/>
                <w:lang w:eastAsia="en-US"/>
              </w:rPr>
            </w:pPr>
            <w:r w:rsidRPr="00064185">
              <w:rPr>
                <w:rFonts w:eastAsia="Calibri"/>
                <w:b/>
                <w:lang w:eastAsia="en-US"/>
              </w:rPr>
              <w:lastRenderedPageBreak/>
              <w:t xml:space="preserve">Scenario 2: </w:t>
            </w:r>
            <w:r w:rsidRPr="00064185">
              <w:rPr>
                <w:b/>
                <w:i/>
                <w:u w:val="single"/>
              </w:rPr>
              <w:t>Child playing on floor</w:t>
            </w:r>
            <w:r w:rsidR="003C0F8B" w:rsidRPr="00064185">
              <w:rPr>
                <w:rFonts w:eastAsia="Calibri"/>
                <w:b/>
                <w:lang w:eastAsia="en-US"/>
              </w:rPr>
              <w:t xml:space="preserve"> – oral exposure</w:t>
            </w:r>
          </w:p>
        </w:tc>
      </w:tr>
      <w:tr w:rsidR="00064185" w:rsidRPr="00064185" w14:paraId="4A85B996" w14:textId="77777777" w:rsidTr="00F3486E">
        <w:trPr>
          <w:tblHeader/>
        </w:trPr>
        <w:tc>
          <w:tcPr>
            <w:tcW w:w="5000" w:type="pct"/>
            <w:gridSpan w:val="3"/>
            <w:shd w:val="clear" w:color="auto" w:fill="auto"/>
            <w:tcMar>
              <w:top w:w="57" w:type="dxa"/>
              <w:bottom w:w="57" w:type="dxa"/>
            </w:tcMar>
          </w:tcPr>
          <w:p w14:paraId="2BFAAB2D" w14:textId="0ACA1508" w:rsidR="003C0F8B" w:rsidRPr="00064185" w:rsidRDefault="003C0F8B" w:rsidP="00EA61D8">
            <w:pPr>
              <w:spacing w:line="260" w:lineRule="atLeast"/>
            </w:pPr>
            <w:r w:rsidRPr="00064185">
              <w:t>Small children exhibit a great deal of hand-to-mouth (HTM) contact. Therefore, a part of the a.s. residues present on the hands will be dislodged by saliva and eventually ingested.</w:t>
            </w:r>
            <w:r w:rsidR="00386FB8" w:rsidRPr="00064185">
              <w:t xml:space="preserve"> The a.s. will not be completely removed via saliva and mouthing (simulated by wiping in Camann et al., 1995) based on data for other pesticides. Thus, one would expect the saliva removal efficiency of the a.s. to be not higher than 50%. The bioavailability (oral absorption) of ingested </w:t>
            </w:r>
            <w:r w:rsidR="00386FB8" w:rsidRPr="00064185">
              <w:rPr>
                <w:i/>
              </w:rPr>
              <w:t>lambda</w:t>
            </w:r>
            <w:r w:rsidR="00386FB8" w:rsidRPr="00064185">
              <w:t>-cyhalothrin is 50%. HESI (2004) contains data on the frequency of hand-to-mouth events for children during indoor play. For 1-2-year olds</w:t>
            </w:r>
            <w:r w:rsidR="007F38E8" w:rsidRPr="00064185">
              <w:t>, toddlers</w:t>
            </w:r>
            <w:r w:rsidR="00386FB8" w:rsidRPr="00064185">
              <w:t>, a mean hand-to-mouth frequency of 18 events per hour was determined</w:t>
            </w:r>
            <w:r w:rsidR="0077060E" w:rsidRPr="00064185">
              <w:t xml:space="preserve"> for the contact time</w:t>
            </w:r>
            <w:r w:rsidR="00386FB8" w:rsidRPr="00064185">
              <w:t>. For details on the exposure ass</w:t>
            </w:r>
            <w:r w:rsidR="0077060E" w:rsidRPr="00064185">
              <w:t>essment please refer to Annex</w:t>
            </w:r>
            <w:r w:rsidR="00386FB8" w:rsidRPr="00064185">
              <w:t xml:space="preserve"> </w:t>
            </w:r>
            <w:r w:rsidR="0077060E" w:rsidRPr="00064185">
              <w:t>3.</w:t>
            </w:r>
            <w:r w:rsidR="00386FB8" w:rsidRPr="00064185">
              <w:t>2.</w:t>
            </w:r>
          </w:p>
        </w:tc>
      </w:tr>
      <w:tr w:rsidR="00064185" w:rsidRPr="00064185" w14:paraId="164E18B2" w14:textId="77777777" w:rsidTr="00F3486E">
        <w:trPr>
          <w:tblHeader/>
        </w:trPr>
        <w:tc>
          <w:tcPr>
            <w:tcW w:w="967" w:type="pct"/>
            <w:shd w:val="clear" w:color="auto" w:fill="auto"/>
            <w:tcMar>
              <w:top w:w="57" w:type="dxa"/>
              <w:bottom w:w="57" w:type="dxa"/>
            </w:tcMar>
          </w:tcPr>
          <w:p w14:paraId="072D79FA" w14:textId="77777777" w:rsidR="003C0F8B" w:rsidRPr="00064185" w:rsidRDefault="003C0F8B" w:rsidP="00EA61D8">
            <w:pPr>
              <w:spacing w:line="260" w:lineRule="atLeast"/>
              <w:rPr>
                <w:rFonts w:eastAsia="Calibri"/>
                <w:lang w:eastAsia="en-US"/>
              </w:rPr>
            </w:pPr>
          </w:p>
        </w:tc>
        <w:tc>
          <w:tcPr>
            <w:tcW w:w="2659" w:type="pct"/>
            <w:shd w:val="clear" w:color="auto" w:fill="auto"/>
            <w:tcMar>
              <w:top w:w="57" w:type="dxa"/>
              <w:bottom w:w="57" w:type="dxa"/>
            </w:tcMar>
          </w:tcPr>
          <w:p w14:paraId="76AD0E0F" w14:textId="77777777" w:rsidR="003C0F8B" w:rsidRPr="00064185" w:rsidRDefault="003C0F8B" w:rsidP="00EA61D8">
            <w:pPr>
              <w:spacing w:line="260" w:lineRule="atLeast"/>
              <w:rPr>
                <w:rFonts w:eastAsia="Calibri"/>
                <w:lang w:eastAsia="en-US"/>
              </w:rPr>
            </w:pPr>
            <w:r w:rsidRPr="00064185">
              <w:rPr>
                <w:rFonts w:eastAsia="Calibri"/>
                <w:lang w:eastAsia="en-US"/>
              </w:rPr>
              <w:t>Parameters</w:t>
            </w:r>
          </w:p>
        </w:tc>
        <w:tc>
          <w:tcPr>
            <w:tcW w:w="1374" w:type="pct"/>
            <w:shd w:val="clear" w:color="auto" w:fill="auto"/>
            <w:tcMar>
              <w:top w:w="57" w:type="dxa"/>
              <w:bottom w:w="57" w:type="dxa"/>
            </w:tcMar>
          </w:tcPr>
          <w:p w14:paraId="68015606" w14:textId="77777777" w:rsidR="003C0F8B" w:rsidRPr="00064185" w:rsidRDefault="003C0F8B" w:rsidP="00EA61D8">
            <w:pPr>
              <w:spacing w:line="260" w:lineRule="atLeast"/>
              <w:rPr>
                <w:rFonts w:eastAsia="Calibri"/>
                <w:lang w:eastAsia="en-US"/>
              </w:rPr>
            </w:pPr>
            <w:r w:rsidRPr="00064185">
              <w:rPr>
                <w:rFonts w:eastAsia="Calibri"/>
                <w:lang w:eastAsia="en-US"/>
              </w:rPr>
              <w:t>Value</w:t>
            </w:r>
          </w:p>
        </w:tc>
      </w:tr>
      <w:tr w:rsidR="00064185" w:rsidRPr="00064185" w14:paraId="2A003325" w14:textId="77777777" w:rsidTr="00F3486E">
        <w:trPr>
          <w:tblHeader/>
        </w:trPr>
        <w:tc>
          <w:tcPr>
            <w:tcW w:w="967" w:type="pct"/>
            <w:vMerge w:val="restart"/>
            <w:tcMar>
              <w:top w:w="57" w:type="dxa"/>
              <w:bottom w:w="57" w:type="dxa"/>
            </w:tcMar>
          </w:tcPr>
          <w:p w14:paraId="4D162973" w14:textId="77777777" w:rsidR="00386FB8" w:rsidRPr="00064185" w:rsidRDefault="00386FB8" w:rsidP="00EA61D8">
            <w:pPr>
              <w:spacing w:line="260" w:lineRule="atLeast"/>
              <w:rPr>
                <w:rFonts w:eastAsia="Calibri"/>
                <w:lang w:eastAsia="en-US"/>
              </w:rPr>
            </w:pPr>
            <w:r w:rsidRPr="00064185">
              <w:rPr>
                <w:rFonts w:eastAsia="Calibri"/>
                <w:lang w:eastAsia="en-US"/>
              </w:rPr>
              <w:t>Tier 1</w:t>
            </w:r>
          </w:p>
        </w:tc>
        <w:tc>
          <w:tcPr>
            <w:tcW w:w="2659" w:type="pct"/>
            <w:shd w:val="clear" w:color="auto" w:fill="auto"/>
            <w:tcMar>
              <w:top w:w="57" w:type="dxa"/>
              <w:bottom w:w="57" w:type="dxa"/>
            </w:tcMar>
            <w:vAlign w:val="center"/>
          </w:tcPr>
          <w:p w14:paraId="6640F0E0" w14:textId="77777777" w:rsidR="00386FB8" w:rsidRPr="00064185" w:rsidRDefault="00386FB8" w:rsidP="00EA61D8">
            <w:pPr>
              <w:keepNext/>
            </w:pPr>
            <w:r w:rsidRPr="00064185">
              <w:t>Dermal load [mg a.s./cm²]</w:t>
            </w:r>
          </w:p>
        </w:tc>
        <w:tc>
          <w:tcPr>
            <w:tcW w:w="1374" w:type="pct"/>
            <w:shd w:val="clear" w:color="auto" w:fill="auto"/>
            <w:tcMar>
              <w:top w:w="57" w:type="dxa"/>
              <w:bottom w:w="57" w:type="dxa"/>
            </w:tcMar>
            <w:vAlign w:val="center"/>
          </w:tcPr>
          <w:p w14:paraId="6465A1E1" w14:textId="2D1E75C0" w:rsidR="00386FB8" w:rsidRPr="00064185" w:rsidRDefault="003877B6" w:rsidP="00EA61D8">
            <w:pPr>
              <w:keepNext/>
              <w:tabs>
                <w:tab w:val="decimal" w:pos="483"/>
              </w:tabs>
            </w:pPr>
            <w:r w:rsidRPr="00064185">
              <w:t>0.000167</w:t>
            </w:r>
          </w:p>
        </w:tc>
      </w:tr>
      <w:tr w:rsidR="00064185" w:rsidRPr="00064185" w14:paraId="0F584D99" w14:textId="77777777" w:rsidTr="00F3486E">
        <w:trPr>
          <w:tblHeader/>
        </w:trPr>
        <w:tc>
          <w:tcPr>
            <w:tcW w:w="967" w:type="pct"/>
            <w:vMerge/>
            <w:tcMar>
              <w:top w:w="57" w:type="dxa"/>
              <w:bottom w:w="57" w:type="dxa"/>
            </w:tcMar>
          </w:tcPr>
          <w:p w14:paraId="64B6D653" w14:textId="77777777" w:rsidR="00386FB8" w:rsidRPr="00064185" w:rsidRDefault="00386FB8" w:rsidP="00EA61D8">
            <w:pPr>
              <w:spacing w:line="260" w:lineRule="atLeast"/>
              <w:rPr>
                <w:rFonts w:eastAsia="Calibri"/>
                <w:lang w:eastAsia="en-US"/>
              </w:rPr>
            </w:pPr>
          </w:p>
        </w:tc>
        <w:tc>
          <w:tcPr>
            <w:tcW w:w="2659" w:type="pct"/>
            <w:shd w:val="clear" w:color="auto" w:fill="auto"/>
            <w:tcMar>
              <w:top w:w="57" w:type="dxa"/>
              <w:bottom w:w="57" w:type="dxa"/>
            </w:tcMar>
            <w:vAlign w:val="center"/>
          </w:tcPr>
          <w:p w14:paraId="55491DB8" w14:textId="4D7B501B" w:rsidR="00386FB8" w:rsidRPr="00064185" w:rsidRDefault="00490609" w:rsidP="00EA61D8">
            <w:pPr>
              <w:keepNext/>
            </w:pPr>
            <w:r w:rsidRPr="00064185">
              <w:rPr>
                <w:rFonts w:ascii="Arial" w:eastAsia="Arial" w:hAnsi="Arial" w:cs="Arial"/>
                <w:lang w:val="en-US"/>
              </w:rPr>
              <w:t>Hand area contacting the mouth</w:t>
            </w:r>
            <w:r w:rsidR="00386FB8" w:rsidRPr="00064185">
              <w:t xml:space="preserve"> [cm²]</w:t>
            </w:r>
          </w:p>
        </w:tc>
        <w:tc>
          <w:tcPr>
            <w:tcW w:w="1374" w:type="pct"/>
            <w:shd w:val="clear" w:color="auto" w:fill="auto"/>
            <w:tcMar>
              <w:top w:w="57" w:type="dxa"/>
              <w:bottom w:w="57" w:type="dxa"/>
            </w:tcMar>
            <w:vAlign w:val="center"/>
          </w:tcPr>
          <w:p w14:paraId="71060770" w14:textId="77777777" w:rsidR="00386FB8" w:rsidRPr="00064185" w:rsidRDefault="00386FB8" w:rsidP="00EA61D8">
            <w:pPr>
              <w:keepNext/>
              <w:tabs>
                <w:tab w:val="decimal" w:pos="483"/>
              </w:tabs>
            </w:pPr>
            <w:r w:rsidRPr="00064185">
              <w:t>4.5</w:t>
            </w:r>
          </w:p>
        </w:tc>
      </w:tr>
      <w:tr w:rsidR="00064185" w:rsidRPr="00064185" w14:paraId="56372D1F" w14:textId="77777777" w:rsidTr="00F3486E">
        <w:trPr>
          <w:tblHeader/>
        </w:trPr>
        <w:tc>
          <w:tcPr>
            <w:tcW w:w="967" w:type="pct"/>
            <w:vMerge/>
            <w:tcMar>
              <w:top w:w="57" w:type="dxa"/>
              <w:bottom w:w="57" w:type="dxa"/>
            </w:tcMar>
          </w:tcPr>
          <w:p w14:paraId="49A5AE70" w14:textId="77777777" w:rsidR="00386FB8" w:rsidRPr="00064185" w:rsidRDefault="00386FB8" w:rsidP="00EA61D8">
            <w:pPr>
              <w:spacing w:line="260" w:lineRule="atLeast"/>
              <w:rPr>
                <w:rFonts w:eastAsia="Calibri"/>
                <w:lang w:eastAsia="en-US"/>
              </w:rPr>
            </w:pPr>
          </w:p>
        </w:tc>
        <w:tc>
          <w:tcPr>
            <w:tcW w:w="2659" w:type="pct"/>
            <w:shd w:val="clear" w:color="auto" w:fill="auto"/>
            <w:tcMar>
              <w:top w:w="57" w:type="dxa"/>
              <w:bottom w:w="57" w:type="dxa"/>
            </w:tcMar>
            <w:vAlign w:val="center"/>
          </w:tcPr>
          <w:p w14:paraId="7421DFF1" w14:textId="77777777" w:rsidR="00386FB8" w:rsidRPr="00064185" w:rsidRDefault="00386FB8" w:rsidP="00EA61D8">
            <w:pPr>
              <w:keepNext/>
            </w:pPr>
            <w:r w:rsidRPr="00064185">
              <w:t>Efficiency of removal by saliva from skin [%]</w:t>
            </w:r>
          </w:p>
        </w:tc>
        <w:tc>
          <w:tcPr>
            <w:tcW w:w="1374" w:type="pct"/>
            <w:shd w:val="clear" w:color="auto" w:fill="auto"/>
            <w:tcMar>
              <w:top w:w="57" w:type="dxa"/>
              <w:bottom w:w="57" w:type="dxa"/>
            </w:tcMar>
            <w:vAlign w:val="center"/>
          </w:tcPr>
          <w:p w14:paraId="529917E9" w14:textId="77777777" w:rsidR="00386FB8" w:rsidRPr="00064185" w:rsidRDefault="00386FB8" w:rsidP="00EA61D8">
            <w:pPr>
              <w:keepNext/>
              <w:tabs>
                <w:tab w:val="decimal" w:pos="483"/>
              </w:tabs>
            </w:pPr>
            <w:r w:rsidRPr="00064185">
              <w:t>50</w:t>
            </w:r>
          </w:p>
        </w:tc>
      </w:tr>
      <w:tr w:rsidR="00064185" w:rsidRPr="00064185" w14:paraId="34D90417" w14:textId="77777777" w:rsidTr="00F3486E">
        <w:trPr>
          <w:tblHeader/>
        </w:trPr>
        <w:tc>
          <w:tcPr>
            <w:tcW w:w="967" w:type="pct"/>
            <w:vMerge/>
            <w:tcMar>
              <w:top w:w="57" w:type="dxa"/>
              <w:bottom w:w="57" w:type="dxa"/>
            </w:tcMar>
          </w:tcPr>
          <w:p w14:paraId="1DCAD22F" w14:textId="77777777" w:rsidR="00386FB8" w:rsidRPr="00064185" w:rsidRDefault="00386FB8" w:rsidP="00EA61D8">
            <w:pPr>
              <w:spacing w:line="260" w:lineRule="atLeast"/>
              <w:rPr>
                <w:rFonts w:eastAsia="Calibri"/>
                <w:lang w:eastAsia="en-US"/>
              </w:rPr>
            </w:pPr>
          </w:p>
        </w:tc>
        <w:tc>
          <w:tcPr>
            <w:tcW w:w="2659" w:type="pct"/>
            <w:shd w:val="clear" w:color="auto" w:fill="auto"/>
            <w:tcMar>
              <w:top w:w="57" w:type="dxa"/>
              <w:bottom w:w="57" w:type="dxa"/>
            </w:tcMar>
            <w:vAlign w:val="center"/>
          </w:tcPr>
          <w:p w14:paraId="08EE1956" w14:textId="77777777" w:rsidR="00386FB8" w:rsidRPr="00064185" w:rsidRDefault="00386FB8" w:rsidP="00EA61D8">
            <w:pPr>
              <w:keepNext/>
            </w:pPr>
            <w:r w:rsidRPr="00064185">
              <w:t>Number of hand to mouth contacts [day</w:t>
            </w:r>
            <w:r w:rsidRPr="00064185">
              <w:rPr>
                <w:vertAlign w:val="superscript"/>
              </w:rPr>
              <w:t>–1</w:t>
            </w:r>
            <w:r w:rsidRPr="00064185">
              <w:t>]</w:t>
            </w:r>
          </w:p>
        </w:tc>
        <w:tc>
          <w:tcPr>
            <w:tcW w:w="1374" w:type="pct"/>
            <w:shd w:val="clear" w:color="auto" w:fill="auto"/>
            <w:tcMar>
              <w:top w:w="57" w:type="dxa"/>
              <w:bottom w:w="57" w:type="dxa"/>
            </w:tcMar>
            <w:vAlign w:val="center"/>
          </w:tcPr>
          <w:p w14:paraId="314EBDED" w14:textId="1892A125" w:rsidR="00386FB8" w:rsidRPr="00064185" w:rsidRDefault="00490609" w:rsidP="00EA61D8">
            <w:pPr>
              <w:keepNext/>
              <w:tabs>
                <w:tab w:val="decimal" w:pos="483"/>
              </w:tabs>
            </w:pPr>
            <w:r w:rsidRPr="00064185">
              <w:t>18</w:t>
            </w:r>
          </w:p>
        </w:tc>
      </w:tr>
      <w:tr w:rsidR="00064185" w:rsidRPr="00064185" w14:paraId="716D909C" w14:textId="77777777" w:rsidTr="00F3486E">
        <w:trPr>
          <w:tblHeader/>
        </w:trPr>
        <w:tc>
          <w:tcPr>
            <w:tcW w:w="967" w:type="pct"/>
            <w:vMerge/>
            <w:tcMar>
              <w:top w:w="57" w:type="dxa"/>
              <w:bottom w:w="57" w:type="dxa"/>
            </w:tcMar>
          </w:tcPr>
          <w:p w14:paraId="047EBBC7" w14:textId="77777777" w:rsidR="00386FB8" w:rsidRPr="00064185" w:rsidRDefault="00386FB8" w:rsidP="00EA61D8">
            <w:pPr>
              <w:spacing w:line="260" w:lineRule="atLeast"/>
              <w:rPr>
                <w:rFonts w:eastAsia="Calibri"/>
                <w:lang w:eastAsia="en-US"/>
              </w:rPr>
            </w:pPr>
          </w:p>
        </w:tc>
        <w:tc>
          <w:tcPr>
            <w:tcW w:w="2659" w:type="pct"/>
            <w:shd w:val="clear" w:color="auto" w:fill="auto"/>
            <w:tcMar>
              <w:top w:w="57" w:type="dxa"/>
              <w:bottom w:w="57" w:type="dxa"/>
            </w:tcMar>
            <w:vAlign w:val="center"/>
          </w:tcPr>
          <w:p w14:paraId="0CF67778" w14:textId="77777777" w:rsidR="00386FB8" w:rsidRPr="00064185" w:rsidRDefault="00386FB8" w:rsidP="00EA61D8">
            <w:pPr>
              <w:keepNext/>
            </w:pPr>
            <w:r w:rsidRPr="00064185">
              <w:t>Oral absorption [%]</w:t>
            </w:r>
          </w:p>
        </w:tc>
        <w:tc>
          <w:tcPr>
            <w:tcW w:w="1374" w:type="pct"/>
            <w:shd w:val="clear" w:color="auto" w:fill="auto"/>
            <w:tcMar>
              <w:top w:w="57" w:type="dxa"/>
              <w:bottom w:w="57" w:type="dxa"/>
            </w:tcMar>
            <w:vAlign w:val="center"/>
          </w:tcPr>
          <w:p w14:paraId="6651F695" w14:textId="77777777" w:rsidR="00386FB8" w:rsidRPr="00064185" w:rsidRDefault="00386FB8" w:rsidP="00EA61D8">
            <w:pPr>
              <w:keepNext/>
              <w:tabs>
                <w:tab w:val="decimal" w:pos="483"/>
              </w:tabs>
            </w:pPr>
            <w:r w:rsidRPr="00064185">
              <w:t>50</w:t>
            </w:r>
          </w:p>
        </w:tc>
      </w:tr>
      <w:tr w:rsidR="00386FB8" w:rsidRPr="00064185" w14:paraId="2408850C" w14:textId="77777777" w:rsidTr="00F3486E">
        <w:trPr>
          <w:tblHeader/>
        </w:trPr>
        <w:tc>
          <w:tcPr>
            <w:tcW w:w="967" w:type="pct"/>
            <w:vMerge/>
            <w:tcMar>
              <w:top w:w="57" w:type="dxa"/>
              <w:bottom w:w="57" w:type="dxa"/>
            </w:tcMar>
          </w:tcPr>
          <w:p w14:paraId="1351B2C0" w14:textId="77777777" w:rsidR="00386FB8" w:rsidRPr="00064185" w:rsidRDefault="00386FB8" w:rsidP="00EA61D8">
            <w:pPr>
              <w:spacing w:line="260" w:lineRule="atLeast"/>
              <w:rPr>
                <w:rFonts w:eastAsia="Calibri"/>
                <w:lang w:eastAsia="en-US"/>
              </w:rPr>
            </w:pPr>
          </w:p>
        </w:tc>
        <w:tc>
          <w:tcPr>
            <w:tcW w:w="2659" w:type="pct"/>
            <w:shd w:val="clear" w:color="auto" w:fill="auto"/>
            <w:tcMar>
              <w:top w:w="57" w:type="dxa"/>
              <w:bottom w:w="57" w:type="dxa"/>
            </w:tcMar>
            <w:vAlign w:val="center"/>
          </w:tcPr>
          <w:p w14:paraId="40432FD0" w14:textId="39E79630" w:rsidR="00386FB8" w:rsidRPr="00064185" w:rsidRDefault="00386FB8" w:rsidP="00EA61D8">
            <w:r w:rsidRPr="00064185">
              <w:t xml:space="preserve">Body weight </w:t>
            </w:r>
            <w:r w:rsidR="007F38E8" w:rsidRPr="00064185">
              <w:t>of toddler</w:t>
            </w:r>
            <w:r w:rsidRPr="00064185">
              <w:t>[kg]</w:t>
            </w:r>
          </w:p>
        </w:tc>
        <w:tc>
          <w:tcPr>
            <w:tcW w:w="1374" w:type="pct"/>
            <w:shd w:val="clear" w:color="auto" w:fill="auto"/>
            <w:tcMar>
              <w:top w:w="57" w:type="dxa"/>
              <w:bottom w:w="57" w:type="dxa"/>
            </w:tcMar>
            <w:vAlign w:val="center"/>
          </w:tcPr>
          <w:p w14:paraId="6C8E2403" w14:textId="77777777" w:rsidR="00386FB8" w:rsidRPr="00064185" w:rsidRDefault="00386FB8" w:rsidP="00EA61D8">
            <w:pPr>
              <w:keepNext/>
              <w:tabs>
                <w:tab w:val="decimal" w:pos="483"/>
              </w:tabs>
            </w:pPr>
            <w:r w:rsidRPr="00064185">
              <w:t>10</w:t>
            </w:r>
          </w:p>
        </w:tc>
      </w:tr>
    </w:tbl>
    <w:p w14:paraId="27C23372" w14:textId="77777777" w:rsidR="008D34FB" w:rsidRPr="00064185" w:rsidRDefault="008D34FB" w:rsidP="00EA61D8">
      <w:pPr>
        <w:spacing w:line="260" w:lineRule="atLeast"/>
        <w:rPr>
          <w:rFonts w:eastAsia="Calibri"/>
          <w:b/>
          <w:bCs/>
          <w:lang w:eastAsia="en-US"/>
        </w:rPr>
      </w:pPr>
    </w:p>
    <w:p w14:paraId="51C16B28" w14:textId="77777777" w:rsidR="008D34FB" w:rsidRPr="00064185" w:rsidRDefault="008D34FB" w:rsidP="00EA61D8">
      <w:pPr>
        <w:spacing w:line="260" w:lineRule="atLeast"/>
        <w:rPr>
          <w:rFonts w:eastAsia="Calibri"/>
          <w:b/>
          <w:bCs/>
          <w:lang w:eastAsia="en-US"/>
        </w:rPr>
      </w:pPr>
    </w:p>
    <w:p w14:paraId="75E4DDDF" w14:textId="3F49F0C7" w:rsidR="00A53EE0" w:rsidRPr="00064185" w:rsidRDefault="00490609" w:rsidP="00EA61D8">
      <w:pPr>
        <w:spacing w:line="260" w:lineRule="atLeast"/>
        <w:rPr>
          <w:rFonts w:eastAsia="Calibri"/>
          <w:b/>
          <w:bCs/>
          <w:lang w:eastAsia="en-US"/>
        </w:rPr>
      </w:pPr>
      <w:r w:rsidRPr="00064185">
        <w:rPr>
          <w:rFonts w:eastAsia="Calibri"/>
          <w:b/>
          <w:bCs/>
          <w:lang w:eastAsia="en-US"/>
        </w:rPr>
        <w:t>Calculations for Scenario 2: Child playing on floor</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559"/>
        <w:gridCol w:w="1559"/>
        <w:gridCol w:w="1559"/>
        <w:gridCol w:w="1559"/>
        <w:gridCol w:w="1843"/>
      </w:tblGrid>
      <w:tr w:rsidR="00064185" w:rsidRPr="00064185" w14:paraId="46307BDF" w14:textId="77777777" w:rsidTr="00922E8F">
        <w:trPr>
          <w:cantSplit/>
          <w:tblHeader/>
        </w:trPr>
        <w:tc>
          <w:tcPr>
            <w:tcW w:w="9425" w:type="dxa"/>
            <w:gridSpan w:val="6"/>
            <w:shd w:val="clear" w:color="auto" w:fill="FFFFCC"/>
          </w:tcPr>
          <w:p w14:paraId="68209CE9" w14:textId="77777777" w:rsidR="00A53EE0" w:rsidRPr="00064185" w:rsidRDefault="00A53EE0" w:rsidP="00EA61D8">
            <w:pPr>
              <w:spacing w:line="260" w:lineRule="atLeast"/>
              <w:rPr>
                <w:rFonts w:eastAsia="Calibri"/>
                <w:b/>
                <w:lang w:eastAsia="en-US"/>
              </w:rPr>
            </w:pPr>
            <w:r w:rsidRPr="00064185">
              <w:rPr>
                <w:rFonts w:eastAsia="Calibri"/>
                <w:b/>
                <w:lang w:eastAsia="en-US"/>
              </w:rPr>
              <w:t>Summary table: systemic exposure from non-professional uses</w:t>
            </w:r>
          </w:p>
        </w:tc>
      </w:tr>
      <w:tr w:rsidR="00064185" w:rsidRPr="00064185" w14:paraId="39EE57E4" w14:textId="77777777" w:rsidTr="00490609">
        <w:trPr>
          <w:cantSplit/>
          <w:tblHeader/>
        </w:trPr>
        <w:tc>
          <w:tcPr>
            <w:tcW w:w="1346" w:type="dxa"/>
            <w:vMerge w:val="restart"/>
            <w:shd w:val="clear" w:color="auto" w:fill="auto"/>
          </w:tcPr>
          <w:p w14:paraId="4D0D0310" w14:textId="77777777" w:rsidR="00386FB8" w:rsidRPr="00064185" w:rsidRDefault="00386FB8" w:rsidP="00EA61D8">
            <w:pPr>
              <w:spacing w:line="260" w:lineRule="atLeast"/>
              <w:rPr>
                <w:rFonts w:eastAsia="Calibri"/>
                <w:b/>
                <w:lang w:eastAsia="en-US"/>
              </w:rPr>
            </w:pPr>
            <w:r w:rsidRPr="00064185">
              <w:rPr>
                <w:rFonts w:eastAsia="Calibri"/>
                <w:b/>
                <w:lang w:eastAsia="en-US"/>
              </w:rPr>
              <w:t>Exposure scenario</w:t>
            </w:r>
          </w:p>
        </w:tc>
        <w:tc>
          <w:tcPr>
            <w:tcW w:w="1559" w:type="dxa"/>
            <w:vMerge w:val="restart"/>
          </w:tcPr>
          <w:p w14:paraId="073B499E" w14:textId="77777777" w:rsidR="00386FB8" w:rsidRPr="00064185" w:rsidRDefault="00386FB8" w:rsidP="00EA61D8">
            <w:pPr>
              <w:spacing w:line="260" w:lineRule="atLeast"/>
              <w:rPr>
                <w:rFonts w:eastAsia="Calibri"/>
                <w:b/>
                <w:lang w:eastAsia="en-US"/>
              </w:rPr>
            </w:pPr>
            <w:r w:rsidRPr="00064185">
              <w:rPr>
                <w:rFonts w:eastAsia="Calibri"/>
                <w:b/>
                <w:lang w:eastAsia="en-US"/>
              </w:rPr>
              <w:t>Tier/PPE</w:t>
            </w:r>
          </w:p>
        </w:tc>
        <w:tc>
          <w:tcPr>
            <w:tcW w:w="1559" w:type="dxa"/>
            <w:shd w:val="clear" w:color="auto" w:fill="auto"/>
            <w:tcMar>
              <w:top w:w="57" w:type="dxa"/>
              <w:bottom w:w="57" w:type="dxa"/>
            </w:tcMar>
          </w:tcPr>
          <w:p w14:paraId="0883ECD9" w14:textId="77777777" w:rsidR="00386FB8" w:rsidRPr="00064185" w:rsidRDefault="00386FB8" w:rsidP="00EA61D8">
            <w:pPr>
              <w:spacing w:line="260" w:lineRule="atLeast"/>
              <w:rPr>
                <w:rFonts w:eastAsia="Calibri"/>
                <w:b/>
                <w:lang w:eastAsia="en-US"/>
              </w:rPr>
            </w:pPr>
            <w:r w:rsidRPr="00064185">
              <w:rPr>
                <w:rFonts w:eastAsia="Calibri"/>
                <w:b/>
                <w:lang w:eastAsia="en-US"/>
              </w:rPr>
              <w:t>Estimated inhalation uptake</w:t>
            </w:r>
          </w:p>
        </w:tc>
        <w:tc>
          <w:tcPr>
            <w:tcW w:w="1559" w:type="dxa"/>
            <w:shd w:val="clear" w:color="auto" w:fill="auto"/>
            <w:tcMar>
              <w:top w:w="57" w:type="dxa"/>
              <w:bottom w:w="57" w:type="dxa"/>
            </w:tcMar>
          </w:tcPr>
          <w:p w14:paraId="4821E805" w14:textId="77777777" w:rsidR="00386FB8" w:rsidRPr="00064185" w:rsidRDefault="00386FB8" w:rsidP="00EA61D8">
            <w:pPr>
              <w:spacing w:line="260" w:lineRule="atLeast"/>
              <w:rPr>
                <w:rFonts w:eastAsia="Calibri"/>
                <w:b/>
                <w:lang w:eastAsia="en-US"/>
              </w:rPr>
            </w:pPr>
            <w:r w:rsidRPr="00064185">
              <w:rPr>
                <w:rFonts w:eastAsia="Calibri"/>
                <w:b/>
                <w:lang w:eastAsia="en-US"/>
              </w:rPr>
              <w:t>Estimated dermal uptake</w:t>
            </w:r>
          </w:p>
        </w:tc>
        <w:tc>
          <w:tcPr>
            <w:tcW w:w="1559" w:type="dxa"/>
            <w:shd w:val="clear" w:color="auto" w:fill="auto"/>
            <w:tcMar>
              <w:top w:w="57" w:type="dxa"/>
              <w:bottom w:w="57" w:type="dxa"/>
            </w:tcMar>
          </w:tcPr>
          <w:p w14:paraId="57CEE194" w14:textId="77777777" w:rsidR="00386FB8" w:rsidRPr="00064185" w:rsidRDefault="00386FB8" w:rsidP="00EA61D8">
            <w:pPr>
              <w:spacing w:line="260" w:lineRule="atLeast"/>
              <w:rPr>
                <w:rFonts w:eastAsia="Calibri"/>
                <w:b/>
                <w:lang w:eastAsia="en-US"/>
              </w:rPr>
            </w:pPr>
            <w:r w:rsidRPr="00064185">
              <w:rPr>
                <w:rFonts w:eastAsia="Calibri"/>
                <w:b/>
                <w:lang w:eastAsia="en-US"/>
              </w:rPr>
              <w:t>Estimated oral uptake</w:t>
            </w:r>
          </w:p>
        </w:tc>
        <w:tc>
          <w:tcPr>
            <w:tcW w:w="1843" w:type="dxa"/>
          </w:tcPr>
          <w:p w14:paraId="36B0DBD5" w14:textId="77777777" w:rsidR="00386FB8" w:rsidRPr="00064185" w:rsidRDefault="00386FB8" w:rsidP="00EA61D8">
            <w:pPr>
              <w:spacing w:line="260" w:lineRule="atLeast"/>
              <w:rPr>
                <w:rFonts w:eastAsia="Calibri"/>
                <w:b/>
                <w:lang w:eastAsia="en-US"/>
              </w:rPr>
            </w:pPr>
            <w:r w:rsidRPr="00064185">
              <w:rPr>
                <w:rFonts w:eastAsia="Calibri"/>
                <w:b/>
                <w:lang w:eastAsia="en-US"/>
              </w:rPr>
              <w:t>Estimated total uptake</w:t>
            </w:r>
          </w:p>
        </w:tc>
      </w:tr>
      <w:tr w:rsidR="00064185" w:rsidRPr="00064185" w14:paraId="7792D17F" w14:textId="77777777" w:rsidTr="00490609">
        <w:trPr>
          <w:cantSplit/>
          <w:tblHeader/>
        </w:trPr>
        <w:tc>
          <w:tcPr>
            <w:tcW w:w="1346" w:type="dxa"/>
            <w:vMerge/>
            <w:shd w:val="clear" w:color="auto" w:fill="auto"/>
          </w:tcPr>
          <w:p w14:paraId="07AE93AF" w14:textId="77777777" w:rsidR="00386FB8" w:rsidRPr="00064185" w:rsidRDefault="00386FB8" w:rsidP="00EA61D8">
            <w:pPr>
              <w:spacing w:line="260" w:lineRule="atLeast"/>
              <w:rPr>
                <w:rFonts w:eastAsia="Calibri"/>
                <w:b/>
                <w:lang w:eastAsia="en-US"/>
              </w:rPr>
            </w:pPr>
          </w:p>
        </w:tc>
        <w:tc>
          <w:tcPr>
            <w:tcW w:w="1559" w:type="dxa"/>
            <w:vMerge/>
          </w:tcPr>
          <w:p w14:paraId="4F64497C" w14:textId="77777777" w:rsidR="00386FB8" w:rsidRPr="00064185" w:rsidRDefault="00386FB8" w:rsidP="00EA61D8">
            <w:pPr>
              <w:spacing w:line="260" w:lineRule="atLeast"/>
              <w:rPr>
                <w:rFonts w:eastAsia="Calibri"/>
                <w:b/>
                <w:lang w:eastAsia="en-US"/>
              </w:rPr>
            </w:pPr>
          </w:p>
        </w:tc>
        <w:tc>
          <w:tcPr>
            <w:tcW w:w="6520" w:type="dxa"/>
            <w:gridSpan w:val="4"/>
            <w:shd w:val="clear" w:color="auto" w:fill="auto"/>
            <w:tcMar>
              <w:top w:w="57" w:type="dxa"/>
              <w:bottom w:w="57" w:type="dxa"/>
            </w:tcMar>
          </w:tcPr>
          <w:p w14:paraId="5563FAA1" w14:textId="77777777" w:rsidR="00386FB8" w:rsidRPr="00064185" w:rsidRDefault="00386FB8" w:rsidP="00EA61D8">
            <w:pPr>
              <w:spacing w:line="260" w:lineRule="atLeast"/>
              <w:rPr>
                <w:rFonts w:eastAsia="Calibri"/>
                <w:b/>
                <w:lang w:eastAsia="en-US"/>
              </w:rPr>
            </w:pPr>
            <w:r w:rsidRPr="00064185">
              <w:rPr>
                <w:rFonts w:eastAsia="Calibri"/>
                <w:lang w:eastAsia="en-US"/>
              </w:rPr>
              <w:t>mg/kg/ bw/day</w:t>
            </w:r>
          </w:p>
        </w:tc>
      </w:tr>
      <w:tr w:rsidR="00A53EE0" w:rsidRPr="00064185" w14:paraId="17A8BAE6" w14:textId="77777777" w:rsidTr="00490609">
        <w:trPr>
          <w:cantSplit/>
          <w:tblHeader/>
        </w:trPr>
        <w:tc>
          <w:tcPr>
            <w:tcW w:w="1346" w:type="dxa"/>
            <w:shd w:val="clear" w:color="auto" w:fill="auto"/>
          </w:tcPr>
          <w:p w14:paraId="567BDB43" w14:textId="0E83C376" w:rsidR="00A53EE0" w:rsidRPr="00064185" w:rsidRDefault="00490609" w:rsidP="00EA61D8">
            <w:pPr>
              <w:spacing w:line="260" w:lineRule="atLeast"/>
              <w:rPr>
                <w:rFonts w:eastAsia="Calibri"/>
                <w:lang w:eastAsia="en-US"/>
              </w:rPr>
            </w:pPr>
            <w:r w:rsidRPr="00064185">
              <w:rPr>
                <w:rFonts w:eastAsia="Calibri"/>
                <w:lang w:eastAsia="en-US"/>
              </w:rPr>
              <w:t xml:space="preserve">Scenario </w:t>
            </w:r>
            <w:r w:rsidR="002915DC" w:rsidRPr="00064185">
              <w:rPr>
                <w:rFonts w:eastAsia="Calibri"/>
                <w:lang w:eastAsia="en-US"/>
              </w:rPr>
              <w:t>2</w:t>
            </w:r>
          </w:p>
        </w:tc>
        <w:tc>
          <w:tcPr>
            <w:tcW w:w="1559" w:type="dxa"/>
          </w:tcPr>
          <w:p w14:paraId="6897895B" w14:textId="77777777" w:rsidR="00A53EE0" w:rsidRPr="00064185" w:rsidRDefault="00250997" w:rsidP="00EA61D8">
            <w:pPr>
              <w:spacing w:line="260" w:lineRule="atLeast"/>
              <w:rPr>
                <w:rFonts w:eastAsia="Calibri"/>
                <w:lang w:eastAsia="en-US"/>
              </w:rPr>
            </w:pPr>
            <w:r w:rsidRPr="00064185">
              <w:rPr>
                <w:rFonts w:eastAsia="Calibri"/>
                <w:lang w:eastAsia="en-US"/>
              </w:rPr>
              <w:t>1</w:t>
            </w:r>
            <w:r w:rsidR="00386FB8" w:rsidRPr="00064185">
              <w:rPr>
                <w:rFonts w:eastAsia="Calibri"/>
                <w:lang w:eastAsia="en-US"/>
              </w:rPr>
              <w:t xml:space="preserve"> / None</w:t>
            </w:r>
          </w:p>
        </w:tc>
        <w:tc>
          <w:tcPr>
            <w:tcW w:w="1559" w:type="dxa"/>
            <w:shd w:val="clear" w:color="auto" w:fill="auto"/>
            <w:tcMar>
              <w:top w:w="57" w:type="dxa"/>
              <w:bottom w:w="57" w:type="dxa"/>
            </w:tcMar>
          </w:tcPr>
          <w:p w14:paraId="187D571B" w14:textId="77777777" w:rsidR="00A53EE0" w:rsidRPr="00064185" w:rsidRDefault="00386FB8" w:rsidP="00EA61D8">
            <w:pPr>
              <w:spacing w:line="260" w:lineRule="atLeast"/>
              <w:rPr>
                <w:rFonts w:eastAsia="Calibri"/>
                <w:lang w:eastAsia="en-US"/>
              </w:rPr>
            </w:pPr>
            <w:r w:rsidRPr="00064185">
              <w:rPr>
                <w:rFonts w:eastAsia="Calibri"/>
                <w:lang w:eastAsia="en-US"/>
              </w:rPr>
              <w:t>Not relevant</w:t>
            </w:r>
          </w:p>
        </w:tc>
        <w:tc>
          <w:tcPr>
            <w:tcW w:w="1559" w:type="dxa"/>
            <w:shd w:val="clear" w:color="auto" w:fill="auto"/>
            <w:tcMar>
              <w:top w:w="57" w:type="dxa"/>
              <w:bottom w:w="57" w:type="dxa"/>
            </w:tcMar>
          </w:tcPr>
          <w:p w14:paraId="1B8361A1" w14:textId="7ECEE694" w:rsidR="00A53EE0" w:rsidRPr="00064185" w:rsidRDefault="003877B6" w:rsidP="00EA61D8">
            <w:pPr>
              <w:spacing w:line="260" w:lineRule="atLeast"/>
              <w:rPr>
                <w:rFonts w:eastAsia="Calibri"/>
                <w:lang w:eastAsia="en-US"/>
              </w:rPr>
            </w:pPr>
            <w:r w:rsidRPr="00064185">
              <w:rPr>
                <w:rFonts w:eastAsia="Calibri"/>
                <w:lang w:eastAsia="en-US"/>
              </w:rPr>
              <w:t>0.000334</w:t>
            </w:r>
            <w:r w:rsidR="00250997" w:rsidRPr="00064185">
              <w:rPr>
                <w:rFonts w:eastAsia="Calibri"/>
                <w:lang w:eastAsia="en-US"/>
              </w:rPr>
              <w:t xml:space="preserve"> </w:t>
            </w:r>
          </w:p>
        </w:tc>
        <w:tc>
          <w:tcPr>
            <w:tcW w:w="1559" w:type="dxa"/>
            <w:shd w:val="clear" w:color="auto" w:fill="auto"/>
            <w:tcMar>
              <w:top w:w="57" w:type="dxa"/>
              <w:bottom w:w="57" w:type="dxa"/>
            </w:tcMar>
          </w:tcPr>
          <w:p w14:paraId="1A452785" w14:textId="79534A8F" w:rsidR="00A53EE0" w:rsidRPr="00064185" w:rsidRDefault="00A80C6D" w:rsidP="00EA61D8">
            <w:pPr>
              <w:spacing w:line="260" w:lineRule="atLeast"/>
              <w:rPr>
                <w:rFonts w:eastAsia="Calibri"/>
                <w:lang w:eastAsia="en-US"/>
              </w:rPr>
            </w:pPr>
            <w:r w:rsidRPr="00064185">
              <w:rPr>
                <w:rFonts w:eastAsia="Calibri"/>
                <w:lang w:eastAsia="en-US"/>
              </w:rPr>
              <w:t>0.000338</w:t>
            </w:r>
            <w:r w:rsidR="00250997" w:rsidRPr="00064185">
              <w:rPr>
                <w:rFonts w:eastAsia="Calibri"/>
                <w:lang w:eastAsia="en-US"/>
              </w:rPr>
              <w:t xml:space="preserve"> </w:t>
            </w:r>
          </w:p>
        </w:tc>
        <w:tc>
          <w:tcPr>
            <w:tcW w:w="1843" w:type="dxa"/>
          </w:tcPr>
          <w:p w14:paraId="6A09DE79" w14:textId="1A5B21C2" w:rsidR="00A53EE0" w:rsidRPr="00064185" w:rsidRDefault="003877B6" w:rsidP="00EA61D8">
            <w:pPr>
              <w:spacing w:line="260" w:lineRule="atLeast"/>
              <w:rPr>
                <w:rFonts w:eastAsia="Calibri"/>
                <w:lang w:eastAsia="en-US"/>
              </w:rPr>
            </w:pPr>
            <w:r w:rsidRPr="00064185">
              <w:rPr>
                <w:rFonts w:eastAsia="Calibri"/>
                <w:lang w:eastAsia="en-US"/>
              </w:rPr>
              <w:t>0.00067</w:t>
            </w:r>
          </w:p>
        </w:tc>
      </w:tr>
    </w:tbl>
    <w:p w14:paraId="3F16D575" w14:textId="77777777" w:rsidR="00A53EE0" w:rsidRPr="00064185" w:rsidRDefault="00A53EE0" w:rsidP="00EA61D8">
      <w:pPr>
        <w:spacing w:line="260" w:lineRule="atLeast"/>
        <w:rPr>
          <w:rFonts w:eastAsia="Calibri"/>
          <w:lang w:eastAsia="en-US"/>
        </w:rPr>
      </w:pPr>
    </w:p>
    <w:p w14:paraId="6DC9B46D" w14:textId="289B991A" w:rsidR="0020580C" w:rsidRPr="00064185" w:rsidRDefault="0020580C" w:rsidP="00EA61D8">
      <w:pPr>
        <w:spacing w:line="260" w:lineRule="atLeast"/>
        <w:rPr>
          <w:rFonts w:eastAsia="Calibri"/>
          <w:lang w:eastAsia="en-US"/>
        </w:rPr>
      </w:pPr>
    </w:p>
    <w:p w14:paraId="3B96F0AB" w14:textId="77777777" w:rsidR="0020580C" w:rsidRPr="00064185" w:rsidRDefault="0020580C" w:rsidP="00EA61D8">
      <w:pPr>
        <w:spacing w:line="260" w:lineRule="atLeast"/>
        <w:rPr>
          <w:rFonts w:eastAsia="Calibri"/>
          <w:lang w:eastAsia="en-US"/>
        </w:rPr>
      </w:pPr>
    </w:p>
    <w:p w14:paraId="6A07C36A" w14:textId="77777777" w:rsidR="00A53EE0" w:rsidRPr="00064185" w:rsidRDefault="00A53EE0" w:rsidP="00403806">
      <w:pPr>
        <w:jc w:val="both"/>
        <w:rPr>
          <w:rFonts w:eastAsia="Calibri"/>
          <w:i/>
          <w:sz w:val="22"/>
          <w:szCs w:val="22"/>
          <w:u w:val="single"/>
          <w:lang w:eastAsia="en-US"/>
        </w:rPr>
      </w:pPr>
      <w:bookmarkStart w:id="1696" w:name="_Toc389729075"/>
      <w:r w:rsidRPr="00064185">
        <w:rPr>
          <w:rFonts w:eastAsia="Calibri"/>
          <w:i/>
          <w:sz w:val="22"/>
          <w:szCs w:val="22"/>
          <w:u w:val="single"/>
          <w:lang w:eastAsia="en-US"/>
        </w:rPr>
        <w:t>Combined scenarios</w:t>
      </w:r>
      <w:bookmarkEnd w:id="1696"/>
    </w:p>
    <w:p w14:paraId="46E0B883" w14:textId="77777777" w:rsidR="00A53EE0" w:rsidRPr="00064185" w:rsidRDefault="00A53EE0" w:rsidP="00403806">
      <w:pPr>
        <w:spacing w:line="260" w:lineRule="atLeast"/>
        <w:jc w:val="both"/>
        <w:rPr>
          <w:rFonts w:eastAsia="Calibri"/>
          <w:lang w:eastAsia="en-US"/>
        </w:rPr>
      </w:pPr>
    </w:p>
    <w:p w14:paraId="36134EDC" w14:textId="77777777" w:rsidR="00932CED" w:rsidRPr="00064185" w:rsidRDefault="00932CED" w:rsidP="00403806">
      <w:pPr>
        <w:spacing w:line="260" w:lineRule="atLeast"/>
        <w:jc w:val="both"/>
        <w:rPr>
          <w:rFonts w:eastAsia="Calibri"/>
          <w:lang w:eastAsia="en-US"/>
        </w:rPr>
      </w:pPr>
      <w:r w:rsidRPr="00064185">
        <w:rPr>
          <w:rFonts w:eastAsia="Calibri"/>
          <w:lang w:eastAsia="en-US"/>
        </w:rPr>
        <w:t>Combined exposure from the direct and indirect scenarios does not occur.</w:t>
      </w:r>
    </w:p>
    <w:p w14:paraId="1DC51C86" w14:textId="77777777" w:rsidR="00932CED" w:rsidRPr="00064185" w:rsidRDefault="00932CED" w:rsidP="00403806">
      <w:pPr>
        <w:spacing w:line="260" w:lineRule="atLeast"/>
        <w:jc w:val="both"/>
        <w:rPr>
          <w:rFonts w:eastAsia="Calibri"/>
          <w:lang w:eastAsia="en-US"/>
        </w:rPr>
      </w:pPr>
    </w:p>
    <w:p w14:paraId="2DE408E9" w14:textId="77777777" w:rsidR="001133E0" w:rsidRPr="00064185" w:rsidRDefault="001133E0" w:rsidP="00403806">
      <w:pPr>
        <w:jc w:val="both"/>
        <w:rPr>
          <w:rFonts w:eastAsia="Calibri"/>
          <w:b/>
          <w:i/>
          <w:sz w:val="22"/>
          <w:szCs w:val="22"/>
          <w:lang w:eastAsia="en-US"/>
        </w:rPr>
      </w:pPr>
      <w:bookmarkStart w:id="1697" w:name="_Toc389729076"/>
      <w:bookmarkStart w:id="1698" w:name="_Toc403472770"/>
    </w:p>
    <w:p w14:paraId="2036B062" w14:textId="77777777" w:rsidR="00A53EE0" w:rsidRPr="00064185" w:rsidRDefault="00A53EE0" w:rsidP="00403806">
      <w:pPr>
        <w:jc w:val="both"/>
        <w:rPr>
          <w:rFonts w:eastAsia="Calibri"/>
          <w:b/>
          <w:i/>
          <w:sz w:val="22"/>
          <w:szCs w:val="22"/>
          <w:lang w:eastAsia="en-US"/>
        </w:rPr>
      </w:pPr>
      <w:r w:rsidRPr="00064185">
        <w:rPr>
          <w:rFonts w:eastAsia="Calibri"/>
          <w:b/>
          <w:i/>
          <w:sz w:val="22"/>
          <w:szCs w:val="22"/>
          <w:lang w:eastAsia="en-US"/>
        </w:rPr>
        <w:t>Monitoring data</w:t>
      </w:r>
      <w:bookmarkEnd w:id="1697"/>
      <w:bookmarkEnd w:id="1698"/>
    </w:p>
    <w:p w14:paraId="6D195BFE" w14:textId="0FCA9089" w:rsidR="001133E0" w:rsidRPr="00064185" w:rsidRDefault="001133E0" w:rsidP="00403806">
      <w:pPr>
        <w:spacing w:line="260" w:lineRule="atLeast"/>
        <w:jc w:val="both"/>
      </w:pPr>
      <w:r w:rsidRPr="00064185">
        <w:t>No further information on surveys or studies with the actual</w:t>
      </w:r>
      <w:r w:rsidR="00600D38" w:rsidRPr="00064185">
        <w:t xml:space="preserve"> product or with a surrogate is</w:t>
      </w:r>
      <w:r w:rsidRPr="00064185">
        <w:t xml:space="preserve"> available.</w:t>
      </w:r>
    </w:p>
    <w:p w14:paraId="4C0B6C01" w14:textId="77777777" w:rsidR="003B4C10" w:rsidRPr="00064185" w:rsidRDefault="003B4C10" w:rsidP="00403806">
      <w:pPr>
        <w:spacing w:line="260" w:lineRule="atLeast"/>
        <w:jc w:val="both"/>
      </w:pPr>
    </w:p>
    <w:p w14:paraId="00EB088D" w14:textId="77777777" w:rsidR="00A53EE0" w:rsidRPr="00064185" w:rsidRDefault="00A53EE0" w:rsidP="00403806">
      <w:pPr>
        <w:spacing w:line="260" w:lineRule="atLeast"/>
        <w:jc w:val="both"/>
        <w:rPr>
          <w:rFonts w:ascii="Times New Roman" w:eastAsia="Calibri" w:hAnsi="Times New Roman"/>
          <w:i/>
          <w:iCs/>
          <w:lang w:eastAsia="en-US"/>
        </w:rPr>
      </w:pPr>
    </w:p>
    <w:p w14:paraId="53B3C4A4" w14:textId="77777777" w:rsidR="00A53EE0" w:rsidRPr="00064185" w:rsidRDefault="00A53EE0" w:rsidP="00403806">
      <w:pPr>
        <w:jc w:val="both"/>
        <w:rPr>
          <w:rFonts w:eastAsia="Calibri"/>
          <w:b/>
          <w:i/>
          <w:sz w:val="22"/>
          <w:szCs w:val="22"/>
          <w:lang w:eastAsia="en-US"/>
        </w:rPr>
      </w:pPr>
      <w:bookmarkStart w:id="1699" w:name="_Toc389729077"/>
      <w:bookmarkStart w:id="1700" w:name="_Toc403472771"/>
      <w:r w:rsidRPr="00064185">
        <w:rPr>
          <w:rFonts w:eastAsia="Calibri"/>
          <w:b/>
          <w:i/>
          <w:sz w:val="22"/>
          <w:szCs w:val="22"/>
          <w:lang w:eastAsia="en-US"/>
        </w:rPr>
        <w:t>Dietary exposure</w:t>
      </w:r>
      <w:bookmarkEnd w:id="1699"/>
      <w:bookmarkEnd w:id="1700"/>
    </w:p>
    <w:p w14:paraId="328BA2FE" w14:textId="77777777" w:rsidR="00DE1EEC" w:rsidRPr="00064185" w:rsidRDefault="001133E0" w:rsidP="00403806">
      <w:pPr>
        <w:spacing w:line="260" w:lineRule="atLeast"/>
        <w:jc w:val="both"/>
        <w:rPr>
          <w:rFonts w:eastAsia="Calibri"/>
          <w:lang w:eastAsia="en-US"/>
        </w:rPr>
      </w:pPr>
      <w:r w:rsidRPr="00064185">
        <w:rPr>
          <w:rFonts w:eastAsia="Calibri"/>
          <w:lang w:eastAsia="en-US"/>
        </w:rPr>
        <w:t>Food, drinking water or livestock</w:t>
      </w:r>
      <w:r w:rsidR="007F32A5" w:rsidRPr="00064185">
        <w:rPr>
          <w:rFonts w:eastAsia="Calibri"/>
          <w:lang w:eastAsia="en-US"/>
        </w:rPr>
        <w:t xml:space="preserve"> exposure of </w:t>
      </w:r>
      <w:r w:rsidR="007F32A5" w:rsidRPr="00064185">
        <w:rPr>
          <w:rFonts w:eastAsia="Calibri"/>
          <w:i/>
          <w:lang w:eastAsia="en-US"/>
        </w:rPr>
        <w:t>lambda</w:t>
      </w:r>
      <w:r w:rsidR="007F32A5" w:rsidRPr="00064185">
        <w:rPr>
          <w:rFonts w:eastAsia="Calibri"/>
          <w:lang w:eastAsia="en-US"/>
        </w:rPr>
        <w:t>-cyhalothrin can be excluded when applied according to the recommended uses.</w:t>
      </w:r>
    </w:p>
    <w:p w14:paraId="52E00F17" w14:textId="77777777" w:rsidR="008D34FB" w:rsidRPr="00064185" w:rsidRDefault="008D34FB" w:rsidP="00403806">
      <w:pPr>
        <w:jc w:val="both"/>
        <w:rPr>
          <w:rFonts w:eastAsia="Calibri"/>
          <w:i/>
          <w:sz w:val="22"/>
          <w:szCs w:val="22"/>
          <w:u w:val="single"/>
          <w:lang w:eastAsia="en-US"/>
        </w:rPr>
      </w:pPr>
      <w:bookmarkStart w:id="1701" w:name="_Toc389729079"/>
    </w:p>
    <w:p w14:paraId="1C9FAC08" w14:textId="77777777" w:rsidR="00273A48" w:rsidRPr="00064185" w:rsidRDefault="00273A48" w:rsidP="00EA61D8">
      <w:pPr>
        <w:rPr>
          <w:rFonts w:eastAsia="Calibri"/>
          <w:i/>
          <w:sz w:val="22"/>
          <w:szCs w:val="22"/>
          <w:u w:val="single"/>
          <w:lang w:eastAsia="en-US"/>
        </w:rPr>
      </w:pPr>
    </w:p>
    <w:p w14:paraId="5CEC6D98" w14:textId="77777777" w:rsidR="008D34FB" w:rsidRPr="00064185" w:rsidRDefault="008D34FB" w:rsidP="00EA61D8">
      <w:pPr>
        <w:rPr>
          <w:rFonts w:eastAsia="Calibri"/>
          <w:i/>
          <w:sz w:val="22"/>
          <w:szCs w:val="22"/>
          <w:u w:val="single"/>
          <w:lang w:eastAsia="en-US"/>
        </w:rPr>
      </w:pPr>
    </w:p>
    <w:p w14:paraId="2EF5C4CE" w14:textId="77777777" w:rsidR="00A53EE0" w:rsidRPr="00064185" w:rsidRDefault="00A53EE0" w:rsidP="00EA61D8">
      <w:pPr>
        <w:rPr>
          <w:rFonts w:eastAsia="Calibri"/>
          <w:i/>
          <w:sz w:val="22"/>
          <w:szCs w:val="22"/>
          <w:u w:val="single"/>
          <w:lang w:eastAsia="en-US"/>
        </w:rPr>
      </w:pPr>
      <w:r w:rsidRPr="00064185">
        <w:rPr>
          <w:rFonts w:eastAsia="Calibri"/>
          <w:i/>
          <w:sz w:val="22"/>
          <w:szCs w:val="22"/>
          <w:u w:val="single"/>
          <w:lang w:eastAsia="en-US"/>
        </w:rPr>
        <w:lastRenderedPageBreak/>
        <w:t>Information of non-biocidal use of the active substance</w:t>
      </w:r>
      <w:bookmarkEnd w:id="1701"/>
    </w:p>
    <w:p w14:paraId="258BD839" w14:textId="77777777" w:rsidR="00A53EE0" w:rsidRPr="00064185" w:rsidRDefault="00A53EE0" w:rsidP="00EA61D8">
      <w:pPr>
        <w:spacing w:line="260" w:lineRule="atLeast"/>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1"/>
        <w:gridCol w:w="1474"/>
        <w:gridCol w:w="3749"/>
        <w:gridCol w:w="3220"/>
      </w:tblGrid>
      <w:tr w:rsidR="00064185" w:rsidRPr="00064185" w14:paraId="7B692D8D" w14:textId="77777777" w:rsidTr="00922E8F">
        <w:trPr>
          <w:tblHeader/>
        </w:trPr>
        <w:tc>
          <w:tcPr>
            <w:tcW w:w="5000" w:type="pct"/>
            <w:gridSpan w:val="4"/>
            <w:shd w:val="clear" w:color="auto" w:fill="FFFFCC"/>
          </w:tcPr>
          <w:p w14:paraId="00F2BDD4" w14:textId="77777777" w:rsidR="00A53EE0" w:rsidRPr="00064185" w:rsidRDefault="00A53EE0" w:rsidP="00EA61D8">
            <w:pPr>
              <w:spacing w:line="260" w:lineRule="atLeast"/>
              <w:rPr>
                <w:rFonts w:eastAsia="Calibri"/>
                <w:b/>
                <w:lang w:eastAsia="en-US"/>
              </w:rPr>
            </w:pPr>
            <w:r w:rsidRPr="00064185">
              <w:rPr>
                <w:rFonts w:eastAsia="Calibri"/>
                <w:b/>
                <w:lang w:eastAsia="en-US"/>
              </w:rPr>
              <w:t>Summary table of other (non-biocidal) uses</w:t>
            </w:r>
          </w:p>
        </w:tc>
      </w:tr>
      <w:tr w:rsidR="00064185" w:rsidRPr="00064185" w14:paraId="1B712219" w14:textId="77777777" w:rsidTr="00922E8F">
        <w:trPr>
          <w:tblHeader/>
        </w:trPr>
        <w:tc>
          <w:tcPr>
            <w:tcW w:w="487" w:type="pct"/>
            <w:shd w:val="clear" w:color="auto" w:fill="auto"/>
            <w:tcMar>
              <w:top w:w="57" w:type="dxa"/>
              <w:bottom w:w="57" w:type="dxa"/>
            </w:tcMar>
          </w:tcPr>
          <w:p w14:paraId="0D057BA1" w14:textId="77777777" w:rsidR="00A53EE0" w:rsidRPr="00064185" w:rsidRDefault="00A53EE0" w:rsidP="00EA61D8">
            <w:pPr>
              <w:spacing w:line="260" w:lineRule="atLeast"/>
              <w:rPr>
                <w:rFonts w:eastAsia="Calibri"/>
                <w:lang w:eastAsia="en-US"/>
              </w:rPr>
            </w:pPr>
          </w:p>
        </w:tc>
        <w:tc>
          <w:tcPr>
            <w:tcW w:w="788" w:type="pct"/>
            <w:shd w:val="clear" w:color="auto" w:fill="auto"/>
            <w:tcMar>
              <w:top w:w="57" w:type="dxa"/>
              <w:bottom w:w="57" w:type="dxa"/>
            </w:tcMar>
          </w:tcPr>
          <w:p w14:paraId="266482D1" w14:textId="77777777" w:rsidR="00A53EE0" w:rsidRPr="00064185" w:rsidRDefault="00A53EE0" w:rsidP="00EA61D8">
            <w:pPr>
              <w:spacing w:line="260" w:lineRule="atLeast"/>
              <w:rPr>
                <w:rFonts w:eastAsia="Calibri"/>
                <w:b/>
                <w:lang w:eastAsia="en-US"/>
              </w:rPr>
            </w:pPr>
            <w:r w:rsidRPr="00064185">
              <w:rPr>
                <w:rFonts w:eastAsia="Calibri"/>
                <w:b/>
                <w:lang w:eastAsia="en-US"/>
              </w:rPr>
              <w:t>Sector of use</w:t>
            </w:r>
          </w:p>
        </w:tc>
        <w:tc>
          <w:tcPr>
            <w:tcW w:w="2004" w:type="pct"/>
            <w:shd w:val="clear" w:color="auto" w:fill="auto"/>
            <w:tcMar>
              <w:top w:w="57" w:type="dxa"/>
              <w:bottom w:w="57" w:type="dxa"/>
            </w:tcMar>
          </w:tcPr>
          <w:p w14:paraId="78FB4FA8" w14:textId="77777777" w:rsidR="00A53EE0" w:rsidRPr="00064185" w:rsidRDefault="00A53EE0" w:rsidP="00EA61D8">
            <w:pPr>
              <w:spacing w:line="260" w:lineRule="atLeast"/>
              <w:rPr>
                <w:rFonts w:eastAsia="Calibri"/>
                <w:b/>
                <w:lang w:eastAsia="en-US"/>
              </w:rPr>
            </w:pPr>
            <w:r w:rsidRPr="00064185">
              <w:rPr>
                <w:rFonts w:eastAsia="Calibri"/>
                <w:b/>
                <w:lang w:eastAsia="en-US"/>
              </w:rPr>
              <w:t>Intended use</w:t>
            </w:r>
          </w:p>
        </w:tc>
        <w:tc>
          <w:tcPr>
            <w:tcW w:w="1721" w:type="pct"/>
            <w:shd w:val="clear" w:color="auto" w:fill="auto"/>
            <w:tcMar>
              <w:top w:w="57" w:type="dxa"/>
              <w:bottom w:w="57" w:type="dxa"/>
            </w:tcMar>
          </w:tcPr>
          <w:p w14:paraId="5C2BE806" w14:textId="77777777" w:rsidR="00A53EE0" w:rsidRPr="00064185" w:rsidRDefault="00A53EE0" w:rsidP="00EA61D8">
            <w:pPr>
              <w:spacing w:line="260" w:lineRule="atLeast"/>
              <w:rPr>
                <w:rFonts w:eastAsia="Calibri"/>
                <w:b/>
                <w:lang w:eastAsia="en-US"/>
              </w:rPr>
            </w:pPr>
            <w:r w:rsidRPr="00064185">
              <w:rPr>
                <w:rFonts w:eastAsia="Calibri"/>
                <w:b/>
                <w:lang w:eastAsia="en-US"/>
              </w:rPr>
              <w:t>Reference value(s)</w:t>
            </w:r>
          </w:p>
        </w:tc>
      </w:tr>
      <w:tr w:rsidR="00064185" w:rsidRPr="00064185" w14:paraId="6A4D0113" w14:textId="77777777" w:rsidTr="00922E8F">
        <w:trPr>
          <w:tblHeader/>
        </w:trPr>
        <w:tc>
          <w:tcPr>
            <w:tcW w:w="487" w:type="pct"/>
            <w:vMerge w:val="restart"/>
            <w:tcMar>
              <w:top w:w="57" w:type="dxa"/>
              <w:bottom w:w="57" w:type="dxa"/>
            </w:tcMar>
          </w:tcPr>
          <w:p w14:paraId="5E35CC7B" w14:textId="77777777" w:rsidR="001133E0" w:rsidRPr="00064185" w:rsidRDefault="001133E0" w:rsidP="00EA61D8">
            <w:pPr>
              <w:spacing w:line="260" w:lineRule="atLeast"/>
              <w:rPr>
                <w:rFonts w:eastAsia="Calibri"/>
                <w:lang w:eastAsia="en-US"/>
              </w:rPr>
            </w:pPr>
            <w:r w:rsidRPr="00064185">
              <w:rPr>
                <w:rFonts w:eastAsia="Calibri"/>
                <w:lang w:eastAsia="en-US"/>
              </w:rPr>
              <w:t>1.</w:t>
            </w:r>
          </w:p>
        </w:tc>
        <w:tc>
          <w:tcPr>
            <w:tcW w:w="788" w:type="pct"/>
            <w:vMerge w:val="restart"/>
            <w:shd w:val="clear" w:color="auto" w:fill="auto"/>
            <w:tcMar>
              <w:top w:w="57" w:type="dxa"/>
              <w:bottom w:w="57" w:type="dxa"/>
            </w:tcMar>
          </w:tcPr>
          <w:p w14:paraId="50F27BC0" w14:textId="77777777" w:rsidR="001133E0" w:rsidRPr="00064185" w:rsidRDefault="001133E0" w:rsidP="00EA61D8">
            <w:pPr>
              <w:spacing w:line="260" w:lineRule="atLeast"/>
              <w:rPr>
                <w:rFonts w:eastAsia="Calibri"/>
                <w:lang w:eastAsia="en-US"/>
              </w:rPr>
            </w:pPr>
            <w:r w:rsidRPr="00064185">
              <w:rPr>
                <w:rFonts w:eastAsia="Calibri"/>
                <w:iCs/>
                <w:lang w:eastAsia="en-US"/>
              </w:rPr>
              <w:t>veterinary use*</w:t>
            </w:r>
          </w:p>
        </w:tc>
        <w:tc>
          <w:tcPr>
            <w:tcW w:w="2004" w:type="pct"/>
            <w:tcMar>
              <w:top w:w="57" w:type="dxa"/>
              <w:bottom w:w="57" w:type="dxa"/>
            </w:tcMar>
          </w:tcPr>
          <w:p w14:paraId="01825244" w14:textId="77777777" w:rsidR="001133E0" w:rsidRPr="00064185" w:rsidRDefault="001133E0" w:rsidP="00EA61D8">
            <w:pPr>
              <w:spacing w:line="260" w:lineRule="atLeast"/>
              <w:rPr>
                <w:rFonts w:eastAsia="Calibri"/>
                <w:lang w:eastAsia="en-US"/>
              </w:rPr>
            </w:pPr>
            <w:r w:rsidRPr="00064185">
              <w:rPr>
                <w:rFonts w:eastAsia="Calibri"/>
                <w:lang w:eastAsia="en-US"/>
              </w:rPr>
              <w:t>Fat</w:t>
            </w:r>
          </w:p>
        </w:tc>
        <w:tc>
          <w:tcPr>
            <w:tcW w:w="1721" w:type="pct"/>
            <w:shd w:val="clear" w:color="auto" w:fill="auto"/>
            <w:tcMar>
              <w:top w:w="57" w:type="dxa"/>
              <w:bottom w:w="57" w:type="dxa"/>
            </w:tcMar>
          </w:tcPr>
          <w:p w14:paraId="7F9AA230" w14:textId="77777777" w:rsidR="001133E0" w:rsidRPr="00064185" w:rsidRDefault="001133E0" w:rsidP="00EA61D8">
            <w:pPr>
              <w:spacing w:line="260" w:lineRule="atLeast"/>
              <w:rPr>
                <w:rFonts w:eastAsia="Calibri"/>
                <w:lang w:eastAsia="en-US"/>
              </w:rPr>
            </w:pPr>
            <w:r w:rsidRPr="00064185">
              <w:rPr>
                <w:rFonts w:eastAsia="Calibri"/>
                <w:lang w:eastAsia="en-US"/>
              </w:rPr>
              <w:t>0.5 mg/kg</w:t>
            </w:r>
            <w:r w:rsidRPr="00064185">
              <w:rPr>
                <w:rStyle w:val="Funotenzeichen"/>
                <w:rFonts w:eastAsia="Calibri"/>
                <w:lang w:eastAsia="en-US"/>
              </w:rPr>
              <w:footnoteReference w:id="4"/>
            </w:r>
          </w:p>
        </w:tc>
      </w:tr>
      <w:tr w:rsidR="00064185" w:rsidRPr="00064185" w14:paraId="0522E0DB" w14:textId="77777777" w:rsidTr="00922E8F">
        <w:trPr>
          <w:tblHeader/>
        </w:trPr>
        <w:tc>
          <w:tcPr>
            <w:tcW w:w="487" w:type="pct"/>
            <w:vMerge/>
            <w:tcMar>
              <w:top w:w="57" w:type="dxa"/>
              <w:bottom w:w="57" w:type="dxa"/>
            </w:tcMar>
          </w:tcPr>
          <w:p w14:paraId="272F2207" w14:textId="77777777" w:rsidR="001133E0" w:rsidRPr="00064185" w:rsidRDefault="001133E0" w:rsidP="00EA61D8">
            <w:pPr>
              <w:spacing w:line="260" w:lineRule="atLeast"/>
              <w:rPr>
                <w:rFonts w:eastAsia="Calibri"/>
                <w:lang w:eastAsia="en-US"/>
              </w:rPr>
            </w:pPr>
          </w:p>
        </w:tc>
        <w:tc>
          <w:tcPr>
            <w:tcW w:w="788" w:type="pct"/>
            <w:vMerge/>
            <w:shd w:val="clear" w:color="auto" w:fill="auto"/>
            <w:tcMar>
              <w:top w:w="57" w:type="dxa"/>
              <w:bottom w:w="57" w:type="dxa"/>
            </w:tcMar>
          </w:tcPr>
          <w:p w14:paraId="56391E24" w14:textId="77777777" w:rsidR="001133E0" w:rsidRPr="00064185" w:rsidRDefault="001133E0" w:rsidP="00EA61D8">
            <w:pPr>
              <w:spacing w:line="260" w:lineRule="atLeast"/>
              <w:rPr>
                <w:rFonts w:eastAsia="Calibri"/>
                <w:lang w:eastAsia="en-US"/>
              </w:rPr>
            </w:pPr>
          </w:p>
        </w:tc>
        <w:tc>
          <w:tcPr>
            <w:tcW w:w="2004" w:type="pct"/>
            <w:tcMar>
              <w:top w:w="57" w:type="dxa"/>
              <w:bottom w:w="57" w:type="dxa"/>
            </w:tcMar>
          </w:tcPr>
          <w:p w14:paraId="68461C60" w14:textId="77777777" w:rsidR="001133E0" w:rsidRPr="00064185" w:rsidRDefault="001133E0" w:rsidP="00EA61D8">
            <w:pPr>
              <w:spacing w:line="260" w:lineRule="atLeast"/>
              <w:rPr>
                <w:rFonts w:eastAsia="Calibri"/>
                <w:lang w:eastAsia="en-US"/>
              </w:rPr>
            </w:pPr>
            <w:r w:rsidRPr="00064185">
              <w:rPr>
                <w:rFonts w:eastAsia="Calibri"/>
                <w:lang w:eastAsia="en-US"/>
              </w:rPr>
              <w:t>Milk / Kidney</w:t>
            </w:r>
          </w:p>
        </w:tc>
        <w:tc>
          <w:tcPr>
            <w:tcW w:w="1721" w:type="pct"/>
            <w:shd w:val="clear" w:color="auto" w:fill="auto"/>
            <w:tcMar>
              <w:top w:w="57" w:type="dxa"/>
              <w:bottom w:w="57" w:type="dxa"/>
            </w:tcMar>
          </w:tcPr>
          <w:p w14:paraId="64BB6BC9" w14:textId="77777777" w:rsidR="001133E0" w:rsidRPr="00064185" w:rsidRDefault="001133E0" w:rsidP="00EA61D8">
            <w:pPr>
              <w:spacing w:line="260" w:lineRule="atLeast"/>
              <w:rPr>
                <w:rFonts w:eastAsia="Calibri"/>
                <w:lang w:eastAsia="en-US"/>
              </w:rPr>
            </w:pPr>
            <w:r w:rsidRPr="00064185">
              <w:rPr>
                <w:rFonts w:eastAsia="Calibri"/>
                <w:lang w:eastAsia="en-US"/>
              </w:rPr>
              <w:t>0.05 mg/kg</w:t>
            </w:r>
          </w:p>
        </w:tc>
      </w:tr>
      <w:tr w:rsidR="00064185" w:rsidRPr="00064185" w14:paraId="389AB886" w14:textId="77777777" w:rsidTr="00922E8F">
        <w:trPr>
          <w:tblHeader/>
        </w:trPr>
        <w:tc>
          <w:tcPr>
            <w:tcW w:w="487" w:type="pct"/>
            <w:tcMar>
              <w:top w:w="57" w:type="dxa"/>
              <w:bottom w:w="57" w:type="dxa"/>
            </w:tcMar>
          </w:tcPr>
          <w:p w14:paraId="2618D514" w14:textId="77777777" w:rsidR="001133E0" w:rsidRPr="00064185" w:rsidRDefault="001133E0" w:rsidP="00EA61D8">
            <w:pPr>
              <w:spacing w:line="260" w:lineRule="atLeast"/>
              <w:rPr>
                <w:rFonts w:eastAsia="Calibri"/>
                <w:lang w:eastAsia="en-US"/>
              </w:rPr>
            </w:pPr>
            <w:r w:rsidRPr="00064185">
              <w:rPr>
                <w:rFonts w:eastAsia="Calibri"/>
                <w:lang w:eastAsia="en-US"/>
              </w:rPr>
              <w:t>2.</w:t>
            </w:r>
          </w:p>
        </w:tc>
        <w:tc>
          <w:tcPr>
            <w:tcW w:w="788" w:type="pct"/>
            <w:shd w:val="clear" w:color="auto" w:fill="auto"/>
            <w:tcMar>
              <w:top w:w="57" w:type="dxa"/>
              <w:bottom w:w="57" w:type="dxa"/>
            </w:tcMar>
          </w:tcPr>
          <w:p w14:paraId="21B3177D" w14:textId="77777777" w:rsidR="001133E0" w:rsidRPr="00064185" w:rsidRDefault="001133E0" w:rsidP="00EA61D8">
            <w:pPr>
              <w:spacing w:line="260" w:lineRule="atLeast"/>
              <w:rPr>
                <w:rFonts w:eastAsia="Calibri"/>
                <w:lang w:eastAsia="en-US"/>
              </w:rPr>
            </w:pPr>
            <w:r w:rsidRPr="00064185">
              <w:rPr>
                <w:rFonts w:eastAsia="Calibri"/>
                <w:iCs/>
                <w:lang w:eastAsia="en-US"/>
              </w:rPr>
              <w:t>plant protection products</w:t>
            </w:r>
          </w:p>
        </w:tc>
        <w:tc>
          <w:tcPr>
            <w:tcW w:w="2004" w:type="pct"/>
            <w:tcMar>
              <w:top w:w="57" w:type="dxa"/>
              <w:bottom w:w="57" w:type="dxa"/>
            </w:tcMar>
          </w:tcPr>
          <w:p w14:paraId="6E98EB3A" w14:textId="77777777" w:rsidR="001133E0" w:rsidRPr="00064185" w:rsidRDefault="001133E0" w:rsidP="00EA61D8">
            <w:pPr>
              <w:spacing w:line="260" w:lineRule="atLeast"/>
              <w:rPr>
                <w:rFonts w:eastAsia="Calibri"/>
                <w:lang w:eastAsia="en-US"/>
              </w:rPr>
            </w:pPr>
            <w:r w:rsidRPr="00064185">
              <w:rPr>
                <w:rFonts w:eastAsia="Calibri"/>
                <w:lang w:eastAsia="en-US"/>
              </w:rPr>
              <w:t>MRL range of different crops</w:t>
            </w:r>
          </w:p>
        </w:tc>
        <w:tc>
          <w:tcPr>
            <w:tcW w:w="1721" w:type="pct"/>
            <w:shd w:val="clear" w:color="auto" w:fill="auto"/>
            <w:tcMar>
              <w:top w:w="57" w:type="dxa"/>
              <w:bottom w:w="57" w:type="dxa"/>
            </w:tcMar>
          </w:tcPr>
          <w:p w14:paraId="7B850195" w14:textId="77777777" w:rsidR="001133E0" w:rsidRPr="00064185" w:rsidRDefault="001133E0" w:rsidP="00EA61D8">
            <w:pPr>
              <w:spacing w:line="260" w:lineRule="atLeast"/>
              <w:rPr>
                <w:rFonts w:eastAsia="Calibri"/>
                <w:lang w:eastAsia="en-US"/>
              </w:rPr>
            </w:pPr>
            <w:r w:rsidRPr="00064185">
              <w:rPr>
                <w:rFonts w:eastAsia="Calibri"/>
                <w:lang w:eastAsia="en-US"/>
              </w:rPr>
              <w:t>0.02–10 mg/kg</w:t>
            </w:r>
            <w:r w:rsidRPr="00064185">
              <w:rPr>
                <w:rStyle w:val="Funotenzeichen"/>
                <w:rFonts w:eastAsia="Calibri"/>
                <w:lang w:eastAsia="en-US"/>
              </w:rPr>
              <w:footnoteReference w:id="5"/>
            </w:r>
          </w:p>
        </w:tc>
      </w:tr>
    </w:tbl>
    <w:p w14:paraId="22A5CF36" w14:textId="77777777" w:rsidR="001133E0" w:rsidRPr="00064185" w:rsidRDefault="001133E0" w:rsidP="00EA61D8">
      <w:pPr>
        <w:spacing w:line="260" w:lineRule="atLeast"/>
        <w:rPr>
          <w:rFonts w:eastAsia="Calibri"/>
          <w:lang w:eastAsia="en-US"/>
        </w:rPr>
      </w:pPr>
      <w:r w:rsidRPr="00064185">
        <w:rPr>
          <w:rFonts w:eastAsia="Calibri"/>
          <w:lang w:eastAsia="en-US"/>
        </w:rPr>
        <w:t>* Established for cyhalothrin.</w:t>
      </w:r>
    </w:p>
    <w:p w14:paraId="60B55BB8" w14:textId="77777777" w:rsidR="00A53EE0" w:rsidRPr="00064185" w:rsidRDefault="00A53EE0" w:rsidP="00EA61D8">
      <w:pPr>
        <w:spacing w:line="260" w:lineRule="atLeast"/>
        <w:rPr>
          <w:rFonts w:eastAsia="Calibri"/>
          <w:lang w:eastAsia="en-US"/>
        </w:rPr>
      </w:pPr>
    </w:p>
    <w:p w14:paraId="288C7B16" w14:textId="77777777" w:rsidR="0055700C" w:rsidRPr="00064185" w:rsidRDefault="0055700C" w:rsidP="00EA61D8">
      <w:pPr>
        <w:spacing w:line="260" w:lineRule="atLeast"/>
        <w:rPr>
          <w:rFonts w:eastAsia="Calibri"/>
          <w:lang w:eastAsia="en-US"/>
        </w:rPr>
      </w:pPr>
    </w:p>
    <w:p w14:paraId="305ABB48" w14:textId="77777777" w:rsidR="00A53EE0" w:rsidRPr="00064185" w:rsidRDefault="00A53EE0" w:rsidP="00403806">
      <w:pPr>
        <w:jc w:val="both"/>
        <w:rPr>
          <w:rFonts w:eastAsia="Calibri"/>
          <w:i/>
          <w:sz w:val="22"/>
          <w:szCs w:val="22"/>
          <w:u w:val="single"/>
          <w:lang w:eastAsia="en-US"/>
        </w:rPr>
      </w:pPr>
      <w:bookmarkStart w:id="1702" w:name="_Toc389729080"/>
      <w:r w:rsidRPr="00064185">
        <w:rPr>
          <w:rFonts w:eastAsia="Calibri"/>
          <w:i/>
          <w:sz w:val="22"/>
          <w:szCs w:val="22"/>
          <w:u w:val="single"/>
          <w:lang w:eastAsia="en-US"/>
        </w:rPr>
        <w:t>Estimating Livestock Exposure to Active Substances used in Biocidal Products</w:t>
      </w:r>
      <w:bookmarkEnd w:id="1702"/>
    </w:p>
    <w:p w14:paraId="23CF8D27" w14:textId="77777777" w:rsidR="002E7A18" w:rsidRPr="00064185" w:rsidRDefault="002E7A18" w:rsidP="00403806">
      <w:pPr>
        <w:spacing w:line="260" w:lineRule="atLeast"/>
        <w:jc w:val="both"/>
        <w:rPr>
          <w:rFonts w:eastAsia="Calibri"/>
          <w:lang w:eastAsia="en-US"/>
        </w:rPr>
      </w:pPr>
      <w:r w:rsidRPr="00064185">
        <w:rPr>
          <w:rFonts w:eastAsia="Calibri"/>
          <w:lang w:eastAsia="en-US"/>
        </w:rPr>
        <w:t xml:space="preserve">Food, drinking water or livestock exposure of </w:t>
      </w:r>
      <w:r w:rsidRPr="00064185">
        <w:rPr>
          <w:rFonts w:eastAsia="Calibri"/>
          <w:i/>
          <w:lang w:eastAsia="en-US"/>
        </w:rPr>
        <w:t>lambda</w:t>
      </w:r>
      <w:r w:rsidRPr="00064185">
        <w:rPr>
          <w:rFonts w:eastAsia="Calibri"/>
          <w:lang w:eastAsia="en-US"/>
        </w:rPr>
        <w:t>-cyhalothrin can be excluded when applied according to the recommended uses.</w:t>
      </w:r>
    </w:p>
    <w:p w14:paraId="6C66DC65" w14:textId="77777777" w:rsidR="001133E0" w:rsidRPr="00064185" w:rsidRDefault="001133E0" w:rsidP="00403806">
      <w:pPr>
        <w:jc w:val="both"/>
        <w:rPr>
          <w:rFonts w:eastAsia="Calibri"/>
          <w:i/>
          <w:sz w:val="22"/>
          <w:szCs w:val="22"/>
          <w:u w:val="single"/>
          <w:lang w:eastAsia="en-US"/>
        </w:rPr>
      </w:pPr>
    </w:p>
    <w:p w14:paraId="4121F69E" w14:textId="77777777" w:rsidR="00A53EE0" w:rsidRPr="00064185" w:rsidRDefault="00A53EE0" w:rsidP="00403806">
      <w:pPr>
        <w:spacing w:line="260" w:lineRule="atLeast"/>
        <w:jc w:val="both"/>
        <w:rPr>
          <w:rFonts w:ascii="Times New Roman" w:eastAsia="Calibri" w:hAnsi="Times New Roman"/>
          <w:i/>
          <w:iCs/>
          <w:lang w:eastAsia="en-US"/>
        </w:rPr>
      </w:pPr>
    </w:p>
    <w:p w14:paraId="4EFEE2D7" w14:textId="77777777" w:rsidR="00A53EE0" w:rsidRPr="00064185" w:rsidRDefault="00A53EE0" w:rsidP="00403806">
      <w:pPr>
        <w:jc w:val="both"/>
        <w:rPr>
          <w:rFonts w:eastAsia="Calibri"/>
          <w:i/>
          <w:sz w:val="22"/>
          <w:szCs w:val="22"/>
          <w:u w:val="single"/>
          <w:lang w:eastAsia="en-US"/>
        </w:rPr>
      </w:pPr>
      <w:bookmarkStart w:id="1703" w:name="_Toc389729081"/>
      <w:r w:rsidRPr="00064185">
        <w:rPr>
          <w:rFonts w:eastAsia="Calibri"/>
          <w:i/>
          <w:sz w:val="22"/>
          <w:szCs w:val="22"/>
          <w:u w:val="single"/>
          <w:lang w:eastAsia="en-US"/>
        </w:rPr>
        <w:t>Estimating transfer of biocidal active substances into foods as a result of professional and/or industrial application(s)</w:t>
      </w:r>
      <w:bookmarkEnd w:id="1703"/>
    </w:p>
    <w:p w14:paraId="23512AF9" w14:textId="77777777" w:rsidR="002E7A18" w:rsidRPr="00064185" w:rsidRDefault="002E7A18" w:rsidP="00403806">
      <w:pPr>
        <w:spacing w:line="260" w:lineRule="atLeast"/>
        <w:jc w:val="both"/>
        <w:rPr>
          <w:rFonts w:eastAsia="Calibri"/>
          <w:lang w:eastAsia="en-US"/>
        </w:rPr>
      </w:pPr>
      <w:r w:rsidRPr="00064185">
        <w:rPr>
          <w:rFonts w:eastAsia="Calibri"/>
          <w:lang w:eastAsia="en-US"/>
        </w:rPr>
        <w:t xml:space="preserve">Food, drinking water or livestock exposure of </w:t>
      </w:r>
      <w:r w:rsidRPr="00064185">
        <w:rPr>
          <w:rFonts w:eastAsia="Calibri"/>
          <w:i/>
          <w:lang w:eastAsia="en-US"/>
        </w:rPr>
        <w:t>lambda</w:t>
      </w:r>
      <w:r w:rsidRPr="00064185">
        <w:rPr>
          <w:rFonts w:eastAsia="Calibri"/>
          <w:lang w:eastAsia="en-US"/>
        </w:rPr>
        <w:t>-cyhalothrin can be excluded when applied according to the recommended uses.</w:t>
      </w:r>
    </w:p>
    <w:p w14:paraId="7BEA5644" w14:textId="77777777" w:rsidR="00A53EE0" w:rsidRPr="00064185" w:rsidRDefault="00A53EE0" w:rsidP="00403806">
      <w:pPr>
        <w:spacing w:line="260" w:lineRule="atLeast"/>
        <w:jc w:val="both"/>
        <w:rPr>
          <w:rFonts w:eastAsia="Calibri"/>
          <w:lang w:eastAsia="en-US"/>
        </w:rPr>
      </w:pPr>
    </w:p>
    <w:p w14:paraId="67FC574D" w14:textId="77777777" w:rsidR="00A53EE0" w:rsidRPr="00064185" w:rsidRDefault="00A53EE0" w:rsidP="00403806">
      <w:pPr>
        <w:spacing w:line="260" w:lineRule="atLeast"/>
        <w:jc w:val="both"/>
        <w:rPr>
          <w:rFonts w:eastAsia="Calibri"/>
          <w:lang w:eastAsia="en-US"/>
        </w:rPr>
      </w:pPr>
    </w:p>
    <w:p w14:paraId="56AE14B1" w14:textId="77777777" w:rsidR="00A53EE0" w:rsidRPr="00064185" w:rsidRDefault="00A53EE0" w:rsidP="00403806">
      <w:pPr>
        <w:jc w:val="both"/>
        <w:rPr>
          <w:rFonts w:eastAsia="Calibri"/>
          <w:i/>
          <w:sz w:val="22"/>
          <w:szCs w:val="22"/>
          <w:u w:val="single"/>
          <w:lang w:eastAsia="en-US"/>
        </w:rPr>
      </w:pPr>
      <w:bookmarkStart w:id="1704" w:name="_Toc389729082"/>
      <w:r w:rsidRPr="00064185">
        <w:rPr>
          <w:rFonts w:eastAsia="Calibri"/>
          <w:i/>
          <w:sz w:val="22"/>
          <w:szCs w:val="22"/>
          <w:u w:val="single"/>
          <w:lang w:eastAsia="en-US"/>
        </w:rPr>
        <w:t>Estimating transfer of biocidal active substances into foods as a result of non-professional use</w:t>
      </w:r>
      <w:bookmarkEnd w:id="1704"/>
    </w:p>
    <w:p w14:paraId="6F5C9D78" w14:textId="77777777" w:rsidR="002E7A18" w:rsidRPr="00064185" w:rsidRDefault="002E7A18" w:rsidP="00403806">
      <w:pPr>
        <w:spacing w:line="260" w:lineRule="atLeast"/>
        <w:jc w:val="both"/>
        <w:rPr>
          <w:rFonts w:eastAsia="Calibri"/>
          <w:lang w:eastAsia="en-US"/>
        </w:rPr>
      </w:pPr>
      <w:r w:rsidRPr="00064185">
        <w:rPr>
          <w:rFonts w:eastAsia="Calibri"/>
          <w:lang w:eastAsia="en-US"/>
        </w:rPr>
        <w:t xml:space="preserve">Food, drinking water or livestock exposure of </w:t>
      </w:r>
      <w:r w:rsidRPr="00064185">
        <w:rPr>
          <w:rFonts w:eastAsia="Calibri"/>
          <w:i/>
          <w:lang w:eastAsia="en-US"/>
        </w:rPr>
        <w:t>lambda</w:t>
      </w:r>
      <w:r w:rsidRPr="00064185">
        <w:rPr>
          <w:rFonts w:eastAsia="Calibri"/>
          <w:lang w:eastAsia="en-US"/>
        </w:rPr>
        <w:t>-cyhalothrin can be excluded when applied according to the recommended uses.</w:t>
      </w:r>
    </w:p>
    <w:p w14:paraId="4F11F642" w14:textId="77777777" w:rsidR="00A53EE0" w:rsidRPr="00064185" w:rsidRDefault="00A53EE0" w:rsidP="00403806">
      <w:pPr>
        <w:spacing w:line="260" w:lineRule="atLeast"/>
        <w:jc w:val="both"/>
        <w:rPr>
          <w:rFonts w:eastAsia="Calibri"/>
          <w:lang w:eastAsia="en-US"/>
        </w:rPr>
      </w:pPr>
    </w:p>
    <w:p w14:paraId="7F2130F1" w14:textId="77777777" w:rsidR="00A53EE0" w:rsidRPr="00064185" w:rsidRDefault="00A53EE0" w:rsidP="00403806">
      <w:pPr>
        <w:spacing w:line="260" w:lineRule="atLeast"/>
        <w:jc w:val="both"/>
        <w:rPr>
          <w:rFonts w:eastAsia="Calibri"/>
          <w:lang w:eastAsia="en-US"/>
        </w:rPr>
      </w:pPr>
    </w:p>
    <w:p w14:paraId="375F8E21" w14:textId="77777777" w:rsidR="00A53EE0" w:rsidRPr="00064185" w:rsidRDefault="00A53EE0" w:rsidP="00403806">
      <w:pPr>
        <w:jc w:val="both"/>
        <w:rPr>
          <w:rFonts w:eastAsia="Calibri"/>
          <w:b/>
          <w:i/>
          <w:sz w:val="22"/>
          <w:szCs w:val="22"/>
          <w:lang w:eastAsia="en-US"/>
        </w:rPr>
      </w:pPr>
      <w:bookmarkStart w:id="1705" w:name="_Toc389729083"/>
      <w:bookmarkStart w:id="1706" w:name="_Toc403472772"/>
      <w:r w:rsidRPr="00064185">
        <w:rPr>
          <w:rFonts w:eastAsia="Calibri"/>
          <w:b/>
          <w:i/>
          <w:sz w:val="22"/>
          <w:szCs w:val="22"/>
          <w:lang w:eastAsia="en-US"/>
        </w:rPr>
        <w:t>Exposure associated with production, formulation and disposal of the biocidal product</w:t>
      </w:r>
      <w:bookmarkEnd w:id="1705"/>
      <w:bookmarkEnd w:id="1706"/>
    </w:p>
    <w:p w14:paraId="67DC5623" w14:textId="77777777" w:rsidR="00A53EE0" w:rsidRPr="00064185" w:rsidRDefault="00A53EE0" w:rsidP="00403806">
      <w:pPr>
        <w:spacing w:line="260" w:lineRule="atLeast"/>
        <w:jc w:val="both"/>
        <w:rPr>
          <w:rFonts w:eastAsia="Calibri"/>
          <w:b/>
          <w:bCs/>
          <w:lang w:eastAsia="en-US"/>
        </w:rPr>
      </w:pPr>
    </w:p>
    <w:p w14:paraId="0AE167DE" w14:textId="386EE9C2" w:rsidR="005F1B52" w:rsidRPr="00064185" w:rsidRDefault="005F1B52" w:rsidP="00403806">
      <w:pPr>
        <w:spacing w:before="40" w:after="80" w:line="288" w:lineRule="auto"/>
        <w:jc w:val="both"/>
        <w:rPr>
          <w:iCs/>
        </w:rPr>
      </w:pPr>
      <w:r w:rsidRPr="00064185">
        <w:rPr>
          <w:iCs/>
        </w:rPr>
        <w:t xml:space="preserve">Exposure during the production and formulation of the active substance should be addressed under </w:t>
      </w:r>
      <w:r w:rsidR="00FA3C08" w:rsidRPr="00064185">
        <w:rPr>
          <w:iCs/>
        </w:rPr>
        <w:t>other EU legislation (e.g. REACH</w:t>
      </w:r>
      <w:r w:rsidRPr="00064185">
        <w:rPr>
          <w:iCs/>
        </w:rPr>
        <w:t xml:space="preserve">) and not repeated under Regulation EU (No.) 528/2012. The Biocides Technical Meeting (TMI06) agreed that a risk assessment for production and formulation of the active substance was not required, unless the active </w:t>
      </w:r>
      <w:r w:rsidRPr="00064185">
        <w:rPr>
          <w:iCs/>
        </w:rPr>
        <w:lastRenderedPageBreak/>
        <w:t xml:space="preserve">substance was totally new to the EU market and manufactured in the EU. This is not the case for </w:t>
      </w:r>
      <w:r w:rsidRPr="00064185">
        <w:rPr>
          <w:i/>
          <w:iCs/>
        </w:rPr>
        <w:t>lambda</w:t>
      </w:r>
      <w:r w:rsidRPr="00064185">
        <w:rPr>
          <w:iCs/>
        </w:rPr>
        <w:t>-cyhalothrin which is an existing biocidal active substance within the EU.</w:t>
      </w:r>
    </w:p>
    <w:p w14:paraId="045A5963" w14:textId="77777777" w:rsidR="005F1B52" w:rsidRPr="00064185" w:rsidRDefault="005F1B52" w:rsidP="00403806">
      <w:pPr>
        <w:jc w:val="both"/>
        <w:rPr>
          <w:rFonts w:eastAsia="Calibri"/>
          <w:b/>
          <w:i/>
          <w:sz w:val="22"/>
          <w:szCs w:val="22"/>
          <w:lang w:eastAsia="en-US"/>
        </w:rPr>
      </w:pPr>
      <w:bookmarkStart w:id="1707" w:name="_Toc389729086"/>
      <w:bookmarkStart w:id="1708" w:name="_Toc403472773"/>
    </w:p>
    <w:p w14:paraId="1923E51D" w14:textId="77777777" w:rsidR="00A53EE0" w:rsidRPr="00064185" w:rsidRDefault="00A53EE0" w:rsidP="00403806">
      <w:pPr>
        <w:jc w:val="both"/>
        <w:rPr>
          <w:rFonts w:eastAsia="Calibri"/>
          <w:b/>
          <w:i/>
          <w:sz w:val="22"/>
          <w:szCs w:val="22"/>
          <w:lang w:eastAsia="en-US"/>
        </w:rPr>
      </w:pPr>
      <w:r w:rsidRPr="00064185">
        <w:rPr>
          <w:rFonts w:eastAsia="Calibri"/>
          <w:b/>
          <w:i/>
          <w:sz w:val="22"/>
          <w:szCs w:val="22"/>
          <w:lang w:eastAsia="en-US"/>
        </w:rPr>
        <w:t>Aggregated exposure</w:t>
      </w:r>
      <w:bookmarkEnd w:id="1707"/>
      <w:bookmarkEnd w:id="1708"/>
    </w:p>
    <w:p w14:paraId="11193B37" w14:textId="77777777" w:rsidR="004A6E1E" w:rsidRPr="00064185" w:rsidRDefault="004A6E1E" w:rsidP="00403806">
      <w:pPr>
        <w:jc w:val="both"/>
        <w:rPr>
          <w:rFonts w:eastAsia="Calibri"/>
          <w:b/>
          <w:i/>
          <w:sz w:val="22"/>
          <w:szCs w:val="22"/>
          <w:lang w:eastAsia="en-US"/>
        </w:rPr>
      </w:pPr>
    </w:p>
    <w:p w14:paraId="100170DE" w14:textId="77777777" w:rsidR="003B6AD9" w:rsidRPr="00064185" w:rsidRDefault="005F1B52" w:rsidP="00403806">
      <w:pPr>
        <w:jc w:val="both"/>
        <w:rPr>
          <w:iCs/>
        </w:rPr>
      </w:pPr>
      <w:r w:rsidRPr="00064185">
        <w:rPr>
          <w:iCs/>
        </w:rPr>
        <w:t xml:space="preserve">Currently no </w:t>
      </w:r>
      <w:r w:rsidR="003B6AD9" w:rsidRPr="00064185">
        <w:rPr>
          <w:iCs/>
        </w:rPr>
        <w:t>methodology has been developed</w:t>
      </w:r>
      <w:r w:rsidRPr="00064185">
        <w:rPr>
          <w:iCs/>
        </w:rPr>
        <w:t xml:space="preserve"> how an aggregated exposure assessment shall be performed. This was not addressed.</w:t>
      </w:r>
    </w:p>
    <w:p w14:paraId="10EAE30A" w14:textId="77777777" w:rsidR="008D34FB" w:rsidRPr="00064185" w:rsidRDefault="008D34FB" w:rsidP="00403806">
      <w:pPr>
        <w:jc w:val="both"/>
        <w:rPr>
          <w:rFonts w:eastAsia="Calibri"/>
          <w:b/>
          <w:i/>
          <w:sz w:val="22"/>
          <w:szCs w:val="22"/>
          <w:lang w:eastAsia="en-US"/>
        </w:rPr>
      </w:pPr>
      <w:bookmarkStart w:id="1709" w:name="_Toc389729087"/>
      <w:bookmarkStart w:id="1710" w:name="_Toc403472774"/>
    </w:p>
    <w:p w14:paraId="0C9B91F9" w14:textId="77777777" w:rsidR="00040BDC" w:rsidRPr="00064185" w:rsidRDefault="00040BDC" w:rsidP="00EA61D8">
      <w:pPr>
        <w:rPr>
          <w:rFonts w:eastAsia="Calibri"/>
          <w:b/>
          <w:i/>
          <w:sz w:val="22"/>
          <w:szCs w:val="22"/>
          <w:lang w:eastAsia="en-US"/>
        </w:rPr>
      </w:pPr>
    </w:p>
    <w:p w14:paraId="01A73FCC" w14:textId="77777777" w:rsidR="00A53EE0" w:rsidRPr="00064185" w:rsidRDefault="00A53EE0" w:rsidP="00EA61D8">
      <w:pPr>
        <w:rPr>
          <w:rFonts w:eastAsia="Calibri"/>
          <w:b/>
          <w:i/>
          <w:sz w:val="22"/>
          <w:szCs w:val="22"/>
          <w:lang w:eastAsia="en-US"/>
        </w:rPr>
      </w:pPr>
      <w:r w:rsidRPr="00064185">
        <w:rPr>
          <w:rFonts w:eastAsia="Calibri"/>
          <w:b/>
          <w:i/>
          <w:sz w:val="22"/>
          <w:szCs w:val="22"/>
          <w:lang w:eastAsia="en-US"/>
        </w:rPr>
        <w:t>Summary of exposure assessment</w:t>
      </w:r>
      <w:bookmarkEnd w:id="1709"/>
      <w:bookmarkEnd w:id="1710"/>
    </w:p>
    <w:p w14:paraId="0847224B" w14:textId="77777777" w:rsidR="00A53EE0" w:rsidRPr="00064185" w:rsidRDefault="00A53EE0" w:rsidP="00EA61D8">
      <w:pPr>
        <w:spacing w:line="260" w:lineRule="atLeast"/>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2"/>
        <w:gridCol w:w="3167"/>
        <w:gridCol w:w="2735"/>
        <w:gridCol w:w="2230"/>
      </w:tblGrid>
      <w:tr w:rsidR="00064185" w:rsidRPr="00064185" w14:paraId="65797555" w14:textId="77777777" w:rsidTr="00922E8F">
        <w:trPr>
          <w:tblHeader/>
        </w:trPr>
        <w:tc>
          <w:tcPr>
            <w:tcW w:w="5000" w:type="pct"/>
            <w:gridSpan w:val="4"/>
            <w:shd w:val="clear" w:color="auto" w:fill="FFFFCC"/>
          </w:tcPr>
          <w:p w14:paraId="2BFB5F08" w14:textId="77777777" w:rsidR="00A53EE0" w:rsidRPr="00064185" w:rsidRDefault="00A53EE0" w:rsidP="00EA61D8">
            <w:pPr>
              <w:spacing w:line="260" w:lineRule="atLeast"/>
              <w:rPr>
                <w:rFonts w:eastAsia="Calibri"/>
                <w:b/>
                <w:lang w:eastAsia="en-US"/>
              </w:rPr>
            </w:pPr>
            <w:r w:rsidRPr="00064185">
              <w:rPr>
                <w:rFonts w:eastAsia="Calibri"/>
                <w:b/>
                <w:lang w:eastAsia="en-US"/>
              </w:rPr>
              <w:t>Scenarios and values to be used in risk assessment</w:t>
            </w:r>
          </w:p>
        </w:tc>
      </w:tr>
      <w:tr w:rsidR="00064185" w:rsidRPr="00064185" w14:paraId="3E5AFF82" w14:textId="77777777" w:rsidTr="00922E8F">
        <w:trPr>
          <w:tblHeader/>
        </w:trPr>
        <w:tc>
          <w:tcPr>
            <w:tcW w:w="653" w:type="pct"/>
            <w:shd w:val="clear" w:color="auto" w:fill="auto"/>
            <w:tcMar>
              <w:top w:w="57" w:type="dxa"/>
              <w:bottom w:w="57" w:type="dxa"/>
            </w:tcMar>
          </w:tcPr>
          <w:p w14:paraId="7F9721A4" w14:textId="77777777" w:rsidR="00A53EE0" w:rsidRPr="00064185" w:rsidRDefault="00A53EE0" w:rsidP="00EA61D8">
            <w:pPr>
              <w:spacing w:line="260" w:lineRule="atLeast"/>
              <w:rPr>
                <w:rFonts w:eastAsia="Calibri"/>
                <w:b/>
                <w:lang w:eastAsia="en-US"/>
              </w:rPr>
            </w:pPr>
            <w:r w:rsidRPr="00064185">
              <w:rPr>
                <w:rFonts w:eastAsia="Calibri"/>
                <w:b/>
                <w:lang w:eastAsia="en-US"/>
              </w:rPr>
              <w:t>Scenario number</w:t>
            </w:r>
          </w:p>
        </w:tc>
        <w:tc>
          <w:tcPr>
            <w:tcW w:w="1693" w:type="pct"/>
            <w:shd w:val="clear" w:color="auto" w:fill="auto"/>
            <w:tcMar>
              <w:top w:w="57" w:type="dxa"/>
              <w:bottom w:w="57" w:type="dxa"/>
            </w:tcMar>
          </w:tcPr>
          <w:p w14:paraId="63F29E57" w14:textId="77777777" w:rsidR="00A53EE0" w:rsidRPr="00064185" w:rsidRDefault="00A53EE0" w:rsidP="00EA61D8">
            <w:pPr>
              <w:spacing w:line="260" w:lineRule="atLeast"/>
              <w:rPr>
                <w:rFonts w:eastAsia="Calibri"/>
                <w:b/>
                <w:lang w:eastAsia="en-US"/>
              </w:rPr>
            </w:pPr>
            <w:r w:rsidRPr="00064185">
              <w:rPr>
                <w:rFonts w:eastAsia="Calibri"/>
                <w:b/>
                <w:lang w:eastAsia="en-US"/>
              </w:rPr>
              <w:t>Exposed group</w:t>
            </w:r>
          </w:p>
          <w:p w14:paraId="6DB162EB" w14:textId="77777777" w:rsidR="00A53EE0" w:rsidRPr="00064185" w:rsidRDefault="00A53EE0" w:rsidP="00EA61D8">
            <w:pPr>
              <w:spacing w:line="260" w:lineRule="atLeast"/>
              <w:rPr>
                <w:rFonts w:eastAsia="Calibri"/>
                <w:b/>
                <w:lang w:eastAsia="en-US"/>
              </w:rPr>
            </w:pPr>
          </w:p>
        </w:tc>
        <w:tc>
          <w:tcPr>
            <w:tcW w:w="1462" w:type="pct"/>
            <w:shd w:val="clear" w:color="auto" w:fill="auto"/>
            <w:tcMar>
              <w:top w:w="57" w:type="dxa"/>
              <w:bottom w:w="57" w:type="dxa"/>
            </w:tcMar>
          </w:tcPr>
          <w:p w14:paraId="492CC01D" w14:textId="77777777" w:rsidR="00A53EE0" w:rsidRPr="00064185" w:rsidRDefault="00A53EE0" w:rsidP="00EA61D8">
            <w:pPr>
              <w:spacing w:line="260" w:lineRule="atLeast"/>
              <w:rPr>
                <w:rFonts w:eastAsia="Calibri"/>
                <w:b/>
                <w:lang w:eastAsia="en-US"/>
              </w:rPr>
            </w:pPr>
            <w:r w:rsidRPr="00064185">
              <w:rPr>
                <w:rFonts w:eastAsia="Calibri"/>
                <w:b/>
                <w:lang w:eastAsia="en-US"/>
              </w:rPr>
              <w:t>Tier/PPE</w:t>
            </w:r>
          </w:p>
        </w:tc>
        <w:tc>
          <w:tcPr>
            <w:tcW w:w="1192" w:type="pct"/>
            <w:shd w:val="clear" w:color="auto" w:fill="auto"/>
            <w:tcMar>
              <w:top w:w="57" w:type="dxa"/>
              <w:bottom w:w="57" w:type="dxa"/>
            </w:tcMar>
          </w:tcPr>
          <w:p w14:paraId="54D3045B" w14:textId="77777777" w:rsidR="00A53EE0" w:rsidRPr="00064185" w:rsidRDefault="00A53EE0" w:rsidP="00EA61D8">
            <w:pPr>
              <w:spacing w:line="260" w:lineRule="atLeast"/>
              <w:rPr>
                <w:rFonts w:eastAsia="Calibri"/>
                <w:b/>
                <w:lang w:eastAsia="en-US"/>
              </w:rPr>
            </w:pPr>
            <w:r w:rsidRPr="00064185">
              <w:rPr>
                <w:rFonts w:eastAsia="Calibri"/>
                <w:b/>
                <w:lang w:eastAsia="en-US"/>
              </w:rPr>
              <w:t>Estimated total uptake</w:t>
            </w:r>
            <w:r w:rsidR="002E7A18" w:rsidRPr="00064185">
              <w:rPr>
                <w:rFonts w:eastAsia="Calibri"/>
                <w:b/>
                <w:lang w:eastAsia="en-US"/>
              </w:rPr>
              <w:t xml:space="preserve"> [mg/kg bw/day]</w:t>
            </w:r>
          </w:p>
        </w:tc>
      </w:tr>
      <w:tr w:rsidR="00064185" w:rsidRPr="00064185" w14:paraId="28AED8D8" w14:textId="77777777" w:rsidTr="00922E8F">
        <w:trPr>
          <w:tblHeader/>
        </w:trPr>
        <w:tc>
          <w:tcPr>
            <w:tcW w:w="653" w:type="pct"/>
            <w:tcMar>
              <w:top w:w="57" w:type="dxa"/>
              <w:bottom w:w="57" w:type="dxa"/>
            </w:tcMar>
          </w:tcPr>
          <w:p w14:paraId="44090002" w14:textId="77777777" w:rsidR="00A53EE0" w:rsidRPr="00064185" w:rsidRDefault="00A53EE0" w:rsidP="00EA61D8">
            <w:pPr>
              <w:spacing w:line="260" w:lineRule="atLeast"/>
              <w:rPr>
                <w:rFonts w:eastAsia="Calibri"/>
                <w:lang w:eastAsia="en-US"/>
              </w:rPr>
            </w:pPr>
            <w:r w:rsidRPr="00064185">
              <w:rPr>
                <w:rFonts w:eastAsia="Calibri"/>
                <w:lang w:eastAsia="en-US"/>
              </w:rPr>
              <w:t>1.</w:t>
            </w:r>
          </w:p>
        </w:tc>
        <w:tc>
          <w:tcPr>
            <w:tcW w:w="1693" w:type="pct"/>
            <w:shd w:val="clear" w:color="auto" w:fill="auto"/>
            <w:tcMar>
              <w:top w:w="57" w:type="dxa"/>
              <w:bottom w:w="57" w:type="dxa"/>
            </w:tcMar>
          </w:tcPr>
          <w:p w14:paraId="28522824" w14:textId="77777777" w:rsidR="00A53EE0" w:rsidRPr="00064185" w:rsidRDefault="00DE1EEC" w:rsidP="00EA61D8">
            <w:pPr>
              <w:spacing w:line="260" w:lineRule="atLeast"/>
              <w:rPr>
                <w:rFonts w:eastAsia="Calibri"/>
                <w:lang w:eastAsia="en-US"/>
              </w:rPr>
            </w:pPr>
            <w:r w:rsidRPr="00064185">
              <w:rPr>
                <w:rFonts w:eastAsia="Calibri"/>
                <w:lang w:eastAsia="en-US"/>
              </w:rPr>
              <w:t>Non-professionals</w:t>
            </w:r>
          </w:p>
        </w:tc>
        <w:tc>
          <w:tcPr>
            <w:tcW w:w="1462" w:type="pct"/>
            <w:tcMar>
              <w:top w:w="57" w:type="dxa"/>
              <w:bottom w:w="57" w:type="dxa"/>
            </w:tcMar>
          </w:tcPr>
          <w:p w14:paraId="72DAB7A1" w14:textId="77777777" w:rsidR="00A53EE0" w:rsidRPr="00064185" w:rsidRDefault="00DE1EEC" w:rsidP="00EA61D8">
            <w:pPr>
              <w:spacing w:line="260" w:lineRule="atLeast"/>
              <w:rPr>
                <w:rFonts w:eastAsia="Calibri"/>
                <w:lang w:eastAsia="en-US"/>
              </w:rPr>
            </w:pPr>
            <w:r w:rsidRPr="00064185">
              <w:rPr>
                <w:rFonts w:eastAsia="Calibri"/>
                <w:lang w:eastAsia="en-US"/>
              </w:rPr>
              <w:t>1</w:t>
            </w:r>
            <w:r w:rsidR="002E7A18" w:rsidRPr="00064185">
              <w:rPr>
                <w:rFonts w:eastAsia="Calibri"/>
                <w:lang w:eastAsia="en-US"/>
              </w:rPr>
              <w:t>/None</w:t>
            </w:r>
          </w:p>
        </w:tc>
        <w:tc>
          <w:tcPr>
            <w:tcW w:w="1192" w:type="pct"/>
            <w:shd w:val="clear" w:color="auto" w:fill="auto"/>
            <w:tcMar>
              <w:top w:w="57" w:type="dxa"/>
              <w:bottom w:w="57" w:type="dxa"/>
            </w:tcMar>
          </w:tcPr>
          <w:p w14:paraId="4BC3916D" w14:textId="77777777" w:rsidR="00A53EE0" w:rsidRPr="00064185" w:rsidRDefault="00DE1EEC" w:rsidP="00EA61D8">
            <w:pPr>
              <w:spacing w:line="260" w:lineRule="atLeast"/>
              <w:rPr>
                <w:rFonts w:eastAsia="Calibri"/>
                <w:lang w:eastAsia="en-US"/>
              </w:rPr>
            </w:pPr>
            <w:r w:rsidRPr="00064185">
              <w:rPr>
                <w:rFonts w:eastAsia="Calibri"/>
                <w:lang w:eastAsia="en-US"/>
              </w:rPr>
              <w:t>0.000087</w:t>
            </w:r>
          </w:p>
        </w:tc>
      </w:tr>
      <w:tr w:rsidR="00064185" w:rsidRPr="00064185" w14:paraId="2213BD2F" w14:textId="77777777" w:rsidTr="00922E8F">
        <w:trPr>
          <w:tblHeader/>
        </w:trPr>
        <w:tc>
          <w:tcPr>
            <w:tcW w:w="653" w:type="pct"/>
            <w:tcMar>
              <w:top w:w="57" w:type="dxa"/>
              <w:bottom w:w="57" w:type="dxa"/>
            </w:tcMar>
          </w:tcPr>
          <w:p w14:paraId="56C18C91" w14:textId="77777777" w:rsidR="00A53EE0" w:rsidRPr="00064185" w:rsidRDefault="00A53EE0" w:rsidP="00EA61D8">
            <w:pPr>
              <w:spacing w:line="260" w:lineRule="atLeast"/>
              <w:rPr>
                <w:rFonts w:eastAsia="Calibri"/>
                <w:lang w:eastAsia="en-US"/>
              </w:rPr>
            </w:pPr>
            <w:r w:rsidRPr="00064185">
              <w:rPr>
                <w:rFonts w:eastAsia="Calibri"/>
                <w:lang w:eastAsia="en-US"/>
              </w:rPr>
              <w:t>2.</w:t>
            </w:r>
          </w:p>
        </w:tc>
        <w:tc>
          <w:tcPr>
            <w:tcW w:w="1693" w:type="pct"/>
            <w:shd w:val="clear" w:color="auto" w:fill="auto"/>
            <w:tcMar>
              <w:top w:w="57" w:type="dxa"/>
              <w:bottom w:w="57" w:type="dxa"/>
            </w:tcMar>
          </w:tcPr>
          <w:p w14:paraId="5A3A760F" w14:textId="77777777" w:rsidR="00A53EE0" w:rsidRPr="00064185" w:rsidRDefault="00DE1EEC" w:rsidP="00EA61D8">
            <w:pPr>
              <w:spacing w:line="260" w:lineRule="atLeast"/>
              <w:rPr>
                <w:rFonts w:eastAsia="Calibri"/>
                <w:lang w:eastAsia="en-US"/>
              </w:rPr>
            </w:pPr>
            <w:r w:rsidRPr="00064185">
              <w:rPr>
                <w:rFonts w:eastAsia="Calibri"/>
                <w:lang w:eastAsia="en-US"/>
              </w:rPr>
              <w:t>Non-professionals</w:t>
            </w:r>
            <w:r w:rsidR="002E7A18" w:rsidRPr="00064185">
              <w:rPr>
                <w:rFonts w:eastAsia="Calibri"/>
                <w:lang w:eastAsia="en-US"/>
              </w:rPr>
              <w:t xml:space="preserve"> (child)</w:t>
            </w:r>
          </w:p>
        </w:tc>
        <w:tc>
          <w:tcPr>
            <w:tcW w:w="1462" w:type="pct"/>
            <w:tcMar>
              <w:top w:w="57" w:type="dxa"/>
              <w:bottom w:w="57" w:type="dxa"/>
            </w:tcMar>
          </w:tcPr>
          <w:p w14:paraId="0FD0000F" w14:textId="77777777" w:rsidR="00A53EE0" w:rsidRPr="00064185" w:rsidRDefault="00DE1EEC" w:rsidP="00EA61D8">
            <w:pPr>
              <w:spacing w:line="260" w:lineRule="atLeast"/>
              <w:rPr>
                <w:rFonts w:eastAsia="Calibri"/>
                <w:lang w:eastAsia="en-US"/>
              </w:rPr>
            </w:pPr>
            <w:r w:rsidRPr="00064185">
              <w:rPr>
                <w:rFonts w:eastAsia="Calibri"/>
                <w:lang w:eastAsia="en-US"/>
              </w:rPr>
              <w:t>1</w:t>
            </w:r>
            <w:r w:rsidR="002E7A18" w:rsidRPr="00064185">
              <w:rPr>
                <w:rFonts w:eastAsia="Calibri"/>
                <w:lang w:eastAsia="en-US"/>
              </w:rPr>
              <w:t>/None</w:t>
            </w:r>
          </w:p>
        </w:tc>
        <w:tc>
          <w:tcPr>
            <w:tcW w:w="1192" w:type="pct"/>
            <w:shd w:val="clear" w:color="auto" w:fill="auto"/>
            <w:tcMar>
              <w:top w:w="57" w:type="dxa"/>
              <w:bottom w:w="57" w:type="dxa"/>
            </w:tcMar>
          </w:tcPr>
          <w:p w14:paraId="399EF46D" w14:textId="6053F0F6" w:rsidR="00A53EE0" w:rsidRPr="00064185" w:rsidRDefault="00DE1EEC" w:rsidP="00EA61D8">
            <w:pPr>
              <w:spacing w:line="260" w:lineRule="atLeast"/>
              <w:rPr>
                <w:rFonts w:eastAsia="Calibri"/>
                <w:lang w:eastAsia="en-US"/>
              </w:rPr>
            </w:pPr>
            <w:r w:rsidRPr="00064185">
              <w:rPr>
                <w:rFonts w:eastAsia="Calibri"/>
                <w:lang w:eastAsia="en-US"/>
              </w:rPr>
              <w:t>0.00</w:t>
            </w:r>
            <w:r w:rsidR="003877B6" w:rsidRPr="00064185">
              <w:rPr>
                <w:rFonts w:eastAsia="Calibri"/>
                <w:lang w:eastAsia="en-US"/>
              </w:rPr>
              <w:t>067</w:t>
            </w:r>
          </w:p>
        </w:tc>
      </w:tr>
    </w:tbl>
    <w:p w14:paraId="6A4D87C4" w14:textId="77777777" w:rsidR="00A53EE0" w:rsidRPr="00064185" w:rsidRDefault="00A53EE0" w:rsidP="00EA61D8">
      <w:pPr>
        <w:pStyle w:val="berschrift4"/>
        <w:jc w:val="left"/>
      </w:pPr>
      <w:r w:rsidRPr="00064185">
        <w:rPr>
          <w:lang w:val="en-US"/>
        </w:rPr>
        <w:br w:type="page"/>
      </w:r>
      <w:bookmarkStart w:id="1711" w:name="_Toc389729088"/>
      <w:bookmarkStart w:id="1712" w:name="_Toc440879664"/>
      <w:bookmarkStart w:id="1713" w:name="_Toc440889977"/>
      <w:bookmarkStart w:id="1714" w:name="_Toc530563682"/>
      <w:r w:rsidRPr="00064185">
        <w:lastRenderedPageBreak/>
        <w:t>Risk characterisation for human health</w:t>
      </w:r>
      <w:bookmarkEnd w:id="1711"/>
      <w:bookmarkEnd w:id="1712"/>
      <w:bookmarkEnd w:id="1713"/>
      <w:bookmarkEnd w:id="1714"/>
    </w:p>
    <w:p w14:paraId="3B5E6649"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38"/>
        <w:gridCol w:w="1538"/>
        <w:gridCol w:w="1538"/>
        <w:gridCol w:w="1538"/>
        <w:gridCol w:w="1538"/>
      </w:tblGrid>
      <w:tr w:rsidR="00064185" w:rsidRPr="00064185" w14:paraId="0EA51B50" w14:textId="77777777" w:rsidTr="00922E8F">
        <w:tc>
          <w:tcPr>
            <w:tcW w:w="1684" w:type="dxa"/>
            <w:shd w:val="clear" w:color="auto" w:fill="FFFFCC"/>
          </w:tcPr>
          <w:p w14:paraId="2F86D091" w14:textId="77777777" w:rsidR="00A53EE0" w:rsidRPr="00064185" w:rsidRDefault="00A53EE0" w:rsidP="00EA61D8">
            <w:pPr>
              <w:spacing w:line="260" w:lineRule="atLeast"/>
              <w:rPr>
                <w:rFonts w:eastAsia="Calibri"/>
                <w:b/>
                <w:lang w:eastAsia="en-US"/>
              </w:rPr>
            </w:pPr>
            <w:r w:rsidRPr="00064185">
              <w:rPr>
                <w:rFonts w:eastAsia="Calibri"/>
                <w:b/>
                <w:lang w:eastAsia="en-US"/>
              </w:rPr>
              <w:t xml:space="preserve">Reference </w:t>
            </w:r>
          </w:p>
        </w:tc>
        <w:tc>
          <w:tcPr>
            <w:tcW w:w="1538" w:type="dxa"/>
            <w:shd w:val="clear" w:color="auto" w:fill="FFFFCC"/>
          </w:tcPr>
          <w:p w14:paraId="61FC208B" w14:textId="77777777" w:rsidR="00A53EE0" w:rsidRPr="00064185" w:rsidRDefault="00A53EE0" w:rsidP="00EA61D8">
            <w:pPr>
              <w:spacing w:line="260" w:lineRule="atLeast"/>
              <w:rPr>
                <w:rFonts w:eastAsia="Calibri"/>
                <w:b/>
                <w:lang w:eastAsia="en-US"/>
              </w:rPr>
            </w:pPr>
            <w:r w:rsidRPr="00064185">
              <w:rPr>
                <w:rFonts w:eastAsia="Calibri"/>
                <w:b/>
                <w:lang w:eastAsia="en-US"/>
              </w:rPr>
              <w:t>Study</w:t>
            </w:r>
          </w:p>
        </w:tc>
        <w:tc>
          <w:tcPr>
            <w:tcW w:w="1538" w:type="dxa"/>
            <w:shd w:val="clear" w:color="auto" w:fill="FFFFCC"/>
          </w:tcPr>
          <w:p w14:paraId="2079547B" w14:textId="77777777" w:rsidR="00A53EE0" w:rsidRPr="00064185" w:rsidRDefault="00A53EE0" w:rsidP="00EA61D8">
            <w:pPr>
              <w:spacing w:line="260" w:lineRule="atLeast"/>
              <w:rPr>
                <w:rFonts w:eastAsia="Calibri"/>
                <w:b/>
                <w:lang w:eastAsia="en-US"/>
              </w:rPr>
            </w:pPr>
            <w:r w:rsidRPr="00064185">
              <w:rPr>
                <w:rFonts w:eastAsia="Calibri"/>
                <w:b/>
                <w:lang w:eastAsia="en-US"/>
              </w:rPr>
              <w:t>NOAEL (LOAEL)</w:t>
            </w:r>
          </w:p>
          <w:p w14:paraId="69AAC04F" w14:textId="77777777" w:rsidR="002E7A18" w:rsidRPr="00064185" w:rsidRDefault="002E7A18" w:rsidP="00EA61D8">
            <w:pPr>
              <w:spacing w:line="260" w:lineRule="atLeast"/>
              <w:rPr>
                <w:rFonts w:eastAsia="Calibri"/>
                <w:b/>
                <w:lang w:eastAsia="en-US"/>
              </w:rPr>
            </w:pPr>
            <w:r w:rsidRPr="00064185">
              <w:rPr>
                <w:b/>
              </w:rPr>
              <w:t>[mg/kg bw/day]</w:t>
            </w:r>
          </w:p>
        </w:tc>
        <w:tc>
          <w:tcPr>
            <w:tcW w:w="1538" w:type="dxa"/>
            <w:shd w:val="clear" w:color="auto" w:fill="FFFFCC"/>
          </w:tcPr>
          <w:p w14:paraId="56A0776E" w14:textId="77777777" w:rsidR="00A53EE0" w:rsidRPr="00064185" w:rsidRDefault="00A53EE0" w:rsidP="00EA61D8">
            <w:pPr>
              <w:spacing w:line="260" w:lineRule="atLeast"/>
              <w:rPr>
                <w:rFonts w:eastAsia="Calibri"/>
                <w:b/>
                <w:vertAlign w:val="superscript"/>
                <w:lang w:eastAsia="en-US"/>
              </w:rPr>
            </w:pPr>
            <w:r w:rsidRPr="00064185">
              <w:rPr>
                <w:rFonts w:eastAsia="Calibri"/>
                <w:b/>
                <w:lang w:eastAsia="en-US"/>
              </w:rPr>
              <w:t>AF</w:t>
            </w:r>
            <w:r w:rsidRPr="00064185">
              <w:rPr>
                <w:rFonts w:eastAsia="Calibri"/>
                <w:b/>
                <w:vertAlign w:val="superscript"/>
                <w:lang w:eastAsia="en-US"/>
              </w:rPr>
              <w:t>1</w:t>
            </w:r>
          </w:p>
        </w:tc>
        <w:tc>
          <w:tcPr>
            <w:tcW w:w="1538" w:type="dxa"/>
            <w:shd w:val="clear" w:color="auto" w:fill="FFFFCC"/>
          </w:tcPr>
          <w:p w14:paraId="6512A3E8" w14:textId="77777777" w:rsidR="00A53EE0" w:rsidRPr="00064185" w:rsidRDefault="00A53EE0" w:rsidP="00EA61D8">
            <w:pPr>
              <w:spacing w:line="260" w:lineRule="atLeast"/>
              <w:rPr>
                <w:rFonts w:eastAsia="Calibri"/>
                <w:b/>
                <w:lang w:eastAsia="en-US"/>
              </w:rPr>
            </w:pPr>
            <w:r w:rsidRPr="00064185">
              <w:rPr>
                <w:rFonts w:eastAsia="Calibri"/>
                <w:b/>
                <w:lang w:eastAsia="en-US"/>
              </w:rPr>
              <w:t>Correction for oral absorption</w:t>
            </w:r>
          </w:p>
        </w:tc>
        <w:tc>
          <w:tcPr>
            <w:tcW w:w="1538" w:type="dxa"/>
            <w:shd w:val="clear" w:color="auto" w:fill="FFFFCC"/>
          </w:tcPr>
          <w:p w14:paraId="1726D92B" w14:textId="77777777" w:rsidR="00A53EE0" w:rsidRPr="00064185" w:rsidRDefault="00A53EE0" w:rsidP="00EA61D8">
            <w:pPr>
              <w:spacing w:line="260" w:lineRule="atLeast"/>
              <w:rPr>
                <w:rFonts w:eastAsia="Calibri"/>
                <w:b/>
                <w:lang w:eastAsia="en-US"/>
              </w:rPr>
            </w:pPr>
            <w:r w:rsidRPr="00064185">
              <w:rPr>
                <w:rFonts w:eastAsia="Calibri"/>
                <w:b/>
                <w:lang w:eastAsia="en-US"/>
              </w:rPr>
              <w:t>Value</w:t>
            </w:r>
          </w:p>
          <w:p w14:paraId="486610F3" w14:textId="77777777" w:rsidR="002E7A18" w:rsidRPr="00064185" w:rsidRDefault="002E7A18" w:rsidP="00EA61D8">
            <w:pPr>
              <w:spacing w:line="260" w:lineRule="atLeast"/>
              <w:rPr>
                <w:rFonts w:eastAsia="Calibri"/>
                <w:b/>
                <w:lang w:eastAsia="en-US"/>
              </w:rPr>
            </w:pPr>
            <w:r w:rsidRPr="00064185">
              <w:rPr>
                <w:b/>
              </w:rPr>
              <w:t>[mg/kg bw/day]</w:t>
            </w:r>
          </w:p>
        </w:tc>
      </w:tr>
      <w:tr w:rsidR="00064185" w:rsidRPr="00064185" w14:paraId="0831C5DB" w14:textId="77777777" w:rsidTr="005E197F">
        <w:trPr>
          <w:trHeight w:val="237"/>
        </w:trPr>
        <w:tc>
          <w:tcPr>
            <w:tcW w:w="1684" w:type="dxa"/>
            <w:shd w:val="clear" w:color="auto" w:fill="auto"/>
          </w:tcPr>
          <w:p w14:paraId="6F158827" w14:textId="77777777" w:rsidR="00A53EE0" w:rsidRPr="00064185" w:rsidRDefault="00A53EE0" w:rsidP="00EA61D8">
            <w:pPr>
              <w:spacing w:line="260" w:lineRule="atLeast"/>
              <w:rPr>
                <w:rFonts w:eastAsia="Calibri"/>
                <w:lang w:eastAsia="en-US"/>
              </w:rPr>
            </w:pPr>
            <w:r w:rsidRPr="00064185">
              <w:rPr>
                <w:rFonts w:eastAsia="Calibri"/>
                <w:lang w:eastAsia="en-US"/>
              </w:rPr>
              <w:t>AEL</w:t>
            </w:r>
            <w:r w:rsidRPr="00064185">
              <w:rPr>
                <w:rFonts w:eastAsia="Calibri"/>
                <w:vertAlign w:val="subscript"/>
                <w:lang w:eastAsia="en-US"/>
              </w:rPr>
              <w:t>short-term</w:t>
            </w:r>
          </w:p>
        </w:tc>
        <w:tc>
          <w:tcPr>
            <w:tcW w:w="1538" w:type="dxa"/>
          </w:tcPr>
          <w:p w14:paraId="281533EF" w14:textId="77777777" w:rsidR="00A53EE0" w:rsidRPr="00064185" w:rsidRDefault="00416840" w:rsidP="00EA61D8">
            <w:pPr>
              <w:spacing w:line="260" w:lineRule="atLeast"/>
              <w:rPr>
                <w:rFonts w:eastAsia="Calibri"/>
                <w:lang w:eastAsia="en-US"/>
              </w:rPr>
            </w:pPr>
            <w:r w:rsidRPr="00064185">
              <w:rPr>
                <w:rFonts w:cs="TimesNewRomanPSMT"/>
              </w:rPr>
              <w:t>Dog, 6 week</w:t>
            </w:r>
          </w:p>
        </w:tc>
        <w:tc>
          <w:tcPr>
            <w:tcW w:w="1538" w:type="dxa"/>
          </w:tcPr>
          <w:p w14:paraId="507623BA" w14:textId="77777777" w:rsidR="00A53EE0" w:rsidRPr="00064185" w:rsidRDefault="00416840" w:rsidP="00EA61D8">
            <w:pPr>
              <w:spacing w:line="260" w:lineRule="atLeast"/>
              <w:rPr>
                <w:rFonts w:eastAsia="Calibri"/>
                <w:lang w:eastAsia="en-US"/>
              </w:rPr>
            </w:pPr>
            <w:r w:rsidRPr="00064185">
              <w:t xml:space="preserve">0.75 </w:t>
            </w:r>
          </w:p>
        </w:tc>
        <w:tc>
          <w:tcPr>
            <w:tcW w:w="1538" w:type="dxa"/>
          </w:tcPr>
          <w:p w14:paraId="5F45707C" w14:textId="77777777" w:rsidR="00A53EE0" w:rsidRPr="00064185" w:rsidRDefault="00416840" w:rsidP="00EA61D8">
            <w:pPr>
              <w:spacing w:line="260" w:lineRule="atLeast"/>
              <w:rPr>
                <w:rFonts w:eastAsia="Calibri"/>
                <w:lang w:eastAsia="en-US"/>
              </w:rPr>
            </w:pPr>
            <w:r w:rsidRPr="00064185">
              <w:rPr>
                <w:rFonts w:eastAsia="Calibri"/>
                <w:lang w:eastAsia="en-US"/>
              </w:rPr>
              <w:t>100</w:t>
            </w:r>
          </w:p>
        </w:tc>
        <w:tc>
          <w:tcPr>
            <w:tcW w:w="1538" w:type="dxa"/>
          </w:tcPr>
          <w:p w14:paraId="05F91DB1" w14:textId="77777777" w:rsidR="00A53EE0" w:rsidRPr="00064185" w:rsidRDefault="00EF0524" w:rsidP="00EA61D8">
            <w:pPr>
              <w:spacing w:line="260" w:lineRule="atLeast"/>
              <w:rPr>
                <w:rFonts w:eastAsia="Calibri"/>
                <w:lang w:eastAsia="en-US"/>
              </w:rPr>
            </w:pPr>
            <w:r w:rsidRPr="00064185">
              <w:rPr>
                <w:rFonts w:eastAsia="Calibri"/>
                <w:lang w:eastAsia="en-US"/>
              </w:rPr>
              <w:t>50</w:t>
            </w:r>
            <w:r w:rsidR="00416840" w:rsidRPr="00064185">
              <w:rPr>
                <w:rFonts w:eastAsia="Calibri"/>
                <w:lang w:eastAsia="en-US"/>
              </w:rPr>
              <w:t>%</w:t>
            </w:r>
          </w:p>
        </w:tc>
        <w:tc>
          <w:tcPr>
            <w:tcW w:w="1538" w:type="dxa"/>
            <w:shd w:val="clear" w:color="auto" w:fill="auto"/>
          </w:tcPr>
          <w:p w14:paraId="40F4BE35" w14:textId="77777777" w:rsidR="00A53EE0" w:rsidRPr="00064185" w:rsidRDefault="00416840" w:rsidP="00EA61D8">
            <w:pPr>
              <w:spacing w:line="260" w:lineRule="atLeast"/>
              <w:rPr>
                <w:rFonts w:eastAsia="Calibri"/>
                <w:lang w:eastAsia="en-US"/>
              </w:rPr>
            </w:pPr>
            <w:r w:rsidRPr="00064185">
              <w:t xml:space="preserve">0.0038 </w:t>
            </w:r>
          </w:p>
        </w:tc>
      </w:tr>
      <w:tr w:rsidR="00064185" w:rsidRPr="00064185" w14:paraId="318B1510" w14:textId="77777777" w:rsidTr="00922E8F">
        <w:tc>
          <w:tcPr>
            <w:tcW w:w="1684" w:type="dxa"/>
            <w:shd w:val="clear" w:color="auto" w:fill="auto"/>
          </w:tcPr>
          <w:p w14:paraId="78802AC9" w14:textId="77777777" w:rsidR="00A53EE0" w:rsidRPr="00064185" w:rsidRDefault="00A53EE0" w:rsidP="00EA61D8">
            <w:pPr>
              <w:spacing w:line="260" w:lineRule="atLeast"/>
              <w:rPr>
                <w:rFonts w:eastAsia="Calibri"/>
                <w:lang w:eastAsia="en-US"/>
              </w:rPr>
            </w:pPr>
            <w:r w:rsidRPr="00064185">
              <w:rPr>
                <w:rFonts w:eastAsia="Calibri"/>
                <w:lang w:eastAsia="en-US"/>
              </w:rPr>
              <w:t>AEL</w:t>
            </w:r>
            <w:r w:rsidRPr="00064185">
              <w:rPr>
                <w:rFonts w:eastAsia="Calibri"/>
                <w:vertAlign w:val="subscript"/>
                <w:lang w:eastAsia="en-US"/>
              </w:rPr>
              <w:t>medium-term</w:t>
            </w:r>
          </w:p>
        </w:tc>
        <w:tc>
          <w:tcPr>
            <w:tcW w:w="1538" w:type="dxa"/>
          </w:tcPr>
          <w:p w14:paraId="67F6651E" w14:textId="77777777" w:rsidR="00A53EE0" w:rsidRPr="00064185" w:rsidRDefault="00416840" w:rsidP="00EA61D8">
            <w:pPr>
              <w:spacing w:line="260" w:lineRule="atLeast"/>
              <w:rPr>
                <w:rFonts w:eastAsia="Calibri"/>
                <w:lang w:eastAsia="en-US"/>
              </w:rPr>
            </w:pPr>
            <w:r w:rsidRPr="00064185">
              <w:rPr>
                <w:rFonts w:cs="TimesNewRomanPSMT"/>
              </w:rPr>
              <w:t>Dog, 1 year</w:t>
            </w:r>
          </w:p>
        </w:tc>
        <w:tc>
          <w:tcPr>
            <w:tcW w:w="1538" w:type="dxa"/>
          </w:tcPr>
          <w:p w14:paraId="729212BA" w14:textId="77777777" w:rsidR="00A53EE0" w:rsidRPr="00064185" w:rsidRDefault="00416840" w:rsidP="00EA61D8">
            <w:pPr>
              <w:spacing w:line="260" w:lineRule="atLeast"/>
              <w:rPr>
                <w:rFonts w:eastAsia="Calibri"/>
                <w:lang w:eastAsia="en-US"/>
              </w:rPr>
            </w:pPr>
            <w:r w:rsidRPr="00064185">
              <w:rPr>
                <w:rFonts w:eastAsia="Calibri"/>
                <w:lang w:eastAsia="en-US"/>
              </w:rPr>
              <w:t xml:space="preserve">0.5 </w:t>
            </w:r>
          </w:p>
        </w:tc>
        <w:tc>
          <w:tcPr>
            <w:tcW w:w="1538" w:type="dxa"/>
          </w:tcPr>
          <w:p w14:paraId="68E559D0" w14:textId="77777777" w:rsidR="00A53EE0" w:rsidRPr="00064185" w:rsidRDefault="00416840" w:rsidP="00EA61D8">
            <w:pPr>
              <w:spacing w:line="260" w:lineRule="atLeast"/>
              <w:rPr>
                <w:rFonts w:eastAsia="Calibri"/>
                <w:lang w:eastAsia="en-US"/>
              </w:rPr>
            </w:pPr>
            <w:r w:rsidRPr="00064185">
              <w:rPr>
                <w:rFonts w:eastAsia="Calibri"/>
                <w:lang w:eastAsia="en-US"/>
              </w:rPr>
              <w:t>100</w:t>
            </w:r>
          </w:p>
        </w:tc>
        <w:tc>
          <w:tcPr>
            <w:tcW w:w="1538" w:type="dxa"/>
          </w:tcPr>
          <w:p w14:paraId="41B35E4C" w14:textId="77777777" w:rsidR="00A53EE0" w:rsidRPr="00064185" w:rsidRDefault="00EF0524" w:rsidP="00EA61D8">
            <w:pPr>
              <w:spacing w:line="260" w:lineRule="atLeast"/>
              <w:rPr>
                <w:rFonts w:eastAsia="Calibri"/>
                <w:lang w:eastAsia="en-US"/>
              </w:rPr>
            </w:pPr>
            <w:r w:rsidRPr="00064185">
              <w:rPr>
                <w:rFonts w:eastAsia="Calibri"/>
                <w:lang w:eastAsia="en-US"/>
              </w:rPr>
              <w:t>50</w:t>
            </w:r>
            <w:r w:rsidR="00416840" w:rsidRPr="00064185">
              <w:rPr>
                <w:rFonts w:eastAsia="Calibri"/>
                <w:lang w:eastAsia="en-US"/>
              </w:rPr>
              <w:t>%</w:t>
            </w:r>
          </w:p>
        </w:tc>
        <w:tc>
          <w:tcPr>
            <w:tcW w:w="1538" w:type="dxa"/>
            <w:shd w:val="clear" w:color="auto" w:fill="auto"/>
          </w:tcPr>
          <w:p w14:paraId="19356C5E" w14:textId="77777777" w:rsidR="00A53EE0" w:rsidRPr="00064185" w:rsidRDefault="00416840" w:rsidP="00EA61D8">
            <w:pPr>
              <w:spacing w:line="260" w:lineRule="atLeast"/>
              <w:rPr>
                <w:rFonts w:eastAsia="Calibri"/>
                <w:lang w:eastAsia="en-US"/>
              </w:rPr>
            </w:pPr>
            <w:r w:rsidRPr="00064185">
              <w:rPr>
                <w:rFonts w:eastAsia="Calibri"/>
                <w:lang w:eastAsia="en-US"/>
              </w:rPr>
              <w:t xml:space="preserve">0.0025 </w:t>
            </w:r>
          </w:p>
        </w:tc>
      </w:tr>
      <w:tr w:rsidR="00064185" w:rsidRPr="00064185" w14:paraId="2E49CA19" w14:textId="77777777" w:rsidTr="00922E8F">
        <w:tc>
          <w:tcPr>
            <w:tcW w:w="1684" w:type="dxa"/>
            <w:shd w:val="clear" w:color="auto" w:fill="auto"/>
          </w:tcPr>
          <w:p w14:paraId="3FB3C228" w14:textId="77777777" w:rsidR="00416840" w:rsidRPr="00064185" w:rsidRDefault="00416840" w:rsidP="00EA61D8">
            <w:pPr>
              <w:spacing w:line="260" w:lineRule="atLeast"/>
              <w:rPr>
                <w:rFonts w:eastAsia="Calibri"/>
                <w:lang w:eastAsia="en-US"/>
              </w:rPr>
            </w:pPr>
            <w:r w:rsidRPr="00064185">
              <w:rPr>
                <w:rFonts w:eastAsia="Calibri"/>
                <w:lang w:eastAsia="en-US"/>
              </w:rPr>
              <w:t>AEL</w:t>
            </w:r>
            <w:r w:rsidRPr="00064185">
              <w:rPr>
                <w:rFonts w:eastAsia="Calibri"/>
                <w:vertAlign w:val="subscript"/>
                <w:lang w:eastAsia="en-US"/>
              </w:rPr>
              <w:t>long-term</w:t>
            </w:r>
          </w:p>
        </w:tc>
        <w:tc>
          <w:tcPr>
            <w:tcW w:w="1538" w:type="dxa"/>
          </w:tcPr>
          <w:p w14:paraId="6E2C4CF9" w14:textId="77777777" w:rsidR="00416840" w:rsidRPr="00064185" w:rsidRDefault="00416840" w:rsidP="00EA61D8">
            <w:pPr>
              <w:spacing w:line="260" w:lineRule="atLeast"/>
              <w:rPr>
                <w:rFonts w:eastAsia="Calibri"/>
                <w:lang w:eastAsia="en-US"/>
              </w:rPr>
            </w:pPr>
            <w:r w:rsidRPr="00064185">
              <w:rPr>
                <w:rFonts w:cs="TimesNewRomanPSMT"/>
              </w:rPr>
              <w:t>Dog, 1 year</w:t>
            </w:r>
          </w:p>
        </w:tc>
        <w:tc>
          <w:tcPr>
            <w:tcW w:w="1538" w:type="dxa"/>
          </w:tcPr>
          <w:p w14:paraId="3491E17F" w14:textId="77777777" w:rsidR="00416840" w:rsidRPr="00064185" w:rsidRDefault="00416840" w:rsidP="00EA61D8">
            <w:pPr>
              <w:spacing w:line="260" w:lineRule="atLeast"/>
              <w:rPr>
                <w:rFonts w:eastAsia="Calibri"/>
                <w:lang w:eastAsia="en-US"/>
              </w:rPr>
            </w:pPr>
            <w:r w:rsidRPr="00064185">
              <w:rPr>
                <w:rFonts w:eastAsia="Calibri"/>
                <w:lang w:eastAsia="en-US"/>
              </w:rPr>
              <w:t xml:space="preserve">0.5 </w:t>
            </w:r>
          </w:p>
        </w:tc>
        <w:tc>
          <w:tcPr>
            <w:tcW w:w="1538" w:type="dxa"/>
          </w:tcPr>
          <w:p w14:paraId="5B84947C" w14:textId="77777777" w:rsidR="00416840" w:rsidRPr="00064185" w:rsidRDefault="00416840" w:rsidP="00EA61D8">
            <w:pPr>
              <w:spacing w:line="260" w:lineRule="atLeast"/>
              <w:rPr>
                <w:rFonts w:eastAsia="Calibri"/>
                <w:lang w:eastAsia="en-US"/>
              </w:rPr>
            </w:pPr>
            <w:r w:rsidRPr="00064185">
              <w:rPr>
                <w:rFonts w:eastAsia="Calibri"/>
                <w:lang w:eastAsia="en-US"/>
              </w:rPr>
              <w:t>100</w:t>
            </w:r>
          </w:p>
        </w:tc>
        <w:tc>
          <w:tcPr>
            <w:tcW w:w="1538" w:type="dxa"/>
          </w:tcPr>
          <w:p w14:paraId="0841409A" w14:textId="77777777" w:rsidR="00416840" w:rsidRPr="00064185" w:rsidRDefault="00EF0524" w:rsidP="00EA61D8">
            <w:pPr>
              <w:spacing w:line="260" w:lineRule="atLeast"/>
              <w:rPr>
                <w:rFonts w:eastAsia="Calibri"/>
                <w:lang w:eastAsia="en-US"/>
              </w:rPr>
            </w:pPr>
            <w:r w:rsidRPr="00064185">
              <w:rPr>
                <w:rFonts w:eastAsia="Calibri"/>
                <w:lang w:eastAsia="en-US"/>
              </w:rPr>
              <w:t>50</w:t>
            </w:r>
            <w:r w:rsidR="00416840" w:rsidRPr="00064185">
              <w:rPr>
                <w:rFonts w:eastAsia="Calibri"/>
                <w:lang w:eastAsia="en-US"/>
              </w:rPr>
              <w:t>%</w:t>
            </w:r>
          </w:p>
        </w:tc>
        <w:tc>
          <w:tcPr>
            <w:tcW w:w="1538" w:type="dxa"/>
            <w:shd w:val="clear" w:color="auto" w:fill="auto"/>
          </w:tcPr>
          <w:p w14:paraId="4A580878" w14:textId="77777777" w:rsidR="00416840" w:rsidRPr="00064185" w:rsidRDefault="00416840" w:rsidP="00EA61D8">
            <w:pPr>
              <w:spacing w:line="260" w:lineRule="atLeast"/>
              <w:rPr>
                <w:rFonts w:eastAsia="Calibri"/>
                <w:lang w:eastAsia="en-US"/>
              </w:rPr>
            </w:pPr>
            <w:r w:rsidRPr="00064185">
              <w:rPr>
                <w:rFonts w:eastAsia="Calibri"/>
                <w:lang w:eastAsia="en-US"/>
              </w:rPr>
              <w:t xml:space="preserve">0.0025 </w:t>
            </w:r>
          </w:p>
        </w:tc>
      </w:tr>
      <w:tr w:rsidR="00064185" w:rsidRPr="00064185" w14:paraId="2ACC1A70" w14:textId="77777777" w:rsidTr="00922E8F">
        <w:tc>
          <w:tcPr>
            <w:tcW w:w="1684" w:type="dxa"/>
            <w:shd w:val="clear" w:color="auto" w:fill="auto"/>
          </w:tcPr>
          <w:p w14:paraId="5FDAE723" w14:textId="77777777" w:rsidR="00416840" w:rsidRPr="00064185" w:rsidRDefault="00416840" w:rsidP="00EA61D8">
            <w:pPr>
              <w:spacing w:line="260" w:lineRule="atLeast"/>
              <w:rPr>
                <w:rFonts w:eastAsia="Calibri"/>
                <w:lang w:eastAsia="en-US"/>
              </w:rPr>
            </w:pPr>
            <w:r w:rsidRPr="00064185">
              <w:rPr>
                <w:rFonts w:eastAsia="Calibri"/>
                <w:lang w:eastAsia="en-US"/>
              </w:rPr>
              <w:t>AEL</w:t>
            </w:r>
            <w:r w:rsidRPr="00064185">
              <w:rPr>
                <w:rFonts w:eastAsia="Calibri"/>
                <w:vertAlign w:val="subscript"/>
                <w:lang w:eastAsia="en-US"/>
              </w:rPr>
              <w:t>inhalation</w:t>
            </w:r>
          </w:p>
        </w:tc>
        <w:tc>
          <w:tcPr>
            <w:tcW w:w="1538" w:type="dxa"/>
          </w:tcPr>
          <w:p w14:paraId="6BE2238C" w14:textId="77777777" w:rsidR="00416840" w:rsidRPr="00064185" w:rsidRDefault="00416840" w:rsidP="00EA61D8">
            <w:pPr>
              <w:spacing w:line="260" w:lineRule="atLeast"/>
              <w:rPr>
                <w:rFonts w:cs="TimesNewRomanPSMT"/>
              </w:rPr>
            </w:pPr>
            <w:r w:rsidRPr="00064185">
              <w:rPr>
                <w:rFonts w:cs="TimesNewRomanPSMT"/>
              </w:rPr>
              <w:t>Rat, 21-day</w:t>
            </w:r>
          </w:p>
        </w:tc>
        <w:tc>
          <w:tcPr>
            <w:tcW w:w="1538" w:type="dxa"/>
          </w:tcPr>
          <w:p w14:paraId="5D7A9909" w14:textId="77777777" w:rsidR="002E7A18" w:rsidRPr="00064185" w:rsidRDefault="00416840" w:rsidP="00EA61D8">
            <w:pPr>
              <w:spacing w:line="260" w:lineRule="atLeast"/>
              <w:rPr>
                <w:rFonts w:eastAsia="Calibri"/>
                <w:lang w:eastAsia="en-US"/>
              </w:rPr>
            </w:pPr>
            <w:r w:rsidRPr="00064185">
              <w:rPr>
                <w:rFonts w:eastAsia="Calibri"/>
                <w:lang w:eastAsia="en-US"/>
              </w:rPr>
              <w:t xml:space="preserve">0.08 </w:t>
            </w:r>
          </w:p>
          <w:p w14:paraId="434DCCC1" w14:textId="77777777" w:rsidR="00416840" w:rsidRPr="00064185" w:rsidRDefault="00416840" w:rsidP="00EA61D8">
            <w:pPr>
              <w:spacing w:line="260" w:lineRule="atLeast"/>
              <w:rPr>
                <w:rFonts w:eastAsia="Calibri"/>
                <w:lang w:eastAsia="en-US"/>
              </w:rPr>
            </w:pPr>
            <w:r w:rsidRPr="00064185">
              <w:rPr>
                <w:rFonts w:eastAsia="Calibri"/>
                <w:lang w:eastAsia="en-US"/>
              </w:rPr>
              <w:t>(0.3 μg/</w:t>
            </w:r>
            <w:r w:rsidR="004216E7" w:rsidRPr="00064185">
              <w:rPr>
                <w:rFonts w:eastAsia="Calibri"/>
                <w:lang w:eastAsia="en-US"/>
              </w:rPr>
              <w:t>l</w:t>
            </w:r>
            <w:r w:rsidRPr="00064185">
              <w:rPr>
                <w:rFonts w:eastAsia="Calibri"/>
                <w:lang w:eastAsia="en-US"/>
              </w:rPr>
              <w:t>)</w:t>
            </w:r>
          </w:p>
        </w:tc>
        <w:tc>
          <w:tcPr>
            <w:tcW w:w="1538" w:type="dxa"/>
          </w:tcPr>
          <w:p w14:paraId="1AB4E3D4" w14:textId="77777777" w:rsidR="00416840" w:rsidRPr="00064185" w:rsidRDefault="00416840" w:rsidP="00EA61D8">
            <w:pPr>
              <w:spacing w:line="260" w:lineRule="atLeast"/>
              <w:rPr>
                <w:rFonts w:eastAsia="Calibri"/>
                <w:lang w:eastAsia="en-US"/>
              </w:rPr>
            </w:pPr>
            <w:r w:rsidRPr="00064185">
              <w:rPr>
                <w:rFonts w:eastAsia="Calibri"/>
                <w:lang w:eastAsia="en-US"/>
              </w:rPr>
              <w:t>100</w:t>
            </w:r>
          </w:p>
        </w:tc>
        <w:tc>
          <w:tcPr>
            <w:tcW w:w="1538" w:type="dxa"/>
          </w:tcPr>
          <w:p w14:paraId="2894FC15" w14:textId="77777777" w:rsidR="00416840" w:rsidRPr="00064185" w:rsidRDefault="00416840" w:rsidP="00EA61D8">
            <w:pPr>
              <w:spacing w:line="260" w:lineRule="atLeast"/>
              <w:rPr>
                <w:rFonts w:eastAsia="Calibri"/>
                <w:lang w:eastAsia="en-US"/>
              </w:rPr>
            </w:pPr>
            <w:r w:rsidRPr="00064185">
              <w:rPr>
                <w:rFonts w:eastAsia="Calibri"/>
                <w:lang w:eastAsia="en-US"/>
              </w:rPr>
              <w:t>n.a.</w:t>
            </w:r>
          </w:p>
        </w:tc>
        <w:tc>
          <w:tcPr>
            <w:tcW w:w="1538" w:type="dxa"/>
            <w:shd w:val="clear" w:color="auto" w:fill="auto"/>
          </w:tcPr>
          <w:p w14:paraId="769770B7" w14:textId="77777777" w:rsidR="00416840" w:rsidRPr="00064185" w:rsidRDefault="00416840" w:rsidP="00EA61D8">
            <w:pPr>
              <w:spacing w:line="260" w:lineRule="atLeast"/>
              <w:rPr>
                <w:rFonts w:eastAsia="Calibri"/>
                <w:lang w:eastAsia="en-US"/>
              </w:rPr>
            </w:pPr>
            <w:r w:rsidRPr="00064185">
              <w:rPr>
                <w:rFonts w:eastAsia="Calibri"/>
                <w:lang w:eastAsia="en-US"/>
              </w:rPr>
              <w:t>0.0008 (0.003 μg/</w:t>
            </w:r>
            <w:r w:rsidR="004216E7" w:rsidRPr="00064185">
              <w:rPr>
                <w:rFonts w:eastAsia="Calibri"/>
                <w:lang w:eastAsia="en-US"/>
              </w:rPr>
              <w:t>l</w:t>
            </w:r>
            <w:r w:rsidRPr="00064185">
              <w:rPr>
                <w:rFonts w:eastAsia="Calibri"/>
                <w:lang w:eastAsia="en-US"/>
              </w:rPr>
              <w:t>)</w:t>
            </w:r>
          </w:p>
        </w:tc>
      </w:tr>
      <w:tr w:rsidR="00064185" w:rsidRPr="00064185" w14:paraId="67470538" w14:textId="77777777" w:rsidTr="00922E8F">
        <w:tc>
          <w:tcPr>
            <w:tcW w:w="1684" w:type="dxa"/>
            <w:shd w:val="clear" w:color="auto" w:fill="auto"/>
          </w:tcPr>
          <w:p w14:paraId="731EFB33" w14:textId="77777777" w:rsidR="00416840" w:rsidRPr="00064185" w:rsidRDefault="00416840" w:rsidP="00EA61D8">
            <w:pPr>
              <w:spacing w:line="260" w:lineRule="atLeast"/>
              <w:rPr>
                <w:rFonts w:eastAsia="Calibri"/>
                <w:lang w:eastAsia="en-US"/>
              </w:rPr>
            </w:pPr>
            <w:r w:rsidRPr="00064185">
              <w:rPr>
                <w:rFonts w:eastAsia="Calibri"/>
                <w:lang w:eastAsia="en-US"/>
              </w:rPr>
              <w:t>ARfD</w:t>
            </w:r>
          </w:p>
        </w:tc>
        <w:tc>
          <w:tcPr>
            <w:tcW w:w="1538" w:type="dxa"/>
          </w:tcPr>
          <w:p w14:paraId="0697BC6E" w14:textId="77777777" w:rsidR="00416840" w:rsidRPr="00064185" w:rsidRDefault="00416840" w:rsidP="00EA61D8">
            <w:pPr>
              <w:spacing w:line="260" w:lineRule="atLeast"/>
              <w:rPr>
                <w:rFonts w:eastAsia="Calibri"/>
                <w:lang w:eastAsia="en-US"/>
              </w:rPr>
            </w:pPr>
            <w:r w:rsidRPr="00064185">
              <w:rPr>
                <w:rFonts w:eastAsia="Calibri"/>
                <w:lang w:eastAsia="en-US"/>
              </w:rPr>
              <w:t>Dog, 6 week</w:t>
            </w:r>
          </w:p>
        </w:tc>
        <w:tc>
          <w:tcPr>
            <w:tcW w:w="1538" w:type="dxa"/>
          </w:tcPr>
          <w:p w14:paraId="062486D4" w14:textId="77777777" w:rsidR="00416840" w:rsidRPr="00064185" w:rsidRDefault="00416840" w:rsidP="00EA61D8">
            <w:pPr>
              <w:spacing w:line="260" w:lineRule="atLeast"/>
              <w:rPr>
                <w:rFonts w:eastAsia="Calibri"/>
                <w:lang w:eastAsia="en-US"/>
              </w:rPr>
            </w:pPr>
            <w:r w:rsidRPr="00064185">
              <w:rPr>
                <w:rFonts w:eastAsia="Calibri"/>
                <w:lang w:eastAsia="en-US"/>
              </w:rPr>
              <w:t xml:space="preserve">0.75 </w:t>
            </w:r>
          </w:p>
        </w:tc>
        <w:tc>
          <w:tcPr>
            <w:tcW w:w="1538" w:type="dxa"/>
          </w:tcPr>
          <w:p w14:paraId="425535B4" w14:textId="77777777" w:rsidR="00416840" w:rsidRPr="00064185" w:rsidRDefault="00416840" w:rsidP="00EA61D8">
            <w:pPr>
              <w:spacing w:line="260" w:lineRule="atLeast"/>
              <w:rPr>
                <w:rFonts w:eastAsia="Calibri"/>
                <w:lang w:eastAsia="en-US"/>
              </w:rPr>
            </w:pPr>
            <w:r w:rsidRPr="00064185">
              <w:rPr>
                <w:rFonts w:eastAsia="Calibri"/>
                <w:lang w:eastAsia="en-US"/>
              </w:rPr>
              <w:t>100</w:t>
            </w:r>
          </w:p>
        </w:tc>
        <w:tc>
          <w:tcPr>
            <w:tcW w:w="1538" w:type="dxa"/>
          </w:tcPr>
          <w:p w14:paraId="59FA0731" w14:textId="77777777" w:rsidR="00416840" w:rsidRPr="00064185" w:rsidRDefault="00416840" w:rsidP="00EA61D8">
            <w:pPr>
              <w:spacing w:line="260" w:lineRule="atLeast"/>
              <w:rPr>
                <w:rFonts w:eastAsia="Calibri"/>
                <w:lang w:eastAsia="en-US"/>
              </w:rPr>
            </w:pPr>
            <w:r w:rsidRPr="00064185">
              <w:rPr>
                <w:rFonts w:eastAsia="Calibri"/>
                <w:lang w:eastAsia="en-US"/>
              </w:rPr>
              <w:t>n.a.</w:t>
            </w:r>
          </w:p>
        </w:tc>
        <w:tc>
          <w:tcPr>
            <w:tcW w:w="1538" w:type="dxa"/>
            <w:shd w:val="clear" w:color="auto" w:fill="auto"/>
          </w:tcPr>
          <w:p w14:paraId="67F2C39B" w14:textId="77777777" w:rsidR="00416840" w:rsidRPr="00064185" w:rsidRDefault="00416840" w:rsidP="00EA61D8">
            <w:pPr>
              <w:spacing w:line="260" w:lineRule="atLeast"/>
              <w:rPr>
                <w:rFonts w:eastAsia="Calibri"/>
                <w:lang w:eastAsia="en-US"/>
              </w:rPr>
            </w:pPr>
            <w:r w:rsidRPr="00064185">
              <w:rPr>
                <w:rFonts w:eastAsia="Calibri"/>
                <w:lang w:eastAsia="en-US"/>
              </w:rPr>
              <w:t xml:space="preserve">0.0075 </w:t>
            </w:r>
          </w:p>
        </w:tc>
      </w:tr>
      <w:tr w:rsidR="00064185" w:rsidRPr="00064185" w14:paraId="67A142D6" w14:textId="77777777" w:rsidTr="00922E8F">
        <w:tc>
          <w:tcPr>
            <w:tcW w:w="1684" w:type="dxa"/>
            <w:shd w:val="clear" w:color="auto" w:fill="auto"/>
          </w:tcPr>
          <w:p w14:paraId="2AA03579" w14:textId="77777777" w:rsidR="00416840" w:rsidRPr="00064185" w:rsidRDefault="00416840" w:rsidP="00EA61D8">
            <w:pPr>
              <w:spacing w:line="260" w:lineRule="atLeast"/>
              <w:rPr>
                <w:rFonts w:eastAsia="Calibri"/>
                <w:lang w:eastAsia="en-US"/>
              </w:rPr>
            </w:pPr>
            <w:r w:rsidRPr="00064185">
              <w:rPr>
                <w:rFonts w:eastAsia="Calibri"/>
                <w:lang w:eastAsia="en-US"/>
              </w:rPr>
              <w:t>ADI</w:t>
            </w:r>
          </w:p>
        </w:tc>
        <w:tc>
          <w:tcPr>
            <w:tcW w:w="1538" w:type="dxa"/>
          </w:tcPr>
          <w:p w14:paraId="5F302DA9" w14:textId="77777777" w:rsidR="00416840" w:rsidRPr="00064185" w:rsidRDefault="00416840" w:rsidP="00EA61D8">
            <w:pPr>
              <w:spacing w:line="260" w:lineRule="atLeast"/>
              <w:rPr>
                <w:rFonts w:eastAsia="Calibri"/>
                <w:lang w:eastAsia="en-US"/>
              </w:rPr>
            </w:pPr>
            <w:r w:rsidRPr="00064185">
              <w:rPr>
                <w:rFonts w:eastAsia="Calibri"/>
                <w:lang w:eastAsia="en-US"/>
              </w:rPr>
              <w:t>Dog, 1 year</w:t>
            </w:r>
          </w:p>
        </w:tc>
        <w:tc>
          <w:tcPr>
            <w:tcW w:w="1538" w:type="dxa"/>
          </w:tcPr>
          <w:p w14:paraId="565489E7" w14:textId="77777777" w:rsidR="00416840" w:rsidRPr="00064185" w:rsidRDefault="00416840" w:rsidP="00EA61D8">
            <w:pPr>
              <w:spacing w:line="260" w:lineRule="atLeast"/>
              <w:rPr>
                <w:rFonts w:eastAsia="Calibri"/>
                <w:lang w:eastAsia="en-US"/>
              </w:rPr>
            </w:pPr>
            <w:r w:rsidRPr="00064185">
              <w:rPr>
                <w:rFonts w:eastAsia="Calibri"/>
                <w:lang w:eastAsia="en-US"/>
              </w:rPr>
              <w:t xml:space="preserve">0.5 </w:t>
            </w:r>
          </w:p>
        </w:tc>
        <w:tc>
          <w:tcPr>
            <w:tcW w:w="1538" w:type="dxa"/>
          </w:tcPr>
          <w:p w14:paraId="043B5723" w14:textId="77777777" w:rsidR="00416840" w:rsidRPr="00064185" w:rsidRDefault="00416840" w:rsidP="00EA61D8">
            <w:pPr>
              <w:spacing w:line="260" w:lineRule="atLeast"/>
              <w:rPr>
                <w:rFonts w:eastAsia="Calibri"/>
                <w:lang w:eastAsia="en-US"/>
              </w:rPr>
            </w:pPr>
            <w:r w:rsidRPr="00064185">
              <w:rPr>
                <w:rFonts w:eastAsia="Calibri"/>
                <w:lang w:eastAsia="en-US"/>
              </w:rPr>
              <w:t>100</w:t>
            </w:r>
          </w:p>
        </w:tc>
        <w:tc>
          <w:tcPr>
            <w:tcW w:w="1538" w:type="dxa"/>
          </w:tcPr>
          <w:p w14:paraId="738A829F" w14:textId="77777777" w:rsidR="00416840" w:rsidRPr="00064185" w:rsidRDefault="00416840" w:rsidP="00EA61D8">
            <w:pPr>
              <w:spacing w:line="260" w:lineRule="atLeast"/>
              <w:rPr>
                <w:rFonts w:eastAsia="Calibri"/>
                <w:lang w:eastAsia="en-US"/>
              </w:rPr>
            </w:pPr>
            <w:r w:rsidRPr="00064185">
              <w:rPr>
                <w:rFonts w:eastAsia="Calibri"/>
                <w:lang w:eastAsia="en-US"/>
              </w:rPr>
              <w:t>n.a.</w:t>
            </w:r>
          </w:p>
        </w:tc>
        <w:tc>
          <w:tcPr>
            <w:tcW w:w="1538" w:type="dxa"/>
            <w:shd w:val="clear" w:color="auto" w:fill="auto"/>
          </w:tcPr>
          <w:p w14:paraId="23C214B6" w14:textId="77777777" w:rsidR="00416840" w:rsidRPr="00064185" w:rsidRDefault="00416840" w:rsidP="00EA61D8">
            <w:pPr>
              <w:spacing w:line="260" w:lineRule="atLeast"/>
              <w:rPr>
                <w:rFonts w:eastAsia="Calibri"/>
                <w:lang w:eastAsia="en-US"/>
              </w:rPr>
            </w:pPr>
            <w:r w:rsidRPr="00064185">
              <w:rPr>
                <w:rFonts w:eastAsia="Calibri"/>
                <w:lang w:eastAsia="en-US"/>
              </w:rPr>
              <w:t xml:space="preserve">0.005 </w:t>
            </w:r>
          </w:p>
        </w:tc>
      </w:tr>
    </w:tbl>
    <w:p w14:paraId="308DF8D7" w14:textId="77777777" w:rsidR="00416840" w:rsidRPr="00064185" w:rsidRDefault="00A53EE0" w:rsidP="00EA61D8">
      <w:pPr>
        <w:spacing w:line="260" w:lineRule="atLeast"/>
        <w:rPr>
          <w:rFonts w:eastAsia="Calibri"/>
          <w:iCs/>
          <w:sz w:val="16"/>
          <w:lang w:eastAsia="en-US"/>
        </w:rPr>
      </w:pPr>
      <w:r w:rsidRPr="00064185">
        <w:rPr>
          <w:rFonts w:eastAsia="Calibri"/>
          <w:iCs/>
          <w:sz w:val="16"/>
          <w:vertAlign w:val="superscript"/>
          <w:lang w:eastAsia="en-US"/>
        </w:rPr>
        <w:t>1</w:t>
      </w:r>
      <w:r w:rsidRPr="00064185">
        <w:rPr>
          <w:rFonts w:eastAsia="Calibri"/>
          <w:iCs/>
          <w:sz w:val="16"/>
          <w:lang w:eastAsia="en-US"/>
        </w:rPr>
        <w:t xml:space="preserve"> </w:t>
      </w:r>
      <w:r w:rsidR="00416840" w:rsidRPr="00064185">
        <w:t>compensating for inter/intra species variations</w:t>
      </w:r>
    </w:p>
    <w:p w14:paraId="51901590" w14:textId="77777777" w:rsidR="00A53EE0" w:rsidRPr="00064185" w:rsidRDefault="00A53EE0" w:rsidP="00EA61D8">
      <w:pPr>
        <w:spacing w:line="260" w:lineRule="atLeast"/>
        <w:rPr>
          <w:rFonts w:ascii="Times New Roman" w:eastAsia="Calibri" w:hAnsi="Times New Roman"/>
          <w:i/>
          <w:iCs/>
          <w:lang w:eastAsia="en-US"/>
        </w:rPr>
      </w:pPr>
    </w:p>
    <w:p w14:paraId="1F981DC4" w14:textId="77777777" w:rsidR="00A53EE0" w:rsidRPr="00064185" w:rsidRDefault="00A53EE0" w:rsidP="00EA61D8">
      <w:pPr>
        <w:spacing w:line="260" w:lineRule="atLeast"/>
        <w:rPr>
          <w:rFonts w:eastAsia="Calibri"/>
          <w:lang w:eastAsia="en-US"/>
        </w:rPr>
      </w:pPr>
    </w:p>
    <w:p w14:paraId="29BAA39F" w14:textId="77777777" w:rsidR="00A53EE0" w:rsidRPr="00064185" w:rsidRDefault="00A53EE0" w:rsidP="00403806">
      <w:pPr>
        <w:spacing w:line="260" w:lineRule="atLeast"/>
        <w:jc w:val="both"/>
        <w:rPr>
          <w:rFonts w:eastAsia="Calibri"/>
          <w:b/>
          <w:bCs/>
          <w:lang w:eastAsia="en-US"/>
        </w:rPr>
      </w:pPr>
      <w:r w:rsidRPr="00064185">
        <w:rPr>
          <w:rFonts w:eastAsia="Calibri"/>
          <w:b/>
          <w:bCs/>
          <w:lang w:eastAsia="en-US"/>
        </w:rPr>
        <w:t>Specific reference value for groundwater</w:t>
      </w:r>
    </w:p>
    <w:p w14:paraId="7823E62C" w14:textId="1A2253B2" w:rsidR="007010A4" w:rsidRPr="00064185" w:rsidRDefault="00E80110" w:rsidP="00403806">
      <w:pPr>
        <w:spacing w:line="260" w:lineRule="atLeast"/>
        <w:jc w:val="both"/>
        <w:rPr>
          <w:rFonts w:eastAsia="Calibri"/>
          <w:lang w:eastAsia="en-US"/>
        </w:rPr>
      </w:pPr>
      <w:r w:rsidRPr="00064185">
        <w:rPr>
          <w:szCs w:val="22"/>
        </w:rPr>
        <w:t xml:space="preserve">No specific reference value for groundwater was established. Thus, </w:t>
      </w:r>
      <w:r w:rsidR="007010A4" w:rsidRPr="00064185">
        <w:rPr>
          <w:szCs w:val="22"/>
        </w:rPr>
        <w:t xml:space="preserve">the European standard value </w:t>
      </w:r>
      <w:proofErr w:type="gramStart"/>
      <w:r w:rsidR="007010A4" w:rsidRPr="00064185">
        <w:rPr>
          <w:szCs w:val="22"/>
        </w:rPr>
        <w:t>of 0.1 µg/</w:t>
      </w:r>
      <w:r w:rsidR="004216E7" w:rsidRPr="00064185">
        <w:rPr>
          <w:szCs w:val="22"/>
        </w:rPr>
        <w:t>l</w:t>
      </w:r>
      <w:r w:rsidR="007010A4" w:rsidRPr="00064185">
        <w:rPr>
          <w:szCs w:val="22"/>
        </w:rPr>
        <w:t xml:space="preserve"> for the maximum admissible concentration of pesticides in drinking</w:t>
      </w:r>
      <w:proofErr w:type="gramEnd"/>
      <w:r w:rsidR="007010A4" w:rsidRPr="00064185">
        <w:rPr>
          <w:szCs w:val="22"/>
        </w:rPr>
        <w:t xml:space="preserve"> water (Council Directive 98/83/EC)</w:t>
      </w:r>
      <w:r w:rsidR="00582C0A" w:rsidRPr="00064185">
        <w:rPr>
          <w:szCs w:val="22"/>
        </w:rPr>
        <w:t>,</w:t>
      </w:r>
      <w:r w:rsidR="004A6E1E" w:rsidRPr="00064185">
        <w:rPr>
          <w:szCs w:val="22"/>
        </w:rPr>
        <w:t xml:space="preserve"> does apply</w:t>
      </w:r>
      <w:r w:rsidR="007010A4" w:rsidRPr="00064185">
        <w:rPr>
          <w:szCs w:val="22"/>
        </w:rPr>
        <w:t>.</w:t>
      </w:r>
    </w:p>
    <w:p w14:paraId="144216E8" w14:textId="77777777" w:rsidR="00A53EE0" w:rsidRPr="00064185" w:rsidRDefault="00A53EE0" w:rsidP="00403806">
      <w:pPr>
        <w:spacing w:line="260" w:lineRule="atLeast"/>
        <w:jc w:val="both"/>
        <w:rPr>
          <w:rFonts w:eastAsia="Calibri"/>
          <w:lang w:eastAsia="en-US"/>
        </w:rPr>
      </w:pPr>
    </w:p>
    <w:p w14:paraId="46756B91" w14:textId="77777777" w:rsidR="00B1756E" w:rsidRPr="00064185" w:rsidRDefault="00B1756E" w:rsidP="00403806">
      <w:pPr>
        <w:spacing w:line="260" w:lineRule="atLeast"/>
        <w:jc w:val="both"/>
        <w:rPr>
          <w:rFonts w:eastAsia="Calibri"/>
          <w:lang w:eastAsia="en-US"/>
        </w:rPr>
      </w:pPr>
    </w:p>
    <w:p w14:paraId="21AC76BD" w14:textId="77777777" w:rsidR="00A53EE0" w:rsidRPr="00064185" w:rsidRDefault="00A53EE0" w:rsidP="00403806">
      <w:pPr>
        <w:jc w:val="both"/>
        <w:rPr>
          <w:rFonts w:eastAsia="Calibri"/>
          <w:b/>
          <w:i/>
          <w:sz w:val="22"/>
          <w:szCs w:val="22"/>
        </w:rPr>
      </w:pPr>
      <w:bookmarkStart w:id="1715" w:name="_Toc403472775"/>
      <w:bookmarkStart w:id="1716" w:name="_Toc389729089"/>
      <w:r w:rsidRPr="00064185">
        <w:rPr>
          <w:rFonts w:eastAsia="Calibri"/>
          <w:b/>
          <w:i/>
          <w:sz w:val="22"/>
          <w:szCs w:val="22"/>
        </w:rPr>
        <w:t>Risk for industrial users</w:t>
      </w:r>
      <w:bookmarkEnd w:id="1715"/>
      <w:bookmarkEnd w:id="1716"/>
    </w:p>
    <w:p w14:paraId="7053FB10" w14:textId="77777777" w:rsidR="007F32A5" w:rsidRPr="00064185" w:rsidRDefault="007F32A5" w:rsidP="00403806">
      <w:pPr>
        <w:jc w:val="both"/>
        <w:rPr>
          <w:rFonts w:eastAsia="Calibri"/>
          <w:b/>
          <w:i/>
          <w:sz w:val="22"/>
          <w:szCs w:val="22"/>
        </w:rPr>
      </w:pPr>
    </w:p>
    <w:p w14:paraId="60D37CD0" w14:textId="77777777" w:rsidR="007F32A5" w:rsidRPr="00064185" w:rsidRDefault="007F32A5" w:rsidP="00403806">
      <w:pPr>
        <w:jc w:val="both"/>
        <w:rPr>
          <w:rFonts w:eastAsia="Calibri"/>
        </w:rPr>
      </w:pPr>
      <w:r w:rsidRPr="00064185">
        <w:rPr>
          <w:rFonts w:eastAsia="Calibri"/>
        </w:rPr>
        <w:t>Not relevant</w:t>
      </w:r>
    </w:p>
    <w:p w14:paraId="2C6815E6" w14:textId="77777777" w:rsidR="00A53EE0" w:rsidRDefault="00A53EE0" w:rsidP="00403806">
      <w:pPr>
        <w:spacing w:line="260" w:lineRule="atLeast"/>
        <w:jc w:val="both"/>
        <w:rPr>
          <w:rFonts w:eastAsia="Calibri"/>
          <w:lang w:eastAsia="en-US"/>
        </w:rPr>
      </w:pPr>
    </w:p>
    <w:p w14:paraId="76637A83" w14:textId="77777777" w:rsidR="00CD287F" w:rsidRPr="00064185" w:rsidRDefault="00CD287F" w:rsidP="00403806">
      <w:pPr>
        <w:spacing w:line="260" w:lineRule="atLeast"/>
        <w:jc w:val="both"/>
        <w:rPr>
          <w:rFonts w:eastAsia="Calibri"/>
          <w:lang w:eastAsia="en-US"/>
        </w:rPr>
      </w:pPr>
    </w:p>
    <w:p w14:paraId="301CE655" w14:textId="77777777" w:rsidR="00A53EE0" w:rsidRPr="00064185" w:rsidRDefault="00A53EE0" w:rsidP="00403806">
      <w:pPr>
        <w:jc w:val="both"/>
        <w:rPr>
          <w:rFonts w:eastAsia="Calibri"/>
          <w:b/>
          <w:i/>
          <w:sz w:val="22"/>
          <w:szCs w:val="22"/>
          <w:lang w:eastAsia="en-US"/>
        </w:rPr>
      </w:pPr>
      <w:bookmarkStart w:id="1717" w:name="_Toc389729090"/>
      <w:bookmarkStart w:id="1718" w:name="_Toc403472776"/>
      <w:r w:rsidRPr="00064185">
        <w:rPr>
          <w:rFonts w:eastAsia="Calibri"/>
          <w:b/>
          <w:i/>
          <w:sz w:val="22"/>
          <w:szCs w:val="22"/>
          <w:lang w:eastAsia="en-US"/>
        </w:rPr>
        <w:t>Risk for professional users</w:t>
      </w:r>
      <w:bookmarkEnd w:id="1717"/>
      <w:bookmarkEnd w:id="1718"/>
    </w:p>
    <w:p w14:paraId="5FBD132F" w14:textId="77777777" w:rsidR="007F32A5" w:rsidRPr="00064185" w:rsidRDefault="007F32A5" w:rsidP="00403806">
      <w:pPr>
        <w:jc w:val="both"/>
        <w:rPr>
          <w:rFonts w:eastAsia="Calibri"/>
          <w:b/>
          <w:i/>
          <w:sz w:val="22"/>
          <w:szCs w:val="22"/>
          <w:lang w:eastAsia="en-US"/>
        </w:rPr>
      </w:pPr>
    </w:p>
    <w:p w14:paraId="7395D6C6" w14:textId="77777777" w:rsidR="007F32A5" w:rsidRPr="00064185" w:rsidRDefault="007F32A5" w:rsidP="00403806">
      <w:pPr>
        <w:jc w:val="both"/>
        <w:rPr>
          <w:rFonts w:eastAsia="Calibri"/>
          <w:lang w:eastAsia="en-US"/>
        </w:rPr>
      </w:pPr>
      <w:r w:rsidRPr="00064185">
        <w:rPr>
          <w:rFonts w:eastAsia="Calibri"/>
          <w:lang w:eastAsia="en-US"/>
        </w:rPr>
        <w:t>Not relevant</w:t>
      </w:r>
    </w:p>
    <w:p w14:paraId="565D6EED" w14:textId="77777777" w:rsidR="00A53EE0" w:rsidRPr="00064185" w:rsidRDefault="00A53EE0" w:rsidP="00403806">
      <w:pPr>
        <w:spacing w:line="260" w:lineRule="atLeast"/>
        <w:jc w:val="both"/>
        <w:rPr>
          <w:rFonts w:eastAsia="Calibri"/>
          <w:lang w:eastAsia="en-US"/>
        </w:rPr>
      </w:pPr>
    </w:p>
    <w:p w14:paraId="597563D2" w14:textId="77777777" w:rsidR="008774C7" w:rsidRPr="00064185" w:rsidRDefault="008774C7" w:rsidP="00403806">
      <w:pPr>
        <w:spacing w:line="260" w:lineRule="atLeast"/>
        <w:jc w:val="both"/>
        <w:rPr>
          <w:rFonts w:eastAsia="Calibri"/>
          <w:lang w:eastAsia="en-US"/>
        </w:rPr>
      </w:pPr>
    </w:p>
    <w:p w14:paraId="07835472" w14:textId="77777777" w:rsidR="00A53EE0" w:rsidRPr="00064185" w:rsidRDefault="00A53EE0" w:rsidP="00403806">
      <w:pPr>
        <w:jc w:val="both"/>
        <w:rPr>
          <w:rFonts w:eastAsia="Calibri"/>
          <w:b/>
          <w:i/>
          <w:sz w:val="22"/>
          <w:szCs w:val="22"/>
          <w:lang w:eastAsia="en-US"/>
        </w:rPr>
      </w:pPr>
      <w:bookmarkStart w:id="1719" w:name="_Toc389729091"/>
      <w:bookmarkStart w:id="1720" w:name="_Toc403472777"/>
      <w:r w:rsidRPr="00064185">
        <w:rPr>
          <w:rFonts w:eastAsia="Calibri"/>
          <w:b/>
          <w:i/>
          <w:sz w:val="22"/>
          <w:szCs w:val="22"/>
          <w:lang w:eastAsia="en-US"/>
        </w:rPr>
        <w:t>Risk for non-professional users</w:t>
      </w:r>
      <w:bookmarkEnd w:id="1719"/>
      <w:bookmarkEnd w:id="1720"/>
      <w:r w:rsidRPr="00064185">
        <w:rPr>
          <w:rFonts w:eastAsia="Calibri"/>
          <w:b/>
          <w:i/>
          <w:sz w:val="22"/>
          <w:szCs w:val="22"/>
          <w:lang w:eastAsia="en-US"/>
        </w:rPr>
        <w:t xml:space="preserve"> </w:t>
      </w:r>
    </w:p>
    <w:p w14:paraId="544B5522" w14:textId="77777777" w:rsidR="00A53EE0" w:rsidRPr="00064185" w:rsidRDefault="00A53EE0" w:rsidP="00403806">
      <w:pPr>
        <w:spacing w:line="260" w:lineRule="atLeast"/>
        <w:jc w:val="both"/>
        <w:rPr>
          <w:rFonts w:eastAsia="Calibri"/>
          <w:lang w:eastAsia="en-US"/>
        </w:rPr>
      </w:pPr>
    </w:p>
    <w:p w14:paraId="690DCA46" w14:textId="3FF69C2D" w:rsidR="00EC5584" w:rsidRPr="00064185" w:rsidRDefault="00EC5584" w:rsidP="00403806">
      <w:pPr>
        <w:spacing w:line="260" w:lineRule="atLeast"/>
        <w:jc w:val="both"/>
        <w:rPr>
          <w:rFonts w:eastAsia="Calibri"/>
          <w:lang w:eastAsia="en-US"/>
        </w:rPr>
      </w:pPr>
      <w:r w:rsidRPr="00064185">
        <w:rPr>
          <w:rFonts w:eastAsia="Calibri"/>
          <w:lang w:eastAsia="en-US"/>
        </w:rPr>
        <w:t xml:space="preserve">The product is only used sporadically and therefore the acute AEL is used for assessing primary exposures. Since the acute AEL is actually based on a 6-week study, even repeated exposures would be covered. The inhalation route (only relevant for primary exposure) is </w:t>
      </w:r>
      <w:r w:rsidR="002A0320" w:rsidRPr="00064185">
        <w:rPr>
          <w:rFonts w:eastAsia="Calibri"/>
          <w:lang w:eastAsia="en-US"/>
        </w:rPr>
        <w:t>separately</w:t>
      </w:r>
      <w:r w:rsidRPr="00064185">
        <w:rPr>
          <w:rFonts w:eastAsia="Calibri"/>
          <w:lang w:eastAsia="en-US"/>
        </w:rPr>
        <w:t xml:space="preserve"> assess</w:t>
      </w:r>
      <w:r w:rsidR="00764923" w:rsidRPr="00064185">
        <w:rPr>
          <w:rFonts w:eastAsia="Calibri"/>
          <w:lang w:eastAsia="en-US"/>
        </w:rPr>
        <w:t>ed using the AEL for inhalation</w:t>
      </w:r>
      <w:r w:rsidR="00764923" w:rsidRPr="00064185">
        <w:t xml:space="preserve"> </w:t>
      </w:r>
      <w:r w:rsidR="00764923" w:rsidRPr="00064185">
        <w:rPr>
          <w:rFonts w:eastAsia="Calibri"/>
          <w:lang w:eastAsia="en-US"/>
        </w:rPr>
        <w:t xml:space="preserve">since this appears to be lower compared to the AEL for oral exposure. (The CAR for the active substance explains: “Although the systemic absorption is higher following inhalation, it cannot fully explain the difference between the rat effect levels following inhalation (LOAEL 0.9 mg/kg </w:t>
      </w:r>
      <w:proofErr w:type="gramStart"/>
      <w:r w:rsidR="00764923" w:rsidRPr="00064185">
        <w:rPr>
          <w:rFonts w:eastAsia="Calibri"/>
          <w:lang w:eastAsia="en-US"/>
        </w:rPr>
        <w:t>bw</w:t>
      </w:r>
      <w:proofErr w:type="gramEnd"/>
      <w:r w:rsidR="00764923" w:rsidRPr="00064185">
        <w:rPr>
          <w:rFonts w:eastAsia="Calibri"/>
          <w:lang w:eastAsia="en-US"/>
        </w:rPr>
        <w:t xml:space="preserve">) and oral administration (LOAEL 35 mg/kg bw). The apparently higher sensitivity following inhalation and dermal exposure to </w:t>
      </w:r>
      <w:r w:rsidR="00764923" w:rsidRPr="00064185">
        <w:rPr>
          <w:rFonts w:eastAsia="Calibri"/>
          <w:i/>
          <w:lang w:eastAsia="en-US"/>
        </w:rPr>
        <w:t>lambda</w:t>
      </w:r>
      <w:r w:rsidR="00764923" w:rsidRPr="00064185">
        <w:rPr>
          <w:rFonts w:eastAsia="Calibri"/>
          <w:lang w:eastAsia="en-US"/>
        </w:rPr>
        <w:t>-cyhalothrin could be a consequence of a first-pass effect of the liver being avoided. This first-pass effect may be specific for the Wistar-derived rat but is difficult to verify since all but one of the rat studies were performed with this strain”.) Note that the respiratory route of exposure was not considered relevant for the active substance evaluation, since the representative product was a microencapsulated formation leading to no/very low respirable fractions.</w:t>
      </w:r>
    </w:p>
    <w:p w14:paraId="5115BFDD" w14:textId="77777777" w:rsidR="00416840" w:rsidRPr="00064185" w:rsidRDefault="00416840" w:rsidP="00EA61D8">
      <w:pPr>
        <w:spacing w:line="260" w:lineRule="atLeast"/>
        <w:rPr>
          <w:rFonts w:eastAsia="Calibri"/>
          <w:lang w:eastAsia="en-US"/>
        </w:rPr>
      </w:pPr>
    </w:p>
    <w:p w14:paraId="4A6E525B" w14:textId="77777777" w:rsidR="00416840" w:rsidRPr="00064185" w:rsidRDefault="00416840" w:rsidP="00EA61D8">
      <w:pPr>
        <w:spacing w:line="260" w:lineRule="atLeast"/>
        <w:rPr>
          <w:rFonts w:eastAsia="Calibri"/>
          <w:lang w:eastAsia="en-US"/>
        </w:rPr>
      </w:pPr>
    </w:p>
    <w:p w14:paraId="055A5B6F"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064185" w:rsidRPr="00064185" w14:paraId="5245AD23" w14:textId="77777777" w:rsidTr="00922E8F">
        <w:tc>
          <w:tcPr>
            <w:tcW w:w="1560" w:type="dxa"/>
            <w:shd w:val="clear" w:color="auto" w:fill="FFFFCC"/>
          </w:tcPr>
          <w:p w14:paraId="767253CA" w14:textId="77777777" w:rsidR="00A53EE0" w:rsidRPr="00064185" w:rsidRDefault="00A53EE0" w:rsidP="00EA61D8">
            <w:pPr>
              <w:spacing w:line="260" w:lineRule="atLeast"/>
              <w:rPr>
                <w:rFonts w:eastAsia="Calibri"/>
                <w:b/>
                <w:lang w:eastAsia="en-US"/>
              </w:rPr>
            </w:pPr>
            <w:r w:rsidRPr="00064185">
              <w:rPr>
                <w:rFonts w:eastAsia="Calibri"/>
                <w:b/>
                <w:lang w:eastAsia="en-US"/>
              </w:rPr>
              <w:t>Task/</w:t>
            </w:r>
          </w:p>
          <w:p w14:paraId="1B055B81" w14:textId="77777777" w:rsidR="00A53EE0" w:rsidRPr="00064185" w:rsidRDefault="00A53EE0" w:rsidP="00EA61D8">
            <w:pPr>
              <w:spacing w:line="260" w:lineRule="atLeast"/>
              <w:rPr>
                <w:rFonts w:eastAsia="Calibri"/>
                <w:b/>
                <w:lang w:eastAsia="en-US"/>
              </w:rPr>
            </w:pPr>
            <w:r w:rsidRPr="00064185">
              <w:rPr>
                <w:rFonts w:eastAsia="Calibri"/>
                <w:b/>
                <w:lang w:eastAsia="en-US"/>
              </w:rPr>
              <w:t>Scenario</w:t>
            </w:r>
          </w:p>
        </w:tc>
        <w:tc>
          <w:tcPr>
            <w:tcW w:w="850" w:type="dxa"/>
            <w:shd w:val="clear" w:color="auto" w:fill="FFFFCC"/>
          </w:tcPr>
          <w:p w14:paraId="379425BA" w14:textId="77777777" w:rsidR="00A53EE0" w:rsidRPr="00064185" w:rsidRDefault="00A53EE0" w:rsidP="00EA61D8">
            <w:pPr>
              <w:spacing w:line="260" w:lineRule="atLeast"/>
              <w:rPr>
                <w:rFonts w:eastAsia="Calibri"/>
                <w:b/>
                <w:lang w:eastAsia="en-US"/>
              </w:rPr>
            </w:pPr>
            <w:r w:rsidRPr="00064185">
              <w:rPr>
                <w:rFonts w:eastAsia="Calibri"/>
                <w:b/>
                <w:lang w:eastAsia="en-US"/>
              </w:rPr>
              <w:t>Tier</w:t>
            </w:r>
          </w:p>
        </w:tc>
        <w:tc>
          <w:tcPr>
            <w:tcW w:w="1560" w:type="dxa"/>
            <w:shd w:val="clear" w:color="auto" w:fill="FFFFCC"/>
          </w:tcPr>
          <w:p w14:paraId="49781D72" w14:textId="77777777" w:rsidR="00A53EE0" w:rsidRPr="00064185" w:rsidRDefault="00A53EE0" w:rsidP="00EA61D8">
            <w:pPr>
              <w:spacing w:line="260" w:lineRule="atLeast"/>
              <w:rPr>
                <w:rFonts w:eastAsia="Calibri"/>
                <w:b/>
                <w:lang w:eastAsia="en-US"/>
              </w:rPr>
            </w:pPr>
            <w:r w:rsidRPr="00064185">
              <w:rPr>
                <w:rFonts w:eastAsia="Calibri"/>
                <w:b/>
                <w:lang w:eastAsia="en-US"/>
              </w:rPr>
              <w:t>Systemic NOAEL</w:t>
            </w:r>
          </w:p>
          <w:p w14:paraId="200E8631" w14:textId="77777777" w:rsidR="00A53EE0" w:rsidRPr="00064185" w:rsidRDefault="007010A4" w:rsidP="00EA61D8">
            <w:pPr>
              <w:spacing w:line="260" w:lineRule="atLeast"/>
              <w:rPr>
                <w:rFonts w:eastAsia="Calibri"/>
                <w:b/>
                <w:lang w:eastAsia="en-US"/>
              </w:rPr>
            </w:pPr>
            <w:r w:rsidRPr="00064185">
              <w:rPr>
                <w:rFonts w:eastAsia="Calibri"/>
                <w:b/>
                <w:lang w:eastAsia="en-US"/>
              </w:rPr>
              <w:t>[</w:t>
            </w:r>
            <w:r w:rsidR="00A53EE0" w:rsidRPr="00064185">
              <w:rPr>
                <w:rFonts w:eastAsia="Calibri"/>
                <w:b/>
                <w:lang w:eastAsia="en-US"/>
              </w:rPr>
              <w:t>mg/kg bw/d</w:t>
            </w:r>
            <w:r w:rsidRPr="00064185">
              <w:rPr>
                <w:rFonts w:eastAsia="Calibri"/>
                <w:b/>
                <w:lang w:eastAsia="en-US"/>
              </w:rPr>
              <w:t>]</w:t>
            </w:r>
          </w:p>
        </w:tc>
        <w:tc>
          <w:tcPr>
            <w:tcW w:w="1134" w:type="dxa"/>
            <w:shd w:val="clear" w:color="auto" w:fill="FFFFCC"/>
          </w:tcPr>
          <w:p w14:paraId="683ECF3A" w14:textId="77777777" w:rsidR="00A53EE0" w:rsidRPr="00064185" w:rsidRDefault="00A53EE0" w:rsidP="00EA61D8">
            <w:pPr>
              <w:spacing w:line="260" w:lineRule="atLeast"/>
              <w:rPr>
                <w:rFonts w:eastAsia="Calibri"/>
                <w:b/>
                <w:lang w:val="de-DE" w:eastAsia="en-US"/>
              </w:rPr>
            </w:pPr>
            <w:r w:rsidRPr="00064185">
              <w:rPr>
                <w:rFonts w:eastAsia="Calibri"/>
                <w:b/>
                <w:lang w:val="de-DE" w:eastAsia="en-US"/>
              </w:rPr>
              <w:t>AEL</w:t>
            </w:r>
          </w:p>
          <w:p w14:paraId="4CA0E492" w14:textId="77777777" w:rsidR="00A53EE0" w:rsidRPr="00064185" w:rsidRDefault="007010A4" w:rsidP="00EA61D8">
            <w:pPr>
              <w:spacing w:line="260" w:lineRule="atLeast"/>
              <w:rPr>
                <w:rFonts w:eastAsia="Calibri"/>
                <w:b/>
                <w:lang w:val="de-DE" w:eastAsia="en-US"/>
              </w:rPr>
            </w:pPr>
            <w:r w:rsidRPr="00064185">
              <w:rPr>
                <w:rFonts w:eastAsia="Calibri"/>
                <w:b/>
                <w:lang w:val="de-DE" w:eastAsia="en-US"/>
              </w:rPr>
              <w:t>[</w:t>
            </w:r>
            <w:r w:rsidR="00A53EE0" w:rsidRPr="00064185">
              <w:rPr>
                <w:rFonts w:eastAsia="Calibri"/>
                <w:b/>
                <w:lang w:val="de-DE" w:eastAsia="en-US"/>
              </w:rPr>
              <w:t>mg/kg bw/d</w:t>
            </w:r>
            <w:r w:rsidRPr="00064185">
              <w:rPr>
                <w:rFonts w:eastAsia="Calibri"/>
                <w:b/>
                <w:lang w:val="de-DE" w:eastAsia="en-US"/>
              </w:rPr>
              <w:t>]</w:t>
            </w:r>
          </w:p>
        </w:tc>
        <w:tc>
          <w:tcPr>
            <w:tcW w:w="1417" w:type="dxa"/>
            <w:shd w:val="clear" w:color="auto" w:fill="FFFFCC"/>
          </w:tcPr>
          <w:p w14:paraId="536DA295" w14:textId="77777777" w:rsidR="00A53EE0" w:rsidRPr="00064185" w:rsidRDefault="00A53EE0" w:rsidP="00EA61D8">
            <w:pPr>
              <w:spacing w:line="260" w:lineRule="atLeast"/>
              <w:rPr>
                <w:rFonts w:eastAsia="Calibri"/>
                <w:b/>
                <w:lang w:eastAsia="en-US"/>
              </w:rPr>
            </w:pPr>
            <w:r w:rsidRPr="00064185">
              <w:rPr>
                <w:rFonts w:eastAsia="Calibri"/>
                <w:b/>
                <w:lang w:eastAsia="en-US"/>
              </w:rPr>
              <w:t>Estimated uptake</w:t>
            </w:r>
          </w:p>
          <w:p w14:paraId="30031D66" w14:textId="77777777" w:rsidR="00A53EE0" w:rsidRPr="00064185" w:rsidRDefault="007010A4" w:rsidP="00EA61D8">
            <w:pPr>
              <w:spacing w:line="260" w:lineRule="atLeast"/>
              <w:rPr>
                <w:rFonts w:eastAsia="Calibri"/>
                <w:b/>
                <w:lang w:eastAsia="en-US"/>
              </w:rPr>
            </w:pPr>
            <w:r w:rsidRPr="00064185">
              <w:rPr>
                <w:rFonts w:eastAsia="Calibri"/>
                <w:b/>
                <w:lang w:eastAsia="en-US"/>
              </w:rPr>
              <w:t>[</w:t>
            </w:r>
            <w:r w:rsidR="00A53EE0" w:rsidRPr="00064185">
              <w:rPr>
                <w:rFonts w:eastAsia="Calibri"/>
                <w:b/>
                <w:lang w:eastAsia="en-US"/>
              </w:rPr>
              <w:t>mg/kg bw/d</w:t>
            </w:r>
            <w:r w:rsidRPr="00064185">
              <w:rPr>
                <w:rFonts w:eastAsia="Calibri"/>
                <w:b/>
                <w:lang w:eastAsia="en-US"/>
              </w:rPr>
              <w:t>]</w:t>
            </w:r>
          </w:p>
        </w:tc>
        <w:tc>
          <w:tcPr>
            <w:tcW w:w="1418" w:type="dxa"/>
            <w:shd w:val="clear" w:color="auto" w:fill="FFFFCC"/>
          </w:tcPr>
          <w:p w14:paraId="028BA1C8" w14:textId="77777777" w:rsidR="00A53EE0" w:rsidRPr="00064185" w:rsidRDefault="00A53EE0" w:rsidP="00EA61D8">
            <w:pPr>
              <w:spacing w:line="260" w:lineRule="atLeast"/>
              <w:rPr>
                <w:rFonts w:eastAsia="Calibri"/>
                <w:b/>
                <w:lang w:eastAsia="en-US"/>
              </w:rPr>
            </w:pPr>
            <w:r w:rsidRPr="00064185">
              <w:rPr>
                <w:rFonts w:eastAsia="Calibri"/>
                <w:b/>
                <w:lang w:eastAsia="en-US"/>
              </w:rPr>
              <w:t xml:space="preserve">Estimated uptake/ AEL </w:t>
            </w:r>
          </w:p>
          <w:p w14:paraId="41CA3353" w14:textId="77777777" w:rsidR="00A53EE0" w:rsidRPr="00064185" w:rsidRDefault="00A53EE0" w:rsidP="00EA61D8">
            <w:pPr>
              <w:spacing w:line="260" w:lineRule="atLeast"/>
              <w:rPr>
                <w:rFonts w:eastAsia="Calibri"/>
                <w:b/>
                <w:lang w:eastAsia="en-US"/>
              </w:rPr>
            </w:pPr>
            <w:r w:rsidRPr="00064185">
              <w:rPr>
                <w:rFonts w:eastAsia="Calibri"/>
                <w:b/>
                <w:lang w:eastAsia="en-US"/>
              </w:rPr>
              <w:t>(%)</w:t>
            </w:r>
          </w:p>
        </w:tc>
        <w:tc>
          <w:tcPr>
            <w:tcW w:w="1525" w:type="dxa"/>
            <w:shd w:val="clear" w:color="auto" w:fill="FFFFCC"/>
          </w:tcPr>
          <w:p w14:paraId="051FBD71" w14:textId="77777777" w:rsidR="00A53EE0" w:rsidRPr="00064185" w:rsidRDefault="00A53EE0" w:rsidP="00EA61D8">
            <w:pPr>
              <w:spacing w:line="260" w:lineRule="atLeast"/>
              <w:rPr>
                <w:rFonts w:eastAsia="Calibri"/>
                <w:b/>
                <w:lang w:eastAsia="en-US"/>
              </w:rPr>
            </w:pPr>
            <w:r w:rsidRPr="00064185">
              <w:rPr>
                <w:rFonts w:eastAsia="Calibri"/>
                <w:b/>
                <w:lang w:eastAsia="en-US"/>
              </w:rPr>
              <w:t>Acceptable</w:t>
            </w:r>
          </w:p>
          <w:p w14:paraId="2DB34AB4" w14:textId="77777777" w:rsidR="00A53EE0" w:rsidRPr="00064185" w:rsidRDefault="00A53EE0" w:rsidP="00EA61D8">
            <w:pPr>
              <w:spacing w:line="260" w:lineRule="atLeast"/>
              <w:rPr>
                <w:rFonts w:eastAsia="Calibri"/>
                <w:b/>
                <w:lang w:eastAsia="en-US"/>
              </w:rPr>
            </w:pPr>
            <w:r w:rsidRPr="00064185">
              <w:rPr>
                <w:rFonts w:eastAsia="Calibri"/>
                <w:b/>
                <w:lang w:eastAsia="en-US"/>
              </w:rPr>
              <w:t>(yes/no)</w:t>
            </w:r>
          </w:p>
        </w:tc>
      </w:tr>
      <w:tr w:rsidR="00064185" w:rsidRPr="00064185" w14:paraId="5C1D945D" w14:textId="77777777" w:rsidTr="00122D33">
        <w:tc>
          <w:tcPr>
            <w:tcW w:w="1560" w:type="dxa"/>
            <w:shd w:val="clear" w:color="auto" w:fill="auto"/>
            <w:vAlign w:val="center"/>
          </w:tcPr>
          <w:p w14:paraId="560FF812" w14:textId="6D8EC4D1" w:rsidR="00A53EE0" w:rsidRPr="00064185" w:rsidRDefault="00D24C36" w:rsidP="00EA61D8">
            <w:pPr>
              <w:spacing w:line="260" w:lineRule="atLeast"/>
              <w:rPr>
                <w:rFonts w:eastAsia="Calibri"/>
                <w:lang w:eastAsia="en-US"/>
              </w:rPr>
            </w:pPr>
            <w:r w:rsidRPr="00064185">
              <w:rPr>
                <w:bCs/>
              </w:rPr>
              <w:t>Spot treatmen</w:t>
            </w:r>
            <w:r w:rsidR="0059338E" w:rsidRPr="00064185">
              <w:rPr>
                <w:bCs/>
              </w:rPr>
              <w:t>t</w:t>
            </w:r>
            <w:r w:rsidR="00EC5584" w:rsidRPr="00064185">
              <w:rPr>
                <w:bCs/>
              </w:rPr>
              <w:t>,</w:t>
            </w:r>
            <w:r w:rsidR="00EC5584" w:rsidRPr="00064185">
              <w:rPr>
                <w:bCs/>
              </w:rPr>
              <w:br/>
              <w:t>trigger spray, systemic</w:t>
            </w:r>
            <w:r w:rsidR="002A0320" w:rsidRPr="00064185">
              <w:rPr>
                <w:bCs/>
              </w:rPr>
              <w:t xml:space="preserve"> (oral and dermal)</w:t>
            </w:r>
            <w:r w:rsidR="007010A4" w:rsidRPr="00064185">
              <w:rPr>
                <w:bCs/>
              </w:rPr>
              <w:t xml:space="preserve"> / Scenario 1</w:t>
            </w:r>
          </w:p>
        </w:tc>
        <w:tc>
          <w:tcPr>
            <w:tcW w:w="850" w:type="dxa"/>
            <w:shd w:val="clear" w:color="auto" w:fill="auto"/>
            <w:vAlign w:val="center"/>
          </w:tcPr>
          <w:p w14:paraId="3DACBB02" w14:textId="77777777" w:rsidR="00A53EE0" w:rsidRPr="00064185" w:rsidRDefault="007010A4" w:rsidP="00EA61D8">
            <w:pPr>
              <w:spacing w:line="260" w:lineRule="atLeast"/>
              <w:rPr>
                <w:rFonts w:eastAsia="Calibri"/>
                <w:lang w:eastAsia="en-US"/>
              </w:rPr>
            </w:pPr>
            <w:r w:rsidRPr="00064185">
              <w:rPr>
                <w:rFonts w:eastAsia="Calibri"/>
                <w:lang w:eastAsia="en-US"/>
              </w:rPr>
              <w:t>1</w:t>
            </w:r>
          </w:p>
        </w:tc>
        <w:tc>
          <w:tcPr>
            <w:tcW w:w="1560" w:type="dxa"/>
            <w:shd w:val="clear" w:color="auto" w:fill="auto"/>
            <w:vAlign w:val="center"/>
          </w:tcPr>
          <w:p w14:paraId="268F07DB" w14:textId="77777777" w:rsidR="00A53EE0" w:rsidRPr="00064185" w:rsidRDefault="00EC5584" w:rsidP="00EA61D8">
            <w:pPr>
              <w:spacing w:line="260" w:lineRule="atLeast"/>
              <w:rPr>
                <w:rFonts w:eastAsia="Calibri"/>
                <w:lang w:eastAsia="en-US"/>
              </w:rPr>
            </w:pPr>
            <w:r w:rsidRPr="00064185">
              <w:rPr>
                <w:rFonts w:cs="TimesNewRomanPSMT"/>
              </w:rPr>
              <w:t>0.75</w:t>
            </w:r>
          </w:p>
        </w:tc>
        <w:tc>
          <w:tcPr>
            <w:tcW w:w="1134" w:type="dxa"/>
            <w:shd w:val="clear" w:color="auto" w:fill="auto"/>
            <w:vAlign w:val="center"/>
          </w:tcPr>
          <w:p w14:paraId="582D2503" w14:textId="77777777" w:rsidR="00A53EE0" w:rsidRPr="00064185" w:rsidRDefault="00EC5584" w:rsidP="00EA61D8">
            <w:pPr>
              <w:spacing w:line="260" w:lineRule="atLeast"/>
              <w:rPr>
                <w:rFonts w:eastAsia="Calibri"/>
                <w:lang w:eastAsia="en-US"/>
              </w:rPr>
            </w:pPr>
            <w:r w:rsidRPr="00064185">
              <w:rPr>
                <w:rFonts w:cs="TimesNewRomanPSMT"/>
              </w:rPr>
              <w:t>0.0038</w:t>
            </w:r>
          </w:p>
        </w:tc>
        <w:tc>
          <w:tcPr>
            <w:tcW w:w="1417" w:type="dxa"/>
            <w:shd w:val="clear" w:color="auto" w:fill="auto"/>
            <w:vAlign w:val="center"/>
          </w:tcPr>
          <w:p w14:paraId="56F1D6BB" w14:textId="2D72D731" w:rsidR="00A53EE0" w:rsidRPr="00064185" w:rsidRDefault="002A0320" w:rsidP="00EA61D8">
            <w:pPr>
              <w:rPr>
                <w:rFonts w:eastAsia="Calibri"/>
                <w:lang w:eastAsia="en-US"/>
              </w:rPr>
            </w:pPr>
            <w:r w:rsidRPr="00064185">
              <w:rPr>
                <w:rFonts w:eastAsia="Calibri"/>
                <w:lang w:eastAsia="en-US"/>
              </w:rPr>
              <w:t>6</w:t>
            </w:r>
            <w:r w:rsidR="00EC5584" w:rsidRPr="00064185">
              <w:rPr>
                <w:rFonts w:eastAsia="Calibri"/>
                <w:lang w:eastAsia="en-US"/>
              </w:rPr>
              <w:t>.7E-5</w:t>
            </w:r>
          </w:p>
        </w:tc>
        <w:tc>
          <w:tcPr>
            <w:tcW w:w="1418" w:type="dxa"/>
            <w:shd w:val="clear" w:color="auto" w:fill="auto"/>
            <w:vAlign w:val="center"/>
          </w:tcPr>
          <w:p w14:paraId="16C79A54" w14:textId="06FE8BF7" w:rsidR="00A53EE0" w:rsidRPr="00064185" w:rsidRDefault="00EC5584" w:rsidP="00EA61D8">
            <w:pPr>
              <w:rPr>
                <w:rFonts w:eastAsia="Calibri"/>
                <w:lang w:eastAsia="en-US"/>
              </w:rPr>
            </w:pPr>
            <w:r w:rsidRPr="00064185">
              <w:rPr>
                <w:rFonts w:eastAsia="Calibri"/>
                <w:lang w:eastAsia="en-US"/>
              </w:rPr>
              <w:fldChar w:fldCharType="begin" w:fldLock="1"/>
            </w:r>
            <w:r w:rsidRPr="00064185">
              <w:rPr>
                <w:rFonts w:eastAsia="Calibri"/>
                <w:lang w:eastAsia="en-US"/>
              </w:rPr>
              <w:instrText xml:space="preserve"> =c2/b2*100 \# "0.0%" </w:instrText>
            </w:r>
            <w:r w:rsidRPr="00064185">
              <w:rPr>
                <w:rFonts w:eastAsia="Calibri"/>
                <w:lang w:eastAsia="en-US"/>
              </w:rPr>
              <w:fldChar w:fldCharType="separate"/>
            </w:r>
            <w:r w:rsidR="002A0320" w:rsidRPr="00064185">
              <w:rPr>
                <w:rFonts w:eastAsia="Calibri"/>
                <w:lang w:eastAsia="en-US"/>
              </w:rPr>
              <w:t>1</w:t>
            </w:r>
            <w:r w:rsidRPr="00064185">
              <w:rPr>
                <w:rFonts w:eastAsia="Calibri"/>
                <w:lang w:eastAsia="en-US"/>
              </w:rPr>
              <w:t>.</w:t>
            </w:r>
            <w:r w:rsidR="002A0320" w:rsidRPr="00064185">
              <w:rPr>
                <w:rFonts w:eastAsia="Calibri"/>
                <w:lang w:eastAsia="en-US"/>
              </w:rPr>
              <w:t>8</w:t>
            </w:r>
            <w:r w:rsidRPr="00064185">
              <w:rPr>
                <w:rFonts w:eastAsia="Calibri"/>
                <w:lang w:eastAsia="en-US"/>
              </w:rPr>
              <w:fldChar w:fldCharType="end"/>
            </w:r>
          </w:p>
        </w:tc>
        <w:tc>
          <w:tcPr>
            <w:tcW w:w="1525" w:type="dxa"/>
            <w:shd w:val="clear" w:color="auto" w:fill="auto"/>
            <w:vAlign w:val="center"/>
          </w:tcPr>
          <w:p w14:paraId="02784C8E" w14:textId="77777777" w:rsidR="00A53EE0" w:rsidRPr="00064185" w:rsidRDefault="00EC5584" w:rsidP="00EA61D8">
            <w:pPr>
              <w:spacing w:line="260" w:lineRule="atLeast"/>
              <w:rPr>
                <w:rFonts w:eastAsia="Calibri"/>
                <w:lang w:eastAsia="en-US"/>
              </w:rPr>
            </w:pPr>
            <w:r w:rsidRPr="00064185">
              <w:rPr>
                <w:rFonts w:eastAsia="Calibri"/>
                <w:lang w:eastAsia="en-US"/>
              </w:rPr>
              <w:t>yes</w:t>
            </w:r>
          </w:p>
        </w:tc>
      </w:tr>
      <w:tr w:rsidR="00064185" w:rsidRPr="00064185" w14:paraId="63C4CE12" w14:textId="77777777" w:rsidTr="00122D33">
        <w:tc>
          <w:tcPr>
            <w:tcW w:w="1560" w:type="dxa"/>
            <w:shd w:val="clear" w:color="auto" w:fill="auto"/>
            <w:vAlign w:val="center"/>
          </w:tcPr>
          <w:p w14:paraId="75D19724" w14:textId="4C67BC8C" w:rsidR="00A53EE0" w:rsidRPr="00064185" w:rsidRDefault="00D24C36" w:rsidP="00EA61D8">
            <w:pPr>
              <w:spacing w:line="260" w:lineRule="atLeast"/>
              <w:rPr>
                <w:rFonts w:eastAsia="Calibri"/>
                <w:lang w:eastAsia="en-US"/>
              </w:rPr>
            </w:pPr>
            <w:r w:rsidRPr="00064185">
              <w:rPr>
                <w:bCs/>
              </w:rPr>
              <w:t>Spot treatment</w:t>
            </w:r>
            <w:r w:rsidR="00EC5584" w:rsidRPr="00064185">
              <w:rPr>
                <w:bCs/>
              </w:rPr>
              <w:t>,</w:t>
            </w:r>
            <w:r w:rsidR="00EC5584" w:rsidRPr="00064185">
              <w:rPr>
                <w:bCs/>
              </w:rPr>
              <w:br/>
              <w:t>trigger spray, inhalation</w:t>
            </w:r>
            <w:r w:rsidR="007010A4" w:rsidRPr="00064185">
              <w:rPr>
                <w:bCs/>
              </w:rPr>
              <w:t xml:space="preserve"> / Scenario 1</w:t>
            </w:r>
          </w:p>
        </w:tc>
        <w:tc>
          <w:tcPr>
            <w:tcW w:w="850" w:type="dxa"/>
            <w:shd w:val="clear" w:color="auto" w:fill="auto"/>
            <w:vAlign w:val="center"/>
          </w:tcPr>
          <w:p w14:paraId="04A02B61" w14:textId="77777777" w:rsidR="00A53EE0" w:rsidRPr="00064185" w:rsidRDefault="007010A4" w:rsidP="00EA61D8">
            <w:pPr>
              <w:spacing w:line="260" w:lineRule="atLeast"/>
              <w:rPr>
                <w:rFonts w:eastAsia="Calibri"/>
                <w:lang w:eastAsia="en-US"/>
              </w:rPr>
            </w:pPr>
            <w:r w:rsidRPr="00064185">
              <w:rPr>
                <w:rFonts w:eastAsia="Calibri"/>
                <w:lang w:eastAsia="en-US"/>
              </w:rPr>
              <w:t>1</w:t>
            </w:r>
          </w:p>
        </w:tc>
        <w:tc>
          <w:tcPr>
            <w:tcW w:w="1560" w:type="dxa"/>
            <w:shd w:val="clear" w:color="auto" w:fill="auto"/>
            <w:vAlign w:val="center"/>
          </w:tcPr>
          <w:p w14:paraId="0FACDFEA" w14:textId="77777777" w:rsidR="00A53EE0" w:rsidRPr="00064185" w:rsidRDefault="00EC5584" w:rsidP="00EA61D8">
            <w:pPr>
              <w:spacing w:line="260" w:lineRule="atLeast"/>
              <w:rPr>
                <w:rFonts w:eastAsia="Calibri"/>
                <w:lang w:eastAsia="en-US"/>
              </w:rPr>
            </w:pPr>
            <w:r w:rsidRPr="00064185">
              <w:rPr>
                <w:rFonts w:eastAsia="Calibri"/>
                <w:lang w:eastAsia="en-US"/>
              </w:rPr>
              <w:t>0.08</w:t>
            </w:r>
          </w:p>
        </w:tc>
        <w:tc>
          <w:tcPr>
            <w:tcW w:w="1134" w:type="dxa"/>
            <w:shd w:val="clear" w:color="auto" w:fill="auto"/>
            <w:vAlign w:val="center"/>
          </w:tcPr>
          <w:p w14:paraId="7616C5E8" w14:textId="77777777" w:rsidR="00A53EE0" w:rsidRPr="00064185" w:rsidRDefault="00EC5584" w:rsidP="00EA61D8">
            <w:pPr>
              <w:spacing w:line="260" w:lineRule="atLeast"/>
              <w:rPr>
                <w:rFonts w:eastAsia="Calibri"/>
                <w:lang w:eastAsia="en-US"/>
              </w:rPr>
            </w:pPr>
            <w:r w:rsidRPr="00064185">
              <w:rPr>
                <w:rFonts w:eastAsia="Calibri"/>
                <w:lang w:eastAsia="en-US"/>
              </w:rPr>
              <w:t>0.0008</w:t>
            </w:r>
          </w:p>
        </w:tc>
        <w:tc>
          <w:tcPr>
            <w:tcW w:w="1417" w:type="dxa"/>
            <w:shd w:val="clear" w:color="auto" w:fill="auto"/>
            <w:vAlign w:val="center"/>
          </w:tcPr>
          <w:p w14:paraId="62B3546F" w14:textId="77777777" w:rsidR="00A53EE0" w:rsidRPr="00064185" w:rsidRDefault="00EC5584" w:rsidP="00EA61D8">
            <w:pPr>
              <w:spacing w:line="260" w:lineRule="atLeast"/>
              <w:rPr>
                <w:rFonts w:eastAsia="Calibri"/>
                <w:lang w:eastAsia="en-US"/>
              </w:rPr>
            </w:pPr>
            <w:r w:rsidRPr="00064185">
              <w:rPr>
                <w:rFonts w:eastAsia="Calibri"/>
                <w:lang w:eastAsia="en-US"/>
              </w:rPr>
              <w:t>1.9E-5</w:t>
            </w:r>
          </w:p>
        </w:tc>
        <w:tc>
          <w:tcPr>
            <w:tcW w:w="1418" w:type="dxa"/>
            <w:shd w:val="clear" w:color="auto" w:fill="auto"/>
            <w:vAlign w:val="center"/>
          </w:tcPr>
          <w:p w14:paraId="14BB099B" w14:textId="77777777" w:rsidR="00A53EE0" w:rsidRPr="00064185" w:rsidRDefault="00EC5584" w:rsidP="00EA61D8">
            <w:pPr>
              <w:spacing w:line="260" w:lineRule="atLeast"/>
              <w:rPr>
                <w:rFonts w:eastAsia="Calibri"/>
                <w:lang w:eastAsia="en-US"/>
              </w:rPr>
            </w:pPr>
            <w:r w:rsidRPr="00064185">
              <w:rPr>
                <w:rFonts w:eastAsia="Calibri"/>
                <w:lang w:eastAsia="en-US"/>
              </w:rPr>
              <w:fldChar w:fldCharType="begin" w:fldLock="1"/>
            </w:r>
            <w:r w:rsidRPr="00064185">
              <w:rPr>
                <w:rFonts w:eastAsia="Calibri"/>
                <w:lang w:eastAsia="en-US"/>
              </w:rPr>
              <w:instrText xml:space="preserve"> =c3/b3*100 \# "0.0%" </w:instrText>
            </w:r>
            <w:r w:rsidRPr="00064185">
              <w:rPr>
                <w:rFonts w:eastAsia="Calibri"/>
                <w:lang w:eastAsia="en-US"/>
              </w:rPr>
              <w:fldChar w:fldCharType="separate"/>
            </w:r>
            <w:r w:rsidRPr="00064185">
              <w:rPr>
                <w:rFonts w:eastAsia="Calibri"/>
                <w:lang w:eastAsia="en-US"/>
              </w:rPr>
              <w:t>2.4</w:t>
            </w:r>
            <w:r w:rsidRPr="00064185">
              <w:rPr>
                <w:rFonts w:eastAsia="Calibri"/>
                <w:lang w:eastAsia="en-US"/>
              </w:rPr>
              <w:fldChar w:fldCharType="end"/>
            </w:r>
          </w:p>
        </w:tc>
        <w:tc>
          <w:tcPr>
            <w:tcW w:w="1525" w:type="dxa"/>
            <w:shd w:val="clear" w:color="auto" w:fill="auto"/>
            <w:vAlign w:val="center"/>
          </w:tcPr>
          <w:p w14:paraId="666C4CA2" w14:textId="77777777" w:rsidR="00A53EE0" w:rsidRPr="00064185" w:rsidRDefault="00EC5584" w:rsidP="00EA61D8">
            <w:pPr>
              <w:spacing w:line="260" w:lineRule="atLeast"/>
              <w:rPr>
                <w:rFonts w:eastAsia="Calibri"/>
                <w:lang w:eastAsia="en-US"/>
              </w:rPr>
            </w:pPr>
            <w:r w:rsidRPr="00064185">
              <w:rPr>
                <w:rFonts w:eastAsia="Calibri"/>
                <w:lang w:eastAsia="en-US"/>
              </w:rPr>
              <w:t>yes</w:t>
            </w:r>
          </w:p>
        </w:tc>
      </w:tr>
      <w:tr w:rsidR="00064185" w:rsidRPr="00064185" w14:paraId="66E8A658" w14:textId="77777777" w:rsidTr="00DB06FD">
        <w:tc>
          <w:tcPr>
            <w:tcW w:w="6521" w:type="dxa"/>
            <w:gridSpan w:val="5"/>
            <w:shd w:val="clear" w:color="auto" w:fill="auto"/>
            <w:vAlign w:val="center"/>
          </w:tcPr>
          <w:p w14:paraId="6D792972" w14:textId="0E40D92D" w:rsidR="008F322B" w:rsidRPr="00064185" w:rsidRDefault="008F322B" w:rsidP="00EA61D8">
            <w:pPr>
              <w:spacing w:line="260" w:lineRule="atLeast"/>
              <w:rPr>
                <w:rFonts w:eastAsia="Calibri"/>
                <w:lang w:eastAsia="en-US"/>
              </w:rPr>
            </w:pPr>
            <w:r w:rsidRPr="00064185">
              <w:rPr>
                <w:bCs/>
              </w:rPr>
              <w:t>Sum of % AEL</w:t>
            </w:r>
          </w:p>
        </w:tc>
        <w:tc>
          <w:tcPr>
            <w:tcW w:w="1418" w:type="dxa"/>
            <w:shd w:val="clear" w:color="auto" w:fill="auto"/>
            <w:vAlign w:val="center"/>
          </w:tcPr>
          <w:p w14:paraId="5C37F00D" w14:textId="6E4C2778" w:rsidR="008F322B" w:rsidRPr="00064185" w:rsidRDefault="008F322B" w:rsidP="00EA61D8">
            <w:pPr>
              <w:spacing w:line="260" w:lineRule="atLeast"/>
              <w:rPr>
                <w:rFonts w:eastAsia="Calibri"/>
                <w:lang w:eastAsia="en-US"/>
              </w:rPr>
            </w:pPr>
            <w:r w:rsidRPr="00064185">
              <w:rPr>
                <w:rFonts w:eastAsia="Calibri"/>
                <w:lang w:eastAsia="en-US"/>
              </w:rPr>
              <w:t>4.2</w:t>
            </w:r>
          </w:p>
        </w:tc>
        <w:tc>
          <w:tcPr>
            <w:tcW w:w="1525" w:type="dxa"/>
            <w:shd w:val="clear" w:color="auto" w:fill="auto"/>
            <w:vAlign w:val="center"/>
          </w:tcPr>
          <w:p w14:paraId="6901034E" w14:textId="5EEAB9AC" w:rsidR="008F322B" w:rsidRPr="00064185" w:rsidRDefault="008F322B" w:rsidP="00EA61D8">
            <w:pPr>
              <w:spacing w:line="260" w:lineRule="atLeast"/>
              <w:rPr>
                <w:rFonts w:eastAsia="Calibri"/>
                <w:lang w:eastAsia="en-US"/>
              </w:rPr>
            </w:pPr>
            <w:r w:rsidRPr="00064185">
              <w:rPr>
                <w:rFonts w:eastAsia="Calibri"/>
                <w:lang w:eastAsia="en-US"/>
              </w:rPr>
              <w:t>yes</w:t>
            </w:r>
          </w:p>
        </w:tc>
      </w:tr>
    </w:tbl>
    <w:p w14:paraId="102285F9" w14:textId="77777777" w:rsidR="00A53EE0" w:rsidRPr="00064185" w:rsidRDefault="00A53EE0" w:rsidP="00EA61D8">
      <w:pPr>
        <w:spacing w:line="260" w:lineRule="atLeast"/>
        <w:rPr>
          <w:rFonts w:eastAsia="Calibri"/>
          <w:lang w:eastAsia="en-US"/>
        </w:rPr>
      </w:pPr>
    </w:p>
    <w:p w14:paraId="177A577C" w14:textId="77777777" w:rsidR="004A6E1E" w:rsidRPr="00064185" w:rsidRDefault="004A6E1E" w:rsidP="00EA61D8">
      <w:pPr>
        <w:spacing w:line="260" w:lineRule="atLeast"/>
        <w:rPr>
          <w:rFonts w:eastAsia="Calibri"/>
          <w:b/>
          <w:bCs/>
          <w:lang w:eastAsia="en-US"/>
        </w:rPr>
      </w:pPr>
      <w:r w:rsidRPr="00064185">
        <w:rPr>
          <w:rFonts w:eastAsia="Calibri"/>
          <w:b/>
          <w:bCs/>
          <w:lang w:eastAsia="en-US"/>
        </w:rPr>
        <w:t>Combined scenarios</w:t>
      </w:r>
    </w:p>
    <w:p w14:paraId="4B7AE219" w14:textId="253FA9DF" w:rsidR="004A6E1E" w:rsidRPr="00064185" w:rsidRDefault="005E197F" w:rsidP="00403806">
      <w:pPr>
        <w:spacing w:line="260" w:lineRule="atLeast"/>
        <w:jc w:val="both"/>
        <w:rPr>
          <w:rFonts w:eastAsia="Calibri"/>
          <w:lang w:eastAsia="en-US"/>
        </w:rPr>
      </w:pPr>
      <w:r w:rsidRPr="00064185">
        <w:rPr>
          <w:rFonts w:eastAsia="Calibri"/>
          <w:lang w:eastAsia="en-US"/>
        </w:rPr>
        <w:t>No combined exposure is</w:t>
      </w:r>
      <w:r w:rsidR="004A6E1E" w:rsidRPr="00064185">
        <w:rPr>
          <w:rFonts w:eastAsia="Calibri"/>
          <w:lang w:eastAsia="en-US"/>
        </w:rPr>
        <w:t xml:space="preserve"> foreseen.</w:t>
      </w:r>
    </w:p>
    <w:p w14:paraId="4440BFCF" w14:textId="77777777" w:rsidR="004A6E1E" w:rsidRPr="00064185" w:rsidRDefault="004A6E1E" w:rsidP="00403806">
      <w:pPr>
        <w:spacing w:line="260" w:lineRule="atLeast"/>
        <w:jc w:val="both"/>
        <w:rPr>
          <w:rFonts w:eastAsia="Calibri"/>
          <w:b/>
          <w:bCs/>
          <w:lang w:eastAsia="en-US"/>
        </w:rPr>
      </w:pPr>
    </w:p>
    <w:p w14:paraId="030B432B" w14:textId="77777777" w:rsidR="00A53EE0" w:rsidRPr="00064185" w:rsidRDefault="00A53EE0" w:rsidP="00403806">
      <w:pPr>
        <w:spacing w:line="260" w:lineRule="atLeast"/>
        <w:jc w:val="both"/>
        <w:rPr>
          <w:rFonts w:eastAsia="Calibri"/>
          <w:b/>
          <w:bCs/>
          <w:lang w:eastAsia="en-US"/>
        </w:rPr>
      </w:pPr>
      <w:r w:rsidRPr="00064185">
        <w:rPr>
          <w:rFonts w:eastAsia="Calibri"/>
          <w:b/>
          <w:bCs/>
          <w:lang w:eastAsia="en-US"/>
        </w:rPr>
        <w:t xml:space="preserve">Local effects </w:t>
      </w:r>
    </w:p>
    <w:p w14:paraId="621C695D" w14:textId="77777777" w:rsidR="00A53EE0" w:rsidRPr="00064185" w:rsidRDefault="00B02DFA" w:rsidP="00403806">
      <w:pPr>
        <w:spacing w:line="260" w:lineRule="atLeast"/>
        <w:jc w:val="both"/>
        <w:rPr>
          <w:rFonts w:eastAsia="Calibri"/>
          <w:lang w:eastAsia="en-US"/>
        </w:rPr>
      </w:pPr>
      <w:r w:rsidRPr="00064185">
        <w:rPr>
          <w:rFonts w:eastAsia="Calibri"/>
          <w:lang w:eastAsia="en-US"/>
        </w:rPr>
        <w:t xml:space="preserve">The </w:t>
      </w:r>
      <w:proofErr w:type="gramStart"/>
      <w:r w:rsidRPr="00064185">
        <w:rPr>
          <w:rFonts w:eastAsia="Calibri"/>
          <w:lang w:eastAsia="en-US"/>
        </w:rPr>
        <w:t>b.p</w:t>
      </w:r>
      <w:proofErr w:type="gramEnd"/>
      <w:r w:rsidRPr="00064185">
        <w:rPr>
          <w:rFonts w:eastAsia="Calibri"/>
          <w:lang w:eastAsia="en-US"/>
        </w:rPr>
        <w:t>. is not classified for local effects. Therefore, risk characterisation for local effects is not required.</w:t>
      </w:r>
    </w:p>
    <w:p w14:paraId="7702FD16" w14:textId="77777777" w:rsidR="00A53EE0" w:rsidRPr="00064185" w:rsidRDefault="00A53EE0" w:rsidP="00403806">
      <w:pPr>
        <w:spacing w:line="260" w:lineRule="atLeast"/>
        <w:jc w:val="both"/>
        <w:rPr>
          <w:rFonts w:eastAsia="Calibri"/>
          <w:lang w:eastAsia="en-US"/>
        </w:rPr>
      </w:pPr>
    </w:p>
    <w:p w14:paraId="48B41FD7" w14:textId="77777777" w:rsidR="00A53EE0" w:rsidRPr="00064185" w:rsidRDefault="00A53EE0" w:rsidP="00403806">
      <w:pPr>
        <w:spacing w:line="260" w:lineRule="atLeast"/>
        <w:jc w:val="both"/>
        <w:rPr>
          <w:rFonts w:eastAsia="Calibri"/>
          <w:b/>
          <w:bCs/>
          <w:lang w:eastAsia="en-US"/>
        </w:rPr>
      </w:pPr>
      <w:r w:rsidRPr="00064185">
        <w:rPr>
          <w:rFonts w:eastAsia="Calibri"/>
          <w:b/>
          <w:bCs/>
          <w:lang w:eastAsia="en-US"/>
        </w:rPr>
        <w:t>Conclusion</w:t>
      </w:r>
    </w:p>
    <w:p w14:paraId="413655D8" w14:textId="77777777" w:rsidR="00AC1B67" w:rsidRPr="00064185" w:rsidRDefault="00AC1B67" w:rsidP="00403806">
      <w:pPr>
        <w:jc w:val="both"/>
        <w:rPr>
          <w:rFonts w:eastAsia="Calibri"/>
          <w:lang w:eastAsia="en-US"/>
        </w:rPr>
      </w:pPr>
      <w:r w:rsidRPr="00064185">
        <w:rPr>
          <w:rFonts w:eastAsia="Calibri"/>
          <w:lang w:eastAsia="en-US"/>
        </w:rPr>
        <w:t xml:space="preserve">The AEL is neither reached nor exceeded by the estimated exposures and </w:t>
      </w:r>
      <w:r w:rsidR="00B96C98" w:rsidRPr="00064185">
        <w:rPr>
          <w:rFonts w:eastAsia="Calibri"/>
          <w:lang w:eastAsia="en-US"/>
        </w:rPr>
        <w:t>the MoEs are sufficiently high.</w:t>
      </w:r>
    </w:p>
    <w:p w14:paraId="5C881808" w14:textId="77777777" w:rsidR="00AC1B67" w:rsidRPr="00064185" w:rsidRDefault="00AC1B67" w:rsidP="00403806">
      <w:pPr>
        <w:spacing w:line="260" w:lineRule="atLeast"/>
        <w:jc w:val="both"/>
        <w:rPr>
          <w:rFonts w:ascii="Times New Roman" w:eastAsia="Calibri" w:hAnsi="Times New Roman"/>
          <w:i/>
          <w:iCs/>
          <w:lang w:eastAsia="en-US"/>
        </w:rPr>
      </w:pPr>
    </w:p>
    <w:p w14:paraId="6C0EDF91" w14:textId="77777777" w:rsidR="00A53EE0" w:rsidRPr="00064185" w:rsidRDefault="00A53EE0" w:rsidP="00403806">
      <w:pPr>
        <w:spacing w:line="260" w:lineRule="atLeast"/>
        <w:jc w:val="both"/>
        <w:rPr>
          <w:rFonts w:eastAsia="Calibri"/>
          <w:lang w:eastAsia="en-US"/>
        </w:rPr>
      </w:pPr>
    </w:p>
    <w:p w14:paraId="11A3B6C3" w14:textId="77777777" w:rsidR="00A53EE0" w:rsidRPr="00064185" w:rsidRDefault="00A53EE0" w:rsidP="00403806">
      <w:pPr>
        <w:jc w:val="both"/>
        <w:rPr>
          <w:rFonts w:eastAsia="Calibri"/>
          <w:b/>
          <w:i/>
          <w:sz w:val="22"/>
          <w:szCs w:val="22"/>
          <w:lang w:eastAsia="en-US"/>
        </w:rPr>
      </w:pPr>
      <w:bookmarkStart w:id="1721" w:name="_Toc389729092"/>
      <w:bookmarkStart w:id="1722" w:name="_Toc403472778"/>
      <w:r w:rsidRPr="00064185">
        <w:rPr>
          <w:rFonts w:eastAsia="Calibri"/>
          <w:b/>
          <w:i/>
          <w:sz w:val="22"/>
          <w:szCs w:val="22"/>
          <w:lang w:eastAsia="en-US"/>
        </w:rPr>
        <w:t>Risk for the general public</w:t>
      </w:r>
      <w:bookmarkEnd w:id="1721"/>
      <w:bookmarkEnd w:id="1722"/>
      <w:r w:rsidRPr="00064185">
        <w:rPr>
          <w:rFonts w:eastAsia="Calibri"/>
          <w:b/>
          <w:i/>
          <w:sz w:val="22"/>
          <w:szCs w:val="22"/>
          <w:lang w:eastAsia="en-US"/>
        </w:rPr>
        <w:t xml:space="preserve"> </w:t>
      </w:r>
    </w:p>
    <w:p w14:paraId="50A71EB2" w14:textId="77777777" w:rsidR="00EC5584" w:rsidRPr="00064185" w:rsidRDefault="00EC5584" w:rsidP="00403806">
      <w:pPr>
        <w:jc w:val="both"/>
        <w:rPr>
          <w:rFonts w:eastAsia="Calibri"/>
          <w:b/>
          <w:i/>
          <w:sz w:val="22"/>
          <w:szCs w:val="22"/>
          <w:lang w:eastAsia="en-US"/>
        </w:rPr>
      </w:pPr>
    </w:p>
    <w:p w14:paraId="365173EC" w14:textId="77777777" w:rsidR="00EC5584" w:rsidRPr="00064185" w:rsidRDefault="00EC5584" w:rsidP="00403806">
      <w:pPr>
        <w:jc w:val="both"/>
        <w:rPr>
          <w:rFonts w:eastAsia="Calibri"/>
          <w:b/>
          <w:i/>
          <w:sz w:val="22"/>
          <w:szCs w:val="22"/>
          <w:lang w:eastAsia="en-US"/>
        </w:rPr>
      </w:pPr>
      <w:r w:rsidRPr="00064185">
        <w:rPr>
          <w:rFonts w:eastAsia="Calibri"/>
          <w:lang w:eastAsia="en-US"/>
        </w:rPr>
        <w:t>The product is only used sporadically and therefore the acute AEL is used for assessing secondary exposures. Since the acute AEL is actually based on a 6-week study, even repeated exposures would be covered.</w:t>
      </w:r>
    </w:p>
    <w:p w14:paraId="6DD8F5BB" w14:textId="77777777" w:rsidR="00A53EE0" w:rsidRPr="00064185" w:rsidRDefault="00A53EE0" w:rsidP="00EA61D8">
      <w:pPr>
        <w:spacing w:line="260" w:lineRule="atLeast"/>
        <w:rPr>
          <w:rFonts w:eastAsia="Calibri"/>
          <w:lang w:eastAsia="en-US"/>
        </w:rPr>
      </w:pPr>
    </w:p>
    <w:p w14:paraId="3757EE56" w14:textId="77777777" w:rsidR="00A53EE0" w:rsidRPr="00064185" w:rsidRDefault="00A53EE0" w:rsidP="00EA61D8">
      <w:pPr>
        <w:spacing w:line="260" w:lineRule="atLeast"/>
        <w:rPr>
          <w:rFonts w:eastAsia="Calibri"/>
          <w:b/>
          <w:bCs/>
          <w:lang w:eastAsia="en-US"/>
        </w:rPr>
      </w:pPr>
      <w:r w:rsidRPr="00064185">
        <w:rPr>
          <w:rFonts w:eastAsia="Calibri"/>
          <w:b/>
          <w:bCs/>
          <w:lang w:eastAsia="en-US"/>
        </w:rPr>
        <w:t xml:space="preserve">Systemic effects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417"/>
        <w:gridCol w:w="1418"/>
        <w:gridCol w:w="1559"/>
      </w:tblGrid>
      <w:tr w:rsidR="00064185" w:rsidRPr="00064185" w14:paraId="1D16F54B" w14:textId="77777777" w:rsidTr="00922E8F">
        <w:tc>
          <w:tcPr>
            <w:tcW w:w="1560" w:type="dxa"/>
            <w:shd w:val="clear" w:color="auto" w:fill="FFFFCC"/>
          </w:tcPr>
          <w:p w14:paraId="435F2632" w14:textId="77777777" w:rsidR="00A53EE0" w:rsidRPr="00064185" w:rsidRDefault="00A53EE0" w:rsidP="00EA61D8">
            <w:pPr>
              <w:spacing w:line="260" w:lineRule="atLeast"/>
              <w:rPr>
                <w:rFonts w:eastAsia="Calibri"/>
                <w:b/>
                <w:lang w:eastAsia="en-US"/>
              </w:rPr>
            </w:pPr>
            <w:r w:rsidRPr="00064185">
              <w:rPr>
                <w:rFonts w:eastAsia="Calibri"/>
                <w:b/>
                <w:lang w:eastAsia="en-US"/>
              </w:rPr>
              <w:t>Task/</w:t>
            </w:r>
          </w:p>
          <w:p w14:paraId="3449148C" w14:textId="77777777" w:rsidR="00A53EE0" w:rsidRPr="00064185" w:rsidRDefault="00A53EE0" w:rsidP="00EA61D8">
            <w:pPr>
              <w:spacing w:line="260" w:lineRule="atLeast"/>
              <w:rPr>
                <w:rFonts w:eastAsia="Calibri"/>
                <w:b/>
                <w:lang w:eastAsia="en-US"/>
              </w:rPr>
            </w:pPr>
            <w:r w:rsidRPr="00064185">
              <w:rPr>
                <w:rFonts w:eastAsia="Calibri"/>
                <w:b/>
                <w:lang w:eastAsia="en-US"/>
              </w:rPr>
              <w:t>Scenario</w:t>
            </w:r>
          </w:p>
        </w:tc>
        <w:tc>
          <w:tcPr>
            <w:tcW w:w="850" w:type="dxa"/>
            <w:shd w:val="clear" w:color="auto" w:fill="FFFFCC"/>
          </w:tcPr>
          <w:p w14:paraId="72A6042A" w14:textId="77777777" w:rsidR="00A53EE0" w:rsidRPr="00064185" w:rsidRDefault="00A53EE0" w:rsidP="00EA61D8">
            <w:pPr>
              <w:spacing w:line="260" w:lineRule="atLeast"/>
              <w:rPr>
                <w:rFonts w:eastAsia="Calibri"/>
                <w:b/>
                <w:lang w:eastAsia="en-US"/>
              </w:rPr>
            </w:pPr>
            <w:r w:rsidRPr="00064185">
              <w:rPr>
                <w:rFonts w:eastAsia="Calibri"/>
                <w:b/>
                <w:lang w:eastAsia="en-US"/>
              </w:rPr>
              <w:t>Tier</w:t>
            </w:r>
          </w:p>
        </w:tc>
        <w:tc>
          <w:tcPr>
            <w:tcW w:w="1560" w:type="dxa"/>
            <w:shd w:val="clear" w:color="auto" w:fill="FFFFCC"/>
          </w:tcPr>
          <w:p w14:paraId="65FAC022" w14:textId="77777777" w:rsidR="00A53EE0" w:rsidRPr="00064185" w:rsidRDefault="00A53EE0" w:rsidP="00EA61D8">
            <w:pPr>
              <w:spacing w:line="260" w:lineRule="atLeast"/>
              <w:rPr>
                <w:rFonts w:eastAsia="Calibri"/>
                <w:b/>
                <w:lang w:eastAsia="en-US"/>
              </w:rPr>
            </w:pPr>
            <w:r w:rsidRPr="00064185">
              <w:rPr>
                <w:rFonts w:eastAsia="Calibri"/>
                <w:b/>
                <w:lang w:eastAsia="en-US"/>
              </w:rPr>
              <w:t>Systemic NOAEL</w:t>
            </w:r>
          </w:p>
          <w:p w14:paraId="5FA9C260" w14:textId="77777777" w:rsidR="00A53EE0" w:rsidRPr="00064185" w:rsidRDefault="007010A4" w:rsidP="00EA61D8">
            <w:pPr>
              <w:spacing w:line="260" w:lineRule="atLeast"/>
              <w:rPr>
                <w:rFonts w:eastAsia="Calibri"/>
                <w:b/>
                <w:lang w:eastAsia="en-US"/>
              </w:rPr>
            </w:pPr>
            <w:r w:rsidRPr="00064185">
              <w:rPr>
                <w:rFonts w:eastAsia="Calibri"/>
                <w:b/>
                <w:lang w:eastAsia="en-US"/>
              </w:rPr>
              <w:t>[</w:t>
            </w:r>
            <w:r w:rsidR="00A53EE0" w:rsidRPr="00064185">
              <w:rPr>
                <w:rFonts w:eastAsia="Calibri"/>
                <w:b/>
                <w:lang w:eastAsia="en-US"/>
              </w:rPr>
              <w:t>mg/kg bw/d</w:t>
            </w:r>
            <w:r w:rsidRPr="00064185">
              <w:rPr>
                <w:rFonts w:eastAsia="Calibri"/>
                <w:b/>
                <w:lang w:eastAsia="en-US"/>
              </w:rPr>
              <w:t>]</w:t>
            </w:r>
          </w:p>
        </w:tc>
        <w:tc>
          <w:tcPr>
            <w:tcW w:w="992" w:type="dxa"/>
            <w:shd w:val="clear" w:color="auto" w:fill="FFFFCC"/>
          </w:tcPr>
          <w:p w14:paraId="0E92B78B" w14:textId="77777777" w:rsidR="00A53EE0" w:rsidRPr="00064185" w:rsidRDefault="00A53EE0" w:rsidP="00EA61D8">
            <w:pPr>
              <w:spacing w:line="260" w:lineRule="atLeast"/>
              <w:rPr>
                <w:rFonts w:eastAsia="Calibri"/>
                <w:b/>
                <w:lang w:val="de-DE" w:eastAsia="en-US"/>
              </w:rPr>
            </w:pPr>
            <w:r w:rsidRPr="00064185">
              <w:rPr>
                <w:rFonts w:eastAsia="Calibri"/>
                <w:b/>
                <w:lang w:val="de-DE" w:eastAsia="en-US"/>
              </w:rPr>
              <w:t>AEL</w:t>
            </w:r>
          </w:p>
          <w:p w14:paraId="2D97FABB" w14:textId="77777777" w:rsidR="00A53EE0" w:rsidRPr="00064185" w:rsidRDefault="007010A4" w:rsidP="00EA61D8">
            <w:pPr>
              <w:spacing w:line="260" w:lineRule="atLeast"/>
              <w:rPr>
                <w:rFonts w:eastAsia="Calibri"/>
                <w:b/>
                <w:lang w:val="de-DE" w:eastAsia="en-US"/>
              </w:rPr>
            </w:pPr>
            <w:r w:rsidRPr="00064185">
              <w:rPr>
                <w:rFonts w:eastAsia="Calibri"/>
                <w:b/>
                <w:lang w:val="de-DE" w:eastAsia="en-US"/>
              </w:rPr>
              <w:t>[</w:t>
            </w:r>
            <w:r w:rsidR="00A53EE0" w:rsidRPr="00064185">
              <w:rPr>
                <w:rFonts w:eastAsia="Calibri"/>
                <w:b/>
                <w:lang w:val="de-DE" w:eastAsia="en-US"/>
              </w:rPr>
              <w:t>mg/kg bw/d</w:t>
            </w:r>
            <w:r w:rsidRPr="00064185">
              <w:rPr>
                <w:rFonts w:eastAsia="Calibri"/>
                <w:b/>
                <w:lang w:val="de-DE" w:eastAsia="en-US"/>
              </w:rPr>
              <w:t>]</w:t>
            </w:r>
          </w:p>
        </w:tc>
        <w:tc>
          <w:tcPr>
            <w:tcW w:w="1417" w:type="dxa"/>
            <w:shd w:val="clear" w:color="auto" w:fill="FFFFCC"/>
          </w:tcPr>
          <w:p w14:paraId="3A7AAA5B" w14:textId="77777777" w:rsidR="00A53EE0" w:rsidRPr="00064185" w:rsidRDefault="00A53EE0" w:rsidP="00EA61D8">
            <w:pPr>
              <w:spacing w:line="260" w:lineRule="atLeast"/>
              <w:rPr>
                <w:rFonts w:eastAsia="Calibri"/>
                <w:b/>
                <w:lang w:eastAsia="en-US"/>
              </w:rPr>
            </w:pPr>
            <w:r w:rsidRPr="00064185">
              <w:rPr>
                <w:rFonts w:eastAsia="Calibri"/>
                <w:b/>
                <w:lang w:eastAsia="en-US"/>
              </w:rPr>
              <w:t>Estimated uptake</w:t>
            </w:r>
          </w:p>
          <w:p w14:paraId="0EE63768" w14:textId="77777777" w:rsidR="00A53EE0" w:rsidRPr="00064185" w:rsidRDefault="007010A4" w:rsidP="00EA61D8">
            <w:pPr>
              <w:spacing w:line="260" w:lineRule="atLeast"/>
              <w:rPr>
                <w:rFonts w:eastAsia="Calibri"/>
                <w:b/>
                <w:lang w:eastAsia="en-US"/>
              </w:rPr>
            </w:pPr>
            <w:r w:rsidRPr="00064185">
              <w:rPr>
                <w:rFonts w:eastAsia="Calibri"/>
                <w:b/>
                <w:lang w:eastAsia="en-US"/>
              </w:rPr>
              <w:t>[</w:t>
            </w:r>
            <w:r w:rsidR="00A53EE0" w:rsidRPr="00064185">
              <w:rPr>
                <w:rFonts w:eastAsia="Calibri"/>
                <w:b/>
                <w:lang w:eastAsia="en-US"/>
              </w:rPr>
              <w:t>mg/kg bw/d</w:t>
            </w:r>
            <w:r w:rsidRPr="00064185">
              <w:rPr>
                <w:rFonts w:eastAsia="Calibri"/>
                <w:b/>
                <w:lang w:eastAsia="en-US"/>
              </w:rPr>
              <w:t>]</w:t>
            </w:r>
          </w:p>
        </w:tc>
        <w:tc>
          <w:tcPr>
            <w:tcW w:w="1418" w:type="dxa"/>
            <w:shd w:val="clear" w:color="auto" w:fill="FFFFCC"/>
          </w:tcPr>
          <w:p w14:paraId="30E85C29" w14:textId="77777777" w:rsidR="00A53EE0" w:rsidRPr="00064185" w:rsidRDefault="00A53EE0" w:rsidP="00EA61D8">
            <w:pPr>
              <w:spacing w:line="260" w:lineRule="atLeast"/>
              <w:rPr>
                <w:rFonts w:eastAsia="Calibri"/>
                <w:b/>
                <w:lang w:eastAsia="en-US"/>
              </w:rPr>
            </w:pPr>
            <w:r w:rsidRPr="00064185">
              <w:rPr>
                <w:rFonts w:eastAsia="Calibri"/>
                <w:b/>
                <w:lang w:eastAsia="en-US"/>
              </w:rPr>
              <w:t xml:space="preserve">Estimated uptake/ AEL </w:t>
            </w:r>
          </w:p>
          <w:p w14:paraId="5D246064" w14:textId="77777777" w:rsidR="00A53EE0" w:rsidRPr="00064185" w:rsidRDefault="00A53EE0" w:rsidP="00EA61D8">
            <w:pPr>
              <w:spacing w:line="260" w:lineRule="atLeast"/>
              <w:rPr>
                <w:rFonts w:eastAsia="Calibri"/>
                <w:b/>
                <w:lang w:eastAsia="en-US"/>
              </w:rPr>
            </w:pPr>
            <w:r w:rsidRPr="00064185">
              <w:rPr>
                <w:rFonts w:eastAsia="Calibri"/>
                <w:b/>
                <w:lang w:eastAsia="en-US"/>
              </w:rPr>
              <w:t>(%)</w:t>
            </w:r>
          </w:p>
        </w:tc>
        <w:tc>
          <w:tcPr>
            <w:tcW w:w="1559" w:type="dxa"/>
            <w:shd w:val="clear" w:color="auto" w:fill="FFFFCC"/>
          </w:tcPr>
          <w:p w14:paraId="5792D1D1" w14:textId="77777777" w:rsidR="00A53EE0" w:rsidRPr="00064185" w:rsidRDefault="00A53EE0" w:rsidP="00EA61D8">
            <w:pPr>
              <w:spacing w:line="260" w:lineRule="atLeast"/>
              <w:rPr>
                <w:rFonts w:eastAsia="Calibri"/>
                <w:b/>
                <w:lang w:eastAsia="en-US"/>
              </w:rPr>
            </w:pPr>
            <w:r w:rsidRPr="00064185">
              <w:rPr>
                <w:rFonts w:eastAsia="Calibri"/>
                <w:b/>
                <w:lang w:eastAsia="en-US"/>
              </w:rPr>
              <w:t>Acceptable</w:t>
            </w:r>
          </w:p>
          <w:p w14:paraId="36881193" w14:textId="77777777" w:rsidR="00A53EE0" w:rsidRPr="00064185" w:rsidRDefault="00A53EE0" w:rsidP="00EA61D8">
            <w:pPr>
              <w:spacing w:line="260" w:lineRule="atLeast"/>
              <w:rPr>
                <w:rFonts w:eastAsia="Calibri"/>
                <w:b/>
                <w:lang w:eastAsia="en-US"/>
              </w:rPr>
            </w:pPr>
            <w:r w:rsidRPr="00064185">
              <w:rPr>
                <w:rFonts w:eastAsia="Calibri"/>
                <w:b/>
                <w:lang w:eastAsia="en-US"/>
              </w:rPr>
              <w:t>(yes/no)</w:t>
            </w:r>
          </w:p>
        </w:tc>
      </w:tr>
      <w:tr w:rsidR="00064185" w:rsidRPr="00064185" w14:paraId="72461ED0" w14:textId="77777777" w:rsidTr="007010A4">
        <w:tc>
          <w:tcPr>
            <w:tcW w:w="1560" w:type="dxa"/>
            <w:shd w:val="clear" w:color="auto" w:fill="auto"/>
          </w:tcPr>
          <w:p w14:paraId="14CCFD44" w14:textId="77777777" w:rsidR="00A53EE0" w:rsidRPr="00064185" w:rsidRDefault="00122D33" w:rsidP="00EA61D8">
            <w:pPr>
              <w:spacing w:line="260" w:lineRule="atLeast"/>
              <w:rPr>
                <w:rFonts w:eastAsia="Calibri"/>
                <w:lang w:eastAsia="en-US"/>
              </w:rPr>
            </w:pPr>
            <w:r w:rsidRPr="00064185">
              <w:rPr>
                <w:bCs/>
              </w:rPr>
              <w:t>Child playing on floor</w:t>
            </w:r>
            <w:r w:rsidR="007010A4" w:rsidRPr="00064185">
              <w:rPr>
                <w:bCs/>
              </w:rPr>
              <w:t xml:space="preserve"> / Scenario 2</w:t>
            </w:r>
          </w:p>
        </w:tc>
        <w:tc>
          <w:tcPr>
            <w:tcW w:w="850" w:type="dxa"/>
            <w:shd w:val="clear" w:color="auto" w:fill="auto"/>
            <w:vAlign w:val="center"/>
          </w:tcPr>
          <w:p w14:paraId="171CC3F7" w14:textId="77777777" w:rsidR="00A53EE0" w:rsidRPr="00064185" w:rsidRDefault="007F32A5" w:rsidP="00EA61D8">
            <w:pPr>
              <w:spacing w:line="260" w:lineRule="atLeast"/>
              <w:rPr>
                <w:rFonts w:eastAsia="Calibri"/>
                <w:lang w:eastAsia="en-US"/>
              </w:rPr>
            </w:pPr>
            <w:r w:rsidRPr="00064185">
              <w:rPr>
                <w:rFonts w:eastAsia="Calibri"/>
                <w:lang w:eastAsia="en-US"/>
              </w:rPr>
              <w:t>1</w:t>
            </w:r>
          </w:p>
        </w:tc>
        <w:tc>
          <w:tcPr>
            <w:tcW w:w="1560" w:type="dxa"/>
            <w:shd w:val="clear" w:color="auto" w:fill="auto"/>
            <w:vAlign w:val="center"/>
          </w:tcPr>
          <w:p w14:paraId="45969F4A" w14:textId="77777777" w:rsidR="00A53EE0" w:rsidRPr="00064185" w:rsidRDefault="00122D33" w:rsidP="00EA61D8">
            <w:pPr>
              <w:spacing w:line="260" w:lineRule="atLeast"/>
              <w:rPr>
                <w:rFonts w:eastAsia="Calibri"/>
                <w:lang w:eastAsia="en-US"/>
              </w:rPr>
            </w:pPr>
            <w:r w:rsidRPr="00064185">
              <w:rPr>
                <w:rFonts w:eastAsia="Calibri"/>
                <w:lang w:eastAsia="en-US"/>
              </w:rPr>
              <w:t>0.75</w:t>
            </w:r>
          </w:p>
        </w:tc>
        <w:tc>
          <w:tcPr>
            <w:tcW w:w="992" w:type="dxa"/>
            <w:shd w:val="clear" w:color="auto" w:fill="auto"/>
            <w:vAlign w:val="center"/>
          </w:tcPr>
          <w:p w14:paraId="3E69BB71" w14:textId="77777777" w:rsidR="00A53EE0" w:rsidRPr="00064185" w:rsidRDefault="00122D33" w:rsidP="00EA61D8">
            <w:pPr>
              <w:spacing w:line="260" w:lineRule="atLeast"/>
              <w:rPr>
                <w:rFonts w:eastAsia="Calibri"/>
                <w:lang w:eastAsia="en-US"/>
              </w:rPr>
            </w:pPr>
            <w:r w:rsidRPr="00064185">
              <w:rPr>
                <w:rFonts w:eastAsia="Calibri"/>
                <w:lang w:eastAsia="en-US"/>
              </w:rPr>
              <w:t>0.0038</w:t>
            </w:r>
          </w:p>
        </w:tc>
        <w:tc>
          <w:tcPr>
            <w:tcW w:w="1417" w:type="dxa"/>
            <w:shd w:val="clear" w:color="auto" w:fill="auto"/>
            <w:vAlign w:val="center"/>
          </w:tcPr>
          <w:p w14:paraId="7948A48E" w14:textId="62CA8B30" w:rsidR="00A53EE0" w:rsidRPr="00064185" w:rsidRDefault="003877B6" w:rsidP="00EA61D8">
            <w:pPr>
              <w:spacing w:line="260" w:lineRule="atLeast"/>
              <w:rPr>
                <w:rFonts w:eastAsia="Calibri"/>
                <w:lang w:eastAsia="en-US"/>
              </w:rPr>
            </w:pPr>
            <w:r w:rsidRPr="00064185">
              <w:rPr>
                <w:rFonts w:eastAsia="Calibri"/>
                <w:lang w:eastAsia="en-US"/>
              </w:rPr>
              <w:t>0.00067</w:t>
            </w:r>
          </w:p>
        </w:tc>
        <w:tc>
          <w:tcPr>
            <w:tcW w:w="1418" w:type="dxa"/>
            <w:shd w:val="clear" w:color="auto" w:fill="auto"/>
            <w:vAlign w:val="center"/>
          </w:tcPr>
          <w:p w14:paraId="72DDD8DD" w14:textId="32189C50" w:rsidR="00A53EE0" w:rsidRPr="00064185" w:rsidRDefault="003877B6" w:rsidP="00EA61D8">
            <w:pPr>
              <w:spacing w:line="260" w:lineRule="atLeast"/>
              <w:rPr>
                <w:rFonts w:eastAsia="Calibri"/>
                <w:lang w:eastAsia="en-US"/>
              </w:rPr>
            </w:pPr>
            <w:r w:rsidRPr="00064185">
              <w:rPr>
                <w:rFonts w:eastAsia="Calibri"/>
                <w:lang w:eastAsia="en-US"/>
              </w:rPr>
              <w:t>17.6</w:t>
            </w:r>
          </w:p>
        </w:tc>
        <w:tc>
          <w:tcPr>
            <w:tcW w:w="1559" w:type="dxa"/>
            <w:shd w:val="clear" w:color="auto" w:fill="auto"/>
            <w:vAlign w:val="center"/>
          </w:tcPr>
          <w:p w14:paraId="43D58B19" w14:textId="77777777" w:rsidR="00A53EE0" w:rsidRPr="00064185" w:rsidRDefault="00122D33" w:rsidP="00EA61D8">
            <w:pPr>
              <w:spacing w:line="260" w:lineRule="atLeast"/>
              <w:rPr>
                <w:rFonts w:eastAsia="Calibri"/>
                <w:lang w:eastAsia="en-US"/>
              </w:rPr>
            </w:pPr>
            <w:r w:rsidRPr="00064185">
              <w:rPr>
                <w:rFonts w:eastAsia="Calibri"/>
                <w:lang w:eastAsia="en-US"/>
              </w:rPr>
              <w:t>yes</w:t>
            </w:r>
          </w:p>
        </w:tc>
      </w:tr>
    </w:tbl>
    <w:p w14:paraId="0718FE83" w14:textId="77777777" w:rsidR="00A53EE0" w:rsidRPr="00064185" w:rsidRDefault="00A53EE0" w:rsidP="00EA61D8">
      <w:pPr>
        <w:spacing w:line="260" w:lineRule="atLeast"/>
        <w:rPr>
          <w:rFonts w:eastAsia="Calibri"/>
          <w:lang w:eastAsia="en-US"/>
        </w:rPr>
      </w:pPr>
    </w:p>
    <w:p w14:paraId="3CEFBD9D" w14:textId="5F2EC082" w:rsidR="00326CF9" w:rsidRPr="00064185" w:rsidRDefault="00326CF9" w:rsidP="00403806">
      <w:pPr>
        <w:spacing w:before="120"/>
        <w:jc w:val="both"/>
        <w:rPr>
          <w:rFonts w:eastAsia="Calibri"/>
          <w:bCs/>
          <w:lang w:eastAsia="en-US"/>
        </w:rPr>
      </w:pPr>
      <w:r w:rsidRPr="00064185">
        <w:rPr>
          <w:rFonts w:eastAsia="Calibri"/>
          <w:bCs/>
          <w:lang w:eastAsia="en-US"/>
        </w:rPr>
        <w:lastRenderedPageBreak/>
        <w:t xml:space="preserve">However considering a reverse scenario, the risk that infants ingest inacceptable amounts appears obvious: The content of the active substance in the product is 0.05%. </w:t>
      </w:r>
      <w:r w:rsidRPr="00064185">
        <w:rPr>
          <w:rFonts w:eastAsia="Calibri"/>
          <w:lang w:val="en-US" w:eastAsia="en-US"/>
        </w:rPr>
        <w:t>Application rate is 44.5 b.p</w:t>
      </w:r>
      <w:proofErr w:type="gramStart"/>
      <w:r w:rsidRPr="00064185">
        <w:rPr>
          <w:rFonts w:eastAsia="Calibri"/>
          <w:lang w:val="en-US" w:eastAsia="en-US"/>
        </w:rPr>
        <w:t>./</w:t>
      </w:r>
      <w:proofErr w:type="gramEnd"/>
      <w:r w:rsidRPr="00064185">
        <w:rPr>
          <w:rFonts w:eastAsia="Calibri"/>
          <w:lang w:val="en-US" w:eastAsia="en-US"/>
        </w:rPr>
        <w:t>m</w:t>
      </w:r>
      <w:r w:rsidRPr="00064185">
        <w:rPr>
          <w:rFonts w:eastAsia="Calibri"/>
          <w:vertAlign w:val="superscript"/>
          <w:lang w:val="en-US" w:eastAsia="en-US"/>
        </w:rPr>
        <w:t>2</w:t>
      </w:r>
      <w:r w:rsidRPr="00064185">
        <w:rPr>
          <w:rFonts w:eastAsia="Calibri"/>
          <w:lang w:val="en-US" w:eastAsia="en-US"/>
        </w:rPr>
        <w:t>, resulting in 22.25 mg a.s./m</w:t>
      </w:r>
      <w:r w:rsidRPr="00064185">
        <w:rPr>
          <w:rFonts w:eastAsia="Calibri"/>
          <w:vertAlign w:val="superscript"/>
          <w:lang w:val="en-US" w:eastAsia="en-US"/>
        </w:rPr>
        <w:t>2</w:t>
      </w:r>
      <w:r w:rsidRPr="00064185">
        <w:rPr>
          <w:rFonts w:eastAsia="Calibri"/>
          <w:bCs/>
          <w:lang w:eastAsia="en-US"/>
        </w:rPr>
        <w:t>. Assuming an AEL of 0.0075 mg/kg bw day (not corrected for oral absorption, since the study and the exposure would be oral) an infant weighing 10 kg should not take up more than what is applied to 0.0033 m</w:t>
      </w:r>
      <w:r w:rsidRPr="00064185">
        <w:rPr>
          <w:rFonts w:eastAsia="Calibri"/>
          <w:bCs/>
          <w:vertAlign w:val="superscript"/>
          <w:lang w:eastAsia="en-US"/>
        </w:rPr>
        <w:t>2</w:t>
      </w:r>
      <w:r w:rsidRPr="00064185">
        <w:rPr>
          <w:rFonts w:eastAsia="Calibri"/>
          <w:bCs/>
          <w:lang w:eastAsia="en-US"/>
        </w:rPr>
        <w:t xml:space="preserve"> or 33 cm</w:t>
      </w:r>
      <w:r w:rsidRPr="00064185">
        <w:rPr>
          <w:rFonts w:eastAsia="Calibri"/>
          <w:bCs/>
          <w:vertAlign w:val="superscript"/>
          <w:lang w:eastAsia="en-US"/>
        </w:rPr>
        <w:t>2</w:t>
      </w:r>
      <w:r w:rsidRPr="00064185">
        <w:rPr>
          <w:rFonts w:eastAsia="Calibri"/>
          <w:bCs/>
          <w:lang w:eastAsia="en-US"/>
        </w:rPr>
        <w:t xml:space="preserve"> </w:t>
      </w:r>
      <w:r w:rsidRPr="00064185">
        <w:rPr>
          <w:rFonts w:eastAsia="Calibri"/>
          <w:lang w:val="en-US" w:eastAsia="en-US"/>
        </w:rPr>
        <w:t>(10 [kg bw] * 0.0075 [mg/kg bw day] /22.25 [mg a.s./m</w:t>
      </w:r>
      <w:r w:rsidRPr="00064185">
        <w:rPr>
          <w:rFonts w:eastAsia="Calibri"/>
          <w:vertAlign w:val="superscript"/>
          <w:lang w:val="en-US" w:eastAsia="en-US"/>
        </w:rPr>
        <w:t>2</w:t>
      </w:r>
      <w:r w:rsidRPr="00064185">
        <w:rPr>
          <w:rFonts w:eastAsia="Calibri"/>
          <w:lang w:val="en-US" w:eastAsia="en-US"/>
        </w:rPr>
        <w:t>])</w:t>
      </w:r>
      <w:r w:rsidRPr="00064185">
        <w:rPr>
          <w:rFonts w:eastAsia="Calibri"/>
          <w:bCs/>
          <w:lang w:eastAsia="en-US"/>
        </w:rPr>
        <w:t>This corresponds to 0.33% of one application to one square-meter</w:t>
      </w:r>
      <w:r w:rsidR="0020580C" w:rsidRPr="00064185">
        <w:rPr>
          <w:rFonts w:eastAsia="Calibri"/>
          <w:bCs/>
          <w:lang w:eastAsia="en-US"/>
        </w:rPr>
        <w:t>.</w:t>
      </w:r>
    </w:p>
    <w:p w14:paraId="5449F75E" w14:textId="77777777" w:rsidR="00326CF9" w:rsidRPr="00064185" w:rsidRDefault="00326CF9" w:rsidP="00403806">
      <w:pPr>
        <w:spacing w:before="120"/>
        <w:jc w:val="both"/>
        <w:rPr>
          <w:rFonts w:eastAsia="Calibri"/>
          <w:bCs/>
          <w:lang w:eastAsia="en-US"/>
        </w:rPr>
      </w:pPr>
      <w:r w:rsidRPr="00064185">
        <w:rPr>
          <w:rFonts w:eastAsia="Calibri"/>
          <w:bCs/>
          <w:lang w:eastAsia="en-US"/>
        </w:rPr>
        <w:t>Nevertheless, the product should be labelled with: “</w:t>
      </w:r>
      <w:r w:rsidRPr="00064185">
        <w:rPr>
          <w:i/>
        </w:rPr>
        <w:t>Due to the risk of poisoning the product m</w:t>
      </w:r>
      <w:r w:rsidRPr="00064185">
        <w:rPr>
          <w:rFonts w:eastAsia="Calibri"/>
          <w:bCs/>
          <w:i/>
          <w:lang w:eastAsia="en-US"/>
        </w:rPr>
        <w:t>ay only be applied, where access of pets, livestock and children can be excluded</w:t>
      </w:r>
      <w:r w:rsidRPr="00064185">
        <w:rPr>
          <w:rFonts w:eastAsia="Calibri"/>
          <w:bCs/>
          <w:lang w:eastAsia="en-US"/>
        </w:rPr>
        <w:t>”. This is considered to represent an adequate risk mitigation measure.</w:t>
      </w:r>
    </w:p>
    <w:p w14:paraId="30BAADEB" w14:textId="77777777" w:rsidR="00244D7F" w:rsidRPr="00064185" w:rsidRDefault="00244D7F" w:rsidP="00403806">
      <w:pPr>
        <w:spacing w:before="120"/>
        <w:jc w:val="both"/>
        <w:rPr>
          <w:rFonts w:eastAsia="Calibri"/>
          <w:bCs/>
          <w:lang w:eastAsia="en-US"/>
        </w:rPr>
      </w:pPr>
    </w:p>
    <w:p w14:paraId="5B921649" w14:textId="77777777" w:rsidR="00A53EE0" w:rsidRPr="00064185" w:rsidRDefault="00A53EE0" w:rsidP="00403806">
      <w:pPr>
        <w:spacing w:line="260" w:lineRule="atLeast"/>
        <w:jc w:val="both"/>
        <w:rPr>
          <w:rFonts w:eastAsia="Calibri"/>
          <w:b/>
          <w:bCs/>
          <w:lang w:eastAsia="en-US"/>
        </w:rPr>
      </w:pPr>
      <w:r w:rsidRPr="00064185">
        <w:rPr>
          <w:rFonts w:eastAsia="Calibri"/>
          <w:b/>
          <w:bCs/>
          <w:lang w:eastAsia="en-US"/>
        </w:rPr>
        <w:t xml:space="preserve">Local effects </w:t>
      </w:r>
    </w:p>
    <w:p w14:paraId="0E6DDB3E" w14:textId="77777777" w:rsidR="00A53EE0" w:rsidRPr="00064185" w:rsidRDefault="00B02DFA" w:rsidP="00403806">
      <w:pPr>
        <w:spacing w:line="260" w:lineRule="atLeast"/>
        <w:jc w:val="both"/>
        <w:rPr>
          <w:rFonts w:eastAsia="Calibri"/>
          <w:lang w:eastAsia="en-US"/>
        </w:rPr>
      </w:pPr>
      <w:r w:rsidRPr="00064185">
        <w:rPr>
          <w:rFonts w:eastAsia="Calibri"/>
          <w:lang w:eastAsia="en-US"/>
        </w:rPr>
        <w:t xml:space="preserve">The </w:t>
      </w:r>
      <w:proofErr w:type="gramStart"/>
      <w:r w:rsidRPr="00064185">
        <w:rPr>
          <w:rFonts w:eastAsia="Calibri"/>
          <w:lang w:eastAsia="en-US"/>
        </w:rPr>
        <w:t>b.p</w:t>
      </w:r>
      <w:proofErr w:type="gramEnd"/>
      <w:r w:rsidRPr="00064185">
        <w:rPr>
          <w:rFonts w:eastAsia="Calibri"/>
          <w:lang w:eastAsia="en-US"/>
        </w:rPr>
        <w:t>. is not classified for local effects. Therefore, risk characterisation for local effects is not required.</w:t>
      </w:r>
    </w:p>
    <w:p w14:paraId="2780A281" w14:textId="77777777" w:rsidR="00A53EE0" w:rsidRPr="00064185" w:rsidRDefault="00A53EE0" w:rsidP="00403806">
      <w:pPr>
        <w:spacing w:line="260" w:lineRule="atLeast"/>
        <w:jc w:val="both"/>
        <w:rPr>
          <w:rFonts w:eastAsia="Calibri"/>
          <w:lang w:eastAsia="en-US"/>
        </w:rPr>
      </w:pPr>
    </w:p>
    <w:p w14:paraId="0CE7058F" w14:textId="77777777" w:rsidR="00A53EE0" w:rsidRPr="00064185" w:rsidRDefault="00A53EE0" w:rsidP="00403806">
      <w:pPr>
        <w:spacing w:line="260" w:lineRule="atLeast"/>
        <w:jc w:val="both"/>
        <w:rPr>
          <w:rFonts w:eastAsia="Calibri"/>
          <w:b/>
          <w:bCs/>
          <w:lang w:eastAsia="en-US"/>
        </w:rPr>
      </w:pPr>
      <w:r w:rsidRPr="00064185">
        <w:rPr>
          <w:rFonts w:eastAsia="Calibri"/>
          <w:b/>
          <w:bCs/>
          <w:lang w:eastAsia="en-US"/>
        </w:rPr>
        <w:t>Conclusion</w:t>
      </w:r>
    </w:p>
    <w:p w14:paraId="7365E6CB" w14:textId="5F5B41CC" w:rsidR="00AC1B67" w:rsidRPr="00064185" w:rsidRDefault="004E7125" w:rsidP="00403806">
      <w:pPr>
        <w:jc w:val="both"/>
        <w:rPr>
          <w:rFonts w:eastAsia="Calibri"/>
          <w:lang w:eastAsia="en-US"/>
        </w:rPr>
      </w:pPr>
      <w:r w:rsidRPr="00064185">
        <w:rPr>
          <w:rFonts w:eastAsia="Calibri"/>
          <w:lang w:eastAsia="en-US"/>
        </w:rPr>
        <w:t>The reverse scenario indicates an inacceptable risk for infants. The proposed labelling is considered to represent an adequate risk mitigation measure.</w:t>
      </w:r>
    </w:p>
    <w:p w14:paraId="2753DE9A" w14:textId="77777777" w:rsidR="00A53EE0" w:rsidRPr="00064185" w:rsidRDefault="00A53EE0" w:rsidP="00403806">
      <w:pPr>
        <w:spacing w:line="260" w:lineRule="atLeast"/>
        <w:jc w:val="both"/>
        <w:rPr>
          <w:rFonts w:eastAsia="Calibri"/>
          <w:lang w:eastAsia="en-US"/>
        </w:rPr>
      </w:pPr>
    </w:p>
    <w:p w14:paraId="5B79ACFF" w14:textId="77777777" w:rsidR="007134C2" w:rsidRPr="00064185" w:rsidRDefault="007134C2" w:rsidP="00403806">
      <w:pPr>
        <w:jc w:val="both"/>
        <w:rPr>
          <w:rFonts w:eastAsia="Calibri"/>
          <w:b/>
          <w:i/>
          <w:sz w:val="22"/>
          <w:szCs w:val="22"/>
          <w:lang w:eastAsia="en-US"/>
        </w:rPr>
      </w:pPr>
      <w:bookmarkStart w:id="1723" w:name="_Toc389729093"/>
      <w:bookmarkStart w:id="1724" w:name="_Toc403472779"/>
    </w:p>
    <w:p w14:paraId="578F804D" w14:textId="77777777" w:rsidR="00A53EE0" w:rsidRPr="00064185" w:rsidRDefault="00A53EE0" w:rsidP="00403806">
      <w:pPr>
        <w:jc w:val="both"/>
        <w:rPr>
          <w:rFonts w:eastAsia="Calibri"/>
          <w:b/>
          <w:i/>
          <w:sz w:val="22"/>
          <w:szCs w:val="22"/>
          <w:lang w:eastAsia="en-US"/>
        </w:rPr>
      </w:pPr>
      <w:r w:rsidRPr="00064185">
        <w:rPr>
          <w:rFonts w:eastAsia="Calibri"/>
          <w:b/>
          <w:i/>
          <w:sz w:val="22"/>
          <w:szCs w:val="22"/>
          <w:lang w:eastAsia="en-US"/>
        </w:rPr>
        <w:t>Risk for consumers via residues in food</w:t>
      </w:r>
      <w:bookmarkEnd w:id="1723"/>
      <w:bookmarkEnd w:id="1724"/>
    </w:p>
    <w:p w14:paraId="5217DDD6" w14:textId="3585EF1F" w:rsidR="007134C2" w:rsidRPr="00064185" w:rsidRDefault="000A1DE3" w:rsidP="00403806">
      <w:pPr>
        <w:spacing w:line="260" w:lineRule="atLeast"/>
        <w:jc w:val="both"/>
        <w:rPr>
          <w:rFonts w:eastAsia="Calibri"/>
          <w:lang w:eastAsia="en-US"/>
        </w:rPr>
      </w:pPr>
      <w:r w:rsidRPr="00064185">
        <w:rPr>
          <w:rFonts w:eastAsia="Calibri"/>
          <w:lang w:eastAsia="en-US"/>
        </w:rPr>
        <w:t>The product will be labelled with the following risk mitigation measure: “May only be applied, where contamination of food, feed, drinks and edible plants as well as growing areas for edible plants can be excluded.” Therefore no unacceptable risk to consumer health via residues in food needs to be expected.</w:t>
      </w:r>
    </w:p>
    <w:p w14:paraId="5ED579D6" w14:textId="77777777" w:rsidR="007134C2" w:rsidRPr="00064185" w:rsidRDefault="007134C2" w:rsidP="00403806">
      <w:pPr>
        <w:spacing w:line="260" w:lineRule="atLeast"/>
        <w:jc w:val="both"/>
        <w:rPr>
          <w:rFonts w:eastAsia="Calibri"/>
          <w:lang w:eastAsia="en-US"/>
        </w:rPr>
      </w:pPr>
    </w:p>
    <w:p w14:paraId="370C9FD6" w14:textId="77777777" w:rsidR="00E14305" w:rsidRPr="00064185" w:rsidRDefault="00E14305" w:rsidP="00403806">
      <w:pPr>
        <w:spacing w:line="260" w:lineRule="atLeast"/>
        <w:jc w:val="both"/>
        <w:rPr>
          <w:rFonts w:eastAsia="Calibri"/>
          <w:lang w:eastAsia="en-US"/>
        </w:rPr>
      </w:pPr>
    </w:p>
    <w:p w14:paraId="461E6F1E" w14:textId="77777777" w:rsidR="00A53EE0" w:rsidRPr="00064185" w:rsidRDefault="00A53EE0" w:rsidP="00403806">
      <w:pPr>
        <w:jc w:val="both"/>
        <w:rPr>
          <w:rFonts w:eastAsia="Calibri"/>
          <w:b/>
          <w:i/>
          <w:sz w:val="22"/>
          <w:szCs w:val="22"/>
          <w:lang w:eastAsia="en-US"/>
        </w:rPr>
      </w:pPr>
      <w:bookmarkStart w:id="1725" w:name="_Toc389729094"/>
      <w:bookmarkStart w:id="1726" w:name="_Toc403472780"/>
      <w:r w:rsidRPr="00064185">
        <w:rPr>
          <w:rFonts w:eastAsia="Calibri"/>
          <w:b/>
          <w:i/>
          <w:sz w:val="22"/>
          <w:szCs w:val="22"/>
          <w:lang w:eastAsia="en-US"/>
        </w:rPr>
        <w:t>Risk characterisation from combined exposure to several active substances or substances of concern within a biocidal product</w:t>
      </w:r>
      <w:bookmarkEnd w:id="1725"/>
      <w:bookmarkEnd w:id="1726"/>
      <w:r w:rsidRPr="00064185">
        <w:rPr>
          <w:rFonts w:eastAsia="Calibri"/>
          <w:b/>
          <w:i/>
          <w:sz w:val="22"/>
          <w:szCs w:val="22"/>
          <w:lang w:eastAsia="en-US"/>
        </w:rPr>
        <w:t xml:space="preserve"> </w:t>
      </w:r>
    </w:p>
    <w:p w14:paraId="1899B1CF" w14:textId="77777777" w:rsidR="007C195C" w:rsidRPr="00064185" w:rsidRDefault="007C195C" w:rsidP="00403806">
      <w:pPr>
        <w:spacing w:line="260" w:lineRule="atLeast"/>
        <w:jc w:val="both"/>
        <w:rPr>
          <w:rFonts w:ascii="Times New Roman" w:eastAsia="Calibri" w:hAnsi="Times New Roman"/>
          <w:i/>
          <w:iCs/>
          <w:lang w:eastAsia="en-US"/>
        </w:rPr>
      </w:pPr>
      <w:r w:rsidRPr="00064185">
        <w:t xml:space="preserve">The </w:t>
      </w:r>
      <w:proofErr w:type="gramStart"/>
      <w:r w:rsidRPr="00064185">
        <w:t>b.p</w:t>
      </w:r>
      <w:proofErr w:type="gramEnd"/>
      <w:r w:rsidRPr="00064185">
        <w:t>. mainly consists of water (&gt;99%). No substances of concern were identified. Therefore exposure to several active substances or substances of concern within a product is not relevant.</w:t>
      </w:r>
      <w:r w:rsidR="00586A08" w:rsidRPr="00064185">
        <w:t xml:space="preserve"> </w:t>
      </w:r>
    </w:p>
    <w:p w14:paraId="5B4718DB" w14:textId="77777777" w:rsidR="00A53EE0" w:rsidRPr="00064185" w:rsidRDefault="00A53EE0" w:rsidP="00403806">
      <w:pPr>
        <w:spacing w:line="260" w:lineRule="atLeast"/>
        <w:jc w:val="both"/>
        <w:rPr>
          <w:rFonts w:ascii="Times New Roman" w:eastAsia="Calibri" w:hAnsi="Times New Roman"/>
          <w:i/>
          <w:iCs/>
          <w:lang w:eastAsia="en-US"/>
        </w:rPr>
      </w:pPr>
    </w:p>
    <w:p w14:paraId="51916E69" w14:textId="77777777" w:rsidR="00094255" w:rsidRPr="00064185" w:rsidRDefault="00094255" w:rsidP="00403806">
      <w:pPr>
        <w:spacing w:line="260" w:lineRule="atLeast"/>
        <w:jc w:val="both"/>
        <w:rPr>
          <w:rFonts w:ascii="Times New Roman" w:eastAsia="Calibri" w:hAnsi="Times New Roman"/>
          <w:i/>
          <w:iCs/>
          <w:lang w:eastAsia="en-US"/>
        </w:rPr>
      </w:pPr>
    </w:p>
    <w:p w14:paraId="18387897" w14:textId="77777777" w:rsidR="00326CF9" w:rsidRPr="00064185" w:rsidRDefault="00326CF9" w:rsidP="00403806">
      <w:pPr>
        <w:pStyle w:val="berschrift3"/>
        <w:jc w:val="both"/>
        <w:rPr>
          <w:rFonts w:eastAsia="Calibri"/>
          <w:lang w:eastAsia="en-US"/>
        </w:rPr>
      </w:pPr>
      <w:bookmarkStart w:id="1727" w:name="_Toc388285322"/>
      <w:bookmarkStart w:id="1728" w:name="_Toc389726249"/>
      <w:bookmarkStart w:id="1729" w:name="_Toc389727301"/>
      <w:bookmarkStart w:id="1730" w:name="_Toc389727659"/>
      <w:bookmarkStart w:id="1731" w:name="_Toc389728018"/>
      <w:bookmarkStart w:id="1732" w:name="_Toc389728377"/>
      <w:bookmarkStart w:id="1733" w:name="_Toc389728737"/>
      <w:bookmarkStart w:id="1734" w:name="_Toc389729095"/>
      <w:bookmarkStart w:id="1735" w:name="_Toc389729096"/>
      <w:bookmarkStart w:id="1736" w:name="_Toc403472781"/>
      <w:bookmarkStart w:id="1737" w:name="_Toc440879665"/>
      <w:bookmarkStart w:id="1738" w:name="_Toc440889978"/>
      <w:bookmarkStart w:id="1739" w:name="_Toc530563683"/>
      <w:bookmarkEnd w:id="1727"/>
      <w:bookmarkEnd w:id="1728"/>
      <w:bookmarkEnd w:id="1729"/>
      <w:bookmarkEnd w:id="1730"/>
      <w:bookmarkEnd w:id="1731"/>
      <w:bookmarkEnd w:id="1732"/>
      <w:bookmarkEnd w:id="1733"/>
      <w:bookmarkEnd w:id="1734"/>
      <w:r w:rsidRPr="00064185">
        <w:rPr>
          <w:rFonts w:eastAsia="Calibri"/>
          <w:lang w:eastAsia="en-US"/>
        </w:rPr>
        <w:t>Risk assessment for animal health</w:t>
      </w:r>
      <w:bookmarkEnd w:id="1735"/>
      <w:bookmarkEnd w:id="1736"/>
      <w:bookmarkEnd w:id="1737"/>
      <w:bookmarkEnd w:id="1738"/>
      <w:bookmarkEnd w:id="1739"/>
    </w:p>
    <w:p w14:paraId="49770069" w14:textId="0420C81B" w:rsidR="00326CF9" w:rsidRPr="00064185" w:rsidRDefault="00326CF9" w:rsidP="00403806">
      <w:pPr>
        <w:jc w:val="both"/>
        <w:rPr>
          <w:rFonts w:eastAsia="Calibri"/>
          <w:lang w:val="en-US" w:eastAsia="en-US"/>
        </w:rPr>
      </w:pPr>
      <w:r w:rsidRPr="00064185">
        <w:rPr>
          <w:rFonts w:eastAsia="Calibri"/>
          <w:lang w:val="en-US" w:eastAsia="en-US"/>
        </w:rPr>
        <w:t>The content of the active substance in the product is 0.05%. Application rate is 44.5 b.p</w:t>
      </w:r>
      <w:proofErr w:type="gramStart"/>
      <w:r w:rsidRPr="00064185">
        <w:rPr>
          <w:rFonts w:eastAsia="Calibri"/>
          <w:lang w:val="en-US" w:eastAsia="en-US"/>
        </w:rPr>
        <w:t>./</w:t>
      </w:r>
      <w:proofErr w:type="gramEnd"/>
      <w:r w:rsidRPr="00064185">
        <w:rPr>
          <w:rFonts w:eastAsia="Calibri"/>
          <w:lang w:val="en-US" w:eastAsia="en-US"/>
        </w:rPr>
        <w:t>m</w:t>
      </w:r>
      <w:r w:rsidRPr="00064185">
        <w:rPr>
          <w:rFonts w:eastAsia="Calibri"/>
          <w:vertAlign w:val="superscript"/>
          <w:lang w:val="en-US" w:eastAsia="en-US"/>
        </w:rPr>
        <w:t>2</w:t>
      </w:r>
      <w:r w:rsidRPr="00064185">
        <w:rPr>
          <w:rFonts w:eastAsia="Calibri"/>
          <w:lang w:val="en-US" w:eastAsia="en-US"/>
        </w:rPr>
        <w:t>, resulting in 22.25 mg a.s./m</w:t>
      </w:r>
      <w:r w:rsidRPr="00064185">
        <w:rPr>
          <w:rFonts w:eastAsia="Calibri"/>
          <w:vertAlign w:val="superscript"/>
          <w:lang w:val="en-US" w:eastAsia="en-US"/>
        </w:rPr>
        <w:t>2</w:t>
      </w:r>
      <w:r w:rsidR="004127BC" w:rsidRPr="00064185">
        <w:rPr>
          <w:rFonts w:eastAsia="Calibri"/>
          <w:lang w:val="en-US" w:eastAsia="en-US"/>
        </w:rPr>
        <w:t>.</w:t>
      </w:r>
    </w:p>
    <w:p w14:paraId="7557A7E3" w14:textId="5DFE0191" w:rsidR="00326CF9" w:rsidRPr="00064185" w:rsidRDefault="00326CF9" w:rsidP="00403806">
      <w:pPr>
        <w:jc w:val="both"/>
        <w:rPr>
          <w:rFonts w:eastAsia="Calibri"/>
          <w:lang w:eastAsia="en-US"/>
        </w:rPr>
      </w:pPr>
      <w:r w:rsidRPr="00064185">
        <w:rPr>
          <w:rFonts w:eastAsia="Calibri"/>
          <w:lang w:val="en-US" w:eastAsia="en-US"/>
        </w:rPr>
        <w:t>Assuming a dog specific AEL of 0.075 mg/kg bw day (only factor 10 for intra-species uncertainty to NOAEL of 0.75 mg/kg bw day) a dog weighing 12.7 kg should not lick more than 0.043</w:t>
      </w:r>
      <w:r w:rsidR="00BF223B">
        <w:rPr>
          <w:rFonts w:eastAsia="Calibri"/>
          <w:lang w:val="en-US" w:eastAsia="en-US"/>
        </w:rPr>
        <w:t xml:space="preserve"> </w:t>
      </w:r>
      <w:r w:rsidRPr="00064185">
        <w:rPr>
          <w:rFonts w:eastAsia="Calibri"/>
          <w:lang w:val="en-US" w:eastAsia="en-US"/>
        </w:rPr>
        <w:t>m</w:t>
      </w:r>
      <w:r w:rsidRPr="00064185">
        <w:rPr>
          <w:rFonts w:eastAsia="Calibri"/>
          <w:vertAlign w:val="superscript"/>
          <w:lang w:val="en-US" w:eastAsia="en-US"/>
        </w:rPr>
        <w:t>2</w:t>
      </w:r>
      <w:r w:rsidRPr="00064185">
        <w:rPr>
          <w:rFonts w:eastAsia="Calibri"/>
          <w:lang w:val="en-US" w:eastAsia="en-US"/>
        </w:rPr>
        <w:t xml:space="preserve"> = 430 cm</w:t>
      </w:r>
      <w:r w:rsidRPr="00064185">
        <w:rPr>
          <w:rFonts w:eastAsia="Calibri"/>
          <w:vertAlign w:val="superscript"/>
          <w:lang w:val="en-US" w:eastAsia="en-US"/>
        </w:rPr>
        <w:t>2</w:t>
      </w:r>
      <w:r w:rsidRPr="00064185">
        <w:rPr>
          <w:rFonts w:eastAsia="Calibri"/>
          <w:lang w:val="en-US" w:eastAsia="en-US"/>
        </w:rPr>
        <w:t xml:space="preserve"> treated floor (12.7 [kg bw] * 0.075 [mg/kg bw day] /22.25 [mg a.s</w:t>
      </w:r>
      <w:proofErr w:type="gramStart"/>
      <w:r w:rsidRPr="00064185">
        <w:rPr>
          <w:rFonts w:eastAsia="Calibri"/>
          <w:lang w:val="en-US" w:eastAsia="en-US"/>
        </w:rPr>
        <w:t>./</w:t>
      </w:r>
      <w:proofErr w:type="gramEnd"/>
      <w:r w:rsidRPr="00064185">
        <w:rPr>
          <w:rFonts w:eastAsia="Calibri"/>
          <w:lang w:val="en-US" w:eastAsia="en-US"/>
        </w:rPr>
        <w:t>m</w:t>
      </w:r>
      <w:r w:rsidRPr="00064185">
        <w:rPr>
          <w:rFonts w:eastAsia="Calibri"/>
          <w:vertAlign w:val="superscript"/>
          <w:lang w:val="en-US" w:eastAsia="en-US"/>
        </w:rPr>
        <w:t>2</w:t>
      </w:r>
      <w:r w:rsidRPr="00064185">
        <w:rPr>
          <w:rFonts w:eastAsia="Calibri"/>
          <w:lang w:val="en-US" w:eastAsia="en-US"/>
        </w:rPr>
        <w:t>]). This corresponds to 4.3% of one application to 1 square-meter.</w:t>
      </w:r>
      <w:r w:rsidRPr="00064185">
        <w:rPr>
          <w:rFonts w:eastAsia="Calibri"/>
          <w:lang w:eastAsia="en-US"/>
        </w:rPr>
        <w:t xml:space="preserve"> </w:t>
      </w:r>
    </w:p>
    <w:p w14:paraId="3ED0B74F" w14:textId="0DA813E7" w:rsidR="00326CF9" w:rsidRPr="00064185" w:rsidRDefault="00326CF9" w:rsidP="00403806">
      <w:pPr>
        <w:jc w:val="both"/>
        <w:rPr>
          <w:rFonts w:eastAsia="Calibri"/>
          <w:lang w:val="en-US" w:eastAsia="en-US"/>
        </w:rPr>
      </w:pPr>
      <w:r w:rsidRPr="00064185">
        <w:rPr>
          <w:rFonts w:eastAsia="Calibri"/>
          <w:lang w:val="en-US" w:eastAsia="en-US"/>
        </w:rPr>
        <w:t>For cats at least an (inter- and intraspecies) uncertainty factor of 100 would be relevant (considering also the known sensitivity of cats to pyrethroids). This means that a cat with a body weight of 3 kg should not lick more than 0.001 m</w:t>
      </w:r>
      <w:r w:rsidRPr="00064185">
        <w:rPr>
          <w:rFonts w:eastAsia="Calibri"/>
          <w:vertAlign w:val="superscript"/>
          <w:lang w:val="en-US" w:eastAsia="en-US"/>
        </w:rPr>
        <w:t>2</w:t>
      </w:r>
      <w:r w:rsidRPr="00064185">
        <w:rPr>
          <w:rFonts w:eastAsia="Calibri"/>
          <w:lang w:val="en-US" w:eastAsia="en-US"/>
        </w:rPr>
        <w:t xml:space="preserve"> or 10 cm</w:t>
      </w:r>
      <w:r w:rsidRPr="00064185">
        <w:rPr>
          <w:rFonts w:eastAsia="Calibri"/>
          <w:vertAlign w:val="superscript"/>
          <w:lang w:val="en-US" w:eastAsia="en-US"/>
        </w:rPr>
        <w:t>2</w:t>
      </w:r>
      <w:r w:rsidRPr="00064185">
        <w:rPr>
          <w:rFonts w:eastAsia="Calibri"/>
          <w:lang w:val="en-US" w:eastAsia="en-US"/>
        </w:rPr>
        <w:t>. (3 [kg bw] * 0.0075 [mg/kg bw day] /22.25 [mg a.s</w:t>
      </w:r>
      <w:proofErr w:type="gramStart"/>
      <w:r w:rsidRPr="00064185">
        <w:rPr>
          <w:rFonts w:eastAsia="Calibri"/>
          <w:lang w:val="en-US" w:eastAsia="en-US"/>
        </w:rPr>
        <w:t>./</w:t>
      </w:r>
      <w:proofErr w:type="gramEnd"/>
      <w:r w:rsidRPr="00064185">
        <w:rPr>
          <w:rFonts w:eastAsia="Calibri"/>
          <w:lang w:val="en-US" w:eastAsia="en-US"/>
        </w:rPr>
        <w:t>m</w:t>
      </w:r>
      <w:r w:rsidRPr="00064185">
        <w:rPr>
          <w:rFonts w:eastAsia="Calibri"/>
          <w:vertAlign w:val="superscript"/>
          <w:lang w:val="en-US" w:eastAsia="en-US"/>
        </w:rPr>
        <w:t>2</w:t>
      </w:r>
      <w:r w:rsidRPr="00064185">
        <w:rPr>
          <w:rFonts w:eastAsia="Calibri"/>
          <w:lang w:val="en-US" w:eastAsia="en-US"/>
        </w:rPr>
        <w:t>]).</w:t>
      </w:r>
    </w:p>
    <w:p w14:paraId="512895E3" w14:textId="359681AF" w:rsidR="007B7919" w:rsidRPr="00064185" w:rsidRDefault="00326CF9" w:rsidP="00403806">
      <w:pPr>
        <w:jc w:val="both"/>
        <w:rPr>
          <w:rFonts w:eastAsia="Calibri"/>
          <w:sz w:val="22"/>
          <w:lang w:eastAsia="en-US"/>
        </w:rPr>
      </w:pPr>
      <w:r w:rsidRPr="00064185">
        <w:rPr>
          <w:rFonts w:eastAsia="Calibri"/>
          <w:lang w:eastAsia="en-US"/>
        </w:rPr>
        <w:t xml:space="preserve"> This reverse scenario indicates an unacceptable risk for pets. Consequently the product should be labelled with: “Due to the risk the product may only be applied, where access of pets, livestock and children can be excluded”. This is considered to represent an adequate risk mitigation measure.</w:t>
      </w:r>
      <w:bookmarkStart w:id="1740" w:name="_Toc389729097"/>
      <w:bookmarkStart w:id="1741" w:name="_Toc403472782"/>
      <w:bookmarkStart w:id="1742" w:name="_Toc440879666"/>
      <w:bookmarkStart w:id="1743" w:name="_Toc440889979"/>
      <w:r w:rsidR="007B7919" w:rsidRPr="00064185">
        <w:rPr>
          <w:rFonts w:eastAsia="Calibri"/>
          <w:lang w:eastAsia="en-US"/>
        </w:rPr>
        <w:br w:type="page"/>
      </w:r>
    </w:p>
    <w:p w14:paraId="66BD1482" w14:textId="4BA70EFE" w:rsidR="00D91452" w:rsidRPr="00064185" w:rsidRDefault="00A53EE0" w:rsidP="00EA61D8">
      <w:pPr>
        <w:pStyle w:val="berschrift3"/>
        <w:rPr>
          <w:rFonts w:eastAsia="Calibri"/>
          <w:lang w:val="en-GB" w:eastAsia="en-US"/>
        </w:rPr>
      </w:pPr>
      <w:bookmarkStart w:id="1744" w:name="_Toc530563684"/>
      <w:r w:rsidRPr="00064185">
        <w:rPr>
          <w:rFonts w:eastAsia="Calibri"/>
          <w:lang w:val="en-GB" w:eastAsia="en-US"/>
        </w:rPr>
        <w:lastRenderedPageBreak/>
        <w:t>Risk assessment for the environment</w:t>
      </w:r>
      <w:bookmarkEnd w:id="1740"/>
      <w:bookmarkEnd w:id="1741"/>
      <w:bookmarkEnd w:id="1742"/>
      <w:bookmarkEnd w:id="1743"/>
      <w:bookmarkEnd w:id="1744"/>
    </w:p>
    <w:p w14:paraId="0B8A1A79" w14:textId="52053C32" w:rsidR="008C7A22" w:rsidRPr="00064185" w:rsidRDefault="009C0CEE" w:rsidP="006A7704">
      <w:pPr>
        <w:jc w:val="both"/>
      </w:pPr>
      <w:r w:rsidRPr="00064185">
        <w:t>Authorisation is requested for the product COMPO Ameisen-Stop (COM 116 02 I AL)</w:t>
      </w:r>
      <w:r w:rsidR="006232AD" w:rsidRPr="00064185">
        <w:t xml:space="preserve"> </w:t>
      </w:r>
      <w:r w:rsidRPr="00064185">
        <w:t xml:space="preserve">as a PT18 </w:t>
      </w:r>
      <w:r w:rsidR="00706183" w:rsidRPr="00064185">
        <w:t>insecticide</w:t>
      </w:r>
      <w:r w:rsidRPr="00064185">
        <w:t xml:space="preserve">. </w:t>
      </w:r>
      <w:r w:rsidR="008C7A22" w:rsidRPr="00064185">
        <w:t>Active substances and products intended for PT 18 purp</w:t>
      </w:r>
      <w:r w:rsidR="001E6220" w:rsidRPr="00064185">
        <w:t>oses are used as biocidal (i.e.</w:t>
      </w:r>
      <w:r w:rsidR="008C7A22" w:rsidRPr="00064185">
        <w:t xml:space="preserve"> non-agricultural) insecticides, acaricides and products to control other arthropods. They can be used in many different applications and may be applied in- or outdoors (</w:t>
      </w:r>
      <w:r w:rsidR="007D3281" w:rsidRPr="00064185">
        <w:t xml:space="preserve">ESD PT18; </w:t>
      </w:r>
      <w:r w:rsidR="008C7A22" w:rsidRPr="00064185">
        <w:t>OECD, 2008</w:t>
      </w:r>
      <w:r w:rsidR="008C7A22" w:rsidRPr="00064185">
        <w:rPr>
          <w:rStyle w:val="Funotenzeichen"/>
        </w:rPr>
        <w:footnoteReference w:id="6"/>
      </w:r>
      <w:r w:rsidR="008C7A22" w:rsidRPr="00064185">
        <w:t>).</w:t>
      </w:r>
    </w:p>
    <w:p w14:paraId="0099CC17" w14:textId="6E706C71" w:rsidR="00282F35" w:rsidRPr="00064185" w:rsidRDefault="00B145D3" w:rsidP="006A7704">
      <w:pPr>
        <w:jc w:val="both"/>
      </w:pPr>
      <w:r w:rsidRPr="00064185">
        <w:t xml:space="preserve">COM 116 02 I AL is a liquid formulation containing 0.05% w/w </w:t>
      </w:r>
      <w:r w:rsidRPr="00064185">
        <w:rPr>
          <w:i/>
        </w:rPr>
        <w:t>lambda</w:t>
      </w:r>
      <w:r w:rsidRPr="00064185">
        <w:t>-cyhalothrin (0.5 g/</w:t>
      </w:r>
      <w:r w:rsidR="006A197C" w:rsidRPr="00064185">
        <w:t>l</w:t>
      </w:r>
      <w:r w:rsidRPr="00064185">
        <w:t>).</w:t>
      </w:r>
      <w:r w:rsidR="004216E7" w:rsidRPr="00064185">
        <w:t xml:space="preserve"> </w:t>
      </w:r>
      <w:r w:rsidRPr="00064185">
        <w:t>The product is efficacious against garden ants, silverfishes, wood lice, and cockroaches</w:t>
      </w:r>
      <w:r w:rsidR="00182FD9" w:rsidRPr="00064185">
        <w:t xml:space="preserve"> and</w:t>
      </w:r>
      <w:r w:rsidR="00282F35" w:rsidRPr="00064185">
        <w:t xml:space="preserve"> will be used by non-professional users. The product is intended to be applied indoors and outdoors</w:t>
      </w:r>
      <w:r w:rsidR="00802DCC" w:rsidRPr="00064185">
        <w:t>,</w:t>
      </w:r>
      <w:r w:rsidR="00282F35" w:rsidRPr="00064185">
        <w:t xml:space="preserve"> around domestic buildings on</w:t>
      </w:r>
      <w:r w:rsidR="00282F35" w:rsidRPr="00064185">
        <w:rPr>
          <w:lang w:val="en-US"/>
        </w:rPr>
        <w:t xml:space="preserve"> </w:t>
      </w:r>
      <w:r w:rsidR="00282F35" w:rsidRPr="00064185">
        <w:t>p</w:t>
      </w:r>
      <w:r w:rsidR="006E4856" w:rsidRPr="00064185">
        <w:t>aved surfaces like terraces</w:t>
      </w:r>
      <w:r w:rsidR="00282F35" w:rsidRPr="00064185">
        <w:t>.</w:t>
      </w:r>
    </w:p>
    <w:p w14:paraId="4C264BDA" w14:textId="3094A0EB" w:rsidR="007202D2" w:rsidRPr="00064185" w:rsidRDefault="00B145D3" w:rsidP="006A7704">
      <w:pPr>
        <w:jc w:val="both"/>
      </w:pPr>
      <w:r w:rsidRPr="00064185">
        <w:t xml:space="preserve">The active ingredient </w:t>
      </w:r>
      <w:r w:rsidRPr="00064185">
        <w:rPr>
          <w:i/>
        </w:rPr>
        <w:t>lambda</w:t>
      </w:r>
      <w:r w:rsidRPr="00064185">
        <w:t xml:space="preserve">-cyhalothrin is sealed in micro-small polymer capsules and is released after contact and ingestion by the insects. Due to microencapsulation, the product is stable over several weeks upon application and provides a long-lasting effect of the active substance. </w:t>
      </w:r>
      <w:r w:rsidR="008C7A22" w:rsidRPr="00064185">
        <w:t xml:space="preserve">The product is ready-to-use (RTU) and can be applied by </w:t>
      </w:r>
      <w:r w:rsidR="00273A48" w:rsidRPr="00064185">
        <w:t xml:space="preserve">direct </w:t>
      </w:r>
      <w:r w:rsidR="008C7A22" w:rsidRPr="00064185">
        <w:t xml:space="preserve">spraying </w:t>
      </w:r>
      <w:r w:rsidR="00273A48" w:rsidRPr="00064185">
        <w:t xml:space="preserve">either on </w:t>
      </w:r>
      <w:r w:rsidR="008C7A22" w:rsidRPr="00064185">
        <w:t>the target area where insects occur or on the insect.</w:t>
      </w:r>
    </w:p>
    <w:p w14:paraId="0439F2CB" w14:textId="77777777" w:rsidR="001870A3" w:rsidRPr="00064185" w:rsidRDefault="001870A3" w:rsidP="00EA61D8">
      <w:pPr>
        <w:rPr>
          <w:i/>
        </w:rPr>
      </w:pPr>
    </w:p>
    <w:p w14:paraId="7438D75D" w14:textId="77777777" w:rsidR="00B145D3" w:rsidRPr="00064185" w:rsidRDefault="00B145D3" w:rsidP="00EA61D8">
      <w:pPr>
        <w:spacing w:line="260" w:lineRule="atLeast"/>
        <w:rPr>
          <w:rFonts w:eastAsia="Calibri"/>
          <w:lang w:eastAsia="en-US"/>
        </w:rPr>
      </w:pPr>
    </w:p>
    <w:p w14:paraId="278056C8" w14:textId="77777777" w:rsidR="006232AD" w:rsidRPr="00064185" w:rsidRDefault="006232AD" w:rsidP="00EA61D8">
      <w:pPr>
        <w:spacing w:line="260" w:lineRule="atLeast"/>
        <w:rPr>
          <w:rFonts w:eastAsia="Calibri"/>
          <w:lang w:eastAsia="en-US"/>
        </w:rPr>
      </w:pPr>
    </w:p>
    <w:p w14:paraId="43AAFD93" w14:textId="77777777" w:rsidR="008774C7" w:rsidRPr="00064185" w:rsidRDefault="00A53EE0" w:rsidP="00EA61D8">
      <w:pPr>
        <w:pStyle w:val="berschrift4"/>
        <w:numPr>
          <w:ilvl w:val="0"/>
          <w:numId w:val="14"/>
        </w:numPr>
        <w:jc w:val="left"/>
      </w:pPr>
      <w:bookmarkStart w:id="1745" w:name="_Toc377651043"/>
      <w:bookmarkStart w:id="1746" w:name="_Toc389729098"/>
      <w:bookmarkStart w:id="1747" w:name="_Toc403472783"/>
      <w:bookmarkStart w:id="1748" w:name="_Toc440879667"/>
      <w:bookmarkStart w:id="1749" w:name="_Toc440889980"/>
      <w:bookmarkStart w:id="1750" w:name="_Toc530563685"/>
      <w:r w:rsidRPr="00064185">
        <w:t>Effects assessment</w:t>
      </w:r>
      <w:bookmarkEnd w:id="1745"/>
      <w:r w:rsidRPr="00064185">
        <w:t xml:space="preserve"> on the environment</w:t>
      </w:r>
      <w:bookmarkEnd w:id="1746"/>
      <w:bookmarkEnd w:id="1747"/>
      <w:bookmarkEnd w:id="1748"/>
      <w:bookmarkEnd w:id="1749"/>
      <w:bookmarkEnd w:id="1750"/>
    </w:p>
    <w:p w14:paraId="11CED4BC" w14:textId="77777777" w:rsidR="00A53EE0" w:rsidRPr="00064185" w:rsidRDefault="00A53EE0" w:rsidP="00EA61D8">
      <w:pPr>
        <w:rPr>
          <w:rFonts w:eastAsia="Calibri"/>
          <w:b/>
          <w:i/>
          <w:sz w:val="22"/>
          <w:szCs w:val="22"/>
          <w:lang w:eastAsia="en-US"/>
        </w:rPr>
      </w:pPr>
      <w:bookmarkStart w:id="1751" w:name="_Toc389729099"/>
      <w:bookmarkStart w:id="1752" w:name="_Toc403472784"/>
      <w:r w:rsidRPr="00064185">
        <w:rPr>
          <w:rFonts w:eastAsia="Calibri"/>
          <w:b/>
          <w:i/>
          <w:sz w:val="22"/>
          <w:szCs w:val="22"/>
          <w:lang w:eastAsia="en-US"/>
        </w:rPr>
        <w:t>Information relating to the ecotoxicity of the biocidal product which is sufficient to enable a decision to be made concerning the classification of the product is required</w:t>
      </w:r>
      <w:bookmarkEnd w:id="1751"/>
      <w:bookmarkEnd w:id="1752"/>
    </w:p>
    <w:p w14:paraId="46C3EC17" w14:textId="77777777" w:rsidR="008774C7" w:rsidRPr="00064185" w:rsidRDefault="008774C7" w:rsidP="00EA61D8">
      <w:pPr>
        <w:rPr>
          <w:rFonts w:eastAsia="Calibri"/>
          <w:b/>
          <w:i/>
          <w:sz w:val="22"/>
          <w:szCs w:val="22"/>
          <w:lang w:eastAsia="en-US"/>
        </w:rPr>
      </w:pPr>
    </w:p>
    <w:p w14:paraId="4468943D" w14:textId="224BAE46" w:rsidR="00682404" w:rsidRPr="00064185" w:rsidRDefault="00E877AB" w:rsidP="006A7704">
      <w:pPr>
        <w:jc w:val="both"/>
      </w:pPr>
      <w:r w:rsidRPr="00064185">
        <w:t xml:space="preserve">Acute </w:t>
      </w:r>
      <w:r w:rsidR="00286163" w:rsidRPr="00064185">
        <w:t>and</w:t>
      </w:r>
      <w:r w:rsidRPr="00064185">
        <w:t xml:space="preserve">/or chronic toxicity studies with COM 116 02 I AL have not been conducted. </w:t>
      </w:r>
      <w:r w:rsidR="00682404" w:rsidRPr="00064185">
        <w:t xml:space="preserve">According to </w:t>
      </w:r>
      <w:r w:rsidR="00806D42" w:rsidRPr="00064185">
        <w:t>the 1</w:t>
      </w:r>
      <w:r w:rsidR="00806D42" w:rsidRPr="00064185">
        <w:rPr>
          <w:vertAlign w:val="superscript"/>
        </w:rPr>
        <w:t>st</w:t>
      </w:r>
      <w:r w:rsidR="00806D42" w:rsidRPr="00064185">
        <w:t xml:space="preserve"> ATP to Regulation (EC) No</w:t>
      </w:r>
      <w:r w:rsidR="00682404" w:rsidRPr="00064185">
        <w:t xml:space="preserve"> 1272/2008 </w:t>
      </w:r>
      <w:r w:rsidR="00806D42" w:rsidRPr="00064185">
        <w:t xml:space="preserve">the pure active substance </w:t>
      </w:r>
      <w:r w:rsidR="00806D42" w:rsidRPr="00064185">
        <w:rPr>
          <w:i/>
        </w:rPr>
        <w:t>lambda</w:t>
      </w:r>
      <w:r w:rsidR="00806D42" w:rsidRPr="00064185">
        <w:t xml:space="preserve">-cyhalothrin </w:t>
      </w:r>
      <w:r w:rsidR="009A7FBF" w:rsidRPr="00064185">
        <w:t xml:space="preserve">has </w:t>
      </w:r>
      <w:r w:rsidR="00E65B98" w:rsidRPr="00064185">
        <w:t xml:space="preserve">a harmonised </w:t>
      </w:r>
      <w:r w:rsidR="009A7FBF" w:rsidRPr="00064185">
        <w:t>classifi</w:t>
      </w:r>
      <w:r w:rsidR="00E65B98" w:rsidRPr="00064185">
        <w:t>cation</w:t>
      </w:r>
      <w:r w:rsidR="009A7FBF" w:rsidRPr="00064185">
        <w:t xml:space="preserve"> </w:t>
      </w:r>
      <w:r w:rsidR="00806D42" w:rsidRPr="00064185">
        <w:t xml:space="preserve">for its </w:t>
      </w:r>
      <w:r w:rsidR="009A7FBF" w:rsidRPr="00064185">
        <w:t>environmental effects a</w:t>
      </w:r>
      <w:r w:rsidR="00682404" w:rsidRPr="00064185">
        <w:t>s Aquatic Acute 1, H400</w:t>
      </w:r>
      <w:r w:rsidR="00286163" w:rsidRPr="00064185">
        <w:t>:</w:t>
      </w:r>
      <w:r w:rsidR="00682404" w:rsidRPr="00064185">
        <w:t xml:space="preserve"> Very toxic to aquatic life</w:t>
      </w:r>
      <w:r w:rsidR="00286163" w:rsidRPr="00064185">
        <w:t xml:space="preserve"> and</w:t>
      </w:r>
      <w:r w:rsidR="00682404" w:rsidRPr="00064185">
        <w:t xml:space="preserve"> Aquatic Chronic 1, H410</w:t>
      </w:r>
      <w:r w:rsidR="00286163" w:rsidRPr="00064185">
        <w:t>: Very t</w:t>
      </w:r>
      <w:r w:rsidR="00682404" w:rsidRPr="00064185">
        <w:t xml:space="preserve">oxic </w:t>
      </w:r>
      <w:r w:rsidR="00286163" w:rsidRPr="00064185">
        <w:t>to aquatic</w:t>
      </w:r>
      <w:r w:rsidR="00E65B98" w:rsidRPr="00064185">
        <w:t xml:space="preserve"> life with long lasting effects,</w:t>
      </w:r>
      <w:r w:rsidR="00286163" w:rsidRPr="00064185">
        <w:t xml:space="preserve"> M=10 000</w:t>
      </w:r>
      <w:r w:rsidR="009A7FBF" w:rsidRPr="00064185">
        <w:t xml:space="preserve"> (</w:t>
      </w:r>
      <w:r w:rsidR="00ED6602" w:rsidRPr="00064185">
        <w:t>acute and chronic</w:t>
      </w:r>
      <w:r w:rsidR="009A7FBF" w:rsidRPr="00064185">
        <w:t>)</w:t>
      </w:r>
      <w:r w:rsidR="00682404" w:rsidRPr="00064185">
        <w:t>.</w:t>
      </w:r>
    </w:p>
    <w:p w14:paraId="6545063F" w14:textId="40B43678" w:rsidR="00A53EE0" w:rsidRPr="00064185" w:rsidRDefault="00C7643B" w:rsidP="006A7704">
      <w:pPr>
        <w:spacing w:line="260" w:lineRule="atLeast"/>
        <w:jc w:val="both"/>
        <w:rPr>
          <w:rFonts w:eastAsia="Calibri"/>
          <w:iCs/>
          <w:lang w:eastAsia="en-US"/>
        </w:rPr>
      </w:pPr>
      <w:r w:rsidRPr="00064185">
        <w:t xml:space="preserve">According to the content of </w:t>
      </w:r>
      <w:r w:rsidRPr="00064185">
        <w:rPr>
          <w:i/>
        </w:rPr>
        <w:t>lambda</w:t>
      </w:r>
      <w:r w:rsidRPr="00064185">
        <w:t xml:space="preserve">-cyhalothrin in the </w:t>
      </w:r>
      <w:r w:rsidR="00806D42" w:rsidRPr="00064185">
        <w:t xml:space="preserve">biocidal product </w:t>
      </w:r>
      <w:r w:rsidRPr="00064185">
        <w:t xml:space="preserve">(0.05% w/w) </w:t>
      </w:r>
      <w:r w:rsidR="00153013" w:rsidRPr="00064185">
        <w:t xml:space="preserve">the formulation is </w:t>
      </w:r>
      <w:r w:rsidRPr="00064185">
        <w:t>very toxic to aquatic organisms and i</w:t>
      </w:r>
      <w:r w:rsidR="00153013" w:rsidRPr="00064185">
        <w:t xml:space="preserve">t may cause long-term adverse effects in the aquatic environment. Therefore </w:t>
      </w:r>
      <w:r w:rsidR="00D346CA" w:rsidRPr="00064185">
        <w:t xml:space="preserve">the biocidal product </w:t>
      </w:r>
      <w:r w:rsidR="00806D42" w:rsidRPr="00064185">
        <w:t xml:space="preserve">COM 116 02 I AL </w:t>
      </w:r>
      <w:r w:rsidR="00153013" w:rsidRPr="00064185">
        <w:t>has to be labelled</w:t>
      </w:r>
      <w:r w:rsidR="00C73723" w:rsidRPr="00064185">
        <w:t>,</w:t>
      </w:r>
      <w:r w:rsidR="00153013" w:rsidRPr="00064185">
        <w:t xml:space="preserve"> </w:t>
      </w:r>
      <w:r w:rsidR="00C73723" w:rsidRPr="00064185">
        <w:rPr>
          <w:rFonts w:eastAsia="Calibri"/>
          <w:iCs/>
          <w:lang w:eastAsia="en-US"/>
        </w:rPr>
        <w:t xml:space="preserve">according to CLP, </w:t>
      </w:r>
      <w:r w:rsidR="00D346CA" w:rsidRPr="00064185">
        <w:rPr>
          <w:rFonts w:eastAsia="Calibri"/>
          <w:iCs/>
          <w:lang w:eastAsia="en-US"/>
        </w:rPr>
        <w:t xml:space="preserve">with the pictogram GHS09, </w:t>
      </w:r>
      <w:r w:rsidRPr="00064185">
        <w:rPr>
          <w:rFonts w:eastAsia="Calibri"/>
          <w:iCs/>
          <w:lang w:eastAsia="en-US"/>
        </w:rPr>
        <w:t>the signal word “Wa</w:t>
      </w:r>
      <w:r w:rsidR="009A7FBF" w:rsidRPr="00064185">
        <w:rPr>
          <w:rFonts w:eastAsia="Calibri"/>
          <w:iCs/>
          <w:lang w:eastAsia="en-US"/>
        </w:rPr>
        <w:t>rning” and the hazard statement</w:t>
      </w:r>
      <w:r w:rsidRPr="00064185">
        <w:rPr>
          <w:rFonts w:eastAsia="Calibri"/>
          <w:iCs/>
          <w:lang w:eastAsia="en-US"/>
        </w:rPr>
        <w:t xml:space="preserve"> H410 </w:t>
      </w:r>
      <w:r w:rsidR="00806D42" w:rsidRPr="00064185">
        <w:rPr>
          <w:rFonts w:eastAsia="Calibri"/>
          <w:iCs/>
          <w:lang w:eastAsia="en-US"/>
        </w:rPr>
        <w:t>(H400 may be omitted)</w:t>
      </w:r>
      <w:r w:rsidR="00153013" w:rsidRPr="00064185">
        <w:t>.</w:t>
      </w:r>
      <w:r w:rsidR="002C2A64" w:rsidRPr="00064185">
        <w:t xml:space="preserve"> </w:t>
      </w:r>
    </w:p>
    <w:p w14:paraId="240D7B33" w14:textId="3C8067F0" w:rsidR="002C2A64" w:rsidRPr="00064185" w:rsidRDefault="00C73723" w:rsidP="006A7704">
      <w:pPr>
        <w:spacing w:line="260" w:lineRule="atLeast"/>
        <w:jc w:val="both"/>
      </w:pPr>
      <w:r w:rsidRPr="00064185">
        <w:t>In the product t</w:t>
      </w:r>
      <w:r w:rsidR="003C743B" w:rsidRPr="00064185">
        <w:t>here is no other co-formulant contribut</w:t>
      </w:r>
      <w:r w:rsidR="00554352" w:rsidRPr="00064185">
        <w:t>ing</w:t>
      </w:r>
      <w:r w:rsidR="003C743B" w:rsidRPr="00064185">
        <w:t xml:space="preserve"> to the </w:t>
      </w:r>
      <w:r w:rsidR="007C6263" w:rsidRPr="00064185">
        <w:t xml:space="preserve">proposed </w:t>
      </w:r>
      <w:r w:rsidR="003C743B" w:rsidRPr="00064185">
        <w:t>classification and labelling of COM 116 </w:t>
      </w:r>
      <w:proofErr w:type="gramStart"/>
      <w:r w:rsidR="003C743B" w:rsidRPr="00064185">
        <w:t>02</w:t>
      </w:r>
      <w:r w:rsidR="003C0679" w:rsidRPr="00064185">
        <w:t xml:space="preserve"> </w:t>
      </w:r>
      <w:r w:rsidR="003C743B" w:rsidRPr="00064185">
        <w:t>I</w:t>
      </w:r>
      <w:proofErr w:type="gramEnd"/>
      <w:r w:rsidR="003C743B" w:rsidRPr="00064185">
        <w:t> AL.</w:t>
      </w:r>
    </w:p>
    <w:p w14:paraId="343C24FA" w14:textId="77777777" w:rsidR="002C2A64" w:rsidRPr="00064185" w:rsidRDefault="002C2A64" w:rsidP="00EA61D8">
      <w:pPr>
        <w:spacing w:line="260" w:lineRule="atLeast"/>
      </w:pPr>
    </w:p>
    <w:p w14:paraId="561DAC44" w14:textId="77777777" w:rsidR="00955965" w:rsidRPr="00064185" w:rsidRDefault="00955965" w:rsidP="00EA61D8">
      <w:pPr>
        <w:spacing w:line="260" w:lineRule="atLeast"/>
      </w:pPr>
    </w:p>
    <w:p w14:paraId="02634F4F" w14:textId="77777777" w:rsidR="00A53EE0" w:rsidRPr="00064185" w:rsidRDefault="00A53EE0" w:rsidP="00EA61D8">
      <w:pPr>
        <w:rPr>
          <w:rFonts w:eastAsia="Calibri"/>
          <w:b/>
          <w:i/>
          <w:sz w:val="22"/>
          <w:szCs w:val="22"/>
          <w:lang w:eastAsia="en-US"/>
        </w:rPr>
      </w:pPr>
      <w:bookmarkStart w:id="1753" w:name="_Toc389729100"/>
      <w:bookmarkStart w:id="1754" w:name="_Toc403472785"/>
      <w:r w:rsidRPr="00064185">
        <w:rPr>
          <w:rFonts w:eastAsia="Calibri"/>
          <w:b/>
          <w:i/>
          <w:sz w:val="22"/>
          <w:szCs w:val="22"/>
          <w:lang w:eastAsia="en-US"/>
        </w:rPr>
        <w:t>Further Ecotoxicological studies</w:t>
      </w:r>
      <w:bookmarkEnd w:id="1753"/>
      <w:bookmarkEnd w:id="1754"/>
    </w:p>
    <w:p w14:paraId="60EB640D" w14:textId="77777777" w:rsidR="00DA1B58" w:rsidRPr="00064185" w:rsidRDefault="00DA1B58" w:rsidP="00EA61D8">
      <w:pPr>
        <w:rPr>
          <w:rFonts w:eastAsia="Calibri"/>
          <w:b/>
          <w:i/>
          <w:sz w:val="22"/>
          <w:szCs w:val="22"/>
          <w:lang w:eastAsia="en-US"/>
        </w:rPr>
      </w:pPr>
    </w:p>
    <w:p w14:paraId="6C59D6BD" w14:textId="2E6C018C" w:rsidR="00DA1B58" w:rsidRPr="00064185" w:rsidRDefault="00DA1B58" w:rsidP="006A7704">
      <w:pPr>
        <w:spacing w:line="276" w:lineRule="auto"/>
        <w:jc w:val="both"/>
        <w:rPr>
          <w:rFonts w:eastAsia="Calibri"/>
          <w:lang w:eastAsia="en-US"/>
        </w:rPr>
      </w:pPr>
      <w:r w:rsidRPr="00064185">
        <w:rPr>
          <w:rFonts w:eastAsia="Calibri"/>
          <w:lang w:eastAsia="en-US"/>
        </w:rPr>
        <w:t xml:space="preserve">No new data was submitted for the active substance and the biocidal product. </w:t>
      </w:r>
    </w:p>
    <w:p w14:paraId="4D900CF7" w14:textId="77777777" w:rsidR="00DA1B58" w:rsidRPr="00064185" w:rsidRDefault="00DA1B58" w:rsidP="00EA61D8">
      <w:pPr>
        <w:spacing w:line="260" w:lineRule="atLeast"/>
        <w:rPr>
          <w:rFonts w:ascii="Times New Roman" w:eastAsia="Calibri" w:hAnsi="Times New Roman"/>
          <w:i/>
          <w:iCs/>
          <w:highlight w:val="yellow"/>
          <w:lang w:eastAsia="en-US"/>
        </w:rPr>
      </w:pPr>
    </w:p>
    <w:p w14:paraId="7CA010BA" w14:textId="77777777" w:rsidR="00B03050" w:rsidRPr="00064185" w:rsidRDefault="00B03050" w:rsidP="00EA61D8">
      <w:pPr>
        <w:spacing w:line="260" w:lineRule="atLeast"/>
        <w:rPr>
          <w:rFonts w:ascii="Times New Roman" w:eastAsia="Calibri" w:hAnsi="Times New Roman"/>
          <w:i/>
          <w:iCs/>
          <w:lang w:eastAsia="en-US"/>
        </w:rPr>
      </w:pPr>
    </w:p>
    <w:p w14:paraId="23AEB4B8" w14:textId="77777777" w:rsidR="00A53EE0" w:rsidRPr="00064185" w:rsidRDefault="00A53EE0" w:rsidP="00EA61D8">
      <w:pPr>
        <w:rPr>
          <w:rFonts w:eastAsia="Calibri"/>
          <w:b/>
          <w:i/>
          <w:sz w:val="22"/>
          <w:szCs w:val="22"/>
          <w:lang w:eastAsia="en-US"/>
        </w:rPr>
      </w:pPr>
      <w:bookmarkStart w:id="1755" w:name="_Toc389729101"/>
      <w:bookmarkStart w:id="1756" w:name="_Toc403472786"/>
      <w:r w:rsidRPr="00064185">
        <w:rPr>
          <w:rFonts w:eastAsia="Calibri"/>
          <w:b/>
          <w:i/>
          <w:sz w:val="22"/>
          <w:szCs w:val="22"/>
          <w:lang w:eastAsia="en-US"/>
        </w:rPr>
        <w:lastRenderedPageBreak/>
        <w:t>Effects on any other specific, non-target organisms (flora and fauna) believed to be at risk (ADS)</w:t>
      </w:r>
      <w:bookmarkEnd w:id="1755"/>
      <w:bookmarkEnd w:id="1756"/>
    </w:p>
    <w:p w14:paraId="0057C825" w14:textId="77777777" w:rsidR="00A53EE0" w:rsidRPr="00064185" w:rsidRDefault="00A53EE0" w:rsidP="00EA61D8">
      <w:pPr>
        <w:spacing w:line="260" w:lineRule="atLeast"/>
        <w:rPr>
          <w:rFonts w:ascii="Times New Roman" w:eastAsia="Calibri" w:hAnsi="Times New Roman"/>
          <w:i/>
          <w:iCs/>
          <w:strike/>
          <w:lang w:eastAsia="en-US"/>
        </w:rPr>
      </w:pPr>
    </w:p>
    <w:p w14:paraId="6BE88260" w14:textId="77777777" w:rsidR="00DA1B58" w:rsidRPr="00064185" w:rsidRDefault="00DA1B58" w:rsidP="00EA61D8">
      <w:pPr>
        <w:spacing w:line="276" w:lineRule="auto"/>
        <w:rPr>
          <w:rFonts w:eastAsia="Calibri"/>
          <w:lang w:eastAsia="en-US"/>
        </w:rPr>
      </w:pPr>
      <w:r w:rsidRPr="00064185">
        <w:rPr>
          <w:rFonts w:eastAsia="Calibri"/>
          <w:lang w:eastAsia="en-US"/>
        </w:rPr>
        <w:t xml:space="preserve">No new data was submitted for the active substance and the biocidal product. </w:t>
      </w:r>
    </w:p>
    <w:p w14:paraId="29B66E68" w14:textId="77777777" w:rsidR="00B03050" w:rsidRPr="00064185" w:rsidRDefault="00B03050" w:rsidP="00EA61D8">
      <w:pPr>
        <w:spacing w:line="260" w:lineRule="atLeast"/>
        <w:rPr>
          <w:rFonts w:eastAsia="Calibri"/>
          <w:strike/>
          <w:lang w:eastAsia="en-US"/>
        </w:rPr>
      </w:pPr>
    </w:p>
    <w:p w14:paraId="6B7376B4" w14:textId="77777777" w:rsidR="00DA1B58" w:rsidRPr="00064185" w:rsidRDefault="00DA1B58" w:rsidP="00EA61D8">
      <w:pPr>
        <w:spacing w:line="260" w:lineRule="atLeast"/>
        <w:rPr>
          <w:rFonts w:eastAsia="Calibri"/>
          <w:strike/>
          <w:lang w:eastAsia="en-US"/>
        </w:rPr>
      </w:pPr>
    </w:p>
    <w:p w14:paraId="56B65044" w14:textId="77777777" w:rsidR="00A53EE0" w:rsidRPr="00064185" w:rsidRDefault="00A53EE0" w:rsidP="00EA61D8">
      <w:pPr>
        <w:rPr>
          <w:rFonts w:eastAsia="Calibri"/>
          <w:b/>
          <w:i/>
          <w:sz w:val="22"/>
          <w:szCs w:val="22"/>
          <w:lang w:eastAsia="en-US"/>
        </w:rPr>
      </w:pPr>
      <w:bookmarkStart w:id="1757" w:name="_Toc389729102"/>
      <w:bookmarkStart w:id="1758" w:name="_Toc403472787"/>
      <w:r w:rsidRPr="00064185">
        <w:rPr>
          <w:rFonts w:eastAsia="Calibri"/>
          <w:b/>
          <w:i/>
          <w:sz w:val="22"/>
          <w:szCs w:val="22"/>
          <w:lang w:eastAsia="en-US"/>
        </w:rPr>
        <w:t>Supervised trials to assess risks to non-target organisms under field conditions</w:t>
      </w:r>
      <w:bookmarkEnd w:id="1757"/>
      <w:bookmarkEnd w:id="1758"/>
    </w:p>
    <w:p w14:paraId="27786CB1" w14:textId="77777777" w:rsidR="002C2A64" w:rsidRPr="00064185" w:rsidRDefault="002C2A64" w:rsidP="00EA61D8">
      <w:pPr>
        <w:spacing w:line="260" w:lineRule="atLeast"/>
        <w:rPr>
          <w:rFonts w:ascii="Times New Roman" w:eastAsia="Calibri" w:hAnsi="Times New Roman"/>
          <w:i/>
          <w:iCs/>
          <w:strike/>
          <w:lang w:eastAsia="en-US"/>
        </w:rPr>
      </w:pPr>
    </w:p>
    <w:p w14:paraId="06A810A6" w14:textId="77777777" w:rsidR="00DA1B58" w:rsidRPr="00064185" w:rsidRDefault="00DA1B58" w:rsidP="00EA61D8">
      <w:pPr>
        <w:spacing w:line="276" w:lineRule="auto"/>
        <w:rPr>
          <w:rFonts w:eastAsia="Calibri"/>
          <w:lang w:eastAsia="en-US"/>
        </w:rPr>
      </w:pPr>
      <w:r w:rsidRPr="00064185">
        <w:rPr>
          <w:rFonts w:eastAsia="Calibri"/>
          <w:lang w:eastAsia="en-US"/>
        </w:rPr>
        <w:t xml:space="preserve">No new data was submitted for the active substance and the biocidal product. </w:t>
      </w:r>
    </w:p>
    <w:p w14:paraId="72520809" w14:textId="6E0954AD" w:rsidR="00DA1B58" w:rsidRPr="00064185" w:rsidRDefault="00DA1B58" w:rsidP="00EA61D8">
      <w:pPr>
        <w:spacing w:line="260" w:lineRule="atLeast"/>
        <w:rPr>
          <w:rFonts w:ascii="Times New Roman" w:eastAsia="Calibri" w:hAnsi="Times New Roman"/>
          <w:i/>
          <w:iCs/>
          <w:strike/>
          <w:lang w:eastAsia="en-US"/>
        </w:rPr>
      </w:pPr>
    </w:p>
    <w:p w14:paraId="59C17744" w14:textId="77777777" w:rsidR="00DA1B58" w:rsidRPr="00064185" w:rsidRDefault="00DA1B58" w:rsidP="00EA61D8">
      <w:pPr>
        <w:spacing w:line="260" w:lineRule="atLeast"/>
        <w:rPr>
          <w:rFonts w:ascii="Times New Roman" w:eastAsia="Calibri" w:hAnsi="Times New Roman"/>
          <w:i/>
          <w:iCs/>
          <w:strike/>
          <w:lang w:eastAsia="en-US"/>
        </w:rPr>
      </w:pPr>
    </w:p>
    <w:p w14:paraId="51EE9818" w14:textId="77777777" w:rsidR="00A53EE0" w:rsidRPr="00064185" w:rsidRDefault="00A53EE0" w:rsidP="00EA61D8">
      <w:pPr>
        <w:rPr>
          <w:rFonts w:eastAsia="Calibri"/>
          <w:b/>
          <w:i/>
          <w:sz w:val="22"/>
          <w:szCs w:val="22"/>
          <w:lang w:eastAsia="en-US"/>
        </w:rPr>
      </w:pPr>
      <w:bookmarkStart w:id="1759" w:name="_Toc389729103"/>
      <w:bookmarkStart w:id="1760" w:name="_Toc403472788"/>
      <w:r w:rsidRPr="00064185">
        <w:rPr>
          <w:rFonts w:eastAsia="Calibri"/>
          <w:b/>
          <w:i/>
          <w:sz w:val="22"/>
          <w:szCs w:val="22"/>
          <w:lang w:eastAsia="en-US"/>
        </w:rPr>
        <w:t>Studies on acceptance by ingestion of the biocidal product by any non-target organisms thought to be at risk</w:t>
      </w:r>
      <w:bookmarkEnd w:id="1759"/>
      <w:bookmarkEnd w:id="1760"/>
    </w:p>
    <w:p w14:paraId="26DF8C91" w14:textId="5CA75983" w:rsidR="00DA1B58" w:rsidRPr="00064185" w:rsidRDefault="00DA1B58" w:rsidP="00EA61D8">
      <w:pPr>
        <w:rPr>
          <w:rFonts w:eastAsia="Calibri"/>
          <w:b/>
          <w:i/>
          <w:sz w:val="22"/>
          <w:szCs w:val="22"/>
          <w:lang w:eastAsia="en-US"/>
        </w:rPr>
      </w:pPr>
    </w:p>
    <w:p w14:paraId="6BF49FF8" w14:textId="77777777" w:rsidR="00383B96" w:rsidRPr="00064185" w:rsidRDefault="00383B96" w:rsidP="006A7704">
      <w:pPr>
        <w:spacing w:line="276" w:lineRule="auto"/>
        <w:jc w:val="both"/>
        <w:rPr>
          <w:rFonts w:eastAsia="Calibri"/>
          <w:lang w:eastAsia="en-US"/>
        </w:rPr>
      </w:pPr>
      <w:r w:rsidRPr="00064185">
        <w:t>Since the product is applied by spraying no further data is considered necessary.</w:t>
      </w:r>
      <w:r w:rsidRPr="00064185">
        <w:rPr>
          <w:rFonts w:eastAsia="Calibri"/>
          <w:lang w:eastAsia="en-US"/>
        </w:rPr>
        <w:t xml:space="preserve"> </w:t>
      </w:r>
    </w:p>
    <w:p w14:paraId="0B77EE91" w14:textId="22A9E3DB" w:rsidR="00DA1B58" w:rsidRPr="00064185" w:rsidRDefault="00DA1B58" w:rsidP="006A7704">
      <w:pPr>
        <w:spacing w:line="276" w:lineRule="auto"/>
        <w:jc w:val="both"/>
        <w:rPr>
          <w:rFonts w:eastAsia="Calibri"/>
          <w:lang w:eastAsia="en-US"/>
        </w:rPr>
      </w:pPr>
      <w:r w:rsidRPr="00064185">
        <w:rPr>
          <w:rFonts w:eastAsia="Calibri"/>
          <w:lang w:eastAsia="en-US"/>
        </w:rPr>
        <w:t>No new data was submitted</w:t>
      </w:r>
      <w:r w:rsidR="00383B96" w:rsidRPr="00064185">
        <w:rPr>
          <w:rFonts w:eastAsia="Calibri"/>
          <w:lang w:eastAsia="en-US"/>
        </w:rPr>
        <w:t>.</w:t>
      </w:r>
      <w:r w:rsidRPr="00064185">
        <w:rPr>
          <w:rFonts w:eastAsia="Calibri"/>
          <w:lang w:eastAsia="en-US"/>
        </w:rPr>
        <w:t xml:space="preserve"> </w:t>
      </w:r>
    </w:p>
    <w:p w14:paraId="7186D507" w14:textId="77777777" w:rsidR="00DA1B58" w:rsidRPr="00064185" w:rsidRDefault="00DA1B58" w:rsidP="00EA61D8">
      <w:pPr>
        <w:rPr>
          <w:rFonts w:eastAsia="Calibri"/>
          <w:b/>
          <w:i/>
          <w:sz w:val="22"/>
          <w:szCs w:val="22"/>
          <w:lang w:eastAsia="en-US"/>
        </w:rPr>
      </w:pPr>
    </w:p>
    <w:p w14:paraId="7BB800C9" w14:textId="77777777" w:rsidR="00B03050" w:rsidRPr="00064185" w:rsidRDefault="00B03050" w:rsidP="00EA61D8">
      <w:pPr>
        <w:rPr>
          <w:rFonts w:eastAsia="Calibri"/>
          <w:lang w:eastAsia="en-US"/>
        </w:rPr>
      </w:pPr>
      <w:bookmarkStart w:id="1761" w:name="_Toc389729104"/>
      <w:bookmarkStart w:id="1762" w:name="_Toc403472789"/>
    </w:p>
    <w:p w14:paraId="5D032B6F" w14:textId="77777777" w:rsidR="00A53EE0" w:rsidRPr="00064185" w:rsidRDefault="00A53EE0" w:rsidP="00EA61D8">
      <w:pPr>
        <w:rPr>
          <w:rFonts w:eastAsia="Calibri"/>
          <w:b/>
          <w:i/>
          <w:sz w:val="22"/>
          <w:szCs w:val="22"/>
          <w:lang w:eastAsia="en-US"/>
        </w:rPr>
      </w:pPr>
      <w:r w:rsidRPr="00064185">
        <w:rPr>
          <w:rFonts w:eastAsia="Calibri"/>
          <w:b/>
          <w:i/>
          <w:sz w:val="22"/>
          <w:szCs w:val="22"/>
          <w:lang w:eastAsia="en-US"/>
        </w:rPr>
        <w:t>Secondary ecological effect e.g. when a large proportion of a specific habitat type is treated (ADS)</w:t>
      </w:r>
      <w:bookmarkEnd w:id="1761"/>
      <w:bookmarkEnd w:id="1762"/>
    </w:p>
    <w:p w14:paraId="5DA62A72" w14:textId="77777777" w:rsidR="00A53EE0" w:rsidRPr="00064185" w:rsidRDefault="00A53EE0" w:rsidP="00EA61D8">
      <w:pPr>
        <w:spacing w:line="260" w:lineRule="atLeast"/>
        <w:rPr>
          <w:rFonts w:eastAsia="Calibri"/>
          <w:lang w:eastAsia="en-US"/>
        </w:rPr>
      </w:pPr>
    </w:p>
    <w:p w14:paraId="3204D7C7" w14:textId="77777777" w:rsidR="0050624F" w:rsidRPr="00064185" w:rsidRDefault="0050624F" w:rsidP="006A7704">
      <w:pPr>
        <w:spacing w:line="260" w:lineRule="atLeast"/>
        <w:jc w:val="both"/>
        <w:rPr>
          <w:rFonts w:eastAsia="Calibri"/>
          <w:lang w:eastAsia="en-US"/>
        </w:rPr>
      </w:pPr>
      <w:r w:rsidRPr="00064185">
        <w:rPr>
          <w:rFonts w:eastAsia="Calibri"/>
          <w:lang w:eastAsia="en-US"/>
        </w:rPr>
        <w:t>The biocidal product is not intended to be applied in a large proportion of a specific habitat type. Therefore secondary ecological effects are considered to be negligible and no new data was submitted.</w:t>
      </w:r>
    </w:p>
    <w:p w14:paraId="75C0448B" w14:textId="77777777" w:rsidR="00A53EE0" w:rsidRPr="00064185" w:rsidRDefault="00A53EE0" w:rsidP="00EA61D8">
      <w:pPr>
        <w:spacing w:line="260" w:lineRule="atLeast"/>
        <w:rPr>
          <w:rFonts w:eastAsia="Calibri"/>
          <w:lang w:eastAsia="en-US"/>
        </w:rPr>
      </w:pPr>
    </w:p>
    <w:p w14:paraId="6C127CC8" w14:textId="77777777" w:rsidR="00A53EE0" w:rsidRPr="00064185" w:rsidRDefault="00A53EE0" w:rsidP="00EA61D8">
      <w:pPr>
        <w:spacing w:line="260" w:lineRule="atLeast"/>
        <w:rPr>
          <w:rFonts w:eastAsia="Calibri"/>
          <w:lang w:eastAsia="en-US"/>
        </w:rPr>
      </w:pPr>
    </w:p>
    <w:p w14:paraId="1C4A0144" w14:textId="1F340DCF" w:rsidR="00A53EE0" w:rsidRPr="00064185" w:rsidRDefault="00A53EE0" w:rsidP="00EA61D8">
      <w:pPr>
        <w:rPr>
          <w:rFonts w:eastAsia="Calibri"/>
          <w:b/>
          <w:i/>
          <w:sz w:val="22"/>
          <w:szCs w:val="22"/>
          <w:lang w:eastAsia="en-US"/>
        </w:rPr>
      </w:pPr>
      <w:bookmarkStart w:id="1763" w:name="_Toc389729105"/>
      <w:bookmarkStart w:id="1764" w:name="_Toc403472790"/>
      <w:r w:rsidRPr="00064185">
        <w:rPr>
          <w:rFonts w:eastAsia="Calibri"/>
          <w:b/>
          <w:i/>
          <w:sz w:val="22"/>
          <w:szCs w:val="22"/>
          <w:lang w:eastAsia="en-US"/>
        </w:rPr>
        <w:t>Foreseeable routes of entry into the environment on the basis of the use envisaged</w:t>
      </w:r>
      <w:bookmarkEnd w:id="1763"/>
      <w:bookmarkEnd w:id="1764"/>
    </w:p>
    <w:p w14:paraId="5E1F43E0" w14:textId="77777777" w:rsidR="00A53EE0" w:rsidRPr="00064185" w:rsidRDefault="00A53EE0" w:rsidP="00EA61D8">
      <w:pPr>
        <w:spacing w:line="260" w:lineRule="atLeast"/>
        <w:rPr>
          <w:rFonts w:ascii="Times New Roman" w:eastAsia="Calibri" w:hAnsi="Times New Roman"/>
          <w:i/>
          <w:iCs/>
          <w:lang w:eastAsia="en-US"/>
        </w:rPr>
      </w:pPr>
    </w:p>
    <w:p w14:paraId="707BCEB9" w14:textId="7302D4F5" w:rsidR="00522DFD" w:rsidRPr="00064185" w:rsidRDefault="00522DFD" w:rsidP="006A7704">
      <w:pPr>
        <w:jc w:val="both"/>
      </w:pPr>
      <w:r w:rsidRPr="00064185">
        <w:t>For the environmental risk assessment, the relevant compartments for emissions have to be defined and a</w:t>
      </w:r>
      <w:r w:rsidR="00521892" w:rsidRPr="00064185">
        <w:t>n</w:t>
      </w:r>
      <w:r w:rsidRPr="00064185">
        <w:t xml:space="preserve"> assessment of the potential residues in each area of importance has to be conducted. Emission Scenario Documents (ESD) </w:t>
      </w:r>
      <w:r w:rsidR="009B479B" w:rsidRPr="00064185">
        <w:t>ha</w:t>
      </w:r>
      <w:r w:rsidR="000744C6" w:rsidRPr="00064185">
        <w:t>d</w:t>
      </w:r>
      <w:r w:rsidRPr="00064185">
        <w:t xml:space="preserve"> been prepared for a number of product types, among them for products used as insecticides for household and professional uses (</w:t>
      </w:r>
      <w:r w:rsidR="00492C27" w:rsidRPr="00064185">
        <w:rPr>
          <w:lang w:val="en-US"/>
        </w:rPr>
        <w:t xml:space="preserve">ESD PT18; </w:t>
      </w:r>
      <w:r w:rsidRPr="00064185">
        <w:t>OECD, 2008</w:t>
      </w:r>
      <w:r w:rsidR="000239A1" w:rsidRPr="00064185">
        <w:rPr>
          <w:rStyle w:val="Funotenzeichen"/>
        </w:rPr>
        <w:footnoteReference w:id="7"/>
      </w:r>
      <w:r w:rsidRPr="00064185">
        <w:t>). The environmental risk assessment for the biocidal product COM 116 02 I AL is based on this document.</w:t>
      </w:r>
    </w:p>
    <w:p w14:paraId="58B6940E" w14:textId="77777777" w:rsidR="00522DFD" w:rsidRPr="00064185" w:rsidRDefault="00522DFD" w:rsidP="006A7704">
      <w:pPr>
        <w:jc w:val="both"/>
      </w:pPr>
    </w:p>
    <w:p w14:paraId="6F5AB8DF" w14:textId="0C19E5EE" w:rsidR="00522DFD" w:rsidRPr="00064185" w:rsidRDefault="00522DFD" w:rsidP="006A7704">
      <w:pPr>
        <w:jc w:val="both"/>
      </w:pPr>
      <w:r w:rsidRPr="00064185">
        <w:t>The ESD for PT18 on insecticides for household and professional users covers the following life-cycle steps as being potentially relevant for environmental emissions:</w:t>
      </w:r>
    </w:p>
    <w:p w14:paraId="06733069" w14:textId="77777777" w:rsidR="00522DFD" w:rsidRPr="00064185" w:rsidRDefault="00522DFD" w:rsidP="006A7704">
      <w:pPr>
        <w:jc w:val="both"/>
      </w:pPr>
    </w:p>
    <w:p w14:paraId="0C14E71E" w14:textId="77777777" w:rsidR="00522DFD" w:rsidRPr="00064185" w:rsidRDefault="00522DFD" w:rsidP="006A7704">
      <w:pPr>
        <w:jc w:val="both"/>
      </w:pPr>
      <w:r w:rsidRPr="00064185">
        <w:t xml:space="preserve">- Mixing/loading </w:t>
      </w:r>
    </w:p>
    <w:p w14:paraId="18F31B81" w14:textId="77777777" w:rsidR="00522DFD" w:rsidRPr="00064185" w:rsidRDefault="00522DFD" w:rsidP="006A7704">
      <w:pPr>
        <w:jc w:val="both"/>
      </w:pPr>
      <w:r w:rsidRPr="00064185">
        <w:t>- Application</w:t>
      </w:r>
    </w:p>
    <w:p w14:paraId="4172E0C8" w14:textId="20C22168" w:rsidR="00522DFD" w:rsidRPr="00064185" w:rsidRDefault="005E4C28" w:rsidP="006A7704">
      <w:pPr>
        <w:ind w:left="284" w:hanging="284"/>
        <w:jc w:val="both"/>
      </w:pPr>
      <w:r w:rsidRPr="00064185">
        <w:lastRenderedPageBreak/>
        <w:t xml:space="preserve">- </w:t>
      </w:r>
      <w:r w:rsidR="00522DFD" w:rsidRPr="00064185">
        <w:t>Releases from indoor treated surfaces by cleaning and outdoor treated surfaces by</w:t>
      </w:r>
      <w:r w:rsidR="00CD269F" w:rsidRPr="00064185">
        <w:t xml:space="preserve"> </w:t>
      </w:r>
      <w:r w:rsidR="00522DFD" w:rsidRPr="00064185">
        <w:t>weathering.</w:t>
      </w:r>
    </w:p>
    <w:p w14:paraId="6F2625FB" w14:textId="77777777" w:rsidR="00522DFD" w:rsidRPr="00064185" w:rsidRDefault="00522DFD" w:rsidP="006A7704">
      <w:pPr>
        <w:jc w:val="both"/>
      </w:pPr>
    </w:p>
    <w:p w14:paraId="258BF968" w14:textId="7C3E80C6" w:rsidR="00522DFD" w:rsidRPr="00064185" w:rsidRDefault="00522DFD" w:rsidP="006A7704">
      <w:pPr>
        <w:jc w:val="both"/>
      </w:pPr>
      <w:r w:rsidRPr="00064185">
        <w:t>The ready-to-use biocidal product COM 116 02 I AL is intended to be used in- and out</w:t>
      </w:r>
      <w:r w:rsidR="002468C3" w:rsidRPr="00064185">
        <w:t>-</w:t>
      </w:r>
      <w:r w:rsidRPr="00064185">
        <w:t xml:space="preserve">doors. It is typically sprayed onto confined grounds, where the target organisms appear, i.e. insect routes, nest entries, and hiding places of ants, silverfishes, wood lice and cockroaches. </w:t>
      </w:r>
      <w:r w:rsidR="008A62FE" w:rsidRPr="00064185">
        <w:t xml:space="preserve">A large-scale application covering widespread surfaces of rooms, paths and terraces is not foreseen. </w:t>
      </w:r>
      <w:r w:rsidRPr="00064185">
        <w:t xml:space="preserve">Therefore the treatment is limited to a small target area of the whole ground surface. </w:t>
      </w:r>
    </w:p>
    <w:p w14:paraId="4546FE17" w14:textId="40B7ACDF" w:rsidR="00522DFD" w:rsidRPr="00064185" w:rsidRDefault="00522DFD" w:rsidP="006A7704">
      <w:pPr>
        <w:jc w:val="both"/>
      </w:pPr>
      <w:r w:rsidRPr="00064185">
        <w:t xml:space="preserve">COM 116 02 I AL is sold as a trigger pump spray. Volatile solvents are not used in this product variety. </w:t>
      </w:r>
      <w:r w:rsidR="00D930F3" w:rsidRPr="00064185">
        <w:t xml:space="preserve">Also the release of a propellant is not indicated for this mode of application. The technique produces rather large droplets </w:t>
      </w:r>
      <w:r w:rsidR="008A62FE" w:rsidRPr="00064185">
        <w:t>not expe</w:t>
      </w:r>
      <w:r w:rsidR="00E34C66" w:rsidRPr="00064185">
        <w:t>cted to remain airborne but to</w:t>
      </w:r>
      <w:r w:rsidR="008A62FE" w:rsidRPr="00064185">
        <w:t xml:space="preserve"> settle on the ground.</w:t>
      </w:r>
      <w:r w:rsidR="00D930F3" w:rsidRPr="00064185">
        <w:t xml:space="preserve"> </w:t>
      </w:r>
      <w:r w:rsidR="00C66759" w:rsidRPr="00064185">
        <w:t xml:space="preserve">Furthermore, the product is used by non-professionals, dealing with commercially available household amounts of the biocidal product, not intended to be employed extensively. </w:t>
      </w:r>
    </w:p>
    <w:p w14:paraId="5E5F812A" w14:textId="77777777" w:rsidR="00561311" w:rsidRPr="00064185" w:rsidRDefault="00561311" w:rsidP="006A7704">
      <w:pPr>
        <w:jc w:val="both"/>
      </w:pPr>
    </w:p>
    <w:p w14:paraId="4F8E8CA6" w14:textId="77777777" w:rsidR="00522DFD" w:rsidRPr="00064185" w:rsidRDefault="00522DFD" w:rsidP="006A7704">
      <w:pPr>
        <w:jc w:val="both"/>
      </w:pPr>
      <w:r w:rsidRPr="00064185">
        <w:t>Due to this kind of formulation, the following release pathways can be excluded or can be identified to be relevant for environmental exposure:</w:t>
      </w:r>
    </w:p>
    <w:p w14:paraId="2AB6A368" w14:textId="77777777" w:rsidR="00522DFD" w:rsidRPr="00064185" w:rsidRDefault="00522DFD" w:rsidP="006A7704">
      <w:pPr>
        <w:spacing w:line="260" w:lineRule="atLeast"/>
        <w:jc w:val="both"/>
        <w:rPr>
          <w:rFonts w:ascii="Times New Roman" w:eastAsia="Calibri" w:hAnsi="Times New Roman"/>
          <w:i/>
          <w:iCs/>
          <w:lang w:eastAsia="en-US"/>
        </w:rPr>
      </w:pPr>
    </w:p>
    <w:p w14:paraId="18FC9261" w14:textId="77777777" w:rsidR="007B7919" w:rsidRPr="00064185" w:rsidRDefault="007B7919" w:rsidP="006A7704">
      <w:pPr>
        <w:spacing w:line="260" w:lineRule="atLeast"/>
        <w:jc w:val="both"/>
        <w:rPr>
          <w:rFonts w:ascii="Times New Roman" w:eastAsia="Calibri" w:hAnsi="Times New Roman"/>
          <w:i/>
          <w:iCs/>
          <w:lang w:eastAsia="en-US"/>
        </w:rPr>
      </w:pPr>
    </w:p>
    <w:p w14:paraId="3BA7A439" w14:textId="77777777" w:rsidR="002F02EA" w:rsidRPr="00064185" w:rsidRDefault="002F02EA" w:rsidP="006A7704">
      <w:pPr>
        <w:pStyle w:val="Textkrper2"/>
        <w:jc w:val="both"/>
        <w:rPr>
          <w:b/>
          <w:i w:val="0"/>
          <w:color w:val="auto"/>
        </w:rPr>
      </w:pPr>
      <w:r w:rsidRPr="00064185">
        <w:rPr>
          <w:b/>
          <w:i w:val="0"/>
          <w:color w:val="auto"/>
        </w:rPr>
        <w:t xml:space="preserve">Use # 1 – Indoor </w:t>
      </w:r>
    </w:p>
    <w:p w14:paraId="2953F793" w14:textId="77777777" w:rsidR="00522DFD" w:rsidRPr="00064185" w:rsidRDefault="00522DFD" w:rsidP="006A7704">
      <w:pPr>
        <w:pStyle w:val="Textkrper2"/>
        <w:jc w:val="both"/>
        <w:rPr>
          <w:b/>
          <w:i w:val="0"/>
          <w:color w:val="auto"/>
        </w:rPr>
      </w:pPr>
    </w:p>
    <w:p w14:paraId="154D8637" w14:textId="77777777" w:rsidR="00522DFD" w:rsidRPr="00064185" w:rsidRDefault="00522DFD" w:rsidP="006A7704">
      <w:pPr>
        <w:pStyle w:val="Textkrper2"/>
        <w:jc w:val="both"/>
        <w:rPr>
          <w:b/>
          <w:i w:val="0"/>
          <w:color w:val="auto"/>
        </w:rPr>
      </w:pPr>
      <w:r w:rsidRPr="00064185">
        <w:rPr>
          <w:b/>
          <w:i w:val="0"/>
          <w:color w:val="auto"/>
        </w:rPr>
        <w:t>- Mixing/loading</w:t>
      </w:r>
    </w:p>
    <w:p w14:paraId="5A22AE37" w14:textId="128B05B9" w:rsidR="00522DFD" w:rsidRPr="00064185" w:rsidRDefault="00522DFD" w:rsidP="006A7704">
      <w:pPr>
        <w:pStyle w:val="Textkrper2"/>
        <w:spacing w:before="0" w:after="0"/>
        <w:jc w:val="both"/>
        <w:rPr>
          <w:i w:val="0"/>
          <w:color w:val="auto"/>
        </w:rPr>
      </w:pPr>
      <w:r w:rsidRPr="00064185">
        <w:rPr>
          <w:i w:val="0"/>
          <w:color w:val="auto"/>
        </w:rPr>
        <w:t>COM 116 02</w:t>
      </w:r>
      <w:r w:rsidR="00E53B4C" w:rsidRPr="00064185">
        <w:rPr>
          <w:i w:val="0"/>
          <w:color w:val="auto"/>
        </w:rPr>
        <w:t xml:space="preserve"> I AL is a ready-to-use product.</w:t>
      </w:r>
      <w:r w:rsidRPr="00064185">
        <w:rPr>
          <w:i w:val="0"/>
          <w:color w:val="auto"/>
        </w:rPr>
        <w:t xml:space="preserve"> </w:t>
      </w:r>
      <w:r w:rsidR="00E53B4C" w:rsidRPr="00064185">
        <w:rPr>
          <w:i w:val="0"/>
          <w:color w:val="auto"/>
        </w:rPr>
        <w:t>M</w:t>
      </w:r>
      <w:r w:rsidRPr="00064185">
        <w:rPr>
          <w:i w:val="0"/>
          <w:color w:val="auto"/>
        </w:rPr>
        <w:t xml:space="preserve">ixing and loading is therefore not necessary. The vapour pressure of </w:t>
      </w:r>
      <w:r w:rsidRPr="00064185">
        <w:rPr>
          <w:color w:val="auto"/>
        </w:rPr>
        <w:t>lambda</w:t>
      </w:r>
      <w:r w:rsidRPr="00064185">
        <w:rPr>
          <w:i w:val="0"/>
          <w:color w:val="auto"/>
        </w:rPr>
        <w:t>-cyhalothrin is only 2×10</w:t>
      </w:r>
      <w:r w:rsidRPr="00064185">
        <w:rPr>
          <w:i w:val="0"/>
          <w:color w:val="auto"/>
          <w:vertAlign w:val="superscript"/>
        </w:rPr>
        <w:t>–7</w:t>
      </w:r>
      <w:r w:rsidRPr="00064185">
        <w:rPr>
          <w:i w:val="0"/>
          <w:color w:val="auto"/>
        </w:rPr>
        <w:t xml:space="preserve"> Pa so that exposure to vapours can be ruled out. An exposure of environmental compartments during this life-cycle step is therefore not relevant. </w:t>
      </w:r>
    </w:p>
    <w:p w14:paraId="7F8263B2" w14:textId="77777777" w:rsidR="00FF05B1" w:rsidRPr="00064185" w:rsidRDefault="00FF05B1" w:rsidP="006A7704">
      <w:pPr>
        <w:pStyle w:val="Textkrper2"/>
        <w:jc w:val="both"/>
        <w:rPr>
          <w:b/>
          <w:i w:val="0"/>
          <w:color w:val="auto"/>
        </w:rPr>
      </w:pPr>
    </w:p>
    <w:p w14:paraId="48379D33" w14:textId="7EA46A88" w:rsidR="00FF05B1" w:rsidRPr="00064185" w:rsidRDefault="00FF05B1" w:rsidP="006A7704">
      <w:pPr>
        <w:pStyle w:val="Textkrper2"/>
        <w:jc w:val="both"/>
        <w:rPr>
          <w:b/>
          <w:i w:val="0"/>
          <w:color w:val="auto"/>
        </w:rPr>
      </w:pPr>
      <w:r w:rsidRPr="00064185">
        <w:rPr>
          <w:b/>
          <w:i w:val="0"/>
          <w:color w:val="auto"/>
        </w:rPr>
        <w:t>- Application</w:t>
      </w:r>
      <w:r w:rsidR="002854BD" w:rsidRPr="00064185">
        <w:rPr>
          <w:b/>
          <w:i w:val="0"/>
          <w:color w:val="auto"/>
        </w:rPr>
        <w:t xml:space="preserve"> and cleaning step</w:t>
      </w:r>
    </w:p>
    <w:p w14:paraId="189678FC" w14:textId="40EB13B5" w:rsidR="000A60AE" w:rsidRPr="00064185" w:rsidRDefault="008D6F04" w:rsidP="006A7704">
      <w:pPr>
        <w:pStyle w:val="Textkrper2"/>
        <w:jc w:val="both"/>
        <w:rPr>
          <w:i w:val="0"/>
          <w:color w:val="auto"/>
        </w:rPr>
      </w:pPr>
      <w:r w:rsidRPr="00064185">
        <w:rPr>
          <w:i w:val="0"/>
          <w:color w:val="auto"/>
        </w:rPr>
        <w:t xml:space="preserve">For the </w:t>
      </w:r>
      <w:r w:rsidR="00D94013" w:rsidRPr="00064185">
        <w:rPr>
          <w:i w:val="0"/>
          <w:color w:val="auto"/>
        </w:rPr>
        <w:t>in</w:t>
      </w:r>
      <w:r w:rsidRPr="00064185">
        <w:rPr>
          <w:i w:val="0"/>
          <w:color w:val="auto"/>
        </w:rPr>
        <w:t xml:space="preserve">door application, the product is sprayed locally on </w:t>
      </w:r>
      <w:r w:rsidR="00D94013" w:rsidRPr="00064185">
        <w:rPr>
          <w:i w:val="0"/>
          <w:color w:val="auto"/>
        </w:rPr>
        <w:t xml:space="preserve">insect routes, nest entries and hiding places or </w:t>
      </w:r>
      <w:r w:rsidR="006D2346" w:rsidRPr="00064185">
        <w:rPr>
          <w:i w:val="0"/>
          <w:color w:val="auto"/>
        </w:rPr>
        <w:t xml:space="preserve">directly </w:t>
      </w:r>
      <w:r w:rsidR="00D94013" w:rsidRPr="00064185">
        <w:rPr>
          <w:i w:val="0"/>
          <w:color w:val="auto"/>
        </w:rPr>
        <w:t xml:space="preserve">on the insects. </w:t>
      </w:r>
      <w:r w:rsidR="000A60AE" w:rsidRPr="00064185">
        <w:rPr>
          <w:i w:val="0"/>
          <w:color w:val="auto"/>
        </w:rPr>
        <w:t xml:space="preserve">Insecticides applied indoors via spraying will generally reach the treated surface, the floor, the applicator and the indoor air. The ESD </w:t>
      </w:r>
      <w:r w:rsidR="006D2346" w:rsidRPr="00064185">
        <w:rPr>
          <w:i w:val="0"/>
          <w:color w:val="auto"/>
        </w:rPr>
        <w:t xml:space="preserve">for </w:t>
      </w:r>
      <w:r w:rsidR="000A60AE" w:rsidRPr="00064185">
        <w:rPr>
          <w:i w:val="0"/>
          <w:color w:val="auto"/>
        </w:rPr>
        <w:t xml:space="preserve">PT 18 proposes emission factors for each of these receiving compartments. </w:t>
      </w:r>
    </w:p>
    <w:p w14:paraId="36E2635B" w14:textId="196867F4" w:rsidR="00432D82" w:rsidRPr="00064185" w:rsidRDefault="002854BD" w:rsidP="006A7704">
      <w:pPr>
        <w:jc w:val="both"/>
      </w:pPr>
      <w:r w:rsidRPr="00064185">
        <w:t>E</w:t>
      </w:r>
      <w:r w:rsidR="000A60AE" w:rsidRPr="00064185">
        <w:t>mission</w:t>
      </w:r>
      <w:r w:rsidR="00D51992" w:rsidRPr="00064185">
        <w:t>s</w:t>
      </w:r>
      <w:r w:rsidR="000A60AE" w:rsidRPr="00064185">
        <w:t xml:space="preserve"> to wastewater </w:t>
      </w:r>
      <w:r w:rsidR="00D94013" w:rsidRPr="00064185">
        <w:t>via cleaning of treated surfaces</w:t>
      </w:r>
      <w:r w:rsidR="009021CB" w:rsidRPr="00064185">
        <w:t xml:space="preserve"> (inc</w:t>
      </w:r>
      <w:r w:rsidR="00C31B8A" w:rsidRPr="00064185">
        <w:t>l. floors)</w:t>
      </w:r>
      <w:r w:rsidR="00D94013" w:rsidRPr="00064185">
        <w:t xml:space="preserve"> </w:t>
      </w:r>
      <w:r w:rsidR="00D51992" w:rsidRPr="00064185">
        <w:t>or applicators’ clothes are</w:t>
      </w:r>
      <w:r w:rsidR="000A60AE" w:rsidRPr="00064185">
        <w:t xml:space="preserve"> considered as the most relevant route of emission for indoor use. </w:t>
      </w:r>
      <w:r w:rsidRPr="00064185">
        <w:rPr>
          <w:rFonts w:eastAsia="Calibri"/>
          <w:lang w:eastAsia="en-US"/>
        </w:rPr>
        <w:t>There, the main compartments pot</w:t>
      </w:r>
      <w:r w:rsidR="00E34C66" w:rsidRPr="00064185">
        <w:rPr>
          <w:rFonts w:eastAsia="Calibri"/>
          <w:lang w:eastAsia="en-US"/>
        </w:rPr>
        <w:t>entially exposed are the STP,</w:t>
      </w:r>
      <w:r w:rsidRPr="00064185">
        <w:rPr>
          <w:rFonts w:eastAsia="Calibri"/>
          <w:lang w:eastAsia="en-US"/>
        </w:rPr>
        <w:t xml:space="preserve"> the adjacent surface water and sediment compartment and subsequently, soil and groundwater from sewage sludge application. </w:t>
      </w:r>
      <w:r w:rsidR="00432D82" w:rsidRPr="00064185">
        <w:rPr>
          <w:rFonts w:eastAsia="Calibri"/>
          <w:lang w:eastAsia="en-US"/>
        </w:rPr>
        <w:t>During trigger pump spray application, liquid droplets sprayed are not expected to remain airborne</w:t>
      </w:r>
      <w:r w:rsidR="00E34C66" w:rsidRPr="00064185">
        <w:t xml:space="preserve"> but to settle on the ground.</w:t>
      </w:r>
      <w:r w:rsidR="00432D82" w:rsidRPr="00064185">
        <w:rPr>
          <w:rFonts w:eastAsia="Calibri"/>
          <w:lang w:eastAsia="en-US"/>
        </w:rPr>
        <w:t xml:space="preserve"> Exposure of the air compartment is thus limited</w:t>
      </w:r>
      <w:r w:rsidR="00432D82" w:rsidRPr="00064185">
        <w:t xml:space="preserve"> in time and restricted to a very local scale. Consequently, relevant emission to air is not considered. </w:t>
      </w:r>
    </w:p>
    <w:p w14:paraId="12AAB47E" w14:textId="73A75AF6" w:rsidR="00784517" w:rsidRPr="00064185" w:rsidRDefault="002854BD" w:rsidP="006A7704">
      <w:pPr>
        <w:jc w:val="both"/>
      </w:pPr>
      <w:r w:rsidRPr="00064185">
        <w:rPr>
          <w:rFonts w:eastAsia="Calibri"/>
          <w:lang w:eastAsia="en-US"/>
        </w:rPr>
        <w:t xml:space="preserve">In view of the emission estimation of </w:t>
      </w:r>
      <w:r w:rsidR="00093AEE" w:rsidRPr="00064185">
        <w:rPr>
          <w:i/>
        </w:rPr>
        <w:t xml:space="preserve">COM 116 </w:t>
      </w:r>
      <w:proofErr w:type="gramStart"/>
      <w:r w:rsidR="00093AEE" w:rsidRPr="00064185">
        <w:rPr>
          <w:i/>
        </w:rPr>
        <w:t>02</w:t>
      </w:r>
      <w:r w:rsidR="00662ADA" w:rsidRPr="00064185">
        <w:rPr>
          <w:i/>
        </w:rPr>
        <w:t xml:space="preserve"> </w:t>
      </w:r>
      <w:r w:rsidR="00093AEE" w:rsidRPr="00064185">
        <w:rPr>
          <w:i/>
        </w:rPr>
        <w:t>I</w:t>
      </w:r>
      <w:proofErr w:type="gramEnd"/>
      <w:r w:rsidR="00093AEE" w:rsidRPr="00064185">
        <w:rPr>
          <w:i/>
        </w:rPr>
        <w:t xml:space="preserve"> AL </w:t>
      </w:r>
      <w:r w:rsidRPr="00064185">
        <w:t xml:space="preserve">for indoor </w:t>
      </w:r>
      <w:r w:rsidR="008F670F" w:rsidRPr="00064185">
        <w:t>application</w:t>
      </w:r>
      <w:r w:rsidR="00CB239E" w:rsidRPr="00064185">
        <w:t xml:space="preserve"> by spraying</w:t>
      </w:r>
      <w:r w:rsidRPr="00064185">
        <w:t xml:space="preserve"> the emission scenario for </w:t>
      </w:r>
      <w:r w:rsidR="002E6ABF" w:rsidRPr="00064185">
        <w:t xml:space="preserve">indoor </w:t>
      </w:r>
      <w:r w:rsidRPr="00064185">
        <w:t>“</w:t>
      </w:r>
      <w:r w:rsidR="002E6ABF" w:rsidRPr="00064185">
        <w:t>Spray application</w:t>
      </w:r>
      <w:r w:rsidRPr="00064185">
        <w:t>” (chapter 3</w:t>
      </w:r>
      <w:r w:rsidR="002E6ABF" w:rsidRPr="00064185">
        <w:t>.3</w:t>
      </w:r>
      <w:r w:rsidRPr="00064185">
        <w:t>.</w:t>
      </w:r>
      <w:r w:rsidR="002E6ABF" w:rsidRPr="00064185">
        <w:t>1.</w:t>
      </w:r>
      <w:r w:rsidRPr="00064185">
        <w:t xml:space="preserve"> of the ESD PT18) </w:t>
      </w:r>
      <w:r w:rsidR="002E6ABF" w:rsidRPr="00064185">
        <w:t>is</w:t>
      </w:r>
      <w:r w:rsidRPr="00064185">
        <w:t xml:space="preserve"> used. </w:t>
      </w:r>
      <w:r w:rsidR="00163128" w:rsidRPr="00064185">
        <w:t>For worst case considerations, wet cleaning of the applicators’ clothes (fraction of emission to the applicator=0.0</w:t>
      </w:r>
      <w:r w:rsidR="00E34C66" w:rsidRPr="00064185">
        <w:t>06</w:t>
      </w:r>
      <w:r w:rsidR="00163128" w:rsidRPr="00064185">
        <w:t>) is assumed with the total fraction of product being emitted to the wastewater (F</w:t>
      </w:r>
      <w:r w:rsidR="00163128" w:rsidRPr="00064185">
        <w:rPr>
          <w:vertAlign w:val="subscript"/>
        </w:rPr>
        <w:t>applicator</w:t>
      </w:r>
      <w:proofErr w:type="gramStart"/>
      <w:r w:rsidR="00163128" w:rsidRPr="00064185">
        <w:rPr>
          <w:vertAlign w:val="subscript"/>
        </w:rPr>
        <w:t>,ww</w:t>
      </w:r>
      <w:proofErr w:type="gramEnd"/>
      <w:r w:rsidR="00163128" w:rsidRPr="00064185">
        <w:t xml:space="preserve">=1). </w:t>
      </w:r>
      <w:r w:rsidR="00ED287E" w:rsidRPr="00064185">
        <w:t>It</w:t>
      </w:r>
      <w:r w:rsidRPr="00064185">
        <w:t xml:space="preserve"> is assumed that </w:t>
      </w:r>
      <w:r w:rsidR="00163128" w:rsidRPr="00064185">
        <w:t>50</w:t>
      </w:r>
      <w:r w:rsidRPr="00064185">
        <w:t xml:space="preserve">% </w:t>
      </w:r>
      <w:r w:rsidR="00ED287E" w:rsidRPr="00064185">
        <w:t>(</w:t>
      </w:r>
      <w:r w:rsidR="00ED287E" w:rsidRPr="00064185">
        <w:rPr>
          <w:bCs/>
        </w:rPr>
        <w:t>F</w:t>
      </w:r>
      <w:r w:rsidR="00ED287E" w:rsidRPr="00064185">
        <w:rPr>
          <w:bCs/>
          <w:vertAlign w:val="subscript"/>
        </w:rPr>
        <w:t>CE</w:t>
      </w:r>
      <w:r w:rsidR="00ED287E" w:rsidRPr="00064185">
        <w:rPr>
          <w:bCs/>
        </w:rPr>
        <w:t>=</w:t>
      </w:r>
      <w:r w:rsidR="00882F76" w:rsidRPr="00064185">
        <w:rPr>
          <w:bCs/>
        </w:rPr>
        <w:t>0.5</w:t>
      </w:r>
      <w:r w:rsidR="00ED287E" w:rsidRPr="00064185">
        <w:t xml:space="preserve">) </w:t>
      </w:r>
      <w:r w:rsidRPr="00064185">
        <w:t xml:space="preserve">of the </w:t>
      </w:r>
      <w:r w:rsidR="00ED287E" w:rsidRPr="00064185">
        <w:t xml:space="preserve">remaining </w:t>
      </w:r>
      <w:r w:rsidRPr="00064185">
        <w:t xml:space="preserve">product </w:t>
      </w:r>
      <w:r w:rsidR="00ED287E" w:rsidRPr="00064185">
        <w:t>is directed to waste water during cleaning of treated surfaces (incl. floors)</w:t>
      </w:r>
      <w:r w:rsidRPr="00064185">
        <w:t>.</w:t>
      </w:r>
      <w:r w:rsidR="00093AEE" w:rsidRPr="00064185">
        <w:t xml:space="preserve"> </w:t>
      </w:r>
    </w:p>
    <w:p w14:paraId="163B2D90" w14:textId="77777777" w:rsidR="002F02EA" w:rsidRPr="00064185" w:rsidRDefault="002F02EA" w:rsidP="00EA61D8">
      <w:pPr>
        <w:pStyle w:val="Textkrper2"/>
        <w:rPr>
          <w:i w:val="0"/>
          <w:color w:val="auto"/>
        </w:rPr>
      </w:pPr>
    </w:p>
    <w:p w14:paraId="2C7B4021" w14:textId="77777777" w:rsidR="007B7919" w:rsidRPr="00064185" w:rsidRDefault="007B7919" w:rsidP="00EA61D8">
      <w:pPr>
        <w:pStyle w:val="Textkrper2"/>
        <w:rPr>
          <w:i w:val="0"/>
          <w:color w:val="auto"/>
        </w:rPr>
      </w:pPr>
    </w:p>
    <w:p w14:paraId="32318B57" w14:textId="77777777" w:rsidR="00280F32" w:rsidRPr="00064185" w:rsidRDefault="00280F32" w:rsidP="00EA61D8">
      <w:pPr>
        <w:pStyle w:val="Textkrper2"/>
        <w:rPr>
          <w:i w:val="0"/>
          <w:color w:val="auto"/>
        </w:rPr>
      </w:pPr>
    </w:p>
    <w:p w14:paraId="774FB9A9" w14:textId="77777777" w:rsidR="002F02EA" w:rsidRPr="00064185" w:rsidRDefault="002F02EA" w:rsidP="00EA61D8">
      <w:pPr>
        <w:pStyle w:val="Textkrper2"/>
        <w:rPr>
          <w:b/>
          <w:i w:val="0"/>
          <w:color w:val="auto"/>
        </w:rPr>
      </w:pPr>
      <w:r w:rsidRPr="00064185">
        <w:rPr>
          <w:b/>
          <w:i w:val="0"/>
          <w:color w:val="auto"/>
        </w:rPr>
        <w:lastRenderedPageBreak/>
        <w:t>Use # 2 – Outoor</w:t>
      </w:r>
    </w:p>
    <w:p w14:paraId="48928C1E" w14:textId="77777777" w:rsidR="00DC620B" w:rsidRPr="00064185" w:rsidRDefault="00DC620B" w:rsidP="00EA61D8">
      <w:pPr>
        <w:pStyle w:val="Textkrper2"/>
        <w:rPr>
          <w:i w:val="0"/>
          <w:color w:val="auto"/>
        </w:rPr>
      </w:pPr>
    </w:p>
    <w:p w14:paraId="39164153" w14:textId="77777777" w:rsidR="00DC620B" w:rsidRPr="00064185" w:rsidRDefault="00DC620B" w:rsidP="00EA61D8">
      <w:pPr>
        <w:pStyle w:val="Textkrper2"/>
        <w:rPr>
          <w:b/>
          <w:i w:val="0"/>
          <w:color w:val="auto"/>
        </w:rPr>
      </w:pPr>
      <w:r w:rsidRPr="00064185">
        <w:rPr>
          <w:b/>
          <w:i w:val="0"/>
          <w:color w:val="auto"/>
        </w:rPr>
        <w:t>- Mixing/loading</w:t>
      </w:r>
    </w:p>
    <w:p w14:paraId="25D4F29B" w14:textId="77777777" w:rsidR="00DC620B" w:rsidRPr="00064185" w:rsidRDefault="00DC620B" w:rsidP="00EA61D8">
      <w:pPr>
        <w:pStyle w:val="Textkrper2"/>
        <w:rPr>
          <w:i w:val="0"/>
          <w:color w:val="auto"/>
        </w:rPr>
      </w:pPr>
      <w:r w:rsidRPr="00064185">
        <w:rPr>
          <w:i w:val="0"/>
          <w:color w:val="auto"/>
        </w:rPr>
        <w:t>Cf. indoor application.</w:t>
      </w:r>
    </w:p>
    <w:p w14:paraId="756BFBE6" w14:textId="77777777" w:rsidR="00DC620B" w:rsidRPr="00064185" w:rsidRDefault="00DC620B" w:rsidP="00EA61D8">
      <w:pPr>
        <w:pStyle w:val="Textkrper2"/>
        <w:rPr>
          <w:i w:val="0"/>
          <w:color w:val="auto"/>
        </w:rPr>
      </w:pPr>
    </w:p>
    <w:p w14:paraId="4AAB8D5B" w14:textId="42478A69" w:rsidR="00DC620B" w:rsidRPr="00064185" w:rsidRDefault="00DC620B" w:rsidP="00EA61D8">
      <w:pPr>
        <w:pStyle w:val="Textkrper2"/>
        <w:rPr>
          <w:b/>
          <w:i w:val="0"/>
          <w:color w:val="auto"/>
        </w:rPr>
      </w:pPr>
      <w:r w:rsidRPr="00064185">
        <w:rPr>
          <w:b/>
          <w:i w:val="0"/>
          <w:color w:val="auto"/>
        </w:rPr>
        <w:t>- Application</w:t>
      </w:r>
      <w:r w:rsidR="00432D82" w:rsidRPr="00064185">
        <w:rPr>
          <w:b/>
          <w:i w:val="0"/>
          <w:color w:val="auto"/>
        </w:rPr>
        <w:t xml:space="preserve"> and weathering</w:t>
      </w:r>
    </w:p>
    <w:p w14:paraId="2D355C07" w14:textId="77777777" w:rsidR="0016323A" w:rsidRPr="00064185" w:rsidRDefault="0016323A" w:rsidP="00EA61D8">
      <w:pPr>
        <w:spacing w:before="60" w:line="276" w:lineRule="auto"/>
        <w:rPr>
          <w:rFonts w:ascii="Times New Roman" w:eastAsia="Calibri" w:hAnsi="Times New Roman"/>
          <w:i/>
          <w:lang w:eastAsia="en-US"/>
        </w:rPr>
      </w:pPr>
    </w:p>
    <w:p w14:paraId="1ECDF53F" w14:textId="44909FCE" w:rsidR="00633AA2" w:rsidRPr="00064185" w:rsidRDefault="00633AA2" w:rsidP="0067302B">
      <w:pPr>
        <w:autoSpaceDE w:val="0"/>
        <w:autoSpaceDN w:val="0"/>
        <w:adjustRightInd w:val="0"/>
        <w:spacing w:line="260" w:lineRule="atLeast"/>
        <w:jc w:val="both"/>
        <w:rPr>
          <w:lang w:val="en-US"/>
        </w:rPr>
      </w:pPr>
      <w:r w:rsidRPr="00064185">
        <w:rPr>
          <w:lang w:val="en-US"/>
        </w:rPr>
        <w:t xml:space="preserve">The product </w:t>
      </w:r>
      <w:r w:rsidRPr="00064185">
        <w:rPr>
          <w:i/>
        </w:rPr>
        <w:t xml:space="preserve">COM 116 02 I AL </w:t>
      </w:r>
      <w:r w:rsidRPr="00064185">
        <w:rPr>
          <w:lang w:val="en-US"/>
        </w:rPr>
        <w:t xml:space="preserve">is used for the control of ants in close proximity to buildings, e.g. on terraces. According to the </w:t>
      </w:r>
      <w:r w:rsidRPr="00064185">
        <w:t xml:space="preserve">ESD for PT 18 </w:t>
      </w:r>
      <w:r w:rsidRPr="00064185">
        <w:rPr>
          <w:lang w:val="en-US"/>
        </w:rPr>
        <w:t xml:space="preserve">it is </w:t>
      </w:r>
      <w:r w:rsidRPr="00064185">
        <w:t>proposed</w:t>
      </w:r>
      <w:r w:rsidRPr="00064185">
        <w:rPr>
          <w:lang w:val="en-US"/>
        </w:rPr>
        <w:t xml:space="preserve"> to assess two theoretical environments, one where 100% of the releases end up in soil in a </w:t>
      </w:r>
      <w:r w:rsidRPr="00064185">
        <w:t>rural</w:t>
      </w:r>
      <w:r w:rsidRPr="00064185">
        <w:rPr>
          <w:lang w:val="en-US"/>
        </w:rPr>
        <w:t xml:space="preserve"> environment and another one where 100% of the releases are sent to sewers in a city environment. Releases can then occur to</w:t>
      </w:r>
      <w:r w:rsidRPr="00064185" w:rsidDel="007E3512">
        <w:rPr>
          <w:lang w:val="en-US"/>
        </w:rPr>
        <w:t xml:space="preserve"> </w:t>
      </w:r>
      <w:r w:rsidRPr="00064185">
        <w:rPr>
          <w:lang w:val="en-US"/>
        </w:rPr>
        <w:t xml:space="preserve">surface water </w:t>
      </w:r>
      <w:r w:rsidR="007E3512" w:rsidRPr="00064185">
        <w:rPr>
          <w:lang w:val="en-US"/>
        </w:rPr>
        <w:t xml:space="preserve">and sediment </w:t>
      </w:r>
      <w:r w:rsidRPr="00064185">
        <w:rPr>
          <w:lang w:val="en-US"/>
        </w:rPr>
        <w:t xml:space="preserve">from STP discharge, to agricultural soil from sludge application and eventually to groundwater. The fractions of the product emitted directly on unpaved soil </w:t>
      </w:r>
      <w:r w:rsidR="007E3512" w:rsidRPr="00064185">
        <w:rPr>
          <w:lang w:val="en-US"/>
        </w:rPr>
        <w:t xml:space="preserve">(rural environment) </w:t>
      </w:r>
      <w:r w:rsidRPr="00064185">
        <w:rPr>
          <w:lang w:val="en-US"/>
        </w:rPr>
        <w:t>will eventually end up to groundwater</w:t>
      </w:r>
      <w:r w:rsidR="00E14305" w:rsidRPr="00064185">
        <w:rPr>
          <w:lang w:val="en-US"/>
        </w:rPr>
        <w:t xml:space="preserve"> as well</w:t>
      </w:r>
      <w:r w:rsidRPr="00064185">
        <w:rPr>
          <w:lang w:val="en-US"/>
        </w:rPr>
        <w:t>.</w:t>
      </w:r>
    </w:p>
    <w:p w14:paraId="757C58B2" w14:textId="77777777" w:rsidR="00633AA2" w:rsidRPr="00064185" w:rsidRDefault="00633AA2" w:rsidP="0067302B">
      <w:pPr>
        <w:autoSpaceDE w:val="0"/>
        <w:autoSpaceDN w:val="0"/>
        <w:adjustRightInd w:val="0"/>
        <w:spacing w:line="260" w:lineRule="atLeast"/>
        <w:jc w:val="both"/>
        <w:rPr>
          <w:lang w:val="en-US"/>
        </w:rPr>
      </w:pPr>
    </w:p>
    <w:p w14:paraId="3E63AC82" w14:textId="08906061" w:rsidR="00633AA2" w:rsidRPr="00064185" w:rsidRDefault="00633AA2" w:rsidP="0067302B">
      <w:pPr>
        <w:autoSpaceDE w:val="0"/>
        <w:autoSpaceDN w:val="0"/>
        <w:adjustRightInd w:val="0"/>
        <w:spacing w:line="260" w:lineRule="atLeast"/>
        <w:jc w:val="both"/>
        <w:rPr>
          <w:i/>
          <w:u w:val="single"/>
          <w:lang w:val="en-US"/>
        </w:rPr>
      </w:pPr>
      <w:r w:rsidRPr="00064185">
        <w:rPr>
          <w:bCs/>
          <w:i/>
          <w:u w:val="single"/>
        </w:rPr>
        <w:t xml:space="preserve">Direct emissions to soil </w:t>
      </w:r>
      <w:r w:rsidRPr="00064185">
        <w:rPr>
          <w:i/>
          <w:u w:val="single"/>
          <w:lang w:val="en-US"/>
        </w:rPr>
        <w:t>as a result of wash-off by rainfall</w:t>
      </w:r>
      <w:r w:rsidR="00614FEB" w:rsidRPr="00064185">
        <w:rPr>
          <w:i/>
          <w:u w:val="single"/>
          <w:lang w:val="en-US"/>
        </w:rPr>
        <w:t xml:space="preserve"> (rural environment)</w:t>
      </w:r>
      <w:r w:rsidRPr="00064185">
        <w:rPr>
          <w:i/>
          <w:u w:val="single"/>
          <w:lang w:val="en-US"/>
        </w:rPr>
        <w:t>:</w:t>
      </w:r>
    </w:p>
    <w:p w14:paraId="10DDDD35" w14:textId="50508871" w:rsidR="00633AA2" w:rsidRPr="00064185" w:rsidRDefault="00633AA2" w:rsidP="0067302B">
      <w:pPr>
        <w:autoSpaceDE w:val="0"/>
        <w:autoSpaceDN w:val="0"/>
        <w:adjustRightInd w:val="0"/>
        <w:spacing w:line="260" w:lineRule="atLeast"/>
        <w:jc w:val="both"/>
        <w:rPr>
          <w:lang w:val="en-US"/>
        </w:rPr>
      </w:pPr>
      <w:r w:rsidRPr="00064185">
        <w:rPr>
          <w:lang w:val="en-US"/>
        </w:rPr>
        <w:t xml:space="preserve">The specific application practice for </w:t>
      </w:r>
      <w:r w:rsidRPr="00064185">
        <w:rPr>
          <w:i/>
        </w:rPr>
        <w:t xml:space="preserve">COM 116 02 I AL </w:t>
      </w:r>
      <w:r w:rsidRPr="00064185">
        <w:rPr>
          <w:lang w:val="en-US"/>
        </w:rPr>
        <w:t xml:space="preserve">foresees spraying of the ready to use product </w:t>
      </w:r>
      <w:r w:rsidR="006A197C" w:rsidRPr="00064185">
        <w:rPr>
          <w:lang w:val="en-US"/>
        </w:rPr>
        <w:t xml:space="preserve">on hard surfaces only </w:t>
      </w:r>
      <w:r w:rsidRPr="00064185">
        <w:rPr>
          <w:lang w:val="en-US"/>
        </w:rPr>
        <w:t>on a</w:t>
      </w:r>
      <w:r w:rsidR="00113965" w:rsidRPr="00064185">
        <w:rPr>
          <w:lang w:val="en-US"/>
        </w:rPr>
        <w:t>nt pathways or on nest entries</w:t>
      </w:r>
      <w:r w:rsidRPr="00064185">
        <w:rPr>
          <w:lang w:val="en-US"/>
        </w:rPr>
        <w:t>. The product must not be used for treatment on bar soil.</w:t>
      </w:r>
    </w:p>
    <w:p w14:paraId="2A7BF5E6" w14:textId="7ECC7A54" w:rsidR="00633AA2" w:rsidRPr="00064185" w:rsidRDefault="00633AA2" w:rsidP="0067302B">
      <w:pPr>
        <w:autoSpaceDE w:val="0"/>
        <w:autoSpaceDN w:val="0"/>
        <w:adjustRightInd w:val="0"/>
        <w:jc w:val="both"/>
        <w:rPr>
          <w:lang w:val="en-US"/>
        </w:rPr>
      </w:pPr>
      <w:r w:rsidRPr="00064185">
        <w:rPr>
          <w:lang w:val="en-US"/>
        </w:rPr>
        <w:t xml:space="preserve">Therefore, direct exposure of soil is considered as a result of wash-off by rainfall from treated surfaces after the application step. In view of the emission estimations of </w:t>
      </w:r>
      <w:r w:rsidRPr="00064185">
        <w:rPr>
          <w:i/>
        </w:rPr>
        <w:t>COM 116 02 I AL</w:t>
      </w:r>
      <w:r w:rsidRPr="00064185">
        <w:rPr>
          <w:lang w:val="en-US"/>
        </w:rPr>
        <w:t xml:space="preserve"> by spraying the emission scenario for crawling insects (chapter 4.4.2.2 of the ESD PT 18) is adopted, which proposes scenarios for the application step and further for wash-off of treated surfaces by rainfall.</w:t>
      </w:r>
      <w:r w:rsidR="00490425" w:rsidRPr="00064185">
        <w:t xml:space="preserve"> </w:t>
      </w:r>
      <w:r w:rsidR="00635720" w:rsidRPr="00064185">
        <w:rPr>
          <w:lang w:val="en-US"/>
        </w:rPr>
        <w:t xml:space="preserve">It is assumed that </w:t>
      </w:r>
      <w:r w:rsidR="00A8517D" w:rsidRPr="00064185">
        <w:rPr>
          <w:lang w:val="en-US"/>
        </w:rPr>
        <w:t xml:space="preserve">70% of the </w:t>
      </w:r>
      <w:r w:rsidR="00635720" w:rsidRPr="00064185">
        <w:rPr>
          <w:lang w:val="en-US"/>
        </w:rPr>
        <w:t>product applied remains on the surface after application</w:t>
      </w:r>
      <w:r w:rsidR="00AB314E" w:rsidRPr="00064185">
        <w:rPr>
          <w:lang w:val="en-US"/>
        </w:rPr>
        <w:t>, whereas 30% are emitted to soil</w:t>
      </w:r>
      <w:r w:rsidR="00635720" w:rsidRPr="00064185">
        <w:rPr>
          <w:lang w:val="en-US"/>
        </w:rPr>
        <w:t>.</w:t>
      </w:r>
      <w:r w:rsidR="00AB314E" w:rsidRPr="00064185">
        <w:rPr>
          <w:lang w:val="en-US"/>
        </w:rPr>
        <w:t xml:space="preserve"> </w:t>
      </w:r>
      <w:r w:rsidR="00635720" w:rsidRPr="00064185">
        <w:rPr>
          <w:lang w:val="en-US"/>
        </w:rPr>
        <w:t>The quantity of substance that is washed off by rainfall is dependent to some extent on the type of surface that is treated (e.g. concrete, cement, tiles).</w:t>
      </w:r>
      <w:r w:rsidR="00635720" w:rsidRPr="00064185">
        <w:rPr>
          <w:rFonts w:cs="TimesNewRoman"/>
          <w:sz w:val="22"/>
          <w:szCs w:val="22"/>
        </w:rPr>
        <w:t xml:space="preserve"> </w:t>
      </w:r>
      <w:r w:rsidR="00635720" w:rsidRPr="00064185">
        <w:rPr>
          <w:lang w:val="en-US"/>
        </w:rPr>
        <w:t>In accordance with the ESD PT18, it is assumed that 50% of th</w:t>
      </w:r>
      <w:r w:rsidR="00B85866" w:rsidRPr="00064185">
        <w:rPr>
          <w:lang w:val="en-US"/>
        </w:rPr>
        <w:t>e applied substance is washed o</w:t>
      </w:r>
      <w:r w:rsidR="009A3C1E" w:rsidRPr="00064185">
        <w:rPr>
          <w:lang w:val="en-US"/>
        </w:rPr>
        <w:t>f</w:t>
      </w:r>
      <w:r w:rsidR="00635720" w:rsidRPr="00064185">
        <w:rPr>
          <w:lang w:val="en-US"/>
        </w:rPr>
        <w:t>f the surface during the first rain event.</w:t>
      </w:r>
      <w:r w:rsidR="00C26F82" w:rsidRPr="00064185">
        <w:rPr>
          <w:lang w:val="en-US"/>
        </w:rPr>
        <w:t xml:space="preserve"> </w:t>
      </w:r>
      <w:r w:rsidR="00D520ED" w:rsidRPr="00064185">
        <w:t xml:space="preserve"> </w:t>
      </w:r>
    </w:p>
    <w:p w14:paraId="6DF5B2D9" w14:textId="77777777" w:rsidR="00A733A3" w:rsidRPr="00064185" w:rsidRDefault="00A733A3" w:rsidP="0067302B">
      <w:pPr>
        <w:spacing w:line="260" w:lineRule="atLeast"/>
        <w:jc w:val="both"/>
        <w:rPr>
          <w:highlight w:val="lightGray"/>
          <w:lang w:val="en-US"/>
        </w:rPr>
      </w:pPr>
    </w:p>
    <w:p w14:paraId="292559C8" w14:textId="2245EE51" w:rsidR="00633AA2" w:rsidRPr="00064185" w:rsidRDefault="00633AA2" w:rsidP="0067302B">
      <w:pPr>
        <w:spacing w:before="120" w:line="260" w:lineRule="atLeast"/>
        <w:jc w:val="both"/>
        <w:rPr>
          <w:i/>
          <w:u w:val="single"/>
        </w:rPr>
      </w:pPr>
      <w:r w:rsidRPr="00064185">
        <w:rPr>
          <w:i/>
          <w:u w:val="single"/>
        </w:rPr>
        <w:t>Direct release to the STP by treatment on hard surfaces</w:t>
      </w:r>
      <w:r w:rsidR="00614FEB" w:rsidRPr="00064185">
        <w:rPr>
          <w:i/>
          <w:u w:val="single"/>
        </w:rPr>
        <w:t xml:space="preserve"> (urban environment)</w:t>
      </w:r>
      <w:r w:rsidRPr="00064185">
        <w:rPr>
          <w:i/>
          <w:u w:val="single"/>
        </w:rPr>
        <w:t>:</w:t>
      </w:r>
    </w:p>
    <w:p w14:paraId="05A88A6F" w14:textId="60E58483" w:rsidR="00994A03" w:rsidRPr="00064185" w:rsidRDefault="00633AA2" w:rsidP="0067302B">
      <w:pPr>
        <w:autoSpaceDE w:val="0"/>
        <w:autoSpaceDN w:val="0"/>
        <w:adjustRightInd w:val="0"/>
        <w:jc w:val="both"/>
        <w:rPr>
          <w:lang w:val="en-US"/>
        </w:rPr>
      </w:pPr>
      <w:r w:rsidRPr="00064185">
        <w:rPr>
          <w:lang w:val="en-US"/>
        </w:rPr>
        <w:t>An emission scenario is included in the environmental risk assessment, considering primary emission to the</w:t>
      </w:r>
      <w:r w:rsidRPr="00064185">
        <w:t xml:space="preserve"> </w:t>
      </w:r>
      <w:r w:rsidR="00717299" w:rsidRPr="00064185">
        <w:rPr>
          <w:lang w:val="en-US"/>
        </w:rPr>
        <w:t>sewage treatment plant</w:t>
      </w:r>
      <w:r w:rsidRPr="00064185">
        <w:rPr>
          <w:lang w:val="en-US"/>
        </w:rPr>
        <w:t xml:space="preserve"> and hence, secondary emission to the aquatic surface water, the sediment compartment and soils via application of sewage sludge. </w:t>
      </w:r>
    </w:p>
    <w:p w14:paraId="38E1AD8F" w14:textId="62E358DE" w:rsidR="00AB314E" w:rsidRPr="00064185" w:rsidRDefault="00633AA2" w:rsidP="0067302B">
      <w:pPr>
        <w:autoSpaceDE w:val="0"/>
        <w:autoSpaceDN w:val="0"/>
        <w:adjustRightInd w:val="0"/>
        <w:jc w:val="both"/>
        <w:rPr>
          <w:lang w:val="en-US"/>
        </w:rPr>
      </w:pPr>
      <w:r w:rsidRPr="00064185">
        <w:rPr>
          <w:lang w:val="en-US"/>
        </w:rPr>
        <w:t xml:space="preserve">In absence of a specialized scenario the soil emission scenario </w:t>
      </w:r>
      <w:r w:rsidR="00994A03" w:rsidRPr="00064185">
        <w:rPr>
          <w:lang w:val="en-US"/>
        </w:rPr>
        <w:t xml:space="preserve">described above </w:t>
      </w:r>
      <w:r w:rsidRPr="00064185">
        <w:rPr>
          <w:lang w:val="en-US"/>
        </w:rPr>
        <w:t>(</w:t>
      </w:r>
      <w:r w:rsidR="003B0AE9" w:rsidRPr="00064185">
        <w:rPr>
          <w:lang w:val="en-US"/>
        </w:rPr>
        <w:t>ESD PT</w:t>
      </w:r>
      <w:r w:rsidR="00A91382" w:rsidRPr="00064185">
        <w:rPr>
          <w:lang w:val="en-US"/>
        </w:rPr>
        <w:t xml:space="preserve"> </w:t>
      </w:r>
      <w:r w:rsidR="003B0AE9" w:rsidRPr="00064185">
        <w:rPr>
          <w:lang w:val="en-US"/>
        </w:rPr>
        <w:t xml:space="preserve">18, </w:t>
      </w:r>
      <w:r w:rsidRPr="00064185">
        <w:rPr>
          <w:lang w:val="en-US"/>
        </w:rPr>
        <w:t>chapter 4.4.2.2</w:t>
      </w:r>
      <w:r w:rsidR="00994A03" w:rsidRPr="00064185">
        <w:rPr>
          <w:lang w:val="en-US"/>
        </w:rPr>
        <w:t xml:space="preserve"> Emission scenario for crawling insects</w:t>
      </w:r>
      <w:r w:rsidRPr="00064185">
        <w:rPr>
          <w:lang w:val="en-US"/>
        </w:rPr>
        <w:t>) was used.</w:t>
      </w:r>
      <w:r w:rsidR="00994A03" w:rsidRPr="00064185">
        <w:rPr>
          <w:lang w:val="en-US"/>
        </w:rPr>
        <w:t xml:space="preserve"> </w:t>
      </w:r>
      <w:r w:rsidR="003B0AE9" w:rsidRPr="00064185">
        <w:rPr>
          <w:lang w:val="en-US"/>
        </w:rPr>
        <w:t xml:space="preserve">Thereby, it was assumed that the </w:t>
      </w:r>
      <w:r w:rsidR="00994A03" w:rsidRPr="00064185">
        <w:rPr>
          <w:lang w:val="en-US"/>
        </w:rPr>
        <w:t xml:space="preserve">releases </w:t>
      </w:r>
      <w:r w:rsidR="000D6738" w:rsidRPr="00064185">
        <w:rPr>
          <w:lang w:val="en-US"/>
        </w:rPr>
        <w:t xml:space="preserve">from </w:t>
      </w:r>
      <w:r w:rsidR="00994A03" w:rsidRPr="00064185">
        <w:rPr>
          <w:lang w:val="en-US"/>
        </w:rPr>
        <w:t>hard surfaces are directed to the rainwater/sewage system during the first rain event following application</w:t>
      </w:r>
      <w:r w:rsidR="003B0AE9" w:rsidRPr="00064185">
        <w:rPr>
          <w:lang w:val="en-US"/>
        </w:rPr>
        <w:t>.</w:t>
      </w:r>
      <w:r w:rsidR="00D520ED" w:rsidRPr="00064185">
        <w:rPr>
          <w:lang w:val="en-US"/>
        </w:rPr>
        <w:t xml:space="preserve"> </w:t>
      </w:r>
      <w:bookmarkStart w:id="1765" w:name="_Toc389729106"/>
      <w:bookmarkStart w:id="1766" w:name="_Toc403472791"/>
    </w:p>
    <w:p w14:paraId="13473EE7" w14:textId="225DC632" w:rsidR="00AB314E" w:rsidRPr="00064185" w:rsidRDefault="00AB314E" w:rsidP="0067302B">
      <w:pPr>
        <w:jc w:val="both"/>
        <w:rPr>
          <w:lang w:val="en-US"/>
        </w:rPr>
      </w:pPr>
    </w:p>
    <w:p w14:paraId="006E4BC7" w14:textId="77777777" w:rsidR="00F27B81" w:rsidRPr="00064185" w:rsidRDefault="00F27B81" w:rsidP="00EA61D8">
      <w:pPr>
        <w:rPr>
          <w:lang w:val="en-US"/>
        </w:rPr>
      </w:pPr>
    </w:p>
    <w:p w14:paraId="10649341" w14:textId="44CC14BA" w:rsidR="00A53EE0" w:rsidRPr="00064185" w:rsidRDefault="00A53EE0" w:rsidP="00EA61D8">
      <w:pPr>
        <w:autoSpaceDE w:val="0"/>
        <w:autoSpaceDN w:val="0"/>
        <w:adjustRightInd w:val="0"/>
        <w:rPr>
          <w:rFonts w:eastAsia="Calibri"/>
          <w:b/>
          <w:i/>
          <w:sz w:val="22"/>
          <w:szCs w:val="22"/>
          <w:lang w:eastAsia="en-US"/>
        </w:rPr>
      </w:pPr>
      <w:r w:rsidRPr="00064185">
        <w:rPr>
          <w:rFonts w:eastAsia="Calibri"/>
          <w:b/>
          <w:i/>
          <w:sz w:val="22"/>
          <w:szCs w:val="22"/>
          <w:lang w:eastAsia="en-US"/>
        </w:rPr>
        <w:t>Further studies on fate and behaviour in the environment (ADS)</w:t>
      </w:r>
      <w:bookmarkEnd w:id="1765"/>
      <w:bookmarkEnd w:id="1766"/>
    </w:p>
    <w:p w14:paraId="02C4E988" w14:textId="730097FD" w:rsidR="00A53EE0" w:rsidRPr="00064185" w:rsidRDefault="00A53EE0" w:rsidP="00EA61D8">
      <w:pPr>
        <w:spacing w:line="260" w:lineRule="atLeast"/>
        <w:rPr>
          <w:rFonts w:ascii="Times New Roman" w:eastAsia="Calibri" w:hAnsi="Times New Roman"/>
          <w:i/>
          <w:strike/>
          <w:lang w:eastAsia="en-US"/>
        </w:rPr>
      </w:pPr>
    </w:p>
    <w:p w14:paraId="7D279809" w14:textId="1E058615" w:rsidR="00424148" w:rsidRPr="00064185" w:rsidRDefault="00424148" w:rsidP="00EA61D8">
      <w:pPr>
        <w:spacing w:line="260" w:lineRule="atLeast"/>
        <w:rPr>
          <w:rFonts w:eastAsia="Calibri"/>
          <w:lang w:eastAsia="en-US"/>
        </w:rPr>
      </w:pPr>
      <w:r w:rsidRPr="00064185">
        <w:rPr>
          <w:rFonts w:eastAsia="Calibri"/>
          <w:lang w:eastAsia="en-US"/>
        </w:rPr>
        <w:t>No new data was submitted.</w:t>
      </w:r>
    </w:p>
    <w:p w14:paraId="5E312281" w14:textId="77777777" w:rsidR="00424148" w:rsidRPr="00064185" w:rsidRDefault="00424148" w:rsidP="00EA61D8">
      <w:pPr>
        <w:spacing w:line="260" w:lineRule="atLeast"/>
        <w:rPr>
          <w:rFonts w:ascii="Times New Roman" w:eastAsia="Calibri" w:hAnsi="Times New Roman"/>
          <w:i/>
          <w:strike/>
          <w:lang w:eastAsia="en-US"/>
        </w:rPr>
      </w:pPr>
    </w:p>
    <w:p w14:paraId="573FC678" w14:textId="77777777" w:rsidR="00014ECA" w:rsidRPr="00064185" w:rsidRDefault="00014ECA" w:rsidP="00EA61D8">
      <w:pPr>
        <w:spacing w:line="260" w:lineRule="atLeast"/>
        <w:rPr>
          <w:rFonts w:ascii="Times New Roman" w:eastAsia="Calibri" w:hAnsi="Times New Roman"/>
          <w:i/>
          <w:strike/>
          <w:lang w:eastAsia="en-US"/>
        </w:rPr>
      </w:pPr>
    </w:p>
    <w:p w14:paraId="6C84CBAE" w14:textId="5F18F60F" w:rsidR="00280F32" w:rsidRPr="00064185" w:rsidRDefault="00280F32" w:rsidP="00EA61D8">
      <w:pPr>
        <w:spacing w:line="260" w:lineRule="atLeast"/>
        <w:rPr>
          <w:rFonts w:ascii="Times New Roman" w:eastAsia="Calibri" w:hAnsi="Times New Roman"/>
          <w:i/>
          <w:strike/>
          <w:lang w:eastAsia="en-US"/>
        </w:rPr>
      </w:pPr>
    </w:p>
    <w:p w14:paraId="08CDED65" w14:textId="77777777" w:rsidR="00280F32" w:rsidRPr="00064185" w:rsidRDefault="00280F32" w:rsidP="00EA61D8">
      <w:pPr>
        <w:spacing w:line="260" w:lineRule="atLeast"/>
        <w:rPr>
          <w:rFonts w:ascii="Times New Roman" w:eastAsia="Calibri" w:hAnsi="Times New Roman"/>
          <w:i/>
          <w:strike/>
          <w:lang w:eastAsia="en-US"/>
        </w:rPr>
      </w:pPr>
    </w:p>
    <w:p w14:paraId="309743C1" w14:textId="77777777" w:rsidR="00280F32" w:rsidRPr="00064185" w:rsidRDefault="00280F32" w:rsidP="00EA61D8">
      <w:pPr>
        <w:spacing w:line="260" w:lineRule="atLeast"/>
        <w:rPr>
          <w:rFonts w:ascii="Times New Roman" w:eastAsia="Calibri" w:hAnsi="Times New Roman"/>
          <w:i/>
          <w:strike/>
          <w:lang w:eastAsia="en-US"/>
        </w:rPr>
      </w:pPr>
    </w:p>
    <w:p w14:paraId="44ADCF0D" w14:textId="77777777" w:rsidR="00A53EE0" w:rsidRPr="00064185" w:rsidRDefault="00A53EE0" w:rsidP="00EA61D8">
      <w:pPr>
        <w:rPr>
          <w:rFonts w:eastAsia="Calibri"/>
          <w:b/>
          <w:i/>
          <w:sz w:val="22"/>
          <w:szCs w:val="22"/>
          <w:lang w:eastAsia="en-US"/>
        </w:rPr>
      </w:pPr>
      <w:bookmarkStart w:id="1767" w:name="_Toc388285334"/>
      <w:bookmarkStart w:id="1768" w:name="_Toc388374383"/>
      <w:bookmarkStart w:id="1769" w:name="_Toc388285335"/>
      <w:bookmarkStart w:id="1770" w:name="_Toc388374384"/>
      <w:bookmarkStart w:id="1771" w:name="_Toc389729107"/>
      <w:bookmarkStart w:id="1772" w:name="_Toc403472792"/>
      <w:bookmarkEnd w:id="1767"/>
      <w:bookmarkEnd w:id="1768"/>
      <w:bookmarkEnd w:id="1769"/>
      <w:bookmarkEnd w:id="1770"/>
      <w:r w:rsidRPr="00064185">
        <w:rPr>
          <w:rFonts w:eastAsia="Calibri"/>
          <w:b/>
          <w:i/>
          <w:sz w:val="22"/>
          <w:szCs w:val="22"/>
          <w:lang w:eastAsia="en-US"/>
        </w:rPr>
        <w:lastRenderedPageBreak/>
        <w:t>Leaching behaviour (ADS)</w:t>
      </w:r>
      <w:bookmarkEnd w:id="1771"/>
      <w:bookmarkEnd w:id="1772"/>
    </w:p>
    <w:p w14:paraId="5AECEDF4" w14:textId="77777777" w:rsidR="00014ECA" w:rsidRPr="00064185" w:rsidRDefault="00014ECA" w:rsidP="00EA61D8">
      <w:pPr>
        <w:rPr>
          <w:rFonts w:eastAsia="Calibri"/>
          <w:b/>
          <w:i/>
          <w:sz w:val="22"/>
          <w:szCs w:val="22"/>
          <w:lang w:eastAsia="en-US"/>
        </w:rPr>
      </w:pPr>
    </w:p>
    <w:p w14:paraId="4E718760" w14:textId="77777777" w:rsidR="00DD2EBE" w:rsidRPr="00064185" w:rsidRDefault="00014ECA" w:rsidP="0067302B">
      <w:pPr>
        <w:spacing w:line="260" w:lineRule="atLeast"/>
        <w:jc w:val="both"/>
      </w:pPr>
      <w:r w:rsidRPr="00064185">
        <w:t>Da</w:t>
      </w:r>
      <w:r w:rsidR="00CA0F4E" w:rsidRPr="00064185">
        <w:t>ta on the leaching behaviour is</w:t>
      </w:r>
      <w:r w:rsidRPr="00064185">
        <w:t xml:space="preserve"> considered </w:t>
      </w:r>
      <w:r w:rsidR="00EF0524" w:rsidRPr="00064185">
        <w:t>not relevant for the intended</w:t>
      </w:r>
      <w:r w:rsidR="003D5865" w:rsidRPr="00064185">
        <w:t xml:space="preserve"> use of </w:t>
      </w:r>
      <w:r w:rsidR="00CA0F4E" w:rsidRPr="00064185">
        <w:t xml:space="preserve">COM 116 </w:t>
      </w:r>
      <w:proofErr w:type="gramStart"/>
      <w:r w:rsidR="00CA0F4E" w:rsidRPr="00064185">
        <w:t>02 I</w:t>
      </w:r>
      <w:proofErr w:type="gramEnd"/>
      <w:r w:rsidR="00CA0F4E" w:rsidRPr="00064185">
        <w:t xml:space="preserve"> AL and thus, is</w:t>
      </w:r>
      <w:r w:rsidRPr="00064185">
        <w:t xml:space="preserve"> not available.</w:t>
      </w:r>
    </w:p>
    <w:p w14:paraId="7FB98CFD" w14:textId="77777777" w:rsidR="007134C2" w:rsidRPr="00064185" w:rsidRDefault="007134C2" w:rsidP="0067302B">
      <w:pPr>
        <w:spacing w:line="260" w:lineRule="atLeast"/>
        <w:jc w:val="both"/>
        <w:rPr>
          <w:rFonts w:ascii="Times New Roman" w:eastAsia="Calibri" w:hAnsi="Times New Roman"/>
          <w:i/>
          <w:iCs/>
          <w:strike/>
          <w:lang w:eastAsia="en-US"/>
        </w:rPr>
      </w:pPr>
    </w:p>
    <w:p w14:paraId="746350A1" w14:textId="77777777" w:rsidR="00A53EE0" w:rsidRPr="00064185" w:rsidRDefault="00A53EE0" w:rsidP="00EA61D8">
      <w:pPr>
        <w:spacing w:line="260" w:lineRule="atLeast"/>
        <w:rPr>
          <w:rFonts w:ascii="Times New Roman" w:eastAsia="Calibri" w:hAnsi="Times New Roman"/>
          <w:i/>
          <w:lang w:eastAsia="en-US"/>
        </w:rPr>
      </w:pPr>
    </w:p>
    <w:p w14:paraId="211919C4" w14:textId="77777777" w:rsidR="00A53EE0" w:rsidRPr="00064185" w:rsidRDefault="00A53EE0" w:rsidP="00EA61D8">
      <w:pPr>
        <w:rPr>
          <w:rFonts w:eastAsia="Calibri"/>
          <w:b/>
          <w:i/>
          <w:sz w:val="22"/>
          <w:szCs w:val="22"/>
          <w:lang w:eastAsia="en-US"/>
        </w:rPr>
      </w:pPr>
      <w:bookmarkStart w:id="1773" w:name="_Toc389729108"/>
      <w:bookmarkStart w:id="1774" w:name="_Toc403472793"/>
      <w:r w:rsidRPr="00064185">
        <w:rPr>
          <w:rFonts w:eastAsia="Calibri"/>
          <w:b/>
          <w:i/>
          <w:sz w:val="22"/>
          <w:szCs w:val="22"/>
          <w:lang w:eastAsia="en-US"/>
        </w:rPr>
        <w:t>Testing for distribution and dissipation in soil (ADS)</w:t>
      </w:r>
      <w:bookmarkEnd w:id="1773"/>
      <w:bookmarkEnd w:id="1774"/>
    </w:p>
    <w:p w14:paraId="1B1E95DB" w14:textId="77777777" w:rsidR="00014ECA" w:rsidRPr="00064185" w:rsidRDefault="00014ECA" w:rsidP="00EA61D8">
      <w:pPr>
        <w:spacing w:line="260" w:lineRule="atLeast"/>
        <w:rPr>
          <w:rFonts w:eastAsia="Calibri"/>
          <w:lang w:eastAsia="en-US"/>
        </w:rPr>
      </w:pPr>
    </w:p>
    <w:p w14:paraId="2C30075A" w14:textId="77777777" w:rsidR="00424148" w:rsidRPr="00064185" w:rsidRDefault="00424148" w:rsidP="00EA61D8">
      <w:pPr>
        <w:spacing w:line="260" w:lineRule="atLeast"/>
        <w:rPr>
          <w:rFonts w:eastAsia="Calibri"/>
          <w:lang w:eastAsia="en-US"/>
        </w:rPr>
      </w:pPr>
      <w:r w:rsidRPr="00064185">
        <w:rPr>
          <w:rFonts w:eastAsia="Calibri"/>
          <w:lang w:eastAsia="en-US"/>
        </w:rPr>
        <w:t>No new data was submitted.</w:t>
      </w:r>
    </w:p>
    <w:p w14:paraId="62ACDA96" w14:textId="6120D46C" w:rsidR="00424148" w:rsidRPr="00064185" w:rsidRDefault="00424148" w:rsidP="00EA61D8">
      <w:pPr>
        <w:spacing w:line="260" w:lineRule="atLeast"/>
        <w:rPr>
          <w:rFonts w:eastAsia="Calibri"/>
          <w:lang w:eastAsia="en-US"/>
        </w:rPr>
      </w:pPr>
    </w:p>
    <w:p w14:paraId="1B4FD811" w14:textId="77777777" w:rsidR="00424148" w:rsidRPr="00064185" w:rsidRDefault="00424148" w:rsidP="00EA61D8">
      <w:pPr>
        <w:spacing w:line="260" w:lineRule="atLeast"/>
        <w:rPr>
          <w:rFonts w:eastAsia="Calibri"/>
          <w:lang w:eastAsia="en-US"/>
        </w:rPr>
      </w:pPr>
    </w:p>
    <w:p w14:paraId="7F67C520" w14:textId="77777777" w:rsidR="00A53EE0" w:rsidRPr="00064185" w:rsidRDefault="00A53EE0" w:rsidP="00EA61D8">
      <w:pPr>
        <w:rPr>
          <w:rFonts w:eastAsia="Calibri"/>
          <w:b/>
          <w:i/>
          <w:sz w:val="22"/>
          <w:szCs w:val="22"/>
          <w:lang w:eastAsia="en-US"/>
        </w:rPr>
      </w:pPr>
      <w:bookmarkStart w:id="1775" w:name="_Toc389729109"/>
      <w:bookmarkStart w:id="1776" w:name="_Toc403472794"/>
      <w:r w:rsidRPr="00064185">
        <w:rPr>
          <w:rFonts w:eastAsia="Calibri"/>
          <w:b/>
          <w:i/>
          <w:sz w:val="22"/>
          <w:szCs w:val="22"/>
          <w:lang w:eastAsia="en-US"/>
        </w:rPr>
        <w:t>Testing for distribution and dissipation in water and sediment (ADS)</w:t>
      </w:r>
      <w:bookmarkEnd w:id="1775"/>
      <w:bookmarkEnd w:id="1776"/>
    </w:p>
    <w:p w14:paraId="6A741332" w14:textId="6702C583" w:rsidR="00424148" w:rsidRPr="00064185" w:rsidRDefault="00424148" w:rsidP="00EA61D8">
      <w:pPr>
        <w:rPr>
          <w:rFonts w:eastAsia="Calibri"/>
          <w:b/>
          <w:i/>
          <w:sz w:val="22"/>
          <w:szCs w:val="22"/>
          <w:lang w:eastAsia="en-US"/>
        </w:rPr>
      </w:pPr>
    </w:p>
    <w:p w14:paraId="1F33A4D8" w14:textId="77777777" w:rsidR="00424148" w:rsidRPr="00064185" w:rsidRDefault="00424148" w:rsidP="00EA61D8">
      <w:pPr>
        <w:spacing w:line="260" w:lineRule="atLeast"/>
        <w:rPr>
          <w:rFonts w:eastAsia="Calibri"/>
          <w:lang w:eastAsia="en-US"/>
        </w:rPr>
      </w:pPr>
      <w:r w:rsidRPr="00064185">
        <w:rPr>
          <w:rFonts w:eastAsia="Calibri"/>
          <w:lang w:eastAsia="en-US"/>
        </w:rPr>
        <w:t>No new data was submitted.</w:t>
      </w:r>
    </w:p>
    <w:p w14:paraId="7000BA94" w14:textId="77777777" w:rsidR="00424148" w:rsidRPr="00064185" w:rsidRDefault="00424148" w:rsidP="00EA61D8">
      <w:pPr>
        <w:rPr>
          <w:rFonts w:eastAsia="Calibri"/>
          <w:b/>
          <w:i/>
          <w:sz w:val="22"/>
          <w:szCs w:val="22"/>
          <w:lang w:eastAsia="en-US"/>
        </w:rPr>
      </w:pPr>
    </w:p>
    <w:p w14:paraId="600ABBAF" w14:textId="77777777" w:rsidR="00354C1C" w:rsidRPr="00064185" w:rsidRDefault="00354C1C" w:rsidP="00EA61D8"/>
    <w:p w14:paraId="16CF1719" w14:textId="77777777" w:rsidR="00A53EE0" w:rsidRPr="00064185" w:rsidRDefault="00A53EE0" w:rsidP="00EA61D8">
      <w:pPr>
        <w:rPr>
          <w:rFonts w:eastAsia="Calibri"/>
          <w:b/>
          <w:i/>
          <w:sz w:val="22"/>
          <w:szCs w:val="22"/>
          <w:lang w:eastAsia="en-US"/>
        </w:rPr>
      </w:pPr>
      <w:bookmarkStart w:id="1777" w:name="_Toc389729110"/>
      <w:bookmarkStart w:id="1778" w:name="_Toc403472795"/>
      <w:r w:rsidRPr="00064185">
        <w:rPr>
          <w:rFonts w:eastAsia="Calibri"/>
          <w:b/>
          <w:i/>
          <w:sz w:val="22"/>
          <w:szCs w:val="22"/>
          <w:lang w:eastAsia="en-US"/>
        </w:rPr>
        <w:t>Testing for distribution and dissipation in air (ADS)</w:t>
      </w:r>
      <w:bookmarkEnd w:id="1777"/>
      <w:bookmarkEnd w:id="1778"/>
    </w:p>
    <w:p w14:paraId="72C39DC3" w14:textId="124AF94D" w:rsidR="00424148" w:rsidRPr="00064185" w:rsidRDefault="00424148" w:rsidP="00EA61D8">
      <w:pPr>
        <w:rPr>
          <w:rFonts w:eastAsia="Calibri"/>
          <w:b/>
          <w:i/>
          <w:sz w:val="22"/>
          <w:szCs w:val="22"/>
          <w:lang w:eastAsia="en-US"/>
        </w:rPr>
      </w:pPr>
    </w:p>
    <w:p w14:paraId="028A64D5" w14:textId="1284FB03" w:rsidR="00424148" w:rsidRPr="00064185" w:rsidRDefault="00424148" w:rsidP="00EA61D8">
      <w:pPr>
        <w:spacing w:line="260" w:lineRule="atLeast"/>
        <w:rPr>
          <w:rFonts w:eastAsia="Calibri"/>
          <w:lang w:eastAsia="en-US"/>
        </w:rPr>
      </w:pPr>
      <w:r w:rsidRPr="00064185">
        <w:rPr>
          <w:rFonts w:eastAsia="Calibri"/>
          <w:lang w:eastAsia="en-US"/>
        </w:rPr>
        <w:t>No new data was submitted.</w:t>
      </w:r>
    </w:p>
    <w:p w14:paraId="3B6E5378" w14:textId="77777777" w:rsidR="00424148" w:rsidRPr="00064185" w:rsidRDefault="00424148" w:rsidP="00EA61D8">
      <w:pPr>
        <w:spacing w:line="260" w:lineRule="atLeast"/>
        <w:rPr>
          <w:rFonts w:eastAsia="Calibri"/>
          <w:lang w:eastAsia="en-US"/>
        </w:rPr>
      </w:pPr>
    </w:p>
    <w:p w14:paraId="4102163D" w14:textId="77777777" w:rsidR="002C2A64" w:rsidRPr="00064185" w:rsidRDefault="002C2A64" w:rsidP="00EA61D8">
      <w:pPr>
        <w:spacing w:line="260" w:lineRule="atLeast"/>
        <w:contextualSpacing/>
        <w:rPr>
          <w:rFonts w:eastAsia="Calibri"/>
          <w:lang w:eastAsia="en-US"/>
        </w:rPr>
      </w:pPr>
    </w:p>
    <w:p w14:paraId="081BF004" w14:textId="77777777" w:rsidR="00A53EE0" w:rsidRPr="00064185" w:rsidRDefault="00A53EE0" w:rsidP="00EA61D8">
      <w:pPr>
        <w:rPr>
          <w:rFonts w:eastAsia="Calibri"/>
          <w:b/>
          <w:i/>
          <w:sz w:val="22"/>
          <w:szCs w:val="22"/>
          <w:lang w:eastAsia="en-US"/>
        </w:rPr>
      </w:pPr>
      <w:bookmarkStart w:id="1779" w:name="_Toc389729111"/>
      <w:bookmarkStart w:id="1780" w:name="_Toc403472796"/>
      <w:r w:rsidRPr="00064185">
        <w:rPr>
          <w:rFonts w:eastAsia="Calibri"/>
          <w:b/>
          <w:i/>
          <w:sz w:val="22"/>
          <w:szCs w:val="22"/>
          <w:lang w:eastAsia="en-US"/>
        </w:rPr>
        <w:t>If the biocidal product is to be sprayed near to surface waters then an overspray study may be required to assess risks to aquatic organisms or plants under field conditions (ADS)</w:t>
      </w:r>
      <w:bookmarkEnd w:id="1779"/>
      <w:bookmarkEnd w:id="1780"/>
    </w:p>
    <w:p w14:paraId="4C2E2024" w14:textId="77777777" w:rsidR="0050624F" w:rsidRPr="00064185" w:rsidRDefault="0050624F" w:rsidP="00EA61D8">
      <w:pPr>
        <w:rPr>
          <w:rFonts w:eastAsia="Calibri"/>
          <w:b/>
          <w:i/>
          <w:sz w:val="22"/>
          <w:szCs w:val="22"/>
          <w:highlight w:val="yellow"/>
          <w:lang w:eastAsia="en-US"/>
        </w:rPr>
      </w:pPr>
    </w:p>
    <w:p w14:paraId="2F38E92B" w14:textId="5636A58B" w:rsidR="00014ECA" w:rsidRPr="00064185" w:rsidRDefault="0050624F" w:rsidP="0067302B">
      <w:pPr>
        <w:spacing w:line="260" w:lineRule="atLeast"/>
        <w:jc w:val="both"/>
      </w:pPr>
      <w:r w:rsidRPr="00064185">
        <w:t>The product is intended for in- and outdoor use via spray application</w:t>
      </w:r>
      <w:r w:rsidR="00694512" w:rsidRPr="00064185">
        <w:t xml:space="preserve"> in restricted areas</w:t>
      </w:r>
      <w:r w:rsidRPr="00064185">
        <w:t>. Outdoor use is restricted to paved surfaces in roof-covered areas, protected from rain-fall or cleaning wash according to label instructions. Thus direct emissions to surface water and sediment are not expected.</w:t>
      </w:r>
    </w:p>
    <w:p w14:paraId="28ADFEC1" w14:textId="77777777" w:rsidR="00383B96" w:rsidRPr="00064185" w:rsidRDefault="00383B96" w:rsidP="0067302B">
      <w:pPr>
        <w:spacing w:line="260" w:lineRule="atLeast"/>
        <w:jc w:val="both"/>
        <w:rPr>
          <w:rFonts w:eastAsia="Calibri"/>
          <w:lang w:eastAsia="en-US"/>
        </w:rPr>
      </w:pPr>
      <w:r w:rsidRPr="00064185">
        <w:rPr>
          <w:rFonts w:eastAsia="Calibri"/>
          <w:lang w:eastAsia="en-US"/>
        </w:rPr>
        <w:t>No new data was submitted.</w:t>
      </w:r>
    </w:p>
    <w:p w14:paraId="7110A5F0" w14:textId="77777777" w:rsidR="0050624F" w:rsidRPr="00064185" w:rsidRDefault="0050624F" w:rsidP="00EA61D8">
      <w:pPr>
        <w:spacing w:line="260" w:lineRule="atLeast"/>
        <w:rPr>
          <w:rFonts w:eastAsia="Calibri"/>
          <w:highlight w:val="yellow"/>
          <w:lang w:eastAsia="en-US"/>
        </w:rPr>
      </w:pPr>
    </w:p>
    <w:p w14:paraId="2ECEDD05" w14:textId="77777777" w:rsidR="002C2A64" w:rsidRPr="00064185" w:rsidRDefault="002C2A64" w:rsidP="00EA61D8">
      <w:pPr>
        <w:spacing w:line="260" w:lineRule="atLeast"/>
        <w:rPr>
          <w:rFonts w:eastAsia="Calibri"/>
          <w:highlight w:val="yellow"/>
          <w:lang w:eastAsia="en-US"/>
        </w:rPr>
      </w:pPr>
    </w:p>
    <w:p w14:paraId="5101CA14" w14:textId="77777777" w:rsidR="00A53EE0" w:rsidRPr="00064185" w:rsidRDefault="00A53EE0" w:rsidP="00EA61D8">
      <w:pPr>
        <w:rPr>
          <w:rFonts w:eastAsia="Calibri"/>
          <w:b/>
          <w:i/>
          <w:sz w:val="22"/>
          <w:szCs w:val="22"/>
          <w:lang w:eastAsia="en-US"/>
        </w:rPr>
      </w:pPr>
      <w:bookmarkStart w:id="1781" w:name="_Toc388285341"/>
      <w:bookmarkStart w:id="1782" w:name="_Toc388374391"/>
      <w:bookmarkStart w:id="1783" w:name="_Toc388285342"/>
      <w:bookmarkStart w:id="1784" w:name="_Toc388374392"/>
      <w:bookmarkStart w:id="1785" w:name="_Toc389729112"/>
      <w:bookmarkStart w:id="1786" w:name="_Toc403472797"/>
      <w:bookmarkEnd w:id="1781"/>
      <w:bookmarkEnd w:id="1782"/>
      <w:bookmarkEnd w:id="1783"/>
      <w:bookmarkEnd w:id="1784"/>
      <w:r w:rsidRPr="00064185">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1785"/>
      <w:bookmarkEnd w:id="1786"/>
    </w:p>
    <w:p w14:paraId="4CB2431F" w14:textId="77777777" w:rsidR="00B9518F" w:rsidRPr="00064185" w:rsidRDefault="00B9518F" w:rsidP="00EA61D8">
      <w:pPr>
        <w:spacing w:line="260" w:lineRule="atLeast"/>
        <w:rPr>
          <w:rFonts w:ascii="Times New Roman" w:eastAsia="Calibri" w:hAnsi="Times New Roman"/>
          <w:i/>
          <w:iCs/>
          <w:strike/>
          <w:highlight w:val="yellow"/>
          <w:lang w:eastAsia="en-US"/>
        </w:rPr>
      </w:pPr>
      <w:bookmarkStart w:id="1787" w:name="_Toc388374394"/>
      <w:bookmarkEnd w:id="1787"/>
    </w:p>
    <w:p w14:paraId="6DC5DEA4" w14:textId="19C311A2" w:rsidR="00B9518F" w:rsidRPr="00064185" w:rsidRDefault="00B9518F" w:rsidP="0067302B">
      <w:pPr>
        <w:jc w:val="both"/>
        <w:rPr>
          <w:rFonts w:eastAsia="Calibri"/>
          <w:lang w:eastAsia="en-US"/>
        </w:rPr>
      </w:pPr>
      <w:r w:rsidRPr="00064185">
        <w:t xml:space="preserve">The product is </w:t>
      </w:r>
      <w:r w:rsidR="00662ADA" w:rsidRPr="00064185">
        <w:t xml:space="preserve">intended to be </w:t>
      </w:r>
      <w:r w:rsidRPr="00064185">
        <w:t>applied outdoors on hard, paved surfaces</w:t>
      </w:r>
      <w:r w:rsidR="00662ADA" w:rsidRPr="00064185">
        <w:t xml:space="preserve">, </w:t>
      </w:r>
      <w:r w:rsidRPr="00064185">
        <w:t xml:space="preserve">in areas protected from wash-off by weathering. </w:t>
      </w:r>
      <w:r w:rsidR="00662ADA" w:rsidRPr="00064185">
        <w:t>During spray</w:t>
      </w:r>
      <w:r w:rsidR="00911813" w:rsidRPr="00064185">
        <w:t xml:space="preserve"> application, liquid droplets or solid particles sprayed outdoor</w:t>
      </w:r>
      <w:r w:rsidR="00D27CE4" w:rsidRPr="00064185">
        <w:t>s</w:t>
      </w:r>
      <w:r w:rsidR="00911813" w:rsidRPr="00064185">
        <w:t xml:space="preserve"> are not expected to remain airborne but will settle on the ground. </w:t>
      </w:r>
      <w:r w:rsidR="00662ADA" w:rsidRPr="00064185">
        <w:t xml:space="preserve">A large scale formation of dust is not likely. </w:t>
      </w:r>
      <w:r w:rsidR="00911813" w:rsidRPr="00064185">
        <w:t xml:space="preserve">Effects on non-target species are expected to be low because of instant dilution and turbulence in air (OECD, 2008). </w:t>
      </w:r>
    </w:p>
    <w:p w14:paraId="0111DA22" w14:textId="77777777" w:rsidR="00383B96" w:rsidRPr="00064185" w:rsidRDefault="00383B96" w:rsidP="0067302B">
      <w:pPr>
        <w:spacing w:line="260" w:lineRule="atLeast"/>
        <w:jc w:val="both"/>
        <w:rPr>
          <w:rFonts w:eastAsia="Calibri"/>
          <w:lang w:eastAsia="en-US"/>
        </w:rPr>
      </w:pPr>
      <w:r w:rsidRPr="00064185">
        <w:rPr>
          <w:rFonts w:eastAsia="Calibri"/>
          <w:lang w:eastAsia="en-US"/>
        </w:rPr>
        <w:t>No new data was submitted.</w:t>
      </w:r>
    </w:p>
    <w:p w14:paraId="1C85B15E" w14:textId="77777777" w:rsidR="0097689C" w:rsidRPr="00064185" w:rsidRDefault="0097689C" w:rsidP="00EA61D8">
      <w:pPr>
        <w:spacing w:line="260" w:lineRule="atLeast"/>
        <w:rPr>
          <w:rFonts w:eastAsia="Calibri"/>
          <w:lang w:eastAsia="en-US"/>
        </w:rPr>
      </w:pPr>
    </w:p>
    <w:p w14:paraId="6B4B3A4E" w14:textId="77777777" w:rsidR="00A404F4" w:rsidRPr="00064185" w:rsidRDefault="00A404F4" w:rsidP="00EA61D8">
      <w:pPr>
        <w:spacing w:line="260" w:lineRule="atLeast"/>
        <w:rPr>
          <w:rFonts w:eastAsia="Calibri"/>
          <w:lang w:eastAsia="en-US"/>
        </w:rPr>
      </w:pPr>
    </w:p>
    <w:p w14:paraId="319EA848" w14:textId="77777777" w:rsidR="00742592" w:rsidRPr="00064185" w:rsidRDefault="00742592" w:rsidP="00EA61D8">
      <w:pPr>
        <w:rPr>
          <w:rFonts w:eastAsia="Calibri"/>
          <w:b/>
          <w:i/>
          <w:caps/>
          <w:sz w:val="22"/>
          <w:lang w:eastAsia="en-US"/>
        </w:rPr>
      </w:pPr>
      <w:bookmarkStart w:id="1788" w:name="_Toc377651044"/>
      <w:bookmarkStart w:id="1789" w:name="_Toc389729113"/>
      <w:bookmarkStart w:id="1790" w:name="_Toc403472798"/>
      <w:bookmarkStart w:id="1791" w:name="_Toc440879668"/>
      <w:bookmarkStart w:id="1792" w:name="_Toc440889981"/>
      <w:r w:rsidRPr="00064185">
        <w:br w:type="page"/>
      </w:r>
    </w:p>
    <w:p w14:paraId="31B87139" w14:textId="127F1D95" w:rsidR="00A53EE0" w:rsidRPr="00064185" w:rsidRDefault="00A53EE0" w:rsidP="00EA61D8">
      <w:pPr>
        <w:pStyle w:val="berschrift4"/>
        <w:jc w:val="left"/>
      </w:pPr>
      <w:bookmarkStart w:id="1793" w:name="_Toc530563686"/>
      <w:r w:rsidRPr="00064185">
        <w:lastRenderedPageBreak/>
        <w:t>Exposure assessment</w:t>
      </w:r>
      <w:bookmarkEnd w:id="1788"/>
      <w:bookmarkEnd w:id="1789"/>
      <w:bookmarkEnd w:id="1790"/>
      <w:bookmarkEnd w:id="1791"/>
      <w:bookmarkEnd w:id="1792"/>
      <w:bookmarkEnd w:id="1793"/>
    </w:p>
    <w:p w14:paraId="0BDC7825" w14:textId="77777777" w:rsidR="00A53EE0" w:rsidRPr="00064185" w:rsidRDefault="00A53EE0" w:rsidP="00EA61D8">
      <w:pPr>
        <w:spacing w:line="276" w:lineRule="auto"/>
        <w:rPr>
          <w:rFonts w:eastAsia="Calibri"/>
          <w:b/>
          <w:lang w:eastAsia="en-US"/>
        </w:rPr>
      </w:pPr>
      <w:bookmarkStart w:id="1794" w:name="_Toc377651045"/>
      <w:r w:rsidRPr="00064185">
        <w:rPr>
          <w:rFonts w:eastAsia="Calibri"/>
          <w:b/>
          <w:lang w:eastAsia="en-US"/>
        </w:rPr>
        <w:t>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6463"/>
      </w:tblGrid>
      <w:tr w:rsidR="00064185" w:rsidRPr="00064185" w14:paraId="12D0652E" w14:textId="77777777" w:rsidTr="00354C1C">
        <w:tc>
          <w:tcPr>
            <w:tcW w:w="1573" w:type="pct"/>
            <w:shd w:val="clear" w:color="auto" w:fill="FFFFCC"/>
            <w:vAlign w:val="center"/>
          </w:tcPr>
          <w:p w14:paraId="23F9CE27" w14:textId="77777777" w:rsidR="00A53EE0" w:rsidRPr="00064185" w:rsidRDefault="00A53EE0" w:rsidP="00EA61D8">
            <w:pPr>
              <w:spacing w:line="276" w:lineRule="auto"/>
              <w:rPr>
                <w:rFonts w:eastAsia="Calibri"/>
                <w:lang w:eastAsia="en-US"/>
              </w:rPr>
            </w:pPr>
            <w:r w:rsidRPr="00064185">
              <w:rPr>
                <w:rFonts w:eastAsia="Calibri"/>
                <w:lang w:eastAsia="en-US"/>
              </w:rPr>
              <w:t>Assessed PT</w:t>
            </w:r>
          </w:p>
        </w:tc>
        <w:tc>
          <w:tcPr>
            <w:tcW w:w="3427" w:type="pct"/>
            <w:shd w:val="clear" w:color="auto" w:fill="auto"/>
            <w:vAlign w:val="center"/>
          </w:tcPr>
          <w:p w14:paraId="4166762D" w14:textId="77777777" w:rsidR="00A53EE0" w:rsidRPr="00064185" w:rsidRDefault="00305B18" w:rsidP="00EA61D8">
            <w:pPr>
              <w:spacing w:line="276" w:lineRule="auto"/>
              <w:rPr>
                <w:rFonts w:eastAsia="Calibri"/>
                <w:lang w:eastAsia="en-US"/>
              </w:rPr>
            </w:pPr>
            <w:r w:rsidRPr="00064185">
              <w:rPr>
                <w:rFonts w:eastAsia="Calibri"/>
                <w:lang w:eastAsia="en-US"/>
              </w:rPr>
              <w:t>PT18</w:t>
            </w:r>
          </w:p>
        </w:tc>
      </w:tr>
      <w:tr w:rsidR="00064185" w:rsidRPr="00064185" w14:paraId="5973231F" w14:textId="77777777" w:rsidTr="00354C1C">
        <w:tc>
          <w:tcPr>
            <w:tcW w:w="1573" w:type="pct"/>
            <w:shd w:val="clear" w:color="auto" w:fill="FFFFCC"/>
            <w:vAlign w:val="center"/>
          </w:tcPr>
          <w:p w14:paraId="5FC65E77" w14:textId="77777777" w:rsidR="00A53EE0" w:rsidRPr="00064185" w:rsidRDefault="00A53EE0" w:rsidP="00EA61D8">
            <w:pPr>
              <w:spacing w:line="276" w:lineRule="auto"/>
              <w:rPr>
                <w:rFonts w:eastAsia="Calibri"/>
                <w:lang w:eastAsia="en-US"/>
              </w:rPr>
            </w:pPr>
            <w:r w:rsidRPr="00064185">
              <w:rPr>
                <w:rFonts w:eastAsia="Calibri"/>
                <w:lang w:eastAsia="en-US"/>
              </w:rPr>
              <w:t>Assessed scenarios</w:t>
            </w:r>
          </w:p>
        </w:tc>
        <w:tc>
          <w:tcPr>
            <w:tcW w:w="3427" w:type="pct"/>
            <w:shd w:val="clear" w:color="auto" w:fill="auto"/>
            <w:vAlign w:val="center"/>
          </w:tcPr>
          <w:p w14:paraId="27C14EAB" w14:textId="77777777" w:rsidR="00DC53DE" w:rsidRPr="00064185" w:rsidRDefault="00A53EE0" w:rsidP="00EA61D8">
            <w:pPr>
              <w:spacing w:line="276" w:lineRule="auto"/>
              <w:rPr>
                <w:rFonts w:eastAsia="Calibri"/>
                <w:lang w:eastAsia="en-US"/>
              </w:rPr>
            </w:pPr>
            <w:r w:rsidRPr="00064185">
              <w:rPr>
                <w:rFonts w:eastAsia="Calibri"/>
                <w:u w:val="single"/>
                <w:lang w:eastAsia="en-US"/>
              </w:rPr>
              <w:t>Scenario 1:</w:t>
            </w:r>
            <w:r w:rsidRPr="00064185">
              <w:rPr>
                <w:rFonts w:eastAsia="Calibri"/>
                <w:lang w:eastAsia="en-US"/>
              </w:rPr>
              <w:t xml:space="preserve"> </w:t>
            </w:r>
            <w:r w:rsidR="00972568" w:rsidRPr="00064185">
              <w:t xml:space="preserve">Spray application; </w:t>
            </w:r>
            <w:r w:rsidR="00593129" w:rsidRPr="00064185">
              <w:rPr>
                <w:rFonts w:eastAsia="Calibri"/>
                <w:lang w:eastAsia="en-US"/>
              </w:rPr>
              <w:t xml:space="preserve">indoor use </w:t>
            </w:r>
          </w:p>
          <w:p w14:paraId="4D79EC82" w14:textId="0B7502FD" w:rsidR="00A53EE0" w:rsidRPr="00064185" w:rsidRDefault="00A53EE0" w:rsidP="00EA61D8">
            <w:pPr>
              <w:spacing w:line="276" w:lineRule="auto"/>
              <w:rPr>
                <w:rFonts w:eastAsia="Calibri"/>
                <w:lang w:eastAsia="en-US"/>
              </w:rPr>
            </w:pPr>
            <w:r w:rsidRPr="00064185">
              <w:rPr>
                <w:rFonts w:eastAsia="Calibri"/>
                <w:u w:val="single"/>
                <w:lang w:eastAsia="en-US"/>
              </w:rPr>
              <w:t>Scenario 2:</w:t>
            </w:r>
            <w:r w:rsidRPr="00064185">
              <w:rPr>
                <w:rFonts w:eastAsia="Calibri"/>
                <w:lang w:eastAsia="en-US"/>
              </w:rPr>
              <w:t xml:space="preserve"> </w:t>
            </w:r>
            <w:r w:rsidR="00972568" w:rsidRPr="00064185">
              <w:t xml:space="preserve">Spray application; </w:t>
            </w:r>
            <w:r w:rsidR="00593129" w:rsidRPr="00064185">
              <w:rPr>
                <w:rFonts w:eastAsia="Calibri"/>
                <w:lang w:eastAsia="en-US"/>
              </w:rPr>
              <w:t xml:space="preserve">outdoor use, application on paved </w:t>
            </w:r>
            <w:r w:rsidR="00677D88" w:rsidRPr="00064185">
              <w:rPr>
                <w:rFonts w:eastAsia="Calibri"/>
                <w:lang w:eastAsia="en-US"/>
              </w:rPr>
              <w:t xml:space="preserve">surfaces </w:t>
            </w:r>
            <w:r w:rsidR="006E4856" w:rsidRPr="00064185">
              <w:rPr>
                <w:rFonts w:eastAsia="Calibri"/>
                <w:lang w:eastAsia="en-US"/>
              </w:rPr>
              <w:t>e.g.: terraces</w:t>
            </w:r>
          </w:p>
        </w:tc>
      </w:tr>
      <w:tr w:rsidR="00064185" w:rsidRPr="00064185" w14:paraId="732DD480" w14:textId="77777777" w:rsidTr="00354C1C">
        <w:tc>
          <w:tcPr>
            <w:tcW w:w="1573" w:type="pct"/>
            <w:shd w:val="clear" w:color="auto" w:fill="FFFFCC"/>
            <w:vAlign w:val="center"/>
          </w:tcPr>
          <w:p w14:paraId="31174BAE" w14:textId="77777777" w:rsidR="00A53EE0" w:rsidRPr="00064185" w:rsidRDefault="00A53EE0" w:rsidP="00EA61D8">
            <w:pPr>
              <w:spacing w:line="276" w:lineRule="auto"/>
              <w:rPr>
                <w:rFonts w:eastAsia="Calibri"/>
                <w:lang w:eastAsia="en-US"/>
              </w:rPr>
            </w:pPr>
            <w:r w:rsidRPr="00064185">
              <w:rPr>
                <w:rFonts w:eastAsia="Calibri"/>
                <w:lang w:eastAsia="en-US"/>
              </w:rPr>
              <w:t>ESD(s) used</w:t>
            </w:r>
          </w:p>
        </w:tc>
        <w:tc>
          <w:tcPr>
            <w:tcW w:w="3427" w:type="pct"/>
            <w:shd w:val="clear" w:color="auto" w:fill="auto"/>
            <w:vAlign w:val="center"/>
          </w:tcPr>
          <w:p w14:paraId="729C59CC" w14:textId="24872779" w:rsidR="00A53EE0" w:rsidRPr="00064185" w:rsidRDefault="00A81B6D" w:rsidP="00EA61D8">
            <w:pPr>
              <w:spacing w:line="276" w:lineRule="auto"/>
              <w:rPr>
                <w:rFonts w:eastAsia="Calibri"/>
                <w:lang w:eastAsia="en-US"/>
              </w:rPr>
            </w:pPr>
            <w:r w:rsidRPr="00064185">
              <w:rPr>
                <w:rFonts w:eastAsia="Calibri"/>
                <w:lang w:eastAsia="en-US"/>
              </w:rPr>
              <w:t>Emission Scenario Document for Product Type 18: Insecticides, acaricides and products to control other arthropods (ENV/JM/MONO(2008)14)</w:t>
            </w:r>
          </w:p>
        </w:tc>
      </w:tr>
      <w:tr w:rsidR="00064185" w:rsidRPr="00064185" w14:paraId="21729749" w14:textId="77777777" w:rsidTr="00354C1C">
        <w:tc>
          <w:tcPr>
            <w:tcW w:w="1573" w:type="pct"/>
            <w:shd w:val="clear" w:color="auto" w:fill="FFFFCC"/>
            <w:vAlign w:val="center"/>
          </w:tcPr>
          <w:p w14:paraId="403E3A32" w14:textId="77777777" w:rsidR="00A53EE0" w:rsidRPr="00064185" w:rsidRDefault="00A53EE0" w:rsidP="00EA61D8">
            <w:pPr>
              <w:spacing w:line="276" w:lineRule="auto"/>
              <w:rPr>
                <w:rFonts w:eastAsia="Calibri"/>
                <w:highlight w:val="yellow"/>
                <w:lang w:eastAsia="en-US"/>
              </w:rPr>
            </w:pPr>
            <w:r w:rsidRPr="00064185">
              <w:rPr>
                <w:rFonts w:eastAsia="Calibri"/>
                <w:lang w:eastAsia="en-US"/>
              </w:rPr>
              <w:t>Approach</w:t>
            </w:r>
          </w:p>
        </w:tc>
        <w:tc>
          <w:tcPr>
            <w:tcW w:w="3427" w:type="pct"/>
            <w:shd w:val="clear" w:color="auto" w:fill="auto"/>
            <w:vAlign w:val="center"/>
          </w:tcPr>
          <w:p w14:paraId="797DA847" w14:textId="04C84658" w:rsidR="00274A36" w:rsidRPr="00064185" w:rsidRDefault="00274A36" w:rsidP="00EA61D8">
            <w:pPr>
              <w:spacing w:line="276" w:lineRule="auto"/>
              <w:rPr>
                <w:rFonts w:eastAsia="Calibri"/>
                <w:lang w:eastAsia="en-US"/>
              </w:rPr>
            </w:pPr>
            <w:r w:rsidRPr="00064185">
              <w:rPr>
                <w:rFonts w:eastAsia="Calibri"/>
                <w:lang w:eastAsia="en-US"/>
              </w:rPr>
              <w:t>No tonnage based scenario available.</w:t>
            </w:r>
          </w:p>
          <w:p w14:paraId="1DE97D24" w14:textId="72EC48A7" w:rsidR="00A53EE0" w:rsidRPr="00064185" w:rsidRDefault="00274A36" w:rsidP="00EA61D8">
            <w:pPr>
              <w:spacing w:line="276" w:lineRule="auto"/>
              <w:rPr>
                <w:rFonts w:eastAsia="Calibri"/>
              </w:rPr>
            </w:pPr>
            <w:r w:rsidRPr="00064185">
              <w:rPr>
                <w:rFonts w:eastAsia="Calibri"/>
                <w:lang w:eastAsia="en-US"/>
              </w:rPr>
              <w:t>A consumption based approach has been used as a suitable protective measure at the local level.</w:t>
            </w:r>
          </w:p>
        </w:tc>
      </w:tr>
      <w:tr w:rsidR="00064185" w:rsidRPr="00064185" w14:paraId="1F1D8E2E" w14:textId="77777777" w:rsidTr="00354C1C">
        <w:tc>
          <w:tcPr>
            <w:tcW w:w="1573" w:type="pct"/>
            <w:shd w:val="clear" w:color="auto" w:fill="FFFFCC"/>
            <w:vAlign w:val="center"/>
          </w:tcPr>
          <w:p w14:paraId="442290C1" w14:textId="77777777" w:rsidR="00A53EE0" w:rsidRPr="00064185" w:rsidRDefault="00A53EE0" w:rsidP="00EA61D8">
            <w:pPr>
              <w:spacing w:line="276" w:lineRule="auto"/>
              <w:rPr>
                <w:rFonts w:eastAsia="Calibri"/>
                <w:lang w:eastAsia="en-US"/>
              </w:rPr>
            </w:pPr>
            <w:r w:rsidRPr="00064185">
              <w:rPr>
                <w:rFonts w:eastAsia="Calibri"/>
                <w:lang w:eastAsia="en-US"/>
              </w:rPr>
              <w:t>Distribution in the environment</w:t>
            </w:r>
          </w:p>
        </w:tc>
        <w:tc>
          <w:tcPr>
            <w:tcW w:w="3427" w:type="pct"/>
            <w:shd w:val="clear" w:color="auto" w:fill="auto"/>
            <w:vAlign w:val="center"/>
          </w:tcPr>
          <w:p w14:paraId="7D180FA8" w14:textId="1FD7F106" w:rsidR="00D87882" w:rsidRPr="00064185" w:rsidRDefault="00D87882" w:rsidP="00EA61D8">
            <w:pPr>
              <w:spacing w:line="276" w:lineRule="auto"/>
              <w:rPr>
                <w:rFonts w:eastAsia="Calibri"/>
                <w:lang w:eastAsia="en-US"/>
              </w:rPr>
            </w:pPr>
            <w:r w:rsidRPr="00064185">
              <w:rPr>
                <w:rFonts w:eastAsia="Calibri"/>
                <w:lang w:eastAsia="en-US"/>
              </w:rPr>
              <w:t xml:space="preserve">Distribution in the environment is </w:t>
            </w:r>
            <w:r w:rsidR="00A81B6D" w:rsidRPr="00064185">
              <w:rPr>
                <w:rFonts w:eastAsia="Calibri"/>
                <w:lang w:val="en-US"/>
              </w:rPr>
              <w:t>calculated based on TGD</w:t>
            </w:r>
            <w:r w:rsidR="00A81B6D" w:rsidRPr="00064185">
              <w:rPr>
                <w:rStyle w:val="Funotenzeichen"/>
                <w:vertAlign w:val="superscript"/>
                <w:lang w:val="en-US"/>
              </w:rPr>
              <w:footnoteReference w:id="8"/>
            </w:r>
            <w:r w:rsidR="00A81B6D" w:rsidRPr="00064185">
              <w:rPr>
                <w:lang w:val="en-US"/>
              </w:rPr>
              <w:t xml:space="preserve"> for Risk Assessment (EC, 2003)</w:t>
            </w:r>
          </w:p>
        </w:tc>
      </w:tr>
      <w:tr w:rsidR="00064185" w:rsidRPr="00064185" w14:paraId="3A198FB0" w14:textId="77777777" w:rsidTr="00354C1C">
        <w:tc>
          <w:tcPr>
            <w:tcW w:w="1573" w:type="pct"/>
            <w:shd w:val="clear" w:color="auto" w:fill="FFFFCC"/>
            <w:vAlign w:val="center"/>
          </w:tcPr>
          <w:p w14:paraId="4BE42EC9" w14:textId="77777777" w:rsidR="00A53EE0" w:rsidRPr="00064185" w:rsidRDefault="00A53EE0" w:rsidP="00EA61D8">
            <w:pPr>
              <w:spacing w:line="276" w:lineRule="auto"/>
              <w:rPr>
                <w:rFonts w:eastAsia="Calibri"/>
                <w:lang w:eastAsia="en-US"/>
              </w:rPr>
            </w:pPr>
            <w:r w:rsidRPr="00064185">
              <w:rPr>
                <w:rFonts w:eastAsia="Calibri"/>
                <w:lang w:eastAsia="en-US"/>
              </w:rPr>
              <w:t>Groundwater simulation</w:t>
            </w:r>
          </w:p>
        </w:tc>
        <w:tc>
          <w:tcPr>
            <w:tcW w:w="3427" w:type="pct"/>
            <w:shd w:val="clear" w:color="auto" w:fill="auto"/>
            <w:vAlign w:val="center"/>
          </w:tcPr>
          <w:p w14:paraId="0BE3B814" w14:textId="77777777" w:rsidR="00A53EE0" w:rsidRPr="00064185" w:rsidRDefault="00593129" w:rsidP="00EA61D8">
            <w:pPr>
              <w:spacing w:line="276" w:lineRule="auto"/>
              <w:rPr>
                <w:rFonts w:eastAsia="Calibri"/>
                <w:lang w:eastAsia="en-US"/>
              </w:rPr>
            </w:pPr>
            <w:r w:rsidRPr="00064185">
              <w:rPr>
                <w:rFonts w:eastAsia="Calibri"/>
                <w:lang w:eastAsia="en-US"/>
              </w:rPr>
              <w:t>Not relevant</w:t>
            </w:r>
          </w:p>
        </w:tc>
      </w:tr>
      <w:tr w:rsidR="00064185" w:rsidRPr="00064185" w14:paraId="09580EB3" w14:textId="77777777" w:rsidTr="00354C1C">
        <w:tc>
          <w:tcPr>
            <w:tcW w:w="1573" w:type="pct"/>
            <w:shd w:val="clear" w:color="auto" w:fill="FFFFCC"/>
            <w:vAlign w:val="center"/>
          </w:tcPr>
          <w:p w14:paraId="01AA242A" w14:textId="77777777" w:rsidR="00A53EE0" w:rsidRPr="00064185" w:rsidRDefault="00A53EE0" w:rsidP="00EA61D8">
            <w:pPr>
              <w:spacing w:line="276" w:lineRule="auto"/>
              <w:rPr>
                <w:rFonts w:eastAsia="Calibri"/>
                <w:lang w:eastAsia="en-US"/>
              </w:rPr>
            </w:pPr>
            <w:r w:rsidRPr="00064185">
              <w:rPr>
                <w:rFonts w:eastAsia="Calibri"/>
                <w:lang w:eastAsia="en-US"/>
              </w:rPr>
              <w:t>Confidential Annexes</w:t>
            </w:r>
          </w:p>
        </w:tc>
        <w:tc>
          <w:tcPr>
            <w:tcW w:w="3427" w:type="pct"/>
            <w:shd w:val="clear" w:color="auto" w:fill="auto"/>
            <w:vAlign w:val="center"/>
          </w:tcPr>
          <w:p w14:paraId="773A0ED6" w14:textId="77777777" w:rsidR="009B2234" w:rsidRPr="00064185" w:rsidRDefault="002D34C5" w:rsidP="00EA61D8">
            <w:pPr>
              <w:spacing w:line="276" w:lineRule="auto"/>
              <w:rPr>
                <w:rFonts w:eastAsia="Calibri"/>
                <w:lang w:eastAsia="en-US"/>
              </w:rPr>
            </w:pPr>
            <w:r w:rsidRPr="00064185">
              <w:rPr>
                <w:rFonts w:eastAsia="Calibri"/>
                <w:lang w:eastAsia="en-US"/>
              </w:rPr>
              <w:t>N</w:t>
            </w:r>
            <w:r w:rsidR="00911813" w:rsidRPr="00064185">
              <w:rPr>
                <w:rFonts w:eastAsia="Calibri"/>
                <w:lang w:eastAsia="en-US"/>
              </w:rPr>
              <w:t>o</w:t>
            </w:r>
            <w:r w:rsidRPr="00064185">
              <w:rPr>
                <w:rFonts w:eastAsia="Calibri"/>
                <w:lang w:eastAsia="en-US"/>
              </w:rPr>
              <w:t xml:space="preserve"> confidential Annexes</w:t>
            </w:r>
          </w:p>
        </w:tc>
      </w:tr>
      <w:tr w:rsidR="00064185" w:rsidRPr="00064185" w14:paraId="485816F5" w14:textId="77777777" w:rsidTr="00354C1C">
        <w:tc>
          <w:tcPr>
            <w:tcW w:w="1573" w:type="pct"/>
            <w:shd w:val="clear" w:color="auto" w:fill="FFFFCC"/>
            <w:vAlign w:val="center"/>
          </w:tcPr>
          <w:p w14:paraId="123897B6" w14:textId="77777777" w:rsidR="00A53EE0" w:rsidRPr="00064185" w:rsidRDefault="00A53EE0" w:rsidP="00EA61D8">
            <w:pPr>
              <w:spacing w:line="276" w:lineRule="auto"/>
              <w:rPr>
                <w:rFonts w:eastAsia="Calibri"/>
                <w:lang w:eastAsia="en-US"/>
              </w:rPr>
            </w:pPr>
            <w:r w:rsidRPr="00064185">
              <w:rPr>
                <w:rFonts w:eastAsia="Calibri"/>
                <w:lang w:eastAsia="en-US"/>
              </w:rPr>
              <w:t>Life cycle steps assessed</w:t>
            </w:r>
          </w:p>
        </w:tc>
        <w:tc>
          <w:tcPr>
            <w:tcW w:w="3427" w:type="pct"/>
            <w:shd w:val="clear" w:color="auto" w:fill="auto"/>
            <w:vAlign w:val="center"/>
          </w:tcPr>
          <w:p w14:paraId="2020DAD0" w14:textId="77777777" w:rsidR="00A53EE0" w:rsidRPr="00064185" w:rsidRDefault="00A53EE0" w:rsidP="00EA61D8">
            <w:pPr>
              <w:spacing w:line="276" w:lineRule="auto"/>
              <w:rPr>
                <w:rFonts w:eastAsia="Calibri"/>
                <w:lang w:eastAsia="en-US"/>
              </w:rPr>
            </w:pPr>
            <w:r w:rsidRPr="00064185">
              <w:rPr>
                <w:rFonts w:eastAsia="Calibri"/>
                <w:lang w:eastAsia="en-US"/>
              </w:rPr>
              <w:t>Scenario n:</w:t>
            </w:r>
            <w:r w:rsidR="00014ECA" w:rsidRPr="00064185">
              <w:rPr>
                <w:rFonts w:eastAsia="Calibri"/>
                <w:lang w:eastAsia="en-US"/>
              </w:rPr>
              <w:t xml:space="preserve"> 1 + 2</w:t>
            </w:r>
          </w:p>
          <w:p w14:paraId="27773229" w14:textId="77777777" w:rsidR="00A53EE0" w:rsidRPr="00064185" w:rsidRDefault="00014ECA" w:rsidP="00EA61D8">
            <w:pPr>
              <w:spacing w:line="276" w:lineRule="auto"/>
              <w:rPr>
                <w:rFonts w:eastAsia="Calibri"/>
                <w:lang w:eastAsia="en-US"/>
              </w:rPr>
            </w:pPr>
            <w:r w:rsidRPr="00064185">
              <w:rPr>
                <w:rFonts w:eastAsia="Calibri"/>
                <w:lang w:eastAsia="en-US"/>
              </w:rPr>
              <w:t xml:space="preserve">Production: </w:t>
            </w:r>
            <w:r w:rsidR="00A53EE0" w:rsidRPr="00064185">
              <w:rPr>
                <w:rFonts w:eastAsia="Calibri"/>
                <w:lang w:eastAsia="en-US"/>
              </w:rPr>
              <w:t>No</w:t>
            </w:r>
          </w:p>
          <w:p w14:paraId="22CC0525" w14:textId="77777777" w:rsidR="00A53EE0" w:rsidRPr="00064185" w:rsidRDefault="00A53EE0" w:rsidP="00EA61D8">
            <w:pPr>
              <w:spacing w:line="276" w:lineRule="auto"/>
              <w:rPr>
                <w:rFonts w:eastAsia="Calibri"/>
                <w:lang w:eastAsia="en-US"/>
              </w:rPr>
            </w:pPr>
            <w:r w:rsidRPr="00064185">
              <w:rPr>
                <w:rFonts w:eastAsia="Calibri"/>
                <w:lang w:eastAsia="en-US"/>
              </w:rPr>
              <w:t>Formulation No</w:t>
            </w:r>
          </w:p>
          <w:p w14:paraId="07EE2367" w14:textId="77777777" w:rsidR="00A53EE0" w:rsidRPr="00064185" w:rsidRDefault="00014ECA" w:rsidP="00EA61D8">
            <w:pPr>
              <w:spacing w:line="276" w:lineRule="auto"/>
              <w:rPr>
                <w:rFonts w:eastAsia="Calibri"/>
                <w:lang w:eastAsia="en-US"/>
              </w:rPr>
            </w:pPr>
            <w:r w:rsidRPr="00064185">
              <w:rPr>
                <w:rFonts w:eastAsia="Calibri"/>
                <w:lang w:eastAsia="en-US"/>
              </w:rPr>
              <w:t>Use: Yes</w:t>
            </w:r>
          </w:p>
          <w:p w14:paraId="55D0DA6B" w14:textId="77777777" w:rsidR="00593129" w:rsidRPr="00064185" w:rsidRDefault="00A53EE0" w:rsidP="00EA61D8">
            <w:pPr>
              <w:spacing w:line="276" w:lineRule="auto"/>
              <w:rPr>
                <w:rFonts w:eastAsia="Calibri"/>
                <w:lang w:eastAsia="en-US"/>
              </w:rPr>
            </w:pPr>
            <w:r w:rsidRPr="00064185">
              <w:rPr>
                <w:rFonts w:eastAsia="Calibri"/>
                <w:lang w:eastAsia="en-US"/>
              </w:rPr>
              <w:t>Service life: No</w:t>
            </w:r>
          </w:p>
        </w:tc>
      </w:tr>
      <w:tr w:rsidR="00064185" w:rsidRPr="00064185" w14:paraId="3A130A95" w14:textId="77777777" w:rsidTr="00354C1C">
        <w:tc>
          <w:tcPr>
            <w:tcW w:w="1573" w:type="pct"/>
            <w:shd w:val="clear" w:color="auto" w:fill="FFFFCC"/>
            <w:vAlign w:val="center"/>
          </w:tcPr>
          <w:p w14:paraId="767597E8" w14:textId="77777777" w:rsidR="00A53EE0" w:rsidRPr="00064185" w:rsidRDefault="00A53EE0" w:rsidP="00EA61D8">
            <w:pPr>
              <w:spacing w:line="276" w:lineRule="auto"/>
              <w:rPr>
                <w:rFonts w:eastAsia="Calibri"/>
                <w:lang w:eastAsia="en-US"/>
              </w:rPr>
            </w:pPr>
            <w:r w:rsidRPr="00064185">
              <w:rPr>
                <w:rFonts w:eastAsia="Calibri"/>
                <w:lang w:eastAsia="en-US"/>
              </w:rPr>
              <w:t>Remarks</w:t>
            </w:r>
          </w:p>
        </w:tc>
        <w:tc>
          <w:tcPr>
            <w:tcW w:w="3427" w:type="pct"/>
            <w:shd w:val="clear" w:color="auto" w:fill="auto"/>
            <w:vAlign w:val="center"/>
          </w:tcPr>
          <w:p w14:paraId="692E8E39" w14:textId="0F8A8293" w:rsidR="00A53EE0" w:rsidRPr="00064185" w:rsidRDefault="00911813" w:rsidP="00EA61D8">
            <w:pPr>
              <w:spacing w:line="276" w:lineRule="auto"/>
              <w:rPr>
                <w:rFonts w:eastAsia="Calibri"/>
                <w:lang w:eastAsia="en-US"/>
              </w:rPr>
            </w:pPr>
            <w:r w:rsidRPr="00064185">
              <w:rPr>
                <w:rFonts w:eastAsia="Calibri"/>
                <w:lang w:eastAsia="en-US"/>
              </w:rPr>
              <w:t>No remarks</w:t>
            </w:r>
          </w:p>
        </w:tc>
      </w:tr>
    </w:tbl>
    <w:p w14:paraId="53CF6909" w14:textId="77777777" w:rsidR="00C560A3" w:rsidRPr="00064185" w:rsidRDefault="00C560A3" w:rsidP="00EA61D8">
      <w:pPr>
        <w:rPr>
          <w:rFonts w:eastAsia="Calibri"/>
          <w:b/>
          <w:i/>
          <w:sz w:val="22"/>
          <w:szCs w:val="22"/>
          <w:lang w:eastAsia="en-US"/>
        </w:rPr>
      </w:pPr>
      <w:bookmarkStart w:id="1795" w:name="_Toc389729114"/>
      <w:bookmarkStart w:id="1796" w:name="_Toc403472799"/>
    </w:p>
    <w:p w14:paraId="0749DFDD" w14:textId="77777777" w:rsidR="00624690" w:rsidRPr="00064185" w:rsidRDefault="00624690" w:rsidP="00EA61D8">
      <w:pPr>
        <w:rPr>
          <w:rFonts w:eastAsia="Calibri"/>
          <w:b/>
          <w:i/>
          <w:sz w:val="22"/>
          <w:szCs w:val="22"/>
          <w:lang w:eastAsia="en-US"/>
        </w:rPr>
      </w:pPr>
    </w:p>
    <w:p w14:paraId="6E9537F5" w14:textId="77777777" w:rsidR="00A53EE0" w:rsidRPr="00064185" w:rsidRDefault="00A53EE0" w:rsidP="00EA61D8">
      <w:pPr>
        <w:rPr>
          <w:rFonts w:eastAsia="Calibri"/>
          <w:b/>
          <w:i/>
          <w:sz w:val="22"/>
          <w:szCs w:val="22"/>
          <w:lang w:eastAsia="en-US"/>
        </w:rPr>
      </w:pPr>
      <w:r w:rsidRPr="00064185">
        <w:rPr>
          <w:rFonts w:eastAsia="Calibri"/>
          <w:b/>
          <w:i/>
          <w:sz w:val="22"/>
          <w:szCs w:val="22"/>
          <w:lang w:eastAsia="en-US"/>
        </w:rPr>
        <w:t>Emission estimation</w:t>
      </w:r>
      <w:bookmarkEnd w:id="1794"/>
      <w:bookmarkEnd w:id="1795"/>
      <w:bookmarkEnd w:id="1796"/>
    </w:p>
    <w:p w14:paraId="6D90A697" w14:textId="77777777" w:rsidR="00A0024A" w:rsidRPr="00064185" w:rsidRDefault="00A0024A" w:rsidP="00EA61D8">
      <w:pPr>
        <w:rPr>
          <w:rFonts w:eastAsia="Calibri"/>
          <w:b/>
          <w:i/>
          <w:sz w:val="22"/>
          <w:szCs w:val="22"/>
          <w:lang w:eastAsia="en-US"/>
        </w:rPr>
      </w:pPr>
    </w:p>
    <w:p w14:paraId="2AF8E1F0" w14:textId="71C1775B" w:rsidR="00EE28AD" w:rsidRPr="00064185" w:rsidRDefault="00F6730D" w:rsidP="006A7704">
      <w:pPr>
        <w:spacing w:line="260" w:lineRule="atLeast"/>
        <w:jc w:val="both"/>
      </w:pPr>
      <w:bookmarkStart w:id="1797" w:name="_Toc367976959"/>
      <w:bookmarkStart w:id="1798" w:name="_Toc367977136"/>
      <w:r w:rsidRPr="00064185">
        <w:t>COM 116 02 I AL is a biocidal product in PT18 (BPR, Regulation (EU) No 528/2012) for non-professional use as an insecticide against garde</w:t>
      </w:r>
      <w:r w:rsidR="000D6738" w:rsidRPr="00064185">
        <w:t>n ants, silverfishes, wood lice</w:t>
      </w:r>
      <w:r w:rsidRPr="00064185">
        <w:t xml:space="preserve"> and cockroaches</w:t>
      </w:r>
      <w:r w:rsidR="000B7B58" w:rsidRPr="00064185">
        <w:t xml:space="preserve">, </w:t>
      </w:r>
      <w:r w:rsidRPr="00064185">
        <w:t xml:space="preserve">containing the active substance </w:t>
      </w:r>
      <w:r w:rsidR="007A2098" w:rsidRPr="00064185">
        <w:rPr>
          <w:i/>
        </w:rPr>
        <w:t>l</w:t>
      </w:r>
      <w:r w:rsidRPr="00064185">
        <w:rPr>
          <w:i/>
        </w:rPr>
        <w:t>am</w:t>
      </w:r>
      <w:r w:rsidR="004E27AF" w:rsidRPr="00064185">
        <w:rPr>
          <w:i/>
        </w:rPr>
        <w:t>b</w:t>
      </w:r>
      <w:r w:rsidRPr="00064185">
        <w:rPr>
          <w:i/>
        </w:rPr>
        <w:t>da</w:t>
      </w:r>
      <w:r w:rsidRPr="00064185">
        <w:t>-cyhalothrin.</w:t>
      </w:r>
      <w:r w:rsidR="0058135A" w:rsidRPr="00064185">
        <w:t xml:space="preserve"> </w:t>
      </w:r>
    </w:p>
    <w:p w14:paraId="04EC0178" w14:textId="16A38E4E" w:rsidR="00EE28AD" w:rsidRPr="00064185" w:rsidRDefault="00EE28AD" w:rsidP="006A7704">
      <w:pPr>
        <w:spacing w:line="276" w:lineRule="auto"/>
        <w:jc w:val="both"/>
      </w:pPr>
    </w:p>
    <w:p w14:paraId="6D010F10" w14:textId="63E324A5" w:rsidR="00EE28AD" w:rsidRPr="00064185" w:rsidRDefault="00EE28AD" w:rsidP="006A7704">
      <w:pPr>
        <w:jc w:val="both"/>
        <w:rPr>
          <w:rFonts w:eastAsia="Calibri"/>
          <w:lang w:eastAsia="en-US"/>
        </w:rPr>
      </w:pPr>
      <w:r w:rsidRPr="00064185">
        <w:rPr>
          <w:rFonts w:eastAsia="Calibri"/>
          <w:lang w:eastAsia="en-US"/>
        </w:rPr>
        <w:t>For a detailed description of foreseeable routes of entry into the environment on the basis of the use envisaged please see the chapter above (cf. Foreseeable routes of entry into the environment on the basis of the use envisaged)</w:t>
      </w:r>
      <w:r w:rsidR="0035486B" w:rsidRPr="00064185">
        <w:rPr>
          <w:rFonts w:eastAsia="Calibri"/>
          <w:lang w:eastAsia="en-US"/>
        </w:rPr>
        <w:t>.</w:t>
      </w:r>
    </w:p>
    <w:p w14:paraId="72CE5F65" w14:textId="77777777" w:rsidR="00EE28AD" w:rsidRPr="00064185" w:rsidRDefault="00EE28AD" w:rsidP="006A7704">
      <w:pPr>
        <w:spacing w:line="276" w:lineRule="auto"/>
        <w:jc w:val="both"/>
      </w:pPr>
    </w:p>
    <w:p w14:paraId="5197A9C6" w14:textId="4F45B7D1" w:rsidR="00F6730D" w:rsidRPr="00064185" w:rsidRDefault="00F6730D" w:rsidP="006A7704">
      <w:pPr>
        <w:spacing w:line="276" w:lineRule="auto"/>
        <w:jc w:val="both"/>
      </w:pPr>
      <w:r w:rsidRPr="00064185">
        <w:t xml:space="preserve">No substances of concern were identified for the environment, since there are no co-formulants in COM 116 02 I AL which </w:t>
      </w:r>
      <w:r w:rsidR="002874EC" w:rsidRPr="00064185">
        <w:t xml:space="preserve">contribute to the classification of the biocidal </w:t>
      </w:r>
      <w:r w:rsidR="001153D1" w:rsidRPr="00064185">
        <w:t>prod</w:t>
      </w:r>
      <w:r w:rsidR="002874EC" w:rsidRPr="00064185">
        <w:t xml:space="preserve">uct on the basis of their </w:t>
      </w:r>
      <w:r w:rsidR="001153D1" w:rsidRPr="00064185">
        <w:t>hazard</w:t>
      </w:r>
      <w:r w:rsidR="002874EC" w:rsidRPr="00064185">
        <w:t>s</w:t>
      </w:r>
      <w:r w:rsidRPr="00064185">
        <w:t xml:space="preserve"> for the environment. Therefore</w:t>
      </w:r>
      <w:r w:rsidR="00E65B98" w:rsidRPr="00064185">
        <w:t>,</w:t>
      </w:r>
      <w:r w:rsidRPr="00064185">
        <w:t xml:space="preserve"> </w:t>
      </w:r>
      <w:r w:rsidR="00E65B98" w:rsidRPr="00064185">
        <w:t xml:space="preserve">in </w:t>
      </w:r>
      <w:r w:rsidRPr="00064185">
        <w:t xml:space="preserve">the provided environmental exposure assessment </w:t>
      </w:r>
      <w:r w:rsidR="00E65B98" w:rsidRPr="00064185">
        <w:t xml:space="preserve">only the active substance </w:t>
      </w:r>
      <w:r w:rsidR="00AB614D" w:rsidRPr="00064185">
        <w:rPr>
          <w:i/>
        </w:rPr>
        <w:t>l</w:t>
      </w:r>
      <w:r w:rsidR="00E65B98" w:rsidRPr="00064185">
        <w:rPr>
          <w:i/>
        </w:rPr>
        <w:t>am</w:t>
      </w:r>
      <w:r w:rsidR="004E27AF" w:rsidRPr="00064185">
        <w:rPr>
          <w:i/>
        </w:rPr>
        <w:t>b</w:t>
      </w:r>
      <w:r w:rsidR="00E65B98" w:rsidRPr="00064185">
        <w:rPr>
          <w:i/>
        </w:rPr>
        <w:t>da</w:t>
      </w:r>
      <w:r w:rsidR="00E65B98" w:rsidRPr="00064185">
        <w:t xml:space="preserve">-cyhalothrin </w:t>
      </w:r>
      <w:r w:rsidRPr="00064185">
        <w:t>has been</w:t>
      </w:r>
      <w:r w:rsidR="00E65B98" w:rsidRPr="00064185">
        <w:t xml:space="preserve"> considered.</w:t>
      </w:r>
      <w:r w:rsidRPr="00064185">
        <w:t xml:space="preserve">  </w:t>
      </w:r>
    </w:p>
    <w:p w14:paraId="493705CB" w14:textId="5BCAB099" w:rsidR="002C7AC4" w:rsidRPr="00064185" w:rsidRDefault="002C7AC4" w:rsidP="006A7704">
      <w:pPr>
        <w:jc w:val="both"/>
        <w:rPr>
          <w:rFonts w:eastAsia="Calibri"/>
          <w:lang w:eastAsia="en-US"/>
        </w:rPr>
      </w:pPr>
    </w:p>
    <w:p w14:paraId="2CE2E984" w14:textId="77777777" w:rsidR="007B7919" w:rsidRPr="00064185" w:rsidRDefault="007B7919" w:rsidP="006A7704">
      <w:pPr>
        <w:jc w:val="both"/>
        <w:rPr>
          <w:rFonts w:eastAsia="Calibri"/>
          <w:b/>
          <w:i/>
          <w:sz w:val="22"/>
          <w:szCs w:val="22"/>
          <w:lang w:eastAsia="en-US"/>
        </w:rPr>
      </w:pPr>
    </w:p>
    <w:p w14:paraId="52C7E52B" w14:textId="58F258EA" w:rsidR="002C7AC4" w:rsidRPr="00064185" w:rsidRDefault="002C7AC4" w:rsidP="00EA61D8">
      <w:pPr>
        <w:rPr>
          <w:rFonts w:eastAsia="Calibri"/>
          <w:b/>
          <w:i/>
          <w:sz w:val="22"/>
          <w:szCs w:val="22"/>
          <w:lang w:eastAsia="en-US"/>
        </w:rPr>
      </w:pPr>
      <w:r w:rsidRPr="00064185">
        <w:rPr>
          <w:rFonts w:eastAsia="Calibri"/>
          <w:b/>
          <w:i/>
          <w:sz w:val="22"/>
          <w:szCs w:val="22"/>
          <w:lang w:eastAsia="en-US"/>
        </w:rPr>
        <w:lastRenderedPageBreak/>
        <w:t>Emission calculations</w:t>
      </w:r>
    </w:p>
    <w:p w14:paraId="70F3C2F4" w14:textId="6796F9A5" w:rsidR="00677D88" w:rsidRPr="00064185" w:rsidRDefault="00677D88" w:rsidP="00EA61D8">
      <w:pPr>
        <w:rPr>
          <w:rFonts w:eastAsia="Calibri"/>
          <w:b/>
          <w:i/>
          <w:sz w:val="22"/>
          <w:szCs w:val="22"/>
          <w:lang w:eastAsia="en-US"/>
        </w:rPr>
      </w:pPr>
    </w:p>
    <w:p w14:paraId="447BFE33" w14:textId="2CD3C395" w:rsidR="00677D88" w:rsidRPr="00064185" w:rsidRDefault="00E17674" w:rsidP="006A7704">
      <w:pPr>
        <w:pStyle w:val="Textkrper2"/>
        <w:spacing w:before="0" w:after="0" w:line="276" w:lineRule="auto"/>
        <w:jc w:val="both"/>
        <w:rPr>
          <w:b/>
          <w:color w:val="auto"/>
          <w:u w:val="single"/>
        </w:rPr>
      </w:pPr>
      <w:r w:rsidRPr="00064185">
        <w:rPr>
          <w:b/>
          <w:color w:val="auto"/>
          <w:u w:val="single"/>
        </w:rPr>
        <w:t>Use 1</w:t>
      </w:r>
      <w:r w:rsidR="0037041B" w:rsidRPr="00064185">
        <w:rPr>
          <w:b/>
          <w:color w:val="auto"/>
          <w:u w:val="single"/>
        </w:rPr>
        <w:t>:</w:t>
      </w:r>
      <w:r w:rsidRPr="00064185">
        <w:rPr>
          <w:b/>
          <w:color w:val="auto"/>
          <w:u w:val="single"/>
        </w:rPr>
        <w:t xml:space="preserve"> </w:t>
      </w:r>
      <w:r w:rsidR="00677D88" w:rsidRPr="00064185">
        <w:rPr>
          <w:b/>
          <w:color w:val="auto"/>
          <w:u w:val="single"/>
        </w:rPr>
        <w:t>Scenario 1- Spray application; indoor use</w:t>
      </w:r>
    </w:p>
    <w:p w14:paraId="3CF6EAB5" w14:textId="42FEDE32" w:rsidR="00677D88" w:rsidRPr="00064185" w:rsidRDefault="00090005" w:rsidP="006A7704">
      <w:pPr>
        <w:autoSpaceDE w:val="0"/>
        <w:autoSpaceDN w:val="0"/>
        <w:adjustRightInd w:val="0"/>
        <w:jc w:val="both"/>
      </w:pPr>
      <w:r w:rsidRPr="00064185">
        <w:t>Environmental exposure may arise either due to washing of contaminated clothes from the applicator or due to wet cleaning of treated surfaces and the respective surrounding floors. Both pathways will subsequent lead to release of contaminated waste water to the STP system.</w:t>
      </w:r>
      <w:r w:rsidR="004223AC" w:rsidRPr="00064185">
        <w:t xml:space="preserve"> </w:t>
      </w:r>
    </w:p>
    <w:p w14:paraId="0027941C" w14:textId="5328081D" w:rsidR="007A3294" w:rsidRPr="00064185" w:rsidRDefault="00B70B3C" w:rsidP="006A7704">
      <w:pPr>
        <w:pStyle w:val="Kommentartext"/>
        <w:jc w:val="both"/>
      </w:pPr>
      <w:r w:rsidRPr="00064185">
        <w:t>Default values for the relevant treated area</w:t>
      </w:r>
      <w:r w:rsidR="004223AC" w:rsidRPr="00064185">
        <w:t xml:space="preserve"> </w:t>
      </w:r>
      <w:r w:rsidR="001B6A0A" w:rsidRPr="00064185">
        <w:t xml:space="preserve">and the </w:t>
      </w:r>
      <w:r w:rsidRPr="00064185">
        <w:t xml:space="preserve">application frequency were taken from </w:t>
      </w:r>
      <w:r w:rsidR="00BB6C3E" w:rsidRPr="00064185">
        <w:t>the emission scenario “Spray application” (chapter 3.3.1. of the ESD PT</w:t>
      </w:r>
      <w:r w:rsidR="007F2179" w:rsidRPr="00064185">
        <w:t xml:space="preserve"> </w:t>
      </w:r>
      <w:r w:rsidR="00BB6C3E" w:rsidRPr="00064185">
        <w:t>18)</w:t>
      </w:r>
      <w:r w:rsidRPr="00064185">
        <w:t xml:space="preserve">. </w:t>
      </w:r>
      <w:r w:rsidR="007A3294" w:rsidRPr="00064185">
        <w:t>Due to the proposed use pattern of COM 116 02 I AL, the application mode can be described as target spot application.</w:t>
      </w:r>
    </w:p>
    <w:p w14:paraId="5EF5478E" w14:textId="7EBF4503" w:rsidR="00CE4B9F" w:rsidRPr="00064185" w:rsidRDefault="00CE4B9F" w:rsidP="006A7704">
      <w:pPr>
        <w:pStyle w:val="Kommentartext"/>
        <w:jc w:val="both"/>
      </w:pPr>
      <w:r w:rsidRPr="00064185">
        <w:t>Moreover, the ESD PT 18 states that 85% of the emissions are released to the target surface, 11% reach the surrounding floor surface and 2% of the emission release to the applicator and the air, respectively.</w:t>
      </w:r>
      <w:r w:rsidR="00B70B3C" w:rsidRPr="00064185">
        <w:t xml:space="preserve"> </w:t>
      </w:r>
      <w:r w:rsidR="00D852B6" w:rsidRPr="00064185">
        <w:rPr>
          <w:rFonts w:eastAsia="Calibri"/>
          <w:lang w:eastAsia="en-US"/>
        </w:rPr>
        <w:t>During trigger pump spray application, liquid droplets sprayed are not expected to remain airborne</w:t>
      </w:r>
      <w:r w:rsidR="00D852B6" w:rsidRPr="00064185">
        <w:t xml:space="preserve"> but to settle on the ground.</w:t>
      </w:r>
      <w:r w:rsidR="00D852B6" w:rsidRPr="00064185">
        <w:rPr>
          <w:rFonts w:eastAsia="Calibri"/>
          <w:lang w:eastAsia="en-US"/>
        </w:rPr>
        <w:t xml:space="preserve"> Exposure of the air compartment is thus </w:t>
      </w:r>
      <w:r w:rsidR="00D852B6" w:rsidRPr="00064185">
        <w:t>not considered but emissions released to the floor are increased.</w:t>
      </w:r>
      <w:r w:rsidR="001F3182" w:rsidRPr="00064185">
        <w:t xml:space="preserve"> </w:t>
      </w:r>
      <w:r w:rsidR="00BB6C3E" w:rsidRPr="00064185">
        <w:t>In the case of hand-held trigger sprays, the emission factor to the applicator can be reduced to 0.</w:t>
      </w:r>
      <w:r w:rsidR="00241807" w:rsidRPr="00064185">
        <w:t>6% also increasing the fraction emitted to the floor.</w:t>
      </w:r>
      <w:r w:rsidR="001B6A0A" w:rsidRPr="00064185">
        <w:t xml:space="preserve"> Fractions emitted to wastewater were taken from the emission scenario “Cleaning step” (chapter 3.5.1. of the ESD PT</w:t>
      </w:r>
      <w:r w:rsidR="007F2179" w:rsidRPr="00064185">
        <w:t xml:space="preserve"> </w:t>
      </w:r>
      <w:r w:rsidR="001B6A0A" w:rsidRPr="00064185">
        <w:t>18).</w:t>
      </w:r>
      <w:r w:rsidR="00C03C3C" w:rsidRPr="00064185">
        <w:rPr>
          <w:rFonts w:cs="Arial"/>
          <w:lang w:val="en-US" w:eastAsia="de-AT"/>
        </w:rPr>
        <w:t xml:space="preserve"> In case of use in wet cleaned areas it is assumed that 50% of the product may end-up in the sewer, which is the cleaning efficiency for spray surface application according to the ESD for PT18.</w:t>
      </w:r>
    </w:p>
    <w:p w14:paraId="1860CDFE" w14:textId="7B0B338C" w:rsidR="00B260B5" w:rsidRPr="00064185" w:rsidRDefault="00B260B5" w:rsidP="006A7704">
      <w:pPr>
        <w:pStyle w:val="Kommentartext"/>
        <w:jc w:val="both"/>
      </w:pPr>
      <w:r w:rsidRPr="00064185">
        <w:t>According to ESD PT 18 4000 public buildings are connected to one STP. Furthermore, simultaneity factor</w:t>
      </w:r>
      <w:r w:rsidR="00F755EB" w:rsidRPr="00064185">
        <w:t>s</w:t>
      </w:r>
      <w:r w:rsidRPr="00064185">
        <w:t xml:space="preserve"> </w:t>
      </w:r>
      <w:r w:rsidR="00F755EB" w:rsidRPr="00064185">
        <w:t>are</w:t>
      </w:r>
      <w:r w:rsidRPr="00064185">
        <w:t xml:space="preserve"> </w:t>
      </w:r>
      <w:r w:rsidR="00F755EB" w:rsidRPr="00064185">
        <w:t>proposed</w:t>
      </w:r>
      <w:r w:rsidRPr="00064185">
        <w:t xml:space="preserve"> in the ESD PT</w:t>
      </w:r>
      <w:r w:rsidR="007F2179" w:rsidRPr="00064185">
        <w:t xml:space="preserve"> </w:t>
      </w:r>
      <w:r w:rsidRPr="00064185">
        <w:t>18 that considers the simultaneity of treatments by the houses connected to the</w:t>
      </w:r>
      <w:r w:rsidR="00F755EB" w:rsidRPr="00064185">
        <w:t xml:space="preserve"> same</w:t>
      </w:r>
      <w:r w:rsidRPr="00064185">
        <w:t xml:space="preserve"> STP.</w:t>
      </w:r>
    </w:p>
    <w:p w14:paraId="4CFF6F20" w14:textId="77777777" w:rsidR="002D6387" w:rsidRPr="00064185" w:rsidRDefault="00147B7D" w:rsidP="006A7704">
      <w:pPr>
        <w:spacing w:line="260" w:lineRule="atLeast"/>
        <w:jc w:val="both"/>
        <w:rPr>
          <w:lang w:val="en-US" w:eastAsia="de-AT"/>
        </w:rPr>
      </w:pPr>
      <w:r w:rsidRPr="00064185">
        <w:t>The simultaneity factors were calculated based on the frequency of product uses, which are twice a year or weekly application (including treatment every 2 weeks) for treatment of wood lice or silverfish and cockroaches, respectively.</w:t>
      </w:r>
      <w:r w:rsidR="00474CE8" w:rsidRPr="00064185">
        <w:rPr>
          <w:lang w:val="en-US" w:eastAsia="de-AT"/>
        </w:rPr>
        <w:t xml:space="preserve"> </w:t>
      </w:r>
    </w:p>
    <w:p w14:paraId="0F759845" w14:textId="7E56EFFE" w:rsidR="00474CE8" w:rsidRPr="00064185" w:rsidRDefault="00474CE8" w:rsidP="006A7704">
      <w:pPr>
        <w:spacing w:line="260" w:lineRule="atLeast"/>
        <w:jc w:val="both"/>
      </w:pPr>
      <w:r w:rsidRPr="00064185">
        <w:rPr>
          <w:lang w:val="en-US" w:eastAsia="de-AT"/>
        </w:rPr>
        <w:t xml:space="preserve">Treatment against ants is </w:t>
      </w:r>
      <w:r w:rsidR="002D6387" w:rsidRPr="00064185">
        <w:rPr>
          <w:lang w:val="en-US" w:eastAsia="de-AT"/>
        </w:rPr>
        <w:t xml:space="preserve">limited to </w:t>
      </w:r>
      <w:r w:rsidRPr="00064185">
        <w:rPr>
          <w:lang w:val="en-US" w:eastAsia="de-AT"/>
        </w:rPr>
        <w:t>once per month during season of ant activity (worst case assumption: 9 month)</w:t>
      </w:r>
      <w:r w:rsidRPr="00064185">
        <w:t>. This would result in up to 9</w:t>
      </w:r>
      <w:r w:rsidR="002D6387" w:rsidRPr="00064185">
        <w:t xml:space="preserve"> </w:t>
      </w:r>
      <w:r w:rsidRPr="00064185">
        <w:t>applications per year.</w:t>
      </w:r>
      <w:r w:rsidR="002D6387" w:rsidRPr="00064185">
        <w:t xml:space="preserve"> Therefore, the product application frequency is assumed on a “3 to 11 applications per year” basis.</w:t>
      </w:r>
    </w:p>
    <w:p w14:paraId="0F83A177" w14:textId="052FA264" w:rsidR="009C6239" w:rsidRPr="00064185" w:rsidRDefault="009C6239" w:rsidP="006A7704">
      <w:pPr>
        <w:pStyle w:val="Kommentartext"/>
        <w:jc w:val="both"/>
      </w:pPr>
    </w:p>
    <w:p w14:paraId="10D9EA73" w14:textId="72039B9C" w:rsidR="00677D88" w:rsidRPr="00064185" w:rsidRDefault="00CE4B9F" w:rsidP="006A7704">
      <w:pPr>
        <w:spacing w:line="260" w:lineRule="atLeast"/>
        <w:jc w:val="both"/>
      </w:pPr>
      <w:r w:rsidRPr="00064185">
        <w:t xml:space="preserve">The input parameters for determining releases to the environment </w:t>
      </w:r>
      <w:r w:rsidR="000A1099" w:rsidRPr="00064185">
        <w:t xml:space="preserve">as well as the calculated emission rates to relevant environmental compartments </w:t>
      </w:r>
      <w:r w:rsidRPr="00064185">
        <w:t>are summarised in the table</w:t>
      </w:r>
      <w:r w:rsidR="000A1099" w:rsidRPr="00064185">
        <w:t>s</w:t>
      </w:r>
      <w:r w:rsidRPr="00064185">
        <w:t xml:space="preserve"> below.</w:t>
      </w:r>
      <w:r w:rsidR="009D2C53" w:rsidRPr="00064185">
        <w:t xml:space="preserve"> The calculations </w:t>
      </w:r>
      <w:r w:rsidR="00E17674" w:rsidRPr="00064185">
        <w:t xml:space="preserve">were </w:t>
      </w:r>
      <w:r w:rsidR="009D2C53" w:rsidRPr="00064185">
        <w:t xml:space="preserve">separated according to the authorised use into </w:t>
      </w:r>
      <w:r w:rsidR="0037041B" w:rsidRPr="00064185">
        <w:t>Sce</w:t>
      </w:r>
      <w:r w:rsidR="002D6387" w:rsidRPr="00064185">
        <w:t>nario 1a – Residual treatment (ants, s</w:t>
      </w:r>
      <w:r w:rsidR="0037041B" w:rsidRPr="00064185">
        <w:t>ilverfish</w:t>
      </w:r>
      <w:r w:rsidR="002D6387" w:rsidRPr="00064185">
        <w:t>es, cockroaches and w</w:t>
      </w:r>
      <w:r w:rsidR="0037041B" w:rsidRPr="00064185">
        <w:t>ood lice)</w:t>
      </w:r>
      <w:r w:rsidR="00CF5FF0" w:rsidRPr="00064185">
        <w:t xml:space="preserve"> </w:t>
      </w:r>
      <w:r w:rsidR="009D2C53" w:rsidRPr="00064185">
        <w:t xml:space="preserve">and </w:t>
      </w:r>
      <w:r w:rsidR="0037041B" w:rsidRPr="00064185">
        <w:t xml:space="preserve">Scenario 1b – Direct treatment of </w:t>
      </w:r>
      <w:r w:rsidR="00FD6ACF" w:rsidRPr="00064185">
        <w:t xml:space="preserve">target organisms </w:t>
      </w:r>
      <w:r w:rsidR="002D6387" w:rsidRPr="00064185">
        <w:t>(s</w:t>
      </w:r>
      <w:r w:rsidR="0037041B" w:rsidRPr="00064185">
        <w:t>ilverfish</w:t>
      </w:r>
      <w:r w:rsidR="002D6387" w:rsidRPr="00064185">
        <w:t>es,</w:t>
      </w:r>
      <w:r w:rsidR="0037041B" w:rsidRPr="00064185">
        <w:t xml:space="preserve"> </w:t>
      </w:r>
      <w:r w:rsidR="002D6387" w:rsidRPr="00064185">
        <w:t>c</w:t>
      </w:r>
      <w:r w:rsidR="0037041B" w:rsidRPr="00064185">
        <w:t xml:space="preserve">ockroaches and </w:t>
      </w:r>
      <w:r w:rsidR="002D6387" w:rsidRPr="00064185">
        <w:t>w</w:t>
      </w:r>
      <w:r w:rsidR="0037041B" w:rsidRPr="00064185">
        <w:t>ood lice).</w:t>
      </w:r>
    </w:p>
    <w:p w14:paraId="760ECE3C" w14:textId="322051E6" w:rsidR="00BB4CED" w:rsidRPr="00064185" w:rsidRDefault="00BB4CED" w:rsidP="00EA61D8">
      <w:pPr>
        <w:spacing w:line="276" w:lineRule="auto"/>
      </w:pPr>
    </w:p>
    <w:p w14:paraId="45C93556" w14:textId="6282B61D" w:rsidR="00956E61" w:rsidRPr="00064185" w:rsidRDefault="00E17674" w:rsidP="00EA61D8">
      <w:pPr>
        <w:spacing w:line="276" w:lineRule="auto"/>
        <w:rPr>
          <w:u w:val="single"/>
        </w:rPr>
      </w:pPr>
      <w:r w:rsidRPr="00064185">
        <w:rPr>
          <w:u w:val="single"/>
        </w:rPr>
        <w:t>Scenario 1</w:t>
      </w:r>
      <w:r w:rsidR="0037041B" w:rsidRPr="00064185">
        <w:rPr>
          <w:u w:val="single"/>
        </w:rPr>
        <w:t>a</w:t>
      </w:r>
      <w:r w:rsidRPr="00064185">
        <w:rPr>
          <w:u w:val="single"/>
        </w:rPr>
        <w:t xml:space="preserve"> - </w:t>
      </w:r>
      <w:r w:rsidR="009D2C53" w:rsidRPr="00064185">
        <w:rPr>
          <w:u w:val="single"/>
        </w:rPr>
        <w:t>Residual treatment:</w:t>
      </w:r>
    </w:p>
    <w:p w14:paraId="42E1517E" w14:textId="77777777" w:rsidR="009D2C53" w:rsidRPr="00064185" w:rsidRDefault="009D2C53" w:rsidP="00EA61D8">
      <w:pPr>
        <w:spacing w:line="276"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3"/>
        <w:gridCol w:w="815"/>
        <w:gridCol w:w="1375"/>
        <w:gridCol w:w="722"/>
        <w:gridCol w:w="1955"/>
        <w:gridCol w:w="914"/>
      </w:tblGrid>
      <w:tr w:rsidR="00064185" w:rsidRPr="00064185" w14:paraId="1B2DED54" w14:textId="77777777" w:rsidTr="00956E61">
        <w:trPr>
          <w:cantSplit/>
          <w:trHeight w:val="744"/>
        </w:trPr>
        <w:tc>
          <w:tcPr>
            <w:tcW w:w="0" w:type="auto"/>
            <w:gridSpan w:val="6"/>
            <w:shd w:val="clear" w:color="auto" w:fill="FFFFCC"/>
            <w:vAlign w:val="center"/>
          </w:tcPr>
          <w:p w14:paraId="2E33FAEC" w14:textId="650D8E77" w:rsidR="009E1619" w:rsidRPr="00064185" w:rsidRDefault="009E1619" w:rsidP="00EA61D8">
            <w:pPr>
              <w:spacing w:before="60" w:afterLines="300" w:after="720"/>
              <w:contextualSpacing/>
              <w:rPr>
                <w:b/>
                <w:bCs/>
              </w:rPr>
            </w:pPr>
            <w:r w:rsidRPr="00064185">
              <w:rPr>
                <w:b/>
              </w:rPr>
              <w:t xml:space="preserve">Input parameters for calculating the local emissions of </w:t>
            </w:r>
            <w:r w:rsidRPr="00064185">
              <w:rPr>
                <w:b/>
                <w:i/>
              </w:rPr>
              <w:t>lambda</w:t>
            </w:r>
            <w:r w:rsidRPr="00064185">
              <w:rPr>
                <w:b/>
              </w:rPr>
              <w:t>-cyhalothrin during indoor spray application of COM 116 02 I AL</w:t>
            </w:r>
          </w:p>
        </w:tc>
      </w:tr>
      <w:tr w:rsidR="00064185" w:rsidRPr="00064185" w14:paraId="0C543E5F" w14:textId="77777777" w:rsidTr="00956E61">
        <w:trPr>
          <w:cantSplit/>
          <w:trHeight w:val="327"/>
        </w:trPr>
        <w:tc>
          <w:tcPr>
            <w:tcW w:w="0" w:type="auto"/>
            <w:vMerge w:val="restart"/>
            <w:vAlign w:val="center"/>
            <w:hideMark/>
          </w:tcPr>
          <w:p w14:paraId="4BF66ED4" w14:textId="77777777" w:rsidR="009E1619" w:rsidRPr="00064185" w:rsidRDefault="009E1619" w:rsidP="00EA61D8">
            <w:pPr>
              <w:spacing w:before="60" w:afterLines="60" w:after="144"/>
              <w:contextualSpacing/>
              <w:rPr>
                <w:b/>
                <w:bCs/>
              </w:rPr>
            </w:pPr>
            <w:r w:rsidRPr="00064185">
              <w:rPr>
                <w:b/>
                <w:bCs/>
              </w:rPr>
              <w:t>Input</w:t>
            </w:r>
          </w:p>
        </w:tc>
        <w:tc>
          <w:tcPr>
            <w:tcW w:w="0" w:type="auto"/>
            <w:vMerge w:val="restart"/>
            <w:vAlign w:val="center"/>
          </w:tcPr>
          <w:p w14:paraId="4806A783" w14:textId="77777777" w:rsidR="009E1619" w:rsidRPr="00064185" w:rsidRDefault="009E1619" w:rsidP="00EA61D8">
            <w:pPr>
              <w:spacing w:before="60" w:afterLines="60" w:after="144"/>
              <w:contextualSpacing/>
              <w:rPr>
                <w:b/>
                <w:bCs/>
              </w:rPr>
            </w:pPr>
            <w:r w:rsidRPr="00064185">
              <w:rPr>
                <w:b/>
                <w:bCs/>
              </w:rPr>
              <w:t>Unit</w:t>
            </w:r>
          </w:p>
        </w:tc>
        <w:tc>
          <w:tcPr>
            <w:tcW w:w="0" w:type="auto"/>
            <w:vMerge w:val="restart"/>
            <w:vAlign w:val="center"/>
            <w:hideMark/>
          </w:tcPr>
          <w:p w14:paraId="42552707" w14:textId="77777777" w:rsidR="009E1619" w:rsidRPr="00064185" w:rsidRDefault="009E1619" w:rsidP="00EA61D8">
            <w:pPr>
              <w:spacing w:before="60" w:afterLines="60" w:after="144"/>
              <w:contextualSpacing/>
              <w:rPr>
                <w:b/>
                <w:bCs/>
              </w:rPr>
            </w:pPr>
            <w:r w:rsidRPr="00064185">
              <w:rPr>
                <w:b/>
                <w:bCs/>
              </w:rPr>
              <w:t>Definition</w:t>
            </w:r>
          </w:p>
        </w:tc>
        <w:tc>
          <w:tcPr>
            <w:tcW w:w="0" w:type="auto"/>
            <w:gridSpan w:val="3"/>
            <w:vAlign w:val="center"/>
            <w:hideMark/>
          </w:tcPr>
          <w:p w14:paraId="57C71A99" w14:textId="5189784F" w:rsidR="009E1619" w:rsidRPr="00064185" w:rsidRDefault="000F6A10" w:rsidP="00EA61D8">
            <w:pPr>
              <w:spacing w:before="60" w:afterLines="60" w:after="144"/>
              <w:contextualSpacing/>
              <w:rPr>
                <w:b/>
                <w:bCs/>
              </w:rPr>
            </w:pPr>
            <w:r w:rsidRPr="00064185">
              <w:rPr>
                <w:b/>
                <w:bCs/>
              </w:rPr>
              <w:t>Indoor use (houses)</w:t>
            </w:r>
          </w:p>
        </w:tc>
      </w:tr>
      <w:tr w:rsidR="00064185" w:rsidRPr="00064185" w14:paraId="6F29EDFC" w14:textId="77777777" w:rsidTr="00956E61">
        <w:trPr>
          <w:cantSplit/>
          <w:trHeight w:val="629"/>
        </w:trPr>
        <w:tc>
          <w:tcPr>
            <w:tcW w:w="0" w:type="auto"/>
            <w:vMerge/>
            <w:vAlign w:val="center"/>
            <w:hideMark/>
          </w:tcPr>
          <w:p w14:paraId="16E96D60" w14:textId="77777777" w:rsidR="009C6239" w:rsidRPr="00064185" w:rsidRDefault="009C6239" w:rsidP="00EA61D8">
            <w:pPr>
              <w:spacing w:before="60" w:afterLines="60" w:after="144"/>
              <w:contextualSpacing/>
              <w:rPr>
                <w:rFonts w:ascii="Arial" w:hAnsi="Arial" w:cs="Arial"/>
              </w:rPr>
            </w:pPr>
          </w:p>
        </w:tc>
        <w:tc>
          <w:tcPr>
            <w:tcW w:w="0" w:type="auto"/>
            <w:vMerge/>
            <w:vAlign w:val="center"/>
          </w:tcPr>
          <w:p w14:paraId="1415AB75" w14:textId="77777777" w:rsidR="009C6239" w:rsidRPr="00064185" w:rsidRDefault="009C6239" w:rsidP="00EA61D8">
            <w:pPr>
              <w:spacing w:before="60" w:afterLines="60" w:after="144"/>
              <w:contextualSpacing/>
              <w:rPr>
                <w:b/>
                <w:bCs/>
              </w:rPr>
            </w:pPr>
          </w:p>
        </w:tc>
        <w:tc>
          <w:tcPr>
            <w:tcW w:w="0" w:type="auto"/>
            <w:vMerge/>
            <w:vAlign w:val="center"/>
            <w:hideMark/>
          </w:tcPr>
          <w:p w14:paraId="1E5F6818" w14:textId="77777777" w:rsidR="009C6239" w:rsidRPr="00064185" w:rsidRDefault="009C6239" w:rsidP="00EA61D8">
            <w:pPr>
              <w:spacing w:before="60" w:afterLines="60" w:after="144"/>
              <w:contextualSpacing/>
              <w:rPr>
                <w:b/>
                <w:bCs/>
              </w:rPr>
            </w:pPr>
          </w:p>
        </w:tc>
        <w:tc>
          <w:tcPr>
            <w:tcW w:w="0" w:type="auto"/>
            <w:vAlign w:val="center"/>
            <w:hideMark/>
          </w:tcPr>
          <w:p w14:paraId="4D292A39" w14:textId="3C43A298" w:rsidR="009C6239" w:rsidRPr="00064185" w:rsidRDefault="009C6239" w:rsidP="00EA61D8">
            <w:pPr>
              <w:spacing w:before="60" w:afterLines="60" w:after="144"/>
              <w:contextualSpacing/>
              <w:rPr>
                <w:b/>
                <w:bCs/>
              </w:rPr>
            </w:pPr>
            <w:r w:rsidRPr="00064185">
              <w:rPr>
                <w:b/>
                <w:bCs/>
              </w:rPr>
              <w:t>Ants</w:t>
            </w:r>
          </w:p>
        </w:tc>
        <w:tc>
          <w:tcPr>
            <w:tcW w:w="0" w:type="auto"/>
            <w:vAlign w:val="center"/>
            <w:hideMark/>
          </w:tcPr>
          <w:p w14:paraId="3258B9F7" w14:textId="60270575" w:rsidR="009C6239" w:rsidRPr="00064185" w:rsidRDefault="009C6239" w:rsidP="00EA61D8">
            <w:pPr>
              <w:spacing w:before="60" w:afterLines="60" w:after="144"/>
              <w:contextualSpacing/>
              <w:rPr>
                <w:b/>
                <w:bCs/>
              </w:rPr>
            </w:pPr>
            <w:r w:rsidRPr="00064185">
              <w:rPr>
                <w:b/>
                <w:bCs/>
              </w:rPr>
              <w:t>Silverfish &amp; Cockroaches</w:t>
            </w:r>
          </w:p>
        </w:tc>
        <w:tc>
          <w:tcPr>
            <w:tcW w:w="0" w:type="auto"/>
            <w:vAlign w:val="center"/>
          </w:tcPr>
          <w:p w14:paraId="3F45ADD1" w14:textId="2A21311B" w:rsidR="009C6239" w:rsidRPr="00064185" w:rsidRDefault="009C6239" w:rsidP="00EA61D8">
            <w:pPr>
              <w:spacing w:before="60" w:afterLines="60" w:after="144"/>
              <w:contextualSpacing/>
              <w:rPr>
                <w:b/>
                <w:bCs/>
              </w:rPr>
            </w:pPr>
            <w:r w:rsidRPr="00064185">
              <w:rPr>
                <w:b/>
                <w:bCs/>
              </w:rPr>
              <w:t>Wood lice</w:t>
            </w:r>
          </w:p>
        </w:tc>
      </w:tr>
      <w:tr w:rsidR="00064185" w:rsidRPr="00064185" w14:paraId="04165C12" w14:textId="77777777" w:rsidTr="004170DA">
        <w:trPr>
          <w:cantSplit/>
          <w:trHeight w:val="327"/>
        </w:trPr>
        <w:tc>
          <w:tcPr>
            <w:tcW w:w="0" w:type="auto"/>
            <w:vAlign w:val="center"/>
            <w:hideMark/>
          </w:tcPr>
          <w:p w14:paraId="3CBF557F" w14:textId="61693E4B" w:rsidR="004170DA" w:rsidRPr="00064185" w:rsidRDefault="004170DA" w:rsidP="00EA61D8">
            <w:pPr>
              <w:spacing w:before="60" w:afterLines="60" w:after="144"/>
              <w:contextualSpacing/>
              <w:rPr>
                <w:bCs/>
              </w:rPr>
            </w:pPr>
            <w:r w:rsidRPr="00064185">
              <w:rPr>
                <w:bCs/>
              </w:rPr>
              <w:t>Quantity of commercial applied</w:t>
            </w:r>
          </w:p>
        </w:tc>
        <w:tc>
          <w:tcPr>
            <w:tcW w:w="0" w:type="auto"/>
            <w:vAlign w:val="center"/>
          </w:tcPr>
          <w:p w14:paraId="133FB7BD" w14:textId="77777777" w:rsidR="004170DA" w:rsidRPr="00064185" w:rsidRDefault="004170DA" w:rsidP="00EA61D8">
            <w:pPr>
              <w:spacing w:before="60" w:afterLines="60" w:after="144"/>
              <w:contextualSpacing/>
              <w:rPr>
                <w:bCs/>
              </w:rPr>
            </w:pPr>
            <w:r w:rsidRPr="00064185">
              <w:rPr>
                <w:bCs/>
              </w:rPr>
              <w:t>[g/m</w:t>
            </w:r>
            <w:r w:rsidRPr="00064185">
              <w:rPr>
                <w:bCs/>
                <w:vertAlign w:val="superscript"/>
              </w:rPr>
              <w:t>2</w:t>
            </w:r>
            <w:r w:rsidRPr="00064185">
              <w:rPr>
                <w:bCs/>
              </w:rPr>
              <w:t>]</w:t>
            </w:r>
          </w:p>
        </w:tc>
        <w:tc>
          <w:tcPr>
            <w:tcW w:w="0" w:type="auto"/>
            <w:vAlign w:val="center"/>
            <w:hideMark/>
          </w:tcPr>
          <w:p w14:paraId="0E7895E5" w14:textId="77777777" w:rsidR="004170DA" w:rsidRPr="00064185" w:rsidRDefault="004170DA" w:rsidP="00EA61D8">
            <w:pPr>
              <w:spacing w:before="60" w:afterLines="60" w:after="144"/>
              <w:contextualSpacing/>
              <w:rPr>
                <w:bCs/>
              </w:rPr>
            </w:pPr>
            <w:r w:rsidRPr="00064185">
              <w:rPr>
                <w:bCs/>
              </w:rPr>
              <w:t>Q</w:t>
            </w:r>
            <w:r w:rsidRPr="00064185">
              <w:rPr>
                <w:bCs/>
                <w:vertAlign w:val="subscript"/>
              </w:rPr>
              <w:t>prod</w:t>
            </w:r>
          </w:p>
        </w:tc>
        <w:tc>
          <w:tcPr>
            <w:tcW w:w="0" w:type="auto"/>
            <w:vAlign w:val="center"/>
            <w:hideMark/>
          </w:tcPr>
          <w:p w14:paraId="76F96156" w14:textId="77777777" w:rsidR="004170DA" w:rsidRPr="00064185" w:rsidRDefault="004170DA" w:rsidP="00EA61D8">
            <w:pPr>
              <w:tabs>
                <w:tab w:val="right" w:pos="1295"/>
              </w:tabs>
              <w:spacing w:before="60" w:afterLines="60" w:after="144"/>
              <w:contextualSpacing/>
            </w:pPr>
            <w:r w:rsidRPr="00064185">
              <w:t>44.5</w:t>
            </w:r>
          </w:p>
        </w:tc>
        <w:tc>
          <w:tcPr>
            <w:tcW w:w="0" w:type="auto"/>
            <w:gridSpan w:val="2"/>
            <w:vAlign w:val="center"/>
          </w:tcPr>
          <w:p w14:paraId="431B2990" w14:textId="5CC3612E" w:rsidR="004170DA" w:rsidRPr="00064185" w:rsidRDefault="004170DA" w:rsidP="00EA61D8">
            <w:pPr>
              <w:tabs>
                <w:tab w:val="right" w:pos="1295"/>
              </w:tabs>
              <w:spacing w:before="60" w:afterLines="60" w:after="144"/>
              <w:contextualSpacing/>
            </w:pPr>
            <w:r w:rsidRPr="00064185">
              <w:t>100</w:t>
            </w:r>
          </w:p>
        </w:tc>
      </w:tr>
      <w:tr w:rsidR="00064185" w:rsidRPr="00064185" w14:paraId="21F83FAB" w14:textId="77777777" w:rsidTr="00956E61">
        <w:trPr>
          <w:cantSplit/>
          <w:trHeight w:val="567"/>
        </w:trPr>
        <w:tc>
          <w:tcPr>
            <w:tcW w:w="0" w:type="auto"/>
            <w:vAlign w:val="center"/>
            <w:hideMark/>
          </w:tcPr>
          <w:p w14:paraId="3E6B3A97" w14:textId="1D87AC13" w:rsidR="009E1619" w:rsidRPr="00064185" w:rsidRDefault="009E1619" w:rsidP="00EA61D8">
            <w:pPr>
              <w:spacing w:before="60" w:afterLines="60" w:after="144"/>
              <w:contextualSpacing/>
              <w:rPr>
                <w:bCs/>
              </w:rPr>
            </w:pPr>
            <w:r w:rsidRPr="00064185">
              <w:rPr>
                <w:bCs/>
              </w:rPr>
              <w:t>Fraction of active substance in the commercial product</w:t>
            </w:r>
          </w:p>
        </w:tc>
        <w:tc>
          <w:tcPr>
            <w:tcW w:w="0" w:type="auto"/>
            <w:vAlign w:val="center"/>
          </w:tcPr>
          <w:p w14:paraId="32B376BE" w14:textId="77777777" w:rsidR="009E1619" w:rsidRPr="00064185" w:rsidRDefault="009E1619" w:rsidP="00EA61D8">
            <w:pPr>
              <w:spacing w:before="60" w:afterLines="60" w:after="144"/>
              <w:contextualSpacing/>
              <w:rPr>
                <w:bCs/>
              </w:rPr>
            </w:pPr>
            <w:r w:rsidRPr="00064185">
              <w:rPr>
                <w:bCs/>
              </w:rPr>
              <w:t>[-]</w:t>
            </w:r>
          </w:p>
        </w:tc>
        <w:tc>
          <w:tcPr>
            <w:tcW w:w="0" w:type="auto"/>
            <w:vAlign w:val="center"/>
            <w:hideMark/>
          </w:tcPr>
          <w:p w14:paraId="29DF203B" w14:textId="77777777" w:rsidR="009E1619" w:rsidRPr="00064185" w:rsidRDefault="009E1619" w:rsidP="00EA61D8">
            <w:pPr>
              <w:spacing w:before="60" w:afterLines="60" w:after="144"/>
              <w:contextualSpacing/>
              <w:rPr>
                <w:bCs/>
              </w:rPr>
            </w:pPr>
            <w:r w:rsidRPr="00064185">
              <w:rPr>
                <w:bCs/>
              </w:rPr>
              <w:t>F</w:t>
            </w:r>
            <w:r w:rsidRPr="00064185">
              <w:rPr>
                <w:bCs/>
                <w:vertAlign w:val="subscript"/>
              </w:rPr>
              <w:t>AI</w:t>
            </w:r>
          </w:p>
        </w:tc>
        <w:tc>
          <w:tcPr>
            <w:tcW w:w="0" w:type="auto"/>
            <w:gridSpan w:val="3"/>
            <w:vAlign w:val="center"/>
            <w:hideMark/>
          </w:tcPr>
          <w:p w14:paraId="6FE43CAA" w14:textId="77777777" w:rsidR="009E1619" w:rsidRPr="00064185" w:rsidRDefault="009E1619" w:rsidP="00EA61D8">
            <w:pPr>
              <w:tabs>
                <w:tab w:val="right" w:pos="1295"/>
              </w:tabs>
              <w:spacing w:before="60" w:afterLines="60" w:after="144"/>
              <w:contextualSpacing/>
            </w:pPr>
            <w:r w:rsidRPr="00064185">
              <w:t>0.0005</w:t>
            </w:r>
          </w:p>
        </w:tc>
      </w:tr>
      <w:tr w:rsidR="00064185" w:rsidRPr="00064185" w14:paraId="31237B4E" w14:textId="77777777" w:rsidTr="00956E61">
        <w:trPr>
          <w:cantSplit/>
          <w:trHeight w:val="567"/>
        </w:trPr>
        <w:tc>
          <w:tcPr>
            <w:tcW w:w="0" w:type="auto"/>
            <w:vAlign w:val="center"/>
            <w:hideMark/>
          </w:tcPr>
          <w:p w14:paraId="369BCC31" w14:textId="78E10CCC" w:rsidR="009E1619" w:rsidRPr="00064185" w:rsidRDefault="009E1619" w:rsidP="00EA61D8">
            <w:pPr>
              <w:spacing w:before="60" w:afterLines="60" w:after="144"/>
              <w:contextualSpacing/>
              <w:rPr>
                <w:bCs/>
              </w:rPr>
            </w:pPr>
            <w:r w:rsidRPr="00064185">
              <w:rPr>
                <w:bCs/>
              </w:rPr>
              <w:lastRenderedPageBreak/>
              <w:t>Number of applications per day</w:t>
            </w:r>
          </w:p>
        </w:tc>
        <w:tc>
          <w:tcPr>
            <w:tcW w:w="0" w:type="auto"/>
            <w:vAlign w:val="center"/>
          </w:tcPr>
          <w:p w14:paraId="11F54028" w14:textId="77777777" w:rsidR="009E1619" w:rsidRPr="00064185" w:rsidRDefault="009E1619" w:rsidP="00EA61D8">
            <w:pPr>
              <w:spacing w:before="60" w:afterLines="60" w:after="144"/>
              <w:contextualSpacing/>
              <w:rPr>
                <w:bCs/>
              </w:rPr>
            </w:pPr>
            <w:r w:rsidRPr="00064185">
              <w:rPr>
                <w:bCs/>
              </w:rPr>
              <w:t>[d]</w:t>
            </w:r>
          </w:p>
        </w:tc>
        <w:tc>
          <w:tcPr>
            <w:tcW w:w="0" w:type="auto"/>
            <w:vAlign w:val="center"/>
            <w:hideMark/>
          </w:tcPr>
          <w:p w14:paraId="08AAF588" w14:textId="1B36025A" w:rsidR="009E1619" w:rsidRPr="00064185" w:rsidRDefault="009E1619" w:rsidP="00EA61D8">
            <w:pPr>
              <w:spacing w:before="60" w:afterLines="60" w:after="144"/>
              <w:contextualSpacing/>
              <w:rPr>
                <w:bCs/>
              </w:rPr>
            </w:pPr>
            <w:r w:rsidRPr="00064185">
              <w:rPr>
                <w:bCs/>
              </w:rPr>
              <w:t>N</w:t>
            </w:r>
            <w:r w:rsidR="00621BAE" w:rsidRPr="00064185">
              <w:rPr>
                <w:bCs/>
                <w:vertAlign w:val="subscript"/>
              </w:rPr>
              <w:t xml:space="preserve">appl, </w:t>
            </w:r>
            <w:r w:rsidRPr="00064185">
              <w:rPr>
                <w:bCs/>
                <w:vertAlign w:val="subscript"/>
              </w:rPr>
              <w:t>building</w:t>
            </w:r>
          </w:p>
        </w:tc>
        <w:tc>
          <w:tcPr>
            <w:tcW w:w="0" w:type="auto"/>
            <w:gridSpan w:val="3"/>
            <w:vAlign w:val="center"/>
            <w:hideMark/>
          </w:tcPr>
          <w:p w14:paraId="219A2253" w14:textId="77777777" w:rsidR="009E1619" w:rsidRPr="00064185" w:rsidRDefault="009E1619" w:rsidP="00EA61D8">
            <w:pPr>
              <w:tabs>
                <w:tab w:val="right" w:pos="1295"/>
              </w:tabs>
              <w:spacing w:before="60" w:afterLines="60" w:after="144"/>
              <w:contextualSpacing/>
            </w:pPr>
            <w:r w:rsidRPr="00064185">
              <w:t>1</w:t>
            </w:r>
          </w:p>
        </w:tc>
      </w:tr>
      <w:tr w:rsidR="00064185" w:rsidRPr="00064185" w14:paraId="2A3D0114" w14:textId="77777777" w:rsidTr="00956E61">
        <w:trPr>
          <w:cantSplit/>
          <w:trHeight w:val="567"/>
        </w:trPr>
        <w:tc>
          <w:tcPr>
            <w:tcW w:w="0" w:type="auto"/>
            <w:vAlign w:val="center"/>
            <w:hideMark/>
          </w:tcPr>
          <w:p w14:paraId="67091A2D" w14:textId="6CB4DB47" w:rsidR="009E1619" w:rsidRPr="00064185" w:rsidRDefault="009E1619" w:rsidP="00EA61D8">
            <w:pPr>
              <w:spacing w:before="60" w:afterLines="60" w:after="144"/>
              <w:contextualSpacing/>
              <w:rPr>
                <w:bCs/>
              </w:rPr>
            </w:pPr>
            <w:r w:rsidRPr="00064185">
              <w:rPr>
                <w:bCs/>
              </w:rPr>
              <w:t>Area treated with the product</w:t>
            </w:r>
          </w:p>
        </w:tc>
        <w:tc>
          <w:tcPr>
            <w:tcW w:w="0" w:type="auto"/>
            <w:vAlign w:val="center"/>
          </w:tcPr>
          <w:p w14:paraId="633E1C18" w14:textId="77777777" w:rsidR="009E1619" w:rsidRPr="00064185" w:rsidRDefault="009E1619" w:rsidP="00EA61D8">
            <w:pPr>
              <w:spacing w:before="60" w:afterLines="60" w:after="144"/>
              <w:contextualSpacing/>
              <w:rPr>
                <w:bCs/>
              </w:rPr>
            </w:pPr>
            <w:r w:rsidRPr="00064185">
              <w:rPr>
                <w:bCs/>
              </w:rPr>
              <w:t>[m²]</w:t>
            </w:r>
          </w:p>
        </w:tc>
        <w:tc>
          <w:tcPr>
            <w:tcW w:w="0" w:type="auto"/>
            <w:vAlign w:val="center"/>
            <w:hideMark/>
          </w:tcPr>
          <w:p w14:paraId="60C8A633" w14:textId="77777777" w:rsidR="009E1619" w:rsidRPr="00064185" w:rsidRDefault="009E1619" w:rsidP="00EA61D8">
            <w:pPr>
              <w:spacing w:before="60" w:afterLines="60" w:after="144"/>
              <w:contextualSpacing/>
              <w:rPr>
                <w:bCs/>
              </w:rPr>
            </w:pPr>
            <w:r w:rsidRPr="00064185">
              <w:rPr>
                <w:bCs/>
              </w:rPr>
              <w:t>AREA</w:t>
            </w:r>
            <w:r w:rsidRPr="00064185">
              <w:rPr>
                <w:bCs/>
                <w:vertAlign w:val="subscript"/>
              </w:rPr>
              <w:t>treated</w:t>
            </w:r>
          </w:p>
        </w:tc>
        <w:tc>
          <w:tcPr>
            <w:tcW w:w="0" w:type="auto"/>
            <w:gridSpan w:val="3"/>
            <w:vAlign w:val="center"/>
            <w:hideMark/>
          </w:tcPr>
          <w:p w14:paraId="7827CEFF" w14:textId="7F474F91" w:rsidR="009E1619" w:rsidRPr="00064185" w:rsidRDefault="009E1619" w:rsidP="00EA61D8">
            <w:pPr>
              <w:tabs>
                <w:tab w:val="right" w:pos="1295"/>
              </w:tabs>
              <w:spacing w:before="60" w:afterLines="60" w:after="144"/>
              <w:contextualSpacing/>
            </w:pPr>
            <w:r w:rsidRPr="00064185">
              <w:t>2.0</w:t>
            </w:r>
          </w:p>
        </w:tc>
      </w:tr>
      <w:tr w:rsidR="00064185" w:rsidRPr="00064185" w14:paraId="07F11BC6" w14:textId="77777777" w:rsidTr="00956E61">
        <w:trPr>
          <w:cantSplit/>
          <w:trHeight w:val="567"/>
        </w:trPr>
        <w:tc>
          <w:tcPr>
            <w:tcW w:w="0" w:type="auto"/>
            <w:vAlign w:val="center"/>
            <w:hideMark/>
          </w:tcPr>
          <w:p w14:paraId="544BDD49" w14:textId="714D25A8" w:rsidR="009E1619" w:rsidRPr="00064185" w:rsidRDefault="009E1619" w:rsidP="00EA61D8">
            <w:pPr>
              <w:spacing w:before="60" w:afterLines="60" w:after="144"/>
              <w:contextualSpacing/>
              <w:rPr>
                <w:bCs/>
              </w:rPr>
            </w:pPr>
            <w:r w:rsidRPr="00064185">
              <w:rPr>
                <w:bCs/>
              </w:rPr>
              <w:t>Fraction emitted to applicator during application</w:t>
            </w:r>
          </w:p>
        </w:tc>
        <w:tc>
          <w:tcPr>
            <w:tcW w:w="0" w:type="auto"/>
            <w:vAlign w:val="center"/>
          </w:tcPr>
          <w:p w14:paraId="7D751F0B" w14:textId="77777777" w:rsidR="009E1619" w:rsidRPr="00064185" w:rsidRDefault="009E1619" w:rsidP="00EA61D8">
            <w:pPr>
              <w:spacing w:before="60" w:afterLines="60" w:after="144"/>
              <w:contextualSpacing/>
              <w:rPr>
                <w:bCs/>
              </w:rPr>
            </w:pPr>
            <w:r w:rsidRPr="00064185">
              <w:rPr>
                <w:bCs/>
              </w:rPr>
              <w:t>[-]</w:t>
            </w:r>
          </w:p>
        </w:tc>
        <w:tc>
          <w:tcPr>
            <w:tcW w:w="0" w:type="auto"/>
            <w:vAlign w:val="center"/>
            <w:hideMark/>
          </w:tcPr>
          <w:p w14:paraId="1134EDEC" w14:textId="77777777" w:rsidR="009E1619" w:rsidRPr="00064185" w:rsidRDefault="009E1619" w:rsidP="00EA61D8">
            <w:pPr>
              <w:spacing w:before="60" w:afterLines="60" w:after="144"/>
              <w:contextualSpacing/>
              <w:rPr>
                <w:bCs/>
              </w:rPr>
            </w:pPr>
            <w:r w:rsidRPr="00064185">
              <w:rPr>
                <w:bCs/>
              </w:rPr>
              <w:t>F</w:t>
            </w:r>
            <w:r w:rsidRPr="00064185">
              <w:rPr>
                <w:bCs/>
                <w:vertAlign w:val="subscript"/>
              </w:rPr>
              <w:t>application, applicator</w:t>
            </w:r>
          </w:p>
        </w:tc>
        <w:tc>
          <w:tcPr>
            <w:tcW w:w="0" w:type="auto"/>
            <w:gridSpan w:val="3"/>
            <w:vAlign w:val="center"/>
            <w:hideMark/>
          </w:tcPr>
          <w:p w14:paraId="36983334" w14:textId="60378954" w:rsidR="009E1619" w:rsidRPr="00064185" w:rsidRDefault="009E1619" w:rsidP="00EA61D8">
            <w:pPr>
              <w:tabs>
                <w:tab w:val="right" w:pos="1295"/>
              </w:tabs>
              <w:spacing w:before="60" w:afterLines="60" w:after="144"/>
              <w:contextualSpacing/>
            </w:pPr>
            <w:r w:rsidRPr="00064185">
              <w:t>0.0</w:t>
            </w:r>
            <w:r w:rsidR="00F83A36" w:rsidRPr="00064185">
              <w:t>06</w:t>
            </w:r>
          </w:p>
        </w:tc>
      </w:tr>
      <w:tr w:rsidR="00064185" w:rsidRPr="00064185" w14:paraId="46B32EB0" w14:textId="77777777" w:rsidTr="00956E61">
        <w:trPr>
          <w:cantSplit/>
          <w:trHeight w:val="567"/>
        </w:trPr>
        <w:tc>
          <w:tcPr>
            <w:tcW w:w="0" w:type="auto"/>
            <w:vAlign w:val="center"/>
          </w:tcPr>
          <w:p w14:paraId="015F1A3C" w14:textId="37AA8968" w:rsidR="009E1619" w:rsidRPr="00064185" w:rsidRDefault="009E1619" w:rsidP="00EA61D8">
            <w:pPr>
              <w:spacing w:before="60" w:afterLines="60" w:after="144"/>
              <w:contextualSpacing/>
              <w:rPr>
                <w:bCs/>
              </w:rPr>
            </w:pPr>
            <w:r w:rsidRPr="00064185">
              <w:rPr>
                <w:bCs/>
              </w:rPr>
              <w:t>Fraction emitted to wastewater from applicator after the application</w:t>
            </w:r>
          </w:p>
        </w:tc>
        <w:tc>
          <w:tcPr>
            <w:tcW w:w="0" w:type="auto"/>
            <w:vAlign w:val="center"/>
          </w:tcPr>
          <w:p w14:paraId="387E2B97" w14:textId="77777777" w:rsidR="009E1619" w:rsidRPr="00064185" w:rsidRDefault="009E1619" w:rsidP="00EA61D8">
            <w:pPr>
              <w:spacing w:before="60" w:afterLines="60" w:after="144"/>
              <w:contextualSpacing/>
              <w:rPr>
                <w:bCs/>
              </w:rPr>
            </w:pPr>
            <w:r w:rsidRPr="00064185">
              <w:rPr>
                <w:bCs/>
              </w:rPr>
              <w:t>[-]</w:t>
            </w:r>
          </w:p>
        </w:tc>
        <w:tc>
          <w:tcPr>
            <w:tcW w:w="0" w:type="auto"/>
            <w:vAlign w:val="center"/>
          </w:tcPr>
          <w:p w14:paraId="5B5B17BF" w14:textId="77777777" w:rsidR="009E1619" w:rsidRPr="00064185" w:rsidRDefault="009E1619" w:rsidP="00EA61D8">
            <w:pPr>
              <w:spacing w:before="60" w:afterLines="60" w:after="144"/>
              <w:contextualSpacing/>
              <w:rPr>
                <w:bCs/>
              </w:rPr>
            </w:pPr>
            <w:r w:rsidRPr="00064185">
              <w:rPr>
                <w:bCs/>
              </w:rPr>
              <w:t>F</w:t>
            </w:r>
            <w:r w:rsidRPr="00064185">
              <w:rPr>
                <w:bCs/>
                <w:vertAlign w:val="subscript"/>
              </w:rPr>
              <w:t>applicator, ww</w:t>
            </w:r>
          </w:p>
        </w:tc>
        <w:tc>
          <w:tcPr>
            <w:tcW w:w="0" w:type="auto"/>
            <w:gridSpan w:val="3"/>
            <w:vAlign w:val="center"/>
          </w:tcPr>
          <w:p w14:paraId="50AAE229" w14:textId="77777777" w:rsidR="009E1619" w:rsidRPr="00064185" w:rsidRDefault="009E1619" w:rsidP="00EA61D8">
            <w:pPr>
              <w:tabs>
                <w:tab w:val="right" w:pos="1295"/>
              </w:tabs>
              <w:spacing w:before="60" w:afterLines="60" w:after="144"/>
              <w:contextualSpacing/>
            </w:pPr>
            <w:r w:rsidRPr="00064185">
              <w:t>1</w:t>
            </w:r>
          </w:p>
        </w:tc>
      </w:tr>
      <w:tr w:rsidR="00064185" w:rsidRPr="00064185" w14:paraId="7AC0E13D" w14:textId="77777777" w:rsidTr="00956E61">
        <w:trPr>
          <w:cantSplit/>
          <w:trHeight w:val="567"/>
        </w:trPr>
        <w:tc>
          <w:tcPr>
            <w:tcW w:w="0" w:type="auto"/>
            <w:vAlign w:val="center"/>
            <w:hideMark/>
          </w:tcPr>
          <w:p w14:paraId="201B6510" w14:textId="24661980" w:rsidR="00F83A36" w:rsidRPr="00064185" w:rsidRDefault="00F83A36" w:rsidP="00EA61D8">
            <w:pPr>
              <w:spacing w:before="60" w:afterLines="60" w:after="144"/>
              <w:contextualSpacing/>
              <w:rPr>
                <w:bCs/>
              </w:rPr>
            </w:pPr>
            <w:r w:rsidRPr="00064185">
              <w:rPr>
                <w:bCs/>
              </w:rPr>
              <w:t>Fraction emitted to floor during application</w:t>
            </w:r>
          </w:p>
        </w:tc>
        <w:tc>
          <w:tcPr>
            <w:tcW w:w="0" w:type="auto"/>
            <w:vAlign w:val="center"/>
          </w:tcPr>
          <w:p w14:paraId="5600D0F5" w14:textId="77777777" w:rsidR="00F83A36" w:rsidRPr="00064185" w:rsidRDefault="00F83A36" w:rsidP="00EA61D8">
            <w:pPr>
              <w:spacing w:before="60" w:afterLines="60" w:after="144"/>
              <w:contextualSpacing/>
              <w:rPr>
                <w:bCs/>
              </w:rPr>
            </w:pPr>
            <w:r w:rsidRPr="00064185">
              <w:rPr>
                <w:bCs/>
              </w:rPr>
              <w:t>[-]</w:t>
            </w:r>
          </w:p>
        </w:tc>
        <w:tc>
          <w:tcPr>
            <w:tcW w:w="0" w:type="auto"/>
            <w:vAlign w:val="center"/>
            <w:hideMark/>
          </w:tcPr>
          <w:p w14:paraId="785D1F0B" w14:textId="2FF8B12C" w:rsidR="00F83A36" w:rsidRPr="00064185" w:rsidRDefault="00F83A36" w:rsidP="00EA61D8">
            <w:pPr>
              <w:spacing w:before="60" w:afterLines="60" w:after="144"/>
              <w:contextualSpacing/>
              <w:rPr>
                <w:bCs/>
              </w:rPr>
            </w:pPr>
            <w:r w:rsidRPr="00064185">
              <w:rPr>
                <w:bCs/>
              </w:rPr>
              <w:t>F</w:t>
            </w:r>
            <w:r w:rsidRPr="00064185">
              <w:rPr>
                <w:bCs/>
                <w:vertAlign w:val="subscript"/>
              </w:rPr>
              <w:t>application, floor</w:t>
            </w:r>
          </w:p>
        </w:tc>
        <w:tc>
          <w:tcPr>
            <w:tcW w:w="0" w:type="auto"/>
            <w:gridSpan w:val="3"/>
            <w:vAlign w:val="center"/>
            <w:hideMark/>
          </w:tcPr>
          <w:p w14:paraId="277CD33F" w14:textId="3E97B094" w:rsidR="00F83A36" w:rsidRPr="00064185" w:rsidRDefault="006066B3" w:rsidP="00EA61D8">
            <w:pPr>
              <w:tabs>
                <w:tab w:val="right" w:pos="1295"/>
              </w:tabs>
              <w:spacing w:before="60" w:afterLines="60" w:after="144"/>
              <w:contextualSpacing/>
            </w:pPr>
            <w:r w:rsidRPr="00064185">
              <w:t>0.</w:t>
            </w:r>
            <w:r w:rsidR="00815788" w:rsidRPr="00064185">
              <w:t>124</w:t>
            </w:r>
          </w:p>
        </w:tc>
      </w:tr>
      <w:tr w:rsidR="00064185" w:rsidRPr="00064185" w14:paraId="66137663" w14:textId="77777777" w:rsidTr="00956E61">
        <w:trPr>
          <w:cantSplit/>
          <w:trHeight w:val="567"/>
        </w:trPr>
        <w:tc>
          <w:tcPr>
            <w:tcW w:w="0" w:type="auto"/>
            <w:vAlign w:val="center"/>
            <w:hideMark/>
          </w:tcPr>
          <w:p w14:paraId="74889FEE" w14:textId="7BECF83F" w:rsidR="00F83A36" w:rsidRPr="00064185" w:rsidRDefault="00F83A36" w:rsidP="00EA61D8">
            <w:pPr>
              <w:spacing w:before="60" w:afterLines="60" w:after="144"/>
              <w:contextualSpacing/>
              <w:rPr>
                <w:bCs/>
              </w:rPr>
            </w:pPr>
            <w:r w:rsidRPr="00064185">
              <w:rPr>
                <w:bCs/>
              </w:rPr>
              <w:t>Fraction emitted to treated surfaces during application</w:t>
            </w:r>
          </w:p>
        </w:tc>
        <w:tc>
          <w:tcPr>
            <w:tcW w:w="0" w:type="auto"/>
            <w:vAlign w:val="center"/>
          </w:tcPr>
          <w:p w14:paraId="386C6A24" w14:textId="77777777" w:rsidR="00F83A36" w:rsidRPr="00064185" w:rsidRDefault="00F83A36" w:rsidP="00EA61D8">
            <w:pPr>
              <w:spacing w:before="60" w:afterLines="60" w:after="144"/>
              <w:contextualSpacing/>
              <w:rPr>
                <w:bCs/>
              </w:rPr>
            </w:pPr>
            <w:r w:rsidRPr="00064185">
              <w:rPr>
                <w:bCs/>
              </w:rPr>
              <w:t>[-]</w:t>
            </w:r>
          </w:p>
        </w:tc>
        <w:tc>
          <w:tcPr>
            <w:tcW w:w="0" w:type="auto"/>
            <w:vAlign w:val="center"/>
            <w:hideMark/>
          </w:tcPr>
          <w:p w14:paraId="3230CA82" w14:textId="539FCEE1" w:rsidR="00F83A36" w:rsidRPr="00064185" w:rsidRDefault="00F83A36" w:rsidP="00EA61D8">
            <w:pPr>
              <w:spacing w:before="60" w:afterLines="60" w:after="144"/>
              <w:contextualSpacing/>
              <w:rPr>
                <w:bCs/>
              </w:rPr>
            </w:pPr>
            <w:r w:rsidRPr="00064185">
              <w:rPr>
                <w:bCs/>
              </w:rPr>
              <w:t>F</w:t>
            </w:r>
            <w:r w:rsidRPr="00064185">
              <w:rPr>
                <w:bCs/>
                <w:vertAlign w:val="subscript"/>
              </w:rPr>
              <w:t xml:space="preserve">application, </w:t>
            </w:r>
            <w:r w:rsidR="00902DCF" w:rsidRPr="00064185">
              <w:rPr>
                <w:bCs/>
                <w:vertAlign w:val="subscript"/>
              </w:rPr>
              <w:t>treated</w:t>
            </w:r>
          </w:p>
        </w:tc>
        <w:tc>
          <w:tcPr>
            <w:tcW w:w="0" w:type="auto"/>
            <w:gridSpan w:val="3"/>
            <w:shd w:val="clear" w:color="auto" w:fill="auto"/>
            <w:vAlign w:val="center"/>
            <w:hideMark/>
          </w:tcPr>
          <w:p w14:paraId="14D5B87E" w14:textId="4E278E11" w:rsidR="00F83A36" w:rsidRPr="00064185" w:rsidRDefault="00E46BF7" w:rsidP="00EA61D8">
            <w:pPr>
              <w:tabs>
                <w:tab w:val="right" w:pos="1295"/>
              </w:tabs>
              <w:spacing w:before="60" w:afterLines="60" w:after="144"/>
              <w:contextualSpacing/>
            </w:pPr>
            <w:r w:rsidRPr="00064185">
              <w:t>0.8</w:t>
            </w:r>
            <w:r w:rsidR="00D852B6" w:rsidRPr="00064185">
              <w:t>5</w:t>
            </w:r>
          </w:p>
        </w:tc>
      </w:tr>
      <w:tr w:rsidR="00064185" w:rsidRPr="00064185" w14:paraId="23CEFBD8" w14:textId="77777777" w:rsidTr="00956E61">
        <w:trPr>
          <w:cantSplit/>
          <w:trHeight w:val="567"/>
        </w:trPr>
        <w:tc>
          <w:tcPr>
            <w:tcW w:w="0" w:type="auto"/>
            <w:vAlign w:val="center"/>
          </w:tcPr>
          <w:p w14:paraId="13B1B226" w14:textId="4CFC844B" w:rsidR="00F83A36" w:rsidRPr="00064185" w:rsidRDefault="00F83A36" w:rsidP="00EA61D8">
            <w:pPr>
              <w:spacing w:before="60" w:afterLines="60" w:after="144"/>
              <w:contextualSpacing/>
              <w:rPr>
                <w:bCs/>
              </w:rPr>
            </w:pPr>
            <w:r w:rsidRPr="00064185">
              <w:rPr>
                <w:bCs/>
              </w:rPr>
              <w:t xml:space="preserve">Fraction emitted to wastewater from </w:t>
            </w:r>
            <w:r w:rsidR="00902DCF" w:rsidRPr="00064185">
              <w:rPr>
                <w:bCs/>
              </w:rPr>
              <w:t>treated surfaces</w:t>
            </w:r>
            <w:r w:rsidRPr="00064185">
              <w:rPr>
                <w:bCs/>
              </w:rPr>
              <w:t xml:space="preserve"> after the application</w:t>
            </w:r>
            <w:r w:rsidR="00AC64E3" w:rsidRPr="00064185">
              <w:rPr>
                <w:bCs/>
              </w:rPr>
              <w:t xml:space="preserve"> (incl. floor)</w:t>
            </w:r>
          </w:p>
        </w:tc>
        <w:tc>
          <w:tcPr>
            <w:tcW w:w="0" w:type="auto"/>
            <w:vAlign w:val="center"/>
          </w:tcPr>
          <w:p w14:paraId="230C0AC9" w14:textId="77777777" w:rsidR="00F83A36" w:rsidRPr="00064185" w:rsidRDefault="00F83A36" w:rsidP="00EA61D8">
            <w:pPr>
              <w:spacing w:before="60" w:afterLines="60" w:after="144"/>
              <w:contextualSpacing/>
              <w:rPr>
                <w:bCs/>
              </w:rPr>
            </w:pPr>
            <w:r w:rsidRPr="00064185">
              <w:rPr>
                <w:bCs/>
              </w:rPr>
              <w:t>[-]</w:t>
            </w:r>
          </w:p>
        </w:tc>
        <w:tc>
          <w:tcPr>
            <w:tcW w:w="0" w:type="auto"/>
            <w:vAlign w:val="center"/>
          </w:tcPr>
          <w:p w14:paraId="20069697" w14:textId="47E83A1D" w:rsidR="00F83A36" w:rsidRPr="00064185" w:rsidRDefault="00F83A36" w:rsidP="00EA61D8">
            <w:pPr>
              <w:spacing w:before="60" w:afterLines="60" w:after="144"/>
              <w:contextualSpacing/>
              <w:rPr>
                <w:bCs/>
              </w:rPr>
            </w:pPr>
            <w:r w:rsidRPr="00064185">
              <w:rPr>
                <w:bCs/>
              </w:rPr>
              <w:t>F</w:t>
            </w:r>
            <w:r w:rsidRPr="00064185">
              <w:rPr>
                <w:bCs/>
                <w:vertAlign w:val="subscript"/>
              </w:rPr>
              <w:t>ww</w:t>
            </w:r>
          </w:p>
        </w:tc>
        <w:tc>
          <w:tcPr>
            <w:tcW w:w="0" w:type="auto"/>
            <w:gridSpan w:val="3"/>
            <w:vAlign w:val="center"/>
          </w:tcPr>
          <w:p w14:paraId="37CBE2F7" w14:textId="77777777" w:rsidR="00F83A36" w:rsidRPr="00064185" w:rsidRDefault="00F83A36" w:rsidP="00EA61D8">
            <w:pPr>
              <w:tabs>
                <w:tab w:val="right" w:pos="1295"/>
              </w:tabs>
              <w:spacing w:before="60" w:afterLines="60" w:after="144"/>
              <w:contextualSpacing/>
            </w:pPr>
            <w:r w:rsidRPr="00064185">
              <w:t>1</w:t>
            </w:r>
          </w:p>
        </w:tc>
      </w:tr>
      <w:tr w:rsidR="00064185" w:rsidRPr="00064185" w14:paraId="52AE54CC" w14:textId="77777777" w:rsidTr="00956E61">
        <w:trPr>
          <w:cantSplit/>
          <w:trHeight w:val="567"/>
        </w:trPr>
        <w:tc>
          <w:tcPr>
            <w:tcW w:w="0" w:type="auto"/>
            <w:vAlign w:val="center"/>
          </w:tcPr>
          <w:p w14:paraId="6E51EA3D" w14:textId="435675DC" w:rsidR="005C3676" w:rsidRPr="00064185" w:rsidRDefault="005C3676" w:rsidP="00EA61D8">
            <w:pPr>
              <w:spacing w:before="60" w:afterLines="60" w:after="144"/>
              <w:contextualSpacing/>
              <w:rPr>
                <w:bCs/>
              </w:rPr>
            </w:pPr>
            <w:r w:rsidRPr="00064185">
              <w:rPr>
                <w:bCs/>
              </w:rPr>
              <w:t>Cleaning efficiency</w:t>
            </w:r>
          </w:p>
        </w:tc>
        <w:tc>
          <w:tcPr>
            <w:tcW w:w="0" w:type="auto"/>
            <w:vAlign w:val="center"/>
          </w:tcPr>
          <w:p w14:paraId="57941B0C" w14:textId="18BF20B2" w:rsidR="005C3676" w:rsidRPr="00064185" w:rsidRDefault="005C3676" w:rsidP="00EA61D8">
            <w:pPr>
              <w:spacing w:before="60" w:afterLines="60" w:after="144"/>
              <w:contextualSpacing/>
              <w:rPr>
                <w:bCs/>
              </w:rPr>
            </w:pPr>
            <w:r w:rsidRPr="00064185">
              <w:rPr>
                <w:bCs/>
              </w:rPr>
              <w:t>[-]</w:t>
            </w:r>
          </w:p>
        </w:tc>
        <w:tc>
          <w:tcPr>
            <w:tcW w:w="0" w:type="auto"/>
            <w:vAlign w:val="center"/>
          </w:tcPr>
          <w:p w14:paraId="67DE82FC" w14:textId="77561438" w:rsidR="005C3676" w:rsidRPr="00064185" w:rsidRDefault="005C3676" w:rsidP="00EA61D8">
            <w:pPr>
              <w:spacing w:before="60" w:afterLines="60" w:after="144"/>
              <w:contextualSpacing/>
              <w:rPr>
                <w:bCs/>
              </w:rPr>
            </w:pPr>
            <w:r w:rsidRPr="00064185">
              <w:rPr>
                <w:bCs/>
              </w:rPr>
              <w:t>F</w:t>
            </w:r>
            <w:r w:rsidRPr="00064185">
              <w:rPr>
                <w:bCs/>
                <w:vertAlign w:val="subscript"/>
              </w:rPr>
              <w:t>CE</w:t>
            </w:r>
          </w:p>
        </w:tc>
        <w:tc>
          <w:tcPr>
            <w:tcW w:w="0" w:type="auto"/>
            <w:gridSpan w:val="3"/>
            <w:vAlign w:val="center"/>
          </w:tcPr>
          <w:p w14:paraId="5E53DF67" w14:textId="7AF926E7" w:rsidR="005C3676" w:rsidRPr="00064185" w:rsidRDefault="005C3676" w:rsidP="00EA61D8">
            <w:pPr>
              <w:tabs>
                <w:tab w:val="right" w:pos="1295"/>
              </w:tabs>
              <w:spacing w:before="60" w:afterLines="60" w:after="144"/>
              <w:contextualSpacing/>
            </w:pPr>
            <w:r w:rsidRPr="00064185">
              <w:t>0.5</w:t>
            </w:r>
          </w:p>
        </w:tc>
      </w:tr>
      <w:tr w:rsidR="00064185" w:rsidRPr="00064185" w14:paraId="1FD51FDD" w14:textId="77777777" w:rsidTr="00956E61">
        <w:trPr>
          <w:cantSplit/>
          <w:trHeight w:val="567"/>
        </w:trPr>
        <w:tc>
          <w:tcPr>
            <w:tcW w:w="0" w:type="auto"/>
            <w:vAlign w:val="center"/>
          </w:tcPr>
          <w:p w14:paraId="6312F013" w14:textId="0E6C1162" w:rsidR="005C3676" w:rsidRPr="00064185" w:rsidRDefault="005C3676" w:rsidP="00EA61D8">
            <w:pPr>
              <w:spacing w:before="60" w:afterLines="60" w:after="144"/>
              <w:contextualSpacing/>
              <w:rPr>
                <w:bCs/>
              </w:rPr>
            </w:pPr>
            <w:r w:rsidRPr="00064185">
              <w:rPr>
                <w:bCs/>
              </w:rPr>
              <w:t>Number of buildings connected to STP</w:t>
            </w:r>
          </w:p>
        </w:tc>
        <w:tc>
          <w:tcPr>
            <w:tcW w:w="0" w:type="auto"/>
            <w:vAlign w:val="center"/>
          </w:tcPr>
          <w:p w14:paraId="6890F672" w14:textId="77777777" w:rsidR="005C3676" w:rsidRPr="00064185" w:rsidRDefault="005C3676" w:rsidP="00EA61D8">
            <w:pPr>
              <w:spacing w:before="60" w:afterLines="60" w:after="144"/>
              <w:contextualSpacing/>
              <w:rPr>
                <w:bCs/>
              </w:rPr>
            </w:pPr>
            <w:r w:rsidRPr="00064185">
              <w:rPr>
                <w:bCs/>
              </w:rPr>
              <w:t>[-]</w:t>
            </w:r>
          </w:p>
        </w:tc>
        <w:tc>
          <w:tcPr>
            <w:tcW w:w="0" w:type="auto"/>
            <w:vAlign w:val="center"/>
          </w:tcPr>
          <w:p w14:paraId="1C4B62AF" w14:textId="77777777" w:rsidR="005C3676" w:rsidRPr="00064185" w:rsidRDefault="005C3676" w:rsidP="00EA61D8">
            <w:pPr>
              <w:spacing w:before="60" w:afterLines="60" w:after="144"/>
              <w:contextualSpacing/>
              <w:rPr>
                <w:bCs/>
              </w:rPr>
            </w:pPr>
            <w:r w:rsidRPr="00064185">
              <w:rPr>
                <w:bCs/>
              </w:rPr>
              <w:t>N</w:t>
            </w:r>
            <w:r w:rsidRPr="00064185">
              <w:rPr>
                <w:bCs/>
                <w:vertAlign w:val="subscript"/>
              </w:rPr>
              <w:t>buildings</w:t>
            </w:r>
          </w:p>
        </w:tc>
        <w:tc>
          <w:tcPr>
            <w:tcW w:w="0" w:type="auto"/>
            <w:gridSpan w:val="3"/>
            <w:vAlign w:val="center"/>
          </w:tcPr>
          <w:p w14:paraId="40267EA4" w14:textId="0CA7BD44" w:rsidR="005C3676" w:rsidRPr="00064185" w:rsidRDefault="005C3676" w:rsidP="00EA61D8">
            <w:pPr>
              <w:tabs>
                <w:tab w:val="right" w:pos="1295"/>
              </w:tabs>
              <w:spacing w:before="60" w:afterLines="60" w:after="144"/>
              <w:contextualSpacing/>
            </w:pPr>
            <w:r w:rsidRPr="00064185">
              <w:rPr>
                <w:bCs/>
              </w:rPr>
              <w:t>4000</w:t>
            </w:r>
          </w:p>
        </w:tc>
      </w:tr>
      <w:tr w:rsidR="005C3676" w:rsidRPr="00064185" w14:paraId="34F6EC7C" w14:textId="77777777" w:rsidTr="00956E61">
        <w:trPr>
          <w:cantSplit/>
          <w:trHeight w:val="567"/>
        </w:trPr>
        <w:tc>
          <w:tcPr>
            <w:tcW w:w="0" w:type="auto"/>
            <w:vAlign w:val="center"/>
            <w:hideMark/>
          </w:tcPr>
          <w:p w14:paraId="4E34234C" w14:textId="0969F22D" w:rsidR="005C3676" w:rsidRPr="00064185" w:rsidRDefault="005C3676" w:rsidP="00EA61D8">
            <w:pPr>
              <w:spacing w:before="60" w:afterLines="60" w:after="144"/>
              <w:contextualSpacing/>
              <w:rPr>
                <w:bCs/>
              </w:rPr>
            </w:pPr>
            <w:r w:rsidRPr="00064185">
              <w:rPr>
                <w:bCs/>
              </w:rPr>
              <w:t>Simultaneity factor</w:t>
            </w:r>
          </w:p>
        </w:tc>
        <w:tc>
          <w:tcPr>
            <w:tcW w:w="0" w:type="auto"/>
            <w:vAlign w:val="center"/>
            <w:hideMark/>
          </w:tcPr>
          <w:p w14:paraId="413AF56C" w14:textId="77777777" w:rsidR="005C3676" w:rsidRPr="00064185" w:rsidRDefault="005C3676" w:rsidP="00EA61D8">
            <w:pPr>
              <w:keepLines/>
              <w:spacing w:before="60" w:afterLines="60" w:after="144"/>
              <w:contextualSpacing/>
              <w:rPr>
                <w:bCs/>
              </w:rPr>
            </w:pPr>
            <w:r w:rsidRPr="00064185">
              <w:rPr>
                <w:bCs/>
              </w:rPr>
              <w:t>[%]</w:t>
            </w:r>
          </w:p>
        </w:tc>
        <w:tc>
          <w:tcPr>
            <w:tcW w:w="0" w:type="auto"/>
            <w:vAlign w:val="center"/>
          </w:tcPr>
          <w:p w14:paraId="0DE60FC5" w14:textId="77777777" w:rsidR="005C3676" w:rsidRPr="00064185" w:rsidRDefault="005C3676" w:rsidP="00EA61D8">
            <w:pPr>
              <w:keepLines/>
              <w:spacing w:before="60" w:afterLines="60" w:after="144"/>
              <w:contextualSpacing/>
              <w:rPr>
                <w:bCs/>
              </w:rPr>
            </w:pPr>
            <w:r w:rsidRPr="00064185">
              <w:rPr>
                <w:bCs/>
              </w:rPr>
              <w:t>F</w:t>
            </w:r>
            <w:r w:rsidRPr="00064185">
              <w:rPr>
                <w:bCs/>
                <w:vertAlign w:val="subscript"/>
              </w:rPr>
              <w:t>simultaneity</w:t>
            </w:r>
          </w:p>
        </w:tc>
        <w:tc>
          <w:tcPr>
            <w:tcW w:w="0" w:type="auto"/>
            <w:vAlign w:val="center"/>
            <w:hideMark/>
          </w:tcPr>
          <w:p w14:paraId="2755E430" w14:textId="3BBBF61C" w:rsidR="005C3676" w:rsidRPr="00064185" w:rsidRDefault="007851D5" w:rsidP="00EA61D8">
            <w:pPr>
              <w:keepLines/>
              <w:tabs>
                <w:tab w:val="right" w:pos="1295"/>
              </w:tabs>
              <w:spacing w:before="60" w:afterLines="60" w:after="144"/>
              <w:contextualSpacing/>
            </w:pPr>
            <w:r w:rsidRPr="00064185">
              <w:t>0.815</w:t>
            </w:r>
          </w:p>
        </w:tc>
        <w:tc>
          <w:tcPr>
            <w:tcW w:w="0" w:type="auto"/>
            <w:vAlign w:val="center"/>
          </w:tcPr>
          <w:p w14:paraId="251FBDB6" w14:textId="651B6339" w:rsidR="005C3676" w:rsidRPr="00064185" w:rsidRDefault="005C3676" w:rsidP="00EA61D8">
            <w:pPr>
              <w:keepLines/>
              <w:tabs>
                <w:tab w:val="right" w:pos="1295"/>
              </w:tabs>
              <w:spacing w:before="60" w:afterLines="60" w:after="144"/>
              <w:contextualSpacing/>
            </w:pPr>
            <w:r w:rsidRPr="00064185">
              <w:t>2.75</w:t>
            </w:r>
          </w:p>
        </w:tc>
        <w:tc>
          <w:tcPr>
            <w:tcW w:w="0" w:type="auto"/>
            <w:vAlign w:val="center"/>
          </w:tcPr>
          <w:p w14:paraId="4DF7C2BF" w14:textId="2C7EBEEE" w:rsidR="005C3676" w:rsidRPr="00064185" w:rsidRDefault="005C3676" w:rsidP="00EA61D8">
            <w:pPr>
              <w:keepLines/>
              <w:tabs>
                <w:tab w:val="right" w:pos="1295"/>
              </w:tabs>
              <w:spacing w:before="60" w:afterLines="60" w:after="144"/>
              <w:contextualSpacing/>
            </w:pPr>
            <w:r w:rsidRPr="00064185">
              <w:t>0.204</w:t>
            </w:r>
          </w:p>
        </w:tc>
      </w:tr>
    </w:tbl>
    <w:p w14:paraId="703E1E51" w14:textId="77777777" w:rsidR="00FD371E" w:rsidRPr="00064185" w:rsidRDefault="00FD371E" w:rsidP="00EA61D8">
      <w:pPr>
        <w:spacing w:line="276" w:lineRule="auto"/>
      </w:pPr>
    </w:p>
    <w:p w14:paraId="1AE9B4D3" w14:textId="77777777" w:rsidR="00956E61" w:rsidRPr="00064185" w:rsidRDefault="00956E61" w:rsidP="00EA61D8">
      <w:pPr>
        <w:spacing w:line="276" w:lineRule="auto"/>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4"/>
        <w:gridCol w:w="847"/>
        <w:gridCol w:w="2554"/>
        <w:gridCol w:w="1132"/>
        <w:gridCol w:w="1558"/>
        <w:gridCol w:w="1209"/>
      </w:tblGrid>
      <w:tr w:rsidR="00064185" w:rsidRPr="00064185" w14:paraId="4F08BC2B" w14:textId="77777777" w:rsidTr="00956E61">
        <w:trPr>
          <w:trHeight w:val="701"/>
        </w:trPr>
        <w:tc>
          <w:tcPr>
            <w:tcW w:w="5000" w:type="pct"/>
            <w:gridSpan w:val="6"/>
            <w:shd w:val="clear" w:color="auto" w:fill="FFFFCC"/>
            <w:vAlign w:val="center"/>
          </w:tcPr>
          <w:p w14:paraId="5E85D351" w14:textId="07498468" w:rsidR="009E1619" w:rsidRPr="00064185" w:rsidRDefault="009E1619" w:rsidP="00EA61D8">
            <w:pPr>
              <w:keepNext/>
              <w:spacing w:beforeLines="60" w:before="144" w:afterLines="60" w:after="144"/>
              <w:contextualSpacing/>
              <w:rPr>
                <w:b/>
              </w:rPr>
            </w:pPr>
            <w:r w:rsidRPr="00064185">
              <w:rPr>
                <w:b/>
              </w:rPr>
              <w:t xml:space="preserve">Resulting emission to relevant environmental compartments </w:t>
            </w:r>
            <w:r w:rsidRPr="00064185">
              <w:rPr>
                <w:b/>
                <w:bCs/>
              </w:rPr>
              <w:t>during spray application step</w:t>
            </w:r>
          </w:p>
        </w:tc>
      </w:tr>
      <w:tr w:rsidR="00064185" w:rsidRPr="00064185" w14:paraId="02A3571E" w14:textId="77777777" w:rsidTr="008335EB">
        <w:trPr>
          <w:trHeight w:val="414"/>
        </w:trPr>
        <w:tc>
          <w:tcPr>
            <w:tcW w:w="1098" w:type="pct"/>
            <w:vMerge w:val="restart"/>
            <w:vAlign w:val="center"/>
          </w:tcPr>
          <w:p w14:paraId="1D278D1F" w14:textId="21FC6D61" w:rsidR="009E1619" w:rsidRPr="00064185" w:rsidRDefault="00503559" w:rsidP="00EA61D8">
            <w:pPr>
              <w:keepNext/>
              <w:spacing w:beforeLines="60" w:before="144" w:afterLines="60" w:after="144"/>
              <w:contextualSpacing/>
              <w:rPr>
                <w:b/>
                <w:bCs/>
              </w:rPr>
            </w:pPr>
            <w:r w:rsidRPr="00064185">
              <w:rPr>
                <w:b/>
                <w:bCs/>
              </w:rPr>
              <w:t>Compartment</w:t>
            </w:r>
          </w:p>
        </w:tc>
        <w:tc>
          <w:tcPr>
            <w:tcW w:w="453" w:type="pct"/>
            <w:vMerge w:val="restart"/>
            <w:vAlign w:val="center"/>
          </w:tcPr>
          <w:p w14:paraId="115DAD64" w14:textId="77777777" w:rsidR="009E1619" w:rsidRPr="00064185" w:rsidRDefault="009E1619" w:rsidP="00EA61D8">
            <w:pPr>
              <w:keepNext/>
              <w:spacing w:beforeLines="60" w:before="144" w:afterLines="60" w:after="144"/>
              <w:contextualSpacing/>
              <w:rPr>
                <w:b/>
                <w:bCs/>
              </w:rPr>
            </w:pPr>
            <w:r w:rsidRPr="00064185">
              <w:rPr>
                <w:b/>
                <w:bCs/>
              </w:rPr>
              <w:t>Unit</w:t>
            </w:r>
          </w:p>
        </w:tc>
        <w:tc>
          <w:tcPr>
            <w:tcW w:w="1365" w:type="pct"/>
            <w:vMerge w:val="restart"/>
            <w:vAlign w:val="center"/>
          </w:tcPr>
          <w:p w14:paraId="51D1819C" w14:textId="77777777" w:rsidR="009E1619" w:rsidRPr="00064185" w:rsidRDefault="009E1619" w:rsidP="00EA61D8">
            <w:pPr>
              <w:keepNext/>
              <w:spacing w:beforeLines="60" w:before="144" w:afterLines="60" w:after="144"/>
              <w:contextualSpacing/>
              <w:rPr>
                <w:b/>
                <w:bCs/>
              </w:rPr>
            </w:pPr>
            <w:r w:rsidRPr="00064185">
              <w:rPr>
                <w:b/>
                <w:bCs/>
              </w:rPr>
              <w:t>Definition</w:t>
            </w:r>
          </w:p>
        </w:tc>
        <w:tc>
          <w:tcPr>
            <w:tcW w:w="2084" w:type="pct"/>
            <w:gridSpan w:val="3"/>
            <w:vAlign w:val="center"/>
          </w:tcPr>
          <w:p w14:paraId="6D6624EC" w14:textId="50011FB3" w:rsidR="009E1619" w:rsidRPr="00064185" w:rsidRDefault="000F6A10" w:rsidP="00EA61D8">
            <w:pPr>
              <w:keepNext/>
              <w:tabs>
                <w:tab w:val="right" w:pos="1370"/>
              </w:tabs>
              <w:spacing w:beforeLines="60" w:before="144" w:afterLines="60" w:after="144"/>
              <w:contextualSpacing/>
              <w:rPr>
                <w:b/>
              </w:rPr>
            </w:pPr>
            <w:r w:rsidRPr="00064185">
              <w:rPr>
                <w:b/>
                <w:bCs/>
              </w:rPr>
              <w:t>Indoor use (houses)</w:t>
            </w:r>
          </w:p>
        </w:tc>
      </w:tr>
      <w:tr w:rsidR="00064185" w:rsidRPr="00064185" w14:paraId="49F1E28C" w14:textId="77777777" w:rsidTr="008335EB">
        <w:trPr>
          <w:trHeight w:val="689"/>
        </w:trPr>
        <w:tc>
          <w:tcPr>
            <w:tcW w:w="1098" w:type="pct"/>
            <w:vMerge/>
            <w:vAlign w:val="center"/>
          </w:tcPr>
          <w:p w14:paraId="4F51C43B" w14:textId="77777777" w:rsidR="00744107" w:rsidRPr="00064185" w:rsidRDefault="00744107" w:rsidP="00EA61D8">
            <w:pPr>
              <w:keepNext/>
              <w:spacing w:beforeLines="60" w:before="144" w:afterLines="60" w:after="144"/>
              <w:contextualSpacing/>
              <w:rPr>
                <w:b/>
                <w:bCs/>
              </w:rPr>
            </w:pPr>
          </w:p>
        </w:tc>
        <w:tc>
          <w:tcPr>
            <w:tcW w:w="453" w:type="pct"/>
            <w:vMerge/>
            <w:vAlign w:val="center"/>
          </w:tcPr>
          <w:p w14:paraId="0EE1FD55" w14:textId="77777777" w:rsidR="00744107" w:rsidRPr="00064185" w:rsidRDefault="00744107" w:rsidP="00EA61D8">
            <w:pPr>
              <w:keepNext/>
              <w:spacing w:beforeLines="60" w:before="144" w:afterLines="60" w:after="144"/>
              <w:contextualSpacing/>
              <w:rPr>
                <w:b/>
                <w:bCs/>
              </w:rPr>
            </w:pPr>
          </w:p>
        </w:tc>
        <w:tc>
          <w:tcPr>
            <w:tcW w:w="1365" w:type="pct"/>
            <w:vMerge/>
            <w:vAlign w:val="center"/>
          </w:tcPr>
          <w:p w14:paraId="0EC04D98" w14:textId="77777777" w:rsidR="00744107" w:rsidRPr="00064185" w:rsidRDefault="00744107" w:rsidP="00EA61D8">
            <w:pPr>
              <w:keepNext/>
              <w:spacing w:beforeLines="60" w:before="144" w:afterLines="60" w:after="144"/>
              <w:contextualSpacing/>
              <w:rPr>
                <w:b/>
                <w:bCs/>
              </w:rPr>
            </w:pPr>
          </w:p>
        </w:tc>
        <w:tc>
          <w:tcPr>
            <w:tcW w:w="605" w:type="pct"/>
            <w:vAlign w:val="center"/>
          </w:tcPr>
          <w:p w14:paraId="026D7E0A" w14:textId="2D997A8A" w:rsidR="00744107" w:rsidRPr="00064185" w:rsidRDefault="00744107" w:rsidP="00EA61D8">
            <w:pPr>
              <w:keepNext/>
              <w:tabs>
                <w:tab w:val="right" w:pos="1370"/>
              </w:tabs>
              <w:spacing w:beforeLines="60" w:before="144" w:afterLines="60" w:after="144"/>
              <w:contextualSpacing/>
              <w:rPr>
                <w:b/>
              </w:rPr>
            </w:pPr>
            <w:r w:rsidRPr="00064185">
              <w:rPr>
                <w:b/>
                <w:bCs/>
              </w:rPr>
              <w:t>Ants</w:t>
            </w:r>
          </w:p>
        </w:tc>
        <w:tc>
          <w:tcPr>
            <w:tcW w:w="833" w:type="pct"/>
            <w:vAlign w:val="center"/>
          </w:tcPr>
          <w:p w14:paraId="1A9EC06F" w14:textId="73FEC810" w:rsidR="00744107" w:rsidRPr="00064185" w:rsidRDefault="00744107" w:rsidP="00EA61D8">
            <w:pPr>
              <w:keepNext/>
              <w:tabs>
                <w:tab w:val="right" w:pos="1370"/>
              </w:tabs>
              <w:spacing w:beforeLines="60" w:before="144" w:afterLines="60" w:after="144"/>
              <w:contextualSpacing/>
              <w:rPr>
                <w:b/>
              </w:rPr>
            </w:pPr>
            <w:r w:rsidRPr="00064185">
              <w:rPr>
                <w:b/>
                <w:bCs/>
              </w:rPr>
              <w:t>Silverfish &amp; Cockroaches</w:t>
            </w:r>
          </w:p>
        </w:tc>
        <w:tc>
          <w:tcPr>
            <w:tcW w:w="646" w:type="pct"/>
            <w:vAlign w:val="center"/>
          </w:tcPr>
          <w:p w14:paraId="3D88F37D" w14:textId="104DF60A" w:rsidR="00744107" w:rsidRPr="00064185" w:rsidRDefault="00744107" w:rsidP="00EA61D8">
            <w:pPr>
              <w:keepNext/>
              <w:tabs>
                <w:tab w:val="right" w:pos="1370"/>
              </w:tabs>
              <w:spacing w:beforeLines="60" w:before="144" w:afterLines="60" w:after="144"/>
              <w:contextualSpacing/>
              <w:rPr>
                <w:b/>
              </w:rPr>
            </w:pPr>
            <w:r w:rsidRPr="00064185">
              <w:rPr>
                <w:b/>
                <w:bCs/>
              </w:rPr>
              <w:t>Wood lice</w:t>
            </w:r>
          </w:p>
        </w:tc>
      </w:tr>
      <w:tr w:rsidR="00064185" w:rsidRPr="00064185" w14:paraId="0A16D3C0" w14:textId="77777777" w:rsidTr="008335EB">
        <w:trPr>
          <w:trHeight w:val="1141"/>
        </w:trPr>
        <w:tc>
          <w:tcPr>
            <w:tcW w:w="1098" w:type="pct"/>
            <w:vAlign w:val="center"/>
            <w:hideMark/>
          </w:tcPr>
          <w:p w14:paraId="5F8CE10F" w14:textId="3F5966F3" w:rsidR="008335EB" w:rsidRPr="00064185" w:rsidRDefault="008335EB" w:rsidP="00EA61D8">
            <w:pPr>
              <w:keepNext/>
              <w:spacing w:beforeLines="60" w:before="144" w:afterLines="60" w:after="144"/>
              <w:contextualSpacing/>
              <w:rPr>
                <w:bCs/>
              </w:rPr>
            </w:pPr>
            <w:r w:rsidRPr="00064185">
              <w:rPr>
                <w:bCs/>
              </w:rPr>
              <w:t>Emission to applicator</w:t>
            </w:r>
          </w:p>
        </w:tc>
        <w:tc>
          <w:tcPr>
            <w:tcW w:w="453" w:type="pct"/>
            <w:vAlign w:val="center"/>
          </w:tcPr>
          <w:p w14:paraId="3AA2F23D" w14:textId="77777777" w:rsidR="008335EB" w:rsidRPr="00064185" w:rsidRDefault="008335EB" w:rsidP="00EA61D8">
            <w:pPr>
              <w:keepNext/>
              <w:spacing w:beforeLines="60" w:before="144" w:afterLines="60" w:after="144"/>
              <w:contextualSpacing/>
              <w:rPr>
                <w:bCs/>
              </w:rPr>
            </w:pPr>
            <w:r w:rsidRPr="00064185">
              <w:rPr>
                <w:bCs/>
              </w:rPr>
              <w:t>[g/d]</w:t>
            </w:r>
          </w:p>
        </w:tc>
        <w:tc>
          <w:tcPr>
            <w:tcW w:w="1365" w:type="pct"/>
            <w:vAlign w:val="center"/>
            <w:hideMark/>
          </w:tcPr>
          <w:p w14:paraId="1833D652" w14:textId="77777777" w:rsidR="008335EB" w:rsidRPr="00064185" w:rsidRDefault="008335EB" w:rsidP="00EA61D8">
            <w:pPr>
              <w:keepNext/>
              <w:spacing w:beforeLines="60" w:before="144" w:afterLines="60" w:after="144"/>
              <w:contextualSpacing/>
              <w:rPr>
                <w:bCs/>
              </w:rPr>
            </w:pPr>
            <w:r w:rsidRPr="00064185">
              <w:rPr>
                <w:bCs/>
              </w:rPr>
              <w:t>E</w:t>
            </w:r>
            <w:r w:rsidRPr="00064185">
              <w:rPr>
                <w:bCs/>
                <w:vertAlign w:val="subscript"/>
              </w:rPr>
              <w:t>application, applicator</w:t>
            </w:r>
            <w:r w:rsidRPr="00064185">
              <w:rPr>
                <w:bCs/>
              </w:rPr>
              <w:t xml:space="preserve"> = N</w:t>
            </w:r>
            <w:r w:rsidRPr="00064185">
              <w:rPr>
                <w:bCs/>
                <w:vertAlign w:val="subscript"/>
              </w:rPr>
              <w:t xml:space="preserve">appl, building </w:t>
            </w:r>
            <w:r w:rsidRPr="00064185">
              <w:rPr>
                <w:bCs/>
              </w:rPr>
              <w:t>x F</w:t>
            </w:r>
            <w:r w:rsidRPr="00064185">
              <w:rPr>
                <w:bCs/>
                <w:vertAlign w:val="subscript"/>
              </w:rPr>
              <w:t>application, applicator</w:t>
            </w:r>
            <w:r w:rsidRPr="00064185">
              <w:rPr>
                <w:bCs/>
              </w:rPr>
              <w:t>x Q</w:t>
            </w:r>
            <w:r w:rsidRPr="00064185">
              <w:rPr>
                <w:bCs/>
                <w:vertAlign w:val="subscript"/>
              </w:rPr>
              <w:t>prod</w:t>
            </w:r>
            <w:r w:rsidRPr="00064185">
              <w:rPr>
                <w:bCs/>
              </w:rPr>
              <w:t xml:space="preserve"> x  F</w:t>
            </w:r>
            <w:r w:rsidRPr="00064185">
              <w:rPr>
                <w:bCs/>
                <w:vertAlign w:val="subscript"/>
              </w:rPr>
              <w:t>AI</w:t>
            </w:r>
            <w:r w:rsidRPr="00064185">
              <w:rPr>
                <w:bCs/>
              </w:rPr>
              <w:t xml:space="preserve"> x AREA</w:t>
            </w:r>
            <w:r w:rsidRPr="00064185">
              <w:rPr>
                <w:bCs/>
                <w:vertAlign w:val="subscript"/>
              </w:rPr>
              <w:t>treated</w:t>
            </w:r>
          </w:p>
        </w:tc>
        <w:tc>
          <w:tcPr>
            <w:tcW w:w="605" w:type="pct"/>
            <w:vAlign w:val="center"/>
          </w:tcPr>
          <w:p w14:paraId="17B1B832" w14:textId="039C539A" w:rsidR="008335EB" w:rsidRPr="00064185" w:rsidRDefault="008335EB" w:rsidP="00EA61D8">
            <w:pPr>
              <w:keepNext/>
              <w:tabs>
                <w:tab w:val="right" w:pos="1370"/>
              </w:tabs>
              <w:spacing w:beforeLines="60" w:before="144" w:afterLines="60" w:after="144"/>
              <w:contextualSpacing/>
            </w:pPr>
            <w:r w:rsidRPr="00064185">
              <w:t>2.67E-04</w:t>
            </w:r>
          </w:p>
        </w:tc>
        <w:tc>
          <w:tcPr>
            <w:tcW w:w="1479" w:type="pct"/>
            <w:gridSpan w:val="2"/>
            <w:vAlign w:val="center"/>
          </w:tcPr>
          <w:p w14:paraId="6A8075BC" w14:textId="77777777" w:rsidR="008335EB" w:rsidRPr="00064185" w:rsidRDefault="008335EB" w:rsidP="00EA61D8">
            <w:pPr>
              <w:keepNext/>
              <w:tabs>
                <w:tab w:val="right" w:pos="1370"/>
              </w:tabs>
              <w:spacing w:beforeLines="60" w:before="144" w:afterLines="60" w:after="144"/>
              <w:contextualSpacing/>
            </w:pPr>
            <w:r w:rsidRPr="00064185">
              <w:t>6.00E-04</w:t>
            </w:r>
          </w:p>
          <w:p w14:paraId="17F416AE" w14:textId="11CFC335" w:rsidR="008335EB" w:rsidRPr="00064185" w:rsidRDefault="008335EB" w:rsidP="00EA61D8">
            <w:pPr>
              <w:keepNext/>
              <w:tabs>
                <w:tab w:val="right" w:pos="1370"/>
              </w:tabs>
              <w:spacing w:beforeLines="60" w:before="144" w:afterLines="60" w:after="144"/>
              <w:contextualSpacing/>
            </w:pPr>
          </w:p>
        </w:tc>
      </w:tr>
      <w:tr w:rsidR="00064185" w:rsidRPr="00064185" w14:paraId="7C026C7C" w14:textId="77777777" w:rsidTr="008335EB">
        <w:trPr>
          <w:trHeight w:val="846"/>
        </w:trPr>
        <w:tc>
          <w:tcPr>
            <w:tcW w:w="1098" w:type="pct"/>
            <w:vAlign w:val="center"/>
          </w:tcPr>
          <w:p w14:paraId="0993A84F" w14:textId="63CF5423" w:rsidR="008335EB" w:rsidRPr="00064185" w:rsidRDefault="008335EB" w:rsidP="00EA61D8">
            <w:pPr>
              <w:keepNext/>
              <w:spacing w:beforeLines="60" w:before="144" w:afterLines="60" w:after="144"/>
              <w:contextualSpacing/>
              <w:rPr>
                <w:bCs/>
              </w:rPr>
            </w:pPr>
            <w:r w:rsidRPr="00064185">
              <w:rPr>
                <w:bCs/>
              </w:rPr>
              <w:t>Emission to floor</w:t>
            </w:r>
          </w:p>
        </w:tc>
        <w:tc>
          <w:tcPr>
            <w:tcW w:w="453" w:type="pct"/>
            <w:vAlign w:val="center"/>
          </w:tcPr>
          <w:p w14:paraId="00AC818C" w14:textId="3EE4F39F" w:rsidR="008335EB" w:rsidRPr="00064185" w:rsidRDefault="008335EB" w:rsidP="00EA61D8">
            <w:pPr>
              <w:keepNext/>
              <w:spacing w:beforeLines="60" w:before="144" w:afterLines="60" w:after="144"/>
              <w:contextualSpacing/>
              <w:rPr>
                <w:bCs/>
              </w:rPr>
            </w:pPr>
            <w:r w:rsidRPr="00064185">
              <w:rPr>
                <w:bCs/>
              </w:rPr>
              <w:t>[g/d]</w:t>
            </w:r>
          </w:p>
        </w:tc>
        <w:tc>
          <w:tcPr>
            <w:tcW w:w="1365" w:type="pct"/>
            <w:vAlign w:val="center"/>
          </w:tcPr>
          <w:p w14:paraId="74F276BA" w14:textId="2DD2A726" w:rsidR="008335EB" w:rsidRPr="00064185" w:rsidRDefault="008335EB" w:rsidP="00EA61D8">
            <w:pPr>
              <w:keepNext/>
              <w:spacing w:beforeLines="60" w:before="144" w:afterLines="60" w:after="144"/>
              <w:contextualSpacing/>
              <w:rPr>
                <w:bCs/>
              </w:rPr>
            </w:pPr>
            <w:r w:rsidRPr="00064185">
              <w:rPr>
                <w:bCs/>
              </w:rPr>
              <w:t>E</w:t>
            </w:r>
            <w:r w:rsidRPr="00064185">
              <w:rPr>
                <w:bCs/>
                <w:vertAlign w:val="subscript"/>
              </w:rPr>
              <w:t>application, floor</w:t>
            </w:r>
            <w:r w:rsidRPr="00064185">
              <w:rPr>
                <w:bCs/>
              </w:rPr>
              <w:t xml:space="preserve"> = N</w:t>
            </w:r>
            <w:r w:rsidRPr="00064185">
              <w:rPr>
                <w:bCs/>
                <w:vertAlign w:val="subscript"/>
              </w:rPr>
              <w:t xml:space="preserve">appl, building </w:t>
            </w:r>
            <w:r w:rsidRPr="00064185">
              <w:rPr>
                <w:bCs/>
              </w:rPr>
              <w:t>x F</w:t>
            </w:r>
            <w:r w:rsidRPr="00064185">
              <w:rPr>
                <w:bCs/>
                <w:vertAlign w:val="subscript"/>
              </w:rPr>
              <w:t>application, floor</w:t>
            </w:r>
            <w:r w:rsidRPr="00064185">
              <w:rPr>
                <w:bCs/>
              </w:rPr>
              <w:t>x Q</w:t>
            </w:r>
            <w:r w:rsidRPr="00064185">
              <w:rPr>
                <w:bCs/>
                <w:vertAlign w:val="subscript"/>
              </w:rPr>
              <w:t>prod</w:t>
            </w:r>
            <w:r w:rsidRPr="00064185">
              <w:rPr>
                <w:bCs/>
              </w:rPr>
              <w:t xml:space="preserve"> x  F</w:t>
            </w:r>
            <w:r w:rsidRPr="00064185">
              <w:rPr>
                <w:bCs/>
                <w:vertAlign w:val="subscript"/>
              </w:rPr>
              <w:t>AI</w:t>
            </w:r>
            <w:r w:rsidRPr="00064185">
              <w:rPr>
                <w:bCs/>
              </w:rPr>
              <w:t xml:space="preserve"> x AREA</w:t>
            </w:r>
            <w:r w:rsidRPr="00064185">
              <w:rPr>
                <w:bCs/>
                <w:vertAlign w:val="subscript"/>
              </w:rPr>
              <w:t>treated</w:t>
            </w:r>
          </w:p>
        </w:tc>
        <w:tc>
          <w:tcPr>
            <w:tcW w:w="605" w:type="pct"/>
            <w:vAlign w:val="center"/>
          </w:tcPr>
          <w:p w14:paraId="14C1B77C" w14:textId="44326F59" w:rsidR="008335EB" w:rsidRPr="00064185" w:rsidRDefault="008335EB" w:rsidP="00EA61D8">
            <w:pPr>
              <w:keepNext/>
              <w:tabs>
                <w:tab w:val="right" w:pos="1370"/>
              </w:tabs>
              <w:spacing w:beforeLines="60" w:before="144" w:afterLines="60" w:after="144"/>
              <w:contextualSpacing/>
            </w:pPr>
            <w:r w:rsidRPr="00064185">
              <w:t>5.52E-03</w:t>
            </w:r>
          </w:p>
        </w:tc>
        <w:tc>
          <w:tcPr>
            <w:tcW w:w="1479" w:type="pct"/>
            <w:gridSpan w:val="2"/>
            <w:vAlign w:val="center"/>
          </w:tcPr>
          <w:p w14:paraId="57A70153" w14:textId="77777777" w:rsidR="008335EB" w:rsidRPr="00064185" w:rsidRDefault="008335EB" w:rsidP="00EA61D8">
            <w:pPr>
              <w:keepNext/>
              <w:tabs>
                <w:tab w:val="right" w:pos="1370"/>
              </w:tabs>
              <w:spacing w:beforeLines="60" w:before="144" w:afterLines="60" w:after="144"/>
              <w:contextualSpacing/>
            </w:pPr>
            <w:r w:rsidRPr="00064185">
              <w:t>1.24E-02</w:t>
            </w:r>
          </w:p>
          <w:p w14:paraId="726A8879" w14:textId="786F0F33" w:rsidR="008335EB" w:rsidRPr="00064185" w:rsidRDefault="008335EB" w:rsidP="00EA61D8">
            <w:pPr>
              <w:keepNext/>
              <w:tabs>
                <w:tab w:val="right" w:pos="1370"/>
              </w:tabs>
              <w:spacing w:beforeLines="60" w:before="144" w:afterLines="60" w:after="144"/>
              <w:contextualSpacing/>
            </w:pPr>
          </w:p>
        </w:tc>
      </w:tr>
      <w:tr w:rsidR="00064185" w:rsidRPr="00064185" w14:paraId="0448B61D" w14:textId="77777777" w:rsidTr="008335EB">
        <w:trPr>
          <w:trHeight w:val="830"/>
        </w:trPr>
        <w:tc>
          <w:tcPr>
            <w:tcW w:w="1098" w:type="pct"/>
            <w:vAlign w:val="center"/>
          </w:tcPr>
          <w:p w14:paraId="68A8625E" w14:textId="2382E427" w:rsidR="008335EB" w:rsidRPr="00064185" w:rsidRDefault="008335EB" w:rsidP="00EA61D8">
            <w:pPr>
              <w:keepNext/>
              <w:spacing w:beforeLines="60" w:before="144" w:afterLines="60" w:after="144"/>
              <w:contextualSpacing/>
              <w:rPr>
                <w:bCs/>
              </w:rPr>
            </w:pPr>
            <w:r w:rsidRPr="00064185">
              <w:rPr>
                <w:bCs/>
              </w:rPr>
              <w:t>Emission to treated surface</w:t>
            </w:r>
          </w:p>
        </w:tc>
        <w:tc>
          <w:tcPr>
            <w:tcW w:w="453" w:type="pct"/>
            <w:vAlign w:val="center"/>
          </w:tcPr>
          <w:p w14:paraId="1ED2B154" w14:textId="77777777" w:rsidR="008335EB" w:rsidRPr="00064185" w:rsidRDefault="008335EB" w:rsidP="00EA61D8">
            <w:pPr>
              <w:keepNext/>
              <w:spacing w:beforeLines="60" w:before="144" w:afterLines="60" w:after="144"/>
              <w:contextualSpacing/>
              <w:rPr>
                <w:bCs/>
              </w:rPr>
            </w:pPr>
            <w:r w:rsidRPr="00064185">
              <w:rPr>
                <w:bCs/>
              </w:rPr>
              <w:t>[g/d]</w:t>
            </w:r>
          </w:p>
        </w:tc>
        <w:tc>
          <w:tcPr>
            <w:tcW w:w="1365" w:type="pct"/>
            <w:vAlign w:val="center"/>
          </w:tcPr>
          <w:p w14:paraId="13E99CB0" w14:textId="395616A2" w:rsidR="008335EB" w:rsidRPr="00064185" w:rsidRDefault="008335EB" w:rsidP="00EA61D8">
            <w:pPr>
              <w:keepNext/>
              <w:spacing w:beforeLines="60" w:before="144" w:afterLines="60" w:after="144"/>
              <w:contextualSpacing/>
              <w:rPr>
                <w:bCs/>
              </w:rPr>
            </w:pPr>
            <w:r w:rsidRPr="00064185">
              <w:rPr>
                <w:bCs/>
              </w:rPr>
              <w:t>E</w:t>
            </w:r>
            <w:r w:rsidRPr="00064185">
              <w:rPr>
                <w:bCs/>
                <w:vertAlign w:val="subscript"/>
              </w:rPr>
              <w:t>application, treated</w:t>
            </w:r>
            <w:r w:rsidRPr="00064185">
              <w:rPr>
                <w:bCs/>
              </w:rPr>
              <w:t xml:space="preserve"> = N</w:t>
            </w:r>
            <w:r w:rsidRPr="00064185">
              <w:rPr>
                <w:bCs/>
                <w:vertAlign w:val="subscript"/>
              </w:rPr>
              <w:t xml:space="preserve">appl, building </w:t>
            </w:r>
            <w:r w:rsidRPr="00064185">
              <w:rPr>
                <w:bCs/>
              </w:rPr>
              <w:t>x F</w:t>
            </w:r>
            <w:r w:rsidRPr="00064185">
              <w:rPr>
                <w:bCs/>
                <w:vertAlign w:val="subscript"/>
              </w:rPr>
              <w:t xml:space="preserve">application, treated </w:t>
            </w:r>
            <w:r w:rsidRPr="00064185">
              <w:rPr>
                <w:bCs/>
              </w:rPr>
              <w:t>x Q</w:t>
            </w:r>
            <w:r w:rsidRPr="00064185">
              <w:rPr>
                <w:bCs/>
                <w:vertAlign w:val="subscript"/>
              </w:rPr>
              <w:t>prod</w:t>
            </w:r>
            <w:r w:rsidRPr="00064185">
              <w:rPr>
                <w:bCs/>
              </w:rPr>
              <w:t xml:space="preserve"> x  F</w:t>
            </w:r>
            <w:r w:rsidRPr="00064185">
              <w:rPr>
                <w:bCs/>
                <w:vertAlign w:val="subscript"/>
              </w:rPr>
              <w:t>AI</w:t>
            </w:r>
            <w:r w:rsidRPr="00064185">
              <w:rPr>
                <w:bCs/>
              </w:rPr>
              <w:t xml:space="preserve"> x AREA</w:t>
            </w:r>
            <w:r w:rsidRPr="00064185">
              <w:rPr>
                <w:bCs/>
                <w:vertAlign w:val="subscript"/>
              </w:rPr>
              <w:t>treated</w:t>
            </w:r>
          </w:p>
        </w:tc>
        <w:tc>
          <w:tcPr>
            <w:tcW w:w="605" w:type="pct"/>
            <w:vAlign w:val="center"/>
          </w:tcPr>
          <w:p w14:paraId="042CD61F" w14:textId="0D4171B6" w:rsidR="008335EB" w:rsidRPr="00064185" w:rsidRDefault="008335EB" w:rsidP="00EA61D8">
            <w:pPr>
              <w:keepNext/>
              <w:tabs>
                <w:tab w:val="right" w:pos="1370"/>
              </w:tabs>
              <w:spacing w:beforeLines="60" w:before="144" w:afterLines="60" w:after="144"/>
              <w:contextualSpacing/>
            </w:pPr>
            <w:r w:rsidRPr="00064185">
              <w:t>3.78E-02</w:t>
            </w:r>
          </w:p>
        </w:tc>
        <w:tc>
          <w:tcPr>
            <w:tcW w:w="1479" w:type="pct"/>
            <w:gridSpan w:val="2"/>
            <w:vAlign w:val="center"/>
          </w:tcPr>
          <w:p w14:paraId="66C192C6" w14:textId="77777777" w:rsidR="008335EB" w:rsidRPr="00064185" w:rsidRDefault="008335EB" w:rsidP="00EA61D8">
            <w:pPr>
              <w:keepNext/>
              <w:tabs>
                <w:tab w:val="right" w:pos="1370"/>
              </w:tabs>
              <w:spacing w:beforeLines="60" w:before="144" w:afterLines="60" w:after="144"/>
              <w:contextualSpacing/>
            </w:pPr>
            <w:r w:rsidRPr="00064185">
              <w:t>8.5E-02</w:t>
            </w:r>
          </w:p>
          <w:p w14:paraId="0DB56DFA" w14:textId="435D20D6" w:rsidR="008335EB" w:rsidRPr="00064185" w:rsidRDefault="008335EB" w:rsidP="00EA61D8">
            <w:pPr>
              <w:keepNext/>
              <w:tabs>
                <w:tab w:val="right" w:pos="1370"/>
              </w:tabs>
              <w:spacing w:beforeLines="60" w:before="144" w:afterLines="60" w:after="144"/>
              <w:contextualSpacing/>
            </w:pPr>
          </w:p>
        </w:tc>
      </w:tr>
      <w:tr w:rsidR="00064185" w:rsidRPr="00064185" w14:paraId="3A961C7B" w14:textId="77777777" w:rsidTr="008335EB">
        <w:trPr>
          <w:trHeight w:val="472"/>
        </w:trPr>
        <w:tc>
          <w:tcPr>
            <w:tcW w:w="1098" w:type="pct"/>
            <w:vAlign w:val="center"/>
          </w:tcPr>
          <w:p w14:paraId="28C62B9E" w14:textId="0B2ECE23" w:rsidR="008335EB" w:rsidRPr="00064185" w:rsidRDefault="008335EB" w:rsidP="00EA61D8">
            <w:pPr>
              <w:keepNext/>
              <w:spacing w:beforeLines="60" w:before="144" w:afterLines="60" w:after="144"/>
              <w:contextualSpacing/>
              <w:rPr>
                <w:bCs/>
              </w:rPr>
            </w:pPr>
            <w:r w:rsidRPr="00064185">
              <w:rPr>
                <w:bCs/>
              </w:rPr>
              <w:t>Emission from applicator to wastewater during cleaning</w:t>
            </w:r>
          </w:p>
        </w:tc>
        <w:tc>
          <w:tcPr>
            <w:tcW w:w="453" w:type="pct"/>
            <w:vAlign w:val="center"/>
          </w:tcPr>
          <w:p w14:paraId="55840F15" w14:textId="77777777" w:rsidR="008335EB" w:rsidRPr="00064185" w:rsidRDefault="008335EB" w:rsidP="00EA61D8">
            <w:pPr>
              <w:keepNext/>
              <w:spacing w:beforeLines="60" w:before="144" w:afterLines="60" w:after="144"/>
              <w:contextualSpacing/>
              <w:rPr>
                <w:bCs/>
              </w:rPr>
            </w:pPr>
            <w:r w:rsidRPr="00064185">
              <w:rPr>
                <w:bCs/>
              </w:rPr>
              <w:t>[g/d]</w:t>
            </w:r>
          </w:p>
        </w:tc>
        <w:tc>
          <w:tcPr>
            <w:tcW w:w="1365" w:type="pct"/>
            <w:vAlign w:val="center"/>
          </w:tcPr>
          <w:p w14:paraId="46438BCB" w14:textId="77777777" w:rsidR="008335EB" w:rsidRPr="00064185" w:rsidRDefault="008335EB" w:rsidP="00EA61D8">
            <w:pPr>
              <w:keepNext/>
              <w:spacing w:beforeLines="60" w:before="144" w:afterLines="60" w:after="144"/>
              <w:contextualSpacing/>
              <w:rPr>
                <w:bCs/>
              </w:rPr>
            </w:pPr>
            <w:r w:rsidRPr="00064185">
              <w:rPr>
                <w:bCs/>
              </w:rPr>
              <w:t>E</w:t>
            </w:r>
            <w:r w:rsidRPr="00064185">
              <w:rPr>
                <w:bCs/>
                <w:vertAlign w:val="subscript"/>
              </w:rPr>
              <w:t>applicator, ww</w:t>
            </w:r>
            <w:r w:rsidRPr="00064185">
              <w:rPr>
                <w:bCs/>
              </w:rPr>
              <w:t xml:space="preserve"> = E</w:t>
            </w:r>
            <w:r w:rsidRPr="00064185">
              <w:rPr>
                <w:bCs/>
                <w:vertAlign w:val="subscript"/>
              </w:rPr>
              <w:t>application, applicator</w:t>
            </w:r>
            <w:r w:rsidRPr="00064185">
              <w:rPr>
                <w:bCs/>
              </w:rPr>
              <w:t xml:space="preserve"> x F</w:t>
            </w:r>
            <w:r w:rsidRPr="00064185">
              <w:rPr>
                <w:bCs/>
                <w:vertAlign w:val="subscript"/>
              </w:rPr>
              <w:t>applicator, ww</w:t>
            </w:r>
          </w:p>
        </w:tc>
        <w:tc>
          <w:tcPr>
            <w:tcW w:w="605" w:type="pct"/>
            <w:vAlign w:val="center"/>
          </w:tcPr>
          <w:p w14:paraId="2856CB8E" w14:textId="10F3F854" w:rsidR="008335EB" w:rsidRPr="00064185" w:rsidRDefault="008335EB" w:rsidP="00EA61D8">
            <w:pPr>
              <w:keepNext/>
              <w:tabs>
                <w:tab w:val="right" w:pos="1370"/>
              </w:tabs>
              <w:spacing w:beforeLines="60" w:before="144" w:afterLines="60" w:after="144"/>
              <w:contextualSpacing/>
            </w:pPr>
            <w:r w:rsidRPr="00064185">
              <w:t>2.67E-04</w:t>
            </w:r>
          </w:p>
        </w:tc>
        <w:tc>
          <w:tcPr>
            <w:tcW w:w="1479" w:type="pct"/>
            <w:gridSpan w:val="2"/>
            <w:vAlign w:val="center"/>
          </w:tcPr>
          <w:p w14:paraId="5389AABE" w14:textId="77777777" w:rsidR="008335EB" w:rsidRPr="00064185" w:rsidRDefault="008335EB" w:rsidP="00EA61D8">
            <w:pPr>
              <w:keepNext/>
              <w:tabs>
                <w:tab w:val="right" w:pos="1370"/>
              </w:tabs>
              <w:spacing w:beforeLines="60" w:before="144" w:afterLines="60" w:after="144"/>
              <w:contextualSpacing/>
            </w:pPr>
            <w:r w:rsidRPr="00064185">
              <w:t>6.00E-04</w:t>
            </w:r>
          </w:p>
          <w:p w14:paraId="24CBD424" w14:textId="025A0BF7" w:rsidR="008335EB" w:rsidRPr="00064185" w:rsidRDefault="008335EB" w:rsidP="00EA61D8">
            <w:pPr>
              <w:keepNext/>
              <w:tabs>
                <w:tab w:val="right" w:pos="1370"/>
              </w:tabs>
              <w:spacing w:beforeLines="60" w:before="144" w:afterLines="60" w:after="144"/>
              <w:contextualSpacing/>
            </w:pPr>
          </w:p>
        </w:tc>
      </w:tr>
      <w:tr w:rsidR="00064185" w:rsidRPr="00064185" w14:paraId="657255E3" w14:textId="77777777" w:rsidTr="008335EB">
        <w:trPr>
          <w:trHeight w:val="472"/>
        </w:trPr>
        <w:tc>
          <w:tcPr>
            <w:tcW w:w="1098" w:type="pct"/>
            <w:vAlign w:val="center"/>
          </w:tcPr>
          <w:p w14:paraId="1FDDBBAA" w14:textId="6EDA415A" w:rsidR="008335EB" w:rsidRPr="00064185" w:rsidRDefault="008335EB" w:rsidP="00EA61D8">
            <w:pPr>
              <w:keepNext/>
              <w:spacing w:beforeLines="60" w:before="144" w:afterLines="60" w:after="144"/>
              <w:contextualSpacing/>
              <w:rPr>
                <w:bCs/>
              </w:rPr>
            </w:pPr>
            <w:r w:rsidRPr="00064185">
              <w:rPr>
                <w:bCs/>
              </w:rPr>
              <w:t xml:space="preserve">Emission from floor/treated surface to </w:t>
            </w:r>
            <w:r w:rsidRPr="00064185">
              <w:rPr>
                <w:bCs/>
              </w:rPr>
              <w:lastRenderedPageBreak/>
              <w:t>wastewater during cleaning</w:t>
            </w:r>
          </w:p>
        </w:tc>
        <w:tc>
          <w:tcPr>
            <w:tcW w:w="453" w:type="pct"/>
            <w:vAlign w:val="center"/>
          </w:tcPr>
          <w:p w14:paraId="18753E67" w14:textId="7C103BE5" w:rsidR="008335EB" w:rsidRPr="00064185" w:rsidRDefault="008335EB" w:rsidP="00EA61D8">
            <w:pPr>
              <w:keepNext/>
              <w:spacing w:beforeLines="60" w:before="144" w:afterLines="60" w:after="144"/>
              <w:contextualSpacing/>
              <w:rPr>
                <w:bCs/>
              </w:rPr>
            </w:pPr>
            <w:r w:rsidRPr="00064185">
              <w:rPr>
                <w:bCs/>
              </w:rPr>
              <w:lastRenderedPageBreak/>
              <w:t>[g/d]</w:t>
            </w:r>
          </w:p>
        </w:tc>
        <w:tc>
          <w:tcPr>
            <w:tcW w:w="1365" w:type="pct"/>
            <w:vAlign w:val="center"/>
          </w:tcPr>
          <w:p w14:paraId="64E7C07F" w14:textId="0FDC5F89" w:rsidR="008335EB" w:rsidRPr="00064185" w:rsidRDefault="008335EB" w:rsidP="00EA61D8">
            <w:pPr>
              <w:keepNext/>
              <w:spacing w:beforeLines="60" w:before="144" w:afterLines="60" w:after="144"/>
              <w:contextualSpacing/>
              <w:rPr>
                <w:bCs/>
              </w:rPr>
            </w:pPr>
            <w:r w:rsidRPr="00064185">
              <w:rPr>
                <w:bCs/>
              </w:rPr>
              <w:t>E</w:t>
            </w:r>
            <w:r w:rsidRPr="00064185">
              <w:rPr>
                <w:bCs/>
                <w:vertAlign w:val="subscript"/>
              </w:rPr>
              <w:t>treated, ww</w:t>
            </w:r>
            <w:r w:rsidRPr="00064185">
              <w:rPr>
                <w:bCs/>
              </w:rPr>
              <w:t xml:space="preserve"> = (E</w:t>
            </w:r>
            <w:r w:rsidRPr="00064185">
              <w:rPr>
                <w:bCs/>
                <w:vertAlign w:val="subscript"/>
              </w:rPr>
              <w:t xml:space="preserve">application, floor + </w:t>
            </w:r>
            <w:r w:rsidRPr="00064185">
              <w:rPr>
                <w:bCs/>
              </w:rPr>
              <w:t>E</w:t>
            </w:r>
            <w:r w:rsidRPr="00064185">
              <w:rPr>
                <w:bCs/>
                <w:vertAlign w:val="subscript"/>
              </w:rPr>
              <w:t>application, treated)</w:t>
            </w:r>
            <w:r w:rsidRPr="00064185">
              <w:rPr>
                <w:bCs/>
              </w:rPr>
              <w:t xml:space="preserve"> x F</w:t>
            </w:r>
            <w:r w:rsidRPr="00064185">
              <w:rPr>
                <w:bCs/>
                <w:vertAlign w:val="subscript"/>
              </w:rPr>
              <w:t>ww</w:t>
            </w:r>
            <w:r w:rsidRPr="00064185">
              <w:rPr>
                <w:bCs/>
              </w:rPr>
              <w:t xml:space="preserve"> x F</w:t>
            </w:r>
            <w:r w:rsidRPr="00064185">
              <w:rPr>
                <w:bCs/>
                <w:vertAlign w:val="subscript"/>
              </w:rPr>
              <w:t>ce</w:t>
            </w:r>
          </w:p>
        </w:tc>
        <w:tc>
          <w:tcPr>
            <w:tcW w:w="605" w:type="pct"/>
            <w:vAlign w:val="center"/>
          </w:tcPr>
          <w:p w14:paraId="29D0A221" w14:textId="2B449D44" w:rsidR="008335EB" w:rsidRPr="00064185" w:rsidRDefault="008335EB" w:rsidP="00EA61D8">
            <w:pPr>
              <w:keepNext/>
              <w:tabs>
                <w:tab w:val="right" w:pos="1370"/>
              </w:tabs>
              <w:spacing w:beforeLines="60" w:before="144" w:afterLines="60" w:after="144"/>
              <w:contextualSpacing/>
            </w:pPr>
            <w:r w:rsidRPr="00064185">
              <w:t>2.17E-02</w:t>
            </w:r>
          </w:p>
        </w:tc>
        <w:tc>
          <w:tcPr>
            <w:tcW w:w="1479" w:type="pct"/>
            <w:gridSpan w:val="2"/>
            <w:vAlign w:val="center"/>
          </w:tcPr>
          <w:p w14:paraId="4A4C1FF2" w14:textId="1CA9BD82" w:rsidR="008335EB" w:rsidRPr="00064185" w:rsidRDefault="008335EB" w:rsidP="00EA61D8">
            <w:pPr>
              <w:keepNext/>
              <w:tabs>
                <w:tab w:val="right" w:pos="1370"/>
              </w:tabs>
              <w:spacing w:beforeLines="60" w:before="144" w:afterLines="60" w:after="144"/>
              <w:contextualSpacing/>
            </w:pPr>
            <w:r w:rsidRPr="00064185">
              <w:t>4.87E-02</w:t>
            </w:r>
          </w:p>
        </w:tc>
      </w:tr>
      <w:tr w:rsidR="00064185" w:rsidRPr="00064185" w14:paraId="11905DC9" w14:textId="77777777" w:rsidTr="008335EB">
        <w:trPr>
          <w:trHeight w:val="1170"/>
        </w:trPr>
        <w:tc>
          <w:tcPr>
            <w:tcW w:w="1098" w:type="pct"/>
            <w:vAlign w:val="center"/>
            <w:hideMark/>
          </w:tcPr>
          <w:p w14:paraId="4E71647A" w14:textId="4D40A943" w:rsidR="008335EB" w:rsidRPr="00064185" w:rsidRDefault="008335EB" w:rsidP="00EA61D8">
            <w:pPr>
              <w:keepNext/>
              <w:spacing w:beforeLines="60" w:before="144" w:afterLines="60" w:after="144"/>
              <w:contextualSpacing/>
              <w:rPr>
                <w:b/>
                <w:bCs/>
              </w:rPr>
            </w:pPr>
            <w:r w:rsidRPr="00064185">
              <w:rPr>
                <w:b/>
                <w:bCs/>
              </w:rPr>
              <w:lastRenderedPageBreak/>
              <w:t>Emission to wastewater</w:t>
            </w:r>
          </w:p>
        </w:tc>
        <w:tc>
          <w:tcPr>
            <w:tcW w:w="453" w:type="pct"/>
            <w:vAlign w:val="center"/>
          </w:tcPr>
          <w:p w14:paraId="6F286A2B" w14:textId="18266EAE" w:rsidR="008335EB" w:rsidRPr="00064185" w:rsidRDefault="008335EB" w:rsidP="00EA61D8">
            <w:pPr>
              <w:keepNext/>
              <w:keepLines/>
              <w:spacing w:beforeLines="60" w:before="144" w:afterLines="60" w:after="144"/>
              <w:contextualSpacing/>
              <w:rPr>
                <w:b/>
              </w:rPr>
            </w:pPr>
            <w:r w:rsidRPr="00064185">
              <w:rPr>
                <w:b/>
              </w:rPr>
              <w:t>[</w:t>
            </w:r>
            <w:r w:rsidRPr="00064185">
              <w:rPr>
                <w:b/>
                <w:bCs/>
              </w:rPr>
              <w:t>g/d</w:t>
            </w:r>
            <w:r w:rsidRPr="00064185">
              <w:rPr>
                <w:b/>
              </w:rPr>
              <w:t>]</w:t>
            </w:r>
          </w:p>
        </w:tc>
        <w:tc>
          <w:tcPr>
            <w:tcW w:w="1365" w:type="pct"/>
            <w:vAlign w:val="center"/>
            <w:hideMark/>
          </w:tcPr>
          <w:p w14:paraId="7C7DE941" w14:textId="1BECA8AB" w:rsidR="008335EB" w:rsidRPr="00064185" w:rsidRDefault="008335EB" w:rsidP="00EA61D8">
            <w:pPr>
              <w:keepNext/>
              <w:keepLines/>
              <w:spacing w:beforeLines="60" w:before="144" w:afterLines="60" w:after="144"/>
              <w:contextualSpacing/>
              <w:rPr>
                <w:b/>
              </w:rPr>
            </w:pPr>
            <w:r w:rsidRPr="00064185">
              <w:rPr>
                <w:b/>
              </w:rPr>
              <w:t>E</w:t>
            </w:r>
            <w:r w:rsidRPr="00064185">
              <w:rPr>
                <w:b/>
                <w:vertAlign w:val="subscript"/>
              </w:rPr>
              <w:t xml:space="preserve">ww, houses </w:t>
            </w:r>
            <w:r w:rsidRPr="00064185">
              <w:rPr>
                <w:b/>
              </w:rPr>
              <w:t>= (E</w:t>
            </w:r>
            <w:r w:rsidRPr="00064185">
              <w:rPr>
                <w:b/>
                <w:vertAlign w:val="subscript"/>
              </w:rPr>
              <w:t xml:space="preserve">applicator, ww + </w:t>
            </w:r>
            <w:r w:rsidRPr="00064185">
              <w:rPr>
                <w:b/>
                <w:bCs/>
              </w:rPr>
              <w:t>E</w:t>
            </w:r>
            <w:r w:rsidRPr="00064185">
              <w:rPr>
                <w:b/>
                <w:bCs/>
                <w:vertAlign w:val="subscript"/>
              </w:rPr>
              <w:t>treated, ww</w:t>
            </w:r>
            <w:r w:rsidRPr="00064185">
              <w:rPr>
                <w:b/>
                <w:bCs/>
              </w:rPr>
              <w:t>)</w:t>
            </w:r>
            <w:r w:rsidRPr="00064185">
              <w:rPr>
                <w:b/>
              </w:rPr>
              <w:t xml:space="preserve"> x </w:t>
            </w:r>
            <w:r w:rsidRPr="00064185">
              <w:rPr>
                <w:b/>
                <w:bCs/>
              </w:rPr>
              <w:t>N</w:t>
            </w:r>
            <w:r w:rsidRPr="00064185">
              <w:rPr>
                <w:b/>
                <w:bCs/>
                <w:vertAlign w:val="subscript"/>
              </w:rPr>
              <w:t>Houses</w:t>
            </w:r>
            <w:r w:rsidRPr="00064185">
              <w:rPr>
                <w:b/>
                <w:bCs/>
              </w:rPr>
              <w:t xml:space="preserve"> x F</w:t>
            </w:r>
            <w:r w:rsidRPr="00064185">
              <w:rPr>
                <w:b/>
                <w:bCs/>
                <w:vertAlign w:val="subscript"/>
              </w:rPr>
              <w:t>simultaneity</w:t>
            </w:r>
          </w:p>
        </w:tc>
        <w:tc>
          <w:tcPr>
            <w:tcW w:w="605" w:type="pct"/>
            <w:vAlign w:val="center"/>
          </w:tcPr>
          <w:p w14:paraId="056A69B7" w14:textId="1F18D900" w:rsidR="008335EB" w:rsidRPr="00064185" w:rsidRDefault="008335EB" w:rsidP="00EA61D8">
            <w:pPr>
              <w:keepNext/>
              <w:keepLines/>
              <w:tabs>
                <w:tab w:val="right" w:pos="1295"/>
              </w:tabs>
              <w:spacing w:beforeLines="60" w:before="144" w:afterLines="60" w:after="144"/>
              <w:contextualSpacing/>
              <w:rPr>
                <w:b/>
              </w:rPr>
            </w:pPr>
            <w:r w:rsidRPr="00064185">
              <w:rPr>
                <w:b/>
              </w:rPr>
              <w:t>0.72</w:t>
            </w:r>
          </w:p>
        </w:tc>
        <w:tc>
          <w:tcPr>
            <w:tcW w:w="833" w:type="pct"/>
            <w:vAlign w:val="center"/>
          </w:tcPr>
          <w:p w14:paraId="68570642" w14:textId="556CA05C" w:rsidR="008335EB" w:rsidRPr="00064185" w:rsidRDefault="008335EB" w:rsidP="00EA61D8">
            <w:pPr>
              <w:keepNext/>
              <w:keepLines/>
              <w:tabs>
                <w:tab w:val="right" w:pos="1295"/>
              </w:tabs>
              <w:spacing w:beforeLines="60" w:before="144" w:afterLines="60" w:after="144"/>
              <w:contextualSpacing/>
              <w:rPr>
                <w:b/>
              </w:rPr>
            </w:pPr>
            <w:r w:rsidRPr="00064185">
              <w:rPr>
                <w:b/>
              </w:rPr>
              <w:t>5.42</w:t>
            </w:r>
          </w:p>
        </w:tc>
        <w:tc>
          <w:tcPr>
            <w:tcW w:w="646" w:type="pct"/>
            <w:vAlign w:val="center"/>
          </w:tcPr>
          <w:p w14:paraId="5E6631C6" w14:textId="788C7C83" w:rsidR="008335EB" w:rsidRPr="00064185" w:rsidRDefault="008335EB" w:rsidP="00EA61D8">
            <w:pPr>
              <w:keepNext/>
              <w:keepLines/>
              <w:tabs>
                <w:tab w:val="right" w:pos="1295"/>
              </w:tabs>
              <w:spacing w:beforeLines="60" w:before="144" w:afterLines="60" w:after="144"/>
              <w:contextualSpacing/>
              <w:rPr>
                <w:b/>
              </w:rPr>
            </w:pPr>
            <w:r w:rsidRPr="00064185">
              <w:rPr>
                <w:b/>
              </w:rPr>
              <w:t>0.4</w:t>
            </w:r>
            <w:r w:rsidR="00F517DD" w:rsidRPr="00064185">
              <w:rPr>
                <w:b/>
              </w:rPr>
              <w:t>0</w:t>
            </w:r>
          </w:p>
        </w:tc>
      </w:tr>
    </w:tbl>
    <w:p w14:paraId="3BB6BA1D" w14:textId="77777777" w:rsidR="009D2C53" w:rsidRPr="00064185" w:rsidRDefault="009D2C53" w:rsidP="00EA61D8"/>
    <w:p w14:paraId="15C61C47" w14:textId="77777777" w:rsidR="009D2C53" w:rsidRPr="00064185" w:rsidRDefault="009D2C53" w:rsidP="00EA61D8"/>
    <w:p w14:paraId="3A97B066" w14:textId="645F30C4" w:rsidR="009D2C53" w:rsidRPr="00064185" w:rsidRDefault="0037041B" w:rsidP="00EA61D8">
      <w:pPr>
        <w:rPr>
          <w:u w:val="single"/>
        </w:rPr>
      </w:pPr>
      <w:r w:rsidRPr="00064185">
        <w:rPr>
          <w:u w:val="single"/>
        </w:rPr>
        <w:t>Scenario 1b</w:t>
      </w:r>
      <w:r w:rsidR="00E17674" w:rsidRPr="00064185">
        <w:rPr>
          <w:u w:val="single"/>
        </w:rPr>
        <w:t xml:space="preserve"> - </w:t>
      </w:r>
      <w:r w:rsidR="009D2C53" w:rsidRPr="00064185">
        <w:rPr>
          <w:u w:val="single"/>
        </w:rPr>
        <w:t xml:space="preserve">Direct treatment of </w:t>
      </w:r>
      <w:r w:rsidR="00FD6ACF" w:rsidRPr="00064185">
        <w:rPr>
          <w:u w:val="single"/>
        </w:rPr>
        <w:t>target organisms</w:t>
      </w:r>
      <w:r w:rsidR="009D2C53" w:rsidRPr="00064185">
        <w:rPr>
          <w:u w:val="single"/>
        </w:rPr>
        <w:t>:</w:t>
      </w:r>
    </w:p>
    <w:p w14:paraId="6E6019AA" w14:textId="77777777" w:rsidR="009D2C53" w:rsidRPr="00064185" w:rsidRDefault="009D2C53" w:rsidP="00EA61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5"/>
        <w:gridCol w:w="815"/>
        <w:gridCol w:w="1409"/>
        <w:gridCol w:w="2057"/>
        <w:gridCol w:w="948"/>
      </w:tblGrid>
      <w:tr w:rsidR="00064185" w:rsidRPr="00064185" w14:paraId="6EDF7E25" w14:textId="77777777" w:rsidTr="009D2C53">
        <w:trPr>
          <w:cantSplit/>
          <w:trHeight w:val="744"/>
        </w:trPr>
        <w:tc>
          <w:tcPr>
            <w:tcW w:w="0" w:type="auto"/>
            <w:gridSpan w:val="5"/>
            <w:shd w:val="clear" w:color="auto" w:fill="FFFFCC"/>
            <w:vAlign w:val="center"/>
          </w:tcPr>
          <w:p w14:paraId="77C5807F" w14:textId="77777777" w:rsidR="009D2C53" w:rsidRPr="00064185" w:rsidRDefault="009D2C53" w:rsidP="00EA61D8">
            <w:pPr>
              <w:spacing w:before="60" w:afterLines="300" w:after="720"/>
              <w:contextualSpacing/>
              <w:rPr>
                <w:b/>
                <w:bCs/>
              </w:rPr>
            </w:pPr>
            <w:r w:rsidRPr="00064185">
              <w:rPr>
                <w:b/>
              </w:rPr>
              <w:t xml:space="preserve">Input parameters for calculating the local emissions of </w:t>
            </w:r>
            <w:r w:rsidRPr="00064185">
              <w:rPr>
                <w:b/>
                <w:i/>
              </w:rPr>
              <w:t>lambda</w:t>
            </w:r>
            <w:r w:rsidRPr="00064185">
              <w:rPr>
                <w:b/>
              </w:rPr>
              <w:t>-cyhalothrin during indoor spray application of COM 116 02 I AL</w:t>
            </w:r>
          </w:p>
        </w:tc>
      </w:tr>
      <w:tr w:rsidR="00064185" w:rsidRPr="00064185" w14:paraId="0028ADD9" w14:textId="77777777" w:rsidTr="009D2C53">
        <w:trPr>
          <w:cantSplit/>
          <w:trHeight w:val="327"/>
        </w:trPr>
        <w:tc>
          <w:tcPr>
            <w:tcW w:w="0" w:type="auto"/>
            <w:vMerge w:val="restart"/>
            <w:vAlign w:val="center"/>
            <w:hideMark/>
          </w:tcPr>
          <w:p w14:paraId="0EF754F2" w14:textId="77777777" w:rsidR="009D2C53" w:rsidRPr="00064185" w:rsidRDefault="009D2C53" w:rsidP="00EA61D8">
            <w:pPr>
              <w:spacing w:before="60" w:afterLines="60" w:after="144"/>
              <w:contextualSpacing/>
              <w:rPr>
                <w:b/>
                <w:bCs/>
              </w:rPr>
            </w:pPr>
            <w:r w:rsidRPr="00064185">
              <w:rPr>
                <w:b/>
                <w:bCs/>
              </w:rPr>
              <w:t>Input</w:t>
            </w:r>
          </w:p>
        </w:tc>
        <w:tc>
          <w:tcPr>
            <w:tcW w:w="0" w:type="auto"/>
            <w:vMerge w:val="restart"/>
            <w:vAlign w:val="center"/>
          </w:tcPr>
          <w:p w14:paraId="41827300" w14:textId="77777777" w:rsidR="009D2C53" w:rsidRPr="00064185" w:rsidRDefault="009D2C53" w:rsidP="00EA61D8">
            <w:pPr>
              <w:spacing w:before="60" w:afterLines="60" w:after="144"/>
              <w:contextualSpacing/>
              <w:rPr>
                <w:b/>
                <w:bCs/>
              </w:rPr>
            </w:pPr>
            <w:r w:rsidRPr="00064185">
              <w:rPr>
                <w:b/>
                <w:bCs/>
              </w:rPr>
              <w:t>Unit</w:t>
            </w:r>
          </w:p>
        </w:tc>
        <w:tc>
          <w:tcPr>
            <w:tcW w:w="0" w:type="auto"/>
            <w:vMerge w:val="restart"/>
            <w:vAlign w:val="center"/>
            <w:hideMark/>
          </w:tcPr>
          <w:p w14:paraId="44828B7C" w14:textId="77777777" w:rsidR="009D2C53" w:rsidRPr="00064185" w:rsidRDefault="009D2C53" w:rsidP="00EA61D8">
            <w:pPr>
              <w:spacing w:before="60" w:afterLines="60" w:after="144"/>
              <w:contextualSpacing/>
              <w:rPr>
                <w:b/>
                <w:bCs/>
              </w:rPr>
            </w:pPr>
            <w:r w:rsidRPr="00064185">
              <w:rPr>
                <w:b/>
                <w:bCs/>
              </w:rPr>
              <w:t>Definition</w:t>
            </w:r>
          </w:p>
        </w:tc>
        <w:tc>
          <w:tcPr>
            <w:tcW w:w="0" w:type="auto"/>
            <w:gridSpan w:val="2"/>
            <w:vAlign w:val="center"/>
            <w:hideMark/>
          </w:tcPr>
          <w:p w14:paraId="5F2DEEA2" w14:textId="77777777" w:rsidR="009D2C53" w:rsidRPr="00064185" w:rsidRDefault="009D2C53" w:rsidP="00EA61D8">
            <w:pPr>
              <w:spacing w:before="60" w:afterLines="60" w:after="144"/>
              <w:contextualSpacing/>
              <w:rPr>
                <w:b/>
                <w:bCs/>
              </w:rPr>
            </w:pPr>
            <w:r w:rsidRPr="00064185">
              <w:rPr>
                <w:b/>
                <w:bCs/>
              </w:rPr>
              <w:t>Indoor use (houses)</w:t>
            </w:r>
          </w:p>
        </w:tc>
      </w:tr>
      <w:tr w:rsidR="00064185" w:rsidRPr="00064185" w14:paraId="2B1EB937" w14:textId="77777777" w:rsidTr="009D2C53">
        <w:trPr>
          <w:cantSplit/>
          <w:trHeight w:val="629"/>
        </w:trPr>
        <w:tc>
          <w:tcPr>
            <w:tcW w:w="0" w:type="auto"/>
            <w:vMerge/>
            <w:vAlign w:val="center"/>
            <w:hideMark/>
          </w:tcPr>
          <w:p w14:paraId="33A20E03" w14:textId="77777777" w:rsidR="009D2C53" w:rsidRPr="00064185" w:rsidRDefault="009D2C53" w:rsidP="00EA61D8">
            <w:pPr>
              <w:spacing w:before="60" w:afterLines="60" w:after="144"/>
              <w:contextualSpacing/>
              <w:rPr>
                <w:rFonts w:ascii="Arial" w:hAnsi="Arial" w:cs="Arial"/>
              </w:rPr>
            </w:pPr>
          </w:p>
        </w:tc>
        <w:tc>
          <w:tcPr>
            <w:tcW w:w="0" w:type="auto"/>
            <w:vMerge/>
            <w:vAlign w:val="center"/>
          </w:tcPr>
          <w:p w14:paraId="6B005B10" w14:textId="77777777" w:rsidR="009D2C53" w:rsidRPr="00064185" w:rsidRDefault="009D2C53" w:rsidP="00EA61D8">
            <w:pPr>
              <w:spacing w:before="60" w:afterLines="60" w:after="144"/>
              <w:contextualSpacing/>
              <w:rPr>
                <w:b/>
                <w:bCs/>
              </w:rPr>
            </w:pPr>
          </w:p>
        </w:tc>
        <w:tc>
          <w:tcPr>
            <w:tcW w:w="0" w:type="auto"/>
            <w:vMerge/>
            <w:vAlign w:val="center"/>
            <w:hideMark/>
          </w:tcPr>
          <w:p w14:paraId="07B2521A" w14:textId="77777777" w:rsidR="009D2C53" w:rsidRPr="00064185" w:rsidRDefault="009D2C53" w:rsidP="00EA61D8">
            <w:pPr>
              <w:spacing w:before="60" w:afterLines="60" w:after="144"/>
              <w:contextualSpacing/>
              <w:rPr>
                <w:b/>
                <w:bCs/>
              </w:rPr>
            </w:pPr>
          </w:p>
        </w:tc>
        <w:tc>
          <w:tcPr>
            <w:tcW w:w="0" w:type="auto"/>
            <w:vAlign w:val="center"/>
            <w:hideMark/>
          </w:tcPr>
          <w:p w14:paraId="47287FD6" w14:textId="77777777" w:rsidR="009D2C53" w:rsidRPr="00064185" w:rsidRDefault="009D2C53" w:rsidP="00EA61D8">
            <w:pPr>
              <w:spacing w:before="60" w:afterLines="60" w:after="144"/>
              <w:contextualSpacing/>
              <w:rPr>
                <w:b/>
                <w:bCs/>
              </w:rPr>
            </w:pPr>
            <w:r w:rsidRPr="00064185">
              <w:rPr>
                <w:b/>
                <w:bCs/>
              </w:rPr>
              <w:t>Silverfish &amp; Cockroaches</w:t>
            </w:r>
          </w:p>
        </w:tc>
        <w:tc>
          <w:tcPr>
            <w:tcW w:w="0" w:type="auto"/>
            <w:vAlign w:val="center"/>
          </w:tcPr>
          <w:p w14:paraId="77BD1014" w14:textId="77777777" w:rsidR="009D2C53" w:rsidRPr="00064185" w:rsidRDefault="009D2C53" w:rsidP="00EA61D8">
            <w:pPr>
              <w:spacing w:before="60" w:afterLines="60" w:after="144"/>
              <w:contextualSpacing/>
              <w:rPr>
                <w:b/>
                <w:bCs/>
              </w:rPr>
            </w:pPr>
            <w:r w:rsidRPr="00064185">
              <w:rPr>
                <w:b/>
                <w:bCs/>
              </w:rPr>
              <w:t>Wood lice</w:t>
            </w:r>
          </w:p>
        </w:tc>
      </w:tr>
      <w:tr w:rsidR="00064185" w:rsidRPr="00064185" w14:paraId="3A79FC58" w14:textId="77777777" w:rsidTr="004170DA">
        <w:trPr>
          <w:cantSplit/>
          <w:trHeight w:val="327"/>
        </w:trPr>
        <w:tc>
          <w:tcPr>
            <w:tcW w:w="0" w:type="auto"/>
            <w:vAlign w:val="center"/>
            <w:hideMark/>
          </w:tcPr>
          <w:p w14:paraId="54B446D3" w14:textId="77777777" w:rsidR="004170DA" w:rsidRPr="00064185" w:rsidRDefault="004170DA" w:rsidP="00EA61D8">
            <w:pPr>
              <w:spacing w:before="60" w:afterLines="60" w:after="144"/>
              <w:contextualSpacing/>
              <w:rPr>
                <w:bCs/>
              </w:rPr>
            </w:pPr>
            <w:r w:rsidRPr="00064185">
              <w:rPr>
                <w:bCs/>
              </w:rPr>
              <w:t>Quantity of commercial applied</w:t>
            </w:r>
          </w:p>
        </w:tc>
        <w:tc>
          <w:tcPr>
            <w:tcW w:w="0" w:type="auto"/>
            <w:vAlign w:val="center"/>
          </w:tcPr>
          <w:p w14:paraId="230DF04F" w14:textId="77777777" w:rsidR="004170DA" w:rsidRPr="00064185" w:rsidRDefault="004170DA" w:rsidP="00EA61D8">
            <w:pPr>
              <w:spacing w:before="60" w:afterLines="60" w:after="144"/>
              <w:contextualSpacing/>
              <w:rPr>
                <w:bCs/>
              </w:rPr>
            </w:pPr>
            <w:r w:rsidRPr="00064185">
              <w:rPr>
                <w:bCs/>
              </w:rPr>
              <w:t>[g/m</w:t>
            </w:r>
            <w:r w:rsidRPr="00064185">
              <w:rPr>
                <w:bCs/>
                <w:vertAlign w:val="superscript"/>
              </w:rPr>
              <w:t>2</w:t>
            </w:r>
            <w:r w:rsidRPr="00064185">
              <w:rPr>
                <w:bCs/>
              </w:rPr>
              <w:t>]</w:t>
            </w:r>
          </w:p>
        </w:tc>
        <w:tc>
          <w:tcPr>
            <w:tcW w:w="0" w:type="auto"/>
            <w:vAlign w:val="center"/>
            <w:hideMark/>
          </w:tcPr>
          <w:p w14:paraId="68C8D080" w14:textId="77777777" w:rsidR="004170DA" w:rsidRPr="00064185" w:rsidRDefault="004170DA" w:rsidP="00EA61D8">
            <w:pPr>
              <w:spacing w:before="60" w:afterLines="60" w:after="144"/>
              <w:contextualSpacing/>
              <w:rPr>
                <w:bCs/>
              </w:rPr>
            </w:pPr>
            <w:r w:rsidRPr="00064185">
              <w:rPr>
                <w:bCs/>
              </w:rPr>
              <w:t>Q</w:t>
            </w:r>
            <w:r w:rsidRPr="00064185">
              <w:rPr>
                <w:bCs/>
                <w:vertAlign w:val="subscript"/>
              </w:rPr>
              <w:t>prod</w:t>
            </w:r>
          </w:p>
        </w:tc>
        <w:tc>
          <w:tcPr>
            <w:tcW w:w="0" w:type="auto"/>
            <w:vAlign w:val="center"/>
            <w:hideMark/>
          </w:tcPr>
          <w:p w14:paraId="4DB1CEDF" w14:textId="2D94411A" w:rsidR="004170DA" w:rsidRPr="00064185" w:rsidRDefault="004170DA" w:rsidP="00EA61D8">
            <w:pPr>
              <w:tabs>
                <w:tab w:val="right" w:pos="1295"/>
              </w:tabs>
              <w:spacing w:before="60" w:afterLines="60" w:after="144"/>
              <w:contextualSpacing/>
            </w:pPr>
            <w:r w:rsidRPr="00064185">
              <w:t>123</w:t>
            </w:r>
          </w:p>
        </w:tc>
        <w:tc>
          <w:tcPr>
            <w:tcW w:w="0" w:type="auto"/>
            <w:vAlign w:val="center"/>
          </w:tcPr>
          <w:p w14:paraId="197862FB" w14:textId="2B926042" w:rsidR="004170DA" w:rsidRPr="00064185" w:rsidRDefault="004170DA" w:rsidP="00EA61D8">
            <w:pPr>
              <w:tabs>
                <w:tab w:val="right" w:pos="1295"/>
              </w:tabs>
              <w:spacing w:before="60" w:afterLines="60" w:after="144"/>
              <w:contextualSpacing/>
            </w:pPr>
            <w:r w:rsidRPr="00064185">
              <w:t>170</w:t>
            </w:r>
          </w:p>
        </w:tc>
      </w:tr>
      <w:tr w:rsidR="00064185" w:rsidRPr="00064185" w14:paraId="1CF86746" w14:textId="77777777" w:rsidTr="009D2C53">
        <w:trPr>
          <w:cantSplit/>
          <w:trHeight w:val="567"/>
        </w:trPr>
        <w:tc>
          <w:tcPr>
            <w:tcW w:w="0" w:type="auto"/>
            <w:vAlign w:val="center"/>
            <w:hideMark/>
          </w:tcPr>
          <w:p w14:paraId="74D2888B" w14:textId="77777777" w:rsidR="009D2C53" w:rsidRPr="00064185" w:rsidRDefault="009D2C53" w:rsidP="00EA61D8">
            <w:pPr>
              <w:spacing w:before="60" w:afterLines="60" w:after="144"/>
              <w:contextualSpacing/>
              <w:rPr>
                <w:bCs/>
              </w:rPr>
            </w:pPr>
            <w:r w:rsidRPr="00064185">
              <w:rPr>
                <w:bCs/>
              </w:rPr>
              <w:t>Fraction of active substance in the commercial product</w:t>
            </w:r>
          </w:p>
        </w:tc>
        <w:tc>
          <w:tcPr>
            <w:tcW w:w="0" w:type="auto"/>
            <w:vAlign w:val="center"/>
          </w:tcPr>
          <w:p w14:paraId="4BCD2EC3" w14:textId="77777777" w:rsidR="009D2C53" w:rsidRPr="00064185" w:rsidRDefault="009D2C53" w:rsidP="00EA61D8">
            <w:pPr>
              <w:spacing w:before="60" w:afterLines="60" w:after="144"/>
              <w:contextualSpacing/>
              <w:rPr>
                <w:bCs/>
              </w:rPr>
            </w:pPr>
            <w:r w:rsidRPr="00064185">
              <w:rPr>
                <w:bCs/>
              </w:rPr>
              <w:t>[-]</w:t>
            </w:r>
          </w:p>
        </w:tc>
        <w:tc>
          <w:tcPr>
            <w:tcW w:w="0" w:type="auto"/>
            <w:vAlign w:val="center"/>
            <w:hideMark/>
          </w:tcPr>
          <w:p w14:paraId="1987C8D5" w14:textId="77777777" w:rsidR="009D2C53" w:rsidRPr="00064185" w:rsidRDefault="009D2C53" w:rsidP="00EA61D8">
            <w:pPr>
              <w:spacing w:before="60" w:afterLines="60" w:after="144"/>
              <w:contextualSpacing/>
              <w:rPr>
                <w:bCs/>
              </w:rPr>
            </w:pPr>
            <w:r w:rsidRPr="00064185">
              <w:rPr>
                <w:bCs/>
              </w:rPr>
              <w:t>F</w:t>
            </w:r>
            <w:r w:rsidRPr="00064185">
              <w:rPr>
                <w:bCs/>
                <w:vertAlign w:val="subscript"/>
              </w:rPr>
              <w:t>AI</w:t>
            </w:r>
          </w:p>
        </w:tc>
        <w:tc>
          <w:tcPr>
            <w:tcW w:w="0" w:type="auto"/>
            <w:gridSpan w:val="2"/>
            <w:vAlign w:val="center"/>
            <w:hideMark/>
          </w:tcPr>
          <w:p w14:paraId="09304CA1" w14:textId="77777777" w:rsidR="009D2C53" w:rsidRPr="00064185" w:rsidRDefault="009D2C53" w:rsidP="00EA61D8">
            <w:pPr>
              <w:tabs>
                <w:tab w:val="right" w:pos="1295"/>
              </w:tabs>
              <w:spacing w:before="60" w:afterLines="60" w:after="144"/>
              <w:contextualSpacing/>
            </w:pPr>
            <w:r w:rsidRPr="00064185">
              <w:t>0.0005</w:t>
            </w:r>
          </w:p>
        </w:tc>
      </w:tr>
      <w:tr w:rsidR="00064185" w:rsidRPr="00064185" w14:paraId="25D87BBE" w14:textId="77777777" w:rsidTr="009D2C53">
        <w:trPr>
          <w:cantSplit/>
          <w:trHeight w:val="567"/>
        </w:trPr>
        <w:tc>
          <w:tcPr>
            <w:tcW w:w="0" w:type="auto"/>
            <w:vAlign w:val="center"/>
            <w:hideMark/>
          </w:tcPr>
          <w:p w14:paraId="009EB769" w14:textId="77777777" w:rsidR="009D2C53" w:rsidRPr="00064185" w:rsidRDefault="009D2C53" w:rsidP="00EA61D8">
            <w:pPr>
              <w:spacing w:before="60" w:afterLines="60" w:after="144"/>
              <w:contextualSpacing/>
              <w:rPr>
                <w:bCs/>
              </w:rPr>
            </w:pPr>
            <w:r w:rsidRPr="00064185">
              <w:rPr>
                <w:bCs/>
              </w:rPr>
              <w:t>Number of applications per day</w:t>
            </w:r>
          </w:p>
        </w:tc>
        <w:tc>
          <w:tcPr>
            <w:tcW w:w="0" w:type="auto"/>
            <w:vAlign w:val="center"/>
          </w:tcPr>
          <w:p w14:paraId="63EED57D" w14:textId="77777777" w:rsidR="009D2C53" w:rsidRPr="00064185" w:rsidRDefault="009D2C53" w:rsidP="00EA61D8">
            <w:pPr>
              <w:spacing w:before="60" w:afterLines="60" w:after="144"/>
              <w:contextualSpacing/>
              <w:rPr>
                <w:bCs/>
              </w:rPr>
            </w:pPr>
            <w:r w:rsidRPr="00064185">
              <w:rPr>
                <w:bCs/>
              </w:rPr>
              <w:t>[d]</w:t>
            </w:r>
          </w:p>
        </w:tc>
        <w:tc>
          <w:tcPr>
            <w:tcW w:w="0" w:type="auto"/>
            <w:vAlign w:val="center"/>
            <w:hideMark/>
          </w:tcPr>
          <w:p w14:paraId="5C810BE7" w14:textId="77777777" w:rsidR="009D2C53" w:rsidRPr="00064185" w:rsidRDefault="009D2C53" w:rsidP="00EA61D8">
            <w:pPr>
              <w:spacing w:before="60" w:afterLines="60" w:after="144"/>
              <w:contextualSpacing/>
              <w:rPr>
                <w:bCs/>
              </w:rPr>
            </w:pPr>
            <w:r w:rsidRPr="00064185">
              <w:rPr>
                <w:bCs/>
              </w:rPr>
              <w:t>N</w:t>
            </w:r>
            <w:r w:rsidRPr="00064185">
              <w:rPr>
                <w:bCs/>
                <w:vertAlign w:val="subscript"/>
              </w:rPr>
              <w:t>appl, building</w:t>
            </w:r>
          </w:p>
        </w:tc>
        <w:tc>
          <w:tcPr>
            <w:tcW w:w="0" w:type="auto"/>
            <w:gridSpan w:val="2"/>
            <w:vAlign w:val="center"/>
            <w:hideMark/>
          </w:tcPr>
          <w:p w14:paraId="5DB28D02" w14:textId="77777777" w:rsidR="009D2C53" w:rsidRPr="00064185" w:rsidRDefault="009D2C53" w:rsidP="00EA61D8">
            <w:pPr>
              <w:tabs>
                <w:tab w:val="right" w:pos="1295"/>
              </w:tabs>
              <w:spacing w:before="60" w:afterLines="60" w:after="144"/>
              <w:contextualSpacing/>
            </w:pPr>
            <w:r w:rsidRPr="00064185">
              <w:t>1</w:t>
            </w:r>
          </w:p>
        </w:tc>
      </w:tr>
      <w:tr w:rsidR="00064185" w:rsidRPr="00064185" w14:paraId="56E198F4" w14:textId="77777777" w:rsidTr="009D2C53">
        <w:trPr>
          <w:cantSplit/>
          <w:trHeight w:val="567"/>
        </w:trPr>
        <w:tc>
          <w:tcPr>
            <w:tcW w:w="0" w:type="auto"/>
            <w:vAlign w:val="center"/>
            <w:hideMark/>
          </w:tcPr>
          <w:p w14:paraId="7D0FDEB8" w14:textId="77777777" w:rsidR="009D2C53" w:rsidRPr="00064185" w:rsidRDefault="009D2C53" w:rsidP="00EA61D8">
            <w:pPr>
              <w:spacing w:before="60" w:afterLines="60" w:after="144"/>
              <w:contextualSpacing/>
              <w:rPr>
                <w:bCs/>
              </w:rPr>
            </w:pPr>
            <w:r w:rsidRPr="00064185">
              <w:rPr>
                <w:bCs/>
              </w:rPr>
              <w:t>Area treated with the product</w:t>
            </w:r>
          </w:p>
        </w:tc>
        <w:tc>
          <w:tcPr>
            <w:tcW w:w="0" w:type="auto"/>
            <w:vAlign w:val="center"/>
          </w:tcPr>
          <w:p w14:paraId="64E0299C" w14:textId="77777777" w:rsidR="009D2C53" w:rsidRPr="00064185" w:rsidRDefault="009D2C53" w:rsidP="00EA61D8">
            <w:pPr>
              <w:spacing w:before="60" w:afterLines="60" w:after="144"/>
              <w:contextualSpacing/>
              <w:rPr>
                <w:bCs/>
              </w:rPr>
            </w:pPr>
            <w:r w:rsidRPr="00064185">
              <w:rPr>
                <w:bCs/>
              </w:rPr>
              <w:t>[m²]</w:t>
            </w:r>
          </w:p>
        </w:tc>
        <w:tc>
          <w:tcPr>
            <w:tcW w:w="0" w:type="auto"/>
            <w:vAlign w:val="center"/>
            <w:hideMark/>
          </w:tcPr>
          <w:p w14:paraId="06A92DC0" w14:textId="77777777" w:rsidR="009D2C53" w:rsidRPr="00064185" w:rsidRDefault="009D2C53" w:rsidP="00EA61D8">
            <w:pPr>
              <w:spacing w:before="60" w:afterLines="60" w:after="144"/>
              <w:contextualSpacing/>
              <w:rPr>
                <w:bCs/>
              </w:rPr>
            </w:pPr>
            <w:r w:rsidRPr="00064185">
              <w:rPr>
                <w:bCs/>
              </w:rPr>
              <w:t>AREA</w:t>
            </w:r>
            <w:r w:rsidRPr="00064185">
              <w:rPr>
                <w:bCs/>
                <w:vertAlign w:val="subscript"/>
              </w:rPr>
              <w:t>treated</w:t>
            </w:r>
          </w:p>
        </w:tc>
        <w:tc>
          <w:tcPr>
            <w:tcW w:w="0" w:type="auto"/>
            <w:gridSpan w:val="2"/>
            <w:vAlign w:val="center"/>
            <w:hideMark/>
          </w:tcPr>
          <w:p w14:paraId="234CDDB1" w14:textId="77777777" w:rsidR="009D2C53" w:rsidRPr="00064185" w:rsidRDefault="009D2C53" w:rsidP="00EA61D8">
            <w:pPr>
              <w:tabs>
                <w:tab w:val="right" w:pos="1295"/>
              </w:tabs>
              <w:spacing w:before="60" w:afterLines="60" w:after="144"/>
              <w:contextualSpacing/>
            </w:pPr>
            <w:r w:rsidRPr="00064185">
              <w:t>2.0</w:t>
            </w:r>
          </w:p>
        </w:tc>
      </w:tr>
      <w:tr w:rsidR="00064185" w:rsidRPr="00064185" w14:paraId="08AB930C" w14:textId="77777777" w:rsidTr="009D2C53">
        <w:trPr>
          <w:cantSplit/>
          <w:trHeight w:val="567"/>
        </w:trPr>
        <w:tc>
          <w:tcPr>
            <w:tcW w:w="0" w:type="auto"/>
            <w:vAlign w:val="center"/>
            <w:hideMark/>
          </w:tcPr>
          <w:p w14:paraId="27B5B7B0" w14:textId="77777777" w:rsidR="009D2C53" w:rsidRPr="00064185" w:rsidRDefault="009D2C53" w:rsidP="00EA61D8">
            <w:pPr>
              <w:spacing w:before="60" w:afterLines="60" w:after="144"/>
              <w:contextualSpacing/>
              <w:rPr>
                <w:bCs/>
              </w:rPr>
            </w:pPr>
            <w:r w:rsidRPr="00064185">
              <w:rPr>
                <w:bCs/>
              </w:rPr>
              <w:t>Fraction emitted to applicator during application</w:t>
            </w:r>
          </w:p>
        </w:tc>
        <w:tc>
          <w:tcPr>
            <w:tcW w:w="0" w:type="auto"/>
            <w:vAlign w:val="center"/>
          </w:tcPr>
          <w:p w14:paraId="015495C3" w14:textId="77777777" w:rsidR="009D2C53" w:rsidRPr="00064185" w:rsidRDefault="009D2C53" w:rsidP="00EA61D8">
            <w:pPr>
              <w:spacing w:before="60" w:afterLines="60" w:after="144"/>
              <w:contextualSpacing/>
              <w:rPr>
                <w:bCs/>
              </w:rPr>
            </w:pPr>
            <w:r w:rsidRPr="00064185">
              <w:rPr>
                <w:bCs/>
              </w:rPr>
              <w:t>[-]</w:t>
            </w:r>
          </w:p>
        </w:tc>
        <w:tc>
          <w:tcPr>
            <w:tcW w:w="0" w:type="auto"/>
            <w:vAlign w:val="center"/>
            <w:hideMark/>
          </w:tcPr>
          <w:p w14:paraId="2501FD82" w14:textId="77777777" w:rsidR="009D2C53" w:rsidRPr="00064185" w:rsidRDefault="009D2C53" w:rsidP="00EA61D8">
            <w:pPr>
              <w:spacing w:before="60" w:afterLines="60" w:after="144"/>
              <w:contextualSpacing/>
              <w:rPr>
                <w:bCs/>
              </w:rPr>
            </w:pPr>
            <w:r w:rsidRPr="00064185">
              <w:rPr>
                <w:bCs/>
              </w:rPr>
              <w:t>F</w:t>
            </w:r>
            <w:r w:rsidRPr="00064185">
              <w:rPr>
                <w:bCs/>
                <w:vertAlign w:val="subscript"/>
              </w:rPr>
              <w:t>application, applicator</w:t>
            </w:r>
          </w:p>
        </w:tc>
        <w:tc>
          <w:tcPr>
            <w:tcW w:w="0" w:type="auto"/>
            <w:gridSpan w:val="2"/>
            <w:vAlign w:val="center"/>
            <w:hideMark/>
          </w:tcPr>
          <w:p w14:paraId="58672963" w14:textId="77777777" w:rsidR="009D2C53" w:rsidRPr="00064185" w:rsidRDefault="009D2C53" w:rsidP="00EA61D8">
            <w:pPr>
              <w:tabs>
                <w:tab w:val="right" w:pos="1295"/>
              </w:tabs>
              <w:spacing w:before="60" w:afterLines="60" w:after="144"/>
              <w:contextualSpacing/>
            </w:pPr>
            <w:r w:rsidRPr="00064185">
              <w:t>0.006</w:t>
            </w:r>
          </w:p>
        </w:tc>
      </w:tr>
      <w:tr w:rsidR="00064185" w:rsidRPr="00064185" w14:paraId="2ECC6FBB" w14:textId="77777777" w:rsidTr="009D2C53">
        <w:trPr>
          <w:cantSplit/>
          <w:trHeight w:val="567"/>
        </w:trPr>
        <w:tc>
          <w:tcPr>
            <w:tcW w:w="0" w:type="auto"/>
            <w:vAlign w:val="center"/>
          </w:tcPr>
          <w:p w14:paraId="3934E783" w14:textId="77777777" w:rsidR="009D2C53" w:rsidRPr="00064185" w:rsidRDefault="009D2C53" w:rsidP="00EA61D8">
            <w:pPr>
              <w:spacing w:before="60" w:afterLines="60" w:after="144"/>
              <w:contextualSpacing/>
              <w:rPr>
                <w:bCs/>
              </w:rPr>
            </w:pPr>
            <w:r w:rsidRPr="00064185">
              <w:rPr>
                <w:bCs/>
              </w:rPr>
              <w:t>Fraction emitted to wastewater from applicator after the application</w:t>
            </w:r>
          </w:p>
        </w:tc>
        <w:tc>
          <w:tcPr>
            <w:tcW w:w="0" w:type="auto"/>
            <w:vAlign w:val="center"/>
          </w:tcPr>
          <w:p w14:paraId="3DA25040" w14:textId="77777777" w:rsidR="009D2C53" w:rsidRPr="00064185" w:rsidRDefault="009D2C53" w:rsidP="00EA61D8">
            <w:pPr>
              <w:spacing w:before="60" w:afterLines="60" w:after="144"/>
              <w:contextualSpacing/>
              <w:rPr>
                <w:bCs/>
              </w:rPr>
            </w:pPr>
            <w:r w:rsidRPr="00064185">
              <w:rPr>
                <w:bCs/>
              </w:rPr>
              <w:t>[-]</w:t>
            </w:r>
          </w:p>
        </w:tc>
        <w:tc>
          <w:tcPr>
            <w:tcW w:w="0" w:type="auto"/>
            <w:vAlign w:val="center"/>
          </w:tcPr>
          <w:p w14:paraId="16ED81EB" w14:textId="77777777" w:rsidR="009D2C53" w:rsidRPr="00064185" w:rsidRDefault="009D2C53" w:rsidP="00EA61D8">
            <w:pPr>
              <w:spacing w:before="60" w:afterLines="60" w:after="144"/>
              <w:contextualSpacing/>
              <w:rPr>
                <w:bCs/>
              </w:rPr>
            </w:pPr>
            <w:r w:rsidRPr="00064185">
              <w:rPr>
                <w:bCs/>
              </w:rPr>
              <w:t>F</w:t>
            </w:r>
            <w:r w:rsidRPr="00064185">
              <w:rPr>
                <w:bCs/>
                <w:vertAlign w:val="subscript"/>
              </w:rPr>
              <w:t>applicator, ww</w:t>
            </w:r>
          </w:p>
        </w:tc>
        <w:tc>
          <w:tcPr>
            <w:tcW w:w="0" w:type="auto"/>
            <w:gridSpan w:val="2"/>
            <w:vAlign w:val="center"/>
          </w:tcPr>
          <w:p w14:paraId="309DBF9B" w14:textId="77777777" w:rsidR="009D2C53" w:rsidRPr="00064185" w:rsidRDefault="009D2C53" w:rsidP="00EA61D8">
            <w:pPr>
              <w:tabs>
                <w:tab w:val="right" w:pos="1295"/>
              </w:tabs>
              <w:spacing w:before="60" w:afterLines="60" w:after="144"/>
              <w:contextualSpacing/>
            </w:pPr>
            <w:r w:rsidRPr="00064185">
              <w:t>1</w:t>
            </w:r>
          </w:p>
        </w:tc>
      </w:tr>
      <w:tr w:rsidR="00064185" w:rsidRPr="00064185" w14:paraId="56FB1F3A" w14:textId="77777777" w:rsidTr="009D2C53">
        <w:trPr>
          <w:cantSplit/>
          <w:trHeight w:val="567"/>
        </w:trPr>
        <w:tc>
          <w:tcPr>
            <w:tcW w:w="0" w:type="auto"/>
            <w:vAlign w:val="center"/>
            <w:hideMark/>
          </w:tcPr>
          <w:p w14:paraId="73E72B47" w14:textId="77777777" w:rsidR="009D2C53" w:rsidRPr="00064185" w:rsidRDefault="009D2C53" w:rsidP="00EA61D8">
            <w:pPr>
              <w:spacing w:before="60" w:afterLines="60" w:after="144"/>
              <w:contextualSpacing/>
              <w:rPr>
                <w:bCs/>
              </w:rPr>
            </w:pPr>
            <w:r w:rsidRPr="00064185">
              <w:rPr>
                <w:bCs/>
              </w:rPr>
              <w:t>Fraction emitted to floor during application</w:t>
            </w:r>
          </w:p>
        </w:tc>
        <w:tc>
          <w:tcPr>
            <w:tcW w:w="0" w:type="auto"/>
            <w:vAlign w:val="center"/>
          </w:tcPr>
          <w:p w14:paraId="0674348A" w14:textId="77777777" w:rsidR="009D2C53" w:rsidRPr="00064185" w:rsidRDefault="009D2C53" w:rsidP="00EA61D8">
            <w:pPr>
              <w:spacing w:before="60" w:afterLines="60" w:after="144"/>
              <w:contextualSpacing/>
              <w:rPr>
                <w:bCs/>
              </w:rPr>
            </w:pPr>
            <w:r w:rsidRPr="00064185">
              <w:rPr>
                <w:bCs/>
              </w:rPr>
              <w:t>[-]</w:t>
            </w:r>
          </w:p>
        </w:tc>
        <w:tc>
          <w:tcPr>
            <w:tcW w:w="0" w:type="auto"/>
            <w:vAlign w:val="center"/>
            <w:hideMark/>
          </w:tcPr>
          <w:p w14:paraId="33103B6B" w14:textId="77777777" w:rsidR="009D2C53" w:rsidRPr="00064185" w:rsidRDefault="009D2C53" w:rsidP="00EA61D8">
            <w:pPr>
              <w:spacing w:before="60" w:afterLines="60" w:after="144"/>
              <w:contextualSpacing/>
              <w:rPr>
                <w:bCs/>
              </w:rPr>
            </w:pPr>
            <w:r w:rsidRPr="00064185">
              <w:rPr>
                <w:bCs/>
              </w:rPr>
              <w:t>F</w:t>
            </w:r>
            <w:r w:rsidRPr="00064185">
              <w:rPr>
                <w:bCs/>
                <w:vertAlign w:val="subscript"/>
              </w:rPr>
              <w:t>application, floor</w:t>
            </w:r>
          </w:p>
        </w:tc>
        <w:tc>
          <w:tcPr>
            <w:tcW w:w="0" w:type="auto"/>
            <w:gridSpan w:val="2"/>
            <w:vAlign w:val="center"/>
            <w:hideMark/>
          </w:tcPr>
          <w:p w14:paraId="10C454EF" w14:textId="77777777" w:rsidR="009D2C53" w:rsidRPr="00064185" w:rsidRDefault="009D2C53" w:rsidP="00EA61D8">
            <w:pPr>
              <w:tabs>
                <w:tab w:val="right" w:pos="1295"/>
              </w:tabs>
              <w:spacing w:before="60" w:afterLines="60" w:after="144"/>
              <w:contextualSpacing/>
            </w:pPr>
            <w:r w:rsidRPr="00064185">
              <w:t>0.124</w:t>
            </w:r>
          </w:p>
        </w:tc>
      </w:tr>
      <w:tr w:rsidR="00064185" w:rsidRPr="00064185" w14:paraId="67B6736B" w14:textId="77777777" w:rsidTr="009D2C53">
        <w:trPr>
          <w:cantSplit/>
          <w:trHeight w:val="567"/>
        </w:trPr>
        <w:tc>
          <w:tcPr>
            <w:tcW w:w="0" w:type="auto"/>
            <w:vAlign w:val="center"/>
            <w:hideMark/>
          </w:tcPr>
          <w:p w14:paraId="7AE9DC11" w14:textId="77777777" w:rsidR="009D2C53" w:rsidRPr="00064185" w:rsidRDefault="009D2C53" w:rsidP="00EA61D8">
            <w:pPr>
              <w:spacing w:before="60" w:afterLines="60" w:after="144"/>
              <w:contextualSpacing/>
              <w:rPr>
                <w:bCs/>
              </w:rPr>
            </w:pPr>
            <w:r w:rsidRPr="00064185">
              <w:rPr>
                <w:bCs/>
              </w:rPr>
              <w:t>Fraction emitted to treated surfaces during application</w:t>
            </w:r>
          </w:p>
        </w:tc>
        <w:tc>
          <w:tcPr>
            <w:tcW w:w="0" w:type="auto"/>
            <w:vAlign w:val="center"/>
          </w:tcPr>
          <w:p w14:paraId="78AC7CDF" w14:textId="77777777" w:rsidR="009D2C53" w:rsidRPr="00064185" w:rsidRDefault="009D2C53" w:rsidP="00EA61D8">
            <w:pPr>
              <w:spacing w:before="60" w:afterLines="60" w:after="144"/>
              <w:contextualSpacing/>
              <w:rPr>
                <w:bCs/>
              </w:rPr>
            </w:pPr>
            <w:r w:rsidRPr="00064185">
              <w:rPr>
                <w:bCs/>
              </w:rPr>
              <w:t>[-]</w:t>
            </w:r>
          </w:p>
        </w:tc>
        <w:tc>
          <w:tcPr>
            <w:tcW w:w="0" w:type="auto"/>
            <w:vAlign w:val="center"/>
            <w:hideMark/>
          </w:tcPr>
          <w:p w14:paraId="0C3F6B3B" w14:textId="77777777" w:rsidR="009D2C53" w:rsidRPr="00064185" w:rsidRDefault="009D2C53" w:rsidP="00EA61D8">
            <w:pPr>
              <w:spacing w:before="60" w:afterLines="60" w:after="144"/>
              <w:contextualSpacing/>
              <w:rPr>
                <w:bCs/>
              </w:rPr>
            </w:pPr>
            <w:r w:rsidRPr="00064185">
              <w:rPr>
                <w:bCs/>
              </w:rPr>
              <w:t>F</w:t>
            </w:r>
            <w:r w:rsidRPr="00064185">
              <w:rPr>
                <w:bCs/>
                <w:vertAlign w:val="subscript"/>
              </w:rPr>
              <w:t>application, treated</w:t>
            </w:r>
          </w:p>
        </w:tc>
        <w:tc>
          <w:tcPr>
            <w:tcW w:w="0" w:type="auto"/>
            <w:gridSpan w:val="2"/>
            <w:shd w:val="clear" w:color="auto" w:fill="auto"/>
            <w:vAlign w:val="center"/>
            <w:hideMark/>
          </w:tcPr>
          <w:p w14:paraId="78015F6B" w14:textId="77777777" w:rsidR="009D2C53" w:rsidRPr="00064185" w:rsidRDefault="009D2C53" w:rsidP="00EA61D8">
            <w:pPr>
              <w:tabs>
                <w:tab w:val="right" w:pos="1295"/>
              </w:tabs>
              <w:spacing w:before="60" w:afterLines="60" w:after="144"/>
              <w:contextualSpacing/>
            </w:pPr>
            <w:r w:rsidRPr="00064185">
              <w:t>0.85</w:t>
            </w:r>
          </w:p>
        </w:tc>
      </w:tr>
      <w:tr w:rsidR="00064185" w:rsidRPr="00064185" w14:paraId="79F9491C" w14:textId="77777777" w:rsidTr="009D2C53">
        <w:trPr>
          <w:cantSplit/>
          <w:trHeight w:val="567"/>
        </w:trPr>
        <w:tc>
          <w:tcPr>
            <w:tcW w:w="0" w:type="auto"/>
            <w:vAlign w:val="center"/>
          </w:tcPr>
          <w:p w14:paraId="5D76D145" w14:textId="77777777" w:rsidR="009D2C53" w:rsidRPr="00064185" w:rsidRDefault="009D2C53" w:rsidP="00EA61D8">
            <w:pPr>
              <w:spacing w:before="60" w:afterLines="60" w:after="144"/>
              <w:contextualSpacing/>
              <w:rPr>
                <w:bCs/>
              </w:rPr>
            </w:pPr>
            <w:r w:rsidRPr="00064185">
              <w:rPr>
                <w:bCs/>
              </w:rPr>
              <w:t>Fraction emitted to wastewater from treated surfaces after the application (incl. floor)</w:t>
            </w:r>
          </w:p>
        </w:tc>
        <w:tc>
          <w:tcPr>
            <w:tcW w:w="0" w:type="auto"/>
            <w:vAlign w:val="center"/>
          </w:tcPr>
          <w:p w14:paraId="32473882" w14:textId="77777777" w:rsidR="009D2C53" w:rsidRPr="00064185" w:rsidRDefault="009D2C53" w:rsidP="00EA61D8">
            <w:pPr>
              <w:spacing w:before="60" w:afterLines="60" w:after="144"/>
              <w:contextualSpacing/>
              <w:rPr>
                <w:bCs/>
              </w:rPr>
            </w:pPr>
            <w:r w:rsidRPr="00064185">
              <w:rPr>
                <w:bCs/>
              </w:rPr>
              <w:t>[-]</w:t>
            </w:r>
          </w:p>
        </w:tc>
        <w:tc>
          <w:tcPr>
            <w:tcW w:w="0" w:type="auto"/>
            <w:vAlign w:val="center"/>
          </w:tcPr>
          <w:p w14:paraId="714F910A" w14:textId="77777777" w:rsidR="009D2C53" w:rsidRPr="00064185" w:rsidRDefault="009D2C53" w:rsidP="00EA61D8">
            <w:pPr>
              <w:spacing w:before="60" w:afterLines="60" w:after="144"/>
              <w:contextualSpacing/>
              <w:rPr>
                <w:bCs/>
              </w:rPr>
            </w:pPr>
            <w:r w:rsidRPr="00064185">
              <w:rPr>
                <w:bCs/>
              </w:rPr>
              <w:t>F</w:t>
            </w:r>
            <w:r w:rsidRPr="00064185">
              <w:rPr>
                <w:bCs/>
                <w:vertAlign w:val="subscript"/>
              </w:rPr>
              <w:t>ww</w:t>
            </w:r>
          </w:p>
        </w:tc>
        <w:tc>
          <w:tcPr>
            <w:tcW w:w="0" w:type="auto"/>
            <w:gridSpan w:val="2"/>
            <w:vAlign w:val="center"/>
          </w:tcPr>
          <w:p w14:paraId="147C2738" w14:textId="77777777" w:rsidR="009D2C53" w:rsidRPr="00064185" w:rsidRDefault="009D2C53" w:rsidP="00EA61D8">
            <w:pPr>
              <w:tabs>
                <w:tab w:val="right" w:pos="1295"/>
              </w:tabs>
              <w:spacing w:before="60" w:afterLines="60" w:after="144"/>
              <w:contextualSpacing/>
            </w:pPr>
            <w:r w:rsidRPr="00064185">
              <w:t>1</w:t>
            </w:r>
          </w:p>
        </w:tc>
      </w:tr>
      <w:tr w:rsidR="00064185" w:rsidRPr="00064185" w14:paraId="495A0801" w14:textId="77777777" w:rsidTr="009D2C53">
        <w:trPr>
          <w:cantSplit/>
          <w:trHeight w:val="567"/>
        </w:trPr>
        <w:tc>
          <w:tcPr>
            <w:tcW w:w="0" w:type="auto"/>
            <w:vAlign w:val="center"/>
          </w:tcPr>
          <w:p w14:paraId="6B76B918" w14:textId="77777777" w:rsidR="009D2C53" w:rsidRPr="00064185" w:rsidRDefault="009D2C53" w:rsidP="00EA61D8">
            <w:pPr>
              <w:spacing w:before="60" w:afterLines="60" w:after="144"/>
              <w:contextualSpacing/>
              <w:rPr>
                <w:bCs/>
              </w:rPr>
            </w:pPr>
            <w:r w:rsidRPr="00064185">
              <w:rPr>
                <w:bCs/>
              </w:rPr>
              <w:t>Cleaning efficiency</w:t>
            </w:r>
          </w:p>
        </w:tc>
        <w:tc>
          <w:tcPr>
            <w:tcW w:w="0" w:type="auto"/>
            <w:vAlign w:val="center"/>
          </w:tcPr>
          <w:p w14:paraId="44A7CCB9" w14:textId="77777777" w:rsidR="009D2C53" w:rsidRPr="00064185" w:rsidRDefault="009D2C53" w:rsidP="00EA61D8">
            <w:pPr>
              <w:spacing w:before="60" w:afterLines="60" w:after="144"/>
              <w:contextualSpacing/>
              <w:rPr>
                <w:bCs/>
              </w:rPr>
            </w:pPr>
            <w:r w:rsidRPr="00064185">
              <w:rPr>
                <w:bCs/>
              </w:rPr>
              <w:t>[-]</w:t>
            </w:r>
          </w:p>
        </w:tc>
        <w:tc>
          <w:tcPr>
            <w:tcW w:w="0" w:type="auto"/>
            <w:vAlign w:val="center"/>
          </w:tcPr>
          <w:p w14:paraId="7465AA8C" w14:textId="77777777" w:rsidR="009D2C53" w:rsidRPr="00064185" w:rsidRDefault="009D2C53" w:rsidP="00EA61D8">
            <w:pPr>
              <w:spacing w:before="60" w:afterLines="60" w:after="144"/>
              <w:contextualSpacing/>
              <w:rPr>
                <w:bCs/>
              </w:rPr>
            </w:pPr>
            <w:r w:rsidRPr="00064185">
              <w:rPr>
                <w:bCs/>
              </w:rPr>
              <w:t>F</w:t>
            </w:r>
            <w:r w:rsidRPr="00064185">
              <w:rPr>
                <w:bCs/>
                <w:vertAlign w:val="subscript"/>
              </w:rPr>
              <w:t>CE</w:t>
            </w:r>
          </w:p>
        </w:tc>
        <w:tc>
          <w:tcPr>
            <w:tcW w:w="0" w:type="auto"/>
            <w:gridSpan w:val="2"/>
            <w:vAlign w:val="center"/>
          </w:tcPr>
          <w:p w14:paraId="7B4CB8CA" w14:textId="77777777" w:rsidR="009D2C53" w:rsidRPr="00064185" w:rsidRDefault="009D2C53" w:rsidP="00EA61D8">
            <w:pPr>
              <w:tabs>
                <w:tab w:val="right" w:pos="1295"/>
              </w:tabs>
              <w:spacing w:before="60" w:afterLines="60" w:after="144"/>
              <w:contextualSpacing/>
            </w:pPr>
            <w:r w:rsidRPr="00064185">
              <w:t>0.5</w:t>
            </w:r>
          </w:p>
        </w:tc>
      </w:tr>
      <w:tr w:rsidR="00064185" w:rsidRPr="00064185" w14:paraId="390D1330" w14:textId="77777777" w:rsidTr="009D2C53">
        <w:trPr>
          <w:cantSplit/>
          <w:trHeight w:val="567"/>
        </w:trPr>
        <w:tc>
          <w:tcPr>
            <w:tcW w:w="0" w:type="auto"/>
            <w:vAlign w:val="center"/>
          </w:tcPr>
          <w:p w14:paraId="1DF1FA7D" w14:textId="77777777" w:rsidR="009D2C53" w:rsidRPr="00064185" w:rsidRDefault="009D2C53" w:rsidP="00EA61D8">
            <w:pPr>
              <w:spacing w:before="60" w:afterLines="60" w:after="144"/>
              <w:contextualSpacing/>
              <w:rPr>
                <w:bCs/>
              </w:rPr>
            </w:pPr>
            <w:r w:rsidRPr="00064185">
              <w:rPr>
                <w:bCs/>
              </w:rPr>
              <w:t>Number of buildings connected to STP</w:t>
            </w:r>
          </w:p>
        </w:tc>
        <w:tc>
          <w:tcPr>
            <w:tcW w:w="0" w:type="auto"/>
            <w:vAlign w:val="center"/>
          </w:tcPr>
          <w:p w14:paraId="67234501" w14:textId="77777777" w:rsidR="009D2C53" w:rsidRPr="00064185" w:rsidRDefault="009D2C53" w:rsidP="00EA61D8">
            <w:pPr>
              <w:spacing w:before="60" w:afterLines="60" w:after="144"/>
              <w:contextualSpacing/>
              <w:rPr>
                <w:bCs/>
              </w:rPr>
            </w:pPr>
            <w:r w:rsidRPr="00064185">
              <w:rPr>
                <w:bCs/>
              </w:rPr>
              <w:t>[-]</w:t>
            </w:r>
          </w:p>
        </w:tc>
        <w:tc>
          <w:tcPr>
            <w:tcW w:w="0" w:type="auto"/>
            <w:vAlign w:val="center"/>
          </w:tcPr>
          <w:p w14:paraId="4F1B2F06" w14:textId="77777777" w:rsidR="009D2C53" w:rsidRPr="00064185" w:rsidRDefault="009D2C53" w:rsidP="00EA61D8">
            <w:pPr>
              <w:spacing w:before="60" w:afterLines="60" w:after="144"/>
              <w:contextualSpacing/>
              <w:rPr>
                <w:bCs/>
              </w:rPr>
            </w:pPr>
            <w:r w:rsidRPr="00064185">
              <w:rPr>
                <w:bCs/>
              </w:rPr>
              <w:t>N</w:t>
            </w:r>
            <w:r w:rsidRPr="00064185">
              <w:rPr>
                <w:bCs/>
                <w:vertAlign w:val="subscript"/>
              </w:rPr>
              <w:t>buildings</w:t>
            </w:r>
          </w:p>
        </w:tc>
        <w:tc>
          <w:tcPr>
            <w:tcW w:w="0" w:type="auto"/>
            <w:gridSpan w:val="2"/>
            <w:vAlign w:val="center"/>
          </w:tcPr>
          <w:p w14:paraId="60E7D617" w14:textId="77777777" w:rsidR="009D2C53" w:rsidRPr="00064185" w:rsidRDefault="009D2C53" w:rsidP="00EA61D8">
            <w:pPr>
              <w:tabs>
                <w:tab w:val="right" w:pos="1295"/>
              </w:tabs>
              <w:spacing w:before="60" w:afterLines="60" w:after="144"/>
              <w:contextualSpacing/>
            </w:pPr>
            <w:r w:rsidRPr="00064185">
              <w:rPr>
                <w:bCs/>
              </w:rPr>
              <w:t>4000</w:t>
            </w:r>
          </w:p>
        </w:tc>
      </w:tr>
      <w:tr w:rsidR="009D2C53" w:rsidRPr="00064185" w14:paraId="46C6EA2C" w14:textId="77777777" w:rsidTr="009D2C53">
        <w:trPr>
          <w:cantSplit/>
          <w:trHeight w:val="567"/>
        </w:trPr>
        <w:tc>
          <w:tcPr>
            <w:tcW w:w="0" w:type="auto"/>
            <w:vAlign w:val="center"/>
            <w:hideMark/>
          </w:tcPr>
          <w:p w14:paraId="45A5E251" w14:textId="77777777" w:rsidR="009D2C53" w:rsidRPr="00064185" w:rsidRDefault="009D2C53" w:rsidP="00EA61D8">
            <w:pPr>
              <w:spacing w:before="60" w:afterLines="60" w:after="144"/>
              <w:contextualSpacing/>
              <w:rPr>
                <w:bCs/>
              </w:rPr>
            </w:pPr>
            <w:r w:rsidRPr="00064185">
              <w:rPr>
                <w:bCs/>
              </w:rPr>
              <w:t>Simultaneity factor</w:t>
            </w:r>
          </w:p>
        </w:tc>
        <w:tc>
          <w:tcPr>
            <w:tcW w:w="0" w:type="auto"/>
            <w:vAlign w:val="center"/>
            <w:hideMark/>
          </w:tcPr>
          <w:p w14:paraId="07E81B04" w14:textId="77777777" w:rsidR="009D2C53" w:rsidRPr="00064185" w:rsidRDefault="009D2C53" w:rsidP="00EA61D8">
            <w:pPr>
              <w:keepLines/>
              <w:spacing w:before="60" w:afterLines="60" w:after="144"/>
              <w:contextualSpacing/>
              <w:rPr>
                <w:bCs/>
              </w:rPr>
            </w:pPr>
            <w:r w:rsidRPr="00064185">
              <w:rPr>
                <w:bCs/>
              </w:rPr>
              <w:t>[%]</w:t>
            </w:r>
          </w:p>
        </w:tc>
        <w:tc>
          <w:tcPr>
            <w:tcW w:w="0" w:type="auto"/>
            <w:vAlign w:val="center"/>
          </w:tcPr>
          <w:p w14:paraId="6E6116E8" w14:textId="77777777" w:rsidR="009D2C53" w:rsidRPr="00064185" w:rsidRDefault="009D2C53" w:rsidP="00EA61D8">
            <w:pPr>
              <w:keepLines/>
              <w:spacing w:before="60" w:afterLines="60" w:after="144"/>
              <w:contextualSpacing/>
              <w:rPr>
                <w:bCs/>
              </w:rPr>
            </w:pPr>
            <w:r w:rsidRPr="00064185">
              <w:rPr>
                <w:bCs/>
              </w:rPr>
              <w:t>F</w:t>
            </w:r>
            <w:r w:rsidRPr="00064185">
              <w:rPr>
                <w:bCs/>
                <w:vertAlign w:val="subscript"/>
              </w:rPr>
              <w:t>simultaneity</w:t>
            </w:r>
          </w:p>
        </w:tc>
        <w:tc>
          <w:tcPr>
            <w:tcW w:w="0" w:type="auto"/>
            <w:vAlign w:val="center"/>
            <w:hideMark/>
          </w:tcPr>
          <w:p w14:paraId="51D67A24" w14:textId="77777777" w:rsidR="009D2C53" w:rsidRPr="00064185" w:rsidRDefault="009D2C53" w:rsidP="00EA61D8">
            <w:pPr>
              <w:keepLines/>
              <w:tabs>
                <w:tab w:val="right" w:pos="1295"/>
              </w:tabs>
              <w:spacing w:before="60" w:afterLines="60" w:after="144"/>
              <w:contextualSpacing/>
            </w:pPr>
            <w:r w:rsidRPr="00064185">
              <w:t>2.75</w:t>
            </w:r>
          </w:p>
        </w:tc>
        <w:tc>
          <w:tcPr>
            <w:tcW w:w="0" w:type="auto"/>
            <w:vAlign w:val="center"/>
          </w:tcPr>
          <w:p w14:paraId="2C189989" w14:textId="77777777" w:rsidR="009D2C53" w:rsidRPr="00064185" w:rsidRDefault="009D2C53" w:rsidP="00EA61D8">
            <w:pPr>
              <w:keepLines/>
              <w:tabs>
                <w:tab w:val="right" w:pos="1295"/>
              </w:tabs>
              <w:spacing w:before="60" w:afterLines="60" w:after="144"/>
              <w:contextualSpacing/>
            </w:pPr>
            <w:r w:rsidRPr="00064185">
              <w:t>0.204</w:t>
            </w:r>
          </w:p>
        </w:tc>
      </w:tr>
    </w:tbl>
    <w:p w14:paraId="581265D0" w14:textId="77777777" w:rsidR="009D2C53" w:rsidRPr="00064185" w:rsidRDefault="009D2C53" w:rsidP="00EA61D8">
      <w:pPr>
        <w:spacing w:line="276" w:lineRule="auto"/>
      </w:pPr>
    </w:p>
    <w:p w14:paraId="54D8AF82" w14:textId="77777777" w:rsidR="009D2C53" w:rsidRPr="00064185" w:rsidRDefault="009D2C53" w:rsidP="00EA61D8">
      <w:pPr>
        <w:spacing w:line="276" w:lineRule="auto"/>
      </w:pPr>
    </w:p>
    <w:p w14:paraId="6B6EDE8E" w14:textId="26A764A4" w:rsidR="00C45AD7" w:rsidRPr="00064185" w:rsidRDefault="00C45AD7" w:rsidP="00EA61D8">
      <w:pPr>
        <w:spacing w:line="276" w:lineRule="auto"/>
      </w:pPr>
    </w:p>
    <w:p w14:paraId="5AFC932F" w14:textId="77777777" w:rsidR="00C45AD7" w:rsidRPr="00064185" w:rsidRDefault="00C45AD7" w:rsidP="00EA61D8">
      <w:pPr>
        <w:spacing w:line="276" w:lineRule="auto"/>
      </w:pPr>
    </w:p>
    <w:p w14:paraId="6C0CEE60" w14:textId="77777777" w:rsidR="00C45AD7" w:rsidRPr="00064185" w:rsidRDefault="00C45AD7" w:rsidP="00EA61D8">
      <w:pPr>
        <w:spacing w:line="276" w:lineRule="auto"/>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4"/>
        <w:gridCol w:w="847"/>
        <w:gridCol w:w="2554"/>
        <w:gridCol w:w="2696"/>
        <w:gridCol w:w="1203"/>
      </w:tblGrid>
      <w:tr w:rsidR="00064185" w:rsidRPr="00064185" w14:paraId="6B30C0CD" w14:textId="77777777" w:rsidTr="009D2C53">
        <w:trPr>
          <w:trHeight w:val="701"/>
        </w:trPr>
        <w:tc>
          <w:tcPr>
            <w:tcW w:w="5000" w:type="pct"/>
            <w:gridSpan w:val="5"/>
            <w:shd w:val="clear" w:color="auto" w:fill="FFFFCC"/>
            <w:vAlign w:val="center"/>
          </w:tcPr>
          <w:p w14:paraId="17D1EAFE" w14:textId="77777777" w:rsidR="009D2C53" w:rsidRPr="00064185" w:rsidRDefault="009D2C53" w:rsidP="00EA61D8">
            <w:pPr>
              <w:keepNext/>
              <w:spacing w:beforeLines="60" w:before="144" w:afterLines="60" w:after="144"/>
              <w:contextualSpacing/>
              <w:rPr>
                <w:b/>
              </w:rPr>
            </w:pPr>
            <w:r w:rsidRPr="00064185">
              <w:rPr>
                <w:b/>
              </w:rPr>
              <w:lastRenderedPageBreak/>
              <w:t xml:space="preserve">Resulting emission to relevant environmental compartments </w:t>
            </w:r>
            <w:r w:rsidRPr="00064185">
              <w:rPr>
                <w:b/>
                <w:bCs/>
              </w:rPr>
              <w:t>during spray application step</w:t>
            </w:r>
          </w:p>
        </w:tc>
      </w:tr>
      <w:tr w:rsidR="00064185" w:rsidRPr="00064185" w14:paraId="68DEC7ED" w14:textId="77777777" w:rsidTr="009D2C53">
        <w:trPr>
          <w:trHeight w:val="414"/>
        </w:trPr>
        <w:tc>
          <w:tcPr>
            <w:tcW w:w="1098" w:type="pct"/>
            <w:vMerge w:val="restart"/>
            <w:vAlign w:val="center"/>
          </w:tcPr>
          <w:p w14:paraId="486170F5" w14:textId="77777777" w:rsidR="009D2C53" w:rsidRPr="00064185" w:rsidRDefault="009D2C53" w:rsidP="00EA61D8">
            <w:pPr>
              <w:keepNext/>
              <w:spacing w:beforeLines="60" w:before="144" w:afterLines="60" w:after="144"/>
              <w:contextualSpacing/>
              <w:rPr>
                <w:b/>
                <w:bCs/>
              </w:rPr>
            </w:pPr>
            <w:r w:rsidRPr="00064185">
              <w:rPr>
                <w:b/>
                <w:bCs/>
              </w:rPr>
              <w:t>Compartment</w:t>
            </w:r>
          </w:p>
        </w:tc>
        <w:tc>
          <w:tcPr>
            <w:tcW w:w="453" w:type="pct"/>
            <w:vMerge w:val="restart"/>
            <w:vAlign w:val="center"/>
          </w:tcPr>
          <w:p w14:paraId="5D3743D7" w14:textId="77777777" w:rsidR="009D2C53" w:rsidRPr="00064185" w:rsidRDefault="009D2C53" w:rsidP="00EA61D8">
            <w:pPr>
              <w:keepNext/>
              <w:spacing w:beforeLines="60" w:before="144" w:afterLines="60" w:after="144"/>
              <w:contextualSpacing/>
              <w:rPr>
                <w:b/>
                <w:bCs/>
              </w:rPr>
            </w:pPr>
            <w:r w:rsidRPr="00064185">
              <w:rPr>
                <w:b/>
                <w:bCs/>
              </w:rPr>
              <w:t>Unit</w:t>
            </w:r>
          </w:p>
        </w:tc>
        <w:tc>
          <w:tcPr>
            <w:tcW w:w="1365" w:type="pct"/>
            <w:vMerge w:val="restart"/>
            <w:vAlign w:val="center"/>
          </w:tcPr>
          <w:p w14:paraId="2C326AF8" w14:textId="77777777" w:rsidR="009D2C53" w:rsidRPr="00064185" w:rsidRDefault="009D2C53" w:rsidP="00EA61D8">
            <w:pPr>
              <w:keepNext/>
              <w:spacing w:beforeLines="60" w:before="144" w:afterLines="60" w:after="144"/>
              <w:contextualSpacing/>
              <w:rPr>
                <w:b/>
                <w:bCs/>
              </w:rPr>
            </w:pPr>
            <w:r w:rsidRPr="00064185">
              <w:rPr>
                <w:b/>
                <w:bCs/>
              </w:rPr>
              <w:t>Definition</w:t>
            </w:r>
          </w:p>
        </w:tc>
        <w:tc>
          <w:tcPr>
            <w:tcW w:w="2084" w:type="pct"/>
            <w:gridSpan w:val="2"/>
            <w:vAlign w:val="center"/>
          </w:tcPr>
          <w:p w14:paraId="253E7A19" w14:textId="77777777" w:rsidR="009D2C53" w:rsidRPr="00064185" w:rsidRDefault="009D2C53" w:rsidP="00EA61D8">
            <w:pPr>
              <w:keepNext/>
              <w:tabs>
                <w:tab w:val="right" w:pos="1370"/>
              </w:tabs>
              <w:spacing w:beforeLines="60" w:before="144" w:afterLines="60" w:after="144"/>
              <w:contextualSpacing/>
              <w:rPr>
                <w:b/>
              </w:rPr>
            </w:pPr>
            <w:r w:rsidRPr="00064185">
              <w:rPr>
                <w:b/>
                <w:bCs/>
              </w:rPr>
              <w:t>Indoor use (houses)</w:t>
            </w:r>
          </w:p>
        </w:tc>
      </w:tr>
      <w:tr w:rsidR="00064185" w:rsidRPr="00064185" w14:paraId="166C23E2" w14:textId="77777777" w:rsidTr="008335EB">
        <w:trPr>
          <w:trHeight w:val="689"/>
        </w:trPr>
        <w:tc>
          <w:tcPr>
            <w:tcW w:w="1098" w:type="pct"/>
            <w:vMerge/>
            <w:vAlign w:val="center"/>
          </w:tcPr>
          <w:p w14:paraId="45A8CDCD" w14:textId="77777777" w:rsidR="009D2C53" w:rsidRPr="00064185" w:rsidRDefault="009D2C53" w:rsidP="00EA61D8">
            <w:pPr>
              <w:keepNext/>
              <w:spacing w:beforeLines="60" w:before="144" w:afterLines="60" w:after="144"/>
              <w:contextualSpacing/>
              <w:rPr>
                <w:b/>
                <w:bCs/>
              </w:rPr>
            </w:pPr>
          </w:p>
        </w:tc>
        <w:tc>
          <w:tcPr>
            <w:tcW w:w="453" w:type="pct"/>
            <w:vMerge/>
            <w:vAlign w:val="center"/>
          </w:tcPr>
          <w:p w14:paraId="77EC113A" w14:textId="77777777" w:rsidR="009D2C53" w:rsidRPr="00064185" w:rsidRDefault="009D2C53" w:rsidP="00EA61D8">
            <w:pPr>
              <w:keepNext/>
              <w:spacing w:beforeLines="60" w:before="144" w:afterLines="60" w:after="144"/>
              <w:contextualSpacing/>
              <w:rPr>
                <w:b/>
                <w:bCs/>
              </w:rPr>
            </w:pPr>
          </w:p>
        </w:tc>
        <w:tc>
          <w:tcPr>
            <w:tcW w:w="1365" w:type="pct"/>
            <w:vMerge/>
            <w:vAlign w:val="center"/>
          </w:tcPr>
          <w:p w14:paraId="365DE385" w14:textId="77777777" w:rsidR="009D2C53" w:rsidRPr="00064185" w:rsidRDefault="009D2C53" w:rsidP="00EA61D8">
            <w:pPr>
              <w:keepNext/>
              <w:spacing w:beforeLines="60" w:before="144" w:afterLines="60" w:after="144"/>
              <w:contextualSpacing/>
              <w:rPr>
                <w:b/>
                <w:bCs/>
              </w:rPr>
            </w:pPr>
          </w:p>
        </w:tc>
        <w:tc>
          <w:tcPr>
            <w:tcW w:w="1441" w:type="pct"/>
            <w:vAlign w:val="center"/>
          </w:tcPr>
          <w:p w14:paraId="2E1F940E" w14:textId="77777777" w:rsidR="009D2C53" w:rsidRPr="00064185" w:rsidRDefault="009D2C53" w:rsidP="00EA61D8">
            <w:pPr>
              <w:keepNext/>
              <w:tabs>
                <w:tab w:val="right" w:pos="1370"/>
              </w:tabs>
              <w:spacing w:beforeLines="60" w:before="144" w:afterLines="60" w:after="144"/>
              <w:contextualSpacing/>
              <w:rPr>
                <w:b/>
              </w:rPr>
            </w:pPr>
            <w:r w:rsidRPr="00064185">
              <w:rPr>
                <w:b/>
                <w:bCs/>
              </w:rPr>
              <w:t>Silverfish &amp; Cockroaches</w:t>
            </w:r>
          </w:p>
        </w:tc>
        <w:tc>
          <w:tcPr>
            <w:tcW w:w="643" w:type="pct"/>
            <w:vAlign w:val="center"/>
          </w:tcPr>
          <w:p w14:paraId="0C7F9B0E" w14:textId="77777777" w:rsidR="009D2C53" w:rsidRPr="00064185" w:rsidRDefault="009D2C53" w:rsidP="00EA61D8">
            <w:pPr>
              <w:keepNext/>
              <w:tabs>
                <w:tab w:val="right" w:pos="1370"/>
              </w:tabs>
              <w:spacing w:beforeLines="60" w:before="144" w:afterLines="60" w:after="144"/>
              <w:contextualSpacing/>
              <w:rPr>
                <w:b/>
              </w:rPr>
            </w:pPr>
            <w:r w:rsidRPr="00064185">
              <w:rPr>
                <w:b/>
                <w:bCs/>
              </w:rPr>
              <w:t>Wood lice</w:t>
            </w:r>
          </w:p>
        </w:tc>
      </w:tr>
      <w:tr w:rsidR="00064185" w:rsidRPr="00064185" w14:paraId="74682AE2" w14:textId="77777777" w:rsidTr="008335EB">
        <w:trPr>
          <w:trHeight w:val="1141"/>
        </w:trPr>
        <w:tc>
          <w:tcPr>
            <w:tcW w:w="1098" w:type="pct"/>
            <w:vAlign w:val="center"/>
            <w:hideMark/>
          </w:tcPr>
          <w:p w14:paraId="4DA946A1" w14:textId="77777777" w:rsidR="008335EB" w:rsidRPr="00064185" w:rsidRDefault="008335EB" w:rsidP="00EA61D8">
            <w:pPr>
              <w:keepNext/>
              <w:spacing w:beforeLines="60" w:before="144" w:afterLines="60" w:after="144"/>
              <w:contextualSpacing/>
              <w:rPr>
                <w:bCs/>
              </w:rPr>
            </w:pPr>
            <w:r w:rsidRPr="00064185">
              <w:rPr>
                <w:bCs/>
              </w:rPr>
              <w:t>Emission to applicator</w:t>
            </w:r>
          </w:p>
        </w:tc>
        <w:tc>
          <w:tcPr>
            <w:tcW w:w="453" w:type="pct"/>
            <w:vAlign w:val="center"/>
          </w:tcPr>
          <w:p w14:paraId="72076ACC" w14:textId="77777777" w:rsidR="008335EB" w:rsidRPr="00064185" w:rsidRDefault="008335EB" w:rsidP="00EA61D8">
            <w:pPr>
              <w:keepNext/>
              <w:spacing w:beforeLines="60" w:before="144" w:afterLines="60" w:after="144"/>
              <w:contextualSpacing/>
              <w:rPr>
                <w:bCs/>
              </w:rPr>
            </w:pPr>
            <w:r w:rsidRPr="00064185">
              <w:rPr>
                <w:bCs/>
              </w:rPr>
              <w:t>[g/d]</w:t>
            </w:r>
          </w:p>
        </w:tc>
        <w:tc>
          <w:tcPr>
            <w:tcW w:w="1365" w:type="pct"/>
            <w:vAlign w:val="center"/>
            <w:hideMark/>
          </w:tcPr>
          <w:p w14:paraId="21990BEC" w14:textId="77777777" w:rsidR="008335EB" w:rsidRPr="00064185" w:rsidRDefault="008335EB" w:rsidP="00EA61D8">
            <w:pPr>
              <w:keepNext/>
              <w:spacing w:beforeLines="60" w:before="144" w:afterLines="60" w:after="144"/>
              <w:contextualSpacing/>
              <w:rPr>
                <w:bCs/>
              </w:rPr>
            </w:pPr>
            <w:r w:rsidRPr="00064185">
              <w:rPr>
                <w:bCs/>
              </w:rPr>
              <w:t>E</w:t>
            </w:r>
            <w:r w:rsidRPr="00064185">
              <w:rPr>
                <w:bCs/>
                <w:vertAlign w:val="subscript"/>
              </w:rPr>
              <w:t>application, applicator</w:t>
            </w:r>
            <w:r w:rsidRPr="00064185">
              <w:rPr>
                <w:bCs/>
              </w:rPr>
              <w:t xml:space="preserve"> = N</w:t>
            </w:r>
            <w:r w:rsidRPr="00064185">
              <w:rPr>
                <w:bCs/>
                <w:vertAlign w:val="subscript"/>
              </w:rPr>
              <w:t xml:space="preserve">appl, building </w:t>
            </w:r>
            <w:r w:rsidRPr="00064185">
              <w:rPr>
                <w:bCs/>
              </w:rPr>
              <w:t>x F</w:t>
            </w:r>
            <w:r w:rsidRPr="00064185">
              <w:rPr>
                <w:bCs/>
                <w:vertAlign w:val="subscript"/>
              </w:rPr>
              <w:t>application, applicator</w:t>
            </w:r>
            <w:r w:rsidRPr="00064185">
              <w:rPr>
                <w:bCs/>
              </w:rPr>
              <w:t>x Q</w:t>
            </w:r>
            <w:r w:rsidRPr="00064185">
              <w:rPr>
                <w:bCs/>
                <w:vertAlign w:val="subscript"/>
              </w:rPr>
              <w:t>prod</w:t>
            </w:r>
            <w:r w:rsidRPr="00064185">
              <w:rPr>
                <w:bCs/>
              </w:rPr>
              <w:t xml:space="preserve"> x  F</w:t>
            </w:r>
            <w:r w:rsidRPr="00064185">
              <w:rPr>
                <w:bCs/>
                <w:vertAlign w:val="subscript"/>
              </w:rPr>
              <w:t>AI</w:t>
            </w:r>
            <w:r w:rsidRPr="00064185">
              <w:rPr>
                <w:bCs/>
              </w:rPr>
              <w:t xml:space="preserve"> x AREA</w:t>
            </w:r>
            <w:r w:rsidRPr="00064185">
              <w:rPr>
                <w:bCs/>
                <w:vertAlign w:val="subscript"/>
              </w:rPr>
              <w:t>treated</w:t>
            </w:r>
          </w:p>
        </w:tc>
        <w:tc>
          <w:tcPr>
            <w:tcW w:w="1441" w:type="pct"/>
            <w:vAlign w:val="center"/>
          </w:tcPr>
          <w:p w14:paraId="38DA4375" w14:textId="339C8D1E" w:rsidR="008335EB" w:rsidRPr="00064185" w:rsidRDefault="008335EB" w:rsidP="00EA61D8">
            <w:pPr>
              <w:keepNext/>
              <w:tabs>
                <w:tab w:val="right" w:pos="1370"/>
              </w:tabs>
              <w:spacing w:beforeLines="60" w:before="144" w:afterLines="60" w:after="144"/>
              <w:contextualSpacing/>
            </w:pPr>
            <w:r w:rsidRPr="00064185">
              <w:t>7.38E-04</w:t>
            </w:r>
          </w:p>
        </w:tc>
        <w:tc>
          <w:tcPr>
            <w:tcW w:w="643" w:type="pct"/>
            <w:vAlign w:val="center"/>
          </w:tcPr>
          <w:p w14:paraId="10DC7459" w14:textId="745A3A9E" w:rsidR="008335EB" w:rsidRPr="00064185" w:rsidRDefault="008335EB" w:rsidP="00EA61D8">
            <w:pPr>
              <w:keepNext/>
              <w:tabs>
                <w:tab w:val="right" w:pos="1370"/>
              </w:tabs>
              <w:spacing w:beforeLines="60" w:before="144" w:afterLines="60" w:after="144"/>
              <w:contextualSpacing/>
            </w:pPr>
            <w:r w:rsidRPr="00064185">
              <w:t>1.02E-03</w:t>
            </w:r>
          </w:p>
        </w:tc>
      </w:tr>
      <w:tr w:rsidR="00064185" w:rsidRPr="00064185" w14:paraId="6268252E" w14:textId="77777777" w:rsidTr="008335EB">
        <w:trPr>
          <w:trHeight w:val="846"/>
        </w:trPr>
        <w:tc>
          <w:tcPr>
            <w:tcW w:w="1098" w:type="pct"/>
            <w:vAlign w:val="center"/>
          </w:tcPr>
          <w:p w14:paraId="5B4214EA" w14:textId="77777777" w:rsidR="008335EB" w:rsidRPr="00064185" w:rsidRDefault="008335EB" w:rsidP="00EA61D8">
            <w:pPr>
              <w:keepNext/>
              <w:spacing w:beforeLines="60" w:before="144" w:afterLines="60" w:after="144"/>
              <w:contextualSpacing/>
              <w:rPr>
                <w:bCs/>
              </w:rPr>
            </w:pPr>
            <w:r w:rsidRPr="00064185">
              <w:rPr>
                <w:bCs/>
              </w:rPr>
              <w:t>Emission to floor</w:t>
            </w:r>
          </w:p>
        </w:tc>
        <w:tc>
          <w:tcPr>
            <w:tcW w:w="453" w:type="pct"/>
            <w:vAlign w:val="center"/>
          </w:tcPr>
          <w:p w14:paraId="112935BE" w14:textId="77777777" w:rsidR="008335EB" w:rsidRPr="00064185" w:rsidRDefault="008335EB" w:rsidP="00EA61D8">
            <w:pPr>
              <w:keepNext/>
              <w:spacing w:beforeLines="60" w:before="144" w:afterLines="60" w:after="144"/>
              <w:contextualSpacing/>
              <w:rPr>
                <w:bCs/>
              </w:rPr>
            </w:pPr>
            <w:r w:rsidRPr="00064185">
              <w:rPr>
                <w:bCs/>
              </w:rPr>
              <w:t>[g/d]</w:t>
            </w:r>
          </w:p>
        </w:tc>
        <w:tc>
          <w:tcPr>
            <w:tcW w:w="1365" w:type="pct"/>
            <w:vAlign w:val="center"/>
          </w:tcPr>
          <w:p w14:paraId="74FF809A" w14:textId="77777777" w:rsidR="008335EB" w:rsidRPr="00064185" w:rsidRDefault="008335EB" w:rsidP="00EA61D8">
            <w:pPr>
              <w:keepNext/>
              <w:spacing w:beforeLines="60" w:before="144" w:afterLines="60" w:after="144"/>
              <w:contextualSpacing/>
              <w:rPr>
                <w:bCs/>
              </w:rPr>
            </w:pPr>
            <w:r w:rsidRPr="00064185">
              <w:rPr>
                <w:bCs/>
              </w:rPr>
              <w:t>E</w:t>
            </w:r>
            <w:r w:rsidRPr="00064185">
              <w:rPr>
                <w:bCs/>
                <w:vertAlign w:val="subscript"/>
              </w:rPr>
              <w:t>application, floor</w:t>
            </w:r>
            <w:r w:rsidRPr="00064185">
              <w:rPr>
                <w:bCs/>
              </w:rPr>
              <w:t xml:space="preserve"> = N</w:t>
            </w:r>
            <w:r w:rsidRPr="00064185">
              <w:rPr>
                <w:bCs/>
                <w:vertAlign w:val="subscript"/>
              </w:rPr>
              <w:t xml:space="preserve">appl, building </w:t>
            </w:r>
            <w:r w:rsidRPr="00064185">
              <w:rPr>
                <w:bCs/>
              </w:rPr>
              <w:t>x F</w:t>
            </w:r>
            <w:r w:rsidRPr="00064185">
              <w:rPr>
                <w:bCs/>
                <w:vertAlign w:val="subscript"/>
              </w:rPr>
              <w:t>application, floor</w:t>
            </w:r>
            <w:r w:rsidRPr="00064185">
              <w:rPr>
                <w:bCs/>
              </w:rPr>
              <w:t>x Q</w:t>
            </w:r>
            <w:r w:rsidRPr="00064185">
              <w:rPr>
                <w:bCs/>
                <w:vertAlign w:val="subscript"/>
              </w:rPr>
              <w:t>prod</w:t>
            </w:r>
            <w:r w:rsidRPr="00064185">
              <w:rPr>
                <w:bCs/>
              </w:rPr>
              <w:t xml:space="preserve"> x  F</w:t>
            </w:r>
            <w:r w:rsidRPr="00064185">
              <w:rPr>
                <w:bCs/>
                <w:vertAlign w:val="subscript"/>
              </w:rPr>
              <w:t>AI</w:t>
            </w:r>
            <w:r w:rsidRPr="00064185">
              <w:rPr>
                <w:bCs/>
              </w:rPr>
              <w:t xml:space="preserve"> x AREA</w:t>
            </w:r>
            <w:r w:rsidRPr="00064185">
              <w:rPr>
                <w:bCs/>
                <w:vertAlign w:val="subscript"/>
              </w:rPr>
              <w:t>treated</w:t>
            </w:r>
          </w:p>
        </w:tc>
        <w:tc>
          <w:tcPr>
            <w:tcW w:w="1441" w:type="pct"/>
            <w:vAlign w:val="center"/>
          </w:tcPr>
          <w:p w14:paraId="361AF576" w14:textId="1D80355F" w:rsidR="008335EB" w:rsidRPr="00064185" w:rsidRDefault="008335EB" w:rsidP="00EA61D8">
            <w:pPr>
              <w:keepNext/>
              <w:tabs>
                <w:tab w:val="right" w:pos="1370"/>
              </w:tabs>
              <w:spacing w:beforeLines="60" w:before="144" w:afterLines="60" w:after="144"/>
              <w:contextualSpacing/>
            </w:pPr>
            <w:r w:rsidRPr="00064185">
              <w:t>1.53E-02</w:t>
            </w:r>
          </w:p>
        </w:tc>
        <w:tc>
          <w:tcPr>
            <w:tcW w:w="643" w:type="pct"/>
            <w:vAlign w:val="center"/>
          </w:tcPr>
          <w:p w14:paraId="363D22AD" w14:textId="1D5D8A72" w:rsidR="008335EB" w:rsidRPr="00064185" w:rsidRDefault="008335EB" w:rsidP="00EA61D8">
            <w:pPr>
              <w:keepNext/>
              <w:tabs>
                <w:tab w:val="right" w:pos="1370"/>
              </w:tabs>
              <w:spacing w:beforeLines="60" w:before="144" w:afterLines="60" w:after="144"/>
              <w:contextualSpacing/>
            </w:pPr>
            <w:r w:rsidRPr="00064185">
              <w:t>2.11E-02</w:t>
            </w:r>
          </w:p>
        </w:tc>
      </w:tr>
      <w:tr w:rsidR="00064185" w:rsidRPr="00064185" w14:paraId="2E3DB33B" w14:textId="77777777" w:rsidTr="008335EB">
        <w:trPr>
          <w:trHeight w:val="830"/>
        </w:trPr>
        <w:tc>
          <w:tcPr>
            <w:tcW w:w="1098" w:type="pct"/>
            <w:vAlign w:val="center"/>
          </w:tcPr>
          <w:p w14:paraId="506749D9" w14:textId="77777777" w:rsidR="008335EB" w:rsidRPr="00064185" w:rsidRDefault="008335EB" w:rsidP="00EA61D8">
            <w:pPr>
              <w:keepNext/>
              <w:spacing w:beforeLines="60" w:before="144" w:afterLines="60" w:after="144"/>
              <w:contextualSpacing/>
              <w:rPr>
                <w:bCs/>
              </w:rPr>
            </w:pPr>
            <w:r w:rsidRPr="00064185">
              <w:rPr>
                <w:bCs/>
              </w:rPr>
              <w:t>Emission to treated surface</w:t>
            </w:r>
          </w:p>
        </w:tc>
        <w:tc>
          <w:tcPr>
            <w:tcW w:w="453" w:type="pct"/>
            <w:vAlign w:val="center"/>
          </w:tcPr>
          <w:p w14:paraId="2588F881" w14:textId="77777777" w:rsidR="008335EB" w:rsidRPr="00064185" w:rsidRDefault="008335EB" w:rsidP="00EA61D8">
            <w:pPr>
              <w:keepNext/>
              <w:spacing w:beforeLines="60" w:before="144" w:afterLines="60" w:after="144"/>
              <w:contextualSpacing/>
              <w:rPr>
                <w:bCs/>
              </w:rPr>
            </w:pPr>
            <w:r w:rsidRPr="00064185">
              <w:rPr>
                <w:bCs/>
              </w:rPr>
              <w:t>[g/d]</w:t>
            </w:r>
          </w:p>
        </w:tc>
        <w:tc>
          <w:tcPr>
            <w:tcW w:w="1365" w:type="pct"/>
            <w:vAlign w:val="center"/>
          </w:tcPr>
          <w:p w14:paraId="12B22B35" w14:textId="77777777" w:rsidR="008335EB" w:rsidRPr="00064185" w:rsidRDefault="008335EB" w:rsidP="00EA61D8">
            <w:pPr>
              <w:keepNext/>
              <w:spacing w:beforeLines="60" w:before="144" w:afterLines="60" w:after="144"/>
              <w:contextualSpacing/>
              <w:rPr>
                <w:bCs/>
              </w:rPr>
            </w:pPr>
            <w:r w:rsidRPr="00064185">
              <w:rPr>
                <w:bCs/>
              </w:rPr>
              <w:t>E</w:t>
            </w:r>
            <w:r w:rsidRPr="00064185">
              <w:rPr>
                <w:bCs/>
                <w:vertAlign w:val="subscript"/>
              </w:rPr>
              <w:t>application, treated</w:t>
            </w:r>
            <w:r w:rsidRPr="00064185">
              <w:rPr>
                <w:bCs/>
              </w:rPr>
              <w:t xml:space="preserve"> = N</w:t>
            </w:r>
            <w:r w:rsidRPr="00064185">
              <w:rPr>
                <w:bCs/>
                <w:vertAlign w:val="subscript"/>
              </w:rPr>
              <w:t xml:space="preserve">appl, building </w:t>
            </w:r>
            <w:r w:rsidRPr="00064185">
              <w:rPr>
                <w:bCs/>
              </w:rPr>
              <w:t>x F</w:t>
            </w:r>
            <w:r w:rsidRPr="00064185">
              <w:rPr>
                <w:bCs/>
                <w:vertAlign w:val="subscript"/>
              </w:rPr>
              <w:t xml:space="preserve">application, treated </w:t>
            </w:r>
            <w:r w:rsidRPr="00064185">
              <w:rPr>
                <w:bCs/>
              </w:rPr>
              <w:t>x Q</w:t>
            </w:r>
            <w:r w:rsidRPr="00064185">
              <w:rPr>
                <w:bCs/>
                <w:vertAlign w:val="subscript"/>
              </w:rPr>
              <w:t>prod</w:t>
            </w:r>
            <w:r w:rsidRPr="00064185">
              <w:rPr>
                <w:bCs/>
              </w:rPr>
              <w:t xml:space="preserve"> x  F</w:t>
            </w:r>
            <w:r w:rsidRPr="00064185">
              <w:rPr>
                <w:bCs/>
                <w:vertAlign w:val="subscript"/>
              </w:rPr>
              <w:t>AI</w:t>
            </w:r>
            <w:r w:rsidRPr="00064185">
              <w:rPr>
                <w:bCs/>
              </w:rPr>
              <w:t xml:space="preserve"> x AREA</w:t>
            </w:r>
            <w:r w:rsidRPr="00064185">
              <w:rPr>
                <w:bCs/>
                <w:vertAlign w:val="subscript"/>
              </w:rPr>
              <w:t>treated</w:t>
            </w:r>
          </w:p>
        </w:tc>
        <w:tc>
          <w:tcPr>
            <w:tcW w:w="1441" w:type="pct"/>
            <w:vAlign w:val="center"/>
          </w:tcPr>
          <w:p w14:paraId="7CC2525A" w14:textId="463C8206" w:rsidR="008335EB" w:rsidRPr="00064185" w:rsidRDefault="008335EB" w:rsidP="00EA61D8">
            <w:pPr>
              <w:keepNext/>
              <w:tabs>
                <w:tab w:val="right" w:pos="1370"/>
              </w:tabs>
              <w:spacing w:beforeLines="60" w:before="144" w:afterLines="60" w:after="144"/>
              <w:contextualSpacing/>
            </w:pPr>
            <w:r w:rsidRPr="00064185">
              <w:t>0.11</w:t>
            </w:r>
          </w:p>
        </w:tc>
        <w:tc>
          <w:tcPr>
            <w:tcW w:w="643" w:type="pct"/>
            <w:vAlign w:val="center"/>
          </w:tcPr>
          <w:p w14:paraId="76DA42B3" w14:textId="18C93285" w:rsidR="008335EB" w:rsidRPr="00064185" w:rsidRDefault="008335EB" w:rsidP="00EA61D8">
            <w:pPr>
              <w:keepNext/>
              <w:tabs>
                <w:tab w:val="right" w:pos="1370"/>
              </w:tabs>
              <w:spacing w:beforeLines="60" w:before="144" w:afterLines="60" w:after="144"/>
              <w:contextualSpacing/>
            </w:pPr>
            <w:r w:rsidRPr="00064185">
              <w:t>0.15</w:t>
            </w:r>
          </w:p>
        </w:tc>
      </w:tr>
      <w:tr w:rsidR="00064185" w:rsidRPr="00064185" w14:paraId="0997D3EF" w14:textId="77777777" w:rsidTr="008335EB">
        <w:trPr>
          <w:trHeight w:val="472"/>
        </w:trPr>
        <w:tc>
          <w:tcPr>
            <w:tcW w:w="1098" w:type="pct"/>
            <w:vAlign w:val="center"/>
          </w:tcPr>
          <w:p w14:paraId="1011AEFC" w14:textId="77777777" w:rsidR="008335EB" w:rsidRPr="00064185" w:rsidRDefault="008335EB" w:rsidP="00EA61D8">
            <w:pPr>
              <w:keepNext/>
              <w:spacing w:beforeLines="60" w:before="144" w:afterLines="60" w:after="144"/>
              <w:contextualSpacing/>
              <w:rPr>
                <w:bCs/>
              </w:rPr>
            </w:pPr>
            <w:r w:rsidRPr="00064185">
              <w:rPr>
                <w:bCs/>
              </w:rPr>
              <w:t>Emission from applicator to wastewater during cleaning</w:t>
            </w:r>
          </w:p>
        </w:tc>
        <w:tc>
          <w:tcPr>
            <w:tcW w:w="453" w:type="pct"/>
            <w:vAlign w:val="center"/>
          </w:tcPr>
          <w:p w14:paraId="1172B724" w14:textId="77777777" w:rsidR="008335EB" w:rsidRPr="00064185" w:rsidRDefault="008335EB" w:rsidP="00EA61D8">
            <w:pPr>
              <w:keepNext/>
              <w:spacing w:beforeLines="60" w:before="144" w:afterLines="60" w:after="144"/>
              <w:contextualSpacing/>
              <w:rPr>
                <w:bCs/>
              </w:rPr>
            </w:pPr>
            <w:r w:rsidRPr="00064185">
              <w:rPr>
                <w:bCs/>
              </w:rPr>
              <w:t>[g/d]</w:t>
            </w:r>
          </w:p>
        </w:tc>
        <w:tc>
          <w:tcPr>
            <w:tcW w:w="1365" w:type="pct"/>
            <w:vAlign w:val="center"/>
          </w:tcPr>
          <w:p w14:paraId="78E89F64" w14:textId="77777777" w:rsidR="008335EB" w:rsidRPr="00064185" w:rsidRDefault="008335EB" w:rsidP="00EA61D8">
            <w:pPr>
              <w:keepNext/>
              <w:spacing w:beforeLines="60" w:before="144" w:afterLines="60" w:after="144"/>
              <w:contextualSpacing/>
              <w:rPr>
                <w:bCs/>
              </w:rPr>
            </w:pPr>
            <w:r w:rsidRPr="00064185">
              <w:rPr>
                <w:bCs/>
              </w:rPr>
              <w:t>E</w:t>
            </w:r>
            <w:r w:rsidRPr="00064185">
              <w:rPr>
                <w:bCs/>
                <w:vertAlign w:val="subscript"/>
              </w:rPr>
              <w:t>applicator, ww</w:t>
            </w:r>
            <w:r w:rsidRPr="00064185">
              <w:rPr>
                <w:bCs/>
              </w:rPr>
              <w:t xml:space="preserve"> = E</w:t>
            </w:r>
            <w:r w:rsidRPr="00064185">
              <w:rPr>
                <w:bCs/>
                <w:vertAlign w:val="subscript"/>
              </w:rPr>
              <w:t>application, applicator</w:t>
            </w:r>
            <w:r w:rsidRPr="00064185">
              <w:rPr>
                <w:bCs/>
              </w:rPr>
              <w:t xml:space="preserve"> x F</w:t>
            </w:r>
            <w:r w:rsidRPr="00064185">
              <w:rPr>
                <w:bCs/>
                <w:vertAlign w:val="subscript"/>
              </w:rPr>
              <w:t>applicator, ww</w:t>
            </w:r>
          </w:p>
        </w:tc>
        <w:tc>
          <w:tcPr>
            <w:tcW w:w="1441" w:type="pct"/>
            <w:vAlign w:val="center"/>
          </w:tcPr>
          <w:p w14:paraId="178F9891" w14:textId="546E323F" w:rsidR="008335EB" w:rsidRPr="00064185" w:rsidRDefault="008335EB" w:rsidP="00EA61D8">
            <w:pPr>
              <w:keepNext/>
              <w:tabs>
                <w:tab w:val="right" w:pos="1370"/>
              </w:tabs>
              <w:spacing w:beforeLines="60" w:before="144" w:afterLines="60" w:after="144"/>
              <w:contextualSpacing/>
            </w:pPr>
            <w:r w:rsidRPr="00064185">
              <w:t>7.38E-04</w:t>
            </w:r>
          </w:p>
        </w:tc>
        <w:tc>
          <w:tcPr>
            <w:tcW w:w="643" w:type="pct"/>
            <w:vAlign w:val="center"/>
          </w:tcPr>
          <w:p w14:paraId="35228D69" w14:textId="7F51F04C" w:rsidR="008335EB" w:rsidRPr="00064185" w:rsidRDefault="008335EB" w:rsidP="00EA61D8">
            <w:pPr>
              <w:keepNext/>
              <w:tabs>
                <w:tab w:val="right" w:pos="1370"/>
              </w:tabs>
              <w:spacing w:beforeLines="60" w:before="144" w:afterLines="60" w:after="144"/>
              <w:contextualSpacing/>
            </w:pPr>
            <w:r w:rsidRPr="00064185">
              <w:t>1.02E-03</w:t>
            </w:r>
          </w:p>
        </w:tc>
      </w:tr>
      <w:tr w:rsidR="00064185" w:rsidRPr="00064185" w14:paraId="304E8101" w14:textId="77777777" w:rsidTr="008335EB">
        <w:trPr>
          <w:trHeight w:val="472"/>
        </w:trPr>
        <w:tc>
          <w:tcPr>
            <w:tcW w:w="1098" w:type="pct"/>
            <w:vAlign w:val="center"/>
          </w:tcPr>
          <w:p w14:paraId="20AA22AF" w14:textId="77777777" w:rsidR="008335EB" w:rsidRPr="00064185" w:rsidRDefault="008335EB" w:rsidP="00EA61D8">
            <w:pPr>
              <w:keepNext/>
              <w:spacing w:beforeLines="60" w:before="144" w:afterLines="60" w:after="144"/>
              <w:contextualSpacing/>
              <w:rPr>
                <w:bCs/>
              </w:rPr>
            </w:pPr>
            <w:r w:rsidRPr="00064185">
              <w:rPr>
                <w:bCs/>
              </w:rPr>
              <w:t>Emission from floor/treated surface to wastewater during cleaning</w:t>
            </w:r>
          </w:p>
        </w:tc>
        <w:tc>
          <w:tcPr>
            <w:tcW w:w="453" w:type="pct"/>
            <w:vAlign w:val="center"/>
          </w:tcPr>
          <w:p w14:paraId="3A016985" w14:textId="77777777" w:rsidR="008335EB" w:rsidRPr="00064185" w:rsidRDefault="008335EB" w:rsidP="00EA61D8">
            <w:pPr>
              <w:keepNext/>
              <w:spacing w:beforeLines="60" w:before="144" w:afterLines="60" w:after="144"/>
              <w:contextualSpacing/>
              <w:rPr>
                <w:bCs/>
              </w:rPr>
            </w:pPr>
            <w:r w:rsidRPr="00064185">
              <w:rPr>
                <w:bCs/>
              </w:rPr>
              <w:t>[g/d]</w:t>
            </w:r>
          </w:p>
        </w:tc>
        <w:tc>
          <w:tcPr>
            <w:tcW w:w="1365" w:type="pct"/>
            <w:vAlign w:val="center"/>
          </w:tcPr>
          <w:p w14:paraId="6339D3E7" w14:textId="77777777" w:rsidR="008335EB" w:rsidRPr="00064185" w:rsidRDefault="008335EB" w:rsidP="00EA61D8">
            <w:pPr>
              <w:keepNext/>
              <w:spacing w:beforeLines="60" w:before="144" w:afterLines="60" w:after="144"/>
              <w:contextualSpacing/>
              <w:rPr>
                <w:bCs/>
              </w:rPr>
            </w:pPr>
            <w:r w:rsidRPr="00064185">
              <w:rPr>
                <w:bCs/>
              </w:rPr>
              <w:t>E</w:t>
            </w:r>
            <w:r w:rsidRPr="00064185">
              <w:rPr>
                <w:bCs/>
                <w:vertAlign w:val="subscript"/>
              </w:rPr>
              <w:t>treated, ww</w:t>
            </w:r>
            <w:r w:rsidRPr="00064185">
              <w:rPr>
                <w:bCs/>
              </w:rPr>
              <w:t xml:space="preserve"> = (E</w:t>
            </w:r>
            <w:r w:rsidRPr="00064185">
              <w:rPr>
                <w:bCs/>
                <w:vertAlign w:val="subscript"/>
              </w:rPr>
              <w:t xml:space="preserve">application, floor + </w:t>
            </w:r>
            <w:r w:rsidRPr="00064185">
              <w:rPr>
                <w:bCs/>
              </w:rPr>
              <w:t>E</w:t>
            </w:r>
            <w:r w:rsidRPr="00064185">
              <w:rPr>
                <w:bCs/>
                <w:vertAlign w:val="subscript"/>
              </w:rPr>
              <w:t>application, treated)</w:t>
            </w:r>
            <w:r w:rsidRPr="00064185">
              <w:rPr>
                <w:bCs/>
              </w:rPr>
              <w:t xml:space="preserve"> x F</w:t>
            </w:r>
            <w:r w:rsidRPr="00064185">
              <w:rPr>
                <w:bCs/>
                <w:vertAlign w:val="subscript"/>
              </w:rPr>
              <w:t>ww</w:t>
            </w:r>
            <w:r w:rsidRPr="00064185">
              <w:rPr>
                <w:bCs/>
              </w:rPr>
              <w:t xml:space="preserve"> x F</w:t>
            </w:r>
            <w:r w:rsidRPr="00064185">
              <w:rPr>
                <w:bCs/>
                <w:vertAlign w:val="subscript"/>
              </w:rPr>
              <w:t>ce</w:t>
            </w:r>
          </w:p>
        </w:tc>
        <w:tc>
          <w:tcPr>
            <w:tcW w:w="1441" w:type="pct"/>
            <w:vAlign w:val="center"/>
          </w:tcPr>
          <w:p w14:paraId="6C7AD568" w14:textId="77563820" w:rsidR="008335EB" w:rsidRPr="00064185" w:rsidRDefault="008335EB" w:rsidP="00EA61D8">
            <w:pPr>
              <w:keepNext/>
              <w:tabs>
                <w:tab w:val="right" w:pos="1370"/>
              </w:tabs>
              <w:spacing w:beforeLines="60" w:before="144" w:afterLines="60" w:after="144"/>
              <w:contextualSpacing/>
            </w:pPr>
            <w:r w:rsidRPr="00064185">
              <w:t>5.99E-02</w:t>
            </w:r>
          </w:p>
        </w:tc>
        <w:tc>
          <w:tcPr>
            <w:tcW w:w="643" w:type="pct"/>
            <w:vAlign w:val="center"/>
          </w:tcPr>
          <w:p w14:paraId="0818890E" w14:textId="598BD561" w:rsidR="008335EB" w:rsidRPr="00064185" w:rsidRDefault="008335EB" w:rsidP="00EA61D8">
            <w:pPr>
              <w:keepNext/>
              <w:tabs>
                <w:tab w:val="right" w:pos="1370"/>
              </w:tabs>
              <w:spacing w:beforeLines="60" w:before="144" w:afterLines="60" w:after="144"/>
              <w:contextualSpacing/>
            </w:pPr>
            <w:r w:rsidRPr="00064185">
              <w:t>8.28E-02</w:t>
            </w:r>
          </w:p>
        </w:tc>
      </w:tr>
      <w:tr w:rsidR="00064185" w:rsidRPr="00064185" w14:paraId="1E175629" w14:textId="77777777" w:rsidTr="008335EB">
        <w:trPr>
          <w:trHeight w:val="1170"/>
        </w:trPr>
        <w:tc>
          <w:tcPr>
            <w:tcW w:w="1098" w:type="pct"/>
            <w:vAlign w:val="center"/>
            <w:hideMark/>
          </w:tcPr>
          <w:p w14:paraId="4EB7CF91" w14:textId="77777777" w:rsidR="008335EB" w:rsidRPr="00064185" w:rsidRDefault="008335EB" w:rsidP="00EA61D8">
            <w:pPr>
              <w:keepNext/>
              <w:spacing w:beforeLines="60" w:before="144" w:afterLines="60" w:after="144"/>
              <w:contextualSpacing/>
              <w:rPr>
                <w:b/>
                <w:bCs/>
              </w:rPr>
            </w:pPr>
            <w:r w:rsidRPr="00064185">
              <w:rPr>
                <w:b/>
                <w:bCs/>
              </w:rPr>
              <w:t>Emission to wastewater</w:t>
            </w:r>
          </w:p>
        </w:tc>
        <w:tc>
          <w:tcPr>
            <w:tcW w:w="453" w:type="pct"/>
            <w:vAlign w:val="center"/>
          </w:tcPr>
          <w:p w14:paraId="7CA2BD19" w14:textId="77777777" w:rsidR="008335EB" w:rsidRPr="00064185" w:rsidRDefault="008335EB" w:rsidP="00EA61D8">
            <w:pPr>
              <w:keepNext/>
              <w:keepLines/>
              <w:spacing w:beforeLines="60" w:before="144" w:afterLines="60" w:after="144"/>
              <w:contextualSpacing/>
              <w:rPr>
                <w:b/>
              </w:rPr>
            </w:pPr>
            <w:r w:rsidRPr="00064185">
              <w:rPr>
                <w:b/>
              </w:rPr>
              <w:t>[</w:t>
            </w:r>
            <w:r w:rsidRPr="00064185">
              <w:rPr>
                <w:b/>
                <w:bCs/>
              </w:rPr>
              <w:t>g/d</w:t>
            </w:r>
            <w:r w:rsidRPr="00064185">
              <w:rPr>
                <w:b/>
              </w:rPr>
              <w:t>]</w:t>
            </w:r>
          </w:p>
        </w:tc>
        <w:tc>
          <w:tcPr>
            <w:tcW w:w="1365" w:type="pct"/>
            <w:vAlign w:val="center"/>
            <w:hideMark/>
          </w:tcPr>
          <w:p w14:paraId="0A3D569B" w14:textId="77777777" w:rsidR="008335EB" w:rsidRPr="00064185" w:rsidRDefault="008335EB" w:rsidP="00EA61D8">
            <w:pPr>
              <w:keepNext/>
              <w:keepLines/>
              <w:spacing w:beforeLines="60" w:before="144" w:afterLines="60" w:after="144"/>
              <w:contextualSpacing/>
              <w:rPr>
                <w:b/>
              </w:rPr>
            </w:pPr>
            <w:r w:rsidRPr="00064185">
              <w:rPr>
                <w:b/>
              </w:rPr>
              <w:t>E</w:t>
            </w:r>
            <w:r w:rsidRPr="00064185">
              <w:rPr>
                <w:b/>
                <w:vertAlign w:val="subscript"/>
              </w:rPr>
              <w:t xml:space="preserve">ww, houses </w:t>
            </w:r>
            <w:r w:rsidRPr="00064185">
              <w:rPr>
                <w:b/>
              </w:rPr>
              <w:t>= (E</w:t>
            </w:r>
            <w:r w:rsidRPr="00064185">
              <w:rPr>
                <w:b/>
                <w:vertAlign w:val="subscript"/>
              </w:rPr>
              <w:t xml:space="preserve">applicator, ww + </w:t>
            </w:r>
            <w:r w:rsidRPr="00064185">
              <w:rPr>
                <w:b/>
                <w:bCs/>
              </w:rPr>
              <w:t>E</w:t>
            </w:r>
            <w:r w:rsidRPr="00064185">
              <w:rPr>
                <w:b/>
                <w:bCs/>
                <w:vertAlign w:val="subscript"/>
              </w:rPr>
              <w:t>treated, ww</w:t>
            </w:r>
            <w:r w:rsidRPr="00064185">
              <w:rPr>
                <w:b/>
                <w:bCs/>
              </w:rPr>
              <w:t>)</w:t>
            </w:r>
            <w:r w:rsidRPr="00064185">
              <w:rPr>
                <w:b/>
              </w:rPr>
              <w:t xml:space="preserve"> x </w:t>
            </w:r>
            <w:r w:rsidRPr="00064185">
              <w:rPr>
                <w:b/>
                <w:bCs/>
              </w:rPr>
              <w:t>N</w:t>
            </w:r>
            <w:r w:rsidRPr="00064185">
              <w:rPr>
                <w:b/>
                <w:bCs/>
                <w:vertAlign w:val="subscript"/>
              </w:rPr>
              <w:t>Houses</w:t>
            </w:r>
            <w:r w:rsidRPr="00064185">
              <w:rPr>
                <w:b/>
                <w:bCs/>
              </w:rPr>
              <w:t xml:space="preserve"> x F</w:t>
            </w:r>
            <w:r w:rsidRPr="00064185">
              <w:rPr>
                <w:b/>
                <w:bCs/>
                <w:vertAlign w:val="subscript"/>
              </w:rPr>
              <w:t>simultaneity</w:t>
            </w:r>
          </w:p>
        </w:tc>
        <w:tc>
          <w:tcPr>
            <w:tcW w:w="1441" w:type="pct"/>
            <w:vAlign w:val="center"/>
          </w:tcPr>
          <w:p w14:paraId="489994DD" w14:textId="3CAD2775" w:rsidR="008335EB" w:rsidRPr="00064185" w:rsidRDefault="008335EB" w:rsidP="00EA61D8">
            <w:pPr>
              <w:keepNext/>
              <w:keepLines/>
              <w:tabs>
                <w:tab w:val="right" w:pos="1295"/>
              </w:tabs>
              <w:spacing w:beforeLines="60" w:before="144" w:afterLines="60" w:after="144"/>
              <w:contextualSpacing/>
              <w:rPr>
                <w:b/>
              </w:rPr>
            </w:pPr>
            <w:r w:rsidRPr="00064185">
              <w:rPr>
                <w:b/>
              </w:rPr>
              <w:t>6.67</w:t>
            </w:r>
          </w:p>
        </w:tc>
        <w:tc>
          <w:tcPr>
            <w:tcW w:w="643" w:type="pct"/>
            <w:vAlign w:val="center"/>
          </w:tcPr>
          <w:p w14:paraId="46F0C737" w14:textId="5E2C10DA" w:rsidR="008335EB" w:rsidRPr="00064185" w:rsidRDefault="008335EB" w:rsidP="00EA61D8">
            <w:pPr>
              <w:keepNext/>
              <w:keepLines/>
              <w:tabs>
                <w:tab w:val="right" w:pos="1295"/>
              </w:tabs>
              <w:spacing w:beforeLines="60" w:before="144" w:afterLines="60" w:after="144"/>
              <w:contextualSpacing/>
              <w:rPr>
                <w:b/>
              </w:rPr>
            </w:pPr>
            <w:r w:rsidRPr="00064185">
              <w:rPr>
                <w:b/>
              </w:rPr>
              <w:t>0.68</w:t>
            </w:r>
          </w:p>
        </w:tc>
      </w:tr>
    </w:tbl>
    <w:p w14:paraId="3D48B1EA" w14:textId="4F8B476F" w:rsidR="005A697F" w:rsidRPr="00064185" w:rsidRDefault="009D2C53" w:rsidP="00EA61D8">
      <w:r w:rsidRPr="00064185">
        <w:t xml:space="preserve"> </w:t>
      </w:r>
      <w:r w:rsidR="005A697F" w:rsidRPr="00064185">
        <w:br w:type="page"/>
      </w:r>
    </w:p>
    <w:p w14:paraId="6F4BC73B" w14:textId="5F05CAF5" w:rsidR="00677D88" w:rsidRPr="00064185" w:rsidRDefault="00E17674" w:rsidP="006A7704">
      <w:pPr>
        <w:pStyle w:val="Textkrper2"/>
        <w:spacing w:before="0" w:after="0" w:line="276" w:lineRule="auto"/>
        <w:jc w:val="both"/>
        <w:rPr>
          <w:b/>
          <w:color w:val="auto"/>
          <w:u w:val="single"/>
        </w:rPr>
      </w:pPr>
      <w:r w:rsidRPr="00064185">
        <w:rPr>
          <w:b/>
          <w:color w:val="auto"/>
          <w:u w:val="single"/>
        </w:rPr>
        <w:lastRenderedPageBreak/>
        <w:t>Use 2</w:t>
      </w:r>
      <w:r w:rsidR="0037041B" w:rsidRPr="00064185">
        <w:rPr>
          <w:b/>
          <w:color w:val="auto"/>
          <w:u w:val="single"/>
        </w:rPr>
        <w:t xml:space="preserve">: </w:t>
      </w:r>
      <w:r w:rsidR="001052E6" w:rsidRPr="00064185">
        <w:rPr>
          <w:b/>
          <w:color w:val="auto"/>
          <w:u w:val="single"/>
        </w:rPr>
        <w:t xml:space="preserve">Scenario 2 </w:t>
      </w:r>
      <w:r w:rsidR="00677D88" w:rsidRPr="00064185">
        <w:rPr>
          <w:b/>
          <w:color w:val="auto"/>
          <w:u w:val="single"/>
        </w:rPr>
        <w:t xml:space="preserve">- </w:t>
      </w:r>
      <w:r w:rsidR="00AE5930" w:rsidRPr="00064185">
        <w:rPr>
          <w:b/>
          <w:color w:val="auto"/>
          <w:u w:val="single"/>
        </w:rPr>
        <w:t>S</w:t>
      </w:r>
      <w:r w:rsidR="00677D88" w:rsidRPr="00064185">
        <w:rPr>
          <w:b/>
          <w:color w:val="auto"/>
          <w:u w:val="single"/>
        </w:rPr>
        <w:t>pray application; outdoor use, application on paved surfaces</w:t>
      </w:r>
    </w:p>
    <w:p w14:paraId="0F6FE90C" w14:textId="32D36DEC" w:rsidR="0094055A" w:rsidRPr="00064185" w:rsidRDefault="00671273" w:rsidP="006A7704">
      <w:pPr>
        <w:autoSpaceDE w:val="0"/>
        <w:autoSpaceDN w:val="0"/>
        <w:adjustRightInd w:val="0"/>
        <w:spacing w:line="260" w:lineRule="atLeast"/>
        <w:jc w:val="both"/>
        <w:rPr>
          <w:lang w:val="en-US"/>
        </w:rPr>
      </w:pPr>
      <w:r w:rsidRPr="00064185">
        <w:t xml:space="preserve">For outdoor use the residual treatment </w:t>
      </w:r>
      <w:r w:rsidR="00FD6ACF" w:rsidRPr="00064185">
        <w:t>a</w:t>
      </w:r>
      <w:r w:rsidR="00D12B34" w:rsidRPr="00064185">
        <w:t>gainst</w:t>
      </w:r>
      <w:r w:rsidRPr="00064185">
        <w:t xml:space="preserve"> ants was requested only. </w:t>
      </w:r>
      <w:r w:rsidR="00CC3CC5" w:rsidRPr="00064185">
        <w:t xml:space="preserve">Environmental exposure may arise </w:t>
      </w:r>
      <w:r w:rsidR="00771B46" w:rsidRPr="00064185">
        <w:t xml:space="preserve">via run-off of during the application step or due to </w:t>
      </w:r>
      <w:r w:rsidR="00CC3CC5" w:rsidRPr="00064185">
        <w:t>wash-off from contaminated impervious surfaces during the first rain event following application</w:t>
      </w:r>
      <w:r w:rsidR="00771B46" w:rsidRPr="00064185">
        <w:t xml:space="preserve"> either to unpaved soil or to rainwater/sewage system.</w:t>
      </w:r>
      <w:r w:rsidR="0094055A" w:rsidRPr="00064185">
        <w:t xml:space="preserve"> </w:t>
      </w:r>
      <w:r w:rsidR="0094055A" w:rsidRPr="00064185">
        <w:rPr>
          <w:lang w:val="en-US"/>
        </w:rPr>
        <w:t xml:space="preserve">Releases can then occur to surface water </w:t>
      </w:r>
      <w:r w:rsidR="005330B2" w:rsidRPr="00064185">
        <w:rPr>
          <w:lang w:val="en-US"/>
        </w:rPr>
        <w:t xml:space="preserve">and sediment </w:t>
      </w:r>
      <w:r w:rsidR="0094055A" w:rsidRPr="00064185">
        <w:rPr>
          <w:lang w:val="en-US"/>
        </w:rPr>
        <w:t>from STP discharge, to agricultural soil from sludge application and eventually to groundwater. The fractions of the product emitted directly on unpaved soil will eventually end up to groundwater.</w:t>
      </w:r>
    </w:p>
    <w:p w14:paraId="67EC454B" w14:textId="25D9E070" w:rsidR="00240C2D" w:rsidRPr="00064185" w:rsidRDefault="001712F5" w:rsidP="006A7704">
      <w:pPr>
        <w:jc w:val="both"/>
        <w:rPr>
          <w:lang w:val="en-US"/>
        </w:rPr>
      </w:pPr>
      <w:r w:rsidRPr="00064185">
        <w:t xml:space="preserve">Default values for </w:t>
      </w:r>
      <w:r w:rsidR="00B23243" w:rsidRPr="00064185">
        <w:t>the fractions emitted to soil during outdoor foundation spray application and foundation wash-off by rainfall</w:t>
      </w:r>
      <w:r w:rsidRPr="00064185">
        <w:t xml:space="preserve"> were taken from the emission scenario “Spray application” (chapter </w:t>
      </w:r>
      <w:r w:rsidR="002910B0" w:rsidRPr="00064185">
        <w:rPr>
          <w:lang w:val="en-US"/>
        </w:rPr>
        <w:t>4.4.2.2 Emission scenario for crawling insects</w:t>
      </w:r>
      <w:r w:rsidR="002910B0" w:rsidRPr="00064185">
        <w:t xml:space="preserve"> </w:t>
      </w:r>
      <w:r w:rsidRPr="00064185">
        <w:t>of the ESD PT</w:t>
      </w:r>
      <w:r w:rsidR="005330B2" w:rsidRPr="00064185">
        <w:t xml:space="preserve"> </w:t>
      </w:r>
      <w:r w:rsidRPr="00064185">
        <w:t>18).</w:t>
      </w:r>
      <w:r w:rsidR="00C42EE4" w:rsidRPr="00064185">
        <w:t xml:space="preserve"> The ESD PT 18 states</w:t>
      </w:r>
      <w:r w:rsidR="005330B2" w:rsidRPr="00064185">
        <w:t xml:space="preserve"> in the case of private house</w:t>
      </w:r>
      <w:r w:rsidR="003917F5" w:rsidRPr="00064185">
        <w:t>s</w:t>
      </w:r>
      <w:r w:rsidR="003F54D0" w:rsidRPr="00064185">
        <w:t>,</w:t>
      </w:r>
      <w:r w:rsidR="00C42EE4" w:rsidRPr="00064185">
        <w:t xml:space="preserve"> 25 m² </w:t>
      </w:r>
      <w:r w:rsidR="00C42EE4" w:rsidRPr="00064185">
        <w:rPr>
          <w:rFonts w:eastAsia="Calibri"/>
          <w:lang w:val="en-US" w:eastAsia="en-GB"/>
        </w:rPr>
        <w:t>foundation are treated per day. However, t</w:t>
      </w:r>
      <w:r w:rsidR="00240C2D" w:rsidRPr="00064185">
        <w:rPr>
          <w:lang w:val="en-US"/>
        </w:rPr>
        <w:t xml:space="preserve">he target area, in which a garden ant colony population is aimed to be reduced, is </w:t>
      </w:r>
      <w:r w:rsidR="0074540B" w:rsidRPr="00064185">
        <w:rPr>
          <w:lang w:val="en-US"/>
        </w:rPr>
        <w:t xml:space="preserve">limited </w:t>
      </w:r>
      <w:r w:rsidR="00240C2D" w:rsidRPr="00064185">
        <w:rPr>
          <w:lang w:val="en-US"/>
        </w:rPr>
        <w:t xml:space="preserve">on parts of terraces around private houses, where ants have established their nests or </w:t>
      </w:r>
      <w:r w:rsidR="00AE1A35" w:rsidRPr="00064185">
        <w:rPr>
          <w:lang w:val="en-US"/>
        </w:rPr>
        <w:t xml:space="preserve">ant </w:t>
      </w:r>
      <w:r w:rsidR="00240C2D" w:rsidRPr="00064185">
        <w:rPr>
          <w:lang w:val="en-US"/>
        </w:rPr>
        <w:t xml:space="preserve">pathways. </w:t>
      </w:r>
      <w:r w:rsidR="00EE5400" w:rsidRPr="00064185">
        <w:rPr>
          <w:lang w:val="en-US"/>
        </w:rPr>
        <w:t xml:space="preserve">COM 116 02 I AL </w:t>
      </w:r>
      <w:r w:rsidR="00240C2D" w:rsidRPr="00064185">
        <w:rPr>
          <w:lang w:val="en-US"/>
        </w:rPr>
        <w:t>is not foreseen for the treatment of the complete area of a terrace</w:t>
      </w:r>
      <w:r w:rsidR="0033567A" w:rsidRPr="00064185">
        <w:rPr>
          <w:lang w:val="en-US"/>
        </w:rPr>
        <w:t>.</w:t>
      </w:r>
      <w:r w:rsidR="00240C2D" w:rsidRPr="00064185">
        <w:rPr>
          <w:lang w:val="en-US"/>
        </w:rPr>
        <w:t xml:space="preserve"> Therefore, adaption of the </w:t>
      </w:r>
      <w:r w:rsidR="00240C2D" w:rsidRPr="00064185">
        <w:rPr>
          <w:rFonts w:eastAsia="Calibri"/>
          <w:lang w:val="en-US" w:eastAsia="en-US"/>
        </w:rPr>
        <w:t xml:space="preserve">ESD </w:t>
      </w:r>
      <w:r w:rsidR="00240C2D" w:rsidRPr="00064185">
        <w:rPr>
          <w:lang w:val="en-US"/>
        </w:rPr>
        <w:t>assumption for crawling insects is made concerning the treated area.</w:t>
      </w:r>
      <w:r w:rsidR="00156123" w:rsidRPr="00064185">
        <w:rPr>
          <w:lang w:val="en-US"/>
        </w:rPr>
        <w:t xml:space="preserve"> </w:t>
      </w:r>
      <w:r w:rsidR="00240C2D" w:rsidRPr="00064185">
        <w:rPr>
          <w:lang w:val="en-US"/>
        </w:rPr>
        <w:t xml:space="preserve">According to the </w:t>
      </w:r>
      <w:r w:rsidR="00240C2D" w:rsidRPr="00064185">
        <w:rPr>
          <w:rFonts w:eastAsia="Calibri"/>
          <w:lang w:val="en-US" w:eastAsia="en-US"/>
        </w:rPr>
        <w:t>ESD</w:t>
      </w:r>
      <w:r w:rsidR="00240C2D" w:rsidRPr="00064185">
        <w:rPr>
          <w:lang w:val="en-US"/>
        </w:rPr>
        <w:t>, the typical size of a pathway or terrace is about 25</w:t>
      </w:r>
      <w:r w:rsidR="00156123" w:rsidRPr="00064185">
        <w:rPr>
          <w:lang w:val="en-US"/>
        </w:rPr>
        <w:t xml:space="preserve"> m²</w:t>
      </w:r>
      <w:r w:rsidR="00240C2D" w:rsidRPr="00064185">
        <w:rPr>
          <w:lang w:val="en-US"/>
        </w:rPr>
        <w:t xml:space="preserve"> </w:t>
      </w:r>
      <w:r w:rsidR="00156123" w:rsidRPr="00064185">
        <w:rPr>
          <w:lang w:val="en-US"/>
        </w:rPr>
        <w:t>(</w:t>
      </w:r>
      <w:r w:rsidR="00156123" w:rsidRPr="00064185">
        <w:rPr>
          <w:rFonts w:eastAsia="Calibri"/>
          <w:lang w:val="en-US" w:eastAsia="en-GB"/>
        </w:rPr>
        <w:t>area of foundation</w:t>
      </w:r>
      <w:r w:rsidR="00156123" w:rsidRPr="00064185">
        <w:rPr>
          <w:lang w:val="en-US"/>
        </w:rPr>
        <w:t xml:space="preserve">) </w:t>
      </w:r>
      <w:r w:rsidR="00240C2D" w:rsidRPr="00064185">
        <w:rPr>
          <w:lang w:val="en-US"/>
        </w:rPr>
        <w:t>or 30 m²</w:t>
      </w:r>
      <w:r w:rsidR="00156123" w:rsidRPr="00064185">
        <w:rPr>
          <w:lang w:val="en-US"/>
        </w:rPr>
        <w:t xml:space="preserve"> (</w:t>
      </w:r>
      <w:r w:rsidR="00156123" w:rsidRPr="00064185">
        <w:rPr>
          <w:rFonts w:eastAsia="Calibri"/>
          <w:lang w:val="en-US" w:eastAsia="en-GB"/>
        </w:rPr>
        <w:t>area of a terrace</w:t>
      </w:r>
      <w:r w:rsidR="00156123" w:rsidRPr="00064185">
        <w:rPr>
          <w:lang w:val="en-US"/>
        </w:rPr>
        <w:t>)</w:t>
      </w:r>
      <w:r w:rsidR="00240C2D" w:rsidRPr="00064185">
        <w:rPr>
          <w:lang w:val="en-US"/>
        </w:rPr>
        <w:t>, respectively. In this assessment a rectangular terrace of 6 m × 5 m (30 m²) of a private house is assumed. One of the longer sides of the terrace is adjacent to one side of the house (6 m).</w:t>
      </w:r>
    </w:p>
    <w:p w14:paraId="6E2B4A7A" w14:textId="71FFA836" w:rsidR="00240C2D" w:rsidRPr="00064185" w:rsidRDefault="00240C2D" w:rsidP="006A7704">
      <w:pPr>
        <w:autoSpaceDE w:val="0"/>
        <w:autoSpaceDN w:val="0"/>
        <w:adjustRightInd w:val="0"/>
        <w:jc w:val="both"/>
      </w:pPr>
      <w:r w:rsidRPr="00064185">
        <w:rPr>
          <w:lang w:val="en-US"/>
        </w:rPr>
        <w:t xml:space="preserve">For application on </w:t>
      </w:r>
      <w:r w:rsidRPr="00064185">
        <w:t xml:space="preserve">ant pathways </w:t>
      </w:r>
      <w:r w:rsidRPr="00064185">
        <w:rPr>
          <w:lang w:val="en-US"/>
        </w:rPr>
        <w:t>a band of approx. 25 cm width along the house wall across the terrace from one end to the other</w:t>
      </w:r>
      <w:r w:rsidR="005330B2" w:rsidRPr="00064185">
        <w:rPr>
          <w:lang w:val="en-US"/>
        </w:rPr>
        <w:t>,</w:t>
      </w:r>
      <w:r w:rsidRPr="00064185">
        <w:rPr>
          <w:lang w:val="en-US"/>
        </w:rPr>
        <w:t xml:space="preserve"> representing an ant pathway (approx. </w:t>
      </w:r>
      <w:r w:rsidRPr="00064185">
        <w:t>6 m × 0.25 m=1.5 m²)</w:t>
      </w:r>
      <w:r w:rsidR="005330B2" w:rsidRPr="00064185">
        <w:t>,</w:t>
      </w:r>
      <w:r w:rsidRPr="00064185">
        <w:t xml:space="preserve"> might need treatment with </w:t>
      </w:r>
      <w:r w:rsidR="00DD0F7A" w:rsidRPr="00064185">
        <w:t xml:space="preserve">the </w:t>
      </w:r>
      <w:r w:rsidR="00C45AD7" w:rsidRPr="00064185">
        <w:t>biocidal product</w:t>
      </w:r>
      <w:r w:rsidRPr="00064185">
        <w:t>.</w:t>
      </w:r>
    </w:p>
    <w:p w14:paraId="0DD50A4F" w14:textId="7B759B1A" w:rsidR="00240C2D" w:rsidRPr="00064185" w:rsidRDefault="00240C2D" w:rsidP="006A7704">
      <w:pPr>
        <w:autoSpaceDE w:val="0"/>
        <w:autoSpaceDN w:val="0"/>
        <w:adjustRightInd w:val="0"/>
        <w:jc w:val="both"/>
        <w:rPr>
          <w:lang w:val="en-US"/>
        </w:rPr>
      </w:pPr>
      <w:r w:rsidRPr="00064185">
        <w:rPr>
          <w:lang w:val="en-US"/>
        </w:rPr>
        <w:t xml:space="preserve">For application on ant nests, it is assumed that the receiving compartment is a square with dimension of 0.5 m x 0.5 m. Considering 4 application sites on a terrace (according to the </w:t>
      </w:r>
      <w:r w:rsidRPr="00064185">
        <w:rPr>
          <w:rFonts w:eastAsia="Calibri"/>
          <w:lang w:val="en-US" w:eastAsia="en-US"/>
        </w:rPr>
        <w:t xml:space="preserve">ESD </w:t>
      </w:r>
      <w:r w:rsidR="00E1432E" w:rsidRPr="00064185">
        <w:rPr>
          <w:rFonts w:eastAsia="Calibri"/>
          <w:lang w:val="en-US" w:eastAsia="en-US"/>
        </w:rPr>
        <w:t>PT</w:t>
      </w:r>
      <w:r w:rsidRPr="00064185">
        <w:rPr>
          <w:rFonts w:eastAsia="Calibri"/>
          <w:lang w:val="en-US" w:eastAsia="en-US"/>
        </w:rPr>
        <w:t>18</w:t>
      </w:r>
      <w:r w:rsidRPr="00064185">
        <w:rPr>
          <w:lang w:val="en-US"/>
        </w:rPr>
        <w:t>) a nest infested area of 4 x 0.25 m²=1 m² is conceivable on a terrace.</w:t>
      </w:r>
    </w:p>
    <w:p w14:paraId="414572B2" w14:textId="40F92009" w:rsidR="00240C2D" w:rsidRPr="00064185" w:rsidRDefault="00240C2D" w:rsidP="006A7704">
      <w:pPr>
        <w:jc w:val="both"/>
        <w:rPr>
          <w:lang w:val="en-US"/>
        </w:rPr>
      </w:pPr>
      <w:r w:rsidRPr="00064185">
        <w:rPr>
          <w:lang w:val="en-US"/>
        </w:rPr>
        <w:t xml:space="preserve">Since the </w:t>
      </w:r>
      <w:r w:rsidRPr="00064185">
        <w:rPr>
          <w:u w:val="single"/>
          <w:lang w:val="en-US"/>
        </w:rPr>
        <w:t>treated area</w:t>
      </w:r>
      <w:r w:rsidRPr="00064185">
        <w:rPr>
          <w:lang w:val="en-US"/>
        </w:rPr>
        <w:t xml:space="preserve"> for application on </w:t>
      </w:r>
      <w:r w:rsidRPr="00064185">
        <w:t xml:space="preserve">ant pathways </w:t>
      </w:r>
      <w:r w:rsidRPr="00064185">
        <w:rPr>
          <w:lang w:val="en-US"/>
        </w:rPr>
        <w:t xml:space="preserve">is higher than for </w:t>
      </w:r>
      <w:r w:rsidRPr="00064185">
        <w:rPr>
          <w:u w:val="single"/>
          <w:lang w:val="en-US"/>
        </w:rPr>
        <w:t>treatment of nests</w:t>
      </w:r>
      <w:r w:rsidRPr="00064185">
        <w:rPr>
          <w:lang w:val="en-US"/>
        </w:rPr>
        <w:t>, the typical area that is treated for ant control is adapted to 1.5 m² in the exposure assessment as a worst case figure.</w:t>
      </w:r>
    </w:p>
    <w:p w14:paraId="1B64B83E" w14:textId="70B8CDB4" w:rsidR="001875C7" w:rsidRPr="00064185" w:rsidRDefault="00143765" w:rsidP="006A7704">
      <w:pPr>
        <w:pStyle w:val="Absatz"/>
        <w:spacing w:line="260" w:lineRule="atLeast"/>
        <w:ind w:left="0"/>
        <w:jc w:val="both"/>
        <w:rPr>
          <w:rFonts w:ascii="Verdana" w:hAnsi="Verdana"/>
        </w:rPr>
      </w:pPr>
      <w:r w:rsidRPr="00064185">
        <w:rPr>
          <w:rFonts w:ascii="Verdana" w:hAnsi="Verdana"/>
        </w:rPr>
        <w:t xml:space="preserve">Following the MOTA (V6, 2013), the number of houses per STP (N house) was assumed to be 2500 for outdoor use. </w:t>
      </w:r>
      <w:r w:rsidR="001875C7" w:rsidRPr="00064185">
        <w:rPr>
          <w:rFonts w:ascii="Verdana" w:hAnsi="Verdana"/>
        </w:rPr>
        <w:t>Furthermore, simultaneity factors are proposed in the ESD PT</w:t>
      </w:r>
      <w:r w:rsidR="001A59FF" w:rsidRPr="00064185">
        <w:rPr>
          <w:rFonts w:ascii="Verdana" w:hAnsi="Verdana"/>
        </w:rPr>
        <w:t xml:space="preserve"> </w:t>
      </w:r>
      <w:r w:rsidR="001875C7" w:rsidRPr="00064185">
        <w:rPr>
          <w:rFonts w:ascii="Verdana" w:hAnsi="Verdana"/>
        </w:rPr>
        <w:t>18 that considers the simultaneity of treatments by the houses connected to the same STP.</w:t>
      </w:r>
    </w:p>
    <w:p w14:paraId="1BB56D36" w14:textId="1A2B82E4" w:rsidR="002D6387" w:rsidRPr="00064185" w:rsidRDefault="002D6387" w:rsidP="006A7704">
      <w:pPr>
        <w:jc w:val="both"/>
        <w:rPr>
          <w:lang w:val="en-US" w:eastAsia="de-AT"/>
        </w:rPr>
      </w:pPr>
      <w:r w:rsidRPr="00064185">
        <w:t>The simultaneity factor</w:t>
      </w:r>
      <w:r w:rsidR="001875C7" w:rsidRPr="00064185">
        <w:t xml:space="preserve"> </w:t>
      </w:r>
      <w:r w:rsidRPr="00064185">
        <w:t>is</w:t>
      </w:r>
      <w:r w:rsidR="001875C7" w:rsidRPr="00064185">
        <w:t xml:space="preserve"> calculated based on the frequency of product uses, which is </w:t>
      </w:r>
      <w:r w:rsidRPr="00064185">
        <w:rPr>
          <w:lang w:val="en-US" w:eastAsia="de-AT"/>
        </w:rPr>
        <w:t xml:space="preserve">limited to </w:t>
      </w:r>
      <w:r w:rsidR="004C6BFD" w:rsidRPr="00064185">
        <w:rPr>
          <w:lang w:val="en-US" w:eastAsia="de-AT"/>
        </w:rPr>
        <w:t>once per month during season of ant activity (worst case</w:t>
      </w:r>
      <w:r w:rsidR="006876F5" w:rsidRPr="00064185">
        <w:rPr>
          <w:lang w:val="en-US" w:eastAsia="de-AT"/>
        </w:rPr>
        <w:t xml:space="preserve"> assumption</w:t>
      </w:r>
      <w:r w:rsidR="004C6BFD" w:rsidRPr="00064185">
        <w:rPr>
          <w:lang w:val="en-US" w:eastAsia="de-AT"/>
        </w:rPr>
        <w:t>: 9 month)</w:t>
      </w:r>
      <w:r w:rsidR="001875C7" w:rsidRPr="00064185">
        <w:rPr>
          <w:lang w:val="en-US" w:eastAsia="de-AT"/>
        </w:rPr>
        <w:t>.</w:t>
      </w:r>
      <w:r w:rsidRPr="00064185">
        <w:rPr>
          <w:lang w:val="en-US" w:eastAsia="de-AT"/>
        </w:rPr>
        <w:t xml:space="preserve"> This would result in up to 9 applications per year. Therefore, the product application frequency is assumed on a “3 to 11 applications per year” basis.</w:t>
      </w:r>
    </w:p>
    <w:p w14:paraId="01FCE4B0" w14:textId="1B7430E4" w:rsidR="001875C7" w:rsidRPr="00064185" w:rsidRDefault="001875C7" w:rsidP="006A7704">
      <w:pPr>
        <w:pStyle w:val="Kommentartext"/>
        <w:jc w:val="both"/>
      </w:pPr>
    </w:p>
    <w:p w14:paraId="5DDDF653" w14:textId="74F8463E" w:rsidR="001875C7" w:rsidRPr="00064185" w:rsidRDefault="001875C7" w:rsidP="006A7704">
      <w:pPr>
        <w:spacing w:line="276" w:lineRule="auto"/>
        <w:jc w:val="both"/>
      </w:pPr>
      <w:r w:rsidRPr="00064185">
        <w:t>The input parameters for determining releases to the environment are summarised in the tables below.</w:t>
      </w:r>
    </w:p>
    <w:p w14:paraId="5D1972EB" w14:textId="77777777" w:rsidR="00240C2D" w:rsidRPr="00064185" w:rsidRDefault="00240C2D" w:rsidP="00EA61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5"/>
        <w:gridCol w:w="966"/>
        <w:gridCol w:w="1472"/>
        <w:gridCol w:w="1561"/>
      </w:tblGrid>
      <w:tr w:rsidR="00064185" w:rsidRPr="00064185" w14:paraId="697B492B" w14:textId="77777777" w:rsidTr="00C45AD7">
        <w:trPr>
          <w:cantSplit/>
          <w:trHeight w:val="567"/>
          <w:tblHeader/>
        </w:trPr>
        <w:tc>
          <w:tcPr>
            <w:tcW w:w="0" w:type="auto"/>
            <w:gridSpan w:val="4"/>
            <w:shd w:val="clear" w:color="auto" w:fill="FFFFCC"/>
          </w:tcPr>
          <w:p w14:paraId="10F3867E" w14:textId="67D65C87" w:rsidR="00240C2D" w:rsidRPr="00064185" w:rsidRDefault="00240C2D" w:rsidP="00EA61D8">
            <w:pPr>
              <w:spacing w:before="60" w:after="60"/>
              <w:rPr>
                <w:b/>
                <w:bCs/>
              </w:rPr>
            </w:pPr>
            <w:r w:rsidRPr="00064185">
              <w:rPr>
                <w:b/>
              </w:rPr>
              <w:t xml:space="preserve">Input parameters for calculating the local emissions of </w:t>
            </w:r>
            <w:r w:rsidRPr="00064185">
              <w:rPr>
                <w:b/>
                <w:i/>
              </w:rPr>
              <w:t>lambda</w:t>
            </w:r>
            <w:r w:rsidRPr="00064185">
              <w:rPr>
                <w:b/>
              </w:rPr>
              <w:t>-cyhalothrin during out</w:t>
            </w:r>
            <w:r w:rsidR="00AE5930" w:rsidRPr="00064185">
              <w:rPr>
                <w:b/>
              </w:rPr>
              <w:t xml:space="preserve">door </w:t>
            </w:r>
            <w:r w:rsidRPr="00064185">
              <w:rPr>
                <w:b/>
              </w:rPr>
              <w:t>spray application of COM 116 02 I AL</w:t>
            </w:r>
          </w:p>
        </w:tc>
      </w:tr>
      <w:tr w:rsidR="00064185" w:rsidRPr="00064185" w14:paraId="56EADCDD" w14:textId="77777777" w:rsidTr="00C45AD7">
        <w:trPr>
          <w:cantSplit/>
          <w:tblHeader/>
        </w:trPr>
        <w:tc>
          <w:tcPr>
            <w:tcW w:w="0" w:type="auto"/>
            <w:vMerge w:val="restart"/>
            <w:vAlign w:val="center"/>
            <w:hideMark/>
          </w:tcPr>
          <w:p w14:paraId="39B2D5B5" w14:textId="77777777" w:rsidR="00240C2D" w:rsidRPr="00064185" w:rsidRDefault="00240C2D" w:rsidP="00EA61D8">
            <w:pPr>
              <w:spacing w:before="60" w:after="60"/>
              <w:rPr>
                <w:b/>
                <w:bCs/>
              </w:rPr>
            </w:pPr>
            <w:r w:rsidRPr="00064185">
              <w:rPr>
                <w:b/>
                <w:bCs/>
              </w:rPr>
              <w:t>Input</w:t>
            </w:r>
          </w:p>
        </w:tc>
        <w:tc>
          <w:tcPr>
            <w:tcW w:w="0" w:type="auto"/>
            <w:vMerge w:val="restart"/>
            <w:vAlign w:val="center"/>
          </w:tcPr>
          <w:p w14:paraId="1CBD477D" w14:textId="77777777" w:rsidR="00240C2D" w:rsidRPr="00064185" w:rsidRDefault="00240C2D" w:rsidP="00EA61D8">
            <w:pPr>
              <w:spacing w:before="60" w:after="60"/>
              <w:rPr>
                <w:b/>
                <w:bCs/>
              </w:rPr>
            </w:pPr>
            <w:r w:rsidRPr="00064185">
              <w:rPr>
                <w:b/>
                <w:bCs/>
              </w:rPr>
              <w:t>Unit</w:t>
            </w:r>
          </w:p>
        </w:tc>
        <w:tc>
          <w:tcPr>
            <w:tcW w:w="0" w:type="auto"/>
            <w:vMerge w:val="restart"/>
            <w:vAlign w:val="center"/>
            <w:hideMark/>
          </w:tcPr>
          <w:p w14:paraId="246C4BDF" w14:textId="77777777" w:rsidR="00240C2D" w:rsidRPr="00064185" w:rsidRDefault="00240C2D" w:rsidP="00EA61D8">
            <w:pPr>
              <w:spacing w:before="60" w:after="60"/>
              <w:rPr>
                <w:b/>
                <w:bCs/>
              </w:rPr>
            </w:pPr>
            <w:r w:rsidRPr="00064185">
              <w:rPr>
                <w:b/>
                <w:bCs/>
              </w:rPr>
              <w:t>Definition</w:t>
            </w:r>
          </w:p>
        </w:tc>
        <w:tc>
          <w:tcPr>
            <w:tcW w:w="0" w:type="auto"/>
            <w:vAlign w:val="center"/>
            <w:hideMark/>
          </w:tcPr>
          <w:p w14:paraId="69A76C19" w14:textId="5189B9A6" w:rsidR="00240C2D" w:rsidRPr="00064185" w:rsidRDefault="000F6A10" w:rsidP="00EA61D8">
            <w:pPr>
              <w:spacing w:before="60" w:after="60"/>
              <w:rPr>
                <w:b/>
                <w:bCs/>
              </w:rPr>
            </w:pPr>
            <w:r w:rsidRPr="00064185">
              <w:rPr>
                <w:b/>
                <w:bCs/>
              </w:rPr>
              <w:t>Outdoor use</w:t>
            </w:r>
          </w:p>
        </w:tc>
      </w:tr>
      <w:tr w:rsidR="00064185" w:rsidRPr="00064185" w14:paraId="37AC7C81" w14:textId="77777777" w:rsidTr="00C45AD7">
        <w:trPr>
          <w:cantSplit/>
          <w:tblHeader/>
        </w:trPr>
        <w:tc>
          <w:tcPr>
            <w:tcW w:w="0" w:type="auto"/>
            <w:vMerge/>
            <w:vAlign w:val="center"/>
            <w:hideMark/>
          </w:tcPr>
          <w:p w14:paraId="0B27E5B4" w14:textId="77777777" w:rsidR="00240C2D" w:rsidRPr="00064185" w:rsidRDefault="00240C2D" w:rsidP="00EA61D8">
            <w:pPr>
              <w:rPr>
                <w:rFonts w:ascii="Arial" w:hAnsi="Arial" w:cs="Arial"/>
              </w:rPr>
            </w:pPr>
          </w:p>
        </w:tc>
        <w:tc>
          <w:tcPr>
            <w:tcW w:w="0" w:type="auto"/>
            <w:vMerge/>
          </w:tcPr>
          <w:p w14:paraId="14A3CE95" w14:textId="77777777" w:rsidR="00240C2D" w:rsidRPr="00064185" w:rsidRDefault="00240C2D" w:rsidP="00EA61D8">
            <w:pPr>
              <w:rPr>
                <w:b/>
                <w:bCs/>
              </w:rPr>
            </w:pPr>
          </w:p>
        </w:tc>
        <w:tc>
          <w:tcPr>
            <w:tcW w:w="0" w:type="auto"/>
            <w:vMerge/>
            <w:vAlign w:val="center"/>
            <w:hideMark/>
          </w:tcPr>
          <w:p w14:paraId="6B38F9B3" w14:textId="77777777" w:rsidR="00240C2D" w:rsidRPr="00064185" w:rsidRDefault="00240C2D" w:rsidP="00EA61D8">
            <w:pPr>
              <w:rPr>
                <w:b/>
                <w:bCs/>
              </w:rPr>
            </w:pPr>
          </w:p>
        </w:tc>
        <w:tc>
          <w:tcPr>
            <w:tcW w:w="0" w:type="auto"/>
            <w:vAlign w:val="center"/>
            <w:hideMark/>
          </w:tcPr>
          <w:p w14:paraId="1AF8038A" w14:textId="65F3FB0A" w:rsidR="00240C2D" w:rsidRPr="00064185" w:rsidRDefault="00240C2D" w:rsidP="00EA61D8">
            <w:pPr>
              <w:spacing w:before="60" w:after="60"/>
              <w:rPr>
                <w:b/>
                <w:bCs/>
              </w:rPr>
            </w:pPr>
            <w:r w:rsidRPr="00064185">
              <w:rPr>
                <w:b/>
                <w:bCs/>
              </w:rPr>
              <w:t>Ants</w:t>
            </w:r>
          </w:p>
        </w:tc>
      </w:tr>
      <w:tr w:rsidR="00064185" w:rsidRPr="00064185" w14:paraId="341E2D93" w14:textId="77777777" w:rsidTr="00C45AD7">
        <w:trPr>
          <w:cantSplit/>
          <w:tblHeader/>
        </w:trPr>
        <w:tc>
          <w:tcPr>
            <w:tcW w:w="0" w:type="auto"/>
            <w:vAlign w:val="center"/>
            <w:hideMark/>
          </w:tcPr>
          <w:p w14:paraId="6F31439E" w14:textId="77777777" w:rsidR="00240C2D" w:rsidRPr="00064185" w:rsidRDefault="00240C2D" w:rsidP="00EA61D8">
            <w:pPr>
              <w:spacing w:before="60" w:after="60"/>
              <w:rPr>
                <w:bCs/>
              </w:rPr>
            </w:pPr>
            <w:r w:rsidRPr="00064185">
              <w:rPr>
                <w:bCs/>
              </w:rPr>
              <w:t xml:space="preserve">Quantity of commercial applied </w:t>
            </w:r>
          </w:p>
        </w:tc>
        <w:tc>
          <w:tcPr>
            <w:tcW w:w="0" w:type="auto"/>
            <w:vAlign w:val="center"/>
          </w:tcPr>
          <w:p w14:paraId="4FFBEDAC" w14:textId="77777777" w:rsidR="00240C2D" w:rsidRPr="00064185" w:rsidRDefault="00240C2D" w:rsidP="00EA61D8">
            <w:pPr>
              <w:spacing w:before="60" w:after="60"/>
              <w:rPr>
                <w:bCs/>
              </w:rPr>
            </w:pPr>
            <w:r w:rsidRPr="00064185">
              <w:rPr>
                <w:bCs/>
              </w:rPr>
              <w:t>[g/m</w:t>
            </w:r>
            <w:r w:rsidRPr="00064185">
              <w:rPr>
                <w:bCs/>
                <w:vertAlign w:val="superscript"/>
              </w:rPr>
              <w:t>2</w:t>
            </w:r>
            <w:r w:rsidRPr="00064185">
              <w:rPr>
                <w:bCs/>
              </w:rPr>
              <w:t>]</w:t>
            </w:r>
          </w:p>
        </w:tc>
        <w:tc>
          <w:tcPr>
            <w:tcW w:w="0" w:type="auto"/>
            <w:vAlign w:val="center"/>
            <w:hideMark/>
          </w:tcPr>
          <w:p w14:paraId="0ED9C145" w14:textId="77777777" w:rsidR="00240C2D" w:rsidRPr="00064185" w:rsidRDefault="00240C2D" w:rsidP="00EA61D8">
            <w:pPr>
              <w:spacing w:before="60" w:after="60"/>
              <w:rPr>
                <w:bCs/>
              </w:rPr>
            </w:pPr>
            <w:r w:rsidRPr="00064185">
              <w:rPr>
                <w:bCs/>
              </w:rPr>
              <w:t>Q</w:t>
            </w:r>
            <w:r w:rsidRPr="00064185">
              <w:rPr>
                <w:bCs/>
                <w:vertAlign w:val="subscript"/>
              </w:rPr>
              <w:t>prod</w:t>
            </w:r>
          </w:p>
        </w:tc>
        <w:tc>
          <w:tcPr>
            <w:tcW w:w="0" w:type="auto"/>
            <w:vAlign w:val="center"/>
          </w:tcPr>
          <w:p w14:paraId="3A38E7B7" w14:textId="35F2B143" w:rsidR="00240C2D" w:rsidRPr="00064185" w:rsidRDefault="00240C2D" w:rsidP="00EA61D8">
            <w:pPr>
              <w:tabs>
                <w:tab w:val="right" w:pos="1295"/>
              </w:tabs>
              <w:spacing w:before="60" w:after="60"/>
            </w:pPr>
            <w:r w:rsidRPr="00064185">
              <w:t>44.5</w:t>
            </w:r>
          </w:p>
        </w:tc>
      </w:tr>
      <w:tr w:rsidR="00064185" w:rsidRPr="00064185" w14:paraId="7D4AC498" w14:textId="77777777" w:rsidTr="00C45AD7">
        <w:trPr>
          <w:cantSplit/>
          <w:trHeight w:val="567"/>
          <w:tblHeader/>
        </w:trPr>
        <w:tc>
          <w:tcPr>
            <w:tcW w:w="0" w:type="auto"/>
            <w:vAlign w:val="center"/>
            <w:hideMark/>
          </w:tcPr>
          <w:p w14:paraId="04C72EEE" w14:textId="77777777" w:rsidR="00240C2D" w:rsidRPr="00064185" w:rsidRDefault="00240C2D" w:rsidP="00EA61D8">
            <w:pPr>
              <w:spacing w:before="60" w:after="60"/>
              <w:rPr>
                <w:bCs/>
              </w:rPr>
            </w:pPr>
            <w:r w:rsidRPr="00064185">
              <w:rPr>
                <w:bCs/>
              </w:rPr>
              <w:t xml:space="preserve">Fraction of active substance in the commercial product </w:t>
            </w:r>
          </w:p>
        </w:tc>
        <w:tc>
          <w:tcPr>
            <w:tcW w:w="0" w:type="auto"/>
            <w:vAlign w:val="center"/>
          </w:tcPr>
          <w:p w14:paraId="686021B9" w14:textId="77777777" w:rsidR="00240C2D" w:rsidRPr="00064185" w:rsidRDefault="00240C2D" w:rsidP="00EA61D8">
            <w:pPr>
              <w:spacing w:before="60" w:after="60"/>
              <w:rPr>
                <w:bCs/>
              </w:rPr>
            </w:pPr>
            <w:r w:rsidRPr="00064185">
              <w:rPr>
                <w:bCs/>
              </w:rPr>
              <w:t>[-]</w:t>
            </w:r>
          </w:p>
        </w:tc>
        <w:tc>
          <w:tcPr>
            <w:tcW w:w="0" w:type="auto"/>
            <w:vAlign w:val="center"/>
            <w:hideMark/>
          </w:tcPr>
          <w:p w14:paraId="4AFA9810" w14:textId="77777777" w:rsidR="00240C2D" w:rsidRPr="00064185" w:rsidRDefault="00240C2D" w:rsidP="00EA61D8">
            <w:pPr>
              <w:spacing w:before="60" w:after="60"/>
              <w:rPr>
                <w:bCs/>
              </w:rPr>
            </w:pPr>
            <w:r w:rsidRPr="00064185">
              <w:rPr>
                <w:bCs/>
              </w:rPr>
              <w:t>F</w:t>
            </w:r>
            <w:r w:rsidRPr="00064185">
              <w:rPr>
                <w:bCs/>
                <w:vertAlign w:val="subscript"/>
              </w:rPr>
              <w:t>AI</w:t>
            </w:r>
          </w:p>
        </w:tc>
        <w:tc>
          <w:tcPr>
            <w:tcW w:w="0" w:type="auto"/>
            <w:vAlign w:val="center"/>
            <w:hideMark/>
          </w:tcPr>
          <w:p w14:paraId="0AA88032" w14:textId="77777777" w:rsidR="00240C2D" w:rsidRPr="00064185" w:rsidRDefault="00240C2D" w:rsidP="00EA61D8">
            <w:pPr>
              <w:tabs>
                <w:tab w:val="right" w:pos="1295"/>
              </w:tabs>
              <w:spacing w:before="60" w:after="60"/>
            </w:pPr>
            <w:r w:rsidRPr="00064185">
              <w:t>0.0005</w:t>
            </w:r>
          </w:p>
        </w:tc>
      </w:tr>
      <w:tr w:rsidR="00064185" w:rsidRPr="00064185" w14:paraId="5A338BFA" w14:textId="77777777" w:rsidTr="00C45AD7">
        <w:trPr>
          <w:cantSplit/>
          <w:trHeight w:val="567"/>
          <w:tblHeader/>
        </w:trPr>
        <w:tc>
          <w:tcPr>
            <w:tcW w:w="0" w:type="auto"/>
            <w:vAlign w:val="center"/>
          </w:tcPr>
          <w:p w14:paraId="4EEA375B" w14:textId="6E02DA96" w:rsidR="00240C2D" w:rsidRPr="00064185" w:rsidRDefault="00240C2D" w:rsidP="00EA61D8">
            <w:pPr>
              <w:spacing w:before="60" w:after="60"/>
              <w:rPr>
                <w:bCs/>
              </w:rPr>
            </w:pPr>
            <w:r w:rsidRPr="00064185">
              <w:rPr>
                <w:rFonts w:eastAsia="Calibri"/>
                <w:lang w:val="en-US" w:eastAsia="en-GB"/>
              </w:rPr>
              <w:t>Area of foundation treated per day – private house</w:t>
            </w:r>
          </w:p>
        </w:tc>
        <w:tc>
          <w:tcPr>
            <w:tcW w:w="0" w:type="auto"/>
            <w:vAlign w:val="center"/>
          </w:tcPr>
          <w:p w14:paraId="0A5A6F5C" w14:textId="102E2284" w:rsidR="00240C2D" w:rsidRPr="00064185" w:rsidRDefault="00240C2D" w:rsidP="00EA61D8">
            <w:pPr>
              <w:spacing w:before="60" w:after="60"/>
              <w:rPr>
                <w:bCs/>
              </w:rPr>
            </w:pPr>
            <w:r w:rsidRPr="00064185">
              <w:rPr>
                <w:bCs/>
              </w:rPr>
              <w:t>[m²]</w:t>
            </w:r>
          </w:p>
        </w:tc>
        <w:tc>
          <w:tcPr>
            <w:tcW w:w="0" w:type="auto"/>
            <w:vAlign w:val="center"/>
          </w:tcPr>
          <w:p w14:paraId="4A6ED2F8" w14:textId="09D7561C" w:rsidR="00240C2D" w:rsidRPr="00064185" w:rsidRDefault="00240C2D" w:rsidP="00EA61D8">
            <w:pPr>
              <w:spacing w:before="60" w:after="60"/>
              <w:rPr>
                <w:bCs/>
              </w:rPr>
            </w:pPr>
            <w:r w:rsidRPr="00064185">
              <w:rPr>
                <w:lang w:val="en-US"/>
              </w:rPr>
              <w:t>AREA</w:t>
            </w:r>
            <w:r w:rsidRPr="00064185">
              <w:rPr>
                <w:vertAlign w:val="subscript"/>
                <w:lang w:val="en-US"/>
              </w:rPr>
              <w:t>treated</w:t>
            </w:r>
          </w:p>
        </w:tc>
        <w:tc>
          <w:tcPr>
            <w:tcW w:w="0" w:type="auto"/>
            <w:vAlign w:val="center"/>
          </w:tcPr>
          <w:p w14:paraId="18A056ED" w14:textId="7586551C" w:rsidR="00240C2D" w:rsidRPr="00064185" w:rsidRDefault="00240C2D" w:rsidP="00EA61D8">
            <w:pPr>
              <w:tabs>
                <w:tab w:val="right" w:pos="1295"/>
              </w:tabs>
              <w:spacing w:before="60" w:after="60"/>
            </w:pPr>
            <w:r w:rsidRPr="00064185">
              <w:rPr>
                <w:rFonts w:eastAsia="Calibri"/>
                <w:lang w:val="en-US" w:eastAsia="en-GB"/>
              </w:rPr>
              <w:t>1.5</w:t>
            </w:r>
            <w:r w:rsidRPr="00064185">
              <w:rPr>
                <w:rFonts w:eastAsia="Calibri"/>
                <w:vertAlign w:val="superscript"/>
                <w:lang w:val="en-US" w:eastAsia="en-GB"/>
              </w:rPr>
              <w:t>*</w:t>
            </w:r>
          </w:p>
        </w:tc>
      </w:tr>
      <w:tr w:rsidR="00064185" w:rsidRPr="00064185" w14:paraId="27CB495E" w14:textId="77777777" w:rsidTr="00C45AD7">
        <w:trPr>
          <w:cantSplit/>
          <w:trHeight w:val="567"/>
          <w:tblHeader/>
        </w:trPr>
        <w:tc>
          <w:tcPr>
            <w:tcW w:w="0" w:type="auto"/>
            <w:vAlign w:val="center"/>
          </w:tcPr>
          <w:p w14:paraId="3864F188" w14:textId="7CD4095A" w:rsidR="00240C2D" w:rsidRPr="00064185" w:rsidRDefault="00240C2D" w:rsidP="00EA61D8">
            <w:pPr>
              <w:spacing w:before="60" w:after="60"/>
              <w:rPr>
                <w:bCs/>
              </w:rPr>
            </w:pPr>
            <w:r w:rsidRPr="00064185">
              <w:rPr>
                <w:rFonts w:eastAsia="Calibri"/>
                <w:lang w:val="en-US" w:eastAsia="en-GB"/>
              </w:rPr>
              <w:lastRenderedPageBreak/>
              <w:t>Fraction emitted to soil during outdoor foundation spray application</w:t>
            </w:r>
          </w:p>
        </w:tc>
        <w:tc>
          <w:tcPr>
            <w:tcW w:w="0" w:type="auto"/>
            <w:vAlign w:val="center"/>
          </w:tcPr>
          <w:p w14:paraId="1392C10E" w14:textId="4448B945" w:rsidR="00240C2D" w:rsidRPr="00064185" w:rsidRDefault="00240C2D" w:rsidP="00EA61D8">
            <w:pPr>
              <w:spacing w:before="60" w:after="60"/>
              <w:rPr>
                <w:bCs/>
              </w:rPr>
            </w:pPr>
            <w:r w:rsidRPr="00064185">
              <w:rPr>
                <w:bCs/>
              </w:rPr>
              <w:t>[-]</w:t>
            </w:r>
          </w:p>
        </w:tc>
        <w:tc>
          <w:tcPr>
            <w:tcW w:w="0" w:type="auto"/>
            <w:vAlign w:val="center"/>
          </w:tcPr>
          <w:p w14:paraId="0004F6FA" w14:textId="7A0F1693" w:rsidR="00240C2D" w:rsidRPr="00064185" w:rsidRDefault="00240C2D" w:rsidP="00EA61D8">
            <w:pPr>
              <w:spacing w:before="60" w:after="60"/>
              <w:rPr>
                <w:bCs/>
              </w:rPr>
            </w:pPr>
            <w:r w:rsidRPr="00064185">
              <w:rPr>
                <w:lang w:val="en-US"/>
              </w:rPr>
              <w:t>F</w:t>
            </w:r>
            <w:r w:rsidRPr="00064185">
              <w:rPr>
                <w:vertAlign w:val="subscript"/>
                <w:lang w:val="en-US"/>
              </w:rPr>
              <w:t>spray,terrace</w:t>
            </w:r>
          </w:p>
        </w:tc>
        <w:tc>
          <w:tcPr>
            <w:tcW w:w="0" w:type="auto"/>
            <w:vAlign w:val="center"/>
          </w:tcPr>
          <w:p w14:paraId="598393D5" w14:textId="2FE1EB9B" w:rsidR="00240C2D" w:rsidRPr="00064185" w:rsidRDefault="00240C2D" w:rsidP="00EA61D8">
            <w:pPr>
              <w:tabs>
                <w:tab w:val="right" w:pos="1295"/>
              </w:tabs>
              <w:spacing w:before="60" w:after="60"/>
            </w:pPr>
            <w:r w:rsidRPr="00064185">
              <w:t>0.3</w:t>
            </w:r>
          </w:p>
        </w:tc>
      </w:tr>
      <w:tr w:rsidR="00064185" w:rsidRPr="00064185" w14:paraId="515AE959" w14:textId="77777777" w:rsidTr="00C45AD7">
        <w:trPr>
          <w:cantSplit/>
          <w:trHeight w:val="567"/>
          <w:tblHeader/>
        </w:trPr>
        <w:tc>
          <w:tcPr>
            <w:tcW w:w="0" w:type="auto"/>
            <w:vAlign w:val="center"/>
          </w:tcPr>
          <w:p w14:paraId="141E2F7E" w14:textId="1285BFCF" w:rsidR="00EE5400" w:rsidRPr="00064185" w:rsidRDefault="00EE5400" w:rsidP="00EA61D8">
            <w:pPr>
              <w:spacing w:before="60" w:after="60"/>
              <w:rPr>
                <w:bCs/>
                <w:highlight w:val="yellow"/>
              </w:rPr>
            </w:pPr>
            <w:r w:rsidRPr="00064185">
              <w:rPr>
                <w:rFonts w:eastAsia="Calibri"/>
                <w:lang w:val="en-US" w:eastAsia="en-GB"/>
              </w:rPr>
              <w:t>Fraction emitted to soil due to foundation wash-off by rainfall</w:t>
            </w:r>
          </w:p>
        </w:tc>
        <w:tc>
          <w:tcPr>
            <w:tcW w:w="0" w:type="auto"/>
            <w:vAlign w:val="center"/>
          </w:tcPr>
          <w:p w14:paraId="6510B5BC" w14:textId="460144C7" w:rsidR="00EE5400" w:rsidRPr="00064185" w:rsidRDefault="00EE5400" w:rsidP="00EA61D8">
            <w:pPr>
              <w:spacing w:before="60" w:after="60"/>
              <w:rPr>
                <w:bCs/>
                <w:highlight w:val="yellow"/>
              </w:rPr>
            </w:pPr>
            <w:r w:rsidRPr="00064185">
              <w:rPr>
                <w:bCs/>
              </w:rPr>
              <w:t>[-]</w:t>
            </w:r>
          </w:p>
        </w:tc>
        <w:tc>
          <w:tcPr>
            <w:tcW w:w="0" w:type="auto"/>
            <w:vAlign w:val="center"/>
          </w:tcPr>
          <w:p w14:paraId="4D18D9A5" w14:textId="1A7D2751" w:rsidR="00EE5400" w:rsidRPr="00064185" w:rsidRDefault="00EE5400" w:rsidP="00EA61D8">
            <w:pPr>
              <w:spacing w:before="60" w:after="60"/>
              <w:rPr>
                <w:bCs/>
                <w:highlight w:val="yellow"/>
              </w:rPr>
            </w:pPr>
            <w:r w:rsidRPr="00064185">
              <w:rPr>
                <w:lang w:val="en-US"/>
              </w:rPr>
              <w:t>F</w:t>
            </w:r>
            <w:r w:rsidRPr="00064185">
              <w:rPr>
                <w:vertAlign w:val="subscript"/>
                <w:lang w:val="en-US"/>
              </w:rPr>
              <w:t>spray,wash-off</w:t>
            </w:r>
          </w:p>
        </w:tc>
        <w:tc>
          <w:tcPr>
            <w:tcW w:w="0" w:type="auto"/>
            <w:vAlign w:val="center"/>
          </w:tcPr>
          <w:p w14:paraId="4D625B71" w14:textId="4E5A05A6" w:rsidR="00EE5400" w:rsidRPr="00064185" w:rsidRDefault="00EE5400" w:rsidP="00EA61D8">
            <w:pPr>
              <w:tabs>
                <w:tab w:val="right" w:pos="1295"/>
              </w:tabs>
              <w:spacing w:before="60" w:after="60"/>
              <w:rPr>
                <w:highlight w:val="yellow"/>
              </w:rPr>
            </w:pPr>
            <w:r w:rsidRPr="00064185">
              <w:rPr>
                <w:rFonts w:eastAsia="Calibri"/>
                <w:lang w:val="en-US" w:eastAsia="en-GB"/>
              </w:rPr>
              <w:t>0.5</w:t>
            </w:r>
          </w:p>
        </w:tc>
      </w:tr>
      <w:tr w:rsidR="00064185" w:rsidRPr="00064185" w14:paraId="368DBF5C" w14:textId="77777777" w:rsidTr="00C45AD7">
        <w:trPr>
          <w:cantSplit/>
          <w:trHeight w:val="567"/>
          <w:tblHeader/>
        </w:trPr>
        <w:tc>
          <w:tcPr>
            <w:tcW w:w="0" w:type="auto"/>
            <w:vAlign w:val="center"/>
          </w:tcPr>
          <w:p w14:paraId="67E9DB32" w14:textId="2E7124F2" w:rsidR="00240C2D" w:rsidRPr="00064185" w:rsidRDefault="00806C2D" w:rsidP="00EA61D8">
            <w:pPr>
              <w:spacing w:before="60" w:after="60"/>
              <w:rPr>
                <w:bCs/>
              </w:rPr>
            </w:pPr>
            <w:r w:rsidRPr="00064185">
              <w:rPr>
                <w:bCs/>
              </w:rPr>
              <w:t>Number of houses</w:t>
            </w:r>
            <w:r w:rsidR="00240C2D" w:rsidRPr="00064185">
              <w:rPr>
                <w:bCs/>
              </w:rPr>
              <w:t xml:space="preserve"> connected to STP </w:t>
            </w:r>
          </w:p>
        </w:tc>
        <w:tc>
          <w:tcPr>
            <w:tcW w:w="0" w:type="auto"/>
            <w:vAlign w:val="center"/>
          </w:tcPr>
          <w:p w14:paraId="118AF026" w14:textId="77777777" w:rsidR="00240C2D" w:rsidRPr="00064185" w:rsidRDefault="00240C2D" w:rsidP="00EA61D8">
            <w:pPr>
              <w:spacing w:before="60" w:after="60"/>
              <w:rPr>
                <w:bCs/>
              </w:rPr>
            </w:pPr>
            <w:r w:rsidRPr="00064185">
              <w:rPr>
                <w:bCs/>
              </w:rPr>
              <w:t>[-]</w:t>
            </w:r>
          </w:p>
        </w:tc>
        <w:tc>
          <w:tcPr>
            <w:tcW w:w="0" w:type="auto"/>
            <w:vAlign w:val="center"/>
          </w:tcPr>
          <w:p w14:paraId="1A2B9343" w14:textId="77777777" w:rsidR="00240C2D" w:rsidRPr="00064185" w:rsidRDefault="00240C2D" w:rsidP="00EA61D8">
            <w:pPr>
              <w:spacing w:before="60" w:after="60"/>
              <w:rPr>
                <w:bCs/>
              </w:rPr>
            </w:pPr>
            <w:r w:rsidRPr="00064185">
              <w:rPr>
                <w:bCs/>
              </w:rPr>
              <w:t>N</w:t>
            </w:r>
            <w:r w:rsidRPr="00064185">
              <w:rPr>
                <w:bCs/>
                <w:vertAlign w:val="subscript"/>
              </w:rPr>
              <w:t>buildings</w:t>
            </w:r>
          </w:p>
        </w:tc>
        <w:tc>
          <w:tcPr>
            <w:tcW w:w="0" w:type="auto"/>
            <w:vAlign w:val="center"/>
          </w:tcPr>
          <w:p w14:paraId="14BD2053" w14:textId="52C240BA" w:rsidR="00240C2D" w:rsidRPr="00064185" w:rsidRDefault="00143765" w:rsidP="00EA61D8">
            <w:pPr>
              <w:tabs>
                <w:tab w:val="right" w:pos="1295"/>
              </w:tabs>
              <w:spacing w:before="60" w:after="60"/>
            </w:pPr>
            <w:r w:rsidRPr="00064185">
              <w:rPr>
                <w:bCs/>
              </w:rPr>
              <w:t>2500</w:t>
            </w:r>
          </w:p>
        </w:tc>
      </w:tr>
      <w:tr w:rsidR="00064185" w:rsidRPr="00064185" w14:paraId="75F267FE" w14:textId="77777777" w:rsidTr="00C45AD7">
        <w:trPr>
          <w:cantSplit/>
          <w:trHeight w:val="567"/>
          <w:tblHeader/>
        </w:trPr>
        <w:tc>
          <w:tcPr>
            <w:tcW w:w="0" w:type="auto"/>
            <w:vAlign w:val="center"/>
            <w:hideMark/>
          </w:tcPr>
          <w:p w14:paraId="76F2F087" w14:textId="77777777" w:rsidR="00240C2D" w:rsidRPr="00064185" w:rsidRDefault="00240C2D" w:rsidP="00EA61D8">
            <w:pPr>
              <w:spacing w:before="60" w:after="60"/>
              <w:rPr>
                <w:bCs/>
              </w:rPr>
            </w:pPr>
            <w:r w:rsidRPr="00064185">
              <w:rPr>
                <w:bCs/>
              </w:rPr>
              <w:t>Simultaneity factor</w:t>
            </w:r>
          </w:p>
        </w:tc>
        <w:tc>
          <w:tcPr>
            <w:tcW w:w="0" w:type="auto"/>
            <w:vAlign w:val="center"/>
            <w:hideMark/>
          </w:tcPr>
          <w:p w14:paraId="61026F84" w14:textId="77777777" w:rsidR="00240C2D" w:rsidRPr="00064185" w:rsidRDefault="00240C2D" w:rsidP="00EA61D8">
            <w:pPr>
              <w:keepLines/>
              <w:spacing w:before="60" w:after="60"/>
              <w:rPr>
                <w:bCs/>
              </w:rPr>
            </w:pPr>
            <w:r w:rsidRPr="00064185">
              <w:rPr>
                <w:bCs/>
              </w:rPr>
              <w:t>[%]</w:t>
            </w:r>
          </w:p>
        </w:tc>
        <w:tc>
          <w:tcPr>
            <w:tcW w:w="0" w:type="auto"/>
            <w:vAlign w:val="center"/>
          </w:tcPr>
          <w:p w14:paraId="357CFA30" w14:textId="77777777" w:rsidR="00240C2D" w:rsidRPr="00064185" w:rsidRDefault="00240C2D" w:rsidP="00EA61D8">
            <w:pPr>
              <w:keepLines/>
              <w:spacing w:before="60" w:after="60"/>
              <w:rPr>
                <w:bCs/>
              </w:rPr>
            </w:pPr>
            <w:r w:rsidRPr="00064185">
              <w:rPr>
                <w:bCs/>
              </w:rPr>
              <w:t>F</w:t>
            </w:r>
            <w:r w:rsidRPr="00064185">
              <w:rPr>
                <w:bCs/>
                <w:vertAlign w:val="subscript"/>
              </w:rPr>
              <w:t>simultaneity</w:t>
            </w:r>
          </w:p>
        </w:tc>
        <w:tc>
          <w:tcPr>
            <w:tcW w:w="0" w:type="auto"/>
            <w:vAlign w:val="center"/>
          </w:tcPr>
          <w:p w14:paraId="35A42A2A" w14:textId="445E1F30" w:rsidR="00240C2D" w:rsidRPr="00064185" w:rsidRDefault="004C6BFD" w:rsidP="00EA61D8">
            <w:pPr>
              <w:keepLines/>
              <w:tabs>
                <w:tab w:val="right" w:pos="1295"/>
              </w:tabs>
              <w:spacing w:before="60" w:after="60"/>
            </w:pPr>
            <w:r w:rsidRPr="00064185">
              <w:t>0.815</w:t>
            </w:r>
          </w:p>
        </w:tc>
      </w:tr>
    </w:tbl>
    <w:p w14:paraId="6729456F" w14:textId="146F9696" w:rsidR="00240C2D" w:rsidRPr="00064185" w:rsidRDefault="00240C2D" w:rsidP="00EA61D8">
      <w:pPr>
        <w:pStyle w:val="Absatz"/>
        <w:ind w:left="0"/>
        <w:rPr>
          <w:rFonts w:ascii="Verdana" w:hAnsi="Verdana"/>
          <w:sz w:val="16"/>
          <w:szCs w:val="16"/>
          <w:lang w:val="en-US"/>
        </w:rPr>
      </w:pPr>
      <w:r w:rsidRPr="00064185">
        <w:rPr>
          <w:rFonts w:ascii="Verdana" w:eastAsia="Calibri" w:hAnsi="Verdana"/>
          <w:sz w:val="16"/>
          <w:szCs w:val="16"/>
          <w:lang w:val="en-US" w:eastAsia="en-US"/>
        </w:rPr>
        <w:t>*</w:t>
      </w:r>
      <w:r w:rsidRPr="00064185">
        <w:rPr>
          <w:rFonts w:ascii="Verdana" w:hAnsi="Verdana"/>
          <w:sz w:val="16"/>
          <w:szCs w:val="16"/>
          <w:lang w:val="en-US"/>
        </w:rPr>
        <w:t xml:space="preserve"> Adaption of the ESD </w:t>
      </w:r>
      <w:r w:rsidR="00E1432E" w:rsidRPr="00064185">
        <w:rPr>
          <w:rFonts w:ascii="Verdana" w:hAnsi="Verdana"/>
          <w:sz w:val="16"/>
          <w:szCs w:val="16"/>
          <w:lang w:val="en-US"/>
        </w:rPr>
        <w:t>PT</w:t>
      </w:r>
      <w:r w:rsidRPr="00064185">
        <w:rPr>
          <w:rFonts w:ascii="Verdana" w:hAnsi="Verdana"/>
          <w:sz w:val="16"/>
          <w:szCs w:val="16"/>
          <w:lang w:val="en-US"/>
        </w:rPr>
        <w:t xml:space="preserve">18 assumption is made. The typical area that is treated for ant control is adapted to 1.5 m² as treatment is only required for restricted infested zones. </w:t>
      </w:r>
    </w:p>
    <w:p w14:paraId="50B9A6F3" w14:textId="77777777" w:rsidR="00240C2D" w:rsidRPr="00064185" w:rsidRDefault="00240C2D" w:rsidP="00EA61D8">
      <w:pPr>
        <w:rPr>
          <w:lang w:val="en-US"/>
        </w:rPr>
      </w:pPr>
    </w:p>
    <w:p w14:paraId="20A9B75C" w14:textId="77777777" w:rsidR="00240C2D" w:rsidRPr="00064185" w:rsidRDefault="00240C2D" w:rsidP="00EA61D8"/>
    <w:p w14:paraId="15D5B966" w14:textId="77777777" w:rsidR="002910B0" w:rsidRPr="00064185" w:rsidRDefault="002910B0" w:rsidP="006A7704">
      <w:pPr>
        <w:pStyle w:val="Textkrper2"/>
        <w:jc w:val="both"/>
        <w:rPr>
          <w:color w:val="auto"/>
          <w:u w:val="single"/>
        </w:rPr>
      </w:pPr>
      <w:r w:rsidRPr="00064185">
        <w:rPr>
          <w:color w:val="auto"/>
          <w:u w:val="single"/>
        </w:rPr>
        <w:t xml:space="preserve">Direct emissions to soil as a result of wash-off by rainfall (rural areas): </w:t>
      </w:r>
    </w:p>
    <w:p w14:paraId="3D2CC29A" w14:textId="184077C1" w:rsidR="00503559" w:rsidRPr="00064185" w:rsidRDefault="00503559" w:rsidP="006A7704">
      <w:pPr>
        <w:autoSpaceDE w:val="0"/>
        <w:autoSpaceDN w:val="0"/>
        <w:adjustRightInd w:val="0"/>
        <w:jc w:val="both"/>
        <w:rPr>
          <w:lang w:val="en-US"/>
        </w:rPr>
      </w:pPr>
      <w:r w:rsidRPr="00064185">
        <w:rPr>
          <w:lang w:val="en-US"/>
        </w:rPr>
        <w:t xml:space="preserve">During spray application on hard surfaces, a fraction of the solution actually applied on the surface may eventually reach the soil via run-off. </w:t>
      </w:r>
      <w:r w:rsidR="00476824" w:rsidRPr="00064185">
        <w:rPr>
          <w:lang w:val="en-US"/>
        </w:rPr>
        <w:t>In line with the emission factors in ESD</w:t>
      </w:r>
      <w:r w:rsidR="00A01A00" w:rsidRPr="00064185">
        <w:rPr>
          <w:lang w:val="en-US"/>
        </w:rPr>
        <w:t xml:space="preserve"> </w:t>
      </w:r>
      <w:r w:rsidR="00476824" w:rsidRPr="00064185">
        <w:rPr>
          <w:lang w:val="en-US"/>
        </w:rPr>
        <w:t>for outdoor spray applications, i</w:t>
      </w:r>
      <w:r w:rsidRPr="00064185">
        <w:rPr>
          <w:lang w:val="en-US"/>
        </w:rPr>
        <w:t>t is assumed that 70% of the product applied remains on the surface after application.</w:t>
      </w:r>
      <w:r w:rsidR="00476824" w:rsidRPr="00064185">
        <w:rPr>
          <w:lang w:val="en-US"/>
        </w:rPr>
        <w:t xml:space="preserve"> It should be noted that, 30% loss due to deposition and runoff can be considered as worst case as it is more related to vertical surfaces.</w:t>
      </w:r>
    </w:p>
    <w:p w14:paraId="79327292" w14:textId="15B019BB" w:rsidR="00503559" w:rsidRPr="00064185" w:rsidRDefault="00503559" w:rsidP="006A7704">
      <w:pPr>
        <w:autoSpaceDE w:val="0"/>
        <w:autoSpaceDN w:val="0"/>
        <w:adjustRightInd w:val="0"/>
        <w:jc w:val="both"/>
        <w:rPr>
          <w:lang w:val="en-US"/>
        </w:rPr>
      </w:pPr>
      <w:r w:rsidRPr="00064185">
        <w:rPr>
          <w:lang w:val="en-US"/>
        </w:rPr>
        <w:t>The quantity of substance that is washed off by rainfall is dependent to some extent on the type of surface that is treated (e.g. concrete, cement, tiles).</w:t>
      </w:r>
      <w:r w:rsidRPr="00064185">
        <w:rPr>
          <w:rFonts w:cs="TimesNewRoman"/>
          <w:sz w:val="22"/>
          <w:szCs w:val="22"/>
        </w:rPr>
        <w:t xml:space="preserve"> </w:t>
      </w:r>
      <w:r w:rsidR="00B87A84" w:rsidRPr="00064185">
        <w:rPr>
          <w:lang w:val="en-US"/>
        </w:rPr>
        <w:t>In the absence of validated model, the ESD</w:t>
      </w:r>
      <w:r w:rsidR="00A01A00" w:rsidRPr="00064185">
        <w:rPr>
          <w:lang w:val="en-US"/>
        </w:rPr>
        <w:t xml:space="preserve"> PT18</w:t>
      </w:r>
      <w:r w:rsidR="00B87A84" w:rsidRPr="00064185">
        <w:rPr>
          <w:lang w:val="en-US"/>
        </w:rPr>
        <w:t xml:space="preserve"> proposes to use default value of</w:t>
      </w:r>
      <w:r w:rsidRPr="00064185">
        <w:rPr>
          <w:lang w:val="en-US"/>
        </w:rPr>
        <w:t xml:space="preserve"> 50% of the applied substance </w:t>
      </w:r>
      <w:r w:rsidR="00B87A84" w:rsidRPr="00064185">
        <w:rPr>
          <w:lang w:val="en-US"/>
        </w:rPr>
        <w:t xml:space="preserve">washed of </w:t>
      </w:r>
      <w:r w:rsidRPr="00064185">
        <w:rPr>
          <w:lang w:val="en-US"/>
        </w:rPr>
        <w:t>the surface during the first rain event.</w:t>
      </w:r>
    </w:p>
    <w:p w14:paraId="1F624912" w14:textId="77777777" w:rsidR="00503559" w:rsidRPr="00064185" w:rsidRDefault="00503559" w:rsidP="00EA61D8">
      <w:pPr>
        <w:pStyle w:val="Absatz"/>
        <w:spacing w:line="260" w:lineRule="atLeast"/>
        <w:ind w:left="0"/>
        <w:rPr>
          <w:rFonts w:ascii="Verdana" w:hAnsi="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01"/>
        <w:gridCol w:w="709"/>
        <w:gridCol w:w="3544"/>
        <w:gridCol w:w="1474"/>
      </w:tblGrid>
      <w:tr w:rsidR="00064185" w:rsidRPr="00064185" w14:paraId="66DC2777" w14:textId="77777777" w:rsidTr="00034CBD">
        <w:trPr>
          <w:cantSplit/>
        </w:trPr>
        <w:tc>
          <w:tcPr>
            <w:tcW w:w="9328" w:type="dxa"/>
            <w:gridSpan w:val="4"/>
            <w:shd w:val="clear" w:color="auto" w:fill="E5DFEC" w:themeFill="accent4" w:themeFillTint="33"/>
            <w:noWrap/>
            <w:vAlign w:val="center"/>
          </w:tcPr>
          <w:p w14:paraId="1899FF19" w14:textId="77777777" w:rsidR="00503559" w:rsidRPr="00064185" w:rsidRDefault="00503559" w:rsidP="00EA61D8">
            <w:pPr>
              <w:pStyle w:val="Tabellenformat"/>
              <w:keepNext/>
              <w:spacing w:before="60" w:after="60" w:line="260" w:lineRule="atLeast"/>
              <w:rPr>
                <w:b/>
                <w:lang w:val="en-US"/>
              </w:rPr>
            </w:pPr>
            <w:r w:rsidRPr="00064185">
              <w:rPr>
                <w:b/>
                <w:lang w:val="en-US"/>
              </w:rPr>
              <w:t>Resulting emissions to soil during application phase, i.e. run-off</w:t>
            </w:r>
          </w:p>
        </w:tc>
      </w:tr>
      <w:tr w:rsidR="00064185" w:rsidRPr="00064185" w14:paraId="187FB821" w14:textId="77777777" w:rsidTr="000F6A10">
        <w:trPr>
          <w:cantSplit/>
          <w:trHeight w:val="144"/>
        </w:trPr>
        <w:tc>
          <w:tcPr>
            <w:tcW w:w="3601" w:type="dxa"/>
            <w:vMerge w:val="restart"/>
            <w:shd w:val="clear" w:color="auto" w:fill="auto"/>
            <w:noWrap/>
            <w:vAlign w:val="center"/>
            <w:hideMark/>
          </w:tcPr>
          <w:p w14:paraId="26E2E1B7" w14:textId="621A8B8D" w:rsidR="000F6A10" w:rsidRPr="00064185" w:rsidRDefault="000F6A10" w:rsidP="00EA61D8">
            <w:pPr>
              <w:pStyle w:val="Tabellenformat"/>
              <w:keepNext/>
              <w:spacing w:before="60" w:after="60" w:line="260" w:lineRule="atLeast"/>
              <w:rPr>
                <w:b/>
                <w:lang w:val="en-US"/>
              </w:rPr>
            </w:pPr>
            <w:r w:rsidRPr="00064185">
              <w:rPr>
                <w:b/>
                <w:bCs/>
              </w:rPr>
              <w:t>Compartment</w:t>
            </w:r>
          </w:p>
        </w:tc>
        <w:tc>
          <w:tcPr>
            <w:tcW w:w="709" w:type="dxa"/>
            <w:vMerge w:val="restart"/>
            <w:shd w:val="clear" w:color="auto" w:fill="auto"/>
            <w:noWrap/>
            <w:vAlign w:val="center"/>
          </w:tcPr>
          <w:p w14:paraId="68F9E904" w14:textId="17320106" w:rsidR="000F6A10" w:rsidRPr="00064185" w:rsidRDefault="000F6A10" w:rsidP="00EA61D8">
            <w:pPr>
              <w:pStyle w:val="Tabellenformat"/>
              <w:keepNext/>
              <w:spacing w:before="60" w:after="60" w:line="260" w:lineRule="atLeast"/>
              <w:rPr>
                <w:b/>
                <w:lang w:val="en-US"/>
              </w:rPr>
            </w:pPr>
            <w:r w:rsidRPr="00064185">
              <w:rPr>
                <w:b/>
                <w:lang w:val="en-US"/>
              </w:rPr>
              <w:t>Unit</w:t>
            </w:r>
          </w:p>
        </w:tc>
        <w:tc>
          <w:tcPr>
            <w:tcW w:w="3544" w:type="dxa"/>
            <w:vMerge w:val="restart"/>
            <w:shd w:val="clear" w:color="auto" w:fill="auto"/>
            <w:noWrap/>
            <w:vAlign w:val="center"/>
          </w:tcPr>
          <w:p w14:paraId="383782A2" w14:textId="0FDE5A92" w:rsidR="000F6A10" w:rsidRPr="00064185" w:rsidRDefault="000F6A10" w:rsidP="00EA61D8">
            <w:pPr>
              <w:pStyle w:val="Tabellenformat"/>
              <w:keepNext/>
              <w:spacing w:before="60" w:after="60" w:line="260" w:lineRule="atLeast"/>
              <w:rPr>
                <w:b/>
                <w:lang w:val="en-US"/>
              </w:rPr>
            </w:pPr>
            <w:r w:rsidRPr="00064185">
              <w:rPr>
                <w:b/>
                <w:bCs/>
              </w:rPr>
              <w:t>Definition</w:t>
            </w:r>
          </w:p>
        </w:tc>
        <w:tc>
          <w:tcPr>
            <w:tcW w:w="1474" w:type="dxa"/>
            <w:shd w:val="clear" w:color="auto" w:fill="auto"/>
            <w:noWrap/>
            <w:vAlign w:val="center"/>
          </w:tcPr>
          <w:p w14:paraId="449B6508" w14:textId="6862AF82" w:rsidR="000F6A10" w:rsidRPr="00064185" w:rsidRDefault="000F6A10" w:rsidP="00EA61D8">
            <w:pPr>
              <w:pStyle w:val="Tabellenformat"/>
              <w:keepNext/>
              <w:spacing w:before="60" w:after="60" w:line="260" w:lineRule="atLeast"/>
              <w:rPr>
                <w:b/>
                <w:lang w:val="en-US"/>
              </w:rPr>
            </w:pPr>
            <w:r w:rsidRPr="00064185">
              <w:rPr>
                <w:b/>
                <w:bCs/>
              </w:rPr>
              <w:t>Outdoor use</w:t>
            </w:r>
          </w:p>
        </w:tc>
      </w:tr>
      <w:tr w:rsidR="00064185" w:rsidRPr="00064185" w14:paraId="64F8A3CA" w14:textId="77777777" w:rsidTr="000F6A10">
        <w:trPr>
          <w:cantSplit/>
          <w:trHeight w:val="144"/>
        </w:trPr>
        <w:tc>
          <w:tcPr>
            <w:tcW w:w="3601" w:type="dxa"/>
            <w:vMerge/>
            <w:shd w:val="clear" w:color="auto" w:fill="auto"/>
            <w:noWrap/>
            <w:vAlign w:val="center"/>
          </w:tcPr>
          <w:p w14:paraId="27459C84" w14:textId="77777777" w:rsidR="000F6A10" w:rsidRPr="00064185" w:rsidRDefault="000F6A10" w:rsidP="00EA61D8">
            <w:pPr>
              <w:pStyle w:val="Tabellenformat"/>
              <w:keepNext/>
              <w:spacing w:before="60" w:after="60" w:line="260" w:lineRule="atLeast"/>
              <w:rPr>
                <w:b/>
                <w:bCs/>
              </w:rPr>
            </w:pPr>
          </w:p>
        </w:tc>
        <w:tc>
          <w:tcPr>
            <w:tcW w:w="709" w:type="dxa"/>
            <w:vMerge/>
            <w:shd w:val="clear" w:color="auto" w:fill="auto"/>
            <w:noWrap/>
            <w:vAlign w:val="center"/>
          </w:tcPr>
          <w:p w14:paraId="3492288E" w14:textId="77777777" w:rsidR="000F6A10" w:rsidRPr="00064185" w:rsidRDefault="000F6A10" w:rsidP="00EA61D8">
            <w:pPr>
              <w:pStyle w:val="Tabellenformat"/>
              <w:keepNext/>
              <w:spacing w:before="60" w:after="60" w:line="260" w:lineRule="atLeast"/>
              <w:rPr>
                <w:b/>
                <w:lang w:val="en-US"/>
              </w:rPr>
            </w:pPr>
          </w:p>
        </w:tc>
        <w:tc>
          <w:tcPr>
            <w:tcW w:w="3544" w:type="dxa"/>
            <w:vMerge/>
            <w:shd w:val="clear" w:color="auto" w:fill="auto"/>
            <w:noWrap/>
            <w:vAlign w:val="center"/>
          </w:tcPr>
          <w:p w14:paraId="662A96B1" w14:textId="77777777" w:rsidR="000F6A10" w:rsidRPr="00064185" w:rsidRDefault="000F6A10" w:rsidP="00EA61D8">
            <w:pPr>
              <w:pStyle w:val="Tabellenformat"/>
              <w:keepNext/>
              <w:spacing w:before="60" w:after="60" w:line="260" w:lineRule="atLeast"/>
              <w:rPr>
                <w:b/>
                <w:bCs/>
              </w:rPr>
            </w:pPr>
          </w:p>
        </w:tc>
        <w:tc>
          <w:tcPr>
            <w:tcW w:w="1474" w:type="dxa"/>
            <w:shd w:val="clear" w:color="auto" w:fill="auto"/>
            <w:noWrap/>
            <w:vAlign w:val="center"/>
          </w:tcPr>
          <w:p w14:paraId="0AE3EC9B" w14:textId="28D20689" w:rsidR="000F6A10" w:rsidRPr="00064185" w:rsidRDefault="000F6A10" w:rsidP="00EA61D8">
            <w:pPr>
              <w:pStyle w:val="Tabellenformat"/>
              <w:keepNext/>
              <w:spacing w:before="60" w:after="60" w:line="260" w:lineRule="atLeast"/>
              <w:rPr>
                <w:b/>
                <w:lang w:val="en-US"/>
              </w:rPr>
            </w:pPr>
            <w:r w:rsidRPr="00064185">
              <w:rPr>
                <w:b/>
                <w:bCs/>
              </w:rPr>
              <w:t>Ants</w:t>
            </w:r>
          </w:p>
        </w:tc>
      </w:tr>
      <w:tr w:rsidR="00503559" w:rsidRPr="00064185" w14:paraId="3386F965" w14:textId="77777777" w:rsidTr="000F6A10">
        <w:trPr>
          <w:cantSplit/>
        </w:trPr>
        <w:tc>
          <w:tcPr>
            <w:tcW w:w="3601" w:type="dxa"/>
            <w:shd w:val="clear" w:color="auto" w:fill="auto"/>
            <w:vAlign w:val="center"/>
            <w:hideMark/>
          </w:tcPr>
          <w:p w14:paraId="27829691" w14:textId="03B35004" w:rsidR="00503559" w:rsidRPr="00064185" w:rsidRDefault="00503559" w:rsidP="00EA61D8">
            <w:pPr>
              <w:pStyle w:val="Tabellenformat"/>
              <w:spacing w:before="60" w:after="60" w:line="260" w:lineRule="atLeast"/>
              <w:rPr>
                <w:lang w:val="en-US"/>
              </w:rPr>
            </w:pPr>
            <w:r w:rsidRPr="00064185">
              <w:rPr>
                <w:lang w:val="en-US"/>
              </w:rPr>
              <w:t>Emission to soil from outdoor spray application on terraces</w:t>
            </w:r>
          </w:p>
        </w:tc>
        <w:tc>
          <w:tcPr>
            <w:tcW w:w="709" w:type="dxa"/>
            <w:shd w:val="clear" w:color="auto" w:fill="auto"/>
            <w:noWrap/>
            <w:vAlign w:val="center"/>
          </w:tcPr>
          <w:p w14:paraId="57D70241" w14:textId="1B377E3B" w:rsidR="00503559" w:rsidRPr="00064185" w:rsidRDefault="00503559" w:rsidP="00EA61D8">
            <w:pPr>
              <w:pStyle w:val="Tabellenformat"/>
              <w:spacing w:before="60" w:after="60" w:line="260" w:lineRule="atLeast"/>
              <w:rPr>
                <w:lang w:val="en-US"/>
              </w:rPr>
            </w:pPr>
            <w:r w:rsidRPr="00064185">
              <w:rPr>
                <w:lang w:val="en-US"/>
              </w:rPr>
              <w:t>g</w:t>
            </w:r>
          </w:p>
        </w:tc>
        <w:tc>
          <w:tcPr>
            <w:tcW w:w="3544" w:type="dxa"/>
            <w:shd w:val="clear" w:color="auto" w:fill="auto"/>
            <w:noWrap/>
            <w:vAlign w:val="center"/>
          </w:tcPr>
          <w:p w14:paraId="0129C83F" w14:textId="21961D5D" w:rsidR="00503559" w:rsidRPr="00064185" w:rsidRDefault="00503559" w:rsidP="00EA61D8">
            <w:pPr>
              <w:pStyle w:val="Tabellenformat"/>
              <w:spacing w:before="60" w:after="60" w:line="260" w:lineRule="atLeast"/>
              <w:rPr>
                <w:lang w:val="en-US"/>
              </w:rPr>
            </w:pPr>
            <w:r w:rsidRPr="00064185">
              <w:rPr>
                <w:lang w:val="en-US"/>
              </w:rPr>
              <w:t>E</w:t>
            </w:r>
            <w:r w:rsidRPr="00064185">
              <w:rPr>
                <w:vertAlign w:val="subscript"/>
                <w:lang w:val="en-US"/>
              </w:rPr>
              <w:t>spray,terrace</w:t>
            </w:r>
            <w:r w:rsidRPr="00064185">
              <w:rPr>
                <w:lang w:val="en-US"/>
              </w:rPr>
              <w:t xml:space="preserve"> = Q</w:t>
            </w:r>
            <w:r w:rsidRPr="00064185">
              <w:rPr>
                <w:vertAlign w:val="subscript"/>
                <w:lang w:val="en-US"/>
              </w:rPr>
              <w:t>prod</w:t>
            </w:r>
            <w:r w:rsidRPr="00064185">
              <w:rPr>
                <w:lang w:val="en-US"/>
              </w:rPr>
              <w:t xml:space="preserve"> × F</w:t>
            </w:r>
            <w:r w:rsidRPr="00064185">
              <w:rPr>
                <w:vertAlign w:val="subscript"/>
                <w:lang w:val="en-US"/>
              </w:rPr>
              <w:t>AI</w:t>
            </w:r>
            <w:r w:rsidRPr="00064185">
              <w:rPr>
                <w:lang w:val="en-US"/>
              </w:rPr>
              <w:t xml:space="preserve"> × AREA</w:t>
            </w:r>
            <w:r w:rsidRPr="00064185">
              <w:rPr>
                <w:vertAlign w:val="subscript"/>
                <w:lang w:val="en-US"/>
              </w:rPr>
              <w:t>treated</w:t>
            </w:r>
            <w:r w:rsidRPr="00064185">
              <w:rPr>
                <w:lang w:val="en-US"/>
              </w:rPr>
              <w:t xml:space="preserve"> × F</w:t>
            </w:r>
            <w:r w:rsidRPr="00064185">
              <w:rPr>
                <w:vertAlign w:val="subscript"/>
                <w:lang w:val="en-US"/>
              </w:rPr>
              <w:t>spray,terrace</w:t>
            </w:r>
          </w:p>
        </w:tc>
        <w:tc>
          <w:tcPr>
            <w:tcW w:w="1474" w:type="dxa"/>
            <w:shd w:val="clear" w:color="auto" w:fill="auto"/>
            <w:noWrap/>
            <w:vAlign w:val="center"/>
          </w:tcPr>
          <w:p w14:paraId="3AF3BC2E" w14:textId="3595562B" w:rsidR="00503559" w:rsidRPr="00064185" w:rsidRDefault="00034CBD" w:rsidP="00EA61D8">
            <w:pPr>
              <w:pStyle w:val="Tabellenformat"/>
              <w:spacing w:before="60" w:after="60" w:line="260" w:lineRule="atLeast"/>
              <w:rPr>
                <w:lang w:val="en-US"/>
              </w:rPr>
            </w:pPr>
            <w:r w:rsidRPr="00064185">
              <w:rPr>
                <w:lang w:val="en-US"/>
              </w:rPr>
              <w:t>0.010</w:t>
            </w:r>
          </w:p>
        </w:tc>
      </w:tr>
    </w:tbl>
    <w:p w14:paraId="7A9401D4" w14:textId="77777777" w:rsidR="00503559" w:rsidRPr="00064185" w:rsidRDefault="00503559" w:rsidP="00EA61D8">
      <w:pPr>
        <w:pStyle w:val="Absatz"/>
        <w:tabs>
          <w:tab w:val="left" w:pos="7371"/>
        </w:tabs>
        <w:ind w:left="0"/>
        <w:rPr>
          <w:rFonts w:ascii="Verdana" w:hAnsi="Verdana"/>
          <w:sz w:val="16"/>
          <w:szCs w:val="16"/>
          <w:lang w:val="en-US"/>
        </w:rPr>
      </w:pPr>
    </w:p>
    <w:p w14:paraId="1B172332" w14:textId="77777777" w:rsidR="00503559" w:rsidRPr="00064185" w:rsidRDefault="00503559" w:rsidP="00EA61D8">
      <w:pPr>
        <w:pStyle w:val="Absatz"/>
        <w:tabs>
          <w:tab w:val="left" w:pos="7371"/>
        </w:tabs>
        <w:ind w:left="0"/>
        <w:rPr>
          <w:rFonts w:ascii="Verdana" w:hAnsi="Verdana"/>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21"/>
        <w:gridCol w:w="658"/>
        <w:gridCol w:w="3563"/>
        <w:gridCol w:w="1386"/>
      </w:tblGrid>
      <w:tr w:rsidR="00064185" w:rsidRPr="00064185" w14:paraId="689D236B" w14:textId="77777777" w:rsidTr="00034CBD">
        <w:trPr>
          <w:cantSplit/>
        </w:trPr>
        <w:tc>
          <w:tcPr>
            <w:tcW w:w="0" w:type="auto"/>
            <w:gridSpan w:val="4"/>
            <w:shd w:val="clear" w:color="auto" w:fill="E5DFEC" w:themeFill="accent4" w:themeFillTint="33"/>
            <w:noWrap/>
            <w:vAlign w:val="center"/>
          </w:tcPr>
          <w:p w14:paraId="61ADEE55" w14:textId="77777777" w:rsidR="00503559" w:rsidRPr="00064185" w:rsidRDefault="00503559" w:rsidP="00EA61D8">
            <w:pPr>
              <w:pStyle w:val="Tabellenformat"/>
              <w:spacing w:before="60" w:after="60" w:line="260" w:lineRule="atLeast"/>
              <w:rPr>
                <w:b/>
                <w:lang w:val="en-US"/>
              </w:rPr>
            </w:pPr>
            <w:r w:rsidRPr="00064185">
              <w:rPr>
                <w:b/>
                <w:lang w:val="en-US"/>
              </w:rPr>
              <w:t>Resulting emissions to soil during post-application phase, i.e. wash-off</w:t>
            </w:r>
          </w:p>
        </w:tc>
      </w:tr>
      <w:tr w:rsidR="00064185" w:rsidRPr="00064185" w14:paraId="66A63503" w14:textId="77777777" w:rsidTr="000F6A10">
        <w:trPr>
          <w:cantSplit/>
          <w:trHeight w:val="144"/>
        </w:trPr>
        <w:tc>
          <w:tcPr>
            <w:tcW w:w="4025" w:type="dxa"/>
            <w:vMerge w:val="restart"/>
            <w:shd w:val="clear" w:color="auto" w:fill="auto"/>
            <w:noWrap/>
            <w:vAlign w:val="center"/>
            <w:hideMark/>
          </w:tcPr>
          <w:p w14:paraId="6F64B954" w14:textId="5EFA7BD5" w:rsidR="000F6A10" w:rsidRPr="00064185" w:rsidRDefault="000F6A10" w:rsidP="00EA61D8">
            <w:pPr>
              <w:pStyle w:val="Tabellenformat"/>
              <w:spacing w:before="60" w:after="60" w:line="260" w:lineRule="atLeast"/>
              <w:rPr>
                <w:b/>
                <w:lang w:val="en-US"/>
              </w:rPr>
            </w:pPr>
            <w:r w:rsidRPr="00064185">
              <w:rPr>
                <w:b/>
                <w:bCs/>
              </w:rPr>
              <w:t>Compartment</w:t>
            </w:r>
          </w:p>
        </w:tc>
        <w:tc>
          <w:tcPr>
            <w:tcW w:w="704" w:type="dxa"/>
            <w:vMerge w:val="restart"/>
            <w:shd w:val="clear" w:color="auto" w:fill="auto"/>
            <w:noWrap/>
            <w:vAlign w:val="center"/>
          </w:tcPr>
          <w:p w14:paraId="0626B638" w14:textId="11B0C7EA" w:rsidR="000F6A10" w:rsidRPr="00064185" w:rsidRDefault="000F6A10" w:rsidP="00EA61D8">
            <w:pPr>
              <w:pStyle w:val="Tabellenformat"/>
              <w:spacing w:before="60" w:after="60" w:line="260" w:lineRule="atLeast"/>
              <w:rPr>
                <w:b/>
                <w:lang w:val="en-US"/>
              </w:rPr>
            </w:pPr>
            <w:r w:rsidRPr="00064185">
              <w:rPr>
                <w:b/>
                <w:lang w:val="en-US"/>
              </w:rPr>
              <w:t>Unit</w:t>
            </w:r>
          </w:p>
        </w:tc>
        <w:tc>
          <w:tcPr>
            <w:tcW w:w="3855" w:type="dxa"/>
            <w:vMerge w:val="restart"/>
            <w:shd w:val="clear" w:color="auto" w:fill="auto"/>
            <w:noWrap/>
            <w:vAlign w:val="center"/>
          </w:tcPr>
          <w:p w14:paraId="4408A1B9" w14:textId="46D11A2D" w:rsidR="000F6A10" w:rsidRPr="00064185" w:rsidRDefault="000F6A10" w:rsidP="00EA61D8">
            <w:pPr>
              <w:pStyle w:val="Tabellenformat"/>
              <w:spacing w:before="60" w:after="60" w:line="260" w:lineRule="atLeast"/>
              <w:rPr>
                <w:b/>
                <w:lang w:val="en-US"/>
              </w:rPr>
            </w:pPr>
            <w:r w:rsidRPr="00064185">
              <w:rPr>
                <w:b/>
                <w:lang w:val="en-US"/>
              </w:rPr>
              <w:t>Symbol</w:t>
            </w:r>
          </w:p>
        </w:tc>
        <w:tc>
          <w:tcPr>
            <w:tcW w:w="0" w:type="auto"/>
            <w:shd w:val="clear" w:color="auto" w:fill="auto"/>
            <w:noWrap/>
            <w:vAlign w:val="center"/>
          </w:tcPr>
          <w:p w14:paraId="1A310C01" w14:textId="12DB657C" w:rsidR="000F6A10" w:rsidRPr="00064185" w:rsidRDefault="000F6A10" w:rsidP="00EA61D8">
            <w:pPr>
              <w:pStyle w:val="Tabellenformat"/>
              <w:spacing w:before="60" w:after="60" w:line="260" w:lineRule="atLeast"/>
              <w:rPr>
                <w:b/>
                <w:lang w:val="en-US"/>
              </w:rPr>
            </w:pPr>
            <w:r w:rsidRPr="00064185">
              <w:rPr>
                <w:b/>
                <w:bCs/>
              </w:rPr>
              <w:t>Outdoor use</w:t>
            </w:r>
          </w:p>
        </w:tc>
      </w:tr>
      <w:tr w:rsidR="00064185" w:rsidRPr="00064185" w14:paraId="2274FA42" w14:textId="77777777" w:rsidTr="000F6A10">
        <w:trPr>
          <w:cantSplit/>
          <w:trHeight w:val="144"/>
        </w:trPr>
        <w:tc>
          <w:tcPr>
            <w:tcW w:w="4025" w:type="dxa"/>
            <w:vMerge/>
            <w:shd w:val="clear" w:color="auto" w:fill="auto"/>
            <w:noWrap/>
            <w:vAlign w:val="center"/>
          </w:tcPr>
          <w:p w14:paraId="3E7D94E3" w14:textId="77777777" w:rsidR="000F6A10" w:rsidRPr="00064185" w:rsidRDefault="000F6A10" w:rsidP="00EA61D8">
            <w:pPr>
              <w:pStyle w:val="Tabellenformat"/>
              <w:spacing w:before="60" w:after="60" w:line="260" w:lineRule="atLeast"/>
              <w:rPr>
                <w:b/>
                <w:bCs/>
              </w:rPr>
            </w:pPr>
          </w:p>
        </w:tc>
        <w:tc>
          <w:tcPr>
            <w:tcW w:w="704" w:type="dxa"/>
            <w:vMerge/>
            <w:shd w:val="clear" w:color="auto" w:fill="auto"/>
            <w:noWrap/>
            <w:vAlign w:val="center"/>
          </w:tcPr>
          <w:p w14:paraId="72C5A96B" w14:textId="77777777" w:rsidR="000F6A10" w:rsidRPr="00064185" w:rsidRDefault="000F6A10" w:rsidP="00EA61D8">
            <w:pPr>
              <w:pStyle w:val="Tabellenformat"/>
              <w:spacing w:before="60" w:after="60" w:line="260" w:lineRule="atLeast"/>
              <w:rPr>
                <w:b/>
                <w:lang w:val="en-US"/>
              </w:rPr>
            </w:pPr>
          </w:p>
        </w:tc>
        <w:tc>
          <w:tcPr>
            <w:tcW w:w="3855" w:type="dxa"/>
            <w:vMerge/>
            <w:shd w:val="clear" w:color="auto" w:fill="auto"/>
            <w:noWrap/>
            <w:vAlign w:val="center"/>
          </w:tcPr>
          <w:p w14:paraId="24016FB9" w14:textId="77777777" w:rsidR="000F6A10" w:rsidRPr="00064185" w:rsidRDefault="000F6A10" w:rsidP="00EA61D8">
            <w:pPr>
              <w:pStyle w:val="Tabellenformat"/>
              <w:spacing w:before="60" w:after="60" w:line="260" w:lineRule="atLeast"/>
              <w:rPr>
                <w:b/>
                <w:lang w:val="en-US"/>
              </w:rPr>
            </w:pPr>
          </w:p>
        </w:tc>
        <w:tc>
          <w:tcPr>
            <w:tcW w:w="0" w:type="auto"/>
            <w:shd w:val="clear" w:color="auto" w:fill="auto"/>
            <w:noWrap/>
            <w:vAlign w:val="center"/>
          </w:tcPr>
          <w:p w14:paraId="6627DDCD" w14:textId="40B310CE" w:rsidR="000F6A10" w:rsidRPr="00064185" w:rsidRDefault="000F6A10" w:rsidP="00EA61D8">
            <w:pPr>
              <w:pStyle w:val="Tabellenformat"/>
              <w:spacing w:before="60" w:after="60" w:line="260" w:lineRule="atLeast"/>
              <w:rPr>
                <w:b/>
                <w:lang w:val="en-US"/>
              </w:rPr>
            </w:pPr>
            <w:r w:rsidRPr="00064185">
              <w:rPr>
                <w:b/>
                <w:bCs/>
              </w:rPr>
              <w:t>Ants</w:t>
            </w:r>
          </w:p>
        </w:tc>
      </w:tr>
      <w:tr w:rsidR="00503559" w:rsidRPr="00064185" w14:paraId="1BEF7415" w14:textId="77777777" w:rsidTr="000F6A10">
        <w:trPr>
          <w:cantSplit/>
        </w:trPr>
        <w:tc>
          <w:tcPr>
            <w:tcW w:w="4025" w:type="dxa"/>
            <w:shd w:val="clear" w:color="auto" w:fill="auto"/>
            <w:vAlign w:val="center"/>
            <w:hideMark/>
          </w:tcPr>
          <w:p w14:paraId="0288EB80" w14:textId="77777777" w:rsidR="00503559" w:rsidRPr="00064185" w:rsidRDefault="00503559" w:rsidP="00EA61D8">
            <w:pPr>
              <w:pStyle w:val="Tabellenformat"/>
              <w:spacing w:before="60" w:after="60" w:line="260" w:lineRule="atLeast"/>
              <w:rPr>
                <w:lang w:val="en-US"/>
              </w:rPr>
            </w:pPr>
            <w:r w:rsidRPr="00064185">
              <w:rPr>
                <w:lang w:val="en-US"/>
              </w:rPr>
              <w:t xml:space="preserve">Local emission from outdoor spray application on terrace due to wash-off </w:t>
            </w:r>
          </w:p>
        </w:tc>
        <w:tc>
          <w:tcPr>
            <w:tcW w:w="704" w:type="dxa"/>
            <w:shd w:val="clear" w:color="auto" w:fill="auto"/>
            <w:noWrap/>
            <w:vAlign w:val="center"/>
          </w:tcPr>
          <w:p w14:paraId="59BF4F5C" w14:textId="3AF25B66" w:rsidR="00503559" w:rsidRPr="00064185" w:rsidRDefault="00503559" w:rsidP="00EA61D8">
            <w:pPr>
              <w:pStyle w:val="Tabellenformat"/>
              <w:spacing w:before="60" w:after="60" w:line="260" w:lineRule="atLeast"/>
              <w:rPr>
                <w:lang w:val="en-US"/>
              </w:rPr>
            </w:pPr>
            <w:r w:rsidRPr="00064185">
              <w:rPr>
                <w:lang w:val="en-US"/>
              </w:rPr>
              <w:t>g</w:t>
            </w:r>
          </w:p>
        </w:tc>
        <w:tc>
          <w:tcPr>
            <w:tcW w:w="3855" w:type="dxa"/>
            <w:shd w:val="clear" w:color="auto" w:fill="auto"/>
            <w:noWrap/>
            <w:vAlign w:val="center"/>
          </w:tcPr>
          <w:p w14:paraId="114CA52D" w14:textId="61B35967" w:rsidR="00503559" w:rsidRPr="00064185" w:rsidRDefault="00503559" w:rsidP="00EA61D8">
            <w:pPr>
              <w:pStyle w:val="Tabellenformat"/>
              <w:spacing w:before="60" w:after="60" w:line="260" w:lineRule="atLeast"/>
              <w:rPr>
                <w:lang w:val="en-US"/>
              </w:rPr>
            </w:pPr>
            <w:r w:rsidRPr="00064185">
              <w:rPr>
                <w:lang w:val="en-US"/>
              </w:rPr>
              <w:t>E</w:t>
            </w:r>
            <w:r w:rsidRPr="00064185">
              <w:rPr>
                <w:vertAlign w:val="subscript"/>
                <w:lang w:val="en-US"/>
              </w:rPr>
              <w:t>spray,terrace,wash-off</w:t>
            </w:r>
            <w:r w:rsidRPr="00064185">
              <w:rPr>
                <w:lang w:val="en-US"/>
              </w:rPr>
              <w:t xml:space="preserve"> = AREA</w:t>
            </w:r>
            <w:r w:rsidRPr="00064185">
              <w:rPr>
                <w:vertAlign w:val="subscript"/>
                <w:lang w:val="en-US"/>
              </w:rPr>
              <w:t>treated</w:t>
            </w:r>
            <w:r w:rsidRPr="00064185">
              <w:rPr>
                <w:lang w:val="en-US"/>
              </w:rPr>
              <w:t xml:space="preserve"> × Q</w:t>
            </w:r>
            <w:r w:rsidRPr="00064185">
              <w:rPr>
                <w:vertAlign w:val="subscript"/>
                <w:lang w:val="en-US"/>
              </w:rPr>
              <w:t>prod</w:t>
            </w:r>
            <w:r w:rsidRPr="00064185">
              <w:rPr>
                <w:lang w:val="en-US"/>
              </w:rPr>
              <w:t xml:space="preserve"> × F</w:t>
            </w:r>
            <w:r w:rsidRPr="00064185">
              <w:rPr>
                <w:vertAlign w:val="subscript"/>
                <w:lang w:val="en-US"/>
              </w:rPr>
              <w:t>AI</w:t>
            </w:r>
            <w:r w:rsidR="004E653E" w:rsidRPr="00064185">
              <w:rPr>
                <w:lang w:val="en-US"/>
              </w:rPr>
              <w:t xml:space="preserve"> × </w:t>
            </w:r>
            <w:r w:rsidRPr="00064185">
              <w:rPr>
                <w:lang w:val="en-US"/>
              </w:rPr>
              <w:t>F</w:t>
            </w:r>
            <w:r w:rsidRPr="00064185">
              <w:rPr>
                <w:vertAlign w:val="subscript"/>
                <w:lang w:val="en-US"/>
              </w:rPr>
              <w:t xml:space="preserve">spray,wash-off </w:t>
            </w:r>
          </w:p>
        </w:tc>
        <w:tc>
          <w:tcPr>
            <w:tcW w:w="0" w:type="auto"/>
            <w:shd w:val="clear" w:color="auto" w:fill="auto"/>
            <w:noWrap/>
            <w:vAlign w:val="center"/>
          </w:tcPr>
          <w:p w14:paraId="44696FB6" w14:textId="529DFCE0" w:rsidR="00503559" w:rsidRPr="00064185" w:rsidRDefault="00034CBD" w:rsidP="00EA61D8">
            <w:pPr>
              <w:pStyle w:val="Tabellenformat"/>
              <w:spacing w:before="60" w:after="60" w:line="260" w:lineRule="atLeast"/>
              <w:rPr>
                <w:lang w:val="en-US"/>
              </w:rPr>
            </w:pPr>
            <w:r w:rsidRPr="00064185">
              <w:rPr>
                <w:lang w:val="en-US"/>
              </w:rPr>
              <w:t>0.017</w:t>
            </w:r>
          </w:p>
        </w:tc>
      </w:tr>
    </w:tbl>
    <w:p w14:paraId="109FE49A" w14:textId="77777777" w:rsidR="00503559" w:rsidRPr="00064185" w:rsidRDefault="00503559" w:rsidP="00EA61D8">
      <w:pPr>
        <w:pStyle w:val="Absatz"/>
        <w:spacing w:line="260" w:lineRule="atLeast"/>
        <w:ind w:left="0"/>
        <w:rPr>
          <w:rFonts w:ascii="Verdana" w:hAnsi="Verdana"/>
          <w:lang w:val="en-US"/>
        </w:rPr>
      </w:pPr>
    </w:p>
    <w:p w14:paraId="6111956D" w14:textId="32950DAF" w:rsidR="00503559" w:rsidRPr="00064185" w:rsidRDefault="00503559" w:rsidP="006A7704">
      <w:pPr>
        <w:pStyle w:val="Absatz"/>
        <w:spacing w:line="260" w:lineRule="atLeast"/>
        <w:ind w:left="0"/>
        <w:jc w:val="both"/>
        <w:rPr>
          <w:rFonts w:ascii="Verdana" w:hAnsi="Verdana"/>
          <w:lang w:val="en-US"/>
        </w:rPr>
      </w:pPr>
      <w:r w:rsidRPr="00064185">
        <w:rPr>
          <w:rFonts w:ascii="Verdana" w:hAnsi="Verdana"/>
          <w:lang w:val="en-US"/>
        </w:rPr>
        <w:t xml:space="preserve">Total emissions (application plus wash-off) are calculated according to ESD </w:t>
      </w:r>
      <w:r w:rsidR="002749E5" w:rsidRPr="00064185">
        <w:rPr>
          <w:rFonts w:ascii="Verdana" w:hAnsi="Verdana"/>
          <w:lang w:val="en-US"/>
        </w:rPr>
        <w:t>PT</w:t>
      </w:r>
      <w:r w:rsidRPr="00064185">
        <w:rPr>
          <w:rFonts w:ascii="Verdana" w:hAnsi="Verdana"/>
          <w:lang w:val="en-US"/>
        </w:rPr>
        <w:t>18, equation 51, as follows:</w:t>
      </w:r>
    </w:p>
    <w:p w14:paraId="7A9E5A40" w14:textId="77777777" w:rsidR="00503559" w:rsidRPr="00064185" w:rsidRDefault="00503559" w:rsidP="006A7704">
      <w:pPr>
        <w:pStyle w:val="Absatz"/>
        <w:spacing w:line="260" w:lineRule="atLeast"/>
        <w:ind w:left="0"/>
        <w:jc w:val="both"/>
        <w:rPr>
          <w:rFonts w:ascii="Verdana" w:hAnsi="Verdana"/>
          <w:lang w:val="en-US"/>
        </w:rPr>
      </w:pPr>
      <w:r w:rsidRPr="00064185">
        <w:rPr>
          <w:rFonts w:ascii="Verdana" w:hAnsi="Verdana"/>
          <w:lang w:val="en-US"/>
        </w:rPr>
        <w:t>E</w:t>
      </w:r>
      <w:r w:rsidRPr="00064185">
        <w:rPr>
          <w:rFonts w:ascii="Verdana" w:hAnsi="Verdana"/>
          <w:vertAlign w:val="subscript"/>
          <w:lang w:val="en-US"/>
        </w:rPr>
        <w:t>spray</w:t>
      </w:r>
      <w:proofErr w:type="gramStart"/>
      <w:r w:rsidRPr="00064185">
        <w:rPr>
          <w:rFonts w:ascii="Verdana" w:hAnsi="Verdana"/>
          <w:vertAlign w:val="subscript"/>
          <w:lang w:val="en-US"/>
        </w:rPr>
        <w:t>,crawlinginsects</w:t>
      </w:r>
      <w:proofErr w:type="gramEnd"/>
      <w:r w:rsidRPr="00064185">
        <w:rPr>
          <w:rFonts w:ascii="Verdana" w:hAnsi="Verdana"/>
          <w:lang w:val="en-US"/>
        </w:rPr>
        <w:t xml:space="preserve"> = E</w:t>
      </w:r>
      <w:r w:rsidRPr="00064185">
        <w:rPr>
          <w:rFonts w:ascii="Verdana" w:hAnsi="Verdana"/>
          <w:vertAlign w:val="subscript"/>
          <w:lang w:val="en-US"/>
        </w:rPr>
        <w:t>spray,terrace</w:t>
      </w:r>
      <w:r w:rsidRPr="00064185">
        <w:rPr>
          <w:rFonts w:ascii="Verdana" w:hAnsi="Verdana"/>
          <w:lang w:val="en-US"/>
        </w:rPr>
        <w:t xml:space="preserve"> + E</w:t>
      </w:r>
      <w:r w:rsidRPr="00064185">
        <w:rPr>
          <w:rFonts w:ascii="Verdana" w:hAnsi="Verdana"/>
          <w:vertAlign w:val="subscript"/>
          <w:lang w:val="en-US"/>
        </w:rPr>
        <w:t>spray,terrace,wash-off</w:t>
      </w:r>
    </w:p>
    <w:p w14:paraId="27F9396B" w14:textId="77777777" w:rsidR="00503559" w:rsidRPr="00064185" w:rsidRDefault="00503559" w:rsidP="006A7704">
      <w:pPr>
        <w:pStyle w:val="Absatz"/>
        <w:spacing w:line="260" w:lineRule="atLeast"/>
        <w:ind w:left="0"/>
        <w:jc w:val="both"/>
        <w:rPr>
          <w:rFonts w:ascii="Verdana" w:hAnsi="Verdana"/>
          <w:lang w:val="en-US"/>
        </w:rPr>
      </w:pPr>
    </w:p>
    <w:p w14:paraId="1F1C9491" w14:textId="4D61ADF3" w:rsidR="00503559" w:rsidRPr="00064185" w:rsidRDefault="00503559" w:rsidP="006A7704">
      <w:pPr>
        <w:pStyle w:val="Absatz"/>
        <w:spacing w:line="260" w:lineRule="atLeast"/>
        <w:ind w:left="0"/>
        <w:jc w:val="both"/>
        <w:rPr>
          <w:rFonts w:ascii="Verdana" w:hAnsi="Verdana"/>
          <w:lang w:val="en-US"/>
        </w:rPr>
      </w:pPr>
      <w:r w:rsidRPr="00064185">
        <w:rPr>
          <w:rFonts w:ascii="Verdana" w:hAnsi="Verdana"/>
          <w:lang w:val="en-US"/>
        </w:rPr>
        <w:t>Note: The parameter “E</w:t>
      </w:r>
      <w:r w:rsidRPr="00064185">
        <w:rPr>
          <w:rFonts w:ascii="Verdana" w:hAnsi="Verdana"/>
          <w:vertAlign w:val="subscript"/>
          <w:lang w:val="en-US"/>
        </w:rPr>
        <w:t>spray</w:t>
      </w:r>
      <w:proofErr w:type="gramStart"/>
      <w:r w:rsidRPr="00064185">
        <w:rPr>
          <w:rFonts w:ascii="Verdana" w:hAnsi="Verdana"/>
          <w:vertAlign w:val="subscript"/>
          <w:lang w:val="en-US"/>
        </w:rPr>
        <w:t>,soil</w:t>
      </w:r>
      <w:proofErr w:type="gramEnd"/>
      <w:r w:rsidRPr="00064185">
        <w:rPr>
          <w:rFonts w:ascii="Verdana" w:hAnsi="Verdana"/>
          <w:lang w:val="en-US"/>
        </w:rPr>
        <w:t xml:space="preserve">” (see ESD </w:t>
      </w:r>
      <w:r w:rsidR="002749E5" w:rsidRPr="00064185">
        <w:rPr>
          <w:rFonts w:ascii="Verdana" w:hAnsi="Verdana"/>
          <w:lang w:val="en-US"/>
        </w:rPr>
        <w:t>PT</w:t>
      </w:r>
      <w:r w:rsidRPr="00064185">
        <w:rPr>
          <w:rFonts w:ascii="Verdana" w:hAnsi="Verdana"/>
          <w:lang w:val="en-US"/>
        </w:rPr>
        <w:t xml:space="preserve">18, equation 51) is omitted here, since it describes direct spraying to soil (soil treatment), which is not relevant for the spray application onto terraces for </w:t>
      </w:r>
      <w:r w:rsidR="00DD0F7A" w:rsidRPr="00064185">
        <w:rPr>
          <w:rFonts w:ascii="Verdana" w:hAnsi="Verdana"/>
          <w:lang w:val="en-US"/>
        </w:rPr>
        <w:t xml:space="preserve">the </w:t>
      </w:r>
      <w:r w:rsidR="00AC0533" w:rsidRPr="00064185">
        <w:rPr>
          <w:rFonts w:ascii="Verdana" w:hAnsi="Verdana"/>
          <w:lang w:val="en-US"/>
        </w:rPr>
        <w:t>biocidal product</w:t>
      </w:r>
      <w:r w:rsidR="00DD0F7A" w:rsidRPr="00064185">
        <w:rPr>
          <w:rFonts w:ascii="Verdana" w:hAnsi="Verdana"/>
          <w:lang w:val="en-US"/>
        </w:rPr>
        <w:t>.</w:t>
      </w:r>
    </w:p>
    <w:p w14:paraId="267C3839" w14:textId="77777777" w:rsidR="00503559" w:rsidRPr="00064185" w:rsidRDefault="00503559" w:rsidP="006A7704">
      <w:pPr>
        <w:pStyle w:val="Absatz"/>
        <w:spacing w:line="260" w:lineRule="atLeast"/>
        <w:ind w:left="0"/>
        <w:jc w:val="both"/>
        <w:rPr>
          <w:rFonts w:ascii="Verdana" w:hAnsi="Verdana"/>
          <w:lang w:val="en-US"/>
        </w:rPr>
      </w:pPr>
    </w:p>
    <w:p w14:paraId="0685A95E" w14:textId="7EA93A35" w:rsidR="00503559" w:rsidRPr="00064185" w:rsidRDefault="00503559" w:rsidP="006A7704">
      <w:pPr>
        <w:pStyle w:val="Absatz"/>
        <w:spacing w:line="260" w:lineRule="atLeast"/>
        <w:ind w:left="0"/>
        <w:jc w:val="both"/>
        <w:rPr>
          <w:rFonts w:ascii="Verdana" w:hAnsi="Verdana"/>
          <w:b/>
          <w:lang w:val="en-US"/>
        </w:rPr>
      </w:pPr>
      <w:r w:rsidRPr="00064185">
        <w:rPr>
          <w:rFonts w:ascii="Verdana" w:hAnsi="Verdana"/>
          <w:b/>
          <w:lang w:val="en-US"/>
        </w:rPr>
        <w:lastRenderedPageBreak/>
        <w:t xml:space="preserve"> E</w:t>
      </w:r>
      <w:r w:rsidRPr="00064185">
        <w:rPr>
          <w:rFonts w:ascii="Verdana" w:hAnsi="Verdana"/>
          <w:b/>
          <w:vertAlign w:val="subscript"/>
          <w:lang w:val="en-US"/>
        </w:rPr>
        <w:t>spray</w:t>
      </w:r>
      <w:proofErr w:type="gramStart"/>
      <w:r w:rsidRPr="00064185">
        <w:rPr>
          <w:rFonts w:ascii="Verdana" w:hAnsi="Verdana"/>
          <w:b/>
          <w:vertAlign w:val="subscript"/>
          <w:lang w:val="en-US"/>
        </w:rPr>
        <w:t>,crawlinginsects</w:t>
      </w:r>
      <w:r w:rsidR="002D5371" w:rsidRPr="00064185">
        <w:rPr>
          <w:rFonts w:ascii="Verdana" w:hAnsi="Verdana"/>
          <w:b/>
          <w:vertAlign w:val="subscript"/>
          <w:lang w:val="en-US"/>
        </w:rPr>
        <w:t>,Soil</w:t>
      </w:r>
      <w:proofErr w:type="gramEnd"/>
      <w:r w:rsidRPr="00064185">
        <w:rPr>
          <w:rFonts w:ascii="Verdana" w:hAnsi="Verdana"/>
          <w:b/>
          <w:vertAlign w:val="subscript"/>
          <w:lang w:val="en-US"/>
        </w:rPr>
        <w:t xml:space="preserve"> </w:t>
      </w:r>
      <w:r w:rsidRPr="00064185">
        <w:rPr>
          <w:rFonts w:ascii="Verdana" w:hAnsi="Verdana"/>
          <w:b/>
          <w:lang w:val="en-US"/>
        </w:rPr>
        <w:t xml:space="preserve">= </w:t>
      </w:r>
      <w:r w:rsidR="00CA009E" w:rsidRPr="00064185">
        <w:rPr>
          <w:rFonts w:ascii="Verdana" w:hAnsi="Verdana"/>
          <w:b/>
          <w:lang w:val="en-US"/>
        </w:rPr>
        <w:t>0.027</w:t>
      </w:r>
      <w:r w:rsidR="002749E5" w:rsidRPr="00064185">
        <w:rPr>
          <w:rFonts w:ascii="Verdana" w:hAnsi="Verdana"/>
          <w:b/>
          <w:lang w:val="en-US"/>
        </w:rPr>
        <w:t xml:space="preserve"> </w:t>
      </w:r>
      <w:r w:rsidRPr="00064185">
        <w:rPr>
          <w:rFonts w:ascii="Verdana" w:hAnsi="Verdana"/>
          <w:b/>
          <w:lang w:val="en-US"/>
        </w:rPr>
        <w:t>g</w:t>
      </w:r>
    </w:p>
    <w:p w14:paraId="50BF39A3" w14:textId="77777777" w:rsidR="00503559" w:rsidRPr="00064185" w:rsidRDefault="00503559" w:rsidP="006A7704">
      <w:pPr>
        <w:pStyle w:val="Absatz"/>
        <w:spacing w:line="260" w:lineRule="atLeast"/>
        <w:ind w:left="0"/>
        <w:jc w:val="both"/>
        <w:rPr>
          <w:rFonts w:ascii="Verdana" w:hAnsi="Verdana"/>
          <w:lang w:val="en-US"/>
        </w:rPr>
      </w:pPr>
    </w:p>
    <w:p w14:paraId="34A8A665" w14:textId="77777777" w:rsidR="00240C2D" w:rsidRPr="00064185" w:rsidRDefault="00240C2D" w:rsidP="00EA61D8">
      <w:pPr>
        <w:rPr>
          <w:rFonts w:eastAsia="Calibri"/>
          <w:lang w:val="en-US" w:eastAsia="en-US"/>
        </w:rPr>
      </w:pPr>
    </w:p>
    <w:p w14:paraId="2383ABB4" w14:textId="77777777" w:rsidR="001712F5" w:rsidRPr="00064185" w:rsidRDefault="001712F5" w:rsidP="00EA61D8">
      <w:pPr>
        <w:rPr>
          <w:rFonts w:eastAsia="Calibri"/>
          <w:lang w:eastAsia="en-US"/>
        </w:rPr>
      </w:pPr>
    </w:p>
    <w:p w14:paraId="6808C79D" w14:textId="77777777" w:rsidR="00326DBC" w:rsidRPr="00064185" w:rsidRDefault="00326DBC" w:rsidP="00EA61D8">
      <w:pPr>
        <w:rPr>
          <w:rFonts w:eastAsia="Calibri"/>
          <w:lang w:eastAsia="en-US"/>
        </w:rPr>
      </w:pPr>
    </w:p>
    <w:p w14:paraId="43AB573C" w14:textId="52E9993C" w:rsidR="00677D88" w:rsidRPr="00064185" w:rsidRDefault="00326DBC" w:rsidP="006A7704">
      <w:pPr>
        <w:jc w:val="both"/>
        <w:rPr>
          <w:rFonts w:eastAsia="Calibri"/>
          <w:b/>
          <w:i/>
          <w:sz w:val="22"/>
          <w:szCs w:val="22"/>
          <w:u w:val="single"/>
          <w:lang w:eastAsia="en-US"/>
        </w:rPr>
      </w:pPr>
      <w:r w:rsidRPr="00064185">
        <w:rPr>
          <w:rFonts w:eastAsia="Calibri"/>
          <w:i/>
          <w:u w:val="single"/>
          <w:lang w:eastAsia="en-US"/>
        </w:rPr>
        <w:t>Release to the STP by treatment on hard surfaces (urban area):</w:t>
      </w:r>
    </w:p>
    <w:p w14:paraId="15CF1451" w14:textId="679D3924" w:rsidR="00E15E91" w:rsidRPr="00064185" w:rsidRDefault="002D5371" w:rsidP="006A7704">
      <w:pPr>
        <w:pStyle w:val="Absatz"/>
        <w:spacing w:line="260" w:lineRule="atLeast"/>
        <w:ind w:left="0"/>
        <w:jc w:val="both"/>
        <w:rPr>
          <w:rFonts w:ascii="Verdana" w:hAnsi="Verdana"/>
          <w:lang w:val="en-US"/>
        </w:rPr>
      </w:pPr>
      <w:r w:rsidRPr="00064185">
        <w:rPr>
          <w:rFonts w:ascii="Verdana" w:hAnsi="Verdana"/>
        </w:rPr>
        <w:t>For the calculation of the emission to the STP via terraces, which may have a connection to the sewer system, the soil emission scenario was used in the absence of a specialised scenario.</w:t>
      </w:r>
      <w:r w:rsidR="007A41B7" w:rsidRPr="00064185">
        <w:rPr>
          <w:rFonts w:ascii="Verdana" w:hAnsi="Verdana"/>
        </w:rPr>
        <w:t xml:space="preserve"> The intended application </w:t>
      </w:r>
      <w:r w:rsidR="00D85F01" w:rsidRPr="00064185">
        <w:rPr>
          <w:rFonts w:ascii="Verdana" w:hAnsi="Verdana"/>
        </w:rPr>
        <w:t xml:space="preserve">rates </w:t>
      </w:r>
      <w:r w:rsidR="007A41B7" w:rsidRPr="00064185">
        <w:rPr>
          <w:rFonts w:ascii="Verdana" w:hAnsi="Verdana"/>
        </w:rPr>
        <w:t xml:space="preserve">are </w:t>
      </w:r>
      <w:r w:rsidR="00D85F01" w:rsidRPr="00064185">
        <w:rPr>
          <w:rFonts w:ascii="Verdana" w:hAnsi="Verdana"/>
        </w:rPr>
        <w:t>44.5</w:t>
      </w:r>
      <w:r w:rsidR="007A41B7" w:rsidRPr="00064185">
        <w:rPr>
          <w:rFonts w:ascii="Verdana" w:hAnsi="Verdana"/>
        </w:rPr>
        <w:t xml:space="preserve"> g</w:t>
      </w:r>
      <w:r w:rsidR="00D85F01" w:rsidRPr="00064185">
        <w:rPr>
          <w:rFonts w:ascii="Verdana" w:hAnsi="Verdana"/>
        </w:rPr>
        <w:t>/m²</w:t>
      </w:r>
      <w:r w:rsidR="007A41B7" w:rsidRPr="00064185">
        <w:rPr>
          <w:rFonts w:ascii="Verdana" w:hAnsi="Verdana"/>
        </w:rPr>
        <w:t xml:space="preserve"> for both scenarios (i.e. emission to soil or emission to STP). Also the </w:t>
      </w:r>
      <w:r w:rsidR="00D85F01" w:rsidRPr="00064185">
        <w:rPr>
          <w:rFonts w:ascii="Verdana" w:hAnsi="Verdana"/>
        </w:rPr>
        <w:t xml:space="preserve">input </w:t>
      </w:r>
      <w:r w:rsidR="00433FB1" w:rsidRPr="00064185">
        <w:rPr>
          <w:rFonts w:ascii="Verdana" w:hAnsi="Verdana"/>
        </w:rPr>
        <w:t>parameter</w:t>
      </w:r>
      <w:r w:rsidR="006F2463" w:rsidRPr="00064185">
        <w:rPr>
          <w:rFonts w:ascii="Verdana" w:hAnsi="Verdana"/>
        </w:rPr>
        <w:t>s</w:t>
      </w:r>
      <w:r w:rsidR="00433FB1" w:rsidRPr="00064185">
        <w:rPr>
          <w:rFonts w:ascii="Verdana" w:hAnsi="Verdana"/>
        </w:rPr>
        <w:t xml:space="preserve"> relevant for determining the release per terrace </w:t>
      </w:r>
      <w:r w:rsidR="006F2463" w:rsidRPr="00064185">
        <w:rPr>
          <w:rFonts w:ascii="Verdana" w:hAnsi="Verdana"/>
        </w:rPr>
        <w:t xml:space="preserve">are </w:t>
      </w:r>
      <w:r w:rsidR="007A41B7" w:rsidRPr="00064185">
        <w:rPr>
          <w:rFonts w:ascii="Verdana" w:hAnsi="Verdana"/>
        </w:rPr>
        <w:t>the same.</w:t>
      </w:r>
      <w:r w:rsidR="007A41B7" w:rsidRPr="00064185">
        <w:t xml:space="preserve"> </w:t>
      </w:r>
      <w:r w:rsidRPr="00064185">
        <w:rPr>
          <w:rFonts w:ascii="Verdana" w:hAnsi="Verdana"/>
        </w:rPr>
        <w:t>Hence, emission</w:t>
      </w:r>
      <w:r w:rsidR="004E653E" w:rsidRPr="00064185">
        <w:rPr>
          <w:rFonts w:ascii="Verdana" w:hAnsi="Verdana"/>
        </w:rPr>
        <w:t xml:space="preserve"> </w:t>
      </w:r>
      <w:r w:rsidRPr="00064185">
        <w:rPr>
          <w:rFonts w:ascii="Verdana" w:hAnsi="Verdana"/>
        </w:rPr>
        <w:t>to the rainwater/sewage system</w:t>
      </w:r>
      <w:r w:rsidR="00835BDE" w:rsidRPr="00064185">
        <w:rPr>
          <w:rFonts w:ascii="Verdana" w:hAnsi="Verdana"/>
        </w:rPr>
        <w:t xml:space="preserve"> per terrace</w:t>
      </w:r>
      <w:r w:rsidRPr="00064185">
        <w:rPr>
          <w:rFonts w:ascii="Verdana" w:hAnsi="Verdana"/>
        </w:rPr>
        <w:t xml:space="preserve"> is </w:t>
      </w:r>
      <w:r w:rsidR="004E653E" w:rsidRPr="00064185">
        <w:rPr>
          <w:rFonts w:ascii="Verdana" w:hAnsi="Verdana"/>
        </w:rPr>
        <w:t>equal to the emission to soil</w:t>
      </w:r>
      <w:r w:rsidR="00E15E91" w:rsidRPr="00064185">
        <w:rPr>
          <w:rFonts w:ascii="Verdana" w:hAnsi="Verdana"/>
          <w:lang w:val="en-US"/>
        </w:rPr>
        <w:t>.</w:t>
      </w:r>
    </w:p>
    <w:p w14:paraId="27740B29" w14:textId="77777777" w:rsidR="00E15E91" w:rsidRPr="00064185" w:rsidRDefault="00E15E91" w:rsidP="006A7704">
      <w:pPr>
        <w:pStyle w:val="Absatz"/>
        <w:spacing w:line="260" w:lineRule="atLeast"/>
        <w:ind w:left="0"/>
        <w:jc w:val="both"/>
        <w:rPr>
          <w:rFonts w:ascii="Verdana" w:hAnsi="Verdana"/>
          <w:b/>
          <w:lang w:val="en-US"/>
        </w:rPr>
      </w:pPr>
    </w:p>
    <w:p w14:paraId="0A80485D" w14:textId="484EC373" w:rsidR="00E15E91" w:rsidRPr="00064185" w:rsidRDefault="00E15E91" w:rsidP="006A7704">
      <w:pPr>
        <w:pStyle w:val="Absatz"/>
        <w:spacing w:line="260" w:lineRule="atLeast"/>
        <w:ind w:left="0"/>
        <w:jc w:val="both"/>
        <w:rPr>
          <w:rFonts w:eastAsia="Calibri"/>
          <w:i/>
          <w:sz w:val="22"/>
          <w:szCs w:val="22"/>
          <w:lang w:eastAsia="en-US"/>
        </w:rPr>
      </w:pPr>
      <w:r w:rsidRPr="00064185">
        <w:rPr>
          <w:rFonts w:ascii="Verdana" w:hAnsi="Verdana"/>
          <w:lang w:val="en-US"/>
        </w:rPr>
        <w:t>E</w:t>
      </w:r>
      <w:r w:rsidRPr="00064185">
        <w:rPr>
          <w:rFonts w:ascii="Verdana" w:hAnsi="Verdana"/>
          <w:vertAlign w:val="subscript"/>
          <w:lang w:val="en-US"/>
        </w:rPr>
        <w:t>spray</w:t>
      </w:r>
      <w:proofErr w:type="gramStart"/>
      <w:r w:rsidRPr="00064185">
        <w:rPr>
          <w:rFonts w:ascii="Verdana" w:hAnsi="Verdana"/>
          <w:vertAlign w:val="subscript"/>
          <w:lang w:val="en-US"/>
        </w:rPr>
        <w:t>,crawlinginsects,Soil</w:t>
      </w:r>
      <w:proofErr w:type="gramEnd"/>
      <w:r w:rsidRPr="00064185">
        <w:rPr>
          <w:rFonts w:ascii="Verdana" w:hAnsi="Verdana"/>
          <w:vertAlign w:val="subscript"/>
          <w:lang w:val="en-US"/>
        </w:rPr>
        <w:t xml:space="preserve"> </w:t>
      </w:r>
      <w:r w:rsidRPr="00064185">
        <w:rPr>
          <w:rFonts w:ascii="Verdana" w:hAnsi="Verdana"/>
          <w:lang w:val="en-US"/>
        </w:rPr>
        <w:t>= E</w:t>
      </w:r>
      <w:r w:rsidRPr="00064185">
        <w:rPr>
          <w:rFonts w:ascii="Verdana" w:hAnsi="Verdana"/>
          <w:vertAlign w:val="subscript"/>
          <w:lang w:val="en-US"/>
        </w:rPr>
        <w:t xml:space="preserve">spray,crawlinginsects,STP </w:t>
      </w:r>
      <w:r w:rsidRPr="00064185">
        <w:rPr>
          <w:rFonts w:ascii="Verdana" w:hAnsi="Verdana"/>
          <w:lang w:val="en-US"/>
        </w:rPr>
        <w:t>= 0.027 g</w:t>
      </w:r>
    </w:p>
    <w:p w14:paraId="128F2F45" w14:textId="77777777" w:rsidR="00E15E91" w:rsidRPr="00064185" w:rsidRDefault="00E15E91" w:rsidP="006A7704">
      <w:pPr>
        <w:pStyle w:val="Absatz"/>
        <w:spacing w:line="260" w:lineRule="atLeast"/>
        <w:ind w:left="0"/>
        <w:jc w:val="both"/>
        <w:rPr>
          <w:rFonts w:ascii="Verdana" w:hAnsi="Verdana"/>
        </w:rPr>
      </w:pPr>
      <w:bookmarkStart w:id="1799" w:name="_Toc377651046"/>
      <w:bookmarkStart w:id="1800" w:name="_Toc389729115"/>
      <w:bookmarkStart w:id="1801" w:name="_Toc403472800"/>
      <w:bookmarkEnd w:id="1797"/>
      <w:bookmarkEnd w:id="1798"/>
    </w:p>
    <w:p w14:paraId="20AF9107" w14:textId="77777777" w:rsidR="00433FB1" w:rsidRPr="00064185" w:rsidRDefault="00433FB1" w:rsidP="006A7704">
      <w:pPr>
        <w:pStyle w:val="Absatz"/>
        <w:spacing w:line="260" w:lineRule="atLeast"/>
        <w:ind w:left="0"/>
        <w:jc w:val="both"/>
        <w:rPr>
          <w:rFonts w:ascii="Verdana" w:hAnsi="Verdana"/>
        </w:rPr>
      </w:pPr>
    </w:p>
    <w:p w14:paraId="5BF78140" w14:textId="56E48AA8" w:rsidR="00433FB1" w:rsidRPr="00064185" w:rsidRDefault="006F2463" w:rsidP="006A7704">
      <w:pPr>
        <w:autoSpaceDE w:val="0"/>
        <w:autoSpaceDN w:val="0"/>
        <w:adjustRightInd w:val="0"/>
        <w:jc w:val="both"/>
      </w:pPr>
      <w:r w:rsidRPr="00064185">
        <w:t>In order to take into account that a number of household</w:t>
      </w:r>
      <w:r w:rsidR="00806C2D" w:rsidRPr="00064185">
        <w:t>s are</w:t>
      </w:r>
      <w:r w:rsidRPr="00064185">
        <w:t xml:space="preserve"> treated</w:t>
      </w:r>
      <w:r w:rsidR="00806C2D" w:rsidRPr="00064185">
        <w:t xml:space="preserve"> at the same time, this</w:t>
      </w:r>
      <w:r w:rsidRPr="00064185">
        <w:t xml:space="preserve"> emission rate has to be </w:t>
      </w:r>
      <w:r w:rsidR="00806C2D" w:rsidRPr="00064185">
        <w:t xml:space="preserve">multiplied by the </w:t>
      </w:r>
      <w:r w:rsidR="00806C2D" w:rsidRPr="00064185">
        <w:rPr>
          <w:bCs/>
        </w:rPr>
        <w:t xml:space="preserve">number of houses connected to STP </w:t>
      </w:r>
      <w:r w:rsidR="00835BDE" w:rsidRPr="00064185">
        <w:rPr>
          <w:bCs/>
        </w:rPr>
        <w:t xml:space="preserve">and the </w:t>
      </w:r>
      <w:r w:rsidR="00835BDE" w:rsidRPr="00064185">
        <w:t>percentage</w:t>
      </w:r>
      <w:r w:rsidR="00806C2D" w:rsidRPr="00064185">
        <w:t xml:space="preserve"> of </w:t>
      </w:r>
      <w:r w:rsidR="00835BDE" w:rsidRPr="00064185">
        <w:t xml:space="preserve">this </w:t>
      </w:r>
      <w:r w:rsidR="00806C2D" w:rsidRPr="00064185">
        <w:t xml:space="preserve">houses which are treated simultaneously. </w:t>
      </w:r>
    </w:p>
    <w:p w14:paraId="7B4D79CB" w14:textId="2CEA2DDD" w:rsidR="00E15E91" w:rsidRPr="00064185" w:rsidRDefault="00E15E91" w:rsidP="00EA61D8">
      <w:pPr>
        <w:pStyle w:val="Textkrper2"/>
        <w:rPr>
          <w:rFonts w:eastAsia="Calibri"/>
          <w:i w:val="0"/>
          <w:color w:val="auto"/>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5"/>
        <w:gridCol w:w="849"/>
        <w:gridCol w:w="3119"/>
        <w:gridCol w:w="2761"/>
      </w:tblGrid>
      <w:tr w:rsidR="00064185" w:rsidRPr="00064185" w14:paraId="4124AF20" w14:textId="77777777" w:rsidTr="00E15E91">
        <w:trPr>
          <w:trHeight w:val="472"/>
        </w:trPr>
        <w:tc>
          <w:tcPr>
            <w:tcW w:w="5000" w:type="pct"/>
            <w:gridSpan w:val="4"/>
            <w:shd w:val="clear" w:color="auto" w:fill="FFFFCC"/>
            <w:vAlign w:val="center"/>
          </w:tcPr>
          <w:p w14:paraId="61DB9D0C" w14:textId="65CF5032" w:rsidR="00E15E91" w:rsidRPr="00064185" w:rsidRDefault="00E15E91" w:rsidP="00EA61D8">
            <w:pPr>
              <w:keepNext/>
              <w:spacing w:before="60" w:after="60"/>
              <w:rPr>
                <w:b/>
              </w:rPr>
            </w:pPr>
            <w:r w:rsidRPr="00064185">
              <w:rPr>
                <w:b/>
              </w:rPr>
              <w:t xml:space="preserve">Resulting emission to </w:t>
            </w:r>
            <w:r w:rsidR="00FA6FE5" w:rsidRPr="00064185">
              <w:rPr>
                <w:b/>
              </w:rPr>
              <w:t>rainwater/sewage system during outdoor use</w:t>
            </w:r>
          </w:p>
        </w:tc>
      </w:tr>
      <w:tr w:rsidR="00064185" w:rsidRPr="00064185" w14:paraId="5C3F5850" w14:textId="77777777" w:rsidTr="007631DE">
        <w:trPr>
          <w:trHeight w:val="277"/>
        </w:trPr>
        <w:tc>
          <w:tcPr>
            <w:tcW w:w="1403" w:type="pct"/>
            <w:vMerge w:val="restart"/>
            <w:vAlign w:val="center"/>
          </w:tcPr>
          <w:p w14:paraId="375F2954" w14:textId="77777777" w:rsidR="007631DE" w:rsidRPr="00064185" w:rsidRDefault="007631DE" w:rsidP="00EA61D8">
            <w:pPr>
              <w:keepNext/>
              <w:spacing w:before="60" w:after="60"/>
              <w:rPr>
                <w:b/>
                <w:bCs/>
              </w:rPr>
            </w:pPr>
            <w:r w:rsidRPr="00064185">
              <w:rPr>
                <w:b/>
                <w:bCs/>
              </w:rPr>
              <w:t>Compartment</w:t>
            </w:r>
          </w:p>
        </w:tc>
        <w:tc>
          <w:tcPr>
            <w:tcW w:w="454" w:type="pct"/>
            <w:vMerge w:val="restart"/>
            <w:vAlign w:val="center"/>
          </w:tcPr>
          <w:p w14:paraId="58C15906" w14:textId="77777777" w:rsidR="007631DE" w:rsidRPr="00064185" w:rsidRDefault="007631DE" w:rsidP="00EA61D8">
            <w:pPr>
              <w:keepNext/>
              <w:spacing w:before="60" w:after="60"/>
              <w:rPr>
                <w:b/>
                <w:bCs/>
              </w:rPr>
            </w:pPr>
            <w:r w:rsidRPr="00064185">
              <w:rPr>
                <w:b/>
                <w:bCs/>
              </w:rPr>
              <w:t>Unit</w:t>
            </w:r>
          </w:p>
        </w:tc>
        <w:tc>
          <w:tcPr>
            <w:tcW w:w="1667" w:type="pct"/>
            <w:vMerge w:val="restart"/>
            <w:vAlign w:val="center"/>
          </w:tcPr>
          <w:p w14:paraId="0C812F66" w14:textId="77777777" w:rsidR="007631DE" w:rsidRPr="00064185" w:rsidRDefault="007631DE" w:rsidP="00EA61D8">
            <w:pPr>
              <w:keepNext/>
              <w:spacing w:before="60" w:after="60"/>
              <w:rPr>
                <w:b/>
                <w:bCs/>
              </w:rPr>
            </w:pPr>
            <w:r w:rsidRPr="00064185">
              <w:rPr>
                <w:b/>
                <w:bCs/>
              </w:rPr>
              <w:t>Definition</w:t>
            </w:r>
          </w:p>
        </w:tc>
        <w:tc>
          <w:tcPr>
            <w:tcW w:w="1476" w:type="pct"/>
            <w:vAlign w:val="center"/>
          </w:tcPr>
          <w:p w14:paraId="530404F7" w14:textId="3F0985E7" w:rsidR="007631DE" w:rsidRPr="00064185" w:rsidRDefault="007631DE" w:rsidP="00EA61D8">
            <w:pPr>
              <w:keepNext/>
              <w:tabs>
                <w:tab w:val="right" w:pos="1370"/>
              </w:tabs>
              <w:spacing w:before="60" w:after="60"/>
              <w:rPr>
                <w:b/>
              </w:rPr>
            </w:pPr>
            <w:r w:rsidRPr="00064185">
              <w:rPr>
                <w:b/>
                <w:bCs/>
              </w:rPr>
              <w:t>Outdoor use</w:t>
            </w:r>
          </w:p>
        </w:tc>
      </w:tr>
      <w:tr w:rsidR="00064185" w:rsidRPr="00064185" w14:paraId="424DE4BF" w14:textId="77777777" w:rsidTr="00E15E91">
        <w:trPr>
          <w:trHeight w:val="276"/>
        </w:trPr>
        <w:tc>
          <w:tcPr>
            <w:tcW w:w="1403" w:type="pct"/>
            <w:vMerge/>
            <w:vAlign w:val="center"/>
          </w:tcPr>
          <w:p w14:paraId="1732E513" w14:textId="77777777" w:rsidR="007631DE" w:rsidRPr="00064185" w:rsidRDefault="007631DE" w:rsidP="00EA61D8">
            <w:pPr>
              <w:keepNext/>
              <w:spacing w:before="60" w:after="60"/>
              <w:rPr>
                <w:b/>
                <w:bCs/>
              </w:rPr>
            </w:pPr>
          </w:p>
        </w:tc>
        <w:tc>
          <w:tcPr>
            <w:tcW w:w="454" w:type="pct"/>
            <w:vMerge/>
            <w:vAlign w:val="center"/>
          </w:tcPr>
          <w:p w14:paraId="168AD462" w14:textId="77777777" w:rsidR="007631DE" w:rsidRPr="00064185" w:rsidRDefault="007631DE" w:rsidP="00EA61D8">
            <w:pPr>
              <w:keepNext/>
              <w:spacing w:before="60" w:after="60"/>
              <w:rPr>
                <w:b/>
                <w:bCs/>
              </w:rPr>
            </w:pPr>
          </w:p>
        </w:tc>
        <w:tc>
          <w:tcPr>
            <w:tcW w:w="1667" w:type="pct"/>
            <w:vMerge/>
            <w:vAlign w:val="center"/>
          </w:tcPr>
          <w:p w14:paraId="67027C34" w14:textId="77777777" w:rsidR="007631DE" w:rsidRPr="00064185" w:rsidRDefault="007631DE" w:rsidP="00EA61D8">
            <w:pPr>
              <w:keepNext/>
              <w:spacing w:before="60" w:after="60"/>
              <w:rPr>
                <w:b/>
                <w:bCs/>
              </w:rPr>
            </w:pPr>
          </w:p>
        </w:tc>
        <w:tc>
          <w:tcPr>
            <w:tcW w:w="1476" w:type="pct"/>
            <w:vAlign w:val="center"/>
          </w:tcPr>
          <w:p w14:paraId="6563D777" w14:textId="4852056C" w:rsidR="007631DE" w:rsidRPr="00064185" w:rsidRDefault="007631DE" w:rsidP="00EA61D8">
            <w:pPr>
              <w:keepNext/>
              <w:tabs>
                <w:tab w:val="right" w:pos="1370"/>
              </w:tabs>
              <w:spacing w:before="60" w:after="60"/>
              <w:rPr>
                <w:b/>
                <w:bCs/>
              </w:rPr>
            </w:pPr>
            <w:r w:rsidRPr="00064185">
              <w:rPr>
                <w:b/>
                <w:bCs/>
              </w:rPr>
              <w:t>Ants</w:t>
            </w:r>
          </w:p>
        </w:tc>
      </w:tr>
      <w:tr w:rsidR="00E15E91" w:rsidRPr="00064185" w14:paraId="321EC3DB" w14:textId="77777777" w:rsidTr="00E15E91">
        <w:trPr>
          <w:cantSplit/>
          <w:trHeight w:val="580"/>
        </w:trPr>
        <w:tc>
          <w:tcPr>
            <w:tcW w:w="1403" w:type="pct"/>
            <w:vAlign w:val="center"/>
            <w:hideMark/>
          </w:tcPr>
          <w:p w14:paraId="0A6957DF" w14:textId="77777777" w:rsidR="00E15E91" w:rsidRPr="00064185" w:rsidRDefault="00E15E91" w:rsidP="00EA61D8">
            <w:pPr>
              <w:keepNext/>
              <w:spacing w:before="60" w:after="60"/>
              <w:rPr>
                <w:b/>
                <w:bCs/>
              </w:rPr>
            </w:pPr>
            <w:r w:rsidRPr="00064185">
              <w:rPr>
                <w:b/>
                <w:bCs/>
              </w:rPr>
              <w:t xml:space="preserve">Emission to wastewater </w:t>
            </w:r>
          </w:p>
        </w:tc>
        <w:tc>
          <w:tcPr>
            <w:tcW w:w="454" w:type="pct"/>
            <w:vAlign w:val="center"/>
          </w:tcPr>
          <w:p w14:paraId="065CB9CB" w14:textId="77777777" w:rsidR="00E15E91" w:rsidRPr="00064185" w:rsidRDefault="00E15E91" w:rsidP="00EA61D8">
            <w:pPr>
              <w:keepNext/>
              <w:keepLines/>
              <w:spacing w:before="60" w:after="60"/>
            </w:pPr>
            <w:r w:rsidRPr="00064185">
              <w:t>[</w:t>
            </w:r>
            <w:r w:rsidRPr="00064185">
              <w:rPr>
                <w:bCs/>
              </w:rPr>
              <w:t>g/d]</w:t>
            </w:r>
          </w:p>
        </w:tc>
        <w:tc>
          <w:tcPr>
            <w:tcW w:w="1667" w:type="pct"/>
            <w:vAlign w:val="center"/>
            <w:hideMark/>
          </w:tcPr>
          <w:p w14:paraId="2E504191" w14:textId="156BF02B" w:rsidR="00E15E91" w:rsidRPr="00064185" w:rsidRDefault="00E15E91" w:rsidP="00EA61D8">
            <w:pPr>
              <w:keepNext/>
              <w:keepLines/>
              <w:spacing w:before="60" w:after="60"/>
            </w:pPr>
            <w:r w:rsidRPr="00064185">
              <w:t>E</w:t>
            </w:r>
            <w:r w:rsidRPr="00064185">
              <w:rPr>
                <w:vertAlign w:val="subscript"/>
              </w:rPr>
              <w:t>ww, houses</w:t>
            </w:r>
            <w:r w:rsidRPr="00064185">
              <w:t xml:space="preserve"> = </w:t>
            </w:r>
            <w:r w:rsidR="00FA6FE5" w:rsidRPr="00064185">
              <w:rPr>
                <w:lang w:val="en-US"/>
              </w:rPr>
              <w:t>E</w:t>
            </w:r>
            <w:r w:rsidR="00FA6FE5" w:rsidRPr="00064185">
              <w:rPr>
                <w:vertAlign w:val="subscript"/>
                <w:lang w:val="en-US"/>
              </w:rPr>
              <w:t xml:space="preserve">spray,crawlinginsects,STP </w:t>
            </w:r>
            <w:r w:rsidRPr="00064185">
              <w:t xml:space="preserve">x </w:t>
            </w:r>
            <w:r w:rsidRPr="00064185">
              <w:rPr>
                <w:bCs/>
              </w:rPr>
              <w:t>N</w:t>
            </w:r>
            <w:r w:rsidRPr="00064185">
              <w:rPr>
                <w:bCs/>
                <w:vertAlign w:val="subscript"/>
              </w:rPr>
              <w:t>house</w:t>
            </w:r>
            <w:r w:rsidRPr="00064185">
              <w:rPr>
                <w:bCs/>
              </w:rPr>
              <w:t xml:space="preserve"> x F</w:t>
            </w:r>
            <w:r w:rsidRPr="00064185">
              <w:rPr>
                <w:bCs/>
                <w:vertAlign w:val="subscript"/>
              </w:rPr>
              <w:t>simultaneity</w:t>
            </w:r>
          </w:p>
        </w:tc>
        <w:tc>
          <w:tcPr>
            <w:tcW w:w="1476" w:type="pct"/>
            <w:vAlign w:val="center"/>
          </w:tcPr>
          <w:p w14:paraId="57F02094" w14:textId="7C2A9F09" w:rsidR="00E15E91" w:rsidRPr="00064185" w:rsidRDefault="0023064E" w:rsidP="00EA61D8">
            <w:pPr>
              <w:keepNext/>
              <w:keepLines/>
              <w:tabs>
                <w:tab w:val="right" w:pos="1295"/>
              </w:tabs>
              <w:spacing w:before="60" w:after="60"/>
              <w:rPr>
                <w:b/>
              </w:rPr>
            </w:pPr>
            <w:r w:rsidRPr="00064185">
              <w:rPr>
                <w:b/>
              </w:rPr>
              <w:t>0.</w:t>
            </w:r>
            <w:r w:rsidR="009E13FC" w:rsidRPr="00064185">
              <w:rPr>
                <w:b/>
              </w:rPr>
              <w:t>5</w:t>
            </w:r>
            <w:r w:rsidR="001C56F0" w:rsidRPr="00064185">
              <w:rPr>
                <w:b/>
              </w:rPr>
              <w:t>5</w:t>
            </w:r>
          </w:p>
        </w:tc>
      </w:tr>
    </w:tbl>
    <w:p w14:paraId="34400BAD" w14:textId="77777777" w:rsidR="00E15E91" w:rsidRPr="00064185" w:rsidRDefault="00E15E91" w:rsidP="00EA61D8">
      <w:pPr>
        <w:pStyle w:val="Absatz"/>
        <w:spacing w:line="260" w:lineRule="atLeast"/>
        <w:ind w:left="0"/>
        <w:rPr>
          <w:rFonts w:eastAsia="Calibri"/>
          <w:b/>
          <w:i/>
          <w:sz w:val="22"/>
          <w:szCs w:val="22"/>
          <w:lang w:eastAsia="en-US"/>
        </w:rPr>
      </w:pPr>
    </w:p>
    <w:p w14:paraId="1A8A62CB" w14:textId="77777777" w:rsidR="002D5371" w:rsidRPr="00064185" w:rsidRDefault="002D5371" w:rsidP="00EA61D8">
      <w:pPr>
        <w:pStyle w:val="Absatz"/>
        <w:spacing w:line="260" w:lineRule="atLeast"/>
        <w:ind w:left="0"/>
        <w:rPr>
          <w:rFonts w:eastAsia="Calibri"/>
          <w:b/>
          <w:i/>
          <w:sz w:val="22"/>
          <w:szCs w:val="22"/>
          <w:lang w:eastAsia="en-US"/>
        </w:rPr>
      </w:pPr>
    </w:p>
    <w:p w14:paraId="02E9C863" w14:textId="77777777" w:rsidR="002D5371" w:rsidRPr="00064185" w:rsidRDefault="002D5371" w:rsidP="00EA61D8">
      <w:pPr>
        <w:rPr>
          <w:rFonts w:ascii="Times New Roman" w:eastAsia="Calibri" w:hAnsi="Times New Roman"/>
          <w:b/>
          <w:i/>
          <w:sz w:val="22"/>
          <w:szCs w:val="22"/>
          <w:lang w:eastAsia="en-US"/>
        </w:rPr>
      </w:pPr>
      <w:r w:rsidRPr="00064185">
        <w:rPr>
          <w:rFonts w:eastAsia="Calibri"/>
          <w:b/>
          <w:i/>
          <w:sz w:val="22"/>
          <w:szCs w:val="22"/>
          <w:lang w:eastAsia="en-US"/>
        </w:rPr>
        <w:br w:type="page"/>
      </w:r>
    </w:p>
    <w:p w14:paraId="46381954" w14:textId="7E33A661" w:rsidR="00A53EE0" w:rsidRPr="00064185" w:rsidRDefault="00A53EE0" w:rsidP="00EA61D8">
      <w:pPr>
        <w:rPr>
          <w:rFonts w:eastAsia="Calibri"/>
          <w:b/>
          <w:i/>
          <w:sz w:val="22"/>
          <w:szCs w:val="22"/>
          <w:lang w:eastAsia="en-US"/>
        </w:rPr>
      </w:pPr>
      <w:r w:rsidRPr="00064185">
        <w:rPr>
          <w:rFonts w:eastAsia="Calibri"/>
          <w:b/>
          <w:i/>
          <w:sz w:val="22"/>
          <w:szCs w:val="22"/>
          <w:lang w:eastAsia="en-US"/>
        </w:rPr>
        <w:lastRenderedPageBreak/>
        <w:t>Fate and distribution in exposed environment</w:t>
      </w:r>
      <w:bookmarkEnd w:id="1799"/>
      <w:r w:rsidRPr="00064185">
        <w:rPr>
          <w:rFonts w:eastAsia="Calibri"/>
          <w:b/>
          <w:i/>
          <w:sz w:val="22"/>
          <w:szCs w:val="22"/>
          <w:lang w:eastAsia="en-US"/>
        </w:rPr>
        <w:t>al compartments</w:t>
      </w:r>
      <w:bookmarkEnd w:id="1800"/>
      <w:bookmarkEnd w:id="1801"/>
    </w:p>
    <w:p w14:paraId="2019A628" w14:textId="70575094" w:rsidR="003061C1" w:rsidRPr="00064185" w:rsidRDefault="003061C1" w:rsidP="00EA61D8">
      <w:pPr>
        <w:autoSpaceDE w:val="0"/>
        <w:autoSpaceDN w:val="0"/>
        <w:adjustRightInd w:val="0"/>
        <w:rPr>
          <w:rFonts w:ascii="Arial" w:hAnsi="Arial" w:cs="Arial"/>
          <w:sz w:val="16"/>
          <w:szCs w:val="16"/>
          <w:lang w:val="en-US"/>
        </w:rPr>
      </w:pPr>
    </w:p>
    <w:p w14:paraId="53B0DF51" w14:textId="4AC95754" w:rsidR="003061C1" w:rsidRPr="00064185" w:rsidRDefault="003061C1" w:rsidP="006A7704">
      <w:pPr>
        <w:spacing w:line="260" w:lineRule="atLeast"/>
        <w:jc w:val="both"/>
      </w:pPr>
      <w:r w:rsidRPr="00064185">
        <w:t xml:space="preserve">In the following table the environmental compartments are summarised which might be exposed to the active substance </w:t>
      </w:r>
      <w:r w:rsidRPr="00064185">
        <w:rPr>
          <w:i/>
        </w:rPr>
        <w:t>lambda</w:t>
      </w:r>
      <w:r w:rsidRPr="00064185">
        <w:t xml:space="preserve">-cyhalothrin via indoor spray application (scenario 1) </w:t>
      </w:r>
      <w:r w:rsidR="007E441E" w:rsidRPr="00064185">
        <w:t xml:space="preserve">and </w:t>
      </w:r>
      <w:r w:rsidRPr="00064185">
        <w:t xml:space="preserve">outdoor spray application on hard surfaces (scenario 2). Due to the low volatilisation of </w:t>
      </w:r>
      <w:r w:rsidRPr="00064185">
        <w:rPr>
          <w:i/>
        </w:rPr>
        <w:t>lambda</w:t>
      </w:r>
      <w:r w:rsidRPr="00064185">
        <w:t xml:space="preserve">-cyhalothrin the compartment air has not to be addressed. </w:t>
      </w:r>
    </w:p>
    <w:p w14:paraId="4373F926" w14:textId="77777777" w:rsidR="003061C1" w:rsidRPr="00064185" w:rsidRDefault="003061C1" w:rsidP="00EA61D8">
      <w:pPr>
        <w:spacing w:line="260" w:lineRule="atLeast"/>
        <w:rPr>
          <w:rFonts w:eastAsia="Calibri"/>
          <w:strik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4"/>
        <w:gridCol w:w="1093"/>
        <w:gridCol w:w="1417"/>
        <w:gridCol w:w="1559"/>
        <w:gridCol w:w="1418"/>
        <w:gridCol w:w="1417"/>
        <w:gridCol w:w="1346"/>
      </w:tblGrid>
      <w:tr w:rsidR="00064185" w:rsidRPr="00064185" w14:paraId="0AB5AAA8" w14:textId="77777777" w:rsidTr="00DC5000">
        <w:trPr>
          <w:trHeight w:val="333"/>
          <w:tblHeader/>
        </w:trPr>
        <w:tc>
          <w:tcPr>
            <w:tcW w:w="0" w:type="auto"/>
            <w:gridSpan w:val="7"/>
            <w:shd w:val="clear" w:color="auto" w:fill="FFFFCC"/>
            <w:vAlign w:val="center"/>
          </w:tcPr>
          <w:p w14:paraId="5329EEA9" w14:textId="77777777" w:rsidR="003061C1" w:rsidRPr="00064185" w:rsidRDefault="003061C1" w:rsidP="00EA61D8">
            <w:pPr>
              <w:widowControl w:val="0"/>
              <w:tabs>
                <w:tab w:val="center" w:pos="4536"/>
                <w:tab w:val="right" w:pos="9072"/>
              </w:tabs>
              <w:spacing w:line="260" w:lineRule="atLeast"/>
              <w:rPr>
                <w:rFonts w:eastAsia="Calibri"/>
                <w:b/>
                <w:bCs/>
                <w:lang w:eastAsia="en-GB"/>
              </w:rPr>
            </w:pPr>
            <w:r w:rsidRPr="00064185">
              <w:rPr>
                <w:rFonts w:eastAsia="Calibri"/>
                <w:b/>
                <w:lang w:eastAsia="en-US"/>
              </w:rPr>
              <w:t>Identification of relevant receiving compartments based on the exposure pathway</w:t>
            </w:r>
          </w:p>
        </w:tc>
      </w:tr>
      <w:tr w:rsidR="00064185" w:rsidRPr="00064185" w14:paraId="34B4FEF2" w14:textId="77777777" w:rsidTr="00A91382">
        <w:trPr>
          <w:tblHeader/>
        </w:trPr>
        <w:tc>
          <w:tcPr>
            <w:tcW w:w="0" w:type="auto"/>
            <w:shd w:val="clear" w:color="auto" w:fill="auto"/>
            <w:vAlign w:val="center"/>
          </w:tcPr>
          <w:p w14:paraId="766099AA" w14:textId="77777777" w:rsidR="003061C1" w:rsidRPr="00064185" w:rsidRDefault="003061C1" w:rsidP="00EA61D8">
            <w:pPr>
              <w:widowControl w:val="0"/>
              <w:tabs>
                <w:tab w:val="center" w:pos="4536"/>
                <w:tab w:val="right" w:pos="9072"/>
              </w:tabs>
              <w:spacing w:line="260" w:lineRule="atLeast"/>
              <w:rPr>
                <w:rFonts w:eastAsia="Calibri"/>
                <w:lang w:eastAsia="en-GB"/>
              </w:rPr>
            </w:pPr>
            <w:r w:rsidRPr="00064185">
              <w:rPr>
                <w:rFonts w:eastAsia="Calibri"/>
                <w:lang w:eastAsia="en-GB"/>
              </w:rPr>
              <w:t>Main</w:t>
            </w:r>
          </w:p>
          <w:p w14:paraId="72F3F628" w14:textId="77777777" w:rsidR="003061C1" w:rsidRPr="00064185" w:rsidRDefault="003061C1" w:rsidP="00EA61D8">
            <w:pPr>
              <w:widowControl w:val="0"/>
              <w:tabs>
                <w:tab w:val="center" w:pos="4536"/>
                <w:tab w:val="right" w:pos="9072"/>
              </w:tabs>
              <w:spacing w:line="260" w:lineRule="atLeast"/>
              <w:rPr>
                <w:rFonts w:eastAsia="Calibri"/>
                <w:bCs/>
                <w:lang w:eastAsia="en-GB"/>
              </w:rPr>
            </w:pPr>
            <w:r w:rsidRPr="00064185">
              <w:rPr>
                <w:rFonts w:eastAsia="Calibri"/>
                <w:lang w:eastAsia="en-GB"/>
              </w:rPr>
              <w:t>scenario</w:t>
            </w:r>
          </w:p>
        </w:tc>
        <w:tc>
          <w:tcPr>
            <w:tcW w:w="1093" w:type="dxa"/>
            <w:shd w:val="clear" w:color="auto" w:fill="auto"/>
            <w:vAlign w:val="center"/>
          </w:tcPr>
          <w:p w14:paraId="14374FD9" w14:textId="77777777" w:rsidR="003061C1" w:rsidRPr="00064185" w:rsidRDefault="003061C1" w:rsidP="00EA61D8">
            <w:pPr>
              <w:widowControl w:val="0"/>
              <w:tabs>
                <w:tab w:val="center" w:pos="4536"/>
                <w:tab w:val="right" w:pos="9072"/>
              </w:tabs>
              <w:spacing w:line="260" w:lineRule="atLeast"/>
              <w:rPr>
                <w:rFonts w:eastAsia="Calibri"/>
                <w:bCs/>
                <w:lang w:eastAsia="en-GB"/>
              </w:rPr>
            </w:pPr>
            <w:r w:rsidRPr="00064185">
              <w:rPr>
                <w:rFonts w:eastAsia="Calibri"/>
                <w:lang w:eastAsia="en-GB"/>
              </w:rPr>
              <w:t>Sub-scenario</w:t>
            </w:r>
          </w:p>
        </w:tc>
        <w:tc>
          <w:tcPr>
            <w:tcW w:w="1417" w:type="dxa"/>
            <w:shd w:val="clear" w:color="auto" w:fill="auto"/>
            <w:tcMar>
              <w:top w:w="57" w:type="dxa"/>
              <w:left w:w="70" w:type="dxa"/>
              <w:bottom w:w="57" w:type="dxa"/>
              <w:right w:w="70" w:type="dxa"/>
            </w:tcMar>
            <w:vAlign w:val="center"/>
          </w:tcPr>
          <w:p w14:paraId="28FF004A" w14:textId="77777777" w:rsidR="003061C1" w:rsidRPr="00064185" w:rsidRDefault="003061C1" w:rsidP="00EA61D8">
            <w:pPr>
              <w:widowControl w:val="0"/>
              <w:spacing w:line="260" w:lineRule="atLeast"/>
              <w:rPr>
                <w:rFonts w:eastAsia="Calibri" w:cs="Arial"/>
                <w:lang w:eastAsia="en-GB"/>
              </w:rPr>
            </w:pPr>
            <w:r w:rsidRPr="00064185">
              <w:rPr>
                <w:rFonts w:eastAsia="Calibri" w:cs="Arial"/>
                <w:lang w:eastAsia="en-GB"/>
              </w:rPr>
              <w:t>Freshwater</w:t>
            </w:r>
            <w:r w:rsidRPr="00064185">
              <w:rPr>
                <w:rFonts w:eastAsia="Calibri" w:cs="Arial"/>
                <w:vertAlign w:val="superscript"/>
                <w:lang w:eastAsia="en-GB"/>
              </w:rPr>
              <w:t>1</w:t>
            </w:r>
          </w:p>
        </w:tc>
        <w:tc>
          <w:tcPr>
            <w:tcW w:w="1559" w:type="dxa"/>
            <w:shd w:val="clear" w:color="auto" w:fill="auto"/>
            <w:tcMar>
              <w:top w:w="57" w:type="dxa"/>
              <w:left w:w="70" w:type="dxa"/>
              <w:bottom w:w="57" w:type="dxa"/>
              <w:right w:w="70" w:type="dxa"/>
            </w:tcMar>
            <w:vAlign w:val="center"/>
          </w:tcPr>
          <w:p w14:paraId="59BAE329" w14:textId="77777777" w:rsidR="003061C1" w:rsidRPr="00064185" w:rsidRDefault="003061C1" w:rsidP="00EA61D8">
            <w:pPr>
              <w:widowControl w:val="0"/>
              <w:spacing w:line="260" w:lineRule="atLeast"/>
              <w:rPr>
                <w:rFonts w:eastAsia="Calibri" w:cs="Arial"/>
                <w:lang w:eastAsia="en-GB"/>
              </w:rPr>
            </w:pPr>
            <w:r w:rsidRPr="00064185">
              <w:rPr>
                <w:rFonts w:eastAsia="Calibri" w:cs="Arial"/>
                <w:lang w:eastAsia="en-GB"/>
              </w:rPr>
              <w:t>STP</w:t>
            </w:r>
          </w:p>
        </w:tc>
        <w:tc>
          <w:tcPr>
            <w:tcW w:w="1418" w:type="dxa"/>
            <w:shd w:val="clear" w:color="auto" w:fill="auto"/>
            <w:vAlign w:val="center"/>
          </w:tcPr>
          <w:p w14:paraId="71A97249" w14:textId="33AEDC39" w:rsidR="003061C1" w:rsidRPr="00064185" w:rsidRDefault="003061C1" w:rsidP="00EA61D8">
            <w:pPr>
              <w:widowControl w:val="0"/>
              <w:spacing w:line="260" w:lineRule="atLeast"/>
              <w:rPr>
                <w:rFonts w:eastAsia="Calibri" w:cs="Arial"/>
                <w:lang w:eastAsia="en-GB"/>
              </w:rPr>
            </w:pPr>
            <w:r w:rsidRPr="00064185">
              <w:rPr>
                <w:rFonts w:eastAsia="Calibri"/>
                <w:bCs/>
                <w:lang w:eastAsia="en-GB"/>
              </w:rPr>
              <w:t>Soil</w:t>
            </w:r>
          </w:p>
        </w:tc>
        <w:tc>
          <w:tcPr>
            <w:tcW w:w="1417" w:type="dxa"/>
            <w:shd w:val="clear" w:color="auto" w:fill="auto"/>
            <w:vAlign w:val="center"/>
          </w:tcPr>
          <w:p w14:paraId="0C9244EC" w14:textId="77777777" w:rsidR="003061C1" w:rsidRPr="00064185" w:rsidRDefault="003061C1" w:rsidP="00EA61D8">
            <w:pPr>
              <w:widowControl w:val="0"/>
              <w:spacing w:line="260" w:lineRule="atLeast"/>
              <w:rPr>
                <w:rFonts w:eastAsia="Calibri" w:cs="Arial"/>
                <w:lang w:eastAsia="en-GB"/>
              </w:rPr>
            </w:pPr>
            <w:r w:rsidRPr="00064185">
              <w:rPr>
                <w:rFonts w:eastAsia="Calibri" w:cs="Arial"/>
                <w:lang w:eastAsia="en-GB"/>
              </w:rPr>
              <w:t>Air</w:t>
            </w:r>
          </w:p>
        </w:tc>
        <w:tc>
          <w:tcPr>
            <w:tcW w:w="1346" w:type="dxa"/>
            <w:vAlign w:val="center"/>
          </w:tcPr>
          <w:p w14:paraId="626AC283" w14:textId="77777777" w:rsidR="003061C1" w:rsidRPr="00064185" w:rsidRDefault="003061C1" w:rsidP="00EA61D8">
            <w:pPr>
              <w:widowControl w:val="0"/>
              <w:spacing w:line="260" w:lineRule="atLeast"/>
              <w:rPr>
                <w:rFonts w:eastAsia="Calibri"/>
                <w:bCs/>
                <w:lang w:eastAsia="en-GB"/>
              </w:rPr>
            </w:pPr>
            <w:r w:rsidRPr="00064185">
              <w:rPr>
                <w:rFonts w:eastAsia="Calibri" w:cs="Arial"/>
                <w:lang w:eastAsia="en-GB"/>
              </w:rPr>
              <w:t>Secondary poisoning</w:t>
            </w:r>
          </w:p>
        </w:tc>
      </w:tr>
      <w:tr w:rsidR="00064185" w:rsidRPr="00064185" w14:paraId="6C8858D1" w14:textId="77777777" w:rsidTr="00D454A4">
        <w:trPr>
          <w:trHeight w:val="610"/>
          <w:tblHeader/>
        </w:trPr>
        <w:tc>
          <w:tcPr>
            <w:tcW w:w="0" w:type="auto"/>
            <w:shd w:val="clear" w:color="auto" w:fill="auto"/>
            <w:tcMar>
              <w:top w:w="57" w:type="dxa"/>
              <w:left w:w="70" w:type="dxa"/>
              <w:bottom w:w="57" w:type="dxa"/>
              <w:right w:w="70" w:type="dxa"/>
            </w:tcMar>
            <w:vAlign w:val="center"/>
          </w:tcPr>
          <w:p w14:paraId="1EA55E36" w14:textId="3DE15A75" w:rsidR="00F50A01" w:rsidRPr="00064185" w:rsidRDefault="00F50A01" w:rsidP="00EA61D8">
            <w:pPr>
              <w:widowControl w:val="0"/>
              <w:tabs>
                <w:tab w:val="center" w:pos="4536"/>
                <w:tab w:val="right" w:pos="9072"/>
              </w:tabs>
              <w:spacing w:line="260" w:lineRule="atLeast"/>
              <w:rPr>
                <w:rFonts w:eastAsia="Calibri"/>
                <w:lang w:eastAsia="en-GB"/>
              </w:rPr>
            </w:pPr>
            <w:r w:rsidRPr="00064185">
              <w:rPr>
                <w:rFonts w:eastAsia="Calibri"/>
                <w:lang w:eastAsia="en-GB"/>
              </w:rPr>
              <w:t xml:space="preserve">Spraying, indoor </w:t>
            </w:r>
          </w:p>
        </w:tc>
        <w:tc>
          <w:tcPr>
            <w:tcW w:w="1093" w:type="dxa"/>
            <w:shd w:val="clear" w:color="auto" w:fill="auto"/>
            <w:vAlign w:val="center"/>
          </w:tcPr>
          <w:p w14:paraId="491BFE5B" w14:textId="0AFF46CE" w:rsidR="00F50A01" w:rsidRPr="00064185" w:rsidRDefault="00F50A01" w:rsidP="00EA61D8">
            <w:pPr>
              <w:widowControl w:val="0"/>
              <w:tabs>
                <w:tab w:val="center" w:pos="4536"/>
                <w:tab w:val="right" w:pos="9072"/>
              </w:tabs>
              <w:spacing w:line="260" w:lineRule="atLeast"/>
              <w:rPr>
                <w:rFonts w:eastAsia="Calibri"/>
                <w:lang w:eastAsia="en-GB"/>
              </w:rPr>
            </w:pPr>
            <w:r w:rsidRPr="00064185">
              <w:rPr>
                <w:rFonts w:eastAsia="Calibri"/>
                <w:lang w:eastAsia="en-GB"/>
              </w:rPr>
              <w:t>-</w:t>
            </w:r>
          </w:p>
        </w:tc>
        <w:tc>
          <w:tcPr>
            <w:tcW w:w="1417" w:type="dxa"/>
            <w:shd w:val="clear" w:color="auto" w:fill="auto"/>
            <w:tcMar>
              <w:top w:w="57" w:type="dxa"/>
              <w:left w:w="70" w:type="dxa"/>
              <w:bottom w:w="57" w:type="dxa"/>
              <w:right w:w="70" w:type="dxa"/>
            </w:tcMar>
            <w:vAlign w:val="center"/>
          </w:tcPr>
          <w:p w14:paraId="51F9C080" w14:textId="77777777" w:rsidR="00F50A01" w:rsidRPr="00064185" w:rsidRDefault="00F50A01" w:rsidP="00EA61D8">
            <w:pPr>
              <w:rPr>
                <w:rFonts w:eastAsia="Calibri"/>
                <w:lang w:eastAsia="en-GB"/>
              </w:rPr>
            </w:pPr>
            <w:r w:rsidRPr="00064185">
              <w:rPr>
                <w:rFonts w:eastAsia="Calibri"/>
                <w:lang w:eastAsia="en-GB"/>
              </w:rPr>
              <w:t>+</w:t>
            </w:r>
          </w:p>
        </w:tc>
        <w:tc>
          <w:tcPr>
            <w:tcW w:w="1559" w:type="dxa"/>
            <w:shd w:val="clear" w:color="auto" w:fill="auto"/>
            <w:tcMar>
              <w:top w:w="57" w:type="dxa"/>
              <w:left w:w="70" w:type="dxa"/>
              <w:bottom w:w="57" w:type="dxa"/>
              <w:right w:w="70" w:type="dxa"/>
            </w:tcMar>
            <w:vAlign w:val="center"/>
          </w:tcPr>
          <w:p w14:paraId="755AC75D" w14:textId="77777777" w:rsidR="00F50A01" w:rsidRPr="00064185" w:rsidRDefault="00F50A01" w:rsidP="00EA61D8">
            <w:pPr>
              <w:rPr>
                <w:rFonts w:eastAsia="Calibri"/>
                <w:lang w:eastAsia="en-GB"/>
              </w:rPr>
            </w:pPr>
            <w:r w:rsidRPr="00064185">
              <w:rPr>
                <w:rFonts w:eastAsia="Calibri"/>
                <w:lang w:eastAsia="en-GB"/>
              </w:rPr>
              <w:t>++</w:t>
            </w:r>
          </w:p>
        </w:tc>
        <w:tc>
          <w:tcPr>
            <w:tcW w:w="1418" w:type="dxa"/>
            <w:shd w:val="clear" w:color="auto" w:fill="auto"/>
            <w:vAlign w:val="center"/>
          </w:tcPr>
          <w:p w14:paraId="369F24F6" w14:textId="381F44F5" w:rsidR="00F50A01" w:rsidRPr="00064185" w:rsidRDefault="00F50A01" w:rsidP="00EA61D8">
            <w:pPr>
              <w:rPr>
                <w:rFonts w:eastAsia="Calibri"/>
                <w:lang w:eastAsia="en-GB"/>
              </w:rPr>
            </w:pPr>
            <w:r w:rsidRPr="00064185">
              <w:rPr>
                <w:rFonts w:eastAsia="Calibri"/>
                <w:lang w:eastAsia="en-GB"/>
              </w:rPr>
              <w:t>+</w:t>
            </w:r>
            <w:r w:rsidRPr="00064185">
              <w:rPr>
                <w:rFonts w:eastAsia="Calibri"/>
                <w:bCs/>
                <w:vertAlign w:val="superscript"/>
                <w:lang w:eastAsia="en-GB"/>
              </w:rPr>
              <w:t>2</w:t>
            </w:r>
          </w:p>
        </w:tc>
        <w:tc>
          <w:tcPr>
            <w:tcW w:w="1417" w:type="dxa"/>
            <w:shd w:val="clear" w:color="auto" w:fill="auto"/>
            <w:vAlign w:val="center"/>
          </w:tcPr>
          <w:p w14:paraId="1259B3AF" w14:textId="77777777" w:rsidR="00F50A01" w:rsidRPr="00064185" w:rsidRDefault="00F50A01" w:rsidP="00EA61D8">
            <w:pPr>
              <w:rPr>
                <w:rFonts w:eastAsia="Calibri"/>
                <w:lang w:eastAsia="en-GB"/>
              </w:rPr>
            </w:pPr>
            <w:r w:rsidRPr="00064185">
              <w:rPr>
                <w:rFonts w:eastAsia="Calibri"/>
                <w:lang w:eastAsia="en-GB"/>
              </w:rPr>
              <w:t>(Q)</w:t>
            </w:r>
          </w:p>
        </w:tc>
        <w:tc>
          <w:tcPr>
            <w:tcW w:w="1346" w:type="dxa"/>
            <w:vAlign w:val="center"/>
          </w:tcPr>
          <w:p w14:paraId="164EEA89" w14:textId="77777777" w:rsidR="00F50A01" w:rsidRPr="00064185" w:rsidRDefault="00F50A01" w:rsidP="00EA61D8">
            <w:pPr>
              <w:rPr>
                <w:rFonts w:eastAsia="Calibri"/>
                <w:lang w:eastAsia="en-GB"/>
              </w:rPr>
            </w:pPr>
            <w:r w:rsidRPr="00064185">
              <w:rPr>
                <w:rFonts w:eastAsia="Calibri"/>
                <w:lang w:eastAsia="en-GB"/>
              </w:rPr>
              <w:t>+</w:t>
            </w:r>
          </w:p>
        </w:tc>
      </w:tr>
      <w:tr w:rsidR="00064185" w:rsidRPr="00064185" w14:paraId="75E92C2A" w14:textId="77777777" w:rsidTr="00A91382">
        <w:trPr>
          <w:tblHeader/>
        </w:trPr>
        <w:tc>
          <w:tcPr>
            <w:tcW w:w="0" w:type="auto"/>
            <w:vMerge w:val="restart"/>
            <w:shd w:val="clear" w:color="auto" w:fill="auto"/>
            <w:tcMar>
              <w:top w:w="57" w:type="dxa"/>
              <w:left w:w="70" w:type="dxa"/>
              <w:bottom w:w="57" w:type="dxa"/>
              <w:right w:w="70" w:type="dxa"/>
            </w:tcMar>
            <w:vAlign w:val="center"/>
          </w:tcPr>
          <w:p w14:paraId="4B11AD0D" w14:textId="77777777" w:rsidR="003061C1" w:rsidRPr="00064185" w:rsidRDefault="003061C1" w:rsidP="00EA61D8">
            <w:pPr>
              <w:widowControl w:val="0"/>
              <w:tabs>
                <w:tab w:val="center" w:pos="4536"/>
                <w:tab w:val="right" w:pos="9072"/>
              </w:tabs>
              <w:spacing w:line="260" w:lineRule="atLeast"/>
              <w:rPr>
                <w:rFonts w:eastAsia="Calibri"/>
                <w:lang w:eastAsia="en-GB"/>
              </w:rPr>
            </w:pPr>
          </w:p>
          <w:p w14:paraId="0028A830" w14:textId="5DEB87E3" w:rsidR="003061C1" w:rsidRPr="00064185" w:rsidRDefault="002C7AC4" w:rsidP="00EA61D8">
            <w:pPr>
              <w:widowControl w:val="0"/>
              <w:tabs>
                <w:tab w:val="center" w:pos="4536"/>
                <w:tab w:val="right" w:pos="9072"/>
              </w:tabs>
              <w:spacing w:line="260" w:lineRule="atLeast"/>
              <w:rPr>
                <w:rFonts w:eastAsia="Calibri"/>
                <w:lang w:eastAsia="en-GB"/>
              </w:rPr>
            </w:pPr>
            <w:r w:rsidRPr="00064185">
              <w:rPr>
                <w:rFonts w:eastAsia="Calibri"/>
                <w:lang w:eastAsia="en-GB"/>
              </w:rPr>
              <w:t>Spraying, outdoor</w:t>
            </w:r>
            <w:r w:rsidR="003061C1" w:rsidRPr="00064185">
              <w:rPr>
                <w:rFonts w:eastAsia="Calibri"/>
                <w:lang w:eastAsia="en-GB"/>
              </w:rPr>
              <w:t xml:space="preserve">  </w:t>
            </w:r>
          </w:p>
        </w:tc>
        <w:tc>
          <w:tcPr>
            <w:tcW w:w="1093" w:type="dxa"/>
            <w:shd w:val="clear" w:color="auto" w:fill="auto"/>
            <w:vAlign w:val="center"/>
          </w:tcPr>
          <w:p w14:paraId="620A551C" w14:textId="077F593E" w:rsidR="003061C1" w:rsidRPr="00064185" w:rsidRDefault="002C7AC4" w:rsidP="00EA61D8">
            <w:pPr>
              <w:widowControl w:val="0"/>
              <w:tabs>
                <w:tab w:val="center" w:pos="4536"/>
                <w:tab w:val="right" w:pos="9072"/>
              </w:tabs>
              <w:spacing w:line="260" w:lineRule="atLeast"/>
              <w:rPr>
                <w:rFonts w:eastAsia="Calibri"/>
                <w:lang w:eastAsia="en-GB"/>
              </w:rPr>
            </w:pPr>
            <w:r w:rsidRPr="00064185">
              <w:rPr>
                <w:rFonts w:eastAsia="Calibri"/>
                <w:lang w:eastAsia="en-GB"/>
              </w:rPr>
              <w:t xml:space="preserve">Rural area </w:t>
            </w:r>
          </w:p>
        </w:tc>
        <w:tc>
          <w:tcPr>
            <w:tcW w:w="1417" w:type="dxa"/>
            <w:shd w:val="clear" w:color="auto" w:fill="auto"/>
            <w:tcMar>
              <w:top w:w="57" w:type="dxa"/>
              <w:left w:w="70" w:type="dxa"/>
              <w:bottom w:w="57" w:type="dxa"/>
              <w:right w:w="70" w:type="dxa"/>
            </w:tcMar>
            <w:vAlign w:val="center"/>
          </w:tcPr>
          <w:p w14:paraId="416FFCE5" w14:textId="77777777" w:rsidR="003061C1" w:rsidRPr="00064185" w:rsidRDefault="003061C1" w:rsidP="00EA61D8">
            <w:pPr>
              <w:rPr>
                <w:rFonts w:eastAsia="Calibri"/>
                <w:lang w:eastAsia="en-GB"/>
              </w:rPr>
            </w:pPr>
            <w:r w:rsidRPr="00064185">
              <w:rPr>
                <w:rFonts w:eastAsia="Calibri"/>
                <w:lang w:eastAsia="en-GB"/>
              </w:rPr>
              <w:t>-</w:t>
            </w:r>
          </w:p>
        </w:tc>
        <w:tc>
          <w:tcPr>
            <w:tcW w:w="1559" w:type="dxa"/>
            <w:shd w:val="clear" w:color="auto" w:fill="auto"/>
            <w:tcMar>
              <w:top w:w="57" w:type="dxa"/>
              <w:left w:w="70" w:type="dxa"/>
              <w:bottom w:w="57" w:type="dxa"/>
              <w:right w:w="70" w:type="dxa"/>
            </w:tcMar>
            <w:vAlign w:val="center"/>
          </w:tcPr>
          <w:p w14:paraId="0045C259" w14:textId="77777777" w:rsidR="003061C1" w:rsidRPr="00064185" w:rsidRDefault="003061C1" w:rsidP="00EA61D8">
            <w:pPr>
              <w:rPr>
                <w:rFonts w:eastAsia="Calibri"/>
                <w:lang w:eastAsia="en-GB"/>
              </w:rPr>
            </w:pPr>
            <w:r w:rsidRPr="00064185">
              <w:rPr>
                <w:rFonts w:eastAsia="Calibri"/>
                <w:lang w:eastAsia="en-GB"/>
              </w:rPr>
              <w:t>-</w:t>
            </w:r>
          </w:p>
        </w:tc>
        <w:tc>
          <w:tcPr>
            <w:tcW w:w="1418" w:type="dxa"/>
            <w:shd w:val="clear" w:color="auto" w:fill="auto"/>
            <w:vAlign w:val="center"/>
          </w:tcPr>
          <w:p w14:paraId="0F3D8C0E" w14:textId="3D99B106" w:rsidR="003061C1" w:rsidRPr="00064185" w:rsidRDefault="003061C1" w:rsidP="00EA61D8">
            <w:pPr>
              <w:rPr>
                <w:rFonts w:eastAsia="Calibri"/>
                <w:lang w:eastAsia="en-GB"/>
              </w:rPr>
            </w:pPr>
            <w:r w:rsidRPr="00064185">
              <w:rPr>
                <w:rFonts w:eastAsia="Calibri"/>
                <w:lang w:eastAsia="en-GB"/>
              </w:rPr>
              <w:t>++</w:t>
            </w:r>
            <w:r w:rsidR="002124EC" w:rsidRPr="00064185">
              <w:rPr>
                <w:rFonts w:eastAsia="Calibri"/>
                <w:vertAlign w:val="superscript"/>
                <w:lang w:eastAsia="en-GB"/>
              </w:rPr>
              <w:t>3</w:t>
            </w:r>
          </w:p>
        </w:tc>
        <w:tc>
          <w:tcPr>
            <w:tcW w:w="1417" w:type="dxa"/>
            <w:shd w:val="clear" w:color="auto" w:fill="auto"/>
            <w:vAlign w:val="center"/>
          </w:tcPr>
          <w:p w14:paraId="47329FA6" w14:textId="77777777" w:rsidR="003061C1" w:rsidRPr="00064185" w:rsidRDefault="003061C1" w:rsidP="00EA61D8">
            <w:pPr>
              <w:rPr>
                <w:rFonts w:eastAsia="Calibri"/>
                <w:lang w:eastAsia="en-GB"/>
              </w:rPr>
            </w:pPr>
            <w:r w:rsidRPr="00064185">
              <w:rPr>
                <w:rFonts w:eastAsia="Calibri"/>
                <w:lang w:eastAsia="en-GB"/>
              </w:rPr>
              <w:t>(Q)</w:t>
            </w:r>
          </w:p>
        </w:tc>
        <w:tc>
          <w:tcPr>
            <w:tcW w:w="1346" w:type="dxa"/>
            <w:vAlign w:val="center"/>
          </w:tcPr>
          <w:p w14:paraId="7C236BBD" w14:textId="77777777" w:rsidR="003061C1" w:rsidRPr="00064185" w:rsidRDefault="003061C1" w:rsidP="00EA61D8">
            <w:pPr>
              <w:rPr>
                <w:rFonts w:eastAsia="Calibri"/>
                <w:lang w:eastAsia="en-GB"/>
              </w:rPr>
            </w:pPr>
            <w:r w:rsidRPr="00064185">
              <w:rPr>
                <w:rFonts w:eastAsia="Calibri"/>
                <w:lang w:eastAsia="en-GB"/>
              </w:rPr>
              <w:t>(+)</w:t>
            </w:r>
          </w:p>
        </w:tc>
      </w:tr>
      <w:tr w:rsidR="00064185" w:rsidRPr="00064185" w14:paraId="7B2ACD00" w14:textId="77777777" w:rsidTr="00A91382">
        <w:trPr>
          <w:trHeight w:val="178"/>
          <w:tblHeader/>
        </w:trPr>
        <w:tc>
          <w:tcPr>
            <w:tcW w:w="0" w:type="auto"/>
            <w:vMerge/>
            <w:shd w:val="clear" w:color="auto" w:fill="auto"/>
            <w:tcMar>
              <w:top w:w="57" w:type="dxa"/>
              <w:left w:w="70" w:type="dxa"/>
              <w:bottom w:w="57" w:type="dxa"/>
              <w:right w:w="70" w:type="dxa"/>
            </w:tcMar>
            <w:vAlign w:val="center"/>
          </w:tcPr>
          <w:p w14:paraId="0D5046DD" w14:textId="77777777" w:rsidR="003061C1" w:rsidRPr="00064185" w:rsidRDefault="003061C1" w:rsidP="00EA61D8">
            <w:pPr>
              <w:widowControl w:val="0"/>
              <w:tabs>
                <w:tab w:val="center" w:pos="4536"/>
                <w:tab w:val="right" w:pos="9072"/>
              </w:tabs>
              <w:spacing w:line="260" w:lineRule="atLeast"/>
              <w:rPr>
                <w:rFonts w:eastAsia="Calibri"/>
                <w:lang w:eastAsia="en-GB"/>
              </w:rPr>
            </w:pPr>
          </w:p>
        </w:tc>
        <w:tc>
          <w:tcPr>
            <w:tcW w:w="1093" w:type="dxa"/>
            <w:shd w:val="clear" w:color="auto" w:fill="auto"/>
            <w:vAlign w:val="center"/>
          </w:tcPr>
          <w:p w14:paraId="5BBB4CA6" w14:textId="48DE87F6" w:rsidR="003061C1" w:rsidRPr="00064185" w:rsidRDefault="002C7AC4" w:rsidP="00EA61D8">
            <w:pPr>
              <w:widowControl w:val="0"/>
              <w:tabs>
                <w:tab w:val="center" w:pos="4536"/>
                <w:tab w:val="right" w:pos="9072"/>
              </w:tabs>
              <w:spacing w:line="260" w:lineRule="atLeast"/>
              <w:rPr>
                <w:rFonts w:eastAsia="Calibri"/>
                <w:lang w:eastAsia="en-GB"/>
              </w:rPr>
            </w:pPr>
            <w:r w:rsidRPr="00064185">
              <w:rPr>
                <w:rFonts w:eastAsia="Calibri"/>
                <w:lang w:eastAsia="en-GB"/>
              </w:rPr>
              <w:t>Urban area</w:t>
            </w:r>
          </w:p>
        </w:tc>
        <w:tc>
          <w:tcPr>
            <w:tcW w:w="1417" w:type="dxa"/>
            <w:shd w:val="clear" w:color="auto" w:fill="auto"/>
            <w:tcMar>
              <w:top w:w="57" w:type="dxa"/>
              <w:left w:w="70" w:type="dxa"/>
              <w:bottom w:w="57" w:type="dxa"/>
              <w:right w:w="70" w:type="dxa"/>
            </w:tcMar>
            <w:vAlign w:val="center"/>
          </w:tcPr>
          <w:p w14:paraId="3B785745" w14:textId="77777777" w:rsidR="003061C1" w:rsidRPr="00064185" w:rsidRDefault="003061C1" w:rsidP="00EA61D8">
            <w:pPr>
              <w:rPr>
                <w:rFonts w:eastAsia="Calibri"/>
                <w:lang w:eastAsia="en-GB"/>
              </w:rPr>
            </w:pPr>
            <w:r w:rsidRPr="00064185">
              <w:rPr>
                <w:rFonts w:eastAsia="Calibri"/>
                <w:lang w:eastAsia="en-GB"/>
              </w:rPr>
              <w:t>+</w:t>
            </w:r>
          </w:p>
        </w:tc>
        <w:tc>
          <w:tcPr>
            <w:tcW w:w="1559" w:type="dxa"/>
            <w:shd w:val="clear" w:color="auto" w:fill="auto"/>
            <w:vAlign w:val="center"/>
          </w:tcPr>
          <w:p w14:paraId="12B8B92D" w14:textId="77777777" w:rsidR="003061C1" w:rsidRPr="00064185" w:rsidRDefault="003061C1" w:rsidP="00EA61D8">
            <w:pPr>
              <w:rPr>
                <w:rFonts w:eastAsia="Calibri"/>
                <w:lang w:eastAsia="en-GB"/>
              </w:rPr>
            </w:pPr>
            <w:r w:rsidRPr="00064185">
              <w:rPr>
                <w:rFonts w:eastAsia="Calibri"/>
                <w:lang w:eastAsia="en-GB"/>
              </w:rPr>
              <w:t>++</w:t>
            </w:r>
          </w:p>
        </w:tc>
        <w:tc>
          <w:tcPr>
            <w:tcW w:w="1418" w:type="dxa"/>
            <w:shd w:val="clear" w:color="auto" w:fill="auto"/>
            <w:vAlign w:val="center"/>
          </w:tcPr>
          <w:p w14:paraId="53A4B549" w14:textId="69BDDE61" w:rsidR="003061C1" w:rsidRPr="00064185" w:rsidRDefault="003061C1" w:rsidP="00EA61D8">
            <w:pPr>
              <w:rPr>
                <w:rFonts w:eastAsia="Calibri"/>
                <w:lang w:eastAsia="en-GB"/>
              </w:rPr>
            </w:pPr>
            <w:r w:rsidRPr="00064185">
              <w:rPr>
                <w:rFonts w:eastAsia="Calibri"/>
                <w:lang w:eastAsia="en-GB"/>
              </w:rPr>
              <w:t>+</w:t>
            </w:r>
            <w:r w:rsidR="002124EC" w:rsidRPr="00064185">
              <w:rPr>
                <w:rFonts w:eastAsia="Calibri"/>
                <w:bCs/>
                <w:vertAlign w:val="superscript"/>
                <w:lang w:eastAsia="en-GB"/>
              </w:rPr>
              <w:t>2</w:t>
            </w:r>
          </w:p>
        </w:tc>
        <w:tc>
          <w:tcPr>
            <w:tcW w:w="1417" w:type="dxa"/>
            <w:shd w:val="clear" w:color="auto" w:fill="auto"/>
            <w:vAlign w:val="center"/>
          </w:tcPr>
          <w:p w14:paraId="70CB855D" w14:textId="77777777" w:rsidR="003061C1" w:rsidRPr="00064185" w:rsidRDefault="003061C1" w:rsidP="00EA61D8">
            <w:pPr>
              <w:rPr>
                <w:rFonts w:eastAsia="Calibri"/>
                <w:lang w:eastAsia="en-GB"/>
              </w:rPr>
            </w:pPr>
            <w:r w:rsidRPr="00064185">
              <w:rPr>
                <w:rFonts w:eastAsia="Calibri"/>
                <w:lang w:eastAsia="en-GB"/>
              </w:rPr>
              <w:t>(Q)</w:t>
            </w:r>
          </w:p>
        </w:tc>
        <w:tc>
          <w:tcPr>
            <w:tcW w:w="1346" w:type="dxa"/>
            <w:shd w:val="clear" w:color="auto" w:fill="auto"/>
            <w:vAlign w:val="center"/>
          </w:tcPr>
          <w:p w14:paraId="4AC82471" w14:textId="77777777" w:rsidR="003061C1" w:rsidRPr="00064185" w:rsidRDefault="003061C1" w:rsidP="00EA61D8">
            <w:pPr>
              <w:rPr>
                <w:rFonts w:eastAsia="Calibri"/>
                <w:lang w:eastAsia="en-GB"/>
              </w:rPr>
            </w:pPr>
            <w:r w:rsidRPr="00064185">
              <w:rPr>
                <w:rFonts w:eastAsia="Calibri"/>
                <w:lang w:eastAsia="en-GB"/>
              </w:rPr>
              <w:t>+</w:t>
            </w:r>
          </w:p>
        </w:tc>
      </w:tr>
    </w:tbl>
    <w:p w14:paraId="340783EB" w14:textId="77777777" w:rsidR="003061C1" w:rsidRPr="00064185" w:rsidRDefault="003061C1" w:rsidP="006A7704">
      <w:pPr>
        <w:autoSpaceDE w:val="0"/>
        <w:autoSpaceDN w:val="0"/>
        <w:adjustRightInd w:val="0"/>
        <w:jc w:val="both"/>
        <w:rPr>
          <w:rFonts w:ascii="Arial" w:hAnsi="Arial" w:cs="Arial"/>
          <w:sz w:val="16"/>
          <w:szCs w:val="16"/>
          <w:lang w:val="en-US"/>
        </w:rPr>
      </w:pPr>
      <w:r w:rsidRPr="00064185">
        <w:rPr>
          <w:rFonts w:ascii="Arial" w:hAnsi="Arial" w:cs="Arial"/>
          <w:sz w:val="16"/>
          <w:szCs w:val="16"/>
          <w:lang w:val="en-US"/>
        </w:rPr>
        <w:t>++ Compartment directly exposed, + Compartment indirectly exposed, (+) Compartment potentially exposed (but unlikely significant concern due to minimal scale of exposure), (Q) Qualitative assessment, depending on application or substance-specific properties. - Compartment not exposed</w:t>
      </w:r>
    </w:p>
    <w:p w14:paraId="1F5C9F39" w14:textId="09454927" w:rsidR="003061C1" w:rsidRPr="00064185" w:rsidRDefault="003061C1" w:rsidP="006A7704">
      <w:pPr>
        <w:autoSpaceDE w:val="0"/>
        <w:autoSpaceDN w:val="0"/>
        <w:adjustRightInd w:val="0"/>
        <w:jc w:val="both"/>
        <w:rPr>
          <w:rFonts w:ascii="Arial" w:hAnsi="Arial" w:cs="Arial"/>
          <w:sz w:val="16"/>
          <w:szCs w:val="16"/>
          <w:lang w:val="en-US"/>
        </w:rPr>
      </w:pPr>
      <w:r w:rsidRPr="00064185">
        <w:rPr>
          <w:rFonts w:ascii="Arial" w:hAnsi="Arial" w:cs="Arial"/>
          <w:sz w:val="16"/>
          <w:szCs w:val="16"/>
          <w:vertAlign w:val="superscript"/>
          <w:lang w:val="en-US"/>
        </w:rPr>
        <w:t xml:space="preserve">1 </w:t>
      </w:r>
      <w:r w:rsidRPr="00064185">
        <w:rPr>
          <w:rFonts w:ascii="Arial" w:hAnsi="Arial" w:cs="Arial"/>
          <w:sz w:val="16"/>
          <w:szCs w:val="16"/>
          <w:lang w:val="en-US"/>
        </w:rPr>
        <w:t>Including sediment,</w:t>
      </w:r>
      <w:r w:rsidR="006572B8" w:rsidRPr="00064185">
        <w:rPr>
          <w:rFonts w:ascii="Arial" w:hAnsi="Arial" w:cs="Arial"/>
          <w:sz w:val="16"/>
          <w:szCs w:val="16"/>
          <w:lang w:val="en-US"/>
        </w:rPr>
        <w:t xml:space="preserve"> </w:t>
      </w:r>
      <w:r w:rsidR="006572B8" w:rsidRPr="00064185">
        <w:rPr>
          <w:rFonts w:ascii="Arial" w:hAnsi="Arial" w:cs="Arial"/>
          <w:sz w:val="16"/>
          <w:szCs w:val="16"/>
          <w:vertAlign w:val="superscript"/>
          <w:lang w:val="en-US"/>
        </w:rPr>
        <w:t>2</w:t>
      </w:r>
      <w:r w:rsidR="007E441E" w:rsidRPr="00064185">
        <w:rPr>
          <w:rFonts w:ascii="Arial" w:hAnsi="Arial" w:cs="Arial"/>
          <w:sz w:val="16"/>
          <w:szCs w:val="16"/>
          <w:lang w:val="en-US"/>
        </w:rPr>
        <w:t xml:space="preserve"> i</w:t>
      </w:r>
      <w:r w:rsidR="006572B8" w:rsidRPr="00064185">
        <w:rPr>
          <w:rFonts w:ascii="Arial" w:hAnsi="Arial" w:cs="Arial"/>
          <w:sz w:val="16"/>
          <w:szCs w:val="16"/>
          <w:lang w:val="en-US"/>
        </w:rPr>
        <w:t>ncluding soil and groundwater via STP surplus sludge application</w:t>
      </w:r>
      <w:r w:rsidR="002124EC" w:rsidRPr="00064185">
        <w:rPr>
          <w:rFonts w:ascii="Arial" w:hAnsi="Arial" w:cs="Arial"/>
          <w:sz w:val="16"/>
          <w:szCs w:val="16"/>
          <w:lang w:val="en-US"/>
        </w:rPr>
        <w:t>,</w:t>
      </w:r>
      <w:r w:rsidRPr="00064185">
        <w:rPr>
          <w:rFonts w:ascii="Arial" w:hAnsi="Arial" w:cs="Arial"/>
          <w:sz w:val="16"/>
          <w:szCs w:val="16"/>
          <w:lang w:val="en-US"/>
        </w:rPr>
        <w:t xml:space="preserve"> </w:t>
      </w:r>
      <w:r w:rsidR="002124EC" w:rsidRPr="00064185">
        <w:rPr>
          <w:rFonts w:ascii="Arial" w:hAnsi="Arial" w:cs="Arial"/>
          <w:sz w:val="16"/>
          <w:szCs w:val="16"/>
          <w:vertAlign w:val="superscript"/>
          <w:lang w:val="en-US"/>
        </w:rPr>
        <w:t>3</w:t>
      </w:r>
      <w:r w:rsidRPr="00064185">
        <w:rPr>
          <w:rFonts w:ascii="Arial" w:hAnsi="Arial" w:cs="Arial"/>
          <w:sz w:val="16"/>
          <w:szCs w:val="16"/>
          <w:lang w:val="en-US"/>
        </w:rPr>
        <w:t xml:space="preserve"> </w:t>
      </w:r>
      <w:r w:rsidR="007E441E" w:rsidRPr="00064185">
        <w:rPr>
          <w:rFonts w:ascii="Arial" w:hAnsi="Arial" w:cs="Arial"/>
          <w:sz w:val="16"/>
          <w:szCs w:val="16"/>
          <w:lang w:val="en-US"/>
        </w:rPr>
        <w:t>i</w:t>
      </w:r>
      <w:r w:rsidRPr="00064185">
        <w:rPr>
          <w:rFonts w:ascii="Arial" w:hAnsi="Arial" w:cs="Arial"/>
          <w:sz w:val="16"/>
          <w:szCs w:val="16"/>
          <w:lang w:val="en-US"/>
        </w:rPr>
        <w:t>ncluding groundwater</w:t>
      </w:r>
    </w:p>
    <w:p w14:paraId="090FF2E8" w14:textId="77777777" w:rsidR="00A53EE0" w:rsidRPr="00064185" w:rsidRDefault="00A53EE0" w:rsidP="00EA61D8">
      <w:pPr>
        <w:spacing w:line="260" w:lineRule="atLeast"/>
        <w:rPr>
          <w:rFonts w:eastAsia="Calibri"/>
          <w:strike/>
          <w:lang w:val="en-US" w:eastAsia="en-US"/>
        </w:rPr>
      </w:pPr>
    </w:p>
    <w:p w14:paraId="548EFA77" w14:textId="77777777" w:rsidR="000B7DC1" w:rsidRPr="00064185" w:rsidRDefault="000B7DC1" w:rsidP="00EA61D8">
      <w:pPr>
        <w:spacing w:line="260" w:lineRule="atLeast"/>
        <w:rPr>
          <w:rFonts w:eastAsia="Calibri"/>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101"/>
        <w:gridCol w:w="2126"/>
        <w:gridCol w:w="1243"/>
      </w:tblGrid>
      <w:tr w:rsidR="00064185" w:rsidRPr="00064185" w14:paraId="01551C8F" w14:textId="77777777" w:rsidTr="007049EA">
        <w:trPr>
          <w:cantSplit/>
          <w:trHeight w:val="313"/>
        </w:trPr>
        <w:tc>
          <w:tcPr>
            <w:tcW w:w="5000" w:type="pct"/>
            <w:gridSpan w:val="4"/>
            <w:shd w:val="clear" w:color="auto" w:fill="FFFFCC"/>
            <w:vAlign w:val="center"/>
          </w:tcPr>
          <w:p w14:paraId="7BF501DB" w14:textId="77777777" w:rsidR="000B7DC1" w:rsidRPr="00064185" w:rsidRDefault="000B7DC1" w:rsidP="00EA61D8">
            <w:pPr>
              <w:autoSpaceDE w:val="0"/>
              <w:autoSpaceDN w:val="0"/>
              <w:adjustRightInd w:val="0"/>
              <w:spacing w:line="260" w:lineRule="atLeast"/>
              <w:rPr>
                <w:rFonts w:eastAsia="Calibri" w:cs="Arial"/>
                <w:b/>
                <w:lang w:eastAsia="en-GB"/>
              </w:rPr>
            </w:pPr>
            <w:r w:rsidRPr="00064185">
              <w:rPr>
                <w:rFonts w:eastAsia="Calibri" w:cs="Arial"/>
                <w:b/>
                <w:lang w:eastAsia="en-GB"/>
              </w:rPr>
              <w:t>Input parameters (only set values) for calculating the fate and distribution in the environment</w:t>
            </w:r>
          </w:p>
        </w:tc>
      </w:tr>
      <w:tr w:rsidR="00064185" w:rsidRPr="00064185" w14:paraId="221D3A9E" w14:textId="77777777" w:rsidTr="007A49C6">
        <w:trPr>
          <w:cantSplit/>
          <w:trHeight w:val="313"/>
        </w:trPr>
        <w:tc>
          <w:tcPr>
            <w:tcW w:w="2100" w:type="pct"/>
            <w:shd w:val="clear" w:color="auto" w:fill="FFFFFF"/>
            <w:vAlign w:val="center"/>
          </w:tcPr>
          <w:p w14:paraId="39353FF0"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bCs/>
                <w:lang w:eastAsia="en-GB"/>
              </w:rPr>
              <w:t xml:space="preserve">Input </w:t>
            </w:r>
          </w:p>
        </w:tc>
        <w:tc>
          <w:tcPr>
            <w:tcW w:w="1114" w:type="pct"/>
            <w:shd w:val="clear" w:color="auto" w:fill="FFFFFF"/>
            <w:vAlign w:val="center"/>
          </w:tcPr>
          <w:p w14:paraId="4AE2B78D"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bCs/>
                <w:lang w:eastAsia="en-GB"/>
              </w:rPr>
              <w:t xml:space="preserve">Value </w:t>
            </w:r>
          </w:p>
        </w:tc>
        <w:tc>
          <w:tcPr>
            <w:tcW w:w="1127" w:type="pct"/>
            <w:shd w:val="clear" w:color="auto" w:fill="FFFFFF"/>
            <w:vAlign w:val="center"/>
          </w:tcPr>
          <w:p w14:paraId="76A86799" w14:textId="77777777" w:rsidR="000B7DC1" w:rsidRPr="00064185" w:rsidRDefault="000B7DC1" w:rsidP="00EA61D8">
            <w:pPr>
              <w:autoSpaceDE w:val="0"/>
              <w:autoSpaceDN w:val="0"/>
              <w:adjustRightInd w:val="0"/>
              <w:spacing w:line="260" w:lineRule="atLeast"/>
              <w:rPr>
                <w:rFonts w:eastAsia="Calibri" w:cs="Arial"/>
                <w:bCs/>
                <w:lang w:eastAsia="en-GB"/>
              </w:rPr>
            </w:pPr>
            <w:r w:rsidRPr="00064185">
              <w:rPr>
                <w:rFonts w:eastAsia="Calibri" w:cs="Arial"/>
                <w:bCs/>
                <w:lang w:eastAsia="en-GB"/>
              </w:rPr>
              <w:t>Unit</w:t>
            </w:r>
          </w:p>
        </w:tc>
        <w:tc>
          <w:tcPr>
            <w:tcW w:w="659" w:type="pct"/>
            <w:shd w:val="clear" w:color="auto" w:fill="FFFFFF"/>
            <w:vAlign w:val="center"/>
          </w:tcPr>
          <w:p w14:paraId="359B4E72" w14:textId="77777777" w:rsidR="000B7DC1" w:rsidRPr="00064185" w:rsidRDefault="000B7DC1" w:rsidP="00EA61D8">
            <w:pPr>
              <w:autoSpaceDE w:val="0"/>
              <w:autoSpaceDN w:val="0"/>
              <w:adjustRightInd w:val="0"/>
              <w:spacing w:line="260" w:lineRule="atLeast"/>
              <w:rPr>
                <w:rFonts w:eastAsia="Calibri" w:cs="Arial"/>
                <w:bCs/>
                <w:lang w:eastAsia="en-GB"/>
              </w:rPr>
            </w:pPr>
            <w:r w:rsidRPr="00064185">
              <w:rPr>
                <w:rFonts w:eastAsia="Calibri" w:cs="Arial"/>
                <w:bCs/>
                <w:lang w:eastAsia="en-GB"/>
              </w:rPr>
              <w:t>Remarks</w:t>
            </w:r>
          </w:p>
        </w:tc>
      </w:tr>
      <w:tr w:rsidR="00064185" w:rsidRPr="00064185" w14:paraId="5BC5BFDA" w14:textId="77777777" w:rsidTr="007A49C6">
        <w:trPr>
          <w:cantSplit/>
          <w:trHeight w:val="75"/>
        </w:trPr>
        <w:tc>
          <w:tcPr>
            <w:tcW w:w="2100" w:type="pct"/>
            <w:shd w:val="clear" w:color="auto" w:fill="FFFFFF"/>
            <w:vAlign w:val="center"/>
          </w:tcPr>
          <w:p w14:paraId="565E72A6"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Molecular weight</w:t>
            </w:r>
          </w:p>
        </w:tc>
        <w:tc>
          <w:tcPr>
            <w:tcW w:w="1114" w:type="pct"/>
            <w:shd w:val="clear" w:color="auto" w:fill="FFFFFF"/>
            <w:vAlign w:val="center"/>
          </w:tcPr>
          <w:p w14:paraId="00612D70"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iCs/>
              </w:rPr>
              <w:t xml:space="preserve">449.9 </w:t>
            </w:r>
          </w:p>
        </w:tc>
        <w:tc>
          <w:tcPr>
            <w:tcW w:w="1127" w:type="pct"/>
            <w:shd w:val="clear" w:color="auto" w:fill="FFFFFF"/>
            <w:vAlign w:val="center"/>
          </w:tcPr>
          <w:p w14:paraId="2B18E114"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iCs/>
              </w:rPr>
              <w:t>g/mol</w:t>
            </w:r>
          </w:p>
        </w:tc>
        <w:tc>
          <w:tcPr>
            <w:tcW w:w="659" w:type="pct"/>
            <w:shd w:val="clear" w:color="auto" w:fill="FFFFFF"/>
          </w:tcPr>
          <w:p w14:paraId="747F895E" w14:textId="68DADAC1" w:rsidR="000B7DC1" w:rsidRPr="00064185" w:rsidRDefault="000B7DC1" w:rsidP="00EA61D8"/>
        </w:tc>
      </w:tr>
      <w:tr w:rsidR="00064185" w:rsidRPr="00064185" w14:paraId="473034A9" w14:textId="77777777" w:rsidTr="007A49C6">
        <w:trPr>
          <w:cantSplit/>
          <w:trHeight w:val="75"/>
        </w:trPr>
        <w:tc>
          <w:tcPr>
            <w:tcW w:w="2100" w:type="pct"/>
            <w:shd w:val="clear" w:color="auto" w:fill="FFFFFF"/>
            <w:vAlign w:val="center"/>
          </w:tcPr>
          <w:p w14:paraId="4C5DECD4"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Melting point</w:t>
            </w:r>
          </w:p>
        </w:tc>
        <w:tc>
          <w:tcPr>
            <w:tcW w:w="1114" w:type="pct"/>
            <w:shd w:val="clear" w:color="auto" w:fill="FFFFFF"/>
            <w:vAlign w:val="center"/>
          </w:tcPr>
          <w:p w14:paraId="4A536AAA"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48.2</w:t>
            </w:r>
          </w:p>
        </w:tc>
        <w:tc>
          <w:tcPr>
            <w:tcW w:w="1127" w:type="pct"/>
            <w:shd w:val="clear" w:color="auto" w:fill="FFFFFF"/>
            <w:vAlign w:val="center"/>
          </w:tcPr>
          <w:p w14:paraId="7D2FD9F0"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°C</w:t>
            </w:r>
          </w:p>
        </w:tc>
        <w:tc>
          <w:tcPr>
            <w:tcW w:w="659" w:type="pct"/>
            <w:shd w:val="clear" w:color="auto" w:fill="FFFFFF"/>
          </w:tcPr>
          <w:p w14:paraId="2FC8D8C1" w14:textId="2F06FBDA" w:rsidR="000B7DC1" w:rsidRPr="00064185" w:rsidRDefault="000B7DC1" w:rsidP="00EA61D8"/>
        </w:tc>
      </w:tr>
      <w:tr w:rsidR="00064185" w:rsidRPr="00064185" w14:paraId="30D4177F" w14:textId="77777777" w:rsidTr="007A49C6">
        <w:trPr>
          <w:cantSplit/>
          <w:trHeight w:val="75"/>
        </w:trPr>
        <w:tc>
          <w:tcPr>
            <w:tcW w:w="2100" w:type="pct"/>
            <w:shd w:val="clear" w:color="auto" w:fill="FFFFFF"/>
            <w:vAlign w:val="center"/>
          </w:tcPr>
          <w:p w14:paraId="1F611B5A"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Boiling point</w:t>
            </w:r>
          </w:p>
        </w:tc>
        <w:tc>
          <w:tcPr>
            <w:tcW w:w="1114" w:type="pct"/>
            <w:shd w:val="clear" w:color="auto" w:fill="FFFFFF"/>
            <w:vAlign w:val="center"/>
          </w:tcPr>
          <w:p w14:paraId="6B630B02"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Not relevant</w:t>
            </w:r>
          </w:p>
        </w:tc>
        <w:tc>
          <w:tcPr>
            <w:tcW w:w="1127" w:type="pct"/>
            <w:shd w:val="clear" w:color="auto" w:fill="FFFFFF"/>
            <w:vAlign w:val="center"/>
          </w:tcPr>
          <w:p w14:paraId="51AA3839"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°C</w:t>
            </w:r>
          </w:p>
        </w:tc>
        <w:tc>
          <w:tcPr>
            <w:tcW w:w="659" w:type="pct"/>
            <w:shd w:val="clear" w:color="auto" w:fill="FFFFFF"/>
          </w:tcPr>
          <w:p w14:paraId="0A3BBD26" w14:textId="39F89697" w:rsidR="000B7DC1" w:rsidRPr="00064185" w:rsidRDefault="000B7DC1" w:rsidP="00EA61D8"/>
        </w:tc>
      </w:tr>
      <w:tr w:rsidR="00064185" w:rsidRPr="00064185" w14:paraId="123C3328" w14:textId="77777777" w:rsidTr="007A49C6">
        <w:trPr>
          <w:cantSplit/>
          <w:trHeight w:val="75"/>
        </w:trPr>
        <w:tc>
          <w:tcPr>
            <w:tcW w:w="2100" w:type="pct"/>
            <w:shd w:val="clear" w:color="auto" w:fill="FFFFFF"/>
            <w:vAlign w:val="center"/>
          </w:tcPr>
          <w:p w14:paraId="539641EC"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Vapour pressure (at 20° C)</w:t>
            </w:r>
          </w:p>
        </w:tc>
        <w:tc>
          <w:tcPr>
            <w:tcW w:w="1114" w:type="pct"/>
            <w:shd w:val="clear" w:color="auto" w:fill="FFFFFF"/>
            <w:vAlign w:val="center"/>
          </w:tcPr>
          <w:p w14:paraId="466BCBF5" w14:textId="77777777" w:rsidR="000B7DC1" w:rsidRPr="00064185" w:rsidRDefault="000B7DC1" w:rsidP="00EA61D8">
            <w:pPr>
              <w:autoSpaceDE w:val="0"/>
              <w:autoSpaceDN w:val="0"/>
              <w:adjustRightInd w:val="0"/>
              <w:spacing w:line="260" w:lineRule="atLeast"/>
              <w:rPr>
                <w:rFonts w:eastAsia="Calibri" w:cs="Arial"/>
                <w:lang w:eastAsia="en-GB"/>
              </w:rPr>
            </w:pPr>
            <w:r w:rsidRPr="00064185">
              <w:t>2 x 10</w:t>
            </w:r>
            <w:r w:rsidRPr="00064185">
              <w:rPr>
                <w:vertAlign w:val="superscript"/>
              </w:rPr>
              <w:t>-7</w:t>
            </w:r>
          </w:p>
        </w:tc>
        <w:tc>
          <w:tcPr>
            <w:tcW w:w="1127" w:type="pct"/>
            <w:shd w:val="clear" w:color="auto" w:fill="FFFFFF"/>
            <w:vAlign w:val="center"/>
          </w:tcPr>
          <w:p w14:paraId="307C4BF3"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Pa</w:t>
            </w:r>
          </w:p>
        </w:tc>
        <w:tc>
          <w:tcPr>
            <w:tcW w:w="659" w:type="pct"/>
            <w:shd w:val="clear" w:color="auto" w:fill="FFFFFF"/>
          </w:tcPr>
          <w:p w14:paraId="2B7A69DE" w14:textId="10B5E1C5" w:rsidR="000B7DC1" w:rsidRPr="00064185" w:rsidRDefault="000B7DC1" w:rsidP="00EA61D8"/>
        </w:tc>
      </w:tr>
      <w:tr w:rsidR="00064185" w:rsidRPr="00064185" w14:paraId="75974232" w14:textId="77777777" w:rsidTr="007A49C6">
        <w:trPr>
          <w:cantSplit/>
          <w:trHeight w:val="75"/>
        </w:trPr>
        <w:tc>
          <w:tcPr>
            <w:tcW w:w="2100" w:type="pct"/>
            <w:shd w:val="clear" w:color="auto" w:fill="FFFFFF"/>
            <w:vAlign w:val="center"/>
          </w:tcPr>
          <w:p w14:paraId="2A834047"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Water solubility (at  20 °C)</w:t>
            </w:r>
          </w:p>
        </w:tc>
        <w:tc>
          <w:tcPr>
            <w:tcW w:w="1114" w:type="pct"/>
            <w:shd w:val="clear" w:color="auto" w:fill="FFFFFF"/>
            <w:vAlign w:val="center"/>
          </w:tcPr>
          <w:p w14:paraId="0845A6DC" w14:textId="77777777" w:rsidR="000B7DC1" w:rsidRPr="00064185" w:rsidRDefault="000B7DC1" w:rsidP="00EA61D8">
            <w:pPr>
              <w:autoSpaceDE w:val="0"/>
              <w:autoSpaceDN w:val="0"/>
              <w:adjustRightInd w:val="0"/>
              <w:spacing w:line="260" w:lineRule="atLeast"/>
              <w:ind w:right="175"/>
              <w:rPr>
                <w:rFonts w:eastAsia="Calibri" w:cs="Arial"/>
                <w:lang w:eastAsia="en-GB"/>
              </w:rPr>
            </w:pPr>
            <w:r w:rsidRPr="00064185">
              <w:rPr>
                <w:rFonts w:eastAsia="Calibri" w:cs="Arial"/>
                <w:lang w:eastAsia="en-GB"/>
              </w:rPr>
              <w:t>5</w:t>
            </w:r>
          </w:p>
        </w:tc>
        <w:tc>
          <w:tcPr>
            <w:tcW w:w="1127" w:type="pct"/>
            <w:shd w:val="clear" w:color="auto" w:fill="FFFFFF"/>
            <w:vAlign w:val="center"/>
          </w:tcPr>
          <w:p w14:paraId="731EE8D6"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µg/l</w:t>
            </w:r>
          </w:p>
        </w:tc>
        <w:tc>
          <w:tcPr>
            <w:tcW w:w="659" w:type="pct"/>
            <w:shd w:val="clear" w:color="auto" w:fill="FFFFFF"/>
          </w:tcPr>
          <w:p w14:paraId="03D74C50" w14:textId="2CA2FDE9" w:rsidR="000B7DC1" w:rsidRPr="00064185" w:rsidRDefault="000B7DC1" w:rsidP="00EA61D8"/>
        </w:tc>
      </w:tr>
      <w:tr w:rsidR="00064185" w:rsidRPr="00064185" w14:paraId="5F4F17AC" w14:textId="77777777" w:rsidTr="007A49C6">
        <w:trPr>
          <w:cantSplit/>
          <w:trHeight w:val="75"/>
        </w:trPr>
        <w:tc>
          <w:tcPr>
            <w:tcW w:w="2100" w:type="pct"/>
            <w:shd w:val="clear" w:color="auto" w:fill="FFFFFF"/>
            <w:vAlign w:val="center"/>
          </w:tcPr>
          <w:p w14:paraId="46D36DA7" w14:textId="0C50D204" w:rsidR="000B7DC1" w:rsidRPr="00064185" w:rsidRDefault="000B7DC1" w:rsidP="00EA61D8">
            <w:pPr>
              <w:autoSpaceDE w:val="0"/>
              <w:autoSpaceDN w:val="0"/>
              <w:adjustRightInd w:val="0"/>
              <w:spacing w:line="260" w:lineRule="atLeast"/>
              <w:rPr>
                <w:rFonts w:eastAsia="Calibri" w:cs="Arial"/>
                <w:lang w:val="fr-BE" w:eastAsia="en-GB"/>
              </w:rPr>
            </w:pPr>
            <w:r w:rsidRPr="00064185">
              <w:rPr>
                <w:rFonts w:eastAsia="Calibri" w:cs="Arial"/>
                <w:lang w:val="fr-BE" w:eastAsia="en-GB"/>
              </w:rPr>
              <w:t>Log Octanol/water partition coefficient</w:t>
            </w:r>
            <w:r w:rsidR="008F5D55" w:rsidRPr="00064185">
              <w:rPr>
                <w:rFonts w:eastAsia="Calibri" w:cs="Arial"/>
                <w:lang w:val="fr-BE" w:eastAsia="en-GB"/>
              </w:rPr>
              <w:t xml:space="preserve"> (log</w:t>
            </w:r>
            <w:r w:rsidR="00FA3C08" w:rsidRPr="00064185">
              <w:rPr>
                <w:rFonts w:eastAsia="Calibri" w:cs="Arial"/>
                <w:lang w:val="fr-BE" w:eastAsia="en-GB"/>
              </w:rPr>
              <w:t xml:space="preserve"> </w:t>
            </w:r>
            <w:r w:rsidR="008F5D55" w:rsidRPr="00064185">
              <w:rPr>
                <w:rFonts w:eastAsia="Calibri" w:cs="Arial"/>
                <w:lang w:val="fr-BE" w:eastAsia="en-GB"/>
              </w:rPr>
              <w:t>K</w:t>
            </w:r>
            <w:r w:rsidR="008F5D55" w:rsidRPr="00064185">
              <w:rPr>
                <w:rFonts w:eastAsia="Calibri" w:cs="Arial"/>
                <w:caps/>
                <w:vertAlign w:val="subscript"/>
                <w:lang w:val="fr-BE" w:eastAsia="en-GB"/>
              </w:rPr>
              <w:t>ow</w:t>
            </w:r>
            <w:r w:rsidR="008F5D55" w:rsidRPr="00064185">
              <w:rPr>
                <w:rFonts w:eastAsia="Calibri" w:cs="Arial"/>
                <w:lang w:val="fr-BE" w:eastAsia="en-GB"/>
              </w:rPr>
              <w:t>)</w:t>
            </w:r>
          </w:p>
        </w:tc>
        <w:tc>
          <w:tcPr>
            <w:tcW w:w="1114" w:type="pct"/>
            <w:shd w:val="clear" w:color="auto" w:fill="FFFFFF"/>
            <w:vAlign w:val="center"/>
          </w:tcPr>
          <w:p w14:paraId="38227251"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7.0</w:t>
            </w:r>
          </w:p>
        </w:tc>
        <w:tc>
          <w:tcPr>
            <w:tcW w:w="1127" w:type="pct"/>
            <w:shd w:val="clear" w:color="auto" w:fill="FFFFFF"/>
            <w:vAlign w:val="center"/>
          </w:tcPr>
          <w:p w14:paraId="1C884E51"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val="fr-BE" w:eastAsia="en-GB"/>
              </w:rPr>
              <w:t>Log 10</w:t>
            </w:r>
          </w:p>
        </w:tc>
        <w:tc>
          <w:tcPr>
            <w:tcW w:w="659" w:type="pct"/>
            <w:shd w:val="clear" w:color="auto" w:fill="FFFFFF"/>
          </w:tcPr>
          <w:p w14:paraId="34313871" w14:textId="03F3A818" w:rsidR="000B7DC1" w:rsidRPr="00064185" w:rsidRDefault="000B7DC1" w:rsidP="00EA61D8"/>
        </w:tc>
      </w:tr>
      <w:tr w:rsidR="00064185" w:rsidRPr="00064185" w14:paraId="08278660" w14:textId="77777777" w:rsidTr="007A49C6">
        <w:trPr>
          <w:cantSplit/>
          <w:trHeight w:val="75"/>
        </w:trPr>
        <w:tc>
          <w:tcPr>
            <w:tcW w:w="2100" w:type="pct"/>
            <w:shd w:val="clear" w:color="auto" w:fill="FFFFFF"/>
            <w:vAlign w:val="center"/>
          </w:tcPr>
          <w:p w14:paraId="784C0C67"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Organic carbon/water partition coefficient (K</w:t>
            </w:r>
            <w:r w:rsidRPr="00064185">
              <w:rPr>
                <w:rFonts w:eastAsia="Calibri" w:cs="Arial"/>
                <w:caps/>
                <w:vertAlign w:val="subscript"/>
                <w:lang w:eastAsia="en-GB"/>
              </w:rPr>
              <w:t>oc</w:t>
            </w:r>
            <w:r w:rsidRPr="00064185">
              <w:rPr>
                <w:rFonts w:eastAsia="Calibri" w:cs="Arial"/>
                <w:lang w:eastAsia="en-GB"/>
              </w:rPr>
              <w:t>)</w:t>
            </w:r>
          </w:p>
        </w:tc>
        <w:tc>
          <w:tcPr>
            <w:tcW w:w="1114" w:type="pct"/>
            <w:shd w:val="clear" w:color="auto" w:fill="FFFFFF"/>
            <w:vAlign w:val="center"/>
          </w:tcPr>
          <w:p w14:paraId="1884D357" w14:textId="77777777" w:rsidR="000B7DC1" w:rsidRPr="00064185" w:rsidRDefault="000B7DC1" w:rsidP="00EA61D8">
            <w:pPr>
              <w:autoSpaceDE w:val="0"/>
              <w:autoSpaceDN w:val="0"/>
              <w:adjustRightInd w:val="0"/>
              <w:spacing w:line="260" w:lineRule="atLeast"/>
              <w:rPr>
                <w:rFonts w:eastAsia="Calibri" w:cs="Arial"/>
                <w:lang w:eastAsia="en-GB"/>
              </w:rPr>
            </w:pPr>
            <w:r w:rsidRPr="00064185">
              <w:t>70,100-724,000</w:t>
            </w:r>
          </w:p>
        </w:tc>
        <w:tc>
          <w:tcPr>
            <w:tcW w:w="1127" w:type="pct"/>
            <w:shd w:val="clear" w:color="auto" w:fill="FFFFFF"/>
            <w:vAlign w:val="center"/>
          </w:tcPr>
          <w:p w14:paraId="3AAC7743"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l/kg</w:t>
            </w:r>
          </w:p>
        </w:tc>
        <w:tc>
          <w:tcPr>
            <w:tcW w:w="659" w:type="pct"/>
            <w:shd w:val="clear" w:color="auto" w:fill="FFFFFF"/>
          </w:tcPr>
          <w:p w14:paraId="05682A32" w14:textId="64151262" w:rsidR="000B7DC1" w:rsidRPr="00064185" w:rsidRDefault="000B7DC1" w:rsidP="00EA61D8"/>
        </w:tc>
      </w:tr>
      <w:tr w:rsidR="00064185" w:rsidRPr="00064185" w14:paraId="426A3455" w14:textId="77777777" w:rsidTr="007A49C6">
        <w:trPr>
          <w:cantSplit/>
          <w:trHeight w:val="93"/>
        </w:trPr>
        <w:tc>
          <w:tcPr>
            <w:tcW w:w="2100" w:type="pct"/>
            <w:shd w:val="clear" w:color="auto" w:fill="FFFFFF"/>
            <w:vAlign w:val="center"/>
          </w:tcPr>
          <w:p w14:paraId="6F5ACBEA"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 xml:space="preserve">Henry’s Law Constant </w:t>
            </w:r>
          </w:p>
        </w:tc>
        <w:tc>
          <w:tcPr>
            <w:tcW w:w="1114" w:type="pct"/>
            <w:shd w:val="clear" w:color="auto" w:fill="FFFFFF"/>
            <w:vAlign w:val="center"/>
          </w:tcPr>
          <w:p w14:paraId="094DD54F" w14:textId="77777777" w:rsidR="000B7DC1" w:rsidRPr="00064185" w:rsidRDefault="000B7DC1" w:rsidP="00EA61D8">
            <w:pPr>
              <w:autoSpaceDE w:val="0"/>
              <w:autoSpaceDN w:val="0"/>
              <w:adjustRightInd w:val="0"/>
              <w:spacing w:line="260" w:lineRule="atLeast"/>
              <w:rPr>
                <w:rFonts w:eastAsia="Calibri" w:cs="Arial"/>
                <w:lang w:eastAsia="en-GB"/>
              </w:rPr>
            </w:pPr>
            <w:r w:rsidRPr="00064185">
              <w:t>1.8 x 10</w:t>
            </w:r>
            <w:r w:rsidRPr="00064185">
              <w:rPr>
                <w:vertAlign w:val="superscript"/>
              </w:rPr>
              <w:t>-2</w:t>
            </w:r>
          </w:p>
        </w:tc>
        <w:tc>
          <w:tcPr>
            <w:tcW w:w="1127" w:type="pct"/>
            <w:shd w:val="clear" w:color="auto" w:fill="FFFFFF"/>
            <w:vAlign w:val="center"/>
          </w:tcPr>
          <w:p w14:paraId="09FCF093"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Pa/m3/mol</w:t>
            </w:r>
          </w:p>
        </w:tc>
        <w:tc>
          <w:tcPr>
            <w:tcW w:w="659" w:type="pct"/>
            <w:shd w:val="clear" w:color="auto" w:fill="FFFFFF"/>
          </w:tcPr>
          <w:p w14:paraId="47A5E5B5" w14:textId="176F202E" w:rsidR="000B7DC1" w:rsidRPr="00064185" w:rsidRDefault="000B7DC1" w:rsidP="00EA61D8"/>
        </w:tc>
      </w:tr>
      <w:tr w:rsidR="00064185" w:rsidRPr="00064185" w14:paraId="0E71679B" w14:textId="77777777" w:rsidTr="007A49C6">
        <w:trPr>
          <w:cantSplit/>
          <w:trHeight w:val="75"/>
        </w:trPr>
        <w:tc>
          <w:tcPr>
            <w:tcW w:w="2100" w:type="pct"/>
            <w:shd w:val="clear" w:color="auto" w:fill="FFFFFF"/>
            <w:vAlign w:val="center"/>
          </w:tcPr>
          <w:p w14:paraId="7F668A13"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Biodegradability</w:t>
            </w:r>
          </w:p>
        </w:tc>
        <w:tc>
          <w:tcPr>
            <w:tcW w:w="1114" w:type="pct"/>
            <w:shd w:val="clear" w:color="auto" w:fill="FFFFFF"/>
            <w:vAlign w:val="center"/>
          </w:tcPr>
          <w:p w14:paraId="1BCBFC02"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n.d.</w:t>
            </w:r>
          </w:p>
        </w:tc>
        <w:tc>
          <w:tcPr>
            <w:tcW w:w="1127" w:type="pct"/>
            <w:shd w:val="clear" w:color="auto" w:fill="FFFFFF"/>
            <w:vAlign w:val="center"/>
          </w:tcPr>
          <w:p w14:paraId="7B8F8B00" w14:textId="77777777" w:rsidR="000B7DC1" w:rsidRPr="00064185" w:rsidRDefault="000B7DC1" w:rsidP="00EA61D8">
            <w:pPr>
              <w:autoSpaceDE w:val="0"/>
              <w:autoSpaceDN w:val="0"/>
              <w:adjustRightInd w:val="0"/>
              <w:spacing w:line="260" w:lineRule="atLeast"/>
              <w:rPr>
                <w:rFonts w:eastAsia="Calibri" w:cs="Arial"/>
                <w:lang w:eastAsia="en-GB"/>
              </w:rPr>
            </w:pPr>
          </w:p>
        </w:tc>
        <w:tc>
          <w:tcPr>
            <w:tcW w:w="659" w:type="pct"/>
            <w:shd w:val="clear" w:color="auto" w:fill="FFFFFF"/>
          </w:tcPr>
          <w:p w14:paraId="4CD47AA2" w14:textId="1D3251BD" w:rsidR="000B7DC1" w:rsidRPr="00064185" w:rsidRDefault="000B7DC1" w:rsidP="00EA61D8"/>
        </w:tc>
      </w:tr>
      <w:tr w:rsidR="00064185" w:rsidRPr="00064185" w14:paraId="16CC70B8" w14:textId="77777777" w:rsidTr="007A49C6">
        <w:trPr>
          <w:cantSplit/>
          <w:trHeight w:val="93"/>
        </w:trPr>
        <w:tc>
          <w:tcPr>
            <w:tcW w:w="2100" w:type="pct"/>
            <w:shd w:val="clear" w:color="auto" w:fill="FFFFFF"/>
            <w:vAlign w:val="center"/>
          </w:tcPr>
          <w:p w14:paraId="2FA0551D"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Rate constant for STP</w:t>
            </w:r>
          </w:p>
        </w:tc>
        <w:tc>
          <w:tcPr>
            <w:tcW w:w="1114" w:type="pct"/>
            <w:shd w:val="clear" w:color="auto" w:fill="FFFFFF"/>
            <w:vAlign w:val="center"/>
          </w:tcPr>
          <w:p w14:paraId="34EE0F08"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n.d.</w:t>
            </w:r>
          </w:p>
        </w:tc>
        <w:tc>
          <w:tcPr>
            <w:tcW w:w="1127" w:type="pct"/>
            <w:shd w:val="clear" w:color="auto" w:fill="FFFFFF"/>
            <w:vAlign w:val="center"/>
          </w:tcPr>
          <w:p w14:paraId="2BC3630D"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h</w:t>
            </w:r>
            <w:r w:rsidRPr="00064185">
              <w:rPr>
                <w:rFonts w:eastAsia="Calibri" w:cs="Arial"/>
                <w:vertAlign w:val="superscript"/>
                <w:lang w:eastAsia="en-GB"/>
              </w:rPr>
              <w:t>-1</w:t>
            </w:r>
          </w:p>
        </w:tc>
        <w:tc>
          <w:tcPr>
            <w:tcW w:w="659" w:type="pct"/>
            <w:shd w:val="clear" w:color="auto" w:fill="FFFFFF"/>
          </w:tcPr>
          <w:p w14:paraId="01BBA598" w14:textId="2E768F03" w:rsidR="000B7DC1" w:rsidRPr="00064185" w:rsidRDefault="000B7DC1" w:rsidP="00EA61D8"/>
        </w:tc>
      </w:tr>
      <w:tr w:rsidR="00064185" w:rsidRPr="00064185" w14:paraId="63F611D9" w14:textId="77777777" w:rsidTr="007A49C6">
        <w:trPr>
          <w:cantSplit/>
          <w:trHeight w:val="93"/>
        </w:trPr>
        <w:tc>
          <w:tcPr>
            <w:tcW w:w="2100" w:type="pct"/>
            <w:shd w:val="clear" w:color="auto" w:fill="FFFFFF"/>
            <w:vAlign w:val="center"/>
          </w:tcPr>
          <w:p w14:paraId="3C0CF4AD"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DT</w:t>
            </w:r>
            <w:r w:rsidRPr="00064185">
              <w:rPr>
                <w:rFonts w:eastAsia="Calibri" w:cs="Arial"/>
                <w:vertAlign w:val="subscript"/>
                <w:lang w:eastAsia="en-GB"/>
              </w:rPr>
              <w:t>50</w:t>
            </w:r>
            <w:r w:rsidRPr="00064185">
              <w:rPr>
                <w:rFonts w:eastAsia="Calibri" w:cs="Arial"/>
                <w:lang w:eastAsia="en-GB"/>
              </w:rPr>
              <w:t xml:space="preserve"> for biodegradation in surface water</w:t>
            </w:r>
          </w:p>
        </w:tc>
        <w:tc>
          <w:tcPr>
            <w:tcW w:w="1114" w:type="pct"/>
            <w:shd w:val="clear" w:color="auto" w:fill="FFFFFF"/>
            <w:vAlign w:val="center"/>
          </w:tcPr>
          <w:p w14:paraId="5813534F"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n.d.</w:t>
            </w:r>
          </w:p>
        </w:tc>
        <w:tc>
          <w:tcPr>
            <w:tcW w:w="1127" w:type="pct"/>
            <w:shd w:val="clear" w:color="auto" w:fill="FFFFFF"/>
            <w:vAlign w:val="center"/>
          </w:tcPr>
          <w:p w14:paraId="786FDBF5"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d or hr (at 12ºC)</w:t>
            </w:r>
          </w:p>
        </w:tc>
        <w:tc>
          <w:tcPr>
            <w:tcW w:w="659" w:type="pct"/>
            <w:shd w:val="clear" w:color="auto" w:fill="FFFFFF"/>
          </w:tcPr>
          <w:p w14:paraId="7656332C" w14:textId="65778C9F" w:rsidR="000B7DC1" w:rsidRPr="00064185" w:rsidRDefault="000B7DC1" w:rsidP="00EA61D8"/>
        </w:tc>
      </w:tr>
      <w:tr w:rsidR="00064185" w:rsidRPr="00064185" w14:paraId="39446677" w14:textId="77777777" w:rsidTr="007A49C6">
        <w:trPr>
          <w:cantSplit/>
          <w:trHeight w:val="93"/>
        </w:trPr>
        <w:tc>
          <w:tcPr>
            <w:tcW w:w="2100" w:type="pct"/>
            <w:shd w:val="clear" w:color="auto" w:fill="FFFFFF"/>
            <w:vAlign w:val="center"/>
          </w:tcPr>
          <w:p w14:paraId="72179D34"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DT</w:t>
            </w:r>
            <w:r w:rsidRPr="00064185">
              <w:rPr>
                <w:rFonts w:eastAsia="Calibri" w:cs="Arial"/>
                <w:vertAlign w:val="subscript"/>
                <w:lang w:eastAsia="en-GB"/>
              </w:rPr>
              <w:t>50</w:t>
            </w:r>
            <w:r w:rsidRPr="00064185">
              <w:rPr>
                <w:rFonts w:eastAsia="Calibri" w:cs="Arial"/>
                <w:lang w:eastAsia="en-GB"/>
              </w:rPr>
              <w:t xml:space="preserve"> for hydrolysis in surface water</w:t>
            </w:r>
          </w:p>
        </w:tc>
        <w:tc>
          <w:tcPr>
            <w:tcW w:w="1114" w:type="pct"/>
            <w:shd w:val="clear" w:color="auto" w:fill="FFFFFF"/>
            <w:vAlign w:val="center"/>
          </w:tcPr>
          <w:p w14:paraId="0EF6B8E6"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 xml:space="preserve">Stable </w:t>
            </w:r>
          </w:p>
        </w:tc>
        <w:tc>
          <w:tcPr>
            <w:tcW w:w="1127" w:type="pct"/>
            <w:shd w:val="clear" w:color="auto" w:fill="FFFFFF"/>
            <w:vAlign w:val="center"/>
          </w:tcPr>
          <w:p w14:paraId="2A1FFD56"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 xml:space="preserve">at 25ºC /pH 5 </w:t>
            </w:r>
          </w:p>
        </w:tc>
        <w:tc>
          <w:tcPr>
            <w:tcW w:w="659" w:type="pct"/>
            <w:shd w:val="clear" w:color="auto" w:fill="FFFFFF"/>
          </w:tcPr>
          <w:p w14:paraId="2846A569" w14:textId="365A8BC6" w:rsidR="000B7DC1" w:rsidRPr="00064185" w:rsidRDefault="000B7DC1" w:rsidP="00EA61D8"/>
        </w:tc>
      </w:tr>
      <w:tr w:rsidR="00064185" w:rsidRPr="00064185" w14:paraId="32D88EFB" w14:textId="77777777" w:rsidTr="007A49C6">
        <w:trPr>
          <w:cantSplit/>
          <w:trHeight w:val="93"/>
        </w:trPr>
        <w:tc>
          <w:tcPr>
            <w:tcW w:w="2100" w:type="pct"/>
            <w:shd w:val="clear" w:color="auto" w:fill="FFFFFF"/>
            <w:vAlign w:val="center"/>
          </w:tcPr>
          <w:p w14:paraId="101BBB59"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DT</w:t>
            </w:r>
            <w:r w:rsidRPr="00064185">
              <w:rPr>
                <w:rFonts w:eastAsia="Calibri" w:cs="Arial"/>
                <w:vertAlign w:val="subscript"/>
                <w:lang w:eastAsia="en-GB"/>
              </w:rPr>
              <w:t>50</w:t>
            </w:r>
            <w:r w:rsidRPr="00064185">
              <w:rPr>
                <w:rFonts w:eastAsia="Calibri" w:cs="Arial"/>
                <w:lang w:eastAsia="en-GB"/>
              </w:rPr>
              <w:t xml:space="preserve"> for hydrolysis in surface water</w:t>
            </w:r>
          </w:p>
        </w:tc>
        <w:tc>
          <w:tcPr>
            <w:tcW w:w="1114" w:type="pct"/>
            <w:shd w:val="clear" w:color="auto" w:fill="FFFFFF"/>
            <w:vAlign w:val="center"/>
          </w:tcPr>
          <w:p w14:paraId="12EF1030"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 xml:space="preserve">8.6 </w:t>
            </w:r>
          </w:p>
        </w:tc>
        <w:tc>
          <w:tcPr>
            <w:tcW w:w="1127" w:type="pct"/>
            <w:shd w:val="clear" w:color="auto" w:fill="FFFFFF"/>
            <w:vAlign w:val="center"/>
          </w:tcPr>
          <w:p w14:paraId="784CC685"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 xml:space="preserve">d (at 25ºC /pH 9) </w:t>
            </w:r>
          </w:p>
        </w:tc>
        <w:tc>
          <w:tcPr>
            <w:tcW w:w="659" w:type="pct"/>
            <w:shd w:val="clear" w:color="auto" w:fill="FFFFFF"/>
          </w:tcPr>
          <w:p w14:paraId="3468C84A" w14:textId="4AB106DE" w:rsidR="000B7DC1" w:rsidRPr="00064185" w:rsidRDefault="000B7DC1" w:rsidP="00EA61D8"/>
        </w:tc>
      </w:tr>
      <w:tr w:rsidR="00064185" w:rsidRPr="00064185" w14:paraId="02D93A84" w14:textId="77777777" w:rsidTr="007A49C6">
        <w:trPr>
          <w:cantSplit/>
          <w:trHeight w:val="93"/>
        </w:trPr>
        <w:tc>
          <w:tcPr>
            <w:tcW w:w="2100" w:type="pct"/>
            <w:shd w:val="clear" w:color="auto" w:fill="FFFFFF"/>
            <w:vAlign w:val="center"/>
          </w:tcPr>
          <w:p w14:paraId="38F213B1"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DT</w:t>
            </w:r>
            <w:r w:rsidRPr="00064185">
              <w:rPr>
                <w:rFonts w:eastAsia="Calibri" w:cs="Arial"/>
                <w:vertAlign w:val="subscript"/>
                <w:lang w:eastAsia="en-GB"/>
              </w:rPr>
              <w:t>50</w:t>
            </w:r>
            <w:r w:rsidRPr="00064185">
              <w:rPr>
                <w:rFonts w:eastAsia="Calibri" w:cs="Arial"/>
                <w:lang w:eastAsia="en-GB"/>
              </w:rPr>
              <w:t xml:space="preserve"> for photolysis in surface water</w:t>
            </w:r>
          </w:p>
        </w:tc>
        <w:tc>
          <w:tcPr>
            <w:tcW w:w="1114" w:type="pct"/>
            <w:shd w:val="clear" w:color="auto" w:fill="FFFFFF"/>
            <w:vAlign w:val="center"/>
          </w:tcPr>
          <w:p w14:paraId="39EA4558"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n.d.</w:t>
            </w:r>
          </w:p>
        </w:tc>
        <w:tc>
          <w:tcPr>
            <w:tcW w:w="1127" w:type="pct"/>
            <w:shd w:val="clear" w:color="auto" w:fill="FFFFFF"/>
            <w:vAlign w:val="center"/>
          </w:tcPr>
          <w:p w14:paraId="6B7304DA"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d or hr</w:t>
            </w:r>
          </w:p>
        </w:tc>
        <w:tc>
          <w:tcPr>
            <w:tcW w:w="659" w:type="pct"/>
            <w:shd w:val="clear" w:color="auto" w:fill="FFFFFF"/>
          </w:tcPr>
          <w:p w14:paraId="368E0EC4" w14:textId="0461479F" w:rsidR="000B7DC1" w:rsidRPr="00064185" w:rsidRDefault="000B7DC1" w:rsidP="00EA61D8"/>
        </w:tc>
      </w:tr>
      <w:tr w:rsidR="00064185" w:rsidRPr="00064185" w14:paraId="5C0D9641" w14:textId="77777777" w:rsidTr="00B77E1D">
        <w:trPr>
          <w:cantSplit/>
          <w:trHeight w:val="93"/>
        </w:trPr>
        <w:tc>
          <w:tcPr>
            <w:tcW w:w="2100" w:type="pct"/>
            <w:shd w:val="clear" w:color="auto" w:fill="FFFFFF"/>
            <w:vAlign w:val="center"/>
          </w:tcPr>
          <w:p w14:paraId="62A68E1A"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DT</w:t>
            </w:r>
            <w:r w:rsidRPr="00064185">
              <w:rPr>
                <w:rFonts w:eastAsia="Calibri" w:cs="Arial"/>
                <w:vertAlign w:val="subscript"/>
                <w:lang w:eastAsia="en-GB"/>
              </w:rPr>
              <w:t>50</w:t>
            </w:r>
            <w:r w:rsidRPr="00064185">
              <w:rPr>
                <w:rFonts w:eastAsia="Calibri" w:cs="Arial"/>
                <w:lang w:eastAsia="en-GB"/>
              </w:rPr>
              <w:t xml:space="preserve"> for degradation in soil</w:t>
            </w:r>
          </w:p>
        </w:tc>
        <w:tc>
          <w:tcPr>
            <w:tcW w:w="1114" w:type="pct"/>
            <w:shd w:val="clear" w:color="auto" w:fill="FFFFFF"/>
          </w:tcPr>
          <w:p w14:paraId="2AA66579" w14:textId="77777777" w:rsidR="000B7DC1" w:rsidRPr="00064185" w:rsidRDefault="000B7DC1" w:rsidP="00EA61D8">
            <w:pPr>
              <w:autoSpaceDE w:val="0"/>
              <w:autoSpaceDN w:val="0"/>
              <w:adjustRightInd w:val="0"/>
              <w:spacing w:line="260" w:lineRule="atLeast"/>
              <w:rPr>
                <w:rFonts w:eastAsia="Calibri" w:cs="Arial"/>
                <w:lang w:eastAsia="en-GB"/>
              </w:rPr>
            </w:pPr>
            <w:r w:rsidRPr="00064185">
              <w:t>No significant degradation observed</w:t>
            </w:r>
          </w:p>
        </w:tc>
        <w:tc>
          <w:tcPr>
            <w:tcW w:w="1127" w:type="pct"/>
            <w:shd w:val="clear" w:color="auto" w:fill="FFFFFF"/>
          </w:tcPr>
          <w:p w14:paraId="4C8F9E42"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d or hr (at 12ºC)</w:t>
            </w:r>
          </w:p>
        </w:tc>
        <w:tc>
          <w:tcPr>
            <w:tcW w:w="659" w:type="pct"/>
            <w:shd w:val="clear" w:color="auto" w:fill="FFFFFF"/>
          </w:tcPr>
          <w:p w14:paraId="3CB738DF" w14:textId="2305517E" w:rsidR="000B7DC1" w:rsidRPr="00064185" w:rsidRDefault="000B7DC1" w:rsidP="00EA61D8"/>
        </w:tc>
      </w:tr>
      <w:tr w:rsidR="00064185" w:rsidRPr="00064185" w14:paraId="282B430F" w14:textId="77777777" w:rsidTr="00B77E1D">
        <w:trPr>
          <w:cantSplit/>
          <w:trHeight w:val="93"/>
        </w:trPr>
        <w:tc>
          <w:tcPr>
            <w:tcW w:w="2100" w:type="pct"/>
            <w:shd w:val="clear" w:color="auto" w:fill="FFFFFF"/>
            <w:vAlign w:val="center"/>
          </w:tcPr>
          <w:p w14:paraId="104A3440"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DT</w:t>
            </w:r>
            <w:r w:rsidRPr="00064185">
              <w:rPr>
                <w:rFonts w:eastAsia="Calibri" w:cs="Arial"/>
                <w:vertAlign w:val="subscript"/>
                <w:lang w:eastAsia="en-GB"/>
              </w:rPr>
              <w:t>50</w:t>
            </w:r>
            <w:r w:rsidRPr="00064185">
              <w:rPr>
                <w:rFonts w:eastAsia="Calibri" w:cs="Arial"/>
                <w:lang w:eastAsia="en-GB"/>
              </w:rPr>
              <w:t xml:space="preserve"> for degradation in air</w:t>
            </w:r>
          </w:p>
        </w:tc>
        <w:tc>
          <w:tcPr>
            <w:tcW w:w="1114" w:type="pct"/>
            <w:shd w:val="clear" w:color="auto" w:fill="FFFFFF"/>
            <w:vAlign w:val="center"/>
          </w:tcPr>
          <w:p w14:paraId="09C33FAA"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12.2</w:t>
            </w:r>
          </w:p>
        </w:tc>
        <w:tc>
          <w:tcPr>
            <w:tcW w:w="1127" w:type="pct"/>
            <w:shd w:val="clear" w:color="auto" w:fill="FFFFFF"/>
          </w:tcPr>
          <w:p w14:paraId="226E0A04" w14:textId="77777777" w:rsidR="000B7DC1" w:rsidRPr="00064185" w:rsidRDefault="000B7DC1" w:rsidP="00EA61D8">
            <w:pPr>
              <w:autoSpaceDE w:val="0"/>
              <w:autoSpaceDN w:val="0"/>
              <w:adjustRightInd w:val="0"/>
              <w:spacing w:line="260" w:lineRule="atLeast"/>
              <w:rPr>
                <w:rFonts w:eastAsia="Calibri" w:cs="Arial"/>
                <w:lang w:eastAsia="en-GB"/>
              </w:rPr>
            </w:pPr>
            <w:r w:rsidRPr="00064185">
              <w:rPr>
                <w:rFonts w:eastAsia="Calibri" w:cs="Arial"/>
                <w:lang w:eastAsia="en-GB"/>
              </w:rPr>
              <w:t>hr</w:t>
            </w:r>
          </w:p>
        </w:tc>
        <w:tc>
          <w:tcPr>
            <w:tcW w:w="659" w:type="pct"/>
            <w:shd w:val="clear" w:color="auto" w:fill="FFFFFF"/>
          </w:tcPr>
          <w:p w14:paraId="72830A33" w14:textId="1E140121" w:rsidR="000B7DC1" w:rsidRPr="00064185" w:rsidRDefault="000B7DC1" w:rsidP="00EA61D8"/>
        </w:tc>
      </w:tr>
    </w:tbl>
    <w:p w14:paraId="7C0AFB2B" w14:textId="77777777" w:rsidR="00553FA9" w:rsidRPr="00064185" w:rsidRDefault="00553FA9" w:rsidP="00EA61D8">
      <w:pPr>
        <w:rPr>
          <w:rFonts w:eastAsia="Calibri"/>
          <w:b/>
          <w:i/>
          <w:sz w:val="22"/>
          <w:szCs w:val="22"/>
          <w:lang w:eastAsia="en-US"/>
        </w:rPr>
      </w:pPr>
      <w:bookmarkStart w:id="1802" w:name="_Toc389729116"/>
      <w:bookmarkStart w:id="1803" w:name="_Toc403472801"/>
      <w:r w:rsidRPr="00064185">
        <w:rPr>
          <w:rFonts w:eastAsia="Calibri"/>
          <w:b/>
          <w:i/>
          <w:sz w:val="22"/>
          <w:szCs w:val="22"/>
          <w:lang w:eastAsia="en-US"/>
        </w:rPr>
        <w:br w:type="page"/>
      </w:r>
    </w:p>
    <w:p w14:paraId="113AE9F2" w14:textId="6A8B460B" w:rsidR="00A53EE0" w:rsidRPr="00064185" w:rsidRDefault="00A53EE0" w:rsidP="00EA61D8">
      <w:pPr>
        <w:rPr>
          <w:rFonts w:eastAsia="Calibri"/>
          <w:b/>
          <w:i/>
          <w:sz w:val="22"/>
          <w:szCs w:val="22"/>
          <w:lang w:eastAsia="en-US"/>
        </w:rPr>
      </w:pPr>
      <w:r w:rsidRPr="00064185">
        <w:rPr>
          <w:rFonts w:eastAsia="Calibri"/>
          <w:b/>
          <w:i/>
          <w:sz w:val="22"/>
          <w:szCs w:val="22"/>
          <w:lang w:eastAsia="en-US"/>
        </w:rPr>
        <w:lastRenderedPageBreak/>
        <w:t>Calculated PEC values</w:t>
      </w:r>
      <w:bookmarkEnd w:id="1802"/>
      <w:bookmarkEnd w:id="1803"/>
    </w:p>
    <w:p w14:paraId="0D1F7401" w14:textId="14588BA4" w:rsidR="00007C61" w:rsidRPr="00064185" w:rsidRDefault="00007C61" w:rsidP="00EA61D8">
      <w:pPr>
        <w:rPr>
          <w:rFonts w:eastAsia="Calibri"/>
          <w:b/>
          <w:i/>
          <w:sz w:val="22"/>
          <w:szCs w:val="22"/>
          <w:lang w:eastAsia="en-US"/>
        </w:rPr>
      </w:pPr>
    </w:p>
    <w:p w14:paraId="423F6027" w14:textId="410E5B1B" w:rsidR="00007C61" w:rsidRPr="00064185" w:rsidRDefault="00007C61" w:rsidP="00EA61D8">
      <w:pPr>
        <w:rPr>
          <w:rFonts w:eastAsia="Calibri"/>
          <w:b/>
          <w:i/>
          <w:sz w:val="22"/>
          <w:szCs w:val="22"/>
          <w:u w:val="single"/>
          <w:lang w:eastAsia="en-US"/>
        </w:rPr>
      </w:pPr>
      <w:r w:rsidRPr="00064185">
        <w:rPr>
          <w:rFonts w:eastAsia="Calibri"/>
          <w:b/>
          <w:i/>
          <w:sz w:val="22"/>
          <w:szCs w:val="22"/>
          <w:u w:val="single"/>
          <w:lang w:eastAsia="en-US"/>
        </w:rPr>
        <w:t>PEC in air</w:t>
      </w:r>
    </w:p>
    <w:p w14:paraId="3BE997EC" w14:textId="77777777" w:rsidR="00441432" w:rsidRPr="00064185" w:rsidRDefault="00441432" w:rsidP="00EA61D8">
      <w:pPr>
        <w:rPr>
          <w:rFonts w:eastAsia="Calibri"/>
          <w:b/>
          <w:i/>
          <w:sz w:val="22"/>
          <w:szCs w:val="22"/>
          <w:u w:val="single"/>
          <w:lang w:eastAsia="en-US"/>
        </w:rPr>
      </w:pPr>
    </w:p>
    <w:p w14:paraId="34411D50" w14:textId="4C98E89E" w:rsidR="00007C61" w:rsidRPr="00064185" w:rsidRDefault="00007C61" w:rsidP="006A7704">
      <w:pPr>
        <w:jc w:val="both"/>
      </w:pPr>
      <w:r w:rsidRPr="00064185">
        <w:t xml:space="preserve">In view of the limited volatility of </w:t>
      </w:r>
      <w:r w:rsidR="00837324" w:rsidRPr="00064185">
        <w:rPr>
          <w:i/>
        </w:rPr>
        <w:t>lambda</w:t>
      </w:r>
      <w:r w:rsidR="007A2098" w:rsidRPr="00064185">
        <w:t>-c</w:t>
      </w:r>
      <w:r w:rsidR="00837324" w:rsidRPr="00064185">
        <w:t>yhalothrin</w:t>
      </w:r>
      <w:r w:rsidRPr="00064185">
        <w:t xml:space="preserve">, emissions to the air </w:t>
      </w:r>
      <w:r w:rsidR="0035486B" w:rsidRPr="00064185">
        <w:t xml:space="preserve">compartment </w:t>
      </w:r>
      <w:r w:rsidRPr="00064185">
        <w:t xml:space="preserve">are regarded to be insignificant. Thus, the PEC of </w:t>
      </w:r>
      <w:r w:rsidR="0035486B" w:rsidRPr="00064185">
        <w:rPr>
          <w:i/>
        </w:rPr>
        <w:t>lambda</w:t>
      </w:r>
      <w:r w:rsidR="0035486B" w:rsidRPr="00064185">
        <w:t>-</w:t>
      </w:r>
      <w:r w:rsidR="004B22B1" w:rsidRPr="00064185">
        <w:t>c</w:t>
      </w:r>
      <w:r w:rsidR="0018008F" w:rsidRPr="00064185">
        <w:t>yhalothrin</w:t>
      </w:r>
      <w:r w:rsidR="0035486B" w:rsidRPr="00064185">
        <w:t xml:space="preserve"> </w:t>
      </w:r>
      <w:r w:rsidRPr="00064185">
        <w:t>in air is considered to be negligible.</w:t>
      </w:r>
    </w:p>
    <w:p w14:paraId="30320A5B" w14:textId="77777777" w:rsidR="00340E39" w:rsidRPr="00064185" w:rsidRDefault="00340E39" w:rsidP="00EA61D8">
      <w:pPr>
        <w:rPr>
          <w:rFonts w:eastAsia="Calibri"/>
          <w:b/>
          <w:i/>
          <w:sz w:val="22"/>
          <w:szCs w:val="22"/>
          <w:lang w:eastAsia="en-US"/>
        </w:rPr>
      </w:pPr>
    </w:p>
    <w:p w14:paraId="386C9C19" w14:textId="51DFF638" w:rsidR="00B474EA" w:rsidRPr="00064185" w:rsidRDefault="00B474EA" w:rsidP="00EA61D8">
      <w:pPr>
        <w:rPr>
          <w:rFonts w:eastAsia="Calibri"/>
          <w:b/>
          <w:i/>
          <w:sz w:val="22"/>
          <w:u w:val="single"/>
          <w:lang w:eastAsia="en-US"/>
        </w:rPr>
      </w:pPr>
      <w:r w:rsidRPr="00064185">
        <w:rPr>
          <w:rFonts w:eastAsia="Calibri"/>
          <w:b/>
          <w:i/>
          <w:sz w:val="22"/>
          <w:u w:val="single"/>
          <w:lang w:eastAsia="en-US"/>
        </w:rPr>
        <w:t>PEC for STP</w:t>
      </w:r>
    </w:p>
    <w:p w14:paraId="3737D591" w14:textId="77777777" w:rsidR="007E63CB" w:rsidRPr="00064185" w:rsidRDefault="007E63CB" w:rsidP="00EA61D8">
      <w:pPr>
        <w:rPr>
          <w:rFonts w:eastAsia="Calibri"/>
          <w:lang w:eastAsia="en-US"/>
        </w:rPr>
      </w:pPr>
    </w:p>
    <w:p w14:paraId="3A64C501" w14:textId="181CD76F" w:rsidR="007E63CB" w:rsidRPr="00064185" w:rsidRDefault="007E63CB" w:rsidP="006A7704">
      <w:pPr>
        <w:jc w:val="both"/>
        <w:rPr>
          <w:rFonts w:eastAsia="Calibri"/>
          <w:lang w:eastAsia="en-US"/>
        </w:rPr>
      </w:pPr>
      <w:r w:rsidRPr="00064185">
        <w:rPr>
          <w:rFonts w:eastAsia="Calibri"/>
          <w:lang w:eastAsia="en-US"/>
        </w:rPr>
        <w:t>Based on the ESD PT</w:t>
      </w:r>
      <w:r w:rsidR="00904E81" w:rsidRPr="00064185">
        <w:rPr>
          <w:rFonts w:eastAsia="Calibri"/>
          <w:lang w:eastAsia="en-US"/>
        </w:rPr>
        <w:t xml:space="preserve"> </w:t>
      </w:r>
      <w:r w:rsidRPr="00064185">
        <w:rPr>
          <w:rFonts w:eastAsia="Calibri"/>
          <w:lang w:eastAsia="en-US"/>
        </w:rPr>
        <w:t xml:space="preserve">18, emissions to STP are relevant following both, indoor and outdoor product use on hard surfaces (e.g. terraces) considering subsequent wash-off. The distribution of the active substance </w:t>
      </w:r>
      <w:r w:rsidRPr="00064185">
        <w:rPr>
          <w:i/>
        </w:rPr>
        <w:t>lambda</w:t>
      </w:r>
      <w:r w:rsidRPr="00064185">
        <w:t>-cyhalothrin</w:t>
      </w:r>
      <w:r w:rsidRPr="00064185">
        <w:rPr>
          <w:rFonts w:eastAsia="Calibri"/>
          <w:lang w:eastAsia="en-US"/>
        </w:rPr>
        <w:t xml:space="preserve"> in the environment after release to the sewer system is calculated according to the distribution obtained from Simple Treat 3.1</w:t>
      </w:r>
      <w:r w:rsidRPr="00064185">
        <w:t>.</w:t>
      </w:r>
      <w:r w:rsidR="00330F90" w:rsidRPr="00064185">
        <w:t xml:space="preserve"> The calculations are separated according to the authorised use into residual treatment and direct treatment</w:t>
      </w:r>
      <w:r w:rsidR="009D2C53" w:rsidRPr="00064185">
        <w:t xml:space="preserve"> of </w:t>
      </w:r>
      <w:r w:rsidR="00FD6ACF" w:rsidRPr="00064185">
        <w:t>target organisms</w:t>
      </w:r>
      <w:r w:rsidR="00330F90" w:rsidRPr="00064185">
        <w:t>.</w:t>
      </w:r>
    </w:p>
    <w:p w14:paraId="46E67913" w14:textId="77777777" w:rsidR="007E63CB" w:rsidRPr="00064185" w:rsidRDefault="007E63CB" w:rsidP="00EA61D8">
      <w:pPr>
        <w:rPr>
          <w:rFonts w:eastAsia="Calibri"/>
          <w:lang w:eastAsia="en-US"/>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4318"/>
        <w:gridCol w:w="2394"/>
      </w:tblGrid>
      <w:tr w:rsidR="00064185" w:rsidRPr="00064185" w14:paraId="5F4AC1E8" w14:textId="77777777" w:rsidTr="00D34047">
        <w:trPr>
          <w:trHeight w:val="269"/>
        </w:trPr>
        <w:tc>
          <w:tcPr>
            <w:tcW w:w="5000" w:type="pct"/>
            <w:gridSpan w:val="3"/>
            <w:shd w:val="clear" w:color="auto" w:fill="FFFFCC"/>
            <w:vAlign w:val="center"/>
          </w:tcPr>
          <w:p w14:paraId="12BFB335" w14:textId="77777777" w:rsidR="007E63CB" w:rsidRPr="00064185" w:rsidRDefault="007E63CB" w:rsidP="00EA61D8">
            <w:pPr>
              <w:keepNext/>
              <w:autoSpaceDE w:val="0"/>
              <w:autoSpaceDN w:val="0"/>
              <w:adjustRightInd w:val="0"/>
              <w:spacing w:line="260" w:lineRule="atLeast"/>
              <w:rPr>
                <w:rFonts w:eastAsia="Calibri" w:cs="Arial"/>
                <w:b/>
                <w:lang w:eastAsia="en-GB"/>
              </w:rPr>
            </w:pPr>
            <w:r w:rsidRPr="00064185">
              <w:rPr>
                <w:rFonts w:eastAsia="Calibri"/>
                <w:b/>
                <w:lang w:eastAsia="en-US"/>
              </w:rPr>
              <w:t xml:space="preserve">Calculated fate and distribution in the STP </w:t>
            </w:r>
          </w:p>
        </w:tc>
      </w:tr>
      <w:tr w:rsidR="00064185" w:rsidRPr="00064185" w14:paraId="7E3BC496" w14:textId="77777777" w:rsidTr="00D34047">
        <w:trPr>
          <w:trHeight w:val="187"/>
        </w:trPr>
        <w:tc>
          <w:tcPr>
            <w:tcW w:w="1400" w:type="pct"/>
            <w:vMerge w:val="restart"/>
            <w:shd w:val="clear" w:color="auto" w:fill="FFFFFF"/>
            <w:vAlign w:val="center"/>
          </w:tcPr>
          <w:p w14:paraId="51FDD053" w14:textId="77777777" w:rsidR="007E63CB" w:rsidRPr="00064185" w:rsidRDefault="007E63CB" w:rsidP="00EA61D8">
            <w:pPr>
              <w:autoSpaceDE w:val="0"/>
              <w:autoSpaceDN w:val="0"/>
              <w:adjustRightInd w:val="0"/>
              <w:spacing w:line="260" w:lineRule="atLeast"/>
              <w:rPr>
                <w:rFonts w:eastAsia="Calibri" w:cs="Arial"/>
                <w:lang w:eastAsia="en-GB"/>
              </w:rPr>
            </w:pPr>
            <w:r w:rsidRPr="00064185">
              <w:rPr>
                <w:rFonts w:eastAsia="Calibri" w:cs="Arial"/>
                <w:bCs/>
                <w:lang w:eastAsia="en-GB"/>
              </w:rPr>
              <w:t>Compartment</w:t>
            </w:r>
          </w:p>
        </w:tc>
        <w:tc>
          <w:tcPr>
            <w:tcW w:w="2316" w:type="pct"/>
            <w:shd w:val="clear" w:color="auto" w:fill="FFFFFF"/>
            <w:vAlign w:val="center"/>
          </w:tcPr>
          <w:p w14:paraId="112DE156" w14:textId="77777777" w:rsidR="007E63CB" w:rsidRPr="00064185" w:rsidRDefault="007E63CB" w:rsidP="00EA61D8">
            <w:pPr>
              <w:autoSpaceDE w:val="0"/>
              <w:autoSpaceDN w:val="0"/>
              <w:adjustRightInd w:val="0"/>
              <w:spacing w:line="260" w:lineRule="atLeast"/>
              <w:rPr>
                <w:rFonts w:eastAsia="Calibri" w:cs="Arial"/>
                <w:bCs/>
                <w:lang w:eastAsia="en-GB"/>
              </w:rPr>
            </w:pPr>
            <w:r w:rsidRPr="00064185">
              <w:rPr>
                <w:rFonts w:eastAsia="Calibri" w:cs="Arial"/>
                <w:bCs/>
                <w:lang w:eastAsia="en-GB"/>
              </w:rPr>
              <w:t>Percentage [%]</w:t>
            </w:r>
          </w:p>
        </w:tc>
        <w:tc>
          <w:tcPr>
            <w:tcW w:w="1284" w:type="pct"/>
            <w:vMerge w:val="restart"/>
            <w:shd w:val="clear" w:color="auto" w:fill="FFFFFF"/>
            <w:vAlign w:val="center"/>
          </w:tcPr>
          <w:p w14:paraId="282A6A46" w14:textId="77777777" w:rsidR="007E63CB" w:rsidRPr="00064185" w:rsidRDefault="007E63CB" w:rsidP="00EA61D8">
            <w:pPr>
              <w:autoSpaceDE w:val="0"/>
              <w:autoSpaceDN w:val="0"/>
              <w:adjustRightInd w:val="0"/>
              <w:spacing w:line="260" w:lineRule="atLeast"/>
              <w:rPr>
                <w:rFonts w:eastAsia="Calibri" w:cs="Arial"/>
                <w:lang w:eastAsia="en-GB"/>
              </w:rPr>
            </w:pPr>
            <w:r w:rsidRPr="00064185">
              <w:rPr>
                <w:rFonts w:eastAsia="Calibri" w:cs="Arial"/>
                <w:bCs/>
                <w:lang w:eastAsia="en-GB"/>
              </w:rPr>
              <w:t>Remarks</w:t>
            </w:r>
          </w:p>
        </w:tc>
      </w:tr>
      <w:tr w:rsidR="00064185" w:rsidRPr="00064185" w14:paraId="3DE014F8" w14:textId="77777777" w:rsidTr="00D34047">
        <w:trPr>
          <w:trHeight w:val="97"/>
        </w:trPr>
        <w:tc>
          <w:tcPr>
            <w:tcW w:w="1400" w:type="pct"/>
            <w:vMerge/>
            <w:shd w:val="clear" w:color="auto" w:fill="FFFFFF"/>
          </w:tcPr>
          <w:p w14:paraId="55F1A16E" w14:textId="77777777" w:rsidR="007E63CB" w:rsidRPr="00064185" w:rsidRDefault="007E63CB" w:rsidP="00EA61D8">
            <w:pPr>
              <w:autoSpaceDE w:val="0"/>
              <w:autoSpaceDN w:val="0"/>
              <w:adjustRightInd w:val="0"/>
              <w:spacing w:line="260" w:lineRule="atLeast"/>
              <w:rPr>
                <w:rFonts w:eastAsia="Calibri" w:cs="Arial"/>
                <w:bCs/>
                <w:lang w:eastAsia="en-GB"/>
              </w:rPr>
            </w:pPr>
          </w:p>
        </w:tc>
        <w:tc>
          <w:tcPr>
            <w:tcW w:w="2316" w:type="pct"/>
            <w:shd w:val="clear" w:color="auto" w:fill="FFFFFF"/>
            <w:vAlign w:val="center"/>
          </w:tcPr>
          <w:p w14:paraId="31CAEB61" w14:textId="77777777" w:rsidR="007E63CB" w:rsidRPr="00064185" w:rsidRDefault="007E63CB" w:rsidP="00EA61D8">
            <w:pPr>
              <w:autoSpaceDE w:val="0"/>
              <w:autoSpaceDN w:val="0"/>
              <w:adjustRightInd w:val="0"/>
              <w:spacing w:line="260" w:lineRule="atLeast"/>
              <w:rPr>
                <w:rFonts w:eastAsia="Calibri" w:cs="Arial"/>
                <w:bCs/>
                <w:lang w:eastAsia="en-GB"/>
              </w:rPr>
            </w:pPr>
            <w:r w:rsidRPr="00064185">
              <w:rPr>
                <w:rFonts w:eastAsia="Calibri" w:cs="Arial"/>
                <w:bCs/>
                <w:lang w:eastAsia="en-GB"/>
              </w:rPr>
              <w:t>Scenarios 1-2</w:t>
            </w:r>
          </w:p>
        </w:tc>
        <w:tc>
          <w:tcPr>
            <w:tcW w:w="1284" w:type="pct"/>
            <w:vMerge/>
            <w:shd w:val="clear" w:color="auto" w:fill="FFFFFF"/>
          </w:tcPr>
          <w:p w14:paraId="50B4A9BA" w14:textId="77777777" w:rsidR="007E63CB" w:rsidRPr="00064185" w:rsidRDefault="007E63CB" w:rsidP="00EA61D8">
            <w:pPr>
              <w:autoSpaceDE w:val="0"/>
              <w:autoSpaceDN w:val="0"/>
              <w:adjustRightInd w:val="0"/>
              <w:spacing w:line="260" w:lineRule="atLeast"/>
              <w:rPr>
                <w:rFonts w:eastAsia="Calibri" w:cs="Arial"/>
                <w:bCs/>
                <w:lang w:eastAsia="en-GB"/>
              </w:rPr>
            </w:pPr>
          </w:p>
        </w:tc>
      </w:tr>
      <w:tr w:rsidR="00064185" w:rsidRPr="00064185" w14:paraId="66FF60ED" w14:textId="77777777" w:rsidTr="00D34047">
        <w:trPr>
          <w:trHeight w:val="75"/>
        </w:trPr>
        <w:tc>
          <w:tcPr>
            <w:tcW w:w="1400" w:type="pct"/>
            <w:shd w:val="clear" w:color="auto" w:fill="FFFFFF"/>
          </w:tcPr>
          <w:p w14:paraId="5891441C" w14:textId="77777777" w:rsidR="007E63CB" w:rsidRPr="00064185" w:rsidRDefault="007E63CB" w:rsidP="00EA61D8">
            <w:pPr>
              <w:autoSpaceDE w:val="0"/>
              <w:autoSpaceDN w:val="0"/>
              <w:adjustRightInd w:val="0"/>
              <w:spacing w:line="260" w:lineRule="atLeast"/>
              <w:rPr>
                <w:rFonts w:eastAsia="Calibri" w:cs="Arial"/>
                <w:lang w:eastAsia="en-GB"/>
              </w:rPr>
            </w:pPr>
            <w:r w:rsidRPr="00064185">
              <w:rPr>
                <w:rFonts w:eastAsia="Calibri" w:cs="Arial"/>
                <w:lang w:eastAsia="en-GB"/>
              </w:rPr>
              <w:t>Air</w:t>
            </w:r>
          </w:p>
        </w:tc>
        <w:tc>
          <w:tcPr>
            <w:tcW w:w="2316" w:type="pct"/>
            <w:shd w:val="clear" w:color="auto" w:fill="FFFFFF"/>
          </w:tcPr>
          <w:p w14:paraId="57EED417" w14:textId="77777777" w:rsidR="007E63CB" w:rsidRPr="00064185" w:rsidRDefault="007E63CB" w:rsidP="00EA61D8">
            <w:pPr>
              <w:autoSpaceDE w:val="0"/>
              <w:autoSpaceDN w:val="0"/>
              <w:adjustRightInd w:val="0"/>
              <w:spacing w:line="260" w:lineRule="atLeast"/>
              <w:rPr>
                <w:rFonts w:eastAsia="Calibri" w:cs="Arial"/>
                <w:lang w:eastAsia="en-GB"/>
              </w:rPr>
            </w:pPr>
            <w:r w:rsidRPr="00064185">
              <w:t>1.38E-03</w:t>
            </w:r>
          </w:p>
        </w:tc>
        <w:tc>
          <w:tcPr>
            <w:tcW w:w="1284" w:type="pct"/>
            <w:shd w:val="clear" w:color="auto" w:fill="FFFFFF"/>
          </w:tcPr>
          <w:p w14:paraId="004B621B" w14:textId="77777777" w:rsidR="007E63CB" w:rsidRPr="00064185" w:rsidRDefault="007E63CB" w:rsidP="00EA61D8">
            <w:pPr>
              <w:autoSpaceDE w:val="0"/>
              <w:autoSpaceDN w:val="0"/>
              <w:adjustRightInd w:val="0"/>
              <w:spacing w:line="260" w:lineRule="atLeast"/>
              <w:rPr>
                <w:rFonts w:eastAsia="Calibri" w:cs="Arial"/>
                <w:lang w:eastAsia="en-GB"/>
              </w:rPr>
            </w:pPr>
            <w:r w:rsidRPr="00064185">
              <w:t>---</w:t>
            </w:r>
          </w:p>
        </w:tc>
      </w:tr>
      <w:tr w:rsidR="00064185" w:rsidRPr="00064185" w14:paraId="7240ACCF" w14:textId="77777777" w:rsidTr="00D34047">
        <w:trPr>
          <w:trHeight w:val="75"/>
        </w:trPr>
        <w:tc>
          <w:tcPr>
            <w:tcW w:w="1400" w:type="pct"/>
            <w:shd w:val="clear" w:color="auto" w:fill="FFFFFF"/>
          </w:tcPr>
          <w:p w14:paraId="6E364A00" w14:textId="77777777" w:rsidR="007E63CB" w:rsidRPr="00064185" w:rsidRDefault="007E63CB" w:rsidP="00EA61D8">
            <w:pPr>
              <w:autoSpaceDE w:val="0"/>
              <w:autoSpaceDN w:val="0"/>
              <w:adjustRightInd w:val="0"/>
              <w:spacing w:line="260" w:lineRule="atLeast"/>
              <w:rPr>
                <w:rFonts w:eastAsia="Calibri" w:cs="Arial"/>
                <w:lang w:eastAsia="en-GB"/>
              </w:rPr>
            </w:pPr>
            <w:r w:rsidRPr="00064185">
              <w:rPr>
                <w:rFonts w:eastAsia="Calibri" w:cs="Arial"/>
                <w:lang w:eastAsia="en-GB"/>
              </w:rPr>
              <w:t>Water</w:t>
            </w:r>
          </w:p>
        </w:tc>
        <w:tc>
          <w:tcPr>
            <w:tcW w:w="2316" w:type="pct"/>
            <w:shd w:val="clear" w:color="auto" w:fill="FFFFFF"/>
          </w:tcPr>
          <w:p w14:paraId="33C1CB6D" w14:textId="77777777" w:rsidR="007E63CB" w:rsidRPr="00064185" w:rsidRDefault="007E63CB" w:rsidP="00EA61D8">
            <w:pPr>
              <w:autoSpaceDE w:val="0"/>
              <w:autoSpaceDN w:val="0"/>
              <w:adjustRightInd w:val="0"/>
              <w:spacing w:line="260" w:lineRule="atLeast"/>
              <w:rPr>
                <w:rFonts w:eastAsia="Calibri" w:cs="Arial"/>
                <w:lang w:eastAsia="en-GB"/>
              </w:rPr>
            </w:pPr>
            <w:r w:rsidRPr="00064185">
              <w:t>9.12</w:t>
            </w:r>
          </w:p>
        </w:tc>
        <w:tc>
          <w:tcPr>
            <w:tcW w:w="1284" w:type="pct"/>
            <w:shd w:val="clear" w:color="auto" w:fill="FFFFFF"/>
          </w:tcPr>
          <w:p w14:paraId="2CA5DDF4" w14:textId="77777777" w:rsidR="007E63CB" w:rsidRPr="00064185" w:rsidRDefault="007E63CB" w:rsidP="00EA61D8">
            <w:pPr>
              <w:autoSpaceDE w:val="0"/>
              <w:autoSpaceDN w:val="0"/>
              <w:adjustRightInd w:val="0"/>
              <w:spacing w:line="260" w:lineRule="atLeast"/>
              <w:rPr>
                <w:rFonts w:eastAsia="Calibri"/>
              </w:rPr>
            </w:pPr>
            <w:r w:rsidRPr="00064185">
              <w:t>---</w:t>
            </w:r>
          </w:p>
        </w:tc>
      </w:tr>
      <w:tr w:rsidR="00064185" w:rsidRPr="00064185" w14:paraId="4498DD2A" w14:textId="77777777" w:rsidTr="00D34047">
        <w:trPr>
          <w:trHeight w:val="75"/>
        </w:trPr>
        <w:tc>
          <w:tcPr>
            <w:tcW w:w="1400" w:type="pct"/>
            <w:shd w:val="clear" w:color="auto" w:fill="FFFFFF"/>
          </w:tcPr>
          <w:p w14:paraId="363272DE" w14:textId="77777777" w:rsidR="007E63CB" w:rsidRPr="00064185" w:rsidRDefault="007E63CB" w:rsidP="00EA61D8">
            <w:pPr>
              <w:autoSpaceDE w:val="0"/>
              <w:autoSpaceDN w:val="0"/>
              <w:adjustRightInd w:val="0"/>
              <w:spacing w:line="260" w:lineRule="atLeast"/>
              <w:rPr>
                <w:rFonts w:eastAsia="Calibri" w:cs="Arial"/>
                <w:lang w:eastAsia="en-GB"/>
              </w:rPr>
            </w:pPr>
            <w:r w:rsidRPr="00064185">
              <w:rPr>
                <w:rFonts w:eastAsia="Calibri" w:cs="Arial"/>
                <w:lang w:eastAsia="en-GB"/>
              </w:rPr>
              <w:t>Sludge</w:t>
            </w:r>
          </w:p>
        </w:tc>
        <w:tc>
          <w:tcPr>
            <w:tcW w:w="2316" w:type="pct"/>
            <w:shd w:val="clear" w:color="auto" w:fill="FFFFFF"/>
          </w:tcPr>
          <w:p w14:paraId="486D7741" w14:textId="77777777" w:rsidR="007E63CB" w:rsidRPr="00064185" w:rsidRDefault="007E63CB" w:rsidP="00EA61D8">
            <w:pPr>
              <w:autoSpaceDE w:val="0"/>
              <w:autoSpaceDN w:val="0"/>
              <w:adjustRightInd w:val="0"/>
              <w:spacing w:line="260" w:lineRule="atLeast"/>
              <w:rPr>
                <w:rFonts w:eastAsia="Calibri"/>
              </w:rPr>
            </w:pPr>
            <w:r w:rsidRPr="00064185">
              <w:t>90.9</w:t>
            </w:r>
          </w:p>
        </w:tc>
        <w:tc>
          <w:tcPr>
            <w:tcW w:w="1284" w:type="pct"/>
            <w:shd w:val="clear" w:color="auto" w:fill="FFFFFF"/>
          </w:tcPr>
          <w:p w14:paraId="2A84D2D4" w14:textId="77777777" w:rsidR="007E63CB" w:rsidRPr="00064185" w:rsidRDefault="007E63CB" w:rsidP="00EA61D8">
            <w:pPr>
              <w:autoSpaceDE w:val="0"/>
              <w:autoSpaceDN w:val="0"/>
              <w:adjustRightInd w:val="0"/>
              <w:spacing w:line="260" w:lineRule="atLeast"/>
              <w:rPr>
                <w:rFonts w:eastAsia="Calibri"/>
              </w:rPr>
            </w:pPr>
            <w:r w:rsidRPr="00064185">
              <w:t>---</w:t>
            </w:r>
          </w:p>
        </w:tc>
      </w:tr>
      <w:tr w:rsidR="00064185" w:rsidRPr="00064185" w14:paraId="2DB748EE" w14:textId="77777777" w:rsidTr="00D34047">
        <w:trPr>
          <w:trHeight w:val="75"/>
        </w:trPr>
        <w:tc>
          <w:tcPr>
            <w:tcW w:w="1400" w:type="pct"/>
            <w:shd w:val="clear" w:color="auto" w:fill="FFFFFF"/>
          </w:tcPr>
          <w:p w14:paraId="37697F68" w14:textId="77777777" w:rsidR="007E63CB" w:rsidRPr="00064185" w:rsidRDefault="007E63CB" w:rsidP="00EA61D8">
            <w:pPr>
              <w:autoSpaceDE w:val="0"/>
              <w:autoSpaceDN w:val="0"/>
              <w:adjustRightInd w:val="0"/>
              <w:spacing w:line="260" w:lineRule="atLeast"/>
              <w:rPr>
                <w:rFonts w:eastAsia="Calibri" w:cs="Arial"/>
                <w:lang w:eastAsia="en-GB"/>
              </w:rPr>
            </w:pPr>
            <w:r w:rsidRPr="00064185">
              <w:rPr>
                <w:rFonts w:eastAsia="Calibri" w:cs="Arial"/>
                <w:lang w:eastAsia="en-GB"/>
              </w:rPr>
              <w:t>Degraded in STP</w:t>
            </w:r>
          </w:p>
        </w:tc>
        <w:tc>
          <w:tcPr>
            <w:tcW w:w="2316" w:type="pct"/>
            <w:shd w:val="clear" w:color="auto" w:fill="FFFFFF"/>
          </w:tcPr>
          <w:p w14:paraId="654988E1" w14:textId="77777777" w:rsidR="007E63CB" w:rsidRPr="00064185" w:rsidRDefault="007E63CB" w:rsidP="00EA61D8">
            <w:pPr>
              <w:autoSpaceDE w:val="0"/>
              <w:autoSpaceDN w:val="0"/>
              <w:adjustRightInd w:val="0"/>
              <w:spacing w:line="260" w:lineRule="atLeast"/>
              <w:rPr>
                <w:rFonts w:eastAsia="Calibri"/>
              </w:rPr>
            </w:pPr>
            <w:r w:rsidRPr="00064185">
              <w:rPr>
                <w:rFonts w:eastAsia="Calibri" w:cs="Arial"/>
                <w:lang w:eastAsia="en-GB"/>
              </w:rPr>
              <w:t>0</w:t>
            </w:r>
          </w:p>
        </w:tc>
        <w:tc>
          <w:tcPr>
            <w:tcW w:w="1284" w:type="pct"/>
            <w:shd w:val="clear" w:color="auto" w:fill="FFFFFF"/>
          </w:tcPr>
          <w:p w14:paraId="5115003F" w14:textId="77777777" w:rsidR="007E63CB" w:rsidRPr="00064185" w:rsidRDefault="007E63CB" w:rsidP="00EA61D8">
            <w:pPr>
              <w:autoSpaceDE w:val="0"/>
              <w:autoSpaceDN w:val="0"/>
              <w:adjustRightInd w:val="0"/>
              <w:spacing w:line="260" w:lineRule="atLeast"/>
              <w:rPr>
                <w:rFonts w:eastAsia="Calibri"/>
              </w:rPr>
            </w:pPr>
            <w:r w:rsidRPr="00064185">
              <w:t>---</w:t>
            </w:r>
          </w:p>
        </w:tc>
      </w:tr>
    </w:tbl>
    <w:p w14:paraId="1127AED4" w14:textId="77777777" w:rsidR="00FA2E2A" w:rsidRPr="00064185" w:rsidRDefault="00FA2E2A" w:rsidP="00EA61D8">
      <w:pPr>
        <w:spacing w:line="276" w:lineRule="auto"/>
        <w:rPr>
          <w:rFonts w:eastAsia="Calibri"/>
          <w:lang w:eastAsia="en-US"/>
        </w:rPr>
      </w:pPr>
    </w:p>
    <w:p w14:paraId="08FC94C3" w14:textId="37293114" w:rsidR="00FA2E2A" w:rsidRPr="00064185" w:rsidRDefault="00FA2E2A" w:rsidP="00EA61D8">
      <w:pPr>
        <w:spacing w:line="276" w:lineRule="auto"/>
        <w:rPr>
          <w:u w:val="single"/>
        </w:rPr>
      </w:pPr>
      <w:r w:rsidRPr="00064185">
        <w:rPr>
          <w:u w:val="single"/>
        </w:rPr>
        <w:t>Residual treatment:</w:t>
      </w:r>
    </w:p>
    <w:p w14:paraId="1FEE9AF7" w14:textId="77777777" w:rsidR="00C6445A" w:rsidRPr="00064185" w:rsidRDefault="00C6445A" w:rsidP="00EA61D8">
      <w:pPr>
        <w:rPr>
          <w:rFonts w:eastAsia="Calibri"/>
          <w:b/>
          <w:i/>
          <w:sz w:val="22"/>
          <w:szCs w:val="22"/>
          <w:lang w:eastAsia="en-U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9"/>
        <w:gridCol w:w="2752"/>
        <w:gridCol w:w="801"/>
        <w:gridCol w:w="1620"/>
        <w:gridCol w:w="781"/>
        <w:gridCol w:w="1061"/>
      </w:tblGrid>
      <w:tr w:rsidR="00064185" w:rsidRPr="00064185" w14:paraId="075C8731" w14:textId="77777777" w:rsidTr="00E923EE">
        <w:trPr>
          <w:trHeight w:val="471"/>
        </w:trPr>
        <w:tc>
          <w:tcPr>
            <w:tcW w:w="0" w:type="auto"/>
            <w:gridSpan w:val="6"/>
            <w:shd w:val="clear" w:color="auto" w:fill="FFFFCC"/>
            <w:noWrap/>
            <w:vAlign w:val="center"/>
          </w:tcPr>
          <w:p w14:paraId="0D6218C2" w14:textId="224052AB" w:rsidR="00BE74B7" w:rsidRPr="00064185" w:rsidRDefault="00BE74B7" w:rsidP="00EA61D8">
            <w:pPr>
              <w:keepNext/>
              <w:keepLines/>
              <w:spacing w:before="60" w:after="60"/>
              <w:rPr>
                <w:b/>
                <w:bCs/>
              </w:rPr>
            </w:pPr>
            <w:bookmarkStart w:id="1804" w:name="_Ref206981867"/>
            <w:bookmarkEnd w:id="1804"/>
            <w:r w:rsidRPr="00064185">
              <w:rPr>
                <w:b/>
              </w:rPr>
              <w:t>Calculation of the STP influent concentration (</w:t>
            </w:r>
            <w:r w:rsidRPr="00064185">
              <w:rPr>
                <w:b/>
                <w:i/>
              </w:rPr>
              <w:t>cf.</w:t>
            </w:r>
            <w:r w:rsidRPr="00064185">
              <w:rPr>
                <w:b/>
              </w:rPr>
              <w:t xml:space="preserve"> TGD, 2003, Equation 32)</w:t>
            </w:r>
          </w:p>
        </w:tc>
      </w:tr>
      <w:tr w:rsidR="00064185" w:rsidRPr="00064185" w14:paraId="728B7E15" w14:textId="34C9061B" w:rsidTr="001E3E54">
        <w:trPr>
          <w:trHeight w:val="659"/>
        </w:trPr>
        <w:tc>
          <w:tcPr>
            <w:tcW w:w="2339" w:type="dxa"/>
            <w:vMerge w:val="restart"/>
            <w:noWrap/>
            <w:vAlign w:val="center"/>
            <w:hideMark/>
          </w:tcPr>
          <w:p w14:paraId="16CEF763" w14:textId="77777777" w:rsidR="00AE20EC" w:rsidRPr="00064185" w:rsidRDefault="00AE20EC" w:rsidP="00EA61D8">
            <w:pPr>
              <w:keepNext/>
              <w:keepLines/>
              <w:spacing w:before="60" w:after="60"/>
              <w:rPr>
                <w:rFonts w:ascii="Arial" w:hAnsi="Arial" w:cs="Arial"/>
                <w:b/>
              </w:rPr>
            </w:pPr>
            <w:r w:rsidRPr="00064185">
              <w:rPr>
                <w:b/>
                <w:bCs/>
              </w:rPr>
              <w:t>Parameter</w:t>
            </w:r>
          </w:p>
        </w:tc>
        <w:tc>
          <w:tcPr>
            <w:tcW w:w="2729" w:type="dxa"/>
            <w:vMerge w:val="restart"/>
            <w:vAlign w:val="center"/>
            <w:hideMark/>
          </w:tcPr>
          <w:p w14:paraId="1CF55B69" w14:textId="77777777" w:rsidR="00AE20EC" w:rsidRPr="00064185" w:rsidRDefault="00AE20EC" w:rsidP="00EA61D8">
            <w:pPr>
              <w:keepNext/>
              <w:keepLines/>
              <w:spacing w:before="60" w:after="60"/>
              <w:rPr>
                <w:b/>
                <w:bCs/>
              </w:rPr>
            </w:pPr>
            <w:r w:rsidRPr="00064185">
              <w:rPr>
                <w:b/>
                <w:bCs/>
              </w:rPr>
              <w:t>Definition</w:t>
            </w:r>
          </w:p>
        </w:tc>
        <w:tc>
          <w:tcPr>
            <w:tcW w:w="3225" w:type="dxa"/>
            <w:gridSpan w:val="3"/>
            <w:vAlign w:val="center"/>
            <w:hideMark/>
          </w:tcPr>
          <w:p w14:paraId="0BC07D16" w14:textId="128DCFD0" w:rsidR="00AE20EC" w:rsidRPr="00064185" w:rsidRDefault="00AE20EC" w:rsidP="00EA61D8">
            <w:pPr>
              <w:keepNext/>
              <w:keepLines/>
              <w:tabs>
                <w:tab w:val="right" w:pos="1370"/>
              </w:tabs>
              <w:spacing w:before="60" w:after="60"/>
              <w:rPr>
                <w:b/>
                <w:bCs/>
              </w:rPr>
            </w:pPr>
            <w:r w:rsidRPr="00064185">
              <w:rPr>
                <w:b/>
                <w:bCs/>
              </w:rPr>
              <w:t>Indoor use</w:t>
            </w:r>
          </w:p>
        </w:tc>
        <w:tc>
          <w:tcPr>
            <w:tcW w:w="1061" w:type="dxa"/>
            <w:vAlign w:val="center"/>
          </w:tcPr>
          <w:p w14:paraId="1EFC075D" w14:textId="070591EB" w:rsidR="00AE20EC" w:rsidRPr="00064185" w:rsidRDefault="00AE20EC" w:rsidP="00EA61D8">
            <w:pPr>
              <w:keepNext/>
              <w:keepLines/>
              <w:tabs>
                <w:tab w:val="right" w:pos="1370"/>
              </w:tabs>
              <w:spacing w:before="60" w:after="60"/>
              <w:rPr>
                <w:b/>
                <w:bCs/>
              </w:rPr>
            </w:pPr>
            <w:r w:rsidRPr="00064185">
              <w:rPr>
                <w:b/>
                <w:bCs/>
              </w:rPr>
              <w:t>Outdoor use</w:t>
            </w:r>
          </w:p>
        </w:tc>
      </w:tr>
      <w:tr w:rsidR="00064185" w:rsidRPr="00064185" w14:paraId="620A6B2B" w14:textId="77777777" w:rsidTr="001E3E54">
        <w:trPr>
          <w:trHeight w:val="138"/>
        </w:trPr>
        <w:tc>
          <w:tcPr>
            <w:tcW w:w="2339" w:type="dxa"/>
            <w:vMerge/>
            <w:vAlign w:val="center"/>
          </w:tcPr>
          <w:p w14:paraId="70E91B6A" w14:textId="77777777" w:rsidR="00F91CA0" w:rsidRPr="00064185" w:rsidRDefault="00F91CA0" w:rsidP="00EA61D8">
            <w:pPr>
              <w:rPr>
                <w:rFonts w:ascii="Arial" w:hAnsi="Arial" w:cs="Arial"/>
                <w:b/>
              </w:rPr>
            </w:pPr>
          </w:p>
        </w:tc>
        <w:tc>
          <w:tcPr>
            <w:tcW w:w="2729" w:type="dxa"/>
            <w:vMerge/>
            <w:vAlign w:val="center"/>
          </w:tcPr>
          <w:p w14:paraId="39CDA4D3" w14:textId="77777777" w:rsidR="00F91CA0" w:rsidRPr="00064185" w:rsidRDefault="00F91CA0" w:rsidP="00EA61D8">
            <w:pPr>
              <w:rPr>
                <w:b/>
                <w:bCs/>
              </w:rPr>
            </w:pPr>
          </w:p>
        </w:tc>
        <w:tc>
          <w:tcPr>
            <w:tcW w:w="817" w:type="dxa"/>
            <w:vAlign w:val="center"/>
          </w:tcPr>
          <w:p w14:paraId="017BCA76" w14:textId="5DB52D67" w:rsidR="00F91CA0" w:rsidRPr="00064185" w:rsidRDefault="00F91CA0" w:rsidP="00EA61D8">
            <w:pPr>
              <w:keepNext/>
              <w:keepLines/>
              <w:tabs>
                <w:tab w:val="right" w:pos="1370"/>
              </w:tabs>
              <w:spacing w:before="60" w:after="60"/>
              <w:rPr>
                <w:b/>
                <w:bCs/>
              </w:rPr>
            </w:pPr>
            <w:r w:rsidRPr="00064185">
              <w:rPr>
                <w:b/>
                <w:bCs/>
              </w:rPr>
              <w:t>Ants</w:t>
            </w:r>
          </w:p>
        </w:tc>
        <w:tc>
          <w:tcPr>
            <w:tcW w:w="1627" w:type="dxa"/>
            <w:vAlign w:val="center"/>
          </w:tcPr>
          <w:p w14:paraId="0512B762" w14:textId="6846D92C" w:rsidR="00F91CA0" w:rsidRPr="00064185" w:rsidRDefault="00F91CA0" w:rsidP="00EA61D8">
            <w:pPr>
              <w:keepNext/>
              <w:keepLines/>
              <w:tabs>
                <w:tab w:val="right" w:pos="1370"/>
              </w:tabs>
              <w:spacing w:before="60" w:after="60"/>
              <w:rPr>
                <w:b/>
                <w:bCs/>
              </w:rPr>
            </w:pPr>
            <w:r w:rsidRPr="00064185">
              <w:rPr>
                <w:b/>
                <w:bCs/>
              </w:rPr>
              <w:t>Silverfish &amp; Cockroaches</w:t>
            </w:r>
          </w:p>
        </w:tc>
        <w:tc>
          <w:tcPr>
            <w:tcW w:w="781" w:type="dxa"/>
            <w:vAlign w:val="center"/>
          </w:tcPr>
          <w:p w14:paraId="2138FB1C" w14:textId="01064F72" w:rsidR="00F91CA0" w:rsidRPr="00064185" w:rsidRDefault="00F91CA0" w:rsidP="00EA61D8">
            <w:pPr>
              <w:keepNext/>
              <w:keepLines/>
              <w:tabs>
                <w:tab w:val="right" w:pos="1370"/>
              </w:tabs>
              <w:spacing w:before="60" w:after="60"/>
              <w:rPr>
                <w:b/>
                <w:bCs/>
              </w:rPr>
            </w:pPr>
            <w:r w:rsidRPr="00064185">
              <w:rPr>
                <w:b/>
                <w:bCs/>
              </w:rPr>
              <w:t>Wood lice</w:t>
            </w:r>
          </w:p>
        </w:tc>
        <w:tc>
          <w:tcPr>
            <w:tcW w:w="1061" w:type="dxa"/>
            <w:vAlign w:val="center"/>
          </w:tcPr>
          <w:p w14:paraId="22062D73" w14:textId="0F7EA8B9" w:rsidR="00F91CA0" w:rsidRPr="00064185" w:rsidRDefault="00F91CA0" w:rsidP="00EA61D8">
            <w:pPr>
              <w:keepNext/>
              <w:keepLines/>
              <w:tabs>
                <w:tab w:val="right" w:pos="1370"/>
              </w:tabs>
              <w:spacing w:before="60" w:after="60"/>
              <w:rPr>
                <w:b/>
                <w:bCs/>
              </w:rPr>
            </w:pPr>
            <w:r w:rsidRPr="00064185">
              <w:rPr>
                <w:b/>
                <w:bCs/>
              </w:rPr>
              <w:t>Ants</w:t>
            </w:r>
          </w:p>
        </w:tc>
      </w:tr>
      <w:tr w:rsidR="00064185" w:rsidRPr="00064185" w14:paraId="1833F6F4" w14:textId="77777777" w:rsidTr="001E3E54">
        <w:trPr>
          <w:trHeight w:val="472"/>
        </w:trPr>
        <w:tc>
          <w:tcPr>
            <w:tcW w:w="2339" w:type="dxa"/>
            <w:vAlign w:val="center"/>
            <w:hideMark/>
          </w:tcPr>
          <w:p w14:paraId="48C9DBC8" w14:textId="77777777" w:rsidR="001E3E54" w:rsidRPr="00064185" w:rsidRDefault="001E3E54" w:rsidP="00EA61D8">
            <w:pPr>
              <w:keepNext/>
              <w:keepLines/>
              <w:spacing w:before="60" w:after="60"/>
              <w:rPr>
                <w:bCs/>
              </w:rPr>
            </w:pPr>
            <w:r w:rsidRPr="00064185">
              <w:rPr>
                <w:bCs/>
              </w:rPr>
              <w:t xml:space="preserve">Local emission rate to wastewater </w:t>
            </w:r>
            <w:r w:rsidRPr="00064185">
              <w:rPr>
                <w:bCs/>
              </w:rPr>
              <w:br/>
              <w:t>[g/d]</w:t>
            </w:r>
          </w:p>
        </w:tc>
        <w:tc>
          <w:tcPr>
            <w:tcW w:w="2729" w:type="dxa"/>
            <w:vAlign w:val="center"/>
            <w:hideMark/>
          </w:tcPr>
          <w:p w14:paraId="0301634C" w14:textId="77777777" w:rsidR="001E3E54" w:rsidRPr="00064185" w:rsidRDefault="001E3E54" w:rsidP="00EA61D8">
            <w:pPr>
              <w:keepNext/>
              <w:keepLines/>
              <w:spacing w:before="60" w:after="60"/>
              <w:rPr>
                <w:bCs/>
              </w:rPr>
            </w:pPr>
            <w:r w:rsidRPr="00064185">
              <w:rPr>
                <w:bCs/>
              </w:rPr>
              <w:t>Elocal</w:t>
            </w:r>
            <w:r w:rsidRPr="00064185">
              <w:rPr>
                <w:bCs/>
                <w:vertAlign w:val="subscript"/>
              </w:rPr>
              <w:t>water</w:t>
            </w:r>
          </w:p>
        </w:tc>
        <w:tc>
          <w:tcPr>
            <w:tcW w:w="817" w:type="dxa"/>
            <w:vAlign w:val="center"/>
            <w:hideMark/>
          </w:tcPr>
          <w:p w14:paraId="654EFBF3" w14:textId="6DB07DED" w:rsidR="001E3E54" w:rsidRPr="00064185" w:rsidRDefault="001E3E54" w:rsidP="00EA61D8">
            <w:pPr>
              <w:keepNext/>
              <w:keepLines/>
              <w:tabs>
                <w:tab w:val="right" w:pos="1370"/>
              </w:tabs>
              <w:spacing w:before="60" w:after="60"/>
            </w:pPr>
            <w:r w:rsidRPr="00064185">
              <w:t>0.72</w:t>
            </w:r>
          </w:p>
        </w:tc>
        <w:tc>
          <w:tcPr>
            <w:tcW w:w="1627" w:type="dxa"/>
            <w:vAlign w:val="center"/>
          </w:tcPr>
          <w:p w14:paraId="25EE550F" w14:textId="32A33323" w:rsidR="001E3E54" w:rsidRPr="00064185" w:rsidRDefault="001E3E54" w:rsidP="00EA61D8">
            <w:pPr>
              <w:keepNext/>
              <w:keepLines/>
              <w:tabs>
                <w:tab w:val="right" w:pos="1370"/>
              </w:tabs>
              <w:spacing w:before="60" w:after="60"/>
            </w:pPr>
            <w:r w:rsidRPr="00064185">
              <w:t>5.42</w:t>
            </w:r>
          </w:p>
        </w:tc>
        <w:tc>
          <w:tcPr>
            <w:tcW w:w="781" w:type="dxa"/>
            <w:vAlign w:val="center"/>
          </w:tcPr>
          <w:p w14:paraId="4341DEA4" w14:textId="6A349198" w:rsidR="001E3E54" w:rsidRPr="00064185" w:rsidRDefault="001E3E54" w:rsidP="00EA61D8">
            <w:pPr>
              <w:keepNext/>
              <w:keepLines/>
              <w:tabs>
                <w:tab w:val="right" w:pos="1370"/>
              </w:tabs>
              <w:spacing w:before="60" w:after="60"/>
            </w:pPr>
            <w:r w:rsidRPr="00064185">
              <w:t>0.40</w:t>
            </w:r>
          </w:p>
        </w:tc>
        <w:tc>
          <w:tcPr>
            <w:tcW w:w="1061" w:type="dxa"/>
            <w:vAlign w:val="center"/>
          </w:tcPr>
          <w:p w14:paraId="463FC9F8" w14:textId="5D946C16" w:rsidR="001E3E54" w:rsidRPr="00064185" w:rsidRDefault="001E3E54" w:rsidP="00EA61D8">
            <w:pPr>
              <w:keepNext/>
              <w:keepLines/>
              <w:tabs>
                <w:tab w:val="right" w:pos="1370"/>
              </w:tabs>
              <w:spacing w:before="60" w:after="60"/>
              <w:rPr>
                <w:strike/>
              </w:rPr>
            </w:pPr>
            <w:r w:rsidRPr="00064185" w:rsidDel="0007146F">
              <w:t>0.</w:t>
            </w:r>
            <w:r w:rsidRPr="00064185">
              <w:t>57</w:t>
            </w:r>
          </w:p>
        </w:tc>
      </w:tr>
      <w:tr w:rsidR="00064185" w:rsidRPr="00064185" w14:paraId="4699EB75" w14:textId="77777777" w:rsidTr="001E3E54">
        <w:trPr>
          <w:trHeight w:val="472"/>
        </w:trPr>
        <w:tc>
          <w:tcPr>
            <w:tcW w:w="2339" w:type="dxa"/>
            <w:vAlign w:val="center"/>
            <w:hideMark/>
          </w:tcPr>
          <w:p w14:paraId="5DAB04CB" w14:textId="77777777" w:rsidR="00F91CA0" w:rsidRPr="00064185" w:rsidRDefault="00F91CA0" w:rsidP="00EA61D8">
            <w:pPr>
              <w:keepNext/>
              <w:keepLines/>
              <w:spacing w:before="60" w:after="60"/>
              <w:rPr>
                <w:bCs/>
              </w:rPr>
            </w:pPr>
            <w:r w:rsidRPr="00064185">
              <w:rPr>
                <w:bCs/>
              </w:rPr>
              <w:t>Capacity of the STP [eq]</w:t>
            </w:r>
          </w:p>
        </w:tc>
        <w:tc>
          <w:tcPr>
            <w:tcW w:w="2729" w:type="dxa"/>
            <w:vAlign w:val="center"/>
            <w:hideMark/>
          </w:tcPr>
          <w:p w14:paraId="04E3D264" w14:textId="77777777" w:rsidR="00F91CA0" w:rsidRPr="00064185" w:rsidRDefault="00F91CA0" w:rsidP="00EA61D8">
            <w:pPr>
              <w:keepNext/>
              <w:keepLines/>
              <w:spacing w:before="60" w:after="60"/>
              <w:rPr>
                <w:bCs/>
              </w:rPr>
            </w:pPr>
            <w:r w:rsidRPr="00064185">
              <w:rPr>
                <w:bCs/>
              </w:rPr>
              <w:t>CAPACITY</w:t>
            </w:r>
            <w:r w:rsidRPr="00064185">
              <w:rPr>
                <w:bCs/>
                <w:vertAlign w:val="subscript"/>
              </w:rPr>
              <w:t>stp</w:t>
            </w:r>
          </w:p>
        </w:tc>
        <w:tc>
          <w:tcPr>
            <w:tcW w:w="4286" w:type="dxa"/>
            <w:gridSpan w:val="4"/>
            <w:vAlign w:val="center"/>
            <w:hideMark/>
          </w:tcPr>
          <w:p w14:paraId="330AF65C" w14:textId="77777777" w:rsidR="00F91CA0" w:rsidRPr="00064185" w:rsidRDefault="00F91CA0" w:rsidP="00EA61D8">
            <w:pPr>
              <w:keepNext/>
              <w:keepLines/>
              <w:tabs>
                <w:tab w:val="right" w:pos="1370"/>
              </w:tabs>
              <w:spacing w:before="60" w:after="60"/>
            </w:pPr>
            <w:r w:rsidRPr="00064185">
              <w:t>10000</w:t>
            </w:r>
          </w:p>
        </w:tc>
      </w:tr>
      <w:tr w:rsidR="00064185" w:rsidRPr="00064185" w14:paraId="439C7B05" w14:textId="77777777" w:rsidTr="001E3E54">
        <w:trPr>
          <w:trHeight w:val="472"/>
        </w:trPr>
        <w:tc>
          <w:tcPr>
            <w:tcW w:w="2339" w:type="dxa"/>
            <w:vAlign w:val="center"/>
            <w:hideMark/>
          </w:tcPr>
          <w:p w14:paraId="19EABEA6" w14:textId="48F7319A" w:rsidR="00F91CA0" w:rsidRPr="00064185" w:rsidRDefault="00904E81" w:rsidP="00EA61D8">
            <w:pPr>
              <w:keepNext/>
              <w:keepLines/>
              <w:spacing w:before="60" w:after="60"/>
              <w:rPr>
                <w:bCs/>
              </w:rPr>
            </w:pPr>
            <w:r w:rsidRPr="00064185">
              <w:rPr>
                <w:bCs/>
              </w:rPr>
              <w:t xml:space="preserve">Sewage flow per inhabitant </w:t>
            </w:r>
            <w:r w:rsidRPr="00064185">
              <w:rPr>
                <w:bCs/>
              </w:rPr>
              <w:br/>
              <w:t>[l</w:t>
            </w:r>
            <w:r w:rsidR="00F91CA0" w:rsidRPr="00064185">
              <w:rPr>
                <w:bCs/>
              </w:rPr>
              <w:t>/d*eq]</w:t>
            </w:r>
          </w:p>
        </w:tc>
        <w:tc>
          <w:tcPr>
            <w:tcW w:w="2729" w:type="dxa"/>
            <w:vAlign w:val="center"/>
            <w:hideMark/>
          </w:tcPr>
          <w:p w14:paraId="5DA0A34B" w14:textId="77777777" w:rsidR="00F91CA0" w:rsidRPr="00064185" w:rsidRDefault="00F91CA0" w:rsidP="00EA61D8">
            <w:pPr>
              <w:keepNext/>
              <w:keepLines/>
              <w:spacing w:before="60" w:after="60"/>
              <w:rPr>
                <w:bCs/>
              </w:rPr>
            </w:pPr>
            <w:r w:rsidRPr="00064185">
              <w:rPr>
                <w:bCs/>
              </w:rPr>
              <w:t>WASTEWinhab</w:t>
            </w:r>
          </w:p>
        </w:tc>
        <w:tc>
          <w:tcPr>
            <w:tcW w:w="4286" w:type="dxa"/>
            <w:gridSpan w:val="4"/>
            <w:vAlign w:val="center"/>
            <w:hideMark/>
          </w:tcPr>
          <w:p w14:paraId="76A56EE7" w14:textId="77777777" w:rsidR="00F91CA0" w:rsidRPr="00064185" w:rsidRDefault="00F91CA0" w:rsidP="00EA61D8">
            <w:pPr>
              <w:keepNext/>
              <w:keepLines/>
              <w:tabs>
                <w:tab w:val="right" w:pos="1370"/>
              </w:tabs>
              <w:spacing w:before="60" w:after="60"/>
            </w:pPr>
            <w:r w:rsidRPr="00064185">
              <w:t>200</w:t>
            </w:r>
          </w:p>
        </w:tc>
      </w:tr>
      <w:tr w:rsidR="00064185" w:rsidRPr="00064185" w14:paraId="21A7E065" w14:textId="77777777" w:rsidTr="001E3E54">
        <w:trPr>
          <w:trHeight w:val="472"/>
        </w:trPr>
        <w:tc>
          <w:tcPr>
            <w:tcW w:w="2339" w:type="dxa"/>
            <w:vAlign w:val="center"/>
            <w:hideMark/>
          </w:tcPr>
          <w:p w14:paraId="65284641" w14:textId="564EE7E1" w:rsidR="00F91CA0" w:rsidRPr="00064185" w:rsidRDefault="00F91CA0" w:rsidP="00EA61D8">
            <w:pPr>
              <w:keepNext/>
              <w:keepLines/>
              <w:spacing w:before="60" w:after="60"/>
              <w:rPr>
                <w:bCs/>
              </w:rPr>
            </w:pPr>
            <w:r w:rsidRPr="00064185">
              <w:rPr>
                <w:bCs/>
              </w:rPr>
              <w:t>Effluent disch</w:t>
            </w:r>
            <w:r w:rsidR="00904E81" w:rsidRPr="00064185">
              <w:rPr>
                <w:bCs/>
              </w:rPr>
              <w:t>arge rate [l</w:t>
            </w:r>
            <w:r w:rsidRPr="00064185">
              <w:rPr>
                <w:bCs/>
              </w:rPr>
              <w:t>/d]</w:t>
            </w:r>
          </w:p>
        </w:tc>
        <w:tc>
          <w:tcPr>
            <w:tcW w:w="2729" w:type="dxa"/>
            <w:vAlign w:val="center"/>
            <w:hideMark/>
          </w:tcPr>
          <w:p w14:paraId="551C2AD7" w14:textId="77777777" w:rsidR="00F91CA0" w:rsidRPr="00064185" w:rsidRDefault="00F91CA0" w:rsidP="00EA61D8">
            <w:pPr>
              <w:keepNext/>
              <w:keepLines/>
              <w:spacing w:before="60" w:after="60"/>
              <w:rPr>
                <w:bCs/>
              </w:rPr>
            </w:pPr>
            <w:r w:rsidRPr="00064185">
              <w:t>EFFLUENT</w:t>
            </w:r>
            <w:r w:rsidRPr="00064185">
              <w:rPr>
                <w:vertAlign w:val="subscript"/>
              </w:rPr>
              <w:t>stp</w:t>
            </w:r>
            <w:r w:rsidRPr="00064185">
              <w:t xml:space="preserve"> = </w:t>
            </w:r>
            <w:r w:rsidRPr="00064185">
              <w:rPr>
                <w:bCs/>
              </w:rPr>
              <w:t>CAPACITY</w:t>
            </w:r>
            <w:r w:rsidRPr="00064185">
              <w:rPr>
                <w:bCs/>
                <w:vertAlign w:val="subscript"/>
              </w:rPr>
              <w:t>stp</w:t>
            </w:r>
            <w:r w:rsidRPr="00064185">
              <w:rPr>
                <w:bCs/>
              </w:rPr>
              <w:t xml:space="preserve"> x</w:t>
            </w:r>
            <w:r w:rsidRPr="00064185">
              <w:rPr>
                <w:bCs/>
                <w:vertAlign w:val="subscript"/>
              </w:rPr>
              <w:t xml:space="preserve"> </w:t>
            </w:r>
            <w:r w:rsidRPr="00064185">
              <w:rPr>
                <w:bCs/>
              </w:rPr>
              <w:t xml:space="preserve"> WASTEWinhab</w:t>
            </w:r>
          </w:p>
        </w:tc>
        <w:tc>
          <w:tcPr>
            <w:tcW w:w="4286" w:type="dxa"/>
            <w:gridSpan w:val="4"/>
            <w:vAlign w:val="center"/>
            <w:hideMark/>
          </w:tcPr>
          <w:p w14:paraId="34A46448" w14:textId="77777777" w:rsidR="00F91CA0" w:rsidRPr="00064185" w:rsidRDefault="00F91CA0" w:rsidP="00EA61D8">
            <w:pPr>
              <w:keepNext/>
              <w:keepLines/>
              <w:tabs>
                <w:tab w:val="right" w:pos="1370"/>
              </w:tabs>
              <w:spacing w:before="60" w:after="60"/>
            </w:pPr>
            <w:r w:rsidRPr="00064185">
              <w:t>2000000</w:t>
            </w:r>
          </w:p>
        </w:tc>
      </w:tr>
      <w:tr w:rsidR="00064185" w:rsidRPr="00064185" w14:paraId="6EB45DA5" w14:textId="77777777" w:rsidTr="001E3E54">
        <w:trPr>
          <w:trHeight w:val="472"/>
        </w:trPr>
        <w:tc>
          <w:tcPr>
            <w:tcW w:w="2339" w:type="dxa"/>
            <w:vAlign w:val="center"/>
            <w:hideMark/>
          </w:tcPr>
          <w:p w14:paraId="40584C0C" w14:textId="23868F48" w:rsidR="001E3E54" w:rsidRPr="00064185" w:rsidRDefault="001E3E54" w:rsidP="00EA61D8">
            <w:pPr>
              <w:keepNext/>
              <w:keepLines/>
              <w:spacing w:before="60" w:after="60"/>
              <w:rPr>
                <w:b/>
                <w:bCs/>
              </w:rPr>
            </w:pPr>
            <w:r w:rsidRPr="00064185">
              <w:rPr>
                <w:b/>
                <w:bCs/>
              </w:rPr>
              <w:t>Cumulative concentration in untreated wastewater [µg/l]</w:t>
            </w:r>
          </w:p>
        </w:tc>
        <w:tc>
          <w:tcPr>
            <w:tcW w:w="2729" w:type="dxa"/>
            <w:vAlign w:val="center"/>
            <w:hideMark/>
          </w:tcPr>
          <w:p w14:paraId="166A3B88" w14:textId="77777777" w:rsidR="001E3E54" w:rsidRPr="00064185" w:rsidRDefault="001E3E54" w:rsidP="00EA61D8">
            <w:pPr>
              <w:keepNext/>
              <w:keepLines/>
              <w:spacing w:before="60" w:after="60"/>
              <w:rPr>
                <w:b/>
                <w:bCs/>
              </w:rPr>
            </w:pPr>
            <w:r w:rsidRPr="00064185">
              <w:rPr>
                <w:b/>
                <w:position w:val="-32"/>
                <w:vertAlign w:val="subscript"/>
              </w:rPr>
              <w:object w:dxaOrig="2565" w:dyaOrig="690" w14:anchorId="2737B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4.5pt" o:ole="" fillcolor="window">
                  <v:imagedata r:id="rId19" o:title=""/>
                </v:shape>
                <o:OLEObject Type="Embed" ProgID="Equation.3" ShapeID="_x0000_i1025" DrawAspect="Content" ObjectID="_1614069659" r:id="rId20"/>
              </w:object>
            </w:r>
          </w:p>
        </w:tc>
        <w:tc>
          <w:tcPr>
            <w:tcW w:w="817" w:type="dxa"/>
            <w:vAlign w:val="center"/>
            <w:hideMark/>
          </w:tcPr>
          <w:p w14:paraId="3433155A" w14:textId="4DE3A9B6" w:rsidR="001E3E54" w:rsidRPr="00064185" w:rsidRDefault="001E3E54" w:rsidP="00EA61D8">
            <w:pPr>
              <w:keepNext/>
              <w:keepLines/>
              <w:tabs>
                <w:tab w:val="right" w:pos="1370"/>
              </w:tabs>
              <w:spacing w:before="60" w:after="60"/>
              <w:rPr>
                <w:b/>
              </w:rPr>
            </w:pPr>
            <w:r w:rsidRPr="00064185">
              <w:rPr>
                <w:b/>
              </w:rPr>
              <w:t>0.36</w:t>
            </w:r>
          </w:p>
        </w:tc>
        <w:tc>
          <w:tcPr>
            <w:tcW w:w="1627" w:type="dxa"/>
            <w:vAlign w:val="center"/>
          </w:tcPr>
          <w:p w14:paraId="26C6F656" w14:textId="30F572F4" w:rsidR="001E3E54" w:rsidRPr="00064185" w:rsidRDefault="001E3E54" w:rsidP="00EA61D8">
            <w:pPr>
              <w:keepNext/>
              <w:keepLines/>
              <w:tabs>
                <w:tab w:val="right" w:pos="1370"/>
              </w:tabs>
              <w:spacing w:before="60" w:after="60"/>
              <w:rPr>
                <w:b/>
              </w:rPr>
            </w:pPr>
            <w:r w:rsidRPr="00064185">
              <w:rPr>
                <w:b/>
              </w:rPr>
              <w:t>2.71</w:t>
            </w:r>
          </w:p>
        </w:tc>
        <w:tc>
          <w:tcPr>
            <w:tcW w:w="0" w:type="auto"/>
            <w:vAlign w:val="center"/>
          </w:tcPr>
          <w:p w14:paraId="39E51683" w14:textId="031D01FA" w:rsidR="001E3E54" w:rsidRPr="00064185" w:rsidRDefault="001E3E54" w:rsidP="00EA61D8">
            <w:pPr>
              <w:keepNext/>
              <w:keepLines/>
              <w:tabs>
                <w:tab w:val="right" w:pos="1370"/>
              </w:tabs>
              <w:spacing w:before="60" w:after="60"/>
              <w:rPr>
                <w:b/>
              </w:rPr>
            </w:pPr>
            <w:r w:rsidRPr="00064185">
              <w:rPr>
                <w:b/>
              </w:rPr>
              <w:t>0.20</w:t>
            </w:r>
          </w:p>
        </w:tc>
        <w:tc>
          <w:tcPr>
            <w:tcW w:w="0" w:type="auto"/>
            <w:vAlign w:val="center"/>
          </w:tcPr>
          <w:p w14:paraId="047A9BB7" w14:textId="2B6809DE" w:rsidR="001E3E54" w:rsidRPr="00064185" w:rsidRDefault="001E3E54" w:rsidP="00EA61D8">
            <w:pPr>
              <w:keepNext/>
              <w:keepLines/>
              <w:tabs>
                <w:tab w:val="right" w:pos="1370"/>
              </w:tabs>
              <w:spacing w:before="60" w:after="60"/>
              <w:rPr>
                <w:b/>
              </w:rPr>
            </w:pPr>
            <w:r w:rsidRPr="00064185" w:rsidDel="002323CB">
              <w:rPr>
                <w:b/>
              </w:rPr>
              <w:t>0.</w:t>
            </w:r>
            <w:r w:rsidRPr="00064185">
              <w:rPr>
                <w:b/>
              </w:rPr>
              <w:t>285</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7"/>
        <w:gridCol w:w="1418"/>
        <w:gridCol w:w="1134"/>
        <w:gridCol w:w="1559"/>
        <w:gridCol w:w="1134"/>
        <w:gridCol w:w="1062"/>
      </w:tblGrid>
      <w:tr w:rsidR="00064185" w:rsidRPr="00064185" w14:paraId="4EAB560C" w14:textId="77777777" w:rsidTr="000F6A10">
        <w:trPr>
          <w:cantSplit/>
          <w:trHeight w:val="691"/>
        </w:trPr>
        <w:tc>
          <w:tcPr>
            <w:tcW w:w="9354" w:type="dxa"/>
            <w:gridSpan w:val="6"/>
            <w:shd w:val="clear" w:color="auto" w:fill="FFFFCC"/>
            <w:noWrap/>
            <w:vAlign w:val="center"/>
          </w:tcPr>
          <w:p w14:paraId="1859F8D2" w14:textId="328A1276" w:rsidR="00E705CC" w:rsidRPr="00064185" w:rsidRDefault="00E705CC" w:rsidP="00EA61D8">
            <w:pPr>
              <w:keepNext/>
              <w:spacing w:before="60" w:after="60"/>
              <w:rPr>
                <w:b/>
                <w:bCs/>
              </w:rPr>
            </w:pPr>
            <w:r w:rsidRPr="00064185">
              <w:rPr>
                <w:b/>
              </w:rPr>
              <w:lastRenderedPageBreak/>
              <w:t>Calculation of the STP effluent concentration (</w:t>
            </w:r>
            <w:r w:rsidRPr="00064185">
              <w:rPr>
                <w:b/>
                <w:i/>
              </w:rPr>
              <w:t>cf.</w:t>
            </w:r>
            <w:r w:rsidRPr="00064185">
              <w:rPr>
                <w:b/>
              </w:rPr>
              <w:t xml:space="preserve"> TGD, 2003, Tier 1: Equation 33)</w:t>
            </w:r>
          </w:p>
        </w:tc>
      </w:tr>
      <w:tr w:rsidR="00064185" w:rsidRPr="00064185" w14:paraId="08131200" w14:textId="77777777" w:rsidTr="008F71B2">
        <w:trPr>
          <w:cantSplit/>
          <w:trHeight w:val="637"/>
        </w:trPr>
        <w:tc>
          <w:tcPr>
            <w:tcW w:w="3047" w:type="dxa"/>
            <w:vMerge w:val="restart"/>
            <w:noWrap/>
            <w:vAlign w:val="center"/>
            <w:hideMark/>
          </w:tcPr>
          <w:p w14:paraId="669B1F2D" w14:textId="77777777" w:rsidR="00674C5E" w:rsidRPr="00064185" w:rsidRDefault="00674C5E" w:rsidP="00EA61D8">
            <w:pPr>
              <w:keepNext/>
              <w:spacing w:before="60" w:after="60"/>
              <w:rPr>
                <w:rFonts w:ascii="Arial" w:hAnsi="Arial" w:cs="Arial"/>
                <w:b/>
              </w:rPr>
            </w:pPr>
            <w:r w:rsidRPr="00064185">
              <w:rPr>
                <w:b/>
                <w:bCs/>
              </w:rPr>
              <w:t>Parameter</w:t>
            </w:r>
          </w:p>
        </w:tc>
        <w:tc>
          <w:tcPr>
            <w:tcW w:w="1418" w:type="dxa"/>
            <w:vMerge w:val="restart"/>
            <w:vAlign w:val="center"/>
            <w:hideMark/>
          </w:tcPr>
          <w:p w14:paraId="6807F230" w14:textId="77777777" w:rsidR="00674C5E" w:rsidRPr="00064185" w:rsidRDefault="00674C5E" w:rsidP="00EA61D8">
            <w:pPr>
              <w:keepNext/>
              <w:spacing w:before="60" w:after="60"/>
              <w:rPr>
                <w:b/>
                <w:bCs/>
              </w:rPr>
            </w:pPr>
            <w:r w:rsidRPr="00064185">
              <w:rPr>
                <w:b/>
                <w:bCs/>
              </w:rPr>
              <w:t>Definition</w:t>
            </w:r>
          </w:p>
        </w:tc>
        <w:tc>
          <w:tcPr>
            <w:tcW w:w="3827" w:type="dxa"/>
            <w:gridSpan w:val="3"/>
            <w:vAlign w:val="center"/>
            <w:hideMark/>
          </w:tcPr>
          <w:p w14:paraId="0D615E8D" w14:textId="77777777" w:rsidR="00674C5E" w:rsidRPr="00064185" w:rsidRDefault="00674C5E" w:rsidP="00EA61D8">
            <w:pPr>
              <w:tabs>
                <w:tab w:val="right" w:pos="1370"/>
              </w:tabs>
              <w:spacing w:before="60" w:after="60"/>
              <w:rPr>
                <w:b/>
                <w:bCs/>
              </w:rPr>
            </w:pPr>
            <w:r w:rsidRPr="00064185">
              <w:rPr>
                <w:b/>
                <w:bCs/>
              </w:rPr>
              <w:t>Indoor use</w:t>
            </w:r>
          </w:p>
        </w:tc>
        <w:tc>
          <w:tcPr>
            <w:tcW w:w="1062" w:type="dxa"/>
            <w:vAlign w:val="center"/>
          </w:tcPr>
          <w:p w14:paraId="13E30A69" w14:textId="7B1FC8A5" w:rsidR="00674C5E" w:rsidRPr="00064185" w:rsidRDefault="00674C5E" w:rsidP="00EA61D8">
            <w:pPr>
              <w:tabs>
                <w:tab w:val="right" w:pos="1370"/>
              </w:tabs>
              <w:spacing w:before="60" w:after="60"/>
              <w:rPr>
                <w:bCs/>
              </w:rPr>
            </w:pPr>
            <w:r w:rsidRPr="00064185">
              <w:rPr>
                <w:b/>
                <w:bCs/>
              </w:rPr>
              <w:t>Outdoor use</w:t>
            </w:r>
          </w:p>
        </w:tc>
      </w:tr>
      <w:tr w:rsidR="00064185" w:rsidRPr="00064185" w14:paraId="1E038FD4" w14:textId="77777777" w:rsidTr="002648A9">
        <w:trPr>
          <w:cantSplit/>
          <w:trHeight w:val="213"/>
        </w:trPr>
        <w:tc>
          <w:tcPr>
            <w:tcW w:w="3047" w:type="dxa"/>
            <w:vMerge/>
            <w:noWrap/>
            <w:vAlign w:val="center"/>
          </w:tcPr>
          <w:p w14:paraId="0FFC8C9F" w14:textId="77777777" w:rsidR="000F6A10" w:rsidRPr="00064185" w:rsidRDefault="000F6A10" w:rsidP="00EA61D8">
            <w:pPr>
              <w:keepNext/>
              <w:spacing w:before="60" w:after="60"/>
              <w:rPr>
                <w:b/>
                <w:bCs/>
              </w:rPr>
            </w:pPr>
          </w:p>
        </w:tc>
        <w:tc>
          <w:tcPr>
            <w:tcW w:w="1418" w:type="dxa"/>
            <w:vMerge/>
            <w:vAlign w:val="center"/>
          </w:tcPr>
          <w:p w14:paraId="66AB7871" w14:textId="77777777" w:rsidR="000F6A10" w:rsidRPr="00064185" w:rsidRDefault="000F6A10" w:rsidP="00EA61D8">
            <w:pPr>
              <w:keepNext/>
              <w:spacing w:before="60" w:after="60"/>
              <w:rPr>
                <w:b/>
                <w:bCs/>
              </w:rPr>
            </w:pPr>
          </w:p>
        </w:tc>
        <w:tc>
          <w:tcPr>
            <w:tcW w:w="1134" w:type="dxa"/>
            <w:vAlign w:val="center"/>
          </w:tcPr>
          <w:p w14:paraId="485E653C" w14:textId="492087A0" w:rsidR="000F6A10" w:rsidRPr="00064185" w:rsidRDefault="000F6A10" w:rsidP="00EA61D8">
            <w:pPr>
              <w:tabs>
                <w:tab w:val="right" w:pos="1370"/>
              </w:tabs>
              <w:spacing w:before="60" w:after="60"/>
              <w:rPr>
                <w:b/>
                <w:bCs/>
              </w:rPr>
            </w:pPr>
            <w:r w:rsidRPr="00064185">
              <w:rPr>
                <w:b/>
                <w:bCs/>
              </w:rPr>
              <w:t>Ants</w:t>
            </w:r>
          </w:p>
        </w:tc>
        <w:tc>
          <w:tcPr>
            <w:tcW w:w="1559" w:type="dxa"/>
            <w:vAlign w:val="center"/>
          </w:tcPr>
          <w:p w14:paraId="5B6B0A83" w14:textId="7FFFE2B5" w:rsidR="000F6A10" w:rsidRPr="00064185" w:rsidRDefault="000F6A10" w:rsidP="00EA61D8">
            <w:pPr>
              <w:tabs>
                <w:tab w:val="right" w:pos="1370"/>
              </w:tabs>
              <w:spacing w:before="60" w:after="60"/>
              <w:rPr>
                <w:b/>
                <w:bCs/>
              </w:rPr>
            </w:pPr>
            <w:r w:rsidRPr="00064185">
              <w:rPr>
                <w:b/>
                <w:bCs/>
              </w:rPr>
              <w:t>Silverfish &amp; Cockroaches</w:t>
            </w:r>
          </w:p>
        </w:tc>
        <w:tc>
          <w:tcPr>
            <w:tcW w:w="1134" w:type="dxa"/>
            <w:vAlign w:val="center"/>
          </w:tcPr>
          <w:p w14:paraId="119D1F70" w14:textId="16A934F0" w:rsidR="000F6A10" w:rsidRPr="00064185" w:rsidRDefault="000F6A10" w:rsidP="00EA61D8">
            <w:pPr>
              <w:tabs>
                <w:tab w:val="right" w:pos="1370"/>
              </w:tabs>
              <w:spacing w:before="60" w:after="60"/>
              <w:rPr>
                <w:b/>
                <w:bCs/>
              </w:rPr>
            </w:pPr>
            <w:r w:rsidRPr="00064185">
              <w:rPr>
                <w:b/>
                <w:bCs/>
              </w:rPr>
              <w:t>Wood lice</w:t>
            </w:r>
          </w:p>
        </w:tc>
        <w:tc>
          <w:tcPr>
            <w:tcW w:w="1062" w:type="dxa"/>
            <w:vAlign w:val="center"/>
          </w:tcPr>
          <w:p w14:paraId="5B38683B" w14:textId="7460A656" w:rsidR="000F6A10" w:rsidRPr="00064185" w:rsidRDefault="000F6A10" w:rsidP="00EA61D8">
            <w:pPr>
              <w:tabs>
                <w:tab w:val="right" w:pos="1370"/>
              </w:tabs>
              <w:spacing w:before="60" w:after="60"/>
              <w:rPr>
                <w:b/>
                <w:bCs/>
              </w:rPr>
            </w:pPr>
            <w:r w:rsidRPr="00064185">
              <w:rPr>
                <w:b/>
                <w:bCs/>
              </w:rPr>
              <w:t>Ants</w:t>
            </w:r>
          </w:p>
        </w:tc>
      </w:tr>
      <w:tr w:rsidR="00064185" w:rsidRPr="00064185" w14:paraId="7080DF59" w14:textId="77777777" w:rsidTr="002648A9">
        <w:trPr>
          <w:cantSplit/>
          <w:trHeight w:val="580"/>
        </w:trPr>
        <w:tc>
          <w:tcPr>
            <w:tcW w:w="3047" w:type="dxa"/>
            <w:vAlign w:val="center"/>
            <w:hideMark/>
          </w:tcPr>
          <w:p w14:paraId="5EA631C9" w14:textId="593128A1" w:rsidR="00C74DA7" w:rsidRPr="00064185" w:rsidRDefault="00C74DA7" w:rsidP="00EA61D8">
            <w:pPr>
              <w:pStyle w:val="Absatz"/>
              <w:keepNext/>
              <w:keepLines/>
              <w:spacing w:before="60" w:after="60"/>
              <w:ind w:left="0"/>
              <w:rPr>
                <w:rFonts w:ascii="Verdana" w:hAnsi="Verdana"/>
                <w:lang w:val="en-US"/>
              </w:rPr>
            </w:pPr>
            <w:r w:rsidRPr="00064185">
              <w:rPr>
                <w:rFonts w:ascii="Verdana" w:hAnsi="Verdana"/>
                <w:bCs/>
                <w:lang w:val="en-US"/>
              </w:rPr>
              <w:t xml:space="preserve">Cumulative concentration in untreated wastewater </w:t>
            </w:r>
            <w:r w:rsidR="00A56F50" w:rsidRPr="00064185">
              <w:rPr>
                <w:rFonts w:ascii="Verdana" w:hAnsi="Verdana"/>
                <w:bCs/>
                <w:lang w:val="en-US"/>
              </w:rPr>
              <w:t>[µg/l</w:t>
            </w:r>
            <w:r w:rsidRPr="00064185">
              <w:rPr>
                <w:rFonts w:ascii="Verdana" w:hAnsi="Verdana"/>
                <w:bCs/>
                <w:lang w:val="en-US"/>
              </w:rPr>
              <w:t>]</w:t>
            </w:r>
          </w:p>
        </w:tc>
        <w:tc>
          <w:tcPr>
            <w:tcW w:w="1418" w:type="dxa"/>
            <w:vAlign w:val="center"/>
            <w:hideMark/>
          </w:tcPr>
          <w:p w14:paraId="28D0D72B" w14:textId="77777777" w:rsidR="00C74DA7" w:rsidRPr="00064185" w:rsidRDefault="00C74DA7" w:rsidP="00EA61D8">
            <w:pPr>
              <w:pStyle w:val="Absatz"/>
              <w:keepNext/>
              <w:keepLines/>
              <w:spacing w:before="60" w:after="60"/>
              <w:ind w:left="0"/>
              <w:rPr>
                <w:rFonts w:ascii="Verdana" w:hAnsi="Verdana"/>
              </w:rPr>
            </w:pPr>
            <w:r w:rsidRPr="00064185">
              <w:rPr>
                <w:rFonts w:ascii="Verdana" w:hAnsi="Verdana"/>
              </w:rPr>
              <w:t>Clocal</w:t>
            </w:r>
            <w:r w:rsidRPr="00064185">
              <w:rPr>
                <w:rFonts w:ascii="Verdana" w:hAnsi="Verdana"/>
                <w:vertAlign w:val="subscript"/>
              </w:rPr>
              <w:t>inf</w:t>
            </w:r>
          </w:p>
        </w:tc>
        <w:tc>
          <w:tcPr>
            <w:tcW w:w="1134" w:type="dxa"/>
            <w:vAlign w:val="center"/>
            <w:hideMark/>
          </w:tcPr>
          <w:p w14:paraId="3700CF0E" w14:textId="1D49BDBE" w:rsidR="00C74DA7" w:rsidRPr="00064185" w:rsidRDefault="002116D7" w:rsidP="00EA61D8">
            <w:pPr>
              <w:keepNext/>
              <w:keepLines/>
              <w:tabs>
                <w:tab w:val="right" w:pos="1370"/>
              </w:tabs>
              <w:spacing w:before="60" w:after="60"/>
            </w:pPr>
            <w:r w:rsidRPr="00064185">
              <w:t>0.36</w:t>
            </w:r>
          </w:p>
        </w:tc>
        <w:tc>
          <w:tcPr>
            <w:tcW w:w="1559" w:type="dxa"/>
            <w:vAlign w:val="center"/>
          </w:tcPr>
          <w:p w14:paraId="35140AE0" w14:textId="3E8A3D46" w:rsidR="00C74DA7" w:rsidRPr="00064185" w:rsidRDefault="00E52697" w:rsidP="00EA61D8">
            <w:pPr>
              <w:keepNext/>
              <w:keepLines/>
              <w:tabs>
                <w:tab w:val="right" w:pos="1370"/>
              </w:tabs>
              <w:spacing w:before="60" w:after="60"/>
            </w:pPr>
            <w:r w:rsidRPr="00064185">
              <w:t>3.34</w:t>
            </w:r>
          </w:p>
        </w:tc>
        <w:tc>
          <w:tcPr>
            <w:tcW w:w="1134" w:type="dxa"/>
            <w:vAlign w:val="center"/>
          </w:tcPr>
          <w:p w14:paraId="5CF21574" w14:textId="7687EAA9" w:rsidR="00C74DA7" w:rsidRPr="00064185" w:rsidRDefault="001F1859" w:rsidP="00EA61D8">
            <w:pPr>
              <w:keepNext/>
              <w:keepLines/>
              <w:tabs>
                <w:tab w:val="right" w:pos="1370"/>
              </w:tabs>
              <w:spacing w:before="60" w:after="60"/>
            </w:pPr>
            <w:r w:rsidRPr="00064185">
              <w:t>0.34</w:t>
            </w:r>
          </w:p>
        </w:tc>
        <w:tc>
          <w:tcPr>
            <w:tcW w:w="1062" w:type="dxa"/>
            <w:vAlign w:val="center"/>
          </w:tcPr>
          <w:p w14:paraId="6EDB5CB8" w14:textId="66825D15" w:rsidR="00C74DA7" w:rsidRPr="00064185" w:rsidRDefault="00D1401A" w:rsidP="00EA61D8">
            <w:pPr>
              <w:keepNext/>
              <w:keepLines/>
              <w:tabs>
                <w:tab w:val="right" w:pos="1370"/>
              </w:tabs>
              <w:spacing w:before="60" w:after="60"/>
            </w:pPr>
            <w:r w:rsidRPr="00064185" w:rsidDel="002323CB">
              <w:t>0.</w:t>
            </w:r>
            <w:r w:rsidR="002323CB" w:rsidRPr="00064185">
              <w:t>285</w:t>
            </w:r>
          </w:p>
        </w:tc>
      </w:tr>
      <w:tr w:rsidR="00064185" w:rsidRPr="00064185" w14:paraId="6244E84C" w14:textId="77777777" w:rsidTr="008F71B2">
        <w:trPr>
          <w:cantSplit/>
          <w:trHeight w:val="580"/>
        </w:trPr>
        <w:tc>
          <w:tcPr>
            <w:tcW w:w="3047" w:type="dxa"/>
            <w:vAlign w:val="center"/>
            <w:hideMark/>
          </w:tcPr>
          <w:p w14:paraId="1B0557BD" w14:textId="66493956" w:rsidR="00C74DA7" w:rsidRPr="00064185" w:rsidRDefault="00C74DA7" w:rsidP="00EA61D8">
            <w:pPr>
              <w:pStyle w:val="Absatz"/>
              <w:keepNext/>
              <w:keepLines/>
              <w:spacing w:before="60" w:after="60"/>
              <w:ind w:left="0"/>
              <w:rPr>
                <w:rFonts w:ascii="Verdana" w:hAnsi="Verdana"/>
              </w:rPr>
            </w:pPr>
            <w:r w:rsidRPr="00064185">
              <w:rPr>
                <w:rFonts w:ascii="Verdana" w:hAnsi="Verdana"/>
              </w:rPr>
              <w:t>Fraction of emission directed to water by STP [-]</w:t>
            </w:r>
          </w:p>
        </w:tc>
        <w:tc>
          <w:tcPr>
            <w:tcW w:w="1418" w:type="dxa"/>
            <w:vAlign w:val="center"/>
            <w:hideMark/>
          </w:tcPr>
          <w:p w14:paraId="3703B19F" w14:textId="77777777" w:rsidR="00C74DA7" w:rsidRPr="00064185" w:rsidRDefault="00C74DA7" w:rsidP="00EA61D8">
            <w:pPr>
              <w:pStyle w:val="Absatz"/>
              <w:keepNext/>
              <w:keepLines/>
              <w:spacing w:before="60" w:after="60"/>
              <w:ind w:left="0"/>
              <w:rPr>
                <w:rFonts w:ascii="Verdana" w:hAnsi="Verdana"/>
              </w:rPr>
            </w:pPr>
            <w:r w:rsidRPr="00064185">
              <w:rPr>
                <w:rFonts w:ascii="Verdana" w:hAnsi="Verdana"/>
              </w:rPr>
              <w:t>Fstp</w:t>
            </w:r>
            <w:r w:rsidRPr="00064185">
              <w:rPr>
                <w:rFonts w:ascii="Verdana" w:hAnsi="Verdana"/>
                <w:vertAlign w:val="subscript"/>
              </w:rPr>
              <w:t>water</w:t>
            </w:r>
          </w:p>
        </w:tc>
        <w:tc>
          <w:tcPr>
            <w:tcW w:w="4889" w:type="dxa"/>
            <w:gridSpan w:val="4"/>
            <w:vAlign w:val="center"/>
            <w:hideMark/>
          </w:tcPr>
          <w:p w14:paraId="23C1F0F0" w14:textId="2C4CBBE5" w:rsidR="00C74DA7" w:rsidRPr="00064185" w:rsidRDefault="00C74DA7" w:rsidP="00EA61D8">
            <w:pPr>
              <w:pStyle w:val="Absatz"/>
              <w:keepNext/>
              <w:keepLines/>
              <w:spacing w:before="60" w:after="60"/>
              <w:ind w:left="0"/>
              <w:rPr>
                <w:rFonts w:ascii="Verdana" w:hAnsi="Verdana"/>
              </w:rPr>
            </w:pPr>
            <w:r w:rsidRPr="00064185">
              <w:rPr>
                <w:rFonts w:ascii="Verdana" w:hAnsi="Verdana"/>
              </w:rPr>
              <w:t>0.</w:t>
            </w:r>
            <w:r w:rsidR="007F1207" w:rsidRPr="00064185">
              <w:rPr>
                <w:rFonts w:ascii="Verdana" w:hAnsi="Verdana"/>
              </w:rPr>
              <w:t>0912</w:t>
            </w:r>
          </w:p>
        </w:tc>
      </w:tr>
      <w:tr w:rsidR="00064185" w:rsidRPr="00064185" w14:paraId="5F1E56A4" w14:textId="77777777" w:rsidTr="002648A9">
        <w:trPr>
          <w:cantSplit/>
          <w:trHeight w:val="580"/>
        </w:trPr>
        <w:tc>
          <w:tcPr>
            <w:tcW w:w="3047" w:type="dxa"/>
            <w:vAlign w:val="center"/>
            <w:hideMark/>
          </w:tcPr>
          <w:p w14:paraId="0890A5E5" w14:textId="2ECC73F3" w:rsidR="001E3E54" w:rsidRPr="00064185" w:rsidRDefault="001E3E54" w:rsidP="00EA61D8">
            <w:pPr>
              <w:pStyle w:val="Absatz"/>
              <w:keepNext/>
              <w:keepLines/>
              <w:spacing w:before="60" w:after="60"/>
              <w:ind w:left="0"/>
              <w:rPr>
                <w:rFonts w:ascii="Verdana" w:hAnsi="Verdana"/>
                <w:b/>
              </w:rPr>
            </w:pPr>
            <w:r w:rsidRPr="00064185">
              <w:rPr>
                <w:rFonts w:ascii="Verdana" w:hAnsi="Verdana"/>
                <w:b/>
              </w:rPr>
              <w:t xml:space="preserve">Concentration of substance in the STP effluent </w:t>
            </w:r>
            <w:r w:rsidRPr="00064185">
              <w:rPr>
                <w:rFonts w:ascii="Verdana" w:hAnsi="Verdana"/>
                <w:b/>
                <w:bCs/>
              </w:rPr>
              <w:t>[µg/l]</w:t>
            </w:r>
          </w:p>
        </w:tc>
        <w:tc>
          <w:tcPr>
            <w:tcW w:w="1418" w:type="dxa"/>
            <w:vAlign w:val="center"/>
            <w:hideMark/>
          </w:tcPr>
          <w:p w14:paraId="69FA77E7" w14:textId="77777777" w:rsidR="001E3E54" w:rsidRPr="00064185" w:rsidRDefault="001E3E54" w:rsidP="00EA61D8">
            <w:pPr>
              <w:pStyle w:val="Absatz"/>
              <w:keepNext/>
              <w:keepLines/>
              <w:spacing w:before="60" w:after="60"/>
              <w:ind w:left="0"/>
              <w:rPr>
                <w:rFonts w:ascii="Verdana" w:hAnsi="Verdana"/>
                <w:b/>
              </w:rPr>
            </w:pPr>
            <w:r w:rsidRPr="00064185">
              <w:rPr>
                <w:rFonts w:ascii="Verdana" w:hAnsi="Verdana"/>
                <w:b/>
              </w:rPr>
              <w:t>Clocal</w:t>
            </w:r>
            <w:r w:rsidRPr="00064185">
              <w:rPr>
                <w:rFonts w:ascii="Verdana" w:hAnsi="Verdana"/>
                <w:b/>
                <w:vertAlign w:val="subscript"/>
              </w:rPr>
              <w:t>eff</w:t>
            </w:r>
            <w:r w:rsidRPr="00064185">
              <w:rPr>
                <w:rFonts w:ascii="Verdana" w:hAnsi="Verdana"/>
                <w:b/>
              </w:rPr>
              <w:t xml:space="preserve"> = </w:t>
            </w:r>
          </w:p>
          <w:p w14:paraId="30390674" w14:textId="48D6C8F0" w:rsidR="001E3E54" w:rsidRPr="00064185" w:rsidRDefault="001E3E54" w:rsidP="00EA61D8">
            <w:pPr>
              <w:pStyle w:val="Absatz"/>
              <w:keepNext/>
              <w:keepLines/>
              <w:spacing w:before="60" w:after="60"/>
              <w:ind w:left="0"/>
              <w:rPr>
                <w:rFonts w:ascii="Verdana" w:hAnsi="Verdana"/>
                <w:b/>
              </w:rPr>
            </w:pPr>
            <w:r w:rsidRPr="00064185">
              <w:rPr>
                <w:rFonts w:ascii="Verdana" w:hAnsi="Verdana"/>
                <w:b/>
              </w:rPr>
              <w:t>Clocal</w:t>
            </w:r>
            <w:r w:rsidRPr="00064185">
              <w:rPr>
                <w:rFonts w:ascii="Verdana" w:hAnsi="Verdana"/>
                <w:b/>
                <w:vertAlign w:val="subscript"/>
              </w:rPr>
              <w:t xml:space="preserve">inf </w:t>
            </w:r>
            <w:r w:rsidRPr="00064185">
              <w:rPr>
                <w:rFonts w:ascii="Verdana" w:hAnsi="Verdana"/>
                <w:b/>
              </w:rPr>
              <w:t>x Fstp</w:t>
            </w:r>
            <w:r w:rsidRPr="00064185">
              <w:rPr>
                <w:rFonts w:ascii="Verdana" w:hAnsi="Verdana"/>
                <w:b/>
                <w:vertAlign w:val="subscript"/>
              </w:rPr>
              <w:t>water</w:t>
            </w:r>
          </w:p>
        </w:tc>
        <w:tc>
          <w:tcPr>
            <w:tcW w:w="1134" w:type="dxa"/>
            <w:vAlign w:val="center"/>
            <w:hideMark/>
          </w:tcPr>
          <w:p w14:paraId="06E0C0B0" w14:textId="50EED8F0" w:rsidR="001E3E54" w:rsidRPr="00064185" w:rsidRDefault="001E3E54" w:rsidP="00EA61D8">
            <w:pPr>
              <w:tabs>
                <w:tab w:val="right" w:pos="1370"/>
              </w:tabs>
              <w:spacing w:before="60" w:after="60"/>
              <w:rPr>
                <w:b/>
              </w:rPr>
            </w:pPr>
            <w:r w:rsidRPr="00064185">
              <w:rPr>
                <w:b/>
              </w:rPr>
              <w:t>3.28E-2</w:t>
            </w:r>
          </w:p>
        </w:tc>
        <w:tc>
          <w:tcPr>
            <w:tcW w:w="1559" w:type="dxa"/>
            <w:vAlign w:val="center"/>
          </w:tcPr>
          <w:p w14:paraId="774CD98E" w14:textId="540ED0A0" w:rsidR="001E3E54" w:rsidRPr="00064185" w:rsidRDefault="001E3E54" w:rsidP="00EA61D8">
            <w:pPr>
              <w:tabs>
                <w:tab w:val="right" w:pos="1370"/>
              </w:tabs>
              <w:spacing w:before="60" w:after="60"/>
              <w:rPr>
                <w:b/>
              </w:rPr>
            </w:pPr>
            <w:r w:rsidRPr="00064185">
              <w:rPr>
                <w:b/>
              </w:rPr>
              <w:t>0.25</w:t>
            </w:r>
          </w:p>
        </w:tc>
        <w:tc>
          <w:tcPr>
            <w:tcW w:w="1134" w:type="dxa"/>
            <w:vAlign w:val="center"/>
          </w:tcPr>
          <w:p w14:paraId="5A431093" w14:textId="117145BD" w:rsidR="001E3E54" w:rsidRPr="00064185" w:rsidRDefault="001E3E54" w:rsidP="00EA61D8">
            <w:pPr>
              <w:tabs>
                <w:tab w:val="right" w:pos="1370"/>
              </w:tabs>
              <w:spacing w:before="60" w:after="60"/>
              <w:rPr>
                <w:b/>
              </w:rPr>
            </w:pPr>
            <w:r w:rsidRPr="00064185">
              <w:rPr>
                <w:b/>
              </w:rPr>
              <w:t>1.82E-2</w:t>
            </w:r>
          </w:p>
        </w:tc>
        <w:tc>
          <w:tcPr>
            <w:tcW w:w="1062" w:type="dxa"/>
            <w:vAlign w:val="center"/>
          </w:tcPr>
          <w:p w14:paraId="16B955D4" w14:textId="47F2F6A7" w:rsidR="001E3E54" w:rsidRPr="00064185" w:rsidRDefault="001E3E54" w:rsidP="00EA61D8">
            <w:pPr>
              <w:tabs>
                <w:tab w:val="right" w:pos="1370"/>
              </w:tabs>
              <w:spacing w:before="60" w:after="60"/>
              <w:rPr>
                <w:b/>
              </w:rPr>
            </w:pPr>
            <w:r w:rsidRPr="00064185">
              <w:rPr>
                <w:b/>
              </w:rPr>
              <w:t>2.60E-2</w:t>
            </w:r>
          </w:p>
        </w:tc>
      </w:tr>
    </w:tbl>
    <w:p w14:paraId="29EECD5D" w14:textId="77777777" w:rsidR="000A229F" w:rsidRPr="00064185" w:rsidRDefault="000A229F" w:rsidP="00EA61D8"/>
    <w:p w14:paraId="1C6C93CE" w14:textId="77777777" w:rsidR="00FA2E2A" w:rsidRPr="00064185" w:rsidRDefault="00FA2E2A" w:rsidP="00EA61D8">
      <w:pPr>
        <w:rPr>
          <w:szCs w:val="22"/>
        </w:rPr>
      </w:pPr>
    </w:p>
    <w:p w14:paraId="77BA5845" w14:textId="24941533" w:rsidR="00FA2E2A" w:rsidRPr="00064185" w:rsidRDefault="00FA2E2A" w:rsidP="00EA61D8">
      <w:pPr>
        <w:rPr>
          <w:u w:val="single"/>
        </w:rPr>
      </w:pPr>
      <w:r w:rsidRPr="00064185">
        <w:rPr>
          <w:u w:val="single"/>
        </w:rPr>
        <w:t xml:space="preserve">Direct treatment of </w:t>
      </w:r>
      <w:r w:rsidR="00FD6ACF" w:rsidRPr="00064185">
        <w:rPr>
          <w:u w:val="single"/>
        </w:rPr>
        <w:t>target organisms</w:t>
      </w:r>
      <w:r w:rsidRPr="00064185">
        <w:rPr>
          <w:u w:val="single"/>
        </w:rPr>
        <w:t>:</w:t>
      </w:r>
    </w:p>
    <w:p w14:paraId="61E807A7" w14:textId="77777777" w:rsidR="00FA2E2A" w:rsidRPr="00064185" w:rsidRDefault="00FA2E2A" w:rsidP="00EA61D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1"/>
        <w:gridCol w:w="3083"/>
        <w:gridCol w:w="2731"/>
        <w:gridCol w:w="889"/>
      </w:tblGrid>
      <w:tr w:rsidR="00064185" w:rsidRPr="00064185" w14:paraId="3CBDE93F" w14:textId="77777777" w:rsidTr="00064759">
        <w:trPr>
          <w:trHeight w:val="471"/>
        </w:trPr>
        <w:tc>
          <w:tcPr>
            <w:tcW w:w="0" w:type="auto"/>
            <w:gridSpan w:val="4"/>
            <w:shd w:val="clear" w:color="auto" w:fill="FFFFCC"/>
            <w:noWrap/>
            <w:vAlign w:val="center"/>
          </w:tcPr>
          <w:p w14:paraId="06E93C60" w14:textId="77777777" w:rsidR="00FA2E2A" w:rsidRPr="00064185" w:rsidRDefault="00FA2E2A" w:rsidP="00EA61D8">
            <w:pPr>
              <w:keepNext/>
              <w:keepLines/>
              <w:spacing w:before="60" w:after="60"/>
              <w:rPr>
                <w:b/>
                <w:bCs/>
              </w:rPr>
            </w:pPr>
            <w:r w:rsidRPr="00064185">
              <w:rPr>
                <w:b/>
              </w:rPr>
              <w:t>Calculation of the STP influent concentration (</w:t>
            </w:r>
            <w:r w:rsidRPr="00064185">
              <w:rPr>
                <w:b/>
                <w:i/>
              </w:rPr>
              <w:t>cf.</w:t>
            </w:r>
            <w:r w:rsidRPr="00064185">
              <w:rPr>
                <w:b/>
              </w:rPr>
              <w:t xml:space="preserve"> TGD, 2003, Equation 32)</w:t>
            </w:r>
          </w:p>
        </w:tc>
      </w:tr>
      <w:tr w:rsidR="00064185" w:rsidRPr="00064185" w14:paraId="434CA5B8" w14:textId="77777777" w:rsidTr="00C54173">
        <w:trPr>
          <w:trHeight w:val="659"/>
        </w:trPr>
        <w:tc>
          <w:tcPr>
            <w:tcW w:w="2651" w:type="dxa"/>
            <w:vMerge w:val="restart"/>
            <w:noWrap/>
            <w:vAlign w:val="center"/>
            <w:hideMark/>
          </w:tcPr>
          <w:p w14:paraId="5CA9DC78" w14:textId="77777777" w:rsidR="00C54173" w:rsidRPr="00064185" w:rsidRDefault="00C54173" w:rsidP="00EA61D8">
            <w:pPr>
              <w:keepNext/>
              <w:keepLines/>
              <w:spacing w:before="60" w:after="60"/>
              <w:rPr>
                <w:rFonts w:ascii="Arial" w:hAnsi="Arial" w:cs="Arial"/>
                <w:b/>
              </w:rPr>
            </w:pPr>
            <w:r w:rsidRPr="00064185">
              <w:rPr>
                <w:b/>
                <w:bCs/>
              </w:rPr>
              <w:t>Parameter</w:t>
            </w:r>
          </w:p>
        </w:tc>
        <w:tc>
          <w:tcPr>
            <w:tcW w:w="3083" w:type="dxa"/>
            <w:vMerge w:val="restart"/>
            <w:vAlign w:val="center"/>
            <w:hideMark/>
          </w:tcPr>
          <w:p w14:paraId="7B7BC57A" w14:textId="77777777" w:rsidR="00C54173" w:rsidRPr="00064185" w:rsidRDefault="00C54173" w:rsidP="00EA61D8">
            <w:pPr>
              <w:keepNext/>
              <w:keepLines/>
              <w:spacing w:before="60" w:after="60"/>
              <w:rPr>
                <w:b/>
                <w:bCs/>
              </w:rPr>
            </w:pPr>
            <w:r w:rsidRPr="00064185">
              <w:rPr>
                <w:b/>
                <w:bCs/>
              </w:rPr>
              <w:t>Definition</w:t>
            </w:r>
          </w:p>
        </w:tc>
        <w:tc>
          <w:tcPr>
            <w:tcW w:w="3620" w:type="dxa"/>
            <w:gridSpan w:val="2"/>
            <w:vAlign w:val="center"/>
            <w:hideMark/>
          </w:tcPr>
          <w:p w14:paraId="6779B61F" w14:textId="1D701FF5" w:rsidR="00C54173" w:rsidRPr="00064185" w:rsidRDefault="00C54173" w:rsidP="00EA61D8">
            <w:pPr>
              <w:keepNext/>
              <w:keepLines/>
              <w:tabs>
                <w:tab w:val="right" w:pos="1370"/>
              </w:tabs>
              <w:spacing w:before="60" w:after="60"/>
              <w:rPr>
                <w:b/>
                <w:bCs/>
              </w:rPr>
            </w:pPr>
            <w:r w:rsidRPr="00064185">
              <w:rPr>
                <w:b/>
                <w:bCs/>
              </w:rPr>
              <w:t>Indoor use</w:t>
            </w:r>
          </w:p>
        </w:tc>
      </w:tr>
      <w:tr w:rsidR="00064185" w:rsidRPr="00064185" w14:paraId="7610D4A3" w14:textId="77777777" w:rsidTr="00C54173">
        <w:trPr>
          <w:trHeight w:val="138"/>
        </w:trPr>
        <w:tc>
          <w:tcPr>
            <w:tcW w:w="2651" w:type="dxa"/>
            <w:vMerge/>
            <w:vAlign w:val="center"/>
          </w:tcPr>
          <w:p w14:paraId="6E7E513E" w14:textId="77777777" w:rsidR="00C54173" w:rsidRPr="00064185" w:rsidRDefault="00C54173" w:rsidP="00EA61D8">
            <w:pPr>
              <w:rPr>
                <w:rFonts w:ascii="Arial" w:hAnsi="Arial" w:cs="Arial"/>
                <w:b/>
              </w:rPr>
            </w:pPr>
          </w:p>
        </w:tc>
        <w:tc>
          <w:tcPr>
            <w:tcW w:w="3083" w:type="dxa"/>
            <w:vMerge/>
            <w:vAlign w:val="center"/>
          </w:tcPr>
          <w:p w14:paraId="7EFFA9B6" w14:textId="77777777" w:rsidR="00C54173" w:rsidRPr="00064185" w:rsidRDefault="00C54173" w:rsidP="00EA61D8">
            <w:pPr>
              <w:rPr>
                <w:b/>
                <w:bCs/>
              </w:rPr>
            </w:pPr>
          </w:p>
        </w:tc>
        <w:tc>
          <w:tcPr>
            <w:tcW w:w="2731" w:type="dxa"/>
            <w:vAlign w:val="center"/>
          </w:tcPr>
          <w:p w14:paraId="7F96C66E" w14:textId="5539EEF6" w:rsidR="00C54173" w:rsidRPr="00064185" w:rsidRDefault="00C54173" w:rsidP="00EA61D8">
            <w:pPr>
              <w:keepNext/>
              <w:keepLines/>
              <w:tabs>
                <w:tab w:val="right" w:pos="1370"/>
              </w:tabs>
              <w:spacing w:before="60" w:after="60"/>
              <w:rPr>
                <w:b/>
                <w:bCs/>
              </w:rPr>
            </w:pPr>
            <w:r w:rsidRPr="00064185">
              <w:rPr>
                <w:b/>
                <w:bCs/>
              </w:rPr>
              <w:t>Silverfish &amp; Cockroaches</w:t>
            </w:r>
          </w:p>
        </w:tc>
        <w:tc>
          <w:tcPr>
            <w:tcW w:w="889" w:type="dxa"/>
            <w:vAlign w:val="center"/>
          </w:tcPr>
          <w:p w14:paraId="38FF3A63" w14:textId="77777777" w:rsidR="00C54173" w:rsidRPr="00064185" w:rsidRDefault="00C54173" w:rsidP="00EA61D8">
            <w:pPr>
              <w:keepNext/>
              <w:keepLines/>
              <w:tabs>
                <w:tab w:val="right" w:pos="1370"/>
              </w:tabs>
              <w:spacing w:before="60" w:after="60"/>
              <w:rPr>
                <w:b/>
                <w:bCs/>
              </w:rPr>
            </w:pPr>
            <w:r w:rsidRPr="00064185">
              <w:rPr>
                <w:b/>
                <w:bCs/>
              </w:rPr>
              <w:t>Wood lice</w:t>
            </w:r>
          </w:p>
          <w:p w14:paraId="0D0E3B97" w14:textId="7445E8C1" w:rsidR="00C54173" w:rsidRPr="00064185" w:rsidRDefault="00C54173" w:rsidP="00EA61D8">
            <w:pPr>
              <w:keepNext/>
              <w:keepLines/>
              <w:tabs>
                <w:tab w:val="right" w:pos="1370"/>
              </w:tabs>
              <w:spacing w:before="60" w:after="60"/>
              <w:rPr>
                <w:b/>
                <w:bCs/>
              </w:rPr>
            </w:pPr>
          </w:p>
        </w:tc>
      </w:tr>
      <w:tr w:rsidR="00064185" w:rsidRPr="00064185" w14:paraId="074391E5" w14:textId="77777777" w:rsidTr="00C54173">
        <w:trPr>
          <w:trHeight w:val="472"/>
        </w:trPr>
        <w:tc>
          <w:tcPr>
            <w:tcW w:w="2651" w:type="dxa"/>
            <w:vAlign w:val="center"/>
            <w:hideMark/>
          </w:tcPr>
          <w:p w14:paraId="7EBA67AC" w14:textId="0DA0DF34" w:rsidR="001E3E54" w:rsidRPr="00064185" w:rsidRDefault="001E3E54" w:rsidP="00EA61D8">
            <w:pPr>
              <w:keepNext/>
              <w:keepLines/>
              <w:spacing w:before="60" w:after="60"/>
              <w:rPr>
                <w:bCs/>
              </w:rPr>
            </w:pPr>
            <w:r w:rsidRPr="00064185">
              <w:rPr>
                <w:bCs/>
              </w:rPr>
              <w:t xml:space="preserve">Local emission rate to wastewater </w:t>
            </w:r>
            <w:r w:rsidRPr="00064185">
              <w:rPr>
                <w:bCs/>
              </w:rPr>
              <w:br/>
              <w:t>[g/d]</w:t>
            </w:r>
          </w:p>
        </w:tc>
        <w:tc>
          <w:tcPr>
            <w:tcW w:w="3083" w:type="dxa"/>
            <w:vAlign w:val="center"/>
            <w:hideMark/>
          </w:tcPr>
          <w:p w14:paraId="5028386E" w14:textId="77777777" w:rsidR="001E3E54" w:rsidRPr="00064185" w:rsidRDefault="001E3E54" w:rsidP="00EA61D8">
            <w:pPr>
              <w:keepNext/>
              <w:keepLines/>
              <w:spacing w:before="60" w:after="60"/>
              <w:rPr>
                <w:bCs/>
              </w:rPr>
            </w:pPr>
            <w:r w:rsidRPr="00064185">
              <w:rPr>
                <w:bCs/>
              </w:rPr>
              <w:t>Elocal</w:t>
            </w:r>
            <w:r w:rsidRPr="00064185">
              <w:rPr>
                <w:bCs/>
                <w:vertAlign w:val="subscript"/>
              </w:rPr>
              <w:t>water</w:t>
            </w:r>
          </w:p>
        </w:tc>
        <w:tc>
          <w:tcPr>
            <w:tcW w:w="2731" w:type="dxa"/>
            <w:vAlign w:val="center"/>
            <w:hideMark/>
          </w:tcPr>
          <w:p w14:paraId="39269A18" w14:textId="4CA2C7BC" w:rsidR="001E3E54" w:rsidRPr="00064185" w:rsidRDefault="001E3E54" w:rsidP="00EA61D8">
            <w:pPr>
              <w:keepNext/>
              <w:keepLines/>
              <w:tabs>
                <w:tab w:val="right" w:pos="1370"/>
              </w:tabs>
              <w:spacing w:before="60" w:after="60"/>
            </w:pPr>
            <w:r w:rsidRPr="00064185">
              <w:t>6.67</w:t>
            </w:r>
          </w:p>
        </w:tc>
        <w:tc>
          <w:tcPr>
            <w:tcW w:w="889" w:type="dxa"/>
            <w:vAlign w:val="center"/>
          </w:tcPr>
          <w:p w14:paraId="22FAB6CD" w14:textId="3BF3A8D6" w:rsidR="001E3E54" w:rsidRPr="00064185" w:rsidRDefault="001E3E54" w:rsidP="00EA61D8">
            <w:pPr>
              <w:keepNext/>
              <w:keepLines/>
              <w:tabs>
                <w:tab w:val="right" w:pos="1370"/>
              </w:tabs>
              <w:spacing w:before="60" w:after="60"/>
              <w:rPr>
                <w:strike/>
              </w:rPr>
            </w:pPr>
            <w:r w:rsidRPr="00064185">
              <w:t>0.68</w:t>
            </w:r>
          </w:p>
        </w:tc>
      </w:tr>
      <w:tr w:rsidR="00064185" w:rsidRPr="00064185" w14:paraId="7971E032" w14:textId="77777777" w:rsidTr="00701B7B">
        <w:trPr>
          <w:trHeight w:val="472"/>
        </w:trPr>
        <w:tc>
          <w:tcPr>
            <w:tcW w:w="2651" w:type="dxa"/>
            <w:vAlign w:val="center"/>
            <w:hideMark/>
          </w:tcPr>
          <w:p w14:paraId="4640B33E" w14:textId="77777777" w:rsidR="00FA2E2A" w:rsidRPr="00064185" w:rsidRDefault="00FA2E2A" w:rsidP="00EA61D8">
            <w:pPr>
              <w:keepNext/>
              <w:keepLines/>
              <w:spacing w:before="60" w:after="60"/>
              <w:rPr>
                <w:bCs/>
              </w:rPr>
            </w:pPr>
            <w:r w:rsidRPr="00064185">
              <w:rPr>
                <w:bCs/>
              </w:rPr>
              <w:t>Capacity of the STP [eq]</w:t>
            </w:r>
          </w:p>
        </w:tc>
        <w:tc>
          <w:tcPr>
            <w:tcW w:w="3083" w:type="dxa"/>
            <w:vAlign w:val="center"/>
            <w:hideMark/>
          </w:tcPr>
          <w:p w14:paraId="3B291C14" w14:textId="77777777" w:rsidR="00FA2E2A" w:rsidRPr="00064185" w:rsidRDefault="00FA2E2A" w:rsidP="00EA61D8">
            <w:pPr>
              <w:keepNext/>
              <w:keepLines/>
              <w:spacing w:before="60" w:after="60"/>
              <w:rPr>
                <w:bCs/>
              </w:rPr>
            </w:pPr>
            <w:r w:rsidRPr="00064185">
              <w:rPr>
                <w:bCs/>
              </w:rPr>
              <w:t>CAPACITY</w:t>
            </w:r>
            <w:r w:rsidRPr="00064185">
              <w:rPr>
                <w:bCs/>
                <w:vertAlign w:val="subscript"/>
              </w:rPr>
              <w:t>stp</w:t>
            </w:r>
          </w:p>
        </w:tc>
        <w:tc>
          <w:tcPr>
            <w:tcW w:w="3620" w:type="dxa"/>
            <w:gridSpan w:val="2"/>
            <w:vAlign w:val="center"/>
            <w:hideMark/>
          </w:tcPr>
          <w:p w14:paraId="3326FAD7" w14:textId="77777777" w:rsidR="00FA2E2A" w:rsidRPr="00064185" w:rsidRDefault="00FA2E2A" w:rsidP="00EA61D8">
            <w:pPr>
              <w:keepNext/>
              <w:keepLines/>
              <w:tabs>
                <w:tab w:val="right" w:pos="1370"/>
              </w:tabs>
              <w:spacing w:before="60" w:after="60"/>
            </w:pPr>
            <w:r w:rsidRPr="00064185">
              <w:t>10000</w:t>
            </w:r>
          </w:p>
        </w:tc>
      </w:tr>
      <w:tr w:rsidR="00064185" w:rsidRPr="00064185" w14:paraId="74DBB4D1" w14:textId="77777777" w:rsidTr="00701B7B">
        <w:trPr>
          <w:trHeight w:val="472"/>
        </w:trPr>
        <w:tc>
          <w:tcPr>
            <w:tcW w:w="2651" w:type="dxa"/>
            <w:vAlign w:val="center"/>
            <w:hideMark/>
          </w:tcPr>
          <w:p w14:paraId="20B2D30E" w14:textId="77777777" w:rsidR="00FA2E2A" w:rsidRPr="00064185" w:rsidRDefault="00FA2E2A" w:rsidP="00EA61D8">
            <w:pPr>
              <w:keepNext/>
              <w:keepLines/>
              <w:spacing w:before="60" w:after="60"/>
              <w:rPr>
                <w:bCs/>
              </w:rPr>
            </w:pPr>
            <w:r w:rsidRPr="00064185">
              <w:rPr>
                <w:bCs/>
              </w:rPr>
              <w:t xml:space="preserve">Sewage flow per inhabitant </w:t>
            </w:r>
            <w:r w:rsidRPr="00064185">
              <w:rPr>
                <w:bCs/>
              </w:rPr>
              <w:br/>
              <w:t>[l/d*eq]</w:t>
            </w:r>
          </w:p>
        </w:tc>
        <w:tc>
          <w:tcPr>
            <w:tcW w:w="3083" w:type="dxa"/>
            <w:vAlign w:val="center"/>
            <w:hideMark/>
          </w:tcPr>
          <w:p w14:paraId="0757815A" w14:textId="77777777" w:rsidR="00FA2E2A" w:rsidRPr="00064185" w:rsidRDefault="00FA2E2A" w:rsidP="00EA61D8">
            <w:pPr>
              <w:keepNext/>
              <w:keepLines/>
              <w:spacing w:before="60" w:after="60"/>
              <w:rPr>
                <w:bCs/>
              </w:rPr>
            </w:pPr>
            <w:r w:rsidRPr="00064185">
              <w:rPr>
                <w:bCs/>
              </w:rPr>
              <w:t>WASTEWinhab</w:t>
            </w:r>
          </w:p>
        </w:tc>
        <w:tc>
          <w:tcPr>
            <w:tcW w:w="3620" w:type="dxa"/>
            <w:gridSpan w:val="2"/>
            <w:vAlign w:val="center"/>
            <w:hideMark/>
          </w:tcPr>
          <w:p w14:paraId="430A1530" w14:textId="77777777" w:rsidR="00FA2E2A" w:rsidRPr="00064185" w:rsidRDefault="00FA2E2A" w:rsidP="00EA61D8">
            <w:pPr>
              <w:keepNext/>
              <w:keepLines/>
              <w:tabs>
                <w:tab w:val="right" w:pos="1370"/>
              </w:tabs>
              <w:spacing w:before="60" w:after="60"/>
            </w:pPr>
            <w:r w:rsidRPr="00064185">
              <w:t>200</w:t>
            </w:r>
          </w:p>
        </w:tc>
      </w:tr>
      <w:tr w:rsidR="00064185" w:rsidRPr="00064185" w14:paraId="31FC6DBB" w14:textId="77777777" w:rsidTr="00701B7B">
        <w:trPr>
          <w:trHeight w:val="472"/>
        </w:trPr>
        <w:tc>
          <w:tcPr>
            <w:tcW w:w="2651" w:type="dxa"/>
            <w:vAlign w:val="center"/>
            <w:hideMark/>
          </w:tcPr>
          <w:p w14:paraId="2BB4A2B9" w14:textId="77777777" w:rsidR="00FA2E2A" w:rsidRPr="00064185" w:rsidRDefault="00FA2E2A" w:rsidP="00EA61D8">
            <w:pPr>
              <w:keepNext/>
              <w:keepLines/>
              <w:spacing w:before="60" w:after="60"/>
              <w:rPr>
                <w:bCs/>
              </w:rPr>
            </w:pPr>
            <w:r w:rsidRPr="00064185">
              <w:rPr>
                <w:bCs/>
              </w:rPr>
              <w:t>Effluent discharge rate [l/d]</w:t>
            </w:r>
          </w:p>
        </w:tc>
        <w:tc>
          <w:tcPr>
            <w:tcW w:w="3083" w:type="dxa"/>
            <w:vAlign w:val="center"/>
            <w:hideMark/>
          </w:tcPr>
          <w:p w14:paraId="4BD36328" w14:textId="77777777" w:rsidR="00FA2E2A" w:rsidRPr="00064185" w:rsidRDefault="00FA2E2A" w:rsidP="00EA61D8">
            <w:pPr>
              <w:keepNext/>
              <w:keepLines/>
              <w:spacing w:before="60" w:after="60"/>
              <w:rPr>
                <w:bCs/>
              </w:rPr>
            </w:pPr>
            <w:r w:rsidRPr="00064185">
              <w:t>EFFLUENT</w:t>
            </w:r>
            <w:r w:rsidRPr="00064185">
              <w:rPr>
                <w:vertAlign w:val="subscript"/>
              </w:rPr>
              <w:t>stp</w:t>
            </w:r>
            <w:r w:rsidRPr="00064185">
              <w:t xml:space="preserve"> = </w:t>
            </w:r>
            <w:r w:rsidRPr="00064185">
              <w:rPr>
                <w:bCs/>
              </w:rPr>
              <w:t>CAPACITY</w:t>
            </w:r>
            <w:r w:rsidRPr="00064185">
              <w:rPr>
                <w:bCs/>
                <w:vertAlign w:val="subscript"/>
              </w:rPr>
              <w:t>stp</w:t>
            </w:r>
            <w:r w:rsidRPr="00064185">
              <w:rPr>
                <w:bCs/>
              </w:rPr>
              <w:t xml:space="preserve"> x</w:t>
            </w:r>
            <w:r w:rsidRPr="00064185">
              <w:rPr>
                <w:bCs/>
                <w:vertAlign w:val="subscript"/>
              </w:rPr>
              <w:t xml:space="preserve"> </w:t>
            </w:r>
            <w:r w:rsidRPr="00064185">
              <w:rPr>
                <w:bCs/>
              </w:rPr>
              <w:t xml:space="preserve"> WASTEWinhab</w:t>
            </w:r>
          </w:p>
        </w:tc>
        <w:tc>
          <w:tcPr>
            <w:tcW w:w="3620" w:type="dxa"/>
            <w:gridSpan w:val="2"/>
            <w:vAlign w:val="center"/>
            <w:hideMark/>
          </w:tcPr>
          <w:p w14:paraId="078FC81B" w14:textId="77777777" w:rsidR="00FA2E2A" w:rsidRPr="00064185" w:rsidRDefault="00FA2E2A" w:rsidP="00EA61D8">
            <w:pPr>
              <w:keepNext/>
              <w:keepLines/>
              <w:tabs>
                <w:tab w:val="right" w:pos="1370"/>
              </w:tabs>
              <w:spacing w:before="60" w:after="60"/>
            </w:pPr>
            <w:r w:rsidRPr="00064185">
              <w:t>2000000</w:t>
            </w:r>
          </w:p>
        </w:tc>
      </w:tr>
      <w:tr w:rsidR="001E3E54" w:rsidRPr="00064185" w14:paraId="6AE0E52F" w14:textId="77777777" w:rsidTr="00064759">
        <w:trPr>
          <w:trHeight w:val="472"/>
        </w:trPr>
        <w:tc>
          <w:tcPr>
            <w:tcW w:w="2651" w:type="dxa"/>
            <w:vAlign w:val="center"/>
            <w:hideMark/>
          </w:tcPr>
          <w:p w14:paraId="3C0A6212" w14:textId="77777777" w:rsidR="001E3E54" w:rsidRPr="00064185" w:rsidRDefault="001E3E54" w:rsidP="00EA61D8">
            <w:pPr>
              <w:keepNext/>
              <w:keepLines/>
              <w:spacing w:before="60" w:after="60"/>
              <w:rPr>
                <w:b/>
                <w:bCs/>
              </w:rPr>
            </w:pPr>
            <w:r w:rsidRPr="00064185">
              <w:rPr>
                <w:b/>
                <w:bCs/>
              </w:rPr>
              <w:t>Cumulative concentration in untreated wastewater [µg/l]</w:t>
            </w:r>
          </w:p>
        </w:tc>
        <w:tc>
          <w:tcPr>
            <w:tcW w:w="3083" w:type="dxa"/>
            <w:vAlign w:val="center"/>
            <w:hideMark/>
          </w:tcPr>
          <w:p w14:paraId="75611CC9" w14:textId="77777777" w:rsidR="001E3E54" w:rsidRPr="00064185" w:rsidRDefault="001E3E54" w:rsidP="00EA61D8">
            <w:pPr>
              <w:keepNext/>
              <w:keepLines/>
              <w:spacing w:before="60" w:after="60"/>
              <w:rPr>
                <w:b/>
                <w:bCs/>
              </w:rPr>
            </w:pPr>
            <w:r w:rsidRPr="00064185">
              <w:rPr>
                <w:b/>
                <w:position w:val="-32"/>
                <w:vertAlign w:val="subscript"/>
              </w:rPr>
              <w:object w:dxaOrig="2565" w:dyaOrig="690" w14:anchorId="5883841B">
                <v:shape id="_x0000_i1026" type="#_x0000_t75" style="width:130.5pt;height:34.5pt" o:ole="" fillcolor="window">
                  <v:imagedata r:id="rId19" o:title=""/>
                </v:shape>
                <o:OLEObject Type="Embed" ProgID="Equation.3" ShapeID="_x0000_i1026" DrawAspect="Content" ObjectID="_1614069660" r:id="rId21"/>
              </w:object>
            </w:r>
          </w:p>
        </w:tc>
        <w:tc>
          <w:tcPr>
            <w:tcW w:w="2731" w:type="dxa"/>
            <w:vAlign w:val="center"/>
            <w:hideMark/>
          </w:tcPr>
          <w:p w14:paraId="1C9B5A2E" w14:textId="269F460B" w:rsidR="001E3E54" w:rsidRPr="00064185" w:rsidRDefault="001E3E54" w:rsidP="00EA61D8">
            <w:pPr>
              <w:keepNext/>
              <w:keepLines/>
              <w:tabs>
                <w:tab w:val="right" w:pos="1370"/>
              </w:tabs>
              <w:spacing w:before="60" w:after="60"/>
              <w:rPr>
                <w:b/>
              </w:rPr>
            </w:pPr>
            <w:r w:rsidRPr="00064185">
              <w:rPr>
                <w:b/>
              </w:rPr>
              <w:t>3.34</w:t>
            </w:r>
          </w:p>
        </w:tc>
        <w:tc>
          <w:tcPr>
            <w:tcW w:w="0" w:type="auto"/>
            <w:vAlign w:val="center"/>
          </w:tcPr>
          <w:p w14:paraId="2BD6CF71" w14:textId="37A597D5" w:rsidR="001E3E54" w:rsidRPr="00064185" w:rsidRDefault="001E3E54" w:rsidP="00EA61D8">
            <w:pPr>
              <w:keepNext/>
              <w:keepLines/>
              <w:tabs>
                <w:tab w:val="right" w:pos="1370"/>
              </w:tabs>
              <w:spacing w:before="60" w:after="60"/>
              <w:rPr>
                <w:b/>
              </w:rPr>
            </w:pPr>
            <w:r w:rsidRPr="00064185">
              <w:rPr>
                <w:b/>
              </w:rPr>
              <w:t>0.34</w:t>
            </w:r>
          </w:p>
        </w:tc>
      </w:tr>
    </w:tbl>
    <w:p w14:paraId="50C532AF" w14:textId="77777777" w:rsidR="00FA2E2A" w:rsidRPr="00064185" w:rsidRDefault="00FA2E2A" w:rsidP="00EA61D8">
      <w:pPr>
        <w:keepNext/>
        <w:keepLines/>
      </w:pPr>
    </w:p>
    <w:p w14:paraId="38365218" w14:textId="77777777" w:rsidR="00FA2E2A" w:rsidRPr="00064185" w:rsidRDefault="00FA2E2A" w:rsidP="00EA61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1418"/>
        <w:gridCol w:w="2693"/>
        <w:gridCol w:w="2196"/>
      </w:tblGrid>
      <w:tr w:rsidR="00064185" w:rsidRPr="00064185" w14:paraId="4BC230EC" w14:textId="77777777" w:rsidTr="00064759">
        <w:trPr>
          <w:cantSplit/>
          <w:trHeight w:val="691"/>
        </w:trPr>
        <w:tc>
          <w:tcPr>
            <w:tcW w:w="9354" w:type="dxa"/>
            <w:gridSpan w:val="4"/>
            <w:shd w:val="clear" w:color="auto" w:fill="FFFFCC"/>
            <w:noWrap/>
            <w:vAlign w:val="center"/>
          </w:tcPr>
          <w:p w14:paraId="16F8397D" w14:textId="77777777" w:rsidR="00FA2E2A" w:rsidRPr="00064185" w:rsidRDefault="00FA2E2A" w:rsidP="00EA61D8">
            <w:pPr>
              <w:keepNext/>
              <w:spacing w:before="60" w:after="60"/>
              <w:rPr>
                <w:b/>
                <w:bCs/>
              </w:rPr>
            </w:pPr>
            <w:r w:rsidRPr="00064185">
              <w:rPr>
                <w:b/>
              </w:rPr>
              <w:lastRenderedPageBreak/>
              <w:t>Calculation of the STP effluent concentration (</w:t>
            </w:r>
            <w:r w:rsidRPr="00064185">
              <w:rPr>
                <w:b/>
                <w:i/>
              </w:rPr>
              <w:t>cf.</w:t>
            </w:r>
            <w:r w:rsidRPr="00064185">
              <w:rPr>
                <w:b/>
              </w:rPr>
              <w:t xml:space="preserve"> TGD, 2003, Tier 1: Equation 33)</w:t>
            </w:r>
          </w:p>
        </w:tc>
      </w:tr>
      <w:tr w:rsidR="00064185" w:rsidRPr="00064185" w14:paraId="3D83C5EB" w14:textId="77777777" w:rsidTr="00BB6AEE">
        <w:trPr>
          <w:cantSplit/>
          <w:trHeight w:val="637"/>
        </w:trPr>
        <w:tc>
          <w:tcPr>
            <w:tcW w:w="3047" w:type="dxa"/>
            <w:vMerge w:val="restart"/>
            <w:noWrap/>
            <w:vAlign w:val="center"/>
            <w:hideMark/>
          </w:tcPr>
          <w:p w14:paraId="73DBB6A2" w14:textId="77777777" w:rsidR="0012332D" w:rsidRPr="00064185" w:rsidRDefault="0012332D" w:rsidP="00EA61D8">
            <w:pPr>
              <w:keepNext/>
              <w:spacing w:before="60" w:after="60"/>
              <w:rPr>
                <w:rFonts w:ascii="Arial" w:hAnsi="Arial" w:cs="Arial"/>
                <w:b/>
              </w:rPr>
            </w:pPr>
            <w:r w:rsidRPr="00064185">
              <w:rPr>
                <w:b/>
                <w:bCs/>
              </w:rPr>
              <w:t>Parameter</w:t>
            </w:r>
          </w:p>
        </w:tc>
        <w:tc>
          <w:tcPr>
            <w:tcW w:w="1418" w:type="dxa"/>
            <w:vMerge w:val="restart"/>
            <w:vAlign w:val="center"/>
            <w:hideMark/>
          </w:tcPr>
          <w:p w14:paraId="4EFA4A14" w14:textId="77777777" w:rsidR="0012332D" w:rsidRPr="00064185" w:rsidRDefault="0012332D" w:rsidP="00EA61D8">
            <w:pPr>
              <w:keepNext/>
              <w:spacing w:before="60" w:after="60"/>
              <w:rPr>
                <w:b/>
                <w:bCs/>
              </w:rPr>
            </w:pPr>
            <w:r w:rsidRPr="00064185">
              <w:rPr>
                <w:b/>
                <w:bCs/>
              </w:rPr>
              <w:t>Definition</w:t>
            </w:r>
          </w:p>
        </w:tc>
        <w:tc>
          <w:tcPr>
            <w:tcW w:w="4889" w:type="dxa"/>
            <w:gridSpan w:val="2"/>
            <w:vAlign w:val="center"/>
            <w:hideMark/>
          </w:tcPr>
          <w:p w14:paraId="4D793219" w14:textId="0A632A54" w:rsidR="0012332D" w:rsidRPr="00064185" w:rsidRDefault="0012332D" w:rsidP="00EA61D8">
            <w:pPr>
              <w:tabs>
                <w:tab w:val="right" w:pos="1370"/>
              </w:tabs>
              <w:spacing w:before="60" w:after="60"/>
              <w:rPr>
                <w:bCs/>
              </w:rPr>
            </w:pPr>
            <w:r w:rsidRPr="00064185">
              <w:rPr>
                <w:b/>
                <w:bCs/>
              </w:rPr>
              <w:t>Indoor use</w:t>
            </w:r>
          </w:p>
        </w:tc>
      </w:tr>
      <w:tr w:rsidR="00064185" w:rsidRPr="00064185" w14:paraId="7FDD31EF" w14:textId="77777777" w:rsidTr="00064759">
        <w:trPr>
          <w:cantSplit/>
          <w:trHeight w:val="213"/>
        </w:trPr>
        <w:tc>
          <w:tcPr>
            <w:tcW w:w="3047" w:type="dxa"/>
            <w:vMerge/>
            <w:noWrap/>
            <w:vAlign w:val="center"/>
          </w:tcPr>
          <w:p w14:paraId="034CA43D" w14:textId="77777777" w:rsidR="00806032" w:rsidRPr="00064185" w:rsidRDefault="00806032" w:rsidP="00EA61D8">
            <w:pPr>
              <w:keepNext/>
              <w:spacing w:before="60" w:after="60"/>
              <w:rPr>
                <w:b/>
                <w:bCs/>
              </w:rPr>
            </w:pPr>
          </w:p>
        </w:tc>
        <w:tc>
          <w:tcPr>
            <w:tcW w:w="1418" w:type="dxa"/>
            <w:vMerge/>
            <w:vAlign w:val="center"/>
          </w:tcPr>
          <w:p w14:paraId="2E455FCC" w14:textId="77777777" w:rsidR="00806032" w:rsidRPr="00064185" w:rsidRDefault="00806032" w:rsidP="00EA61D8">
            <w:pPr>
              <w:keepNext/>
              <w:spacing w:before="60" w:after="60"/>
              <w:rPr>
                <w:b/>
                <w:bCs/>
              </w:rPr>
            </w:pPr>
          </w:p>
        </w:tc>
        <w:tc>
          <w:tcPr>
            <w:tcW w:w="2693" w:type="dxa"/>
            <w:vAlign w:val="center"/>
          </w:tcPr>
          <w:p w14:paraId="58F52322" w14:textId="624A87B9" w:rsidR="00806032" w:rsidRPr="00064185" w:rsidRDefault="00806032" w:rsidP="00EA61D8">
            <w:pPr>
              <w:tabs>
                <w:tab w:val="right" w:pos="1370"/>
              </w:tabs>
              <w:spacing w:before="60" w:after="60"/>
              <w:rPr>
                <w:b/>
                <w:bCs/>
              </w:rPr>
            </w:pPr>
            <w:r w:rsidRPr="00064185">
              <w:rPr>
                <w:b/>
                <w:bCs/>
              </w:rPr>
              <w:t>Silverfish &amp; Cockroaches</w:t>
            </w:r>
          </w:p>
        </w:tc>
        <w:tc>
          <w:tcPr>
            <w:tcW w:w="2196" w:type="dxa"/>
            <w:vAlign w:val="center"/>
          </w:tcPr>
          <w:p w14:paraId="63694505" w14:textId="77777777" w:rsidR="00806032" w:rsidRPr="00064185" w:rsidRDefault="00806032" w:rsidP="00EA61D8">
            <w:pPr>
              <w:tabs>
                <w:tab w:val="right" w:pos="1370"/>
              </w:tabs>
              <w:spacing w:before="60" w:after="60"/>
              <w:rPr>
                <w:b/>
                <w:bCs/>
              </w:rPr>
            </w:pPr>
            <w:r w:rsidRPr="00064185">
              <w:rPr>
                <w:b/>
                <w:bCs/>
              </w:rPr>
              <w:t>Wood lice</w:t>
            </w:r>
          </w:p>
          <w:p w14:paraId="0A5BD3E8" w14:textId="58A8EBC2" w:rsidR="00806032" w:rsidRPr="00064185" w:rsidRDefault="00806032" w:rsidP="00EA61D8">
            <w:pPr>
              <w:tabs>
                <w:tab w:val="right" w:pos="1370"/>
              </w:tabs>
              <w:spacing w:before="60" w:after="60"/>
              <w:rPr>
                <w:b/>
                <w:bCs/>
              </w:rPr>
            </w:pPr>
          </w:p>
        </w:tc>
      </w:tr>
      <w:tr w:rsidR="00064185" w:rsidRPr="00064185" w14:paraId="2DA3A3DB" w14:textId="77777777" w:rsidTr="00064759">
        <w:trPr>
          <w:cantSplit/>
          <w:trHeight w:val="580"/>
        </w:trPr>
        <w:tc>
          <w:tcPr>
            <w:tcW w:w="3047" w:type="dxa"/>
            <w:vAlign w:val="center"/>
            <w:hideMark/>
          </w:tcPr>
          <w:p w14:paraId="63D1A90A" w14:textId="77777777" w:rsidR="001E3E54" w:rsidRPr="00064185" w:rsidRDefault="001E3E54" w:rsidP="00EA61D8">
            <w:pPr>
              <w:pStyle w:val="Absatz"/>
              <w:keepNext/>
              <w:keepLines/>
              <w:spacing w:before="60" w:after="60"/>
              <w:ind w:left="0"/>
              <w:rPr>
                <w:rFonts w:ascii="Verdana" w:hAnsi="Verdana"/>
                <w:lang w:val="en-US"/>
              </w:rPr>
            </w:pPr>
            <w:r w:rsidRPr="00064185">
              <w:rPr>
                <w:rFonts w:ascii="Verdana" w:hAnsi="Verdana"/>
                <w:bCs/>
                <w:lang w:val="en-US"/>
              </w:rPr>
              <w:t>Cumulative concentration in untreated wastewater [µg/l]</w:t>
            </w:r>
          </w:p>
        </w:tc>
        <w:tc>
          <w:tcPr>
            <w:tcW w:w="1418" w:type="dxa"/>
            <w:vAlign w:val="center"/>
            <w:hideMark/>
          </w:tcPr>
          <w:p w14:paraId="7D4ED15A" w14:textId="77777777" w:rsidR="001E3E54" w:rsidRPr="00064185" w:rsidRDefault="001E3E54" w:rsidP="00EA61D8">
            <w:pPr>
              <w:pStyle w:val="Absatz"/>
              <w:keepNext/>
              <w:keepLines/>
              <w:spacing w:before="60" w:after="60"/>
              <w:ind w:left="0"/>
              <w:rPr>
                <w:rFonts w:ascii="Verdana" w:hAnsi="Verdana"/>
              </w:rPr>
            </w:pPr>
            <w:r w:rsidRPr="00064185">
              <w:rPr>
                <w:rFonts w:ascii="Verdana" w:hAnsi="Verdana"/>
              </w:rPr>
              <w:t>Clocal</w:t>
            </w:r>
            <w:r w:rsidRPr="00064185">
              <w:rPr>
                <w:rFonts w:ascii="Verdana" w:hAnsi="Verdana"/>
                <w:vertAlign w:val="subscript"/>
              </w:rPr>
              <w:t>inf</w:t>
            </w:r>
          </w:p>
        </w:tc>
        <w:tc>
          <w:tcPr>
            <w:tcW w:w="2693" w:type="dxa"/>
            <w:vAlign w:val="center"/>
            <w:hideMark/>
          </w:tcPr>
          <w:p w14:paraId="61DEAB79" w14:textId="06DF36AE" w:rsidR="001E3E54" w:rsidRPr="00064185" w:rsidRDefault="001E3E54" w:rsidP="00EA61D8">
            <w:pPr>
              <w:keepNext/>
              <w:keepLines/>
              <w:tabs>
                <w:tab w:val="right" w:pos="1370"/>
              </w:tabs>
              <w:spacing w:before="60" w:after="60"/>
            </w:pPr>
            <w:r w:rsidRPr="00064185">
              <w:t>3.34</w:t>
            </w:r>
          </w:p>
        </w:tc>
        <w:tc>
          <w:tcPr>
            <w:tcW w:w="2196" w:type="dxa"/>
            <w:vAlign w:val="center"/>
          </w:tcPr>
          <w:p w14:paraId="62C15340" w14:textId="33D78493" w:rsidR="001E3E54" w:rsidRPr="00064185" w:rsidRDefault="001E3E54" w:rsidP="00EA61D8">
            <w:pPr>
              <w:keepNext/>
              <w:keepLines/>
              <w:tabs>
                <w:tab w:val="right" w:pos="1370"/>
              </w:tabs>
              <w:spacing w:before="60" w:after="60"/>
            </w:pPr>
            <w:r w:rsidRPr="00064185">
              <w:t>0.34</w:t>
            </w:r>
          </w:p>
        </w:tc>
      </w:tr>
      <w:tr w:rsidR="00064185" w:rsidRPr="00064185" w14:paraId="7C1E8F38" w14:textId="77777777" w:rsidTr="00064759">
        <w:trPr>
          <w:cantSplit/>
          <w:trHeight w:val="580"/>
        </w:trPr>
        <w:tc>
          <w:tcPr>
            <w:tcW w:w="3047" w:type="dxa"/>
            <w:vAlign w:val="center"/>
            <w:hideMark/>
          </w:tcPr>
          <w:p w14:paraId="79D1C7B8"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Fraction of emission directed to water by STP [-]</w:t>
            </w:r>
          </w:p>
        </w:tc>
        <w:tc>
          <w:tcPr>
            <w:tcW w:w="1418" w:type="dxa"/>
            <w:vAlign w:val="center"/>
            <w:hideMark/>
          </w:tcPr>
          <w:p w14:paraId="7FE7E2C3"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Fstp</w:t>
            </w:r>
            <w:r w:rsidRPr="00064185">
              <w:rPr>
                <w:rFonts w:ascii="Verdana" w:hAnsi="Verdana"/>
                <w:vertAlign w:val="subscript"/>
              </w:rPr>
              <w:t>water</w:t>
            </w:r>
          </w:p>
        </w:tc>
        <w:tc>
          <w:tcPr>
            <w:tcW w:w="4889" w:type="dxa"/>
            <w:gridSpan w:val="2"/>
            <w:vAlign w:val="center"/>
            <w:hideMark/>
          </w:tcPr>
          <w:p w14:paraId="7DF35C08"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0.0912</w:t>
            </w:r>
          </w:p>
        </w:tc>
      </w:tr>
      <w:tr w:rsidR="001E3E54" w:rsidRPr="00064185" w14:paraId="217E94F9" w14:textId="77777777" w:rsidTr="00064759">
        <w:trPr>
          <w:cantSplit/>
          <w:trHeight w:val="580"/>
        </w:trPr>
        <w:tc>
          <w:tcPr>
            <w:tcW w:w="3047" w:type="dxa"/>
            <w:vAlign w:val="center"/>
            <w:hideMark/>
          </w:tcPr>
          <w:p w14:paraId="3B696256" w14:textId="77777777" w:rsidR="001E3E54" w:rsidRPr="00064185" w:rsidRDefault="001E3E54" w:rsidP="00EA61D8">
            <w:pPr>
              <w:pStyle w:val="Absatz"/>
              <w:keepNext/>
              <w:keepLines/>
              <w:spacing w:before="60" w:after="60"/>
              <w:ind w:left="0"/>
              <w:rPr>
                <w:rFonts w:ascii="Verdana" w:hAnsi="Verdana"/>
                <w:b/>
              </w:rPr>
            </w:pPr>
            <w:r w:rsidRPr="00064185">
              <w:rPr>
                <w:rFonts w:ascii="Verdana" w:hAnsi="Verdana"/>
                <w:b/>
              </w:rPr>
              <w:t xml:space="preserve">Concentration of substance in the STP effluent </w:t>
            </w:r>
            <w:r w:rsidRPr="00064185">
              <w:rPr>
                <w:rFonts w:ascii="Verdana" w:hAnsi="Verdana"/>
                <w:b/>
                <w:bCs/>
              </w:rPr>
              <w:t>[µg/l]</w:t>
            </w:r>
          </w:p>
        </w:tc>
        <w:tc>
          <w:tcPr>
            <w:tcW w:w="1418" w:type="dxa"/>
            <w:vAlign w:val="center"/>
            <w:hideMark/>
          </w:tcPr>
          <w:p w14:paraId="54EE54FB" w14:textId="77777777" w:rsidR="001E3E54" w:rsidRPr="00064185" w:rsidRDefault="001E3E54" w:rsidP="00EA61D8">
            <w:pPr>
              <w:pStyle w:val="Absatz"/>
              <w:keepNext/>
              <w:keepLines/>
              <w:spacing w:before="60" w:after="60"/>
              <w:ind w:left="0"/>
              <w:rPr>
                <w:rFonts w:ascii="Verdana" w:hAnsi="Verdana"/>
                <w:b/>
              </w:rPr>
            </w:pPr>
            <w:r w:rsidRPr="00064185">
              <w:rPr>
                <w:rFonts w:ascii="Verdana" w:hAnsi="Verdana"/>
                <w:b/>
              </w:rPr>
              <w:t>Clocal</w:t>
            </w:r>
            <w:r w:rsidRPr="00064185">
              <w:rPr>
                <w:rFonts w:ascii="Verdana" w:hAnsi="Verdana"/>
                <w:b/>
                <w:vertAlign w:val="subscript"/>
              </w:rPr>
              <w:t>eff</w:t>
            </w:r>
            <w:r w:rsidRPr="00064185">
              <w:rPr>
                <w:rFonts w:ascii="Verdana" w:hAnsi="Verdana"/>
                <w:b/>
              </w:rPr>
              <w:t xml:space="preserve"> = </w:t>
            </w:r>
          </w:p>
          <w:p w14:paraId="563F15EC" w14:textId="77777777" w:rsidR="001E3E54" w:rsidRPr="00064185" w:rsidRDefault="001E3E54" w:rsidP="00EA61D8">
            <w:pPr>
              <w:pStyle w:val="Absatz"/>
              <w:keepNext/>
              <w:keepLines/>
              <w:spacing w:before="60" w:after="60"/>
              <w:ind w:left="0"/>
              <w:rPr>
                <w:rFonts w:ascii="Verdana" w:hAnsi="Verdana"/>
                <w:b/>
              </w:rPr>
            </w:pPr>
            <w:r w:rsidRPr="00064185">
              <w:rPr>
                <w:rFonts w:ascii="Verdana" w:hAnsi="Verdana"/>
                <w:b/>
              </w:rPr>
              <w:t>Clocal</w:t>
            </w:r>
            <w:r w:rsidRPr="00064185">
              <w:rPr>
                <w:rFonts w:ascii="Verdana" w:hAnsi="Verdana"/>
                <w:b/>
                <w:vertAlign w:val="subscript"/>
              </w:rPr>
              <w:t xml:space="preserve">inf </w:t>
            </w:r>
            <w:r w:rsidRPr="00064185">
              <w:rPr>
                <w:rFonts w:ascii="Verdana" w:hAnsi="Verdana"/>
                <w:b/>
              </w:rPr>
              <w:t>x Fstp</w:t>
            </w:r>
            <w:r w:rsidRPr="00064185">
              <w:rPr>
                <w:rFonts w:ascii="Verdana" w:hAnsi="Verdana"/>
                <w:b/>
                <w:vertAlign w:val="subscript"/>
              </w:rPr>
              <w:t>water</w:t>
            </w:r>
          </w:p>
        </w:tc>
        <w:tc>
          <w:tcPr>
            <w:tcW w:w="2693" w:type="dxa"/>
            <w:vAlign w:val="center"/>
            <w:hideMark/>
          </w:tcPr>
          <w:p w14:paraId="18D39156" w14:textId="120D85BC" w:rsidR="001E3E54" w:rsidRPr="00064185" w:rsidRDefault="001E3E54" w:rsidP="00EA61D8">
            <w:pPr>
              <w:tabs>
                <w:tab w:val="right" w:pos="1370"/>
              </w:tabs>
              <w:spacing w:before="60" w:after="60"/>
              <w:rPr>
                <w:b/>
              </w:rPr>
            </w:pPr>
            <w:r w:rsidRPr="00064185">
              <w:rPr>
                <w:b/>
              </w:rPr>
              <w:t>0.30</w:t>
            </w:r>
          </w:p>
        </w:tc>
        <w:tc>
          <w:tcPr>
            <w:tcW w:w="2196" w:type="dxa"/>
            <w:vAlign w:val="center"/>
          </w:tcPr>
          <w:p w14:paraId="200CAE11" w14:textId="6EE01719" w:rsidR="001E3E54" w:rsidRPr="00064185" w:rsidRDefault="001E3E54" w:rsidP="00EA61D8">
            <w:pPr>
              <w:tabs>
                <w:tab w:val="right" w:pos="1370"/>
              </w:tabs>
              <w:spacing w:before="60" w:after="60"/>
              <w:rPr>
                <w:b/>
              </w:rPr>
            </w:pPr>
            <w:r w:rsidRPr="00064185">
              <w:rPr>
                <w:b/>
              </w:rPr>
              <w:t>3.10E-2</w:t>
            </w:r>
          </w:p>
        </w:tc>
      </w:tr>
    </w:tbl>
    <w:p w14:paraId="121746FF" w14:textId="77777777" w:rsidR="00FA2E2A" w:rsidRPr="00064185" w:rsidRDefault="00FA2E2A" w:rsidP="00EA61D8">
      <w:pPr>
        <w:rPr>
          <w:szCs w:val="22"/>
        </w:rPr>
      </w:pPr>
    </w:p>
    <w:p w14:paraId="49491EF5" w14:textId="77777777" w:rsidR="000A229F" w:rsidRPr="00064185" w:rsidRDefault="000A229F" w:rsidP="006A7704">
      <w:pPr>
        <w:jc w:val="both"/>
        <w:rPr>
          <w:szCs w:val="22"/>
        </w:rPr>
      </w:pPr>
      <w:r w:rsidRPr="00064185">
        <w:rPr>
          <w:szCs w:val="22"/>
        </w:rPr>
        <w:t>The parameter Clocal</w:t>
      </w:r>
      <w:r w:rsidRPr="00064185">
        <w:rPr>
          <w:szCs w:val="22"/>
          <w:vertAlign w:val="subscript"/>
        </w:rPr>
        <w:t>eff</w:t>
      </w:r>
      <w:r w:rsidRPr="00064185">
        <w:rPr>
          <w:szCs w:val="22"/>
        </w:rPr>
        <w:t xml:space="preserve"> can be regarded as the PEC</w:t>
      </w:r>
      <w:r w:rsidRPr="00064185">
        <w:rPr>
          <w:szCs w:val="22"/>
          <w:vertAlign w:val="subscript"/>
        </w:rPr>
        <w:t>STP</w:t>
      </w:r>
      <w:r w:rsidRPr="00064185">
        <w:rPr>
          <w:szCs w:val="22"/>
        </w:rPr>
        <w:t xml:space="preserve"> of </w:t>
      </w:r>
      <w:r w:rsidRPr="00064185">
        <w:rPr>
          <w:i/>
          <w:szCs w:val="22"/>
        </w:rPr>
        <w:t>lambda</w:t>
      </w:r>
      <w:r w:rsidRPr="00064185">
        <w:rPr>
          <w:szCs w:val="22"/>
        </w:rPr>
        <w:t>-cyhalothrin (</w:t>
      </w:r>
      <w:r w:rsidRPr="00064185">
        <w:rPr>
          <w:i/>
          <w:iCs/>
          <w:szCs w:val="22"/>
        </w:rPr>
        <w:t>cf</w:t>
      </w:r>
      <w:r w:rsidRPr="00064185">
        <w:rPr>
          <w:szCs w:val="22"/>
        </w:rPr>
        <w:t>. TGD, 2003, Equation 38), under the prerequisite that only the dissolved concentration is bioavailable, i.e., it is the actual concentration to which the microorganisms in a sewage treatment plant are exposed to.</w:t>
      </w:r>
    </w:p>
    <w:p w14:paraId="1535835C" w14:textId="77777777" w:rsidR="000A229F" w:rsidRPr="00064185" w:rsidRDefault="000A229F" w:rsidP="006A7704">
      <w:pPr>
        <w:tabs>
          <w:tab w:val="left" w:pos="720"/>
          <w:tab w:val="left" w:pos="1440"/>
          <w:tab w:val="left" w:pos="1560"/>
          <w:tab w:val="left" w:pos="1985"/>
          <w:tab w:val="right" w:pos="7921"/>
        </w:tabs>
        <w:jc w:val="both"/>
        <w:rPr>
          <w:szCs w:val="22"/>
        </w:rPr>
      </w:pPr>
    </w:p>
    <w:p w14:paraId="364792FD" w14:textId="77777777" w:rsidR="00553F05" w:rsidRPr="00064185" w:rsidRDefault="00553F05" w:rsidP="00EA61D8">
      <w:pPr>
        <w:rPr>
          <w:rFonts w:eastAsia="Calibri"/>
          <w:b/>
          <w:i/>
          <w:sz w:val="22"/>
          <w:u w:val="single"/>
          <w:lang w:eastAsia="en-US"/>
        </w:rPr>
      </w:pPr>
      <w:bookmarkStart w:id="1805" w:name="_Toc119904935"/>
      <w:bookmarkStart w:id="1806" w:name="_Ref137624014"/>
      <w:bookmarkStart w:id="1807" w:name="_Ref137892522"/>
      <w:bookmarkStart w:id="1808" w:name="_Ref166893758"/>
      <w:bookmarkStart w:id="1809" w:name="_Ref166904796"/>
    </w:p>
    <w:p w14:paraId="40FD188B" w14:textId="77777777" w:rsidR="000A229F" w:rsidRPr="00064185" w:rsidRDefault="000A229F" w:rsidP="00EA61D8">
      <w:pPr>
        <w:rPr>
          <w:rFonts w:eastAsia="Calibri"/>
          <w:b/>
          <w:i/>
          <w:sz w:val="22"/>
          <w:u w:val="single"/>
          <w:lang w:eastAsia="en-US"/>
        </w:rPr>
      </w:pPr>
      <w:r w:rsidRPr="00064185">
        <w:rPr>
          <w:rFonts w:eastAsia="Calibri"/>
          <w:b/>
          <w:i/>
          <w:sz w:val="22"/>
          <w:u w:val="single"/>
          <w:lang w:eastAsia="en-US"/>
        </w:rPr>
        <w:t>PEC for Surface Water</w:t>
      </w:r>
      <w:bookmarkEnd w:id="1805"/>
      <w:bookmarkEnd w:id="1806"/>
      <w:bookmarkEnd w:id="1807"/>
      <w:bookmarkEnd w:id="1808"/>
      <w:bookmarkEnd w:id="1809"/>
    </w:p>
    <w:p w14:paraId="53679AA4" w14:textId="77777777" w:rsidR="00C6445A" w:rsidRPr="00064185" w:rsidRDefault="00C6445A" w:rsidP="00EA61D8">
      <w:bookmarkStart w:id="1810" w:name="_Ref166902413"/>
    </w:p>
    <w:p w14:paraId="48A36835" w14:textId="77777777" w:rsidR="000A229F" w:rsidRPr="00064185" w:rsidRDefault="000A229F" w:rsidP="006A7704">
      <w:pPr>
        <w:jc w:val="both"/>
      </w:pPr>
      <w:r w:rsidRPr="00064185">
        <w:t xml:space="preserve">The effluent of the sewage treatment plant is diluted into the surface water. For the calculation of Predicted Environmental Concentrations for this compartment complete mixing of the effluent in surface water is assumed. Because of the short distance between the point of effluent discharge and the exposure location, volatilisation, degradation and sedimentation are ignored. </w:t>
      </w:r>
    </w:p>
    <w:p w14:paraId="3FE19FAE" w14:textId="11092D37" w:rsidR="000A229F" w:rsidRPr="00064185" w:rsidRDefault="000A229F" w:rsidP="006A7704">
      <w:pPr>
        <w:jc w:val="both"/>
        <w:rPr>
          <w:iCs/>
        </w:rPr>
      </w:pPr>
      <w:r w:rsidRPr="00064185">
        <w:rPr>
          <w:iCs/>
        </w:rPr>
        <w:t xml:space="preserve">As summarised in </w:t>
      </w:r>
      <w:r w:rsidR="004A6B19" w:rsidRPr="00064185">
        <w:rPr>
          <w:iCs/>
        </w:rPr>
        <w:t>chapter 2.1.4</w:t>
      </w:r>
      <w:r w:rsidRPr="00064185">
        <w:rPr>
          <w:iCs/>
        </w:rPr>
        <w:t>, K</w:t>
      </w:r>
      <w:r w:rsidR="000744C6" w:rsidRPr="00064185">
        <w:rPr>
          <w:iCs/>
          <w:vertAlign w:val="subscript"/>
        </w:rPr>
        <w:t>oc</w:t>
      </w:r>
      <w:r w:rsidRPr="00064185">
        <w:rPr>
          <w:iCs/>
        </w:rPr>
        <w:t xml:space="preserve"> values determined for different test concentrations in nine soils and five sediments varied </w:t>
      </w:r>
      <w:r w:rsidR="008D4573" w:rsidRPr="00064185">
        <w:rPr>
          <w:iCs/>
        </w:rPr>
        <w:t>between 70100 ml/g and 724000 mL</w:t>
      </w:r>
      <w:r w:rsidRPr="00064185">
        <w:rPr>
          <w:iCs/>
        </w:rPr>
        <w:t>/g (n=14). In the CA report it is suggested to take the lower value for calculating the PEC</w:t>
      </w:r>
      <w:r w:rsidRPr="00064185">
        <w:rPr>
          <w:iCs/>
          <w:vertAlign w:val="subscript"/>
        </w:rPr>
        <w:t>sw</w:t>
      </w:r>
      <w:r w:rsidR="008D4573" w:rsidRPr="00064185">
        <w:rPr>
          <w:iCs/>
        </w:rPr>
        <w:t xml:space="preserve"> (70100 mL</w:t>
      </w:r>
      <w:r w:rsidRPr="00064185">
        <w:rPr>
          <w:iCs/>
        </w:rPr>
        <w:t xml:space="preserve">/g). </w:t>
      </w:r>
    </w:p>
    <w:tbl>
      <w:tblPr>
        <w:tblpPr w:leftFromText="141" w:rightFromText="141" w:vertAnchor="text" w:horzAnchor="margin" w:tblpY="13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8"/>
        <w:gridCol w:w="3586"/>
        <w:gridCol w:w="1720"/>
      </w:tblGrid>
      <w:tr w:rsidR="00064185" w:rsidRPr="00064185" w14:paraId="31D036AE" w14:textId="77777777" w:rsidTr="00F50A01">
        <w:trPr>
          <w:trHeight w:val="471"/>
        </w:trPr>
        <w:tc>
          <w:tcPr>
            <w:tcW w:w="5000" w:type="pct"/>
            <w:gridSpan w:val="3"/>
            <w:shd w:val="clear" w:color="auto" w:fill="FFFFCC"/>
            <w:noWrap/>
            <w:vAlign w:val="center"/>
          </w:tcPr>
          <w:p w14:paraId="533BA25A" w14:textId="77777777" w:rsidR="00F50A01" w:rsidRPr="00064185" w:rsidRDefault="00F50A01" w:rsidP="00EA61D8">
            <w:pPr>
              <w:keepNext/>
              <w:keepLines/>
              <w:spacing w:before="60" w:after="60"/>
              <w:rPr>
                <w:b/>
                <w:bCs/>
              </w:rPr>
            </w:pPr>
            <w:r w:rsidRPr="00064185">
              <w:rPr>
                <w:b/>
              </w:rPr>
              <w:t>Calculation of the partition coefficient solid-water in suspended matter (</w:t>
            </w:r>
            <w:r w:rsidRPr="00064185">
              <w:rPr>
                <w:b/>
                <w:i/>
              </w:rPr>
              <w:t>cf.</w:t>
            </w:r>
            <w:r w:rsidRPr="00064185">
              <w:rPr>
                <w:b/>
              </w:rPr>
              <w:t xml:space="preserve"> TGD, 2003, Equation 23)</w:t>
            </w:r>
          </w:p>
        </w:tc>
      </w:tr>
      <w:tr w:rsidR="00064185" w:rsidRPr="00064185" w14:paraId="5BF809CD" w14:textId="77777777" w:rsidTr="00F50A01">
        <w:trPr>
          <w:trHeight w:val="471"/>
        </w:trPr>
        <w:tc>
          <w:tcPr>
            <w:tcW w:w="2168" w:type="pct"/>
            <w:noWrap/>
            <w:vAlign w:val="center"/>
            <w:hideMark/>
          </w:tcPr>
          <w:p w14:paraId="1BCE7ED7" w14:textId="77777777" w:rsidR="00F50A01" w:rsidRPr="00064185" w:rsidRDefault="00F50A01" w:rsidP="00EA61D8">
            <w:pPr>
              <w:keepNext/>
              <w:keepLines/>
              <w:spacing w:before="60" w:after="60"/>
              <w:rPr>
                <w:rFonts w:ascii="Arial" w:hAnsi="Arial" w:cs="Arial"/>
              </w:rPr>
            </w:pPr>
            <w:r w:rsidRPr="00064185">
              <w:rPr>
                <w:b/>
                <w:bCs/>
              </w:rPr>
              <w:t>Parameter</w:t>
            </w:r>
          </w:p>
        </w:tc>
        <w:tc>
          <w:tcPr>
            <w:tcW w:w="1919" w:type="pct"/>
            <w:vAlign w:val="center"/>
            <w:hideMark/>
          </w:tcPr>
          <w:p w14:paraId="5BE4B879" w14:textId="77777777" w:rsidR="00F50A01" w:rsidRPr="00064185" w:rsidRDefault="00F50A01" w:rsidP="00EA61D8">
            <w:pPr>
              <w:keepNext/>
              <w:keepLines/>
              <w:spacing w:before="60" w:after="60"/>
              <w:rPr>
                <w:b/>
                <w:bCs/>
              </w:rPr>
            </w:pPr>
            <w:r w:rsidRPr="00064185">
              <w:rPr>
                <w:b/>
                <w:bCs/>
              </w:rPr>
              <w:t>Definition</w:t>
            </w:r>
          </w:p>
        </w:tc>
        <w:tc>
          <w:tcPr>
            <w:tcW w:w="913" w:type="pct"/>
            <w:vAlign w:val="center"/>
            <w:hideMark/>
          </w:tcPr>
          <w:p w14:paraId="7085E6E6" w14:textId="77777777" w:rsidR="00F50A01" w:rsidRPr="00064185" w:rsidRDefault="00F50A01" w:rsidP="00EA61D8">
            <w:pPr>
              <w:keepNext/>
              <w:keepLines/>
              <w:spacing w:before="60" w:after="60"/>
              <w:rPr>
                <w:bCs/>
              </w:rPr>
            </w:pPr>
            <w:r w:rsidRPr="00064185">
              <w:rPr>
                <w:b/>
                <w:bCs/>
              </w:rPr>
              <w:t>Value</w:t>
            </w:r>
          </w:p>
        </w:tc>
      </w:tr>
      <w:tr w:rsidR="00064185" w:rsidRPr="00064185" w14:paraId="329BCE36" w14:textId="77777777" w:rsidTr="00F50A01">
        <w:trPr>
          <w:trHeight w:val="472"/>
        </w:trPr>
        <w:tc>
          <w:tcPr>
            <w:tcW w:w="2168" w:type="pct"/>
            <w:vAlign w:val="center"/>
            <w:hideMark/>
          </w:tcPr>
          <w:p w14:paraId="559CEE3D" w14:textId="77777777" w:rsidR="00F50A01" w:rsidRPr="00064185" w:rsidRDefault="00F50A01" w:rsidP="00EA61D8">
            <w:pPr>
              <w:keepNext/>
              <w:keepLines/>
              <w:spacing w:before="60" w:after="60"/>
              <w:rPr>
                <w:bCs/>
              </w:rPr>
            </w:pPr>
            <w:r w:rsidRPr="00064185">
              <w:t xml:space="preserve">Weight fraction organic carbon in susp. solids </w:t>
            </w:r>
            <w:r w:rsidRPr="00064185">
              <w:rPr>
                <w:bCs/>
              </w:rPr>
              <w:t>[kg/kg]</w:t>
            </w:r>
          </w:p>
        </w:tc>
        <w:tc>
          <w:tcPr>
            <w:tcW w:w="1919" w:type="pct"/>
            <w:vAlign w:val="center"/>
            <w:hideMark/>
          </w:tcPr>
          <w:p w14:paraId="006C822A" w14:textId="77777777" w:rsidR="00F50A01" w:rsidRPr="00064185" w:rsidRDefault="00F50A01" w:rsidP="00EA61D8">
            <w:pPr>
              <w:keepNext/>
              <w:keepLines/>
              <w:spacing w:before="60" w:after="60"/>
              <w:rPr>
                <w:bCs/>
              </w:rPr>
            </w:pPr>
            <w:r w:rsidRPr="00064185">
              <w:t>Foc</w:t>
            </w:r>
            <w:r w:rsidRPr="00064185">
              <w:rPr>
                <w:vertAlign w:val="subscript"/>
              </w:rPr>
              <w:t>susp</w:t>
            </w:r>
          </w:p>
        </w:tc>
        <w:tc>
          <w:tcPr>
            <w:tcW w:w="913" w:type="pct"/>
            <w:vAlign w:val="center"/>
            <w:hideMark/>
          </w:tcPr>
          <w:p w14:paraId="5DCA3D3A" w14:textId="77777777" w:rsidR="00F50A01" w:rsidRPr="00064185" w:rsidRDefault="00F50A01" w:rsidP="00EA61D8">
            <w:pPr>
              <w:keepNext/>
              <w:keepLines/>
              <w:tabs>
                <w:tab w:val="right" w:pos="1295"/>
              </w:tabs>
              <w:spacing w:before="60" w:after="60"/>
            </w:pPr>
            <w:r w:rsidRPr="00064185">
              <w:t>0.1</w:t>
            </w:r>
          </w:p>
        </w:tc>
      </w:tr>
      <w:tr w:rsidR="00064185" w:rsidRPr="00064185" w14:paraId="6F982876" w14:textId="77777777" w:rsidTr="00F50A01">
        <w:trPr>
          <w:trHeight w:val="420"/>
        </w:trPr>
        <w:tc>
          <w:tcPr>
            <w:tcW w:w="2168" w:type="pct"/>
            <w:vAlign w:val="center"/>
            <w:hideMark/>
          </w:tcPr>
          <w:p w14:paraId="1E42C164" w14:textId="40425816" w:rsidR="00F50A01" w:rsidRPr="00064185" w:rsidRDefault="00F50A01" w:rsidP="00EA61D8">
            <w:pPr>
              <w:keepNext/>
              <w:keepLines/>
              <w:tabs>
                <w:tab w:val="left" w:pos="720"/>
                <w:tab w:val="left" w:pos="2127"/>
                <w:tab w:val="left" w:pos="2552"/>
                <w:tab w:val="left" w:pos="7371"/>
                <w:tab w:val="right" w:pos="7921"/>
              </w:tabs>
              <w:spacing w:before="60" w:after="60"/>
            </w:pPr>
            <w:r w:rsidRPr="00064185">
              <w:t xml:space="preserve">Partition coefficient organic carbon-water </w:t>
            </w:r>
            <w:r w:rsidR="008D4573" w:rsidRPr="00064185">
              <w:rPr>
                <w:bCs/>
              </w:rPr>
              <w:t>[L</w:t>
            </w:r>
            <w:r w:rsidRPr="00064185">
              <w:rPr>
                <w:bCs/>
              </w:rPr>
              <w:t>/kg]</w:t>
            </w:r>
          </w:p>
        </w:tc>
        <w:tc>
          <w:tcPr>
            <w:tcW w:w="1919" w:type="pct"/>
            <w:vAlign w:val="center"/>
            <w:hideMark/>
          </w:tcPr>
          <w:p w14:paraId="0201CFA8" w14:textId="77777777" w:rsidR="00F50A01" w:rsidRPr="00064185" w:rsidRDefault="00F50A01" w:rsidP="00EA61D8">
            <w:pPr>
              <w:keepNext/>
              <w:keepLines/>
              <w:spacing w:before="60" w:after="60"/>
              <w:rPr>
                <w:bCs/>
              </w:rPr>
            </w:pPr>
            <w:r w:rsidRPr="00064185">
              <w:t>K</w:t>
            </w:r>
            <w:r w:rsidRPr="00064185">
              <w:rPr>
                <w:vertAlign w:val="subscript"/>
              </w:rPr>
              <w:t>OC</w:t>
            </w:r>
          </w:p>
        </w:tc>
        <w:tc>
          <w:tcPr>
            <w:tcW w:w="913" w:type="pct"/>
            <w:vAlign w:val="center"/>
            <w:hideMark/>
          </w:tcPr>
          <w:p w14:paraId="1A880799" w14:textId="77777777" w:rsidR="00F50A01" w:rsidRPr="00064185" w:rsidRDefault="00F50A01" w:rsidP="00EA61D8">
            <w:pPr>
              <w:keepNext/>
              <w:keepLines/>
              <w:tabs>
                <w:tab w:val="right" w:pos="1295"/>
              </w:tabs>
              <w:spacing w:before="60" w:after="60"/>
            </w:pPr>
            <w:r w:rsidRPr="00064185">
              <w:t>70100</w:t>
            </w:r>
          </w:p>
        </w:tc>
      </w:tr>
      <w:tr w:rsidR="00064185" w:rsidRPr="00064185" w14:paraId="0B4C8660" w14:textId="77777777" w:rsidTr="00F50A01">
        <w:trPr>
          <w:trHeight w:val="460"/>
        </w:trPr>
        <w:tc>
          <w:tcPr>
            <w:tcW w:w="2168" w:type="pct"/>
            <w:vAlign w:val="center"/>
            <w:hideMark/>
          </w:tcPr>
          <w:p w14:paraId="3B552A55" w14:textId="77777777" w:rsidR="00F50A01" w:rsidRPr="00064185" w:rsidRDefault="00F50A01" w:rsidP="00EA61D8">
            <w:pPr>
              <w:keepNext/>
              <w:keepLines/>
              <w:tabs>
                <w:tab w:val="left" w:pos="720"/>
                <w:tab w:val="left" w:pos="1800"/>
                <w:tab w:val="left" w:pos="2160"/>
                <w:tab w:val="left" w:pos="2552"/>
                <w:tab w:val="left" w:pos="7513"/>
                <w:tab w:val="left" w:pos="8505"/>
              </w:tabs>
              <w:spacing w:before="60" w:after="60"/>
              <w:rPr>
                <w:b/>
              </w:rPr>
            </w:pPr>
            <w:r w:rsidRPr="00064185">
              <w:rPr>
                <w:b/>
              </w:rPr>
              <w:t xml:space="preserve">Partition coefficient solid-water in suspended matter </w:t>
            </w:r>
            <w:r w:rsidRPr="00064185">
              <w:rPr>
                <w:b/>
                <w:bCs/>
              </w:rPr>
              <w:t>[l/kg]</w:t>
            </w:r>
          </w:p>
        </w:tc>
        <w:tc>
          <w:tcPr>
            <w:tcW w:w="1919" w:type="pct"/>
            <w:vAlign w:val="center"/>
            <w:hideMark/>
          </w:tcPr>
          <w:p w14:paraId="4D45D545" w14:textId="77777777" w:rsidR="00F50A01" w:rsidRPr="00064185" w:rsidRDefault="00F50A01" w:rsidP="00EA61D8">
            <w:pPr>
              <w:pStyle w:val="Textkrper"/>
              <w:keepNext/>
              <w:keepLines/>
              <w:spacing w:before="60" w:after="60"/>
              <w:rPr>
                <w:b/>
                <w:bCs/>
                <w:i/>
                <w:iCs/>
                <w:vertAlign w:val="subscript"/>
              </w:rPr>
            </w:pPr>
            <w:r w:rsidRPr="00064185">
              <w:rPr>
                <w:b/>
                <w:bCs/>
                <w:i/>
                <w:iCs/>
                <w:szCs w:val="22"/>
              </w:rPr>
              <w:t>Kp</w:t>
            </w:r>
            <w:r w:rsidRPr="00064185">
              <w:rPr>
                <w:b/>
                <w:bCs/>
                <w:i/>
                <w:iCs/>
                <w:szCs w:val="22"/>
                <w:vertAlign w:val="subscript"/>
              </w:rPr>
              <w:t>susp</w:t>
            </w:r>
            <w:r w:rsidRPr="00064185">
              <w:rPr>
                <w:b/>
                <w:bCs/>
                <w:i/>
                <w:iCs/>
                <w:szCs w:val="22"/>
              </w:rPr>
              <w:t xml:space="preserve"> = Foc</w:t>
            </w:r>
            <w:r w:rsidRPr="00064185">
              <w:rPr>
                <w:b/>
                <w:bCs/>
                <w:i/>
                <w:iCs/>
                <w:szCs w:val="22"/>
                <w:vertAlign w:val="subscript"/>
              </w:rPr>
              <w:t>susp</w:t>
            </w:r>
            <w:r w:rsidRPr="00064185">
              <w:rPr>
                <w:b/>
                <w:bCs/>
                <w:i/>
                <w:iCs/>
                <w:szCs w:val="22"/>
              </w:rPr>
              <w:t xml:space="preserve"> x K</w:t>
            </w:r>
            <w:r w:rsidRPr="00064185">
              <w:rPr>
                <w:b/>
                <w:bCs/>
                <w:i/>
                <w:iCs/>
                <w:szCs w:val="22"/>
                <w:vertAlign w:val="subscript"/>
              </w:rPr>
              <w:t>OC</w:t>
            </w:r>
          </w:p>
        </w:tc>
        <w:tc>
          <w:tcPr>
            <w:tcW w:w="913" w:type="pct"/>
            <w:vAlign w:val="center"/>
            <w:hideMark/>
          </w:tcPr>
          <w:p w14:paraId="0B13A278" w14:textId="77777777" w:rsidR="00F50A01" w:rsidRPr="00064185" w:rsidRDefault="00F50A01" w:rsidP="00EA61D8">
            <w:pPr>
              <w:keepNext/>
              <w:keepLines/>
              <w:tabs>
                <w:tab w:val="right" w:pos="1370"/>
              </w:tabs>
              <w:spacing w:before="60" w:after="60"/>
              <w:rPr>
                <w:b/>
              </w:rPr>
            </w:pPr>
            <w:r w:rsidRPr="00064185">
              <w:rPr>
                <w:b/>
              </w:rPr>
              <w:t>7010</w:t>
            </w:r>
          </w:p>
        </w:tc>
      </w:tr>
    </w:tbl>
    <w:p w14:paraId="4DB7BBAA" w14:textId="11979637" w:rsidR="000A229F" w:rsidRPr="00064185" w:rsidRDefault="000A229F" w:rsidP="006A7704">
      <w:pPr>
        <w:jc w:val="both"/>
      </w:pPr>
      <w:r w:rsidRPr="00064185">
        <w:t>In order to assess the adsorption to suspended matter, the solid-water partition coefficient (Kp</w:t>
      </w:r>
      <w:r w:rsidRPr="00064185">
        <w:rPr>
          <w:vertAlign w:val="subscript"/>
        </w:rPr>
        <w:t>susp</w:t>
      </w:r>
      <w:r w:rsidRPr="00064185">
        <w:t>) is calculated from the K</w:t>
      </w:r>
      <w:r w:rsidRPr="00064185">
        <w:rPr>
          <w:vertAlign w:val="subscript"/>
        </w:rPr>
        <w:t>OC</w:t>
      </w:r>
      <w:r w:rsidRPr="00064185">
        <w:t xml:space="preserve"> value. A default value of 0.1 kg/kg for Foc</w:t>
      </w:r>
      <w:r w:rsidRPr="00064185">
        <w:rPr>
          <w:vertAlign w:val="subscript"/>
        </w:rPr>
        <w:t>susp</w:t>
      </w:r>
      <w:r w:rsidRPr="00064185">
        <w:t xml:space="preserve"> (according to the TGD, 2003, Chapter 3, Table 5) and a K</w:t>
      </w:r>
      <w:r w:rsidR="000744C6" w:rsidRPr="00064185">
        <w:rPr>
          <w:vertAlign w:val="subscript"/>
        </w:rPr>
        <w:t>oc</w:t>
      </w:r>
      <w:r w:rsidR="008D4573" w:rsidRPr="00064185">
        <w:t xml:space="preserve"> value of 70100 L</w:t>
      </w:r>
      <w:r w:rsidRPr="00064185">
        <w:t xml:space="preserve">/kg (see above) are used for the calculation. </w:t>
      </w:r>
    </w:p>
    <w:p w14:paraId="6CF92FAB" w14:textId="629B14FF" w:rsidR="000A229F" w:rsidRPr="00064185" w:rsidRDefault="000A229F" w:rsidP="00EA61D8"/>
    <w:p w14:paraId="4C3D315A" w14:textId="77777777" w:rsidR="00F50A01" w:rsidRPr="00064185" w:rsidRDefault="00F50A01" w:rsidP="00EA61D8"/>
    <w:p w14:paraId="2EA6A53D" w14:textId="7BBE8AC5" w:rsidR="000A229F" w:rsidRPr="00064185" w:rsidRDefault="000A229F" w:rsidP="006A7704">
      <w:pPr>
        <w:jc w:val="both"/>
      </w:pPr>
      <w:r w:rsidRPr="00064185">
        <w:lastRenderedPageBreak/>
        <w:t>The resulting Kp</w:t>
      </w:r>
      <w:r w:rsidRPr="00064185">
        <w:rPr>
          <w:vertAlign w:val="subscript"/>
        </w:rPr>
        <w:t>susp</w:t>
      </w:r>
      <w:r w:rsidRPr="00064185">
        <w:t xml:space="preserve"> is used to calculate the local concentration in surface water (Clocal</w:t>
      </w:r>
      <w:r w:rsidRPr="00064185">
        <w:rPr>
          <w:vertAlign w:val="subscript"/>
        </w:rPr>
        <w:t>water</w:t>
      </w:r>
      <w:r w:rsidRPr="00064185">
        <w:t xml:space="preserve"> corresponding to PEC</w:t>
      </w:r>
      <w:r w:rsidRPr="00064185">
        <w:rPr>
          <w:vertAlign w:val="subscript"/>
        </w:rPr>
        <w:t>surface water</w:t>
      </w:r>
      <w:r w:rsidRPr="00064185">
        <w:t>). According to the TGD (2</w:t>
      </w:r>
      <w:r w:rsidR="00904E81" w:rsidRPr="00064185">
        <w:t>003), a default value of 15 mg/l</w:t>
      </w:r>
      <w:r w:rsidRPr="00064185">
        <w:t xml:space="preserve"> is taken for the concentration of suspended matter in the river (SUSP</w:t>
      </w:r>
      <w:r w:rsidRPr="00064185">
        <w:rPr>
          <w:vertAlign w:val="subscript"/>
        </w:rPr>
        <w:t>water</w:t>
      </w:r>
      <w:r w:rsidRPr="00064185">
        <w:t>) and a dilution factor of 10 is used.</w:t>
      </w:r>
    </w:p>
    <w:p w14:paraId="48DC5127" w14:textId="77777777" w:rsidR="00FA2E2A" w:rsidRPr="00064185" w:rsidRDefault="00FA2E2A" w:rsidP="00EA61D8">
      <w:pPr>
        <w:spacing w:line="276" w:lineRule="auto"/>
      </w:pPr>
    </w:p>
    <w:p w14:paraId="472233B0" w14:textId="0FAA4136" w:rsidR="00FA2E2A" w:rsidRPr="00064185" w:rsidRDefault="00FA2E2A" w:rsidP="00EA61D8">
      <w:pPr>
        <w:spacing w:line="276" w:lineRule="auto"/>
        <w:rPr>
          <w:u w:val="single"/>
        </w:rPr>
      </w:pPr>
      <w:r w:rsidRPr="00064185">
        <w:rPr>
          <w:u w:val="single"/>
        </w:rPr>
        <w:t>Residual treatment:</w:t>
      </w:r>
    </w:p>
    <w:p w14:paraId="5DB56758" w14:textId="77777777" w:rsidR="00B21F5F" w:rsidRPr="00064185" w:rsidRDefault="00B21F5F" w:rsidP="00EA61D8">
      <w:pPr>
        <w:spacing w:line="276"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1701"/>
        <w:gridCol w:w="1134"/>
        <w:gridCol w:w="1559"/>
        <w:gridCol w:w="1134"/>
        <w:gridCol w:w="1062"/>
      </w:tblGrid>
      <w:tr w:rsidR="00064185" w:rsidRPr="00064185" w14:paraId="09D29108" w14:textId="77777777" w:rsidTr="00CC6717">
        <w:trPr>
          <w:cantSplit/>
          <w:trHeight w:val="555"/>
        </w:trPr>
        <w:tc>
          <w:tcPr>
            <w:tcW w:w="9354" w:type="dxa"/>
            <w:gridSpan w:val="6"/>
            <w:shd w:val="clear" w:color="auto" w:fill="FFFFCC"/>
            <w:noWrap/>
            <w:vAlign w:val="center"/>
          </w:tcPr>
          <w:bookmarkEnd w:id="1810"/>
          <w:p w14:paraId="4E9373E9" w14:textId="50A5A70A" w:rsidR="002D18DD" w:rsidRPr="00064185" w:rsidRDefault="002D18DD" w:rsidP="00EA61D8">
            <w:pPr>
              <w:keepNext/>
              <w:spacing w:before="60" w:after="60"/>
              <w:rPr>
                <w:b/>
                <w:bCs/>
              </w:rPr>
            </w:pPr>
            <w:r w:rsidRPr="00064185">
              <w:rPr>
                <w:b/>
                <w:bCs/>
              </w:rPr>
              <w:t>Calculation of the Clocal</w:t>
            </w:r>
            <w:r w:rsidRPr="00064185">
              <w:rPr>
                <w:b/>
                <w:bCs/>
                <w:vertAlign w:val="subscript"/>
              </w:rPr>
              <w:t>water</w:t>
            </w:r>
            <w:r w:rsidRPr="00064185">
              <w:rPr>
                <w:b/>
                <w:bCs/>
              </w:rPr>
              <w:t xml:space="preserve"> concentration (corresponding to PEClocal</w:t>
            </w:r>
            <w:r w:rsidRPr="00064185">
              <w:rPr>
                <w:b/>
                <w:bCs/>
                <w:vertAlign w:val="subscript"/>
              </w:rPr>
              <w:t>water</w:t>
            </w:r>
            <w:r w:rsidRPr="00064185">
              <w:rPr>
                <w:b/>
                <w:bCs/>
              </w:rPr>
              <w:t xml:space="preserve">) for </w:t>
            </w:r>
            <w:r w:rsidRPr="00064185">
              <w:rPr>
                <w:b/>
                <w:bCs/>
                <w:i/>
              </w:rPr>
              <w:t>lambda</w:t>
            </w:r>
            <w:r w:rsidRPr="00064185">
              <w:rPr>
                <w:b/>
                <w:bCs/>
              </w:rPr>
              <w:t>-cyhalothrin (cf. TGD, 2003, Equation 45)</w:t>
            </w:r>
          </w:p>
        </w:tc>
      </w:tr>
      <w:tr w:rsidR="00064185" w:rsidRPr="00064185" w14:paraId="4D5C8B1C" w14:textId="77777777" w:rsidTr="00CC6717">
        <w:trPr>
          <w:cantSplit/>
          <w:trHeight w:val="213"/>
        </w:trPr>
        <w:tc>
          <w:tcPr>
            <w:tcW w:w="2764" w:type="dxa"/>
            <w:vMerge w:val="restart"/>
            <w:noWrap/>
            <w:vAlign w:val="center"/>
            <w:hideMark/>
          </w:tcPr>
          <w:p w14:paraId="2F2C17FE" w14:textId="77777777" w:rsidR="003D5D1E" w:rsidRPr="00064185" w:rsidRDefault="003D5D1E" w:rsidP="00EA61D8">
            <w:pPr>
              <w:keepNext/>
              <w:spacing w:before="60" w:after="60"/>
              <w:rPr>
                <w:rFonts w:cs="Arial"/>
                <w:b/>
              </w:rPr>
            </w:pPr>
            <w:r w:rsidRPr="00064185">
              <w:rPr>
                <w:b/>
                <w:bCs/>
              </w:rPr>
              <w:t>Parameter</w:t>
            </w:r>
          </w:p>
        </w:tc>
        <w:tc>
          <w:tcPr>
            <w:tcW w:w="1701" w:type="dxa"/>
            <w:vMerge w:val="restart"/>
            <w:vAlign w:val="center"/>
            <w:hideMark/>
          </w:tcPr>
          <w:p w14:paraId="49A1415E" w14:textId="77777777" w:rsidR="003D5D1E" w:rsidRPr="00064185" w:rsidRDefault="003D5D1E" w:rsidP="00EA61D8">
            <w:pPr>
              <w:keepNext/>
              <w:spacing w:before="60" w:after="60"/>
              <w:rPr>
                <w:b/>
                <w:bCs/>
              </w:rPr>
            </w:pPr>
            <w:r w:rsidRPr="00064185">
              <w:rPr>
                <w:b/>
                <w:bCs/>
              </w:rPr>
              <w:t>Definition</w:t>
            </w:r>
          </w:p>
        </w:tc>
        <w:tc>
          <w:tcPr>
            <w:tcW w:w="3827" w:type="dxa"/>
            <w:gridSpan w:val="3"/>
            <w:vAlign w:val="center"/>
            <w:hideMark/>
          </w:tcPr>
          <w:p w14:paraId="1DF241E4" w14:textId="7A5856A9" w:rsidR="003D5D1E" w:rsidRPr="00064185" w:rsidRDefault="003D5D1E" w:rsidP="00EA61D8">
            <w:pPr>
              <w:tabs>
                <w:tab w:val="right" w:pos="1370"/>
              </w:tabs>
              <w:spacing w:before="60" w:after="60"/>
              <w:rPr>
                <w:bCs/>
              </w:rPr>
            </w:pPr>
            <w:r w:rsidRPr="00064185">
              <w:rPr>
                <w:b/>
                <w:bCs/>
              </w:rPr>
              <w:t>Indoor use</w:t>
            </w:r>
          </w:p>
        </w:tc>
        <w:tc>
          <w:tcPr>
            <w:tcW w:w="1062" w:type="dxa"/>
            <w:vAlign w:val="center"/>
          </w:tcPr>
          <w:p w14:paraId="4A5581AC" w14:textId="2A018D67" w:rsidR="003D5D1E" w:rsidRPr="00064185" w:rsidRDefault="003D5D1E" w:rsidP="00EA61D8">
            <w:pPr>
              <w:tabs>
                <w:tab w:val="right" w:pos="1370"/>
              </w:tabs>
              <w:spacing w:before="60" w:after="60"/>
              <w:rPr>
                <w:bCs/>
              </w:rPr>
            </w:pPr>
            <w:r w:rsidRPr="00064185">
              <w:rPr>
                <w:b/>
                <w:bCs/>
              </w:rPr>
              <w:t>Outdoor use</w:t>
            </w:r>
          </w:p>
        </w:tc>
      </w:tr>
      <w:tr w:rsidR="00064185" w:rsidRPr="00064185" w14:paraId="434D8441" w14:textId="77777777" w:rsidTr="00CC6717">
        <w:trPr>
          <w:cantSplit/>
          <w:trHeight w:val="213"/>
        </w:trPr>
        <w:tc>
          <w:tcPr>
            <w:tcW w:w="2764" w:type="dxa"/>
            <w:vMerge/>
            <w:noWrap/>
            <w:vAlign w:val="center"/>
          </w:tcPr>
          <w:p w14:paraId="1E9FC58D" w14:textId="77777777" w:rsidR="003D5D1E" w:rsidRPr="00064185" w:rsidRDefault="003D5D1E" w:rsidP="00EA61D8">
            <w:pPr>
              <w:keepNext/>
              <w:spacing w:before="60" w:after="60"/>
              <w:rPr>
                <w:b/>
                <w:bCs/>
              </w:rPr>
            </w:pPr>
          </w:p>
        </w:tc>
        <w:tc>
          <w:tcPr>
            <w:tcW w:w="1701" w:type="dxa"/>
            <w:vMerge/>
            <w:vAlign w:val="center"/>
          </w:tcPr>
          <w:p w14:paraId="726A6698" w14:textId="77777777" w:rsidR="003D5D1E" w:rsidRPr="00064185" w:rsidRDefault="003D5D1E" w:rsidP="00EA61D8">
            <w:pPr>
              <w:keepNext/>
              <w:spacing w:before="60" w:after="60"/>
              <w:rPr>
                <w:b/>
                <w:bCs/>
              </w:rPr>
            </w:pPr>
          </w:p>
        </w:tc>
        <w:tc>
          <w:tcPr>
            <w:tcW w:w="1134" w:type="dxa"/>
            <w:vAlign w:val="center"/>
          </w:tcPr>
          <w:p w14:paraId="675C88FC" w14:textId="60BBA537" w:rsidR="003D5D1E" w:rsidRPr="00064185" w:rsidRDefault="003D5D1E" w:rsidP="00EA61D8">
            <w:pPr>
              <w:tabs>
                <w:tab w:val="right" w:pos="1370"/>
              </w:tabs>
              <w:spacing w:before="60" w:after="60"/>
              <w:rPr>
                <w:bCs/>
              </w:rPr>
            </w:pPr>
            <w:r w:rsidRPr="00064185">
              <w:rPr>
                <w:b/>
                <w:bCs/>
              </w:rPr>
              <w:t>Ants</w:t>
            </w:r>
          </w:p>
        </w:tc>
        <w:tc>
          <w:tcPr>
            <w:tcW w:w="1559" w:type="dxa"/>
            <w:vAlign w:val="center"/>
          </w:tcPr>
          <w:p w14:paraId="6400175E" w14:textId="1C537BEA" w:rsidR="003D5D1E" w:rsidRPr="00064185" w:rsidRDefault="003D5D1E" w:rsidP="00EA61D8">
            <w:pPr>
              <w:tabs>
                <w:tab w:val="right" w:pos="1370"/>
              </w:tabs>
              <w:spacing w:before="60" w:after="60"/>
              <w:rPr>
                <w:bCs/>
              </w:rPr>
            </w:pPr>
            <w:r w:rsidRPr="00064185">
              <w:rPr>
                <w:b/>
                <w:bCs/>
              </w:rPr>
              <w:t>Silverfish &amp; Cockroaches</w:t>
            </w:r>
          </w:p>
        </w:tc>
        <w:tc>
          <w:tcPr>
            <w:tcW w:w="1134" w:type="dxa"/>
            <w:vAlign w:val="center"/>
          </w:tcPr>
          <w:p w14:paraId="728D5999" w14:textId="49C56FE3" w:rsidR="003D5D1E" w:rsidRPr="00064185" w:rsidRDefault="003D5D1E" w:rsidP="00EA61D8">
            <w:pPr>
              <w:tabs>
                <w:tab w:val="right" w:pos="1370"/>
              </w:tabs>
              <w:spacing w:before="60" w:after="60"/>
              <w:rPr>
                <w:bCs/>
              </w:rPr>
            </w:pPr>
            <w:r w:rsidRPr="00064185">
              <w:rPr>
                <w:b/>
                <w:bCs/>
              </w:rPr>
              <w:t>Wood lice</w:t>
            </w:r>
          </w:p>
        </w:tc>
        <w:tc>
          <w:tcPr>
            <w:tcW w:w="1062" w:type="dxa"/>
            <w:vAlign w:val="center"/>
          </w:tcPr>
          <w:p w14:paraId="76EED425" w14:textId="3B5FAEA4" w:rsidR="003D5D1E" w:rsidRPr="00064185" w:rsidRDefault="003D5D1E" w:rsidP="00EA61D8">
            <w:pPr>
              <w:tabs>
                <w:tab w:val="right" w:pos="1370"/>
              </w:tabs>
              <w:spacing w:before="60" w:after="60"/>
              <w:rPr>
                <w:bCs/>
              </w:rPr>
            </w:pPr>
            <w:r w:rsidRPr="00064185">
              <w:rPr>
                <w:b/>
                <w:bCs/>
              </w:rPr>
              <w:t>Ants</w:t>
            </w:r>
          </w:p>
        </w:tc>
      </w:tr>
      <w:tr w:rsidR="00064185" w:rsidRPr="00064185" w14:paraId="5EC0B039" w14:textId="77777777" w:rsidTr="00CC6717">
        <w:trPr>
          <w:cantSplit/>
          <w:trHeight w:val="472"/>
        </w:trPr>
        <w:tc>
          <w:tcPr>
            <w:tcW w:w="2764" w:type="dxa"/>
            <w:vAlign w:val="center"/>
            <w:hideMark/>
          </w:tcPr>
          <w:p w14:paraId="72519307" w14:textId="70FCF916" w:rsidR="001E3E54" w:rsidRPr="00064185" w:rsidRDefault="001E3E54" w:rsidP="00EA61D8">
            <w:pPr>
              <w:pStyle w:val="Absatz"/>
              <w:keepNext/>
              <w:keepLines/>
              <w:spacing w:before="60" w:after="60"/>
              <w:ind w:left="0"/>
              <w:rPr>
                <w:rFonts w:ascii="Verdana" w:hAnsi="Verdana"/>
              </w:rPr>
            </w:pPr>
            <w:r w:rsidRPr="00064185">
              <w:rPr>
                <w:rFonts w:ascii="Verdana" w:hAnsi="Verdana"/>
              </w:rPr>
              <w:t xml:space="preserve">Concentration of substance in the STP effluent </w:t>
            </w:r>
            <w:r w:rsidRPr="00064185">
              <w:rPr>
                <w:rFonts w:ascii="Verdana" w:hAnsi="Verdana"/>
                <w:bCs/>
              </w:rPr>
              <w:t>[µg/l]</w:t>
            </w:r>
          </w:p>
        </w:tc>
        <w:tc>
          <w:tcPr>
            <w:tcW w:w="1701" w:type="dxa"/>
            <w:vAlign w:val="center"/>
            <w:hideMark/>
          </w:tcPr>
          <w:p w14:paraId="3E8255ED" w14:textId="77777777" w:rsidR="001E3E54" w:rsidRPr="00064185" w:rsidRDefault="001E3E54" w:rsidP="00EA61D8">
            <w:pPr>
              <w:pStyle w:val="Absatz"/>
              <w:keepNext/>
              <w:keepLines/>
              <w:spacing w:before="60" w:after="60"/>
              <w:ind w:left="0"/>
              <w:rPr>
                <w:rFonts w:ascii="Verdana" w:hAnsi="Verdana"/>
              </w:rPr>
            </w:pPr>
            <w:r w:rsidRPr="00064185">
              <w:rPr>
                <w:rFonts w:ascii="Verdana" w:hAnsi="Verdana"/>
              </w:rPr>
              <w:t>Clocal</w:t>
            </w:r>
            <w:r w:rsidRPr="00064185">
              <w:rPr>
                <w:rFonts w:ascii="Verdana" w:hAnsi="Verdana"/>
                <w:vertAlign w:val="subscript"/>
              </w:rPr>
              <w:t>eff</w:t>
            </w:r>
            <w:r w:rsidRPr="00064185">
              <w:rPr>
                <w:rFonts w:ascii="Verdana" w:hAnsi="Verdana"/>
              </w:rPr>
              <w:t xml:space="preserve"> </w:t>
            </w:r>
          </w:p>
        </w:tc>
        <w:tc>
          <w:tcPr>
            <w:tcW w:w="1134" w:type="dxa"/>
            <w:vAlign w:val="center"/>
            <w:hideMark/>
          </w:tcPr>
          <w:p w14:paraId="5CBA3AAE" w14:textId="76F1A441" w:rsidR="001E3E54" w:rsidRPr="00064185" w:rsidRDefault="001E3E54" w:rsidP="00EA61D8">
            <w:pPr>
              <w:pStyle w:val="Absatz"/>
              <w:keepNext/>
              <w:keepLines/>
              <w:spacing w:before="60" w:after="60"/>
              <w:ind w:left="0"/>
              <w:rPr>
                <w:rFonts w:ascii="Verdana" w:hAnsi="Verdana"/>
              </w:rPr>
            </w:pPr>
            <w:r w:rsidRPr="00064185">
              <w:rPr>
                <w:rFonts w:ascii="Verdana" w:hAnsi="Verdana"/>
              </w:rPr>
              <w:t>3.28E-2</w:t>
            </w:r>
          </w:p>
        </w:tc>
        <w:tc>
          <w:tcPr>
            <w:tcW w:w="1559" w:type="dxa"/>
            <w:vAlign w:val="center"/>
          </w:tcPr>
          <w:p w14:paraId="6F6A1946" w14:textId="5AB76327" w:rsidR="001E3E54" w:rsidRPr="00064185" w:rsidRDefault="001E3E54" w:rsidP="00EA61D8">
            <w:pPr>
              <w:pStyle w:val="Absatz"/>
              <w:keepNext/>
              <w:keepLines/>
              <w:spacing w:before="60" w:after="60"/>
              <w:ind w:left="0"/>
              <w:rPr>
                <w:rFonts w:ascii="Verdana" w:hAnsi="Verdana"/>
              </w:rPr>
            </w:pPr>
            <w:r w:rsidRPr="00064185">
              <w:rPr>
                <w:rFonts w:ascii="Verdana" w:hAnsi="Verdana"/>
              </w:rPr>
              <w:t>0.25</w:t>
            </w:r>
          </w:p>
        </w:tc>
        <w:tc>
          <w:tcPr>
            <w:tcW w:w="1134" w:type="dxa"/>
            <w:vAlign w:val="center"/>
          </w:tcPr>
          <w:p w14:paraId="54587A21" w14:textId="340C6FBE" w:rsidR="001E3E54" w:rsidRPr="00064185" w:rsidRDefault="001E3E54" w:rsidP="00EA61D8">
            <w:pPr>
              <w:pStyle w:val="Absatz"/>
              <w:keepNext/>
              <w:keepLines/>
              <w:spacing w:before="60" w:after="60"/>
              <w:ind w:left="0"/>
              <w:rPr>
                <w:rFonts w:ascii="Verdana" w:hAnsi="Verdana"/>
              </w:rPr>
            </w:pPr>
            <w:r w:rsidRPr="00064185">
              <w:rPr>
                <w:rFonts w:ascii="Verdana" w:hAnsi="Verdana"/>
              </w:rPr>
              <w:t>1.82E-2</w:t>
            </w:r>
          </w:p>
        </w:tc>
        <w:tc>
          <w:tcPr>
            <w:tcW w:w="1062" w:type="dxa"/>
            <w:vAlign w:val="center"/>
          </w:tcPr>
          <w:p w14:paraId="29272B9B" w14:textId="7AEE250D" w:rsidR="001E3E54" w:rsidRPr="00064185" w:rsidRDefault="001E3E54" w:rsidP="00EA61D8">
            <w:pPr>
              <w:pStyle w:val="Absatz"/>
              <w:keepNext/>
              <w:keepLines/>
              <w:spacing w:before="60" w:after="60"/>
              <w:ind w:left="0"/>
              <w:rPr>
                <w:rFonts w:ascii="Verdana" w:hAnsi="Verdana"/>
              </w:rPr>
            </w:pPr>
            <w:r w:rsidRPr="00064185">
              <w:rPr>
                <w:rFonts w:ascii="Verdana" w:hAnsi="Verdana"/>
              </w:rPr>
              <w:t>2.60E-2</w:t>
            </w:r>
          </w:p>
        </w:tc>
      </w:tr>
      <w:tr w:rsidR="00064185" w:rsidRPr="00064185" w14:paraId="08FA0B56" w14:textId="77777777" w:rsidTr="00CC6717">
        <w:trPr>
          <w:cantSplit/>
          <w:trHeight w:val="472"/>
        </w:trPr>
        <w:tc>
          <w:tcPr>
            <w:tcW w:w="2764" w:type="dxa"/>
            <w:vAlign w:val="center"/>
            <w:hideMark/>
          </w:tcPr>
          <w:p w14:paraId="21356F86" w14:textId="18465765" w:rsidR="003D5D1E" w:rsidRPr="00064185" w:rsidRDefault="003D5D1E" w:rsidP="00EA61D8">
            <w:pPr>
              <w:pStyle w:val="Absatz"/>
              <w:keepNext/>
              <w:keepLines/>
              <w:spacing w:before="60" w:after="60"/>
              <w:ind w:left="0"/>
              <w:rPr>
                <w:rFonts w:ascii="Verdana" w:hAnsi="Verdana"/>
              </w:rPr>
            </w:pPr>
            <w:r w:rsidRPr="00064185">
              <w:rPr>
                <w:rFonts w:ascii="Verdana" w:hAnsi="Verdana"/>
              </w:rPr>
              <w:t xml:space="preserve">Solids-water partitioning coefficient of suspended matter </w:t>
            </w:r>
            <w:r w:rsidR="00A56F50" w:rsidRPr="00064185">
              <w:rPr>
                <w:rFonts w:ascii="Verdana" w:hAnsi="Verdana"/>
                <w:bCs/>
              </w:rPr>
              <w:t>[l</w:t>
            </w:r>
            <w:r w:rsidRPr="00064185">
              <w:rPr>
                <w:rFonts w:ascii="Verdana" w:hAnsi="Verdana"/>
                <w:bCs/>
              </w:rPr>
              <w:t>/kg]</w:t>
            </w:r>
          </w:p>
        </w:tc>
        <w:tc>
          <w:tcPr>
            <w:tcW w:w="1701" w:type="dxa"/>
            <w:vAlign w:val="center"/>
            <w:hideMark/>
          </w:tcPr>
          <w:p w14:paraId="1A0421FA" w14:textId="77777777" w:rsidR="003D5D1E" w:rsidRPr="00064185" w:rsidRDefault="003D5D1E" w:rsidP="00EA61D8">
            <w:pPr>
              <w:pStyle w:val="Absatz"/>
              <w:keepNext/>
              <w:keepLines/>
              <w:spacing w:before="60" w:after="60"/>
              <w:ind w:left="0"/>
              <w:rPr>
                <w:rFonts w:ascii="Verdana" w:hAnsi="Verdana"/>
              </w:rPr>
            </w:pPr>
            <w:r w:rsidRPr="00064185">
              <w:rPr>
                <w:rFonts w:ascii="Verdana" w:hAnsi="Verdana"/>
              </w:rPr>
              <w:t>Kp</w:t>
            </w:r>
            <w:r w:rsidRPr="00064185">
              <w:rPr>
                <w:rFonts w:ascii="Verdana" w:hAnsi="Verdana"/>
                <w:vertAlign w:val="subscript"/>
              </w:rPr>
              <w:t>susp</w:t>
            </w:r>
          </w:p>
        </w:tc>
        <w:tc>
          <w:tcPr>
            <w:tcW w:w="4889" w:type="dxa"/>
            <w:gridSpan w:val="4"/>
            <w:vAlign w:val="center"/>
            <w:hideMark/>
          </w:tcPr>
          <w:p w14:paraId="2B983370" w14:textId="13447575" w:rsidR="003D5D1E" w:rsidRPr="00064185" w:rsidRDefault="003D5D1E" w:rsidP="00EA61D8">
            <w:pPr>
              <w:pStyle w:val="Absatz"/>
              <w:keepNext/>
              <w:keepLines/>
              <w:spacing w:before="60" w:after="60"/>
              <w:ind w:left="0"/>
              <w:rPr>
                <w:rFonts w:ascii="Verdana" w:hAnsi="Verdana"/>
              </w:rPr>
            </w:pPr>
            <w:r w:rsidRPr="00064185">
              <w:rPr>
                <w:rFonts w:ascii="Verdana" w:hAnsi="Verdana"/>
              </w:rPr>
              <w:t>7010</w:t>
            </w:r>
          </w:p>
        </w:tc>
      </w:tr>
      <w:tr w:rsidR="00064185" w:rsidRPr="00064185" w14:paraId="48783CF3" w14:textId="77777777" w:rsidTr="00CC6717">
        <w:trPr>
          <w:cantSplit/>
          <w:trHeight w:val="472"/>
        </w:trPr>
        <w:tc>
          <w:tcPr>
            <w:tcW w:w="2764" w:type="dxa"/>
            <w:vAlign w:val="center"/>
            <w:hideMark/>
          </w:tcPr>
          <w:p w14:paraId="7B9185D4" w14:textId="3534E6DA" w:rsidR="003D5D1E" w:rsidRPr="00064185" w:rsidRDefault="003D5D1E" w:rsidP="00EA61D8">
            <w:pPr>
              <w:pStyle w:val="Absatz"/>
              <w:keepNext/>
              <w:keepLines/>
              <w:spacing w:before="60" w:after="60"/>
              <w:ind w:left="0"/>
              <w:rPr>
                <w:rFonts w:ascii="Verdana" w:hAnsi="Verdana"/>
              </w:rPr>
            </w:pPr>
            <w:r w:rsidRPr="00064185">
              <w:rPr>
                <w:rFonts w:ascii="Verdana" w:hAnsi="Verdana"/>
              </w:rPr>
              <w:t xml:space="preserve">Concentration of suspended matter in the river </w:t>
            </w:r>
            <w:r w:rsidR="00A56F50" w:rsidRPr="00064185">
              <w:rPr>
                <w:rFonts w:ascii="Verdana" w:hAnsi="Verdana"/>
                <w:bCs/>
              </w:rPr>
              <w:t>[mg/l</w:t>
            </w:r>
            <w:r w:rsidRPr="00064185">
              <w:rPr>
                <w:rFonts w:ascii="Verdana" w:hAnsi="Verdana"/>
                <w:bCs/>
              </w:rPr>
              <w:t>]</w:t>
            </w:r>
          </w:p>
        </w:tc>
        <w:tc>
          <w:tcPr>
            <w:tcW w:w="1701" w:type="dxa"/>
            <w:vAlign w:val="center"/>
            <w:hideMark/>
          </w:tcPr>
          <w:p w14:paraId="18C820EF" w14:textId="77777777" w:rsidR="003D5D1E" w:rsidRPr="00064185" w:rsidRDefault="003D5D1E" w:rsidP="00EA61D8">
            <w:pPr>
              <w:pStyle w:val="Absatz"/>
              <w:keepNext/>
              <w:keepLines/>
              <w:spacing w:before="60" w:after="60"/>
              <w:ind w:left="0"/>
              <w:rPr>
                <w:rFonts w:ascii="Verdana" w:hAnsi="Verdana"/>
              </w:rPr>
            </w:pPr>
            <w:r w:rsidRPr="00064185">
              <w:rPr>
                <w:rFonts w:ascii="Verdana" w:hAnsi="Verdana"/>
              </w:rPr>
              <w:t>SUSP</w:t>
            </w:r>
            <w:r w:rsidRPr="00064185">
              <w:rPr>
                <w:rFonts w:ascii="Verdana" w:hAnsi="Verdana"/>
                <w:vertAlign w:val="subscript"/>
              </w:rPr>
              <w:t>water</w:t>
            </w:r>
          </w:p>
        </w:tc>
        <w:tc>
          <w:tcPr>
            <w:tcW w:w="4889" w:type="dxa"/>
            <w:gridSpan w:val="4"/>
            <w:vAlign w:val="center"/>
            <w:hideMark/>
          </w:tcPr>
          <w:p w14:paraId="50A441AC" w14:textId="4EAA182C" w:rsidR="003D5D1E" w:rsidRPr="00064185" w:rsidRDefault="003D5D1E" w:rsidP="00EA61D8">
            <w:pPr>
              <w:pStyle w:val="Absatz"/>
              <w:keepNext/>
              <w:keepLines/>
              <w:spacing w:before="60" w:after="60"/>
              <w:ind w:left="0"/>
              <w:rPr>
                <w:rFonts w:ascii="Verdana" w:hAnsi="Verdana"/>
              </w:rPr>
            </w:pPr>
            <w:r w:rsidRPr="00064185">
              <w:rPr>
                <w:rFonts w:ascii="Verdana" w:hAnsi="Verdana"/>
              </w:rPr>
              <w:t>15</w:t>
            </w:r>
          </w:p>
        </w:tc>
      </w:tr>
      <w:tr w:rsidR="00064185" w:rsidRPr="00064185" w14:paraId="25E68F9E" w14:textId="77777777" w:rsidTr="00CC6717">
        <w:trPr>
          <w:cantSplit/>
          <w:trHeight w:val="472"/>
        </w:trPr>
        <w:tc>
          <w:tcPr>
            <w:tcW w:w="2764" w:type="dxa"/>
            <w:vAlign w:val="center"/>
            <w:hideMark/>
          </w:tcPr>
          <w:p w14:paraId="47C70B78" w14:textId="51B2AD2A" w:rsidR="003D5D1E" w:rsidRPr="00064185" w:rsidRDefault="003D5D1E" w:rsidP="00EA61D8">
            <w:pPr>
              <w:pStyle w:val="Absatz"/>
              <w:keepNext/>
              <w:keepLines/>
              <w:spacing w:before="60" w:after="60"/>
              <w:ind w:left="0"/>
              <w:rPr>
                <w:rFonts w:ascii="Verdana" w:hAnsi="Verdana"/>
              </w:rPr>
            </w:pPr>
            <w:r w:rsidRPr="00064185">
              <w:rPr>
                <w:rFonts w:ascii="Verdana" w:hAnsi="Verdana"/>
              </w:rPr>
              <w:t xml:space="preserve">Dilution factor </w:t>
            </w:r>
            <w:r w:rsidRPr="00064185">
              <w:rPr>
                <w:rFonts w:ascii="Verdana" w:hAnsi="Verdana"/>
                <w:bCs/>
              </w:rPr>
              <w:t>[-]</w:t>
            </w:r>
          </w:p>
        </w:tc>
        <w:tc>
          <w:tcPr>
            <w:tcW w:w="1701" w:type="dxa"/>
            <w:vAlign w:val="center"/>
            <w:hideMark/>
          </w:tcPr>
          <w:p w14:paraId="3A0FE897" w14:textId="77777777" w:rsidR="003D5D1E" w:rsidRPr="00064185" w:rsidRDefault="003D5D1E" w:rsidP="00EA61D8">
            <w:pPr>
              <w:pStyle w:val="Absatz"/>
              <w:keepNext/>
              <w:keepLines/>
              <w:spacing w:before="60" w:after="60"/>
              <w:ind w:left="0"/>
              <w:rPr>
                <w:rFonts w:ascii="Verdana" w:hAnsi="Verdana"/>
              </w:rPr>
            </w:pPr>
            <w:r w:rsidRPr="00064185">
              <w:rPr>
                <w:rFonts w:ascii="Verdana" w:hAnsi="Verdana"/>
              </w:rPr>
              <w:t>DILUTION</w:t>
            </w:r>
          </w:p>
        </w:tc>
        <w:tc>
          <w:tcPr>
            <w:tcW w:w="4889" w:type="dxa"/>
            <w:gridSpan w:val="4"/>
            <w:vAlign w:val="center"/>
            <w:hideMark/>
          </w:tcPr>
          <w:p w14:paraId="0F5AB536" w14:textId="5EF4000C" w:rsidR="003D5D1E" w:rsidRPr="00064185" w:rsidRDefault="003D5D1E" w:rsidP="00EA61D8">
            <w:pPr>
              <w:pStyle w:val="Absatz"/>
              <w:keepNext/>
              <w:keepLines/>
              <w:spacing w:before="60" w:after="60"/>
              <w:ind w:left="0"/>
              <w:rPr>
                <w:rFonts w:ascii="Verdana" w:hAnsi="Verdana"/>
              </w:rPr>
            </w:pPr>
            <w:r w:rsidRPr="00064185">
              <w:rPr>
                <w:rFonts w:ascii="Verdana" w:hAnsi="Verdana"/>
              </w:rPr>
              <w:t>10</w:t>
            </w:r>
          </w:p>
        </w:tc>
      </w:tr>
      <w:tr w:rsidR="001E3E54" w:rsidRPr="00064185" w14:paraId="5A71E0A2" w14:textId="77777777" w:rsidTr="00CC6717">
        <w:trPr>
          <w:cantSplit/>
          <w:trHeight w:val="472"/>
        </w:trPr>
        <w:tc>
          <w:tcPr>
            <w:tcW w:w="2764" w:type="dxa"/>
            <w:vAlign w:val="center"/>
            <w:hideMark/>
          </w:tcPr>
          <w:p w14:paraId="19206051" w14:textId="7E438582" w:rsidR="001E3E54" w:rsidRPr="00064185" w:rsidRDefault="001E3E54" w:rsidP="00EA61D8">
            <w:pPr>
              <w:pStyle w:val="Absatz"/>
              <w:keepNext/>
              <w:keepLines/>
              <w:spacing w:before="60" w:after="60"/>
              <w:ind w:left="0"/>
              <w:rPr>
                <w:rFonts w:ascii="Verdana" w:hAnsi="Verdana"/>
                <w:b/>
              </w:rPr>
            </w:pPr>
            <w:r w:rsidRPr="00064185">
              <w:rPr>
                <w:rFonts w:ascii="Verdana" w:hAnsi="Verdana"/>
                <w:b/>
              </w:rPr>
              <w:t xml:space="preserve">Local concentration in surface water during emission episode </w:t>
            </w:r>
            <w:r w:rsidRPr="00064185">
              <w:rPr>
                <w:rFonts w:ascii="Verdana" w:hAnsi="Verdana"/>
                <w:b/>
                <w:bCs/>
              </w:rPr>
              <w:t>[µg/l]</w:t>
            </w:r>
          </w:p>
        </w:tc>
        <w:tc>
          <w:tcPr>
            <w:tcW w:w="1701" w:type="dxa"/>
            <w:vAlign w:val="center"/>
            <w:hideMark/>
          </w:tcPr>
          <w:p w14:paraId="5995C356" w14:textId="77777777" w:rsidR="001E3E54" w:rsidRPr="00064185" w:rsidRDefault="001E3E54" w:rsidP="00EA61D8">
            <w:pPr>
              <w:pStyle w:val="Absatz"/>
              <w:keepNext/>
              <w:keepLines/>
              <w:spacing w:before="60" w:after="60"/>
              <w:ind w:left="0"/>
              <w:rPr>
                <w:rFonts w:ascii="Verdana" w:hAnsi="Verdana"/>
                <w:b/>
                <w:bCs/>
              </w:rPr>
            </w:pPr>
            <w:r w:rsidRPr="00064185">
              <w:rPr>
                <w:rFonts w:ascii="Verdana" w:hAnsi="Verdana"/>
                <w:b/>
                <w:bCs/>
              </w:rPr>
              <w:t>Clocal</w:t>
            </w:r>
            <w:r w:rsidRPr="00064185">
              <w:rPr>
                <w:rFonts w:ascii="Verdana" w:hAnsi="Verdana"/>
                <w:b/>
                <w:bCs/>
                <w:vertAlign w:val="subscript"/>
              </w:rPr>
              <w:t xml:space="preserve">water </w:t>
            </w:r>
            <w:r w:rsidRPr="00064185">
              <w:rPr>
                <w:rFonts w:ascii="Verdana" w:hAnsi="Verdana"/>
                <w:b/>
                <w:bCs/>
              </w:rPr>
              <w:t>=</w:t>
            </w:r>
          </w:p>
          <w:p w14:paraId="0A1BB495" w14:textId="61739774" w:rsidR="001E3E54" w:rsidRPr="00064185" w:rsidRDefault="001E3E54" w:rsidP="00EA61D8">
            <w:pPr>
              <w:pStyle w:val="Absatz"/>
              <w:keepNext/>
              <w:keepLines/>
              <w:spacing w:before="60" w:after="60"/>
              <w:ind w:left="0"/>
              <w:rPr>
                <w:rFonts w:ascii="Verdana" w:hAnsi="Verdana"/>
              </w:rPr>
            </w:pPr>
            <w:r w:rsidRPr="00064185">
              <w:rPr>
                <w:rFonts w:ascii="Verdana" w:hAnsi="Verdana"/>
                <w:b/>
                <w:bCs/>
              </w:rPr>
              <w:t>Clocal</w:t>
            </w:r>
            <w:r w:rsidRPr="00064185">
              <w:rPr>
                <w:rFonts w:ascii="Verdana" w:hAnsi="Verdana"/>
                <w:b/>
                <w:bCs/>
                <w:vertAlign w:val="subscript"/>
              </w:rPr>
              <w:t>eff</w:t>
            </w:r>
            <w:r w:rsidRPr="00064185">
              <w:rPr>
                <w:rFonts w:ascii="Verdana" w:hAnsi="Verdana"/>
                <w:b/>
                <w:bCs/>
              </w:rPr>
              <w:t xml:space="preserve"> </w:t>
            </w:r>
            <w:r w:rsidRPr="00064185">
              <w:rPr>
                <w:rFonts w:ascii="Verdana" w:hAnsi="Verdana"/>
                <w:bCs/>
              </w:rPr>
              <w:t>x</w:t>
            </w:r>
            <w:r w:rsidRPr="00064185">
              <w:rPr>
                <w:rFonts w:ascii="Verdana" w:hAnsi="Verdana"/>
                <w:b/>
                <w:bCs/>
              </w:rPr>
              <w:t xml:space="preserve"> ((1+Kp</w:t>
            </w:r>
            <w:r w:rsidRPr="00064185">
              <w:rPr>
                <w:rFonts w:ascii="Verdana" w:hAnsi="Verdana"/>
                <w:b/>
                <w:bCs/>
                <w:vertAlign w:val="subscript"/>
              </w:rPr>
              <w:t>susp</w:t>
            </w:r>
            <w:r w:rsidRPr="00064185">
              <w:rPr>
                <w:rFonts w:ascii="Verdana" w:hAnsi="Verdana"/>
                <w:b/>
                <w:bCs/>
              </w:rPr>
              <w:t xml:space="preserve"> </w:t>
            </w:r>
            <w:r w:rsidRPr="00064185">
              <w:rPr>
                <w:rFonts w:ascii="Verdana" w:hAnsi="Verdana"/>
                <w:bCs/>
              </w:rPr>
              <w:t>x</w:t>
            </w:r>
            <w:r w:rsidRPr="00064185">
              <w:rPr>
                <w:rFonts w:ascii="Verdana" w:hAnsi="Verdana"/>
                <w:b/>
                <w:bCs/>
              </w:rPr>
              <w:t xml:space="preserve"> SUSP</w:t>
            </w:r>
            <w:r w:rsidRPr="00064185">
              <w:rPr>
                <w:rFonts w:ascii="Verdana" w:hAnsi="Verdana"/>
                <w:b/>
                <w:bCs/>
                <w:vertAlign w:val="subscript"/>
              </w:rPr>
              <w:t>water</w:t>
            </w:r>
            <w:r w:rsidRPr="00064185">
              <w:rPr>
                <w:rFonts w:ascii="Verdana" w:hAnsi="Verdana"/>
                <w:b/>
                <w:bCs/>
              </w:rPr>
              <w:t xml:space="preserve"> </w:t>
            </w:r>
            <w:r w:rsidRPr="00064185">
              <w:rPr>
                <w:rFonts w:ascii="Verdana" w:hAnsi="Verdana"/>
                <w:bCs/>
              </w:rPr>
              <w:t>x</w:t>
            </w:r>
            <w:r w:rsidRPr="00064185">
              <w:rPr>
                <w:rFonts w:ascii="Verdana" w:hAnsi="Verdana"/>
                <w:b/>
                <w:bCs/>
              </w:rPr>
              <w:t xml:space="preserve"> 10</w:t>
            </w:r>
            <w:r w:rsidRPr="00064185">
              <w:rPr>
                <w:rFonts w:ascii="Verdana" w:hAnsi="Verdana"/>
                <w:b/>
                <w:bCs/>
                <w:vertAlign w:val="superscript"/>
              </w:rPr>
              <w:t>-6</w:t>
            </w:r>
            <w:r w:rsidRPr="00064185">
              <w:rPr>
                <w:rFonts w:ascii="Verdana" w:hAnsi="Verdana"/>
                <w:b/>
                <w:bCs/>
              </w:rPr>
              <w:t>) DILUTION)</w:t>
            </w:r>
            <w:r w:rsidRPr="00064185">
              <w:rPr>
                <w:rFonts w:ascii="Verdana" w:hAnsi="Verdana"/>
                <w:b/>
                <w:bCs/>
                <w:vertAlign w:val="superscript"/>
              </w:rPr>
              <w:t>-1</w:t>
            </w:r>
          </w:p>
        </w:tc>
        <w:tc>
          <w:tcPr>
            <w:tcW w:w="1134" w:type="dxa"/>
            <w:vAlign w:val="center"/>
            <w:hideMark/>
          </w:tcPr>
          <w:p w14:paraId="1D668E76" w14:textId="27BFD88A" w:rsidR="001E3E54" w:rsidRPr="00064185" w:rsidRDefault="001E3E54" w:rsidP="00EA61D8">
            <w:pPr>
              <w:tabs>
                <w:tab w:val="right" w:pos="1370"/>
              </w:tabs>
              <w:spacing w:before="60" w:after="60"/>
              <w:rPr>
                <w:b/>
                <w:strike/>
              </w:rPr>
            </w:pPr>
            <w:r w:rsidRPr="00064185">
              <w:rPr>
                <w:b/>
              </w:rPr>
              <w:t>2.97E-3</w:t>
            </w:r>
          </w:p>
        </w:tc>
        <w:tc>
          <w:tcPr>
            <w:tcW w:w="1559" w:type="dxa"/>
            <w:vAlign w:val="center"/>
          </w:tcPr>
          <w:p w14:paraId="0273FE57" w14:textId="6EF08368" w:rsidR="001E3E54" w:rsidRPr="00064185" w:rsidRDefault="001E3E54" w:rsidP="00EA61D8">
            <w:pPr>
              <w:tabs>
                <w:tab w:val="right" w:pos="1370"/>
              </w:tabs>
              <w:spacing w:before="60" w:after="60"/>
              <w:rPr>
                <w:b/>
              </w:rPr>
            </w:pPr>
            <w:r w:rsidRPr="00064185">
              <w:rPr>
                <w:b/>
              </w:rPr>
              <w:t>2.24E-2</w:t>
            </w:r>
          </w:p>
        </w:tc>
        <w:tc>
          <w:tcPr>
            <w:tcW w:w="1134" w:type="dxa"/>
            <w:vAlign w:val="center"/>
          </w:tcPr>
          <w:p w14:paraId="36F10F4C" w14:textId="19F04081" w:rsidR="001E3E54" w:rsidRPr="00064185" w:rsidRDefault="001E3E54" w:rsidP="00EA61D8">
            <w:pPr>
              <w:tabs>
                <w:tab w:val="right" w:pos="1370"/>
              </w:tabs>
              <w:spacing w:before="60" w:after="60"/>
              <w:rPr>
                <w:b/>
              </w:rPr>
            </w:pPr>
            <w:r w:rsidRPr="00064185">
              <w:rPr>
                <w:b/>
              </w:rPr>
              <w:t>1.65E-3</w:t>
            </w:r>
          </w:p>
        </w:tc>
        <w:tc>
          <w:tcPr>
            <w:tcW w:w="1062" w:type="dxa"/>
            <w:vAlign w:val="center"/>
          </w:tcPr>
          <w:p w14:paraId="63EB7199" w14:textId="7832B21E" w:rsidR="001E3E54" w:rsidRPr="00064185" w:rsidRDefault="001E3E54" w:rsidP="00EA61D8">
            <w:pPr>
              <w:tabs>
                <w:tab w:val="right" w:pos="1370"/>
              </w:tabs>
              <w:spacing w:before="60" w:after="60"/>
              <w:rPr>
                <w:b/>
              </w:rPr>
            </w:pPr>
            <w:r w:rsidRPr="00064185">
              <w:rPr>
                <w:b/>
              </w:rPr>
              <w:t>2.35E-3</w:t>
            </w:r>
          </w:p>
        </w:tc>
      </w:tr>
    </w:tbl>
    <w:p w14:paraId="5DC38FD3" w14:textId="77777777" w:rsidR="000A229F" w:rsidRPr="00064185" w:rsidRDefault="000A229F" w:rsidP="00EA61D8"/>
    <w:p w14:paraId="15BCD72E" w14:textId="77777777" w:rsidR="00FA2E2A" w:rsidRPr="00064185" w:rsidRDefault="00FA2E2A" w:rsidP="00EA61D8"/>
    <w:p w14:paraId="0897AEFF" w14:textId="2925A6B3" w:rsidR="00FA2E2A" w:rsidRPr="00064185" w:rsidRDefault="00FA2E2A" w:rsidP="00EA61D8">
      <w:pPr>
        <w:rPr>
          <w:u w:val="single"/>
        </w:rPr>
      </w:pPr>
      <w:r w:rsidRPr="00064185">
        <w:rPr>
          <w:u w:val="single"/>
        </w:rPr>
        <w:t xml:space="preserve">Direct treatment of </w:t>
      </w:r>
      <w:r w:rsidR="00FD6ACF" w:rsidRPr="00064185">
        <w:rPr>
          <w:u w:val="single"/>
        </w:rPr>
        <w:t>target organisms</w:t>
      </w:r>
      <w:r w:rsidRPr="00064185">
        <w:rPr>
          <w:u w:val="single"/>
        </w:rPr>
        <w:t>:</w:t>
      </w:r>
    </w:p>
    <w:p w14:paraId="3E21115A" w14:textId="77777777" w:rsidR="00FA2E2A" w:rsidRPr="00064185" w:rsidRDefault="00FA2E2A" w:rsidP="00EA61D8"/>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1701"/>
        <w:gridCol w:w="2693"/>
        <w:gridCol w:w="2196"/>
      </w:tblGrid>
      <w:tr w:rsidR="00064185" w:rsidRPr="00064185" w14:paraId="7204826B" w14:textId="77777777" w:rsidTr="00701B7B">
        <w:trPr>
          <w:trHeight w:val="555"/>
        </w:trPr>
        <w:tc>
          <w:tcPr>
            <w:tcW w:w="9354" w:type="dxa"/>
            <w:gridSpan w:val="4"/>
            <w:shd w:val="clear" w:color="auto" w:fill="FFFFCC"/>
            <w:noWrap/>
            <w:vAlign w:val="center"/>
          </w:tcPr>
          <w:p w14:paraId="610E05E1" w14:textId="77777777" w:rsidR="00FA2E2A" w:rsidRPr="00064185" w:rsidRDefault="00FA2E2A" w:rsidP="00EA61D8">
            <w:pPr>
              <w:keepNext/>
              <w:spacing w:before="60" w:after="60"/>
              <w:rPr>
                <w:b/>
                <w:bCs/>
              </w:rPr>
            </w:pPr>
            <w:r w:rsidRPr="00064185">
              <w:rPr>
                <w:b/>
                <w:bCs/>
              </w:rPr>
              <w:t>Calculation of the Clocal</w:t>
            </w:r>
            <w:r w:rsidRPr="00064185">
              <w:rPr>
                <w:b/>
                <w:bCs/>
                <w:vertAlign w:val="subscript"/>
              </w:rPr>
              <w:t>water</w:t>
            </w:r>
            <w:r w:rsidRPr="00064185">
              <w:rPr>
                <w:b/>
                <w:bCs/>
              </w:rPr>
              <w:t xml:space="preserve"> concentration (corresponding to PEClocal</w:t>
            </w:r>
            <w:r w:rsidRPr="00064185">
              <w:rPr>
                <w:b/>
                <w:bCs/>
                <w:vertAlign w:val="subscript"/>
              </w:rPr>
              <w:t>water</w:t>
            </w:r>
            <w:r w:rsidRPr="00064185">
              <w:rPr>
                <w:b/>
                <w:bCs/>
              </w:rPr>
              <w:t xml:space="preserve">) for </w:t>
            </w:r>
            <w:r w:rsidRPr="00064185">
              <w:rPr>
                <w:b/>
                <w:bCs/>
                <w:i/>
              </w:rPr>
              <w:t>lambda</w:t>
            </w:r>
            <w:r w:rsidRPr="00064185">
              <w:rPr>
                <w:b/>
                <w:bCs/>
              </w:rPr>
              <w:t>-cyhalothrin (cf. TGD, 2003, Equation 45)</w:t>
            </w:r>
          </w:p>
        </w:tc>
      </w:tr>
      <w:tr w:rsidR="00064185" w:rsidRPr="00064185" w14:paraId="6D794B75" w14:textId="77777777" w:rsidTr="00BB6AEE">
        <w:trPr>
          <w:trHeight w:val="213"/>
        </w:trPr>
        <w:tc>
          <w:tcPr>
            <w:tcW w:w="2764" w:type="dxa"/>
            <w:vMerge w:val="restart"/>
            <w:noWrap/>
            <w:vAlign w:val="center"/>
            <w:hideMark/>
          </w:tcPr>
          <w:p w14:paraId="320C427A" w14:textId="77777777" w:rsidR="0012332D" w:rsidRPr="00064185" w:rsidRDefault="0012332D" w:rsidP="00EA61D8">
            <w:pPr>
              <w:keepNext/>
              <w:spacing w:before="60" w:after="60"/>
              <w:rPr>
                <w:rFonts w:cs="Arial"/>
                <w:b/>
              </w:rPr>
            </w:pPr>
            <w:r w:rsidRPr="00064185">
              <w:rPr>
                <w:b/>
                <w:bCs/>
              </w:rPr>
              <w:t>Parameter</w:t>
            </w:r>
          </w:p>
        </w:tc>
        <w:tc>
          <w:tcPr>
            <w:tcW w:w="1701" w:type="dxa"/>
            <w:vMerge w:val="restart"/>
            <w:vAlign w:val="center"/>
            <w:hideMark/>
          </w:tcPr>
          <w:p w14:paraId="1B5F02B0" w14:textId="77777777" w:rsidR="0012332D" w:rsidRPr="00064185" w:rsidRDefault="0012332D" w:rsidP="00EA61D8">
            <w:pPr>
              <w:keepNext/>
              <w:spacing w:before="60" w:after="60"/>
              <w:rPr>
                <w:b/>
                <w:bCs/>
              </w:rPr>
            </w:pPr>
            <w:r w:rsidRPr="00064185">
              <w:rPr>
                <w:b/>
                <w:bCs/>
              </w:rPr>
              <w:t>Definition</w:t>
            </w:r>
          </w:p>
        </w:tc>
        <w:tc>
          <w:tcPr>
            <w:tcW w:w="4889" w:type="dxa"/>
            <w:gridSpan w:val="2"/>
            <w:vAlign w:val="center"/>
            <w:hideMark/>
          </w:tcPr>
          <w:p w14:paraId="655E4B3D" w14:textId="0B8B1ECA" w:rsidR="0012332D" w:rsidRPr="00064185" w:rsidRDefault="0012332D" w:rsidP="00EA61D8">
            <w:pPr>
              <w:tabs>
                <w:tab w:val="right" w:pos="1370"/>
              </w:tabs>
              <w:spacing w:before="60" w:after="60"/>
              <w:rPr>
                <w:bCs/>
              </w:rPr>
            </w:pPr>
            <w:r w:rsidRPr="00064185">
              <w:rPr>
                <w:b/>
                <w:bCs/>
              </w:rPr>
              <w:t>Indoor use</w:t>
            </w:r>
          </w:p>
        </w:tc>
      </w:tr>
      <w:tr w:rsidR="00064185" w:rsidRPr="00064185" w14:paraId="12CBD9C5" w14:textId="77777777" w:rsidTr="00701B7B">
        <w:trPr>
          <w:trHeight w:val="213"/>
        </w:trPr>
        <w:tc>
          <w:tcPr>
            <w:tcW w:w="2764" w:type="dxa"/>
            <w:vMerge/>
            <w:noWrap/>
            <w:vAlign w:val="center"/>
          </w:tcPr>
          <w:p w14:paraId="6150C1B6" w14:textId="77777777" w:rsidR="00806032" w:rsidRPr="00064185" w:rsidRDefault="00806032" w:rsidP="00EA61D8">
            <w:pPr>
              <w:keepNext/>
              <w:spacing w:before="60" w:after="60"/>
              <w:rPr>
                <w:b/>
                <w:bCs/>
              </w:rPr>
            </w:pPr>
          </w:p>
        </w:tc>
        <w:tc>
          <w:tcPr>
            <w:tcW w:w="1701" w:type="dxa"/>
            <w:vMerge/>
            <w:vAlign w:val="center"/>
          </w:tcPr>
          <w:p w14:paraId="722446D8" w14:textId="77777777" w:rsidR="00806032" w:rsidRPr="00064185" w:rsidRDefault="00806032" w:rsidP="00EA61D8">
            <w:pPr>
              <w:keepNext/>
              <w:spacing w:before="60" w:after="60"/>
              <w:rPr>
                <w:b/>
                <w:bCs/>
              </w:rPr>
            </w:pPr>
          </w:p>
        </w:tc>
        <w:tc>
          <w:tcPr>
            <w:tcW w:w="2693" w:type="dxa"/>
            <w:vAlign w:val="center"/>
          </w:tcPr>
          <w:p w14:paraId="379159C3" w14:textId="77777777" w:rsidR="00806032" w:rsidRPr="00064185" w:rsidRDefault="00806032" w:rsidP="00EA61D8">
            <w:pPr>
              <w:tabs>
                <w:tab w:val="right" w:pos="1370"/>
              </w:tabs>
              <w:spacing w:before="60" w:after="60"/>
              <w:rPr>
                <w:bCs/>
              </w:rPr>
            </w:pPr>
          </w:p>
          <w:p w14:paraId="5562E3F4" w14:textId="567091AC" w:rsidR="00806032" w:rsidRPr="00064185" w:rsidRDefault="00806032" w:rsidP="00EA61D8">
            <w:pPr>
              <w:tabs>
                <w:tab w:val="right" w:pos="1370"/>
              </w:tabs>
              <w:spacing w:before="60" w:after="60"/>
              <w:rPr>
                <w:bCs/>
              </w:rPr>
            </w:pPr>
            <w:r w:rsidRPr="00064185">
              <w:rPr>
                <w:b/>
                <w:bCs/>
              </w:rPr>
              <w:t>Silverfish &amp; Cockroaches</w:t>
            </w:r>
          </w:p>
        </w:tc>
        <w:tc>
          <w:tcPr>
            <w:tcW w:w="2196" w:type="dxa"/>
            <w:vAlign w:val="center"/>
          </w:tcPr>
          <w:p w14:paraId="4711A5E1" w14:textId="77777777" w:rsidR="00806032" w:rsidRPr="00064185" w:rsidRDefault="00806032" w:rsidP="00EA61D8">
            <w:pPr>
              <w:tabs>
                <w:tab w:val="right" w:pos="1370"/>
              </w:tabs>
              <w:spacing w:before="60" w:after="60"/>
              <w:rPr>
                <w:bCs/>
              </w:rPr>
            </w:pPr>
            <w:r w:rsidRPr="00064185">
              <w:rPr>
                <w:b/>
                <w:bCs/>
              </w:rPr>
              <w:t>Wood lice</w:t>
            </w:r>
          </w:p>
          <w:p w14:paraId="3D0F6614" w14:textId="76416D79" w:rsidR="00806032" w:rsidRPr="00064185" w:rsidRDefault="00806032" w:rsidP="00EA61D8">
            <w:pPr>
              <w:tabs>
                <w:tab w:val="right" w:pos="1370"/>
              </w:tabs>
              <w:spacing w:before="60" w:after="60"/>
              <w:rPr>
                <w:bCs/>
              </w:rPr>
            </w:pPr>
          </w:p>
        </w:tc>
      </w:tr>
      <w:tr w:rsidR="00064185" w:rsidRPr="00064185" w14:paraId="6EDBA532" w14:textId="77777777" w:rsidTr="00701B7B">
        <w:trPr>
          <w:trHeight w:val="472"/>
        </w:trPr>
        <w:tc>
          <w:tcPr>
            <w:tcW w:w="2764" w:type="dxa"/>
            <w:vAlign w:val="center"/>
            <w:hideMark/>
          </w:tcPr>
          <w:p w14:paraId="316E1F80" w14:textId="77777777" w:rsidR="001E3E54" w:rsidRPr="00064185" w:rsidRDefault="001E3E54" w:rsidP="00EA61D8">
            <w:pPr>
              <w:pStyle w:val="Absatz"/>
              <w:keepNext/>
              <w:keepLines/>
              <w:spacing w:before="60" w:after="60"/>
              <w:ind w:left="0"/>
              <w:rPr>
                <w:rFonts w:ascii="Verdana" w:hAnsi="Verdana"/>
              </w:rPr>
            </w:pPr>
            <w:r w:rsidRPr="00064185">
              <w:rPr>
                <w:rFonts w:ascii="Verdana" w:hAnsi="Verdana"/>
              </w:rPr>
              <w:t xml:space="preserve">Concentration of substance in the STP effluent </w:t>
            </w:r>
            <w:r w:rsidRPr="00064185">
              <w:rPr>
                <w:rFonts w:ascii="Verdana" w:hAnsi="Verdana"/>
                <w:bCs/>
              </w:rPr>
              <w:t>[µg/l]</w:t>
            </w:r>
          </w:p>
        </w:tc>
        <w:tc>
          <w:tcPr>
            <w:tcW w:w="1701" w:type="dxa"/>
            <w:vAlign w:val="center"/>
            <w:hideMark/>
          </w:tcPr>
          <w:p w14:paraId="68BB4F88" w14:textId="77777777" w:rsidR="001E3E54" w:rsidRPr="00064185" w:rsidRDefault="001E3E54" w:rsidP="00EA61D8">
            <w:pPr>
              <w:pStyle w:val="Absatz"/>
              <w:keepNext/>
              <w:keepLines/>
              <w:spacing w:before="60" w:after="60"/>
              <w:ind w:left="0"/>
              <w:rPr>
                <w:rFonts w:ascii="Verdana" w:hAnsi="Verdana"/>
              </w:rPr>
            </w:pPr>
            <w:r w:rsidRPr="00064185">
              <w:rPr>
                <w:rFonts w:ascii="Verdana" w:hAnsi="Verdana"/>
              </w:rPr>
              <w:t>Clocal</w:t>
            </w:r>
            <w:r w:rsidRPr="00064185">
              <w:rPr>
                <w:rFonts w:ascii="Verdana" w:hAnsi="Verdana"/>
                <w:vertAlign w:val="subscript"/>
              </w:rPr>
              <w:t>eff</w:t>
            </w:r>
            <w:r w:rsidRPr="00064185">
              <w:rPr>
                <w:rFonts w:ascii="Verdana" w:hAnsi="Verdana"/>
              </w:rPr>
              <w:t xml:space="preserve"> </w:t>
            </w:r>
          </w:p>
        </w:tc>
        <w:tc>
          <w:tcPr>
            <w:tcW w:w="2693" w:type="dxa"/>
            <w:vAlign w:val="center"/>
          </w:tcPr>
          <w:p w14:paraId="5FD2190F" w14:textId="5F1511C7" w:rsidR="001E3E54" w:rsidRPr="00064185" w:rsidRDefault="001E3E54" w:rsidP="00EA61D8">
            <w:pPr>
              <w:pStyle w:val="Absatz"/>
              <w:keepNext/>
              <w:keepLines/>
              <w:spacing w:before="60" w:after="60"/>
              <w:ind w:left="0"/>
              <w:rPr>
                <w:rFonts w:ascii="Verdana" w:hAnsi="Verdana"/>
              </w:rPr>
            </w:pPr>
            <w:r w:rsidRPr="00064185">
              <w:rPr>
                <w:rFonts w:ascii="Verdana" w:hAnsi="Verdana"/>
              </w:rPr>
              <w:t>0.30</w:t>
            </w:r>
          </w:p>
        </w:tc>
        <w:tc>
          <w:tcPr>
            <w:tcW w:w="2196" w:type="dxa"/>
            <w:vAlign w:val="center"/>
          </w:tcPr>
          <w:p w14:paraId="2E1ECE43" w14:textId="3300E139" w:rsidR="001E3E54" w:rsidRPr="00064185" w:rsidRDefault="001E3E54" w:rsidP="00EA61D8">
            <w:pPr>
              <w:pStyle w:val="Absatz"/>
              <w:keepNext/>
              <w:keepLines/>
              <w:spacing w:before="60" w:after="60"/>
              <w:ind w:left="0"/>
              <w:rPr>
                <w:rFonts w:ascii="Verdana" w:hAnsi="Verdana"/>
              </w:rPr>
            </w:pPr>
            <w:r w:rsidRPr="00064185">
              <w:rPr>
                <w:rFonts w:ascii="Verdana" w:hAnsi="Verdana"/>
              </w:rPr>
              <w:t>3.10E-2</w:t>
            </w:r>
          </w:p>
        </w:tc>
      </w:tr>
      <w:tr w:rsidR="00064185" w:rsidRPr="00064185" w14:paraId="5303F496" w14:textId="77777777" w:rsidTr="00701B7B">
        <w:trPr>
          <w:trHeight w:val="472"/>
        </w:trPr>
        <w:tc>
          <w:tcPr>
            <w:tcW w:w="2764" w:type="dxa"/>
            <w:vAlign w:val="center"/>
            <w:hideMark/>
          </w:tcPr>
          <w:p w14:paraId="7B5D6C97"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 xml:space="preserve">Solids-water partitioning coefficient of suspended matter </w:t>
            </w:r>
            <w:r w:rsidRPr="00064185">
              <w:rPr>
                <w:rFonts w:ascii="Verdana" w:hAnsi="Verdana"/>
                <w:bCs/>
              </w:rPr>
              <w:t>[l/kg]</w:t>
            </w:r>
          </w:p>
        </w:tc>
        <w:tc>
          <w:tcPr>
            <w:tcW w:w="1701" w:type="dxa"/>
            <w:vAlign w:val="center"/>
            <w:hideMark/>
          </w:tcPr>
          <w:p w14:paraId="4A1BDFC1"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Kp</w:t>
            </w:r>
            <w:r w:rsidRPr="00064185">
              <w:rPr>
                <w:rFonts w:ascii="Verdana" w:hAnsi="Verdana"/>
                <w:vertAlign w:val="subscript"/>
              </w:rPr>
              <w:t>susp</w:t>
            </w:r>
          </w:p>
        </w:tc>
        <w:tc>
          <w:tcPr>
            <w:tcW w:w="4889" w:type="dxa"/>
            <w:gridSpan w:val="2"/>
            <w:vAlign w:val="center"/>
            <w:hideMark/>
          </w:tcPr>
          <w:p w14:paraId="2A63D58B"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7010</w:t>
            </w:r>
          </w:p>
        </w:tc>
      </w:tr>
      <w:tr w:rsidR="00064185" w:rsidRPr="00064185" w14:paraId="7044172D" w14:textId="77777777" w:rsidTr="00701B7B">
        <w:trPr>
          <w:trHeight w:val="472"/>
        </w:trPr>
        <w:tc>
          <w:tcPr>
            <w:tcW w:w="2764" w:type="dxa"/>
            <w:vAlign w:val="center"/>
            <w:hideMark/>
          </w:tcPr>
          <w:p w14:paraId="59CAF615"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lastRenderedPageBreak/>
              <w:t xml:space="preserve">Concentration of suspended matter in the river </w:t>
            </w:r>
            <w:r w:rsidRPr="00064185">
              <w:rPr>
                <w:rFonts w:ascii="Verdana" w:hAnsi="Verdana"/>
                <w:bCs/>
              </w:rPr>
              <w:t>[mg/l]</w:t>
            </w:r>
          </w:p>
        </w:tc>
        <w:tc>
          <w:tcPr>
            <w:tcW w:w="1701" w:type="dxa"/>
            <w:vAlign w:val="center"/>
            <w:hideMark/>
          </w:tcPr>
          <w:p w14:paraId="5A4F6A6E"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SUSP</w:t>
            </w:r>
            <w:r w:rsidRPr="00064185">
              <w:rPr>
                <w:rFonts w:ascii="Verdana" w:hAnsi="Verdana"/>
                <w:vertAlign w:val="subscript"/>
              </w:rPr>
              <w:t>water</w:t>
            </w:r>
          </w:p>
        </w:tc>
        <w:tc>
          <w:tcPr>
            <w:tcW w:w="4889" w:type="dxa"/>
            <w:gridSpan w:val="2"/>
            <w:vAlign w:val="center"/>
            <w:hideMark/>
          </w:tcPr>
          <w:p w14:paraId="33B2DFE5"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15</w:t>
            </w:r>
          </w:p>
        </w:tc>
      </w:tr>
      <w:tr w:rsidR="00064185" w:rsidRPr="00064185" w14:paraId="442BCD86" w14:textId="77777777" w:rsidTr="00701B7B">
        <w:trPr>
          <w:trHeight w:val="472"/>
        </w:trPr>
        <w:tc>
          <w:tcPr>
            <w:tcW w:w="2764" w:type="dxa"/>
            <w:vAlign w:val="center"/>
            <w:hideMark/>
          </w:tcPr>
          <w:p w14:paraId="7F3A0205"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 xml:space="preserve">Dilution factor </w:t>
            </w:r>
            <w:r w:rsidRPr="00064185">
              <w:rPr>
                <w:rFonts w:ascii="Verdana" w:hAnsi="Verdana"/>
                <w:bCs/>
              </w:rPr>
              <w:t>[-]</w:t>
            </w:r>
          </w:p>
        </w:tc>
        <w:tc>
          <w:tcPr>
            <w:tcW w:w="1701" w:type="dxa"/>
            <w:vAlign w:val="center"/>
            <w:hideMark/>
          </w:tcPr>
          <w:p w14:paraId="6F6C7093"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DILUTION</w:t>
            </w:r>
          </w:p>
        </w:tc>
        <w:tc>
          <w:tcPr>
            <w:tcW w:w="4889" w:type="dxa"/>
            <w:gridSpan w:val="2"/>
            <w:vAlign w:val="center"/>
            <w:hideMark/>
          </w:tcPr>
          <w:p w14:paraId="2E27B3DC"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10</w:t>
            </w:r>
          </w:p>
        </w:tc>
      </w:tr>
      <w:tr w:rsidR="00064185" w:rsidRPr="00064185" w14:paraId="7EDEF962" w14:textId="77777777" w:rsidTr="00701B7B">
        <w:trPr>
          <w:trHeight w:val="472"/>
        </w:trPr>
        <w:tc>
          <w:tcPr>
            <w:tcW w:w="2764" w:type="dxa"/>
            <w:vAlign w:val="center"/>
            <w:hideMark/>
          </w:tcPr>
          <w:p w14:paraId="5F7855E9" w14:textId="77777777" w:rsidR="001E3E54" w:rsidRPr="00064185" w:rsidRDefault="001E3E54" w:rsidP="00EA61D8">
            <w:pPr>
              <w:pStyle w:val="Absatz"/>
              <w:keepNext/>
              <w:keepLines/>
              <w:spacing w:before="60" w:after="60"/>
              <w:ind w:left="0"/>
              <w:rPr>
                <w:rFonts w:ascii="Verdana" w:hAnsi="Verdana"/>
                <w:b/>
              </w:rPr>
            </w:pPr>
            <w:r w:rsidRPr="00064185">
              <w:rPr>
                <w:rFonts w:ascii="Verdana" w:hAnsi="Verdana"/>
                <w:b/>
              </w:rPr>
              <w:t xml:space="preserve">Local concentration in surface water during emission episode </w:t>
            </w:r>
            <w:r w:rsidRPr="00064185">
              <w:rPr>
                <w:rFonts w:ascii="Verdana" w:hAnsi="Verdana"/>
                <w:b/>
                <w:bCs/>
              </w:rPr>
              <w:t>[µg/l]</w:t>
            </w:r>
          </w:p>
        </w:tc>
        <w:tc>
          <w:tcPr>
            <w:tcW w:w="1701" w:type="dxa"/>
            <w:vAlign w:val="center"/>
            <w:hideMark/>
          </w:tcPr>
          <w:p w14:paraId="2684A962" w14:textId="77777777" w:rsidR="001E3E54" w:rsidRPr="00064185" w:rsidRDefault="001E3E54" w:rsidP="00EA61D8">
            <w:pPr>
              <w:pStyle w:val="Absatz"/>
              <w:keepNext/>
              <w:keepLines/>
              <w:spacing w:before="60" w:after="60"/>
              <w:ind w:left="0"/>
              <w:rPr>
                <w:rFonts w:ascii="Verdana" w:hAnsi="Verdana"/>
                <w:b/>
                <w:bCs/>
              </w:rPr>
            </w:pPr>
            <w:r w:rsidRPr="00064185">
              <w:rPr>
                <w:rFonts w:ascii="Verdana" w:hAnsi="Verdana"/>
                <w:b/>
                <w:bCs/>
              </w:rPr>
              <w:t>Clocal</w:t>
            </w:r>
            <w:r w:rsidRPr="00064185">
              <w:rPr>
                <w:rFonts w:ascii="Verdana" w:hAnsi="Verdana"/>
                <w:b/>
                <w:bCs/>
                <w:vertAlign w:val="subscript"/>
              </w:rPr>
              <w:t xml:space="preserve">water </w:t>
            </w:r>
            <w:r w:rsidRPr="00064185">
              <w:rPr>
                <w:rFonts w:ascii="Verdana" w:hAnsi="Verdana"/>
                <w:b/>
                <w:bCs/>
              </w:rPr>
              <w:t>=</w:t>
            </w:r>
          </w:p>
          <w:p w14:paraId="4A62D0FE" w14:textId="77777777" w:rsidR="001E3E54" w:rsidRPr="00064185" w:rsidRDefault="001E3E54" w:rsidP="00EA61D8">
            <w:pPr>
              <w:pStyle w:val="Absatz"/>
              <w:keepNext/>
              <w:keepLines/>
              <w:spacing w:before="60" w:after="60"/>
              <w:ind w:left="0"/>
              <w:rPr>
                <w:rFonts w:ascii="Verdana" w:hAnsi="Verdana"/>
              </w:rPr>
            </w:pPr>
            <w:r w:rsidRPr="00064185">
              <w:rPr>
                <w:rFonts w:ascii="Verdana" w:hAnsi="Verdana"/>
                <w:b/>
                <w:bCs/>
              </w:rPr>
              <w:t>Clocal</w:t>
            </w:r>
            <w:r w:rsidRPr="00064185">
              <w:rPr>
                <w:rFonts w:ascii="Verdana" w:hAnsi="Verdana"/>
                <w:b/>
                <w:bCs/>
                <w:vertAlign w:val="subscript"/>
              </w:rPr>
              <w:t>eff</w:t>
            </w:r>
            <w:r w:rsidRPr="00064185">
              <w:rPr>
                <w:rFonts w:ascii="Verdana" w:hAnsi="Verdana"/>
                <w:b/>
                <w:bCs/>
              </w:rPr>
              <w:t xml:space="preserve"> </w:t>
            </w:r>
            <w:r w:rsidRPr="00064185">
              <w:rPr>
                <w:rFonts w:ascii="Verdana" w:hAnsi="Verdana"/>
                <w:bCs/>
              </w:rPr>
              <w:t>x</w:t>
            </w:r>
            <w:r w:rsidRPr="00064185">
              <w:rPr>
                <w:rFonts w:ascii="Verdana" w:hAnsi="Verdana"/>
                <w:b/>
                <w:bCs/>
              </w:rPr>
              <w:t xml:space="preserve"> ((1+Kp</w:t>
            </w:r>
            <w:r w:rsidRPr="00064185">
              <w:rPr>
                <w:rFonts w:ascii="Verdana" w:hAnsi="Verdana"/>
                <w:b/>
                <w:bCs/>
                <w:vertAlign w:val="subscript"/>
              </w:rPr>
              <w:t>susp</w:t>
            </w:r>
            <w:r w:rsidRPr="00064185">
              <w:rPr>
                <w:rFonts w:ascii="Verdana" w:hAnsi="Verdana"/>
                <w:b/>
                <w:bCs/>
              </w:rPr>
              <w:t xml:space="preserve"> </w:t>
            </w:r>
            <w:r w:rsidRPr="00064185">
              <w:rPr>
                <w:rFonts w:ascii="Verdana" w:hAnsi="Verdana"/>
                <w:bCs/>
              </w:rPr>
              <w:t>x</w:t>
            </w:r>
            <w:r w:rsidRPr="00064185">
              <w:rPr>
                <w:rFonts w:ascii="Verdana" w:hAnsi="Verdana"/>
                <w:b/>
                <w:bCs/>
              </w:rPr>
              <w:t xml:space="preserve"> SUSP</w:t>
            </w:r>
            <w:r w:rsidRPr="00064185">
              <w:rPr>
                <w:rFonts w:ascii="Verdana" w:hAnsi="Verdana"/>
                <w:b/>
                <w:bCs/>
                <w:vertAlign w:val="subscript"/>
              </w:rPr>
              <w:t>water</w:t>
            </w:r>
            <w:r w:rsidRPr="00064185">
              <w:rPr>
                <w:rFonts w:ascii="Verdana" w:hAnsi="Verdana"/>
                <w:b/>
                <w:bCs/>
              </w:rPr>
              <w:t xml:space="preserve"> </w:t>
            </w:r>
            <w:r w:rsidRPr="00064185">
              <w:rPr>
                <w:rFonts w:ascii="Verdana" w:hAnsi="Verdana"/>
                <w:bCs/>
              </w:rPr>
              <w:t>x</w:t>
            </w:r>
            <w:r w:rsidRPr="00064185">
              <w:rPr>
                <w:rFonts w:ascii="Verdana" w:hAnsi="Verdana"/>
                <w:b/>
                <w:bCs/>
              </w:rPr>
              <w:t xml:space="preserve"> 10</w:t>
            </w:r>
            <w:r w:rsidRPr="00064185">
              <w:rPr>
                <w:rFonts w:ascii="Verdana" w:hAnsi="Verdana"/>
                <w:b/>
                <w:bCs/>
                <w:vertAlign w:val="superscript"/>
              </w:rPr>
              <w:t>-6</w:t>
            </w:r>
            <w:r w:rsidRPr="00064185">
              <w:rPr>
                <w:rFonts w:ascii="Verdana" w:hAnsi="Verdana"/>
                <w:b/>
                <w:bCs/>
              </w:rPr>
              <w:t>) DILUTION)</w:t>
            </w:r>
            <w:r w:rsidRPr="00064185">
              <w:rPr>
                <w:rFonts w:ascii="Verdana" w:hAnsi="Verdana"/>
                <w:b/>
                <w:bCs/>
                <w:vertAlign w:val="superscript"/>
              </w:rPr>
              <w:t>-1</w:t>
            </w:r>
          </w:p>
        </w:tc>
        <w:tc>
          <w:tcPr>
            <w:tcW w:w="2693" w:type="dxa"/>
            <w:vAlign w:val="center"/>
          </w:tcPr>
          <w:p w14:paraId="18C1A192" w14:textId="31BAEE3E" w:rsidR="001E3E54" w:rsidRPr="00064185" w:rsidRDefault="001E3E54" w:rsidP="00EA61D8">
            <w:pPr>
              <w:tabs>
                <w:tab w:val="right" w:pos="1370"/>
              </w:tabs>
              <w:spacing w:before="60" w:after="60"/>
              <w:rPr>
                <w:b/>
              </w:rPr>
            </w:pPr>
            <w:r w:rsidRPr="00064185">
              <w:rPr>
                <w:b/>
              </w:rPr>
              <w:t>2.75E-2</w:t>
            </w:r>
          </w:p>
        </w:tc>
        <w:tc>
          <w:tcPr>
            <w:tcW w:w="2196" w:type="dxa"/>
            <w:vAlign w:val="center"/>
          </w:tcPr>
          <w:p w14:paraId="1ABDCFF0" w14:textId="5AD07544" w:rsidR="001E3E54" w:rsidRPr="00064185" w:rsidRDefault="001E3E54" w:rsidP="00EA61D8">
            <w:pPr>
              <w:tabs>
                <w:tab w:val="right" w:pos="1370"/>
              </w:tabs>
              <w:spacing w:before="60" w:after="60"/>
              <w:rPr>
                <w:b/>
              </w:rPr>
            </w:pPr>
            <w:r w:rsidRPr="00064185">
              <w:rPr>
                <w:b/>
              </w:rPr>
              <w:t>2.81E-3</w:t>
            </w:r>
          </w:p>
        </w:tc>
      </w:tr>
    </w:tbl>
    <w:p w14:paraId="1C381574" w14:textId="77777777" w:rsidR="00FA2E2A" w:rsidRPr="00064185" w:rsidRDefault="00FA2E2A" w:rsidP="00EA61D8"/>
    <w:p w14:paraId="32717DDA" w14:textId="31BC6805" w:rsidR="000A229F" w:rsidRPr="00064185" w:rsidRDefault="000A229F" w:rsidP="006A7704">
      <w:pPr>
        <w:jc w:val="both"/>
      </w:pPr>
      <w:r w:rsidRPr="00064185">
        <w:t>The calculated Clocal</w:t>
      </w:r>
      <w:r w:rsidRPr="00064185">
        <w:rPr>
          <w:vertAlign w:val="subscript"/>
        </w:rPr>
        <w:t xml:space="preserve">water </w:t>
      </w:r>
      <w:r w:rsidRPr="00064185">
        <w:t>concentrations correspond to the PEClocal</w:t>
      </w:r>
      <w:r w:rsidRPr="00064185">
        <w:rPr>
          <w:vertAlign w:val="subscript"/>
        </w:rPr>
        <w:t>water</w:t>
      </w:r>
      <w:r w:rsidRPr="00064185">
        <w:t xml:space="preserve"> in the case of non-existing background concentrations.</w:t>
      </w:r>
    </w:p>
    <w:p w14:paraId="46F5D2C3" w14:textId="77777777" w:rsidR="000A229F" w:rsidRPr="00064185" w:rsidRDefault="000A229F" w:rsidP="006A7704">
      <w:pPr>
        <w:jc w:val="both"/>
      </w:pPr>
    </w:p>
    <w:p w14:paraId="44096677" w14:textId="77777777" w:rsidR="00587D1D" w:rsidRPr="00064185" w:rsidRDefault="00587D1D" w:rsidP="00EA61D8">
      <w:pPr>
        <w:rPr>
          <w:rFonts w:eastAsia="Calibri"/>
          <w:b/>
          <w:i/>
          <w:sz w:val="22"/>
          <w:szCs w:val="22"/>
          <w:u w:val="single"/>
          <w:lang w:eastAsia="en-US"/>
        </w:rPr>
      </w:pPr>
      <w:bookmarkStart w:id="1811" w:name="_Toc119904936"/>
      <w:bookmarkStart w:id="1812" w:name="_Ref137624028"/>
      <w:bookmarkStart w:id="1813" w:name="_Ref137892542"/>
      <w:bookmarkStart w:id="1814" w:name="_Ref166893785"/>
      <w:bookmarkStart w:id="1815" w:name="_Ref166904812"/>
    </w:p>
    <w:p w14:paraId="5FA35004" w14:textId="77777777" w:rsidR="000A229F" w:rsidRPr="00064185" w:rsidRDefault="000A229F" w:rsidP="006A7704">
      <w:pPr>
        <w:jc w:val="both"/>
        <w:rPr>
          <w:rFonts w:eastAsia="Calibri"/>
          <w:b/>
          <w:i/>
          <w:sz w:val="22"/>
          <w:szCs w:val="22"/>
          <w:u w:val="single"/>
          <w:lang w:eastAsia="en-US"/>
        </w:rPr>
      </w:pPr>
      <w:r w:rsidRPr="00064185">
        <w:rPr>
          <w:rFonts w:eastAsia="Calibri"/>
          <w:b/>
          <w:i/>
          <w:sz w:val="22"/>
          <w:szCs w:val="22"/>
          <w:u w:val="single"/>
          <w:lang w:eastAsia="en-US"/>
        </w:rPr>
        <w:t>PEC for Sediment</w:t>
      </w:r>
      <w:bookmarkEnd w:id="1811"/>
      <w:bookmarkEnd w:id="1812"/>
      <w:bookmarkEnd w:id="1813"/>
      <w:bookmarkEnd w:id="1814"/>
      <w:bookmarkEnd w:id="1815"/>
    </w:p>
    <w:p w14:paraId="07345282" w14:textId="77777777" w:rsidR="00C6445A" w:rsidRPr="00064185" w:rsidRDefault="00C6445A" w:rsidP="006A7704">
      <w:pPr>
        <w:jc w:val="both"/>
      </w:pPr>
    </w:p>
    <w:p w14:paraId="174186BE" w14:textId="6A07E91A" w:rsidR="000A229F" w:rsidRPr="00064185" w:rsidRDefault="000A229F" w:rsidP="006A7704">
      <w:pPr>
        <w:jc w:val="both"/>
      </w:pPr>
      <w:r w:rsidRPr="00064185">
        <w:t>Following the TGD (2003), the PEC in sediment is assessed for freshly deposited sediments. Therefore, the properties of suspended matter are used. Accordingly, the bulk density of (wet) suspended matter (RHO</w:t>
      </w:r>
      <w:r w:rsidRPr="00064185">
        <w:rPr>
          <w:vertAlign w:val="subscript"/>
        </w:rPr>
        <w:t>susp</w:t>
      </w:r>
      <w:r w:rsidRPr="00064185">
        <w:t>) and the suspended matter-water partitioning coefficient (K</w:t>
      </w:r>
      <w:r w:rsidRPr="00064185">
        <w:rPr>
          <w:vertAlign w:val="subscript"/>
        </w:rPr>
        <w:t>susp-water</w:t>
      </w:r>
      <w:r w:rsidRPr="00064185">
        <w:t>) are calculated respectively, and the PEC</w:t>
      </w:r>
      <w:r w:rsidRPr="00064185">
        <w:rPr>
          <w:vertAlign w:val="subscript"/>
        </w:rPr>
        <w:t xml:space="preserve">local </w:t>
      </w:r>
      <w:r w:rsidRPr="00064185">
        <w:t>for sediment is assessed.</w:t>
      </w:r>
    </w:p>
    <w:p w14:paraId="68679D3C" w14:textId="77777777" w:rsidR="00113EF3" w:rsidRPr="00064185" w:rsidRDefault="00113EF3" w:rsidP="006A7704">
      <w:pPr>
        <w:jc w:val="both"/>
      </w:pPr>
    </w:p>
    <w:p w14:paraId="47DADFF8" w14:textId="77777777" w:rsidR="000A229F" w:rsidRPr="00064185" w:rsidRDefault="000A229F" w:rsidP="006A7704">
      <w:pPr>
        <w:jc w:val="both"/>
      </w:pPr>
      <w:r w:rsidRPr="00064185">
        <w:t>The bulk density of (wet) suspended matter (RHO</w:t>
      </w:r>
      <w:r w:rsidRPr="00064185">
        <w:rPr>
          <w:vertAlign w:val="subscript"/>
        </w:rPr>
        <w:t>susp</w:t>
      </w:r>
      <w:r w:rsidRPr="00064185">
        <w:t>) is calculated taking the following default values: 0.1 m³/m³ for Fsolid</w:t>
      </w:r>
      <w:r w:rsidRPr="00064185">
        <w:rPr>
          <w:vertAlign w:val="subscript"/>
        </w:rPr>
        <w:t xml:space="preserve">susp </w:t>
      </w:r>
      <w:r w:rsidRPr="00064185">
        <w:t>(fraction solids in suspended matter), 2500 kg/m³</w:t>
      </w:r>
      <w:r w:rsidRPr="00064185">
        <w:rPr>
          <w:vertAlign w:val="superscript"/>
        </w:rPr>
        <w:t xml:space="preserve"> </w:t>
      </w:r>
      <w:r w:rsidRPr="00064185">
        <w:t xml:space="preserve">for RHOsolid (bulk density of the solid phase), </w:t>
      </w:r>
      <w:proofErr w:type="gramStart"/>
      <w:r w:rsidRPr="00064185">
        <w:t>0.9 m³/m³</w:t>
      </w:r>
      <w:r w:rsidRPr="00064185">
        <w:rPr>
          <w:vertAlign w:val="superscript"/>
        </w:rPr>
        <w:t xml:space="preserve"> </w:t>
      </w:r>
      <w:r w:rsidRPr="00064185">
        <w:t>for Fwater</w:t>
      </w:r>
      <w:r w:rsidRPr="00064185">
        <w:rPr>
          <w:vertAlign w:val="subscript"/>
        </w:rPr>
        <w:t xml:space="preserve">susp </w:t>
      </w:r>
      <w:r w:rsidRPr="00064185">
        <w:t>(fraction water in suspended matter) and 1000 kg</w:t>
      </w:r>
      <w:proofErr w:type="gramEnd"/>
      <w:r w:rsidRPr="00064185">
        <w:t>/m³</w:t>
      </w:r>
      <w:r w:rsidRPr="00064185">
        <w:rPr>
          <w:vertAlign w:val="superscript"/>
        </w:rPr>
        <w:t xml:space="preserve"> </w:t>
      </w:r>
      <w:r w:rsidRPr="00064185">
        <w:t>for RHO</w:t>
      </w:r>
      <w:r w:rsidRPr="00064185">
        <w:rPr>
          <w:vertAlign w:val="subscript"/>
        </w:rPr>
        <w:t>water</w:t>
      </w:r>
      <w:r w:rsidRPr="00064185">
        <w:t xml:space="preserve"> (density of the water phase).</w:t>
      </w:r>
    </w:p>
    <w:p w14:paraId="32CF08BB" w14:textId="77777777" w:rsidR="000A229F" w:rsidRPr="00064185" w:rsidRDefault="000A229F" w:rsidP="00EA61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3"/>
        <w:gridCol w:w="3987"/>
        <w:gridCol w:w="1734"/>
      </w:tblGrid>
      <w:tr w:rsidR="00064185" w:rsidRPr="00064185" w14:paraId="15AC2BE6" w14:textId="77777777" w:rsidTr="00696522">
        <w:trPr>
          <w:trHeight w:val="471"/>
          <w:jc w:val="center"/>
        </w:trPr>
        <w:tc>
          <w:tcPr>
            <w:tcW w:w="5000" w:type="pct"/>
            <w:gridSpan w:val="3"/>
            <w:shd w:val="clear" w:color="auto" w:fill="FFFFCC"/>
            <w:noWrap/>
            <w:vAlign w:val="center"/>
          </w:tcPr>
          <w:p w14:paraId="351C31B8" w14:textId="37346ADD" w:rsidR="00A979C1" w:rsidRPr="00064185" w:rsidRDefault="00A979C1" w:rsidP="00EA61D8">
            <w:pPr>
              <w:keepNext/>
              <w:keepLines/>
              <w:rPr>
                <w:b/>
                <w:bCs/>
              </w:rPr>
            </w:pPr>
            <w:r w:rsidRPr="00064185">
              <w:rPr>
                <w:b/>
              </w:rPr>
              <w:t>Calculation of RHO</w:t>
            </w:r>
            <w:r w:rsidRPr="00064185">
              <w:rPr>
                <w:b/>
                <w:vertAlign w:val="subscript"/>
              </w:rPr>
              <w:t>susp</w:t>
            </w:r>
            <w:r w:rsidRPr="00064185">
              <w:rPr>
                <w:b/>
              </w:rPr>
              <w:t xml:space="preserve"> (</w:t>
            </w:r>
            <w:r w:rsidRPr="00064185">
              <w:rPr>
                <w:b/>
                <w:i/>
              </w:rPr>
              <w:t>cf.</w:t>
            </w:r>
            <w:r w:rsidRPr="00064185">
              <w:rPr>
                <w:b/>
              </w:rPr>
              <w:t xml:space="preserve"> TGD, 2003, Equation 18)</w:t>
            </w:r>
          </w:p>
        </w:tc>
      </w:tr>
      <w:tr w:rsidR="00064185" w:rsidRPr="00064185" w14:paraId="1F252A06" w14:textId="77777777" w:rsidTr="00A979C1">
        <w:trPr>
          <w:trHeight w:val="471"/>
          <w:jc w:val="center"/>
        </w:trPr>
        <w:tc>
          <w:tcPr>
            <w:tcW w:w="1942" w:type="pct"/>
            <w:noWrap/>
            <w:vAlign w:val="center"/>
            <w:hideMark/>
          </w:tcPr>
          <w:p w14:paraId="406A5EE7" w14:textId="77777777" w:rsidR="000A229F" w:rsidRPr="00064185" w:rsidRDefault="000A229F" w:rsidP="00EA61D8">
            <w:pPr>
              <w:keepNext/>
              <w:keepLines/>
              <w:rPr>
                <w:rFonts w:ascii="Arial" w:hAnsi="Arial" w:cs="Arial"/>
              </w:rPr>
            </w:pPr>
            <w:r w:rsidRPr="00064185">
              <w:rPr>
                <w:b/>
                <w:bCs/>
              </w:rPr>
              <w:t>Parameter</w:t>
            </w:r>
          </w:p>
        </w:tc>
        <w:tc>
          <w:tcPr>
            <w:tcW w:w="2131" w:type="pct"/>
            <w:vAlign w:val="center"/>
            <w:hideMark/>
          </w:tcPr>
          <w:p w14:paraId="4BC79B22" w14:textId="77777777" w:rsidR="000A229F" w:rsidRPr="00064185" w:rsidRDefault="000A229F" w:rsidP="00EA61D8">
            <w:pPr>
              <w:keepNext/>
              <w:keepLines/>
              <w:rPr>
                <w:b/>
                <w:bCs/>
              </w:rPr>
            </w:pPr>
            <w:r w:rsidRPr="00064185">
              <w:rPr>
                <w:b/>
                <w:bCs/>
              </w:rPr>
              <w:t>Definition</w:t>
            </w:r>
          </w:p>
        </w:tc>
        <w:tc>
          <w:tcPr>
            <w:tcW w:w="927" w:type="pct"/>
            <w:vAlign w:val="center"/>
            <w:hideMark/>
          </w:tcPr>
          <w:p w14:paraId="439751AD" w14:textId="77777777" w:rsidR="000A229F" w:rsidRPr="00064185" w:rsidRDefault="000A229F" w:rsidP="00EA61D8">
            <w:pPr>
              <w:keepNext/>
              <w:keepLines/>
              <w:rPr>
                <w:bCs/>
              </w:rPr>
            </w:pPr>
            <w:r w:rsidRPr="00064185">
              <w:rPr>
                <w:b/>
                <w:bCs/>
              </w:rPr>
              <w:t>Value</w:t>
            </w:r>
          </w:p>
        </w:tc>
      </w:tr>
      <w:tr w:rsidR="00064185" w:rsidRPr="00064185" w14:paraId="7C72CAC8" w14:textId="77777777" w:rsidTr="00A979C1">
        <w:trPr>
          <w:trHeight w:val="472"/>
          <w:jc w:val="center"/>
        </w:trPr>
        <w:tc>
          <w:tcPr>
            <w:tcW w:w="1942" w:type="pct"/>
            <w:vAlign w:val="center"/>
            <w:hideMark/>
          </w:tcPr>
          <w:p w14:paraId="6FC9E94A" w14:textId="77777777" w:rsidR="000A229F" w:rsidRPr="00064185" w:rsidRDefault="000A229F" w:rsidP="00EA61D8">
            <w:pPr>
              <w:keepNext/>
              <w:keepLines/>
              <w:rPr>
                <w:bCs/>
              </w:rPr>
            </w:pPr>
            <w:r w:rsidRPr="00064185">
              <w:t xml:space="preserve">Fraction solids in suspended matter </w:t>
            </w:r>
            <w:r w:rsidRPr="00064185">
              <w:br/>
            </w:r>
            <w:r w:rsidRPr="00064185">
              <w:rPr>
                <w:bCs/>
              </w:rPr>
              <w:t>[m³/m</w:t>
            </w:r>
            <w:r w:rsidRPr="00064185">
              <w:rPr>
                <w:bCs/>
                <w:vertAlign w:val="superscript"/>
              </w:rPr>
              <w:t>3</w:t>
            </w:r>
            <w:r w:rsidRPr="00064185">
              <w:rPr>
                <w:bCs/>
              </w:rPr>
              <w:t>]</w:t>
            </w:r>
          </w:p>
        </w:tc>
        <w:tc>
          <w:tcPr>
            <w:tcW w:w="2131" w:type="pct"/>
            <w:vAlign w:val="center"/>
            <w:hideMark/>
          </w:tcPr>
          <w:p w14:paraId="3007B62B" w14:textId="77777777" w:rsidR="000A229F" w:rsidRPr="00064185" w:rsidRDefault="000A229F" w:rsidP="00EA61D8">
            <w:pPr>
              <w:keepNext/>
              <w:keepLines/>
              <w:rPr>
                <w:bCs/>
              </w:rPr>
            </w:pPr>
            <w:r w:rsidRPr="00064185">
              <w:t>Fsolid</w:t>
            </w:r>
            <w:r w:rsidRPr="00064185">
              <w:rPr>
                <w:vertAlign w:val="subscript"/>
              </w:rPr>
              <w:t>susp</w:t>
            </w:r>
          </w:p>
        </w:tc>
        <w:tc>
          <w:tcPr>
            <w:tcW w:w="927" w:type="pct"/>
            <w:vAlign w:val="center"/>
            <w:hideMark/>
          </w:tcPr>
          <w:p w14:paraId="32E453E2" w14:textId="77777777" w:rsidR="000A229F" w:rsidRPr="00064185" w:rsidRDefault="000A229F" w:rsidP="00EA61D8">
            <w:pPr>
              <w:keepNext/>
              <w:keepLines/>
            </w:pPr>
            <w:r w:rsidRPr="00064185">
              <w:t>0.1</w:t>
            </w:r>
          </w:p>
        </w:tc>
      </w:tr>
      <w:tr w:rsidR="00064185" w:rsidRPr="00064185" w14:paraId="57B36415" w14:textId="77777777" w:rsidTr="00A979C1">
        <w:trPr>
          <w:trHeight w:val="420"/>
          <w:jc w:val="center"/>
        </w:trPr>
        <w:tc>
          <w:tcPr>
            <w:tcW w:w="1942" w:type="pct"/>
            <w:vAlign w:val="center"/>
            <w:hideMark/>
          </w:tcPr>
          <w:p w14:paraId="5ADA5803" w14:textId="77777777" w:rsidR="000A229F" w:rsidRPr="00064185" w:rsidRDefault="000A229F" w:rsidP="00EA61D8">
            <w:pPr>
              <w:keepNext/>
              <w:keepLines/>
              <w:tabs>
                <w:tab w:val="left" w:pos="720"/>
                <w:tab w:val="left" w:pos="2127"/>
                <w:tab w:val="left" w:pos="2552"/>
                <w:tab w:val="left" w:pos="7371"/>
                <w:tab w:val="right" w:pos="7921"/>
              </w:tabs>
            </w:pPr>
            <w:r w:rsidRPr="00064185">
              <w:t>Bulk density of the solid phase</w:t>
            </w:r>
            <w:r w:rsidRPr="00064185">
              <w:rPr>
                <w:bCs/>
              </w:rPr>
              <w:t xml:space="preserve"> [kg/m</w:t>
            </w:r>
            <w:r w:rsidRPr="00064185">
              <w:rPr>
                <w:bCs/>
                <w:vertAlign w:val="superscript"/>
              </w:rPr>
              <w:t>3</w:t>
            </w:r>
            <w:r w:rsidRPr="00064185">
              <w:rPr>
                <w:bCs/>
              </w:rPr>
              <w:t>]</w:t>
            </w:r>
          </w:p>
        </w:tc>
        <w:tc>
          <w:tcPr>
            <w:tcW w:w="2131" w:type="pct"/>
            <w:vAlign w:val="center"/>
            <w:hideMark/>
          </w:tcPr>
          <w:p w14:paraId="056F4096" w14:textId="77777777" w:rsidR="000A229F" w:rsidRPr="00064185" w:rsidRDefault="000A229F" w:rsidP="00EA61D8">
            <w:pPr>
              <w:keepNext/>
              <w:keepLines/>
            </w:pPr>
            <w:r w:rsidRPr="00064185">
              <w:t>RHO</w:t>
            </w:r>
            <w:r w:rsidRPr="00064185">
              <w:rPr>
                <w:vertAlign w:val="subscript"/>
              </w:rPr>
              <w:t>solid</w:t>
            </w:r>
          </w:p>
        </w:tc>
        <w:tc>
          <w:tcPr>
            <w:tcW w:w="927" w:type="pct"/>
            <w:vAlign w:val="center"/>
            <w:hideMark/>
          </w:tcPr>
          <w:p w14:paraId="180D77A3" w14:textId="77777777" w:rsidR="000A229F" w:rsidRPr="00064185" w:rsidRDefault="000A229F" w:rsidP="00EA61D8">
            <w:pPr>
              <w:keepNext/>
              <w:keepLines/>
              <w:rPr>
                <w:sz w:val="16"/>
              </w:rPr>
            </w:pPr>
            <w:r w:rsidRPr="00064185">
              <w:t>2500</w:t>
            </w:r>
          </w:p>
        </w:tc>
      </w:tr>
      <w:tr w:rsidR="00064185" w:rsidRPr="00064185" w14:paraId="30A49A88" w14:textId="77777777" w:rsidTr="00A979C1">
        <w:trPr>
          <w:trHeight w:val="420"/>
          <w:jc w:val="center"/>
        </w:trPr>
        <w:tc>
          <w:tcPr>
            <w:tcW w:w="1942" w:type="pct"/>
            <w:vAlign w:val="center"/>
            <w:hideMark/>
          </w:tcPr>
          <w:p w14:paraId="1813587E" w14:textId="77777777" w:rsidR="000A229F" w:rsidRPr="00064185" w:rsidRDefault="000A229F" w:rsidP="00EA61D8">
            <w:pPr>
              <w:keepNext/>
              <w:keepLines/>
              <w:tabs>
                <w:tab w:val="left" w:pos="720"/>
                <w:tab w:val="left" w:pos="2127"/>
                <w:tab w:val="left" w:pos="2552"/>
                <w:tab w:val="left" w:pos="7371"/>
                <w:tab w:val="right" w:pos="7921"/>
              </w:tabs>
            </w:pPr>
            <w:r w:rsidRPr="00064185">
              <w:t xml:space="preserve">Fraction water in suspended matter </w:t>
            </w:r>
            <w:r w:rsidRPr="00064185">
              <w:rPr>
                <w:bCs/>
              </w:rPr>
              <w:t>[m³/m</w:t>
            </w:r>
            <w:r w:rsidRPr="00064185">
              <w:rPr>
                <w:bCs/>
                <w:vertAlign w:val="superscript"/>
              </w:rPr>
              <w:t>3</w:t>
            </w:r>
            <w:r w:rsidRPr="00064185">
              <w:rPr>
                <w:bCs/>
              </w:rPr>
              <w:t>]</w:t>
            </w:r>
          </w:p>
        </w:tc>
        <w:tc>
          <w:tcPr>
            <w:tcW w:w="2131" w:type="pct"/>
            <w:vAlign w:val="center"/>
            <w:hideMark/>
          </w:tcPr>
          <w:p w14:paraId="39368B9A" w14:textId="77777777" w:rsidR="000A229F" w:rsidRPr="00064185" w:rsidRDefault="000A229F" w:rsidP="00EA61D8">
            <w:pPr>
              <w:keepNext/>
              <w:keepLines/>
            </w:pPr>
            <w:r w:rsidRPr="00064185">
              <w:t>Fwater</w:t>
            </w:r>
            <w:r w:rsidRPr="00064185">
              <w:rPr>
                <w:vertAlign w:val="subscript"/>
              </w:rPr>
              <w:t>susp</w:t>
            </w:r>
          </w:p>
        </w:tc>
        <w:tc>
          <w:tcPr>
            <w:tcW w:w="927" w:type="pct"/>
            <w:vAlign w:val="center"/>
            <w:hideMark/>
          </w:tcPr>
          <w:p w14:paraId="7C9664C3" w14:textId="77777777" w:rsidR="000A229F" w:rsidRPr="00064185" w:rsidRDefault="000A229F" w:rsidP="00EA61D8">
            <w:pPr>
              <w:keepNext/>
              <w:keepLines/>
            </w:pPr>
            <w:r w:rsidRPr="00064185">
              <w:t>0.9</w:t>
            </w:r>
          </w:p>
        </w:tc>
      </w:tr>
      <w:tr w:rsidR="00064185" w:rsidRPr="00064185" w14:paraId="66AEA060" w14:textId="77777777" w:rsidTr="00A979C1">
        <w:trPr>
          <w:trHeight w:val="420"/>
          <w:jc w:val="center"/>
        </w:trPr>
        <w:tc>
          <w:tcPr>
            <w:tcW w:w="1942" w:type="pct"/>
            <w:vAlign w:val="center"/>
            <w:hideMark/>
          </w:tcPr>
          <w:p w14:paraId="35C91977" w14:textId="77777777" w:rsidR="000A229F" w:rsidRPr="00064185" w:rsidRDefault="000A229F" w:rsidP="00EA61D8">
            <w:pPr>
              <w:keepNext/>
              <w:keepLines/>
              <w:tabs>
                <w:tab w:val="left" w:pos="720"/>
                <w:tab w:val="left" w:pos="2127"/>
                <w:tab w:val="left" w:pos="2552"/>
                <w:tab w:val="left" w:pos="7371"/>
                <w:tab w:val="right" w:pos="7921"/>
              </w:tabs>
            </w:pPr>
            <w:r w:rsidRPr="00064185">
              <w:t>Density of the water phase</w:t>
            </w:r>
            <w:r w:rsidRPr="00064185">
              <w:br/>
            </w:r>
            <w:r w:rsidRPr="00064185">
              <w:rPr>
                <w:bCs/>
              </w:rPr>
              <w:t>[kg/m</w:t>
            </w:r>
            <w:r w:rsidRPr="00064185">
              <w:rPr>
                <w:bCs/>
                <w:vertAlign w:val="superscript"/>
              </w:rPr>
              <w:t>3</w:t>
            </w:r>
            <w:r w:rsidRPr="00064185">
              <w:rPr>
                <w:bCs/>
              </w:rPr>
              <w:t>]</w:t>
            </w:r>
          </w:p>
        </w:tc>
        <w:tc>
          <w:tcPr>
            <w:tcW w:w="2131" w:type="pct"/>
            <w:vAlign w:val="center"/>
            <w:hideMark/>
          </w:tcPr>
          <w:p w14:paraId="7EE2BDB2" w14:textId="77777777" w:rsidR="000A229F" w:rsidRPr="00064185" w:rsidRDefault="000A229F" w:rsidP="00EA61D8">
            <w:pPr>
              <w:keepNext/>
              <w:keepLines/>
              <w:rPr>
                <w:bCs/>
              </w:rPr>
            </w:pPr>
            <w:r w:rsidRPr="00064185">
              <w:t>RHO</w:t>
            </w:r>
            <w:r w:rsidRPr="00064185">
              <w:rPr>
                <w:vertAlign w:val="subscript"/>
              </w:rPr>
              <w:t>water</w:t>
            </w:r>
          </w:p>
        </w:tc>
        <w:tc>
          <w:tcPr>
            <w:tcW w:w="927" w:type="pct"/>
            <w:vAlign w:val="center"/>
            <w:hideMark/>
          </w:tcPr>
          <w:p w14:paraId="5B946334" w14:textId="77777777" w:rsidR="000A229F" w:rsidRPr="00064185" w:rsidRDefault="000A229F" w:rsidP="00EA61D8">
            <w:pPr>
              <w:keepNext/>
              <w:keepLines/>
            </w:pPr>
            <w:r w:rsidRPr="00064185">
              <w:t>1000</w:t>
            </w:r>
          </w:p>
        </w:tc>
      </w:tr>
      <w:tr w:rsidR="00A979C1" w:rsidRPr="00064185" w14:paraId="2D5DD83F" w14:textId="77777777" w:rsidTr="00A979C1">
        <w:trPr>
          <w:trHeight w:val="632"/>
          <w:jc w:val="center"/>
        </w:trPr>
        <w:tc>
          <w:tcPr>
            <w:tcW w:w="1942" w:type="pct"/>
            <w:vAlign w:val="center"/>
            <w:hideMark/>
          </w:tcPr>
          <w:p w14:paraId="544B5E96" w14:textId="77777777" w:rsidR="000A229F" w:rsidRPr="00064185" w:rsidRDefault="000A229F" w:rsidP="00EA61D8">
            <w:pPr>
              <w:keepNext/>
              <w:keepLines/>
              <w:tabs>
                <w:tab w:val="left" w:pos="1418"/>
                <w:tab w:val="left" w:pos="7513"/>
                <w:tab w:val="left" w:pos="8505"/>
              </w:tabs>
              <w:rPr>
                <w:b/>
              </w:rPr>
            </w:pPr>
            <w:r w:rsidRPr="00064185">
              <w:rPr>
                <w:b/>
              </w:rPr>
              <w:t xml:space="preserve">Bulk density of (wet) suspended matter </w:t>
            </w:r>
            <w:r w:rsidRPr="00064185">
              <w:rPr>
                <w:b/>
                <w:bCs/>
              </w:rPr>
              <w:t>[kg/m</w:t>
            </w:r>
            <w:r w:rsidRPr="00064185">
              <w:rPr>
                <w:b/>
                <w:bCs/>
                <w:vertAlign w:val="superscript"/>
              </w:rPr>
              <w:t>3</w:t>
            </w:r>
            <w:r w:rsidRPr="00064185">
              <w:rPr>
                <w:b/>
                <w:bCs/>
              </w:rPr>
              <w:t>]</w:t>
            </w:r>
          </w:p>
        </w:tc>
        <w:tc>
          <w:tcPr>
            <w:tcW w:w="2131" w:type="pct"/>
            <w:vAlign w:val="center"/>
            <w:hideMark/>
          </w:tcPr>
          <w:p w14:paraId="6A7886EB" w14:textId="77777777" w:rsidR="000A229F" w:rsidRPr="00064185" w:rsidRDefault="000A229F" w:rsidP="00EA61D8">
            <w:pPr>
              <w:pStyle w:val="Textkrper"/>
              <w:keepNext/>
              <w:keepLines/>
              <w:rPr>
                <w:b/>
                <w:i/>
                <w:iCs/>
                <w:vertAlign w:val="subscript"/>
              </w:rPr>
            </w:pPr>
            <w:r w:rsidRPr="00064185">
              <w:rPr>
                <w:b/>
                <w:i/>
                <w:iCs/>
              </w:rPr>
              <w:t>RHOsusp = Fsolid</w:t>
            </w:r>
            <w:r w:rsidRPr="00064185">
              <w:rPr>
                <w:b/>
                <w:i/>
                <w:iCs/>
                <w:vertAlign w:val="subscript"/>
              </w:rPr>
              <w:t xml:space="preserve">susp </w:t>
            </w:r>
            <w:r w:rsidRPr="00064185">
              <w:rPr>
                <w:b/>
                <w:i/>
                <w:iCs/>
              </w:rPr>
              <w:t>x RHO</w:t>
            </w:r>
            <w:r w:rsidRPr="00064185">
              <w:rPr>
                <w:b/>
                <w:i/>
                <w:iCs/>
                <w:vertAlign w:val="subscript"/>
              </w:rPr>
              <w:t>solid</w:t>
            </w:r>
            <w:r w:rsidRPr="00064185">
              <w:rPr>
                <w:b/>
                <w:i/>
                <w:iCs/>
              </w:rPr>
              <w:t xml:space="preserve"> + Fwater</w:t>
            </w:r>
            <w:r w:rsidRPr="00064185">
              <w:rPr>
                <w:b/>
                <w:i/>
                <w:iCs/>
                <w:vertAlign w:val="subscript"/>
              </w:rPr>
              <w:t>susp</w:t>
            </w:r>
            <w:r w:rsidRPr="00064185">
              <w:rPr>
                <w:b/>
                <w:i/>
                <w:iCs/>
              </w:rPr>
              <w:t xml:space="preserve"> x RHO</w:t>
            </w:r>
            <w:r w:rsidRPr="00064185">
              <w:rPr>
                <w:b/>
                <w:i/>
                <w:iCs/>
                <w:vertAlign w:val="subscript"/>
              </w:rPr>
              <w:t>water</w:t>
            </w:r>
          </w:p>
        </w:tc>
        <w:tc>
          <w:tcPr>
            <w:tcW w:w="927" w:type="pct"/>
            <w:vAlign w:val="center"/>
            <w:hideMark/>
          </w:tcPr>
          <w:p w14:paraId="2CDCCAD3" w14:textId="77777777" w:rsidR="000A229F" w:rsidRPr="00064185" w:rsidRDefault="000A229F" w:rsidP="00EA61D8">
            <w:pPr>
              <w:keepNext/>
              <w:keepLines/>
              <w:tabs>
                <w:tab w:val="right" w:pos="1370"/>
              </w:tabs>
              <w:rPr>
                <w:b/>
              </w:rPr>
            </w:pPr>
            <w:r w:rsidRPr="00064185">
              <w:rPr>
                <w:b/>
              </w:rPr>
              <w:t>1150</w:t>
            </w:r>
          </w:p>
        </w:tc>
      </w:tr>
    </w:tbl>
    <w:p w14:paraId="318DD4AD" w14:textId="77777777" w:rsidR="00587D1D" w:rsidRPr="00064185" w:rsidRDefault="00587D1D" w:rsidP="00EA61D8"/>
    <w:p w14:paraId="4C95B715" w14:textId="3C17FB31" w:rsidR="000A229F" w:rsidRPr="00064185" w:rsidRDefault="000A229F" w:rsidP="006A7704">
      <w:pPr>
        <w:jc w:val="both"/>
      </w:pPr>
      <w:r w:rsidRPr="00064185">
        <w:t>The suspended matter-water partitioning coefficient (K</w:t>
      </w:r>
      <w:r w:rsidRPr="00064185">
        <w:rPr>
          <w:vertAlign w:val="subscript"/>
        </w:rPr>
        <w:t>susp-water</w:t>
      </w:r>
      <w:r w:rsidRPr="00064185">
        <w:t xml:space="preserve">) is derived taking default values </w:t>
      </w:r>
      <w:proofErr w:type="gramStart"/>
      <w:r w:rsidRPr="00064185">
        <w:t>of 0.9 m³/m³</w:t>
      </w:r>
      <w:proofErr w:type="gramEnd"/>
      <w:r w:rsidRPr="00064185">
        <w:t xml:space="preserve"> for Fwater</w:t>
      </w:r>
      <w:r w:rsidRPr="00064185">
        <w:rPr>
          <w:vertAlign w:val="subscript"/>
        </w:rPr>
        <w:t>susp</w:t>
      </w:r>
      <w:r w:rsidRPr="00064185">
        <w:t>, 0.1 m³/m³</w:t>
      </w:r>
      <w:r w:rsidRPr="00064185">
        <w:rPr>
          <w:vertAlign w:val="superscript"/>
        </w:rPr>
        <w:t xml:space="preserve"> </w:t>
      </w:r>
      <w:r w:rsidRPr="00064185">
        <w:t>for Fsolid</w:t>
      </w:r>
      <w:r w:rsidRPr="00064185">
        <w:rPr>
          <w:vertAlign w:val="subscript"/>
        </w:rPr>
        <w:t>susp</w:t>
      </w:r>
      <w:r w:rsidRPr="00064185">
        <w:t xml:space="preserve"> and 2500 kg/m³ for RHO</w:t>
      </w:r>
      <w:r w:rsidRPr="00064185">
        <w:rPr>
          <w:vertAlign w:val="subscript"/>
        </w:rPr>
        <w:t>solid</w:t>
      </w:r>
      <w:r w:rsidRPr="00064185">
        <w:t>. The Kp</w:t>
      </w:r>
      <w:r w:rsidRPr="00064185">
        <w:rPr>
          <w:vertAlign w:val="subscript"/>
        </w:rPr>
        <w:t>susp</w:t>
      </w:r>
      <w:r w:rsidRPr="00064185">
        <w:t xml:space="preserve"> figure is taken from</w:t>
      </w:r>
      <w:r w:rsidR="00EF3FF3" w:rsidRPr="00064185">
        <w:t xml:space="preserve"> above</w:t>
      </w:r>
      <w:r w:rsidRPr="00064185">
        <w:t>.</w:t>
      </w:r>
    </w:p>
    <w:p w14:paraId="6AF7AA2D" w14:textId="77777777" w:rsidR="00F50A01" w:rsidRPr="00064185" w:rsidRDefault="00F50A01" w:rsidP="00EA61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2"/>
        <w:gridCol w:w="4608"/>
        <w:gridCol w:w="1734"/>
      </w:tblGrid>
      <w:tr w:rsidR="00064185" w:rsidRPr="00064185" w14:paraId="658E2D89" w14:textId="77777777" w:rsidTr="00F50A01">
        <w:trPr>
          <w:trHeight w:val="471"/>
        </w:trPr>
        <w:tc>
          <w:tcPr>
            <w:tcW w:w="5000" w:type="pct"/>
            <w:gridSpan w:val="3"/>
            <w:shd w:val="clear" w:color="auto" w:fill="FFFFCC"/>
            <w:noWrap/>
            <w:vAlign w:val="center"/>
          </w:tcPr>
          <w:p w14:paraId="01AE705E" w14:textId="77777777" w:rsidR="00F50A01" w:rsidRPr="00064185" w:rsidRDefault="00F50A01" w:rsidP="00EA61D8">
            <w:pPr>
              <w:keepNext/>
              <w:keepLines/>
              <w:rPr>
                <w:b/>
              </w:rPr>
            </w:pPr>
          </w:p>
          <w:p w14:paraId="1C197FC5" w14:textId="77777777" w:rsidR="00F50A01" w:rsidRPr="00064185" w:rsidRDefault="00F50A01" w:rsidP="00EA61D8">
            <w:pPr>
              <w:keepNext/>
              <w:keepLines/>
              <w:rPr>
                <w:b/>
                <w:bCs/>
              </w:rPr>
            </w:pPr>
            <w:r w:rsidRPr="00064185">
              <w:rPr>
                <w:b/>
              </w:rPr>
              <w:t>Calculation of K</w:t>
            </w:r>
            <w:r w:rsidRPr="00064185">
              <w:rPr>
                <w:b/>
                <w:vertAlign w:val="subscript"/>
              </w:rPr>
              <w:t>susp-water</w:t>
            </w:r>
            <w:r w:rsidRPr="00064185">
              <w:rPr>
                <w:b/>
              </w:rPr>
              <w:t xml:space="preserve"> (</w:t>
            </w:r>
            <w:r w:rsidRPr="00064185">
              <w:rPr>
                <w:b/>
                <w:i/>
              </w:rPr>
              <w:t>cf.</w:t>
            </w:r>
            <w:r w:rsidRPr="00064185">
              <w:rPr>
                <w:b/>
              </w:rPr>
              <w:t xml:space="preserve"> TGD, 2003, Equation 24)</w:t>
            </w:r>
          </w:p>
          <w:p w14:paraId="19477632" w14:textId="77777777" w:rsidR="00F50A01" w:rsidRPr="00064185" w:rsidRDefault="00F50A01" w:rsidP="00EA61D8">
            <w:pPr>
              <w:keepNext/>
              <w:keepLines/>
              <w:rPr>
                <w:b/>
                <w:bCs/>
              </w:rPr>
            </w:pPr>
          </w:p>
        </w:tc>
      </w:tr>
      <w:tr w:rsidR="00064185" w:rsidRPr="00064185" w14:paraId="2CC9BBD2" w14:textId="77777777" w:rsidTr="00F50A01">
        <w:trPr>
          <w:trHeight w:val="471"/>
        </w:trPr>
        <w:tc>
          <w:tcPr>
            <w:tcW w:w="1610" w:type="pct"/>
            <w:noWrap/>
            <w:vAlign w:val="center"/>
            <w:hideMark/>
          </w:tcPr>
          <w:p w14:paraId="1A75C4A7" w14:textId="77777777" w:rsidR="00F50A01" w:rsidRPr="00064185" w:rsidRDefault="00F50A01" w:rsidP="00EA61D8">
            <w:pPr>
              <w:keepNext/>
              <w:keepLines/>
              <w:rPr>
                <w:rFonts w:ascii="Arial" w:hAnsi="Arial" w:cs="Arial"/>
              </w:rPr>
            </w:pPr>
            <w:r w:rsidRPr="00064185">
              <w:rPr>
                <w:b/>
                <w:bCs/>
              </w:rPr>
              <w:t>Parameter</w:t>
            </w:r>
          </w:p>
        </w:tc>
        <w:tc>
          <w:tcPr>
            <w:tcW w:w="2463" w:type="pct"/>
            <w:vAlign w:val="center"/>
            <w:hideMark/>
          </w:tcPr>
          <w:p w14:paraId="3305F304" w14:textId="77777777" w:rsidR="00F50A01" w:rsidRPr="00064185" w:rsidRDefault="00F50A01" w:rsidP="00EA61D8">
            <w:pPr>
              <w:keepNext/>
              <w:keepLines/>
              <w:rPr>
                <w:b/>
                <w:bCs/>
              </w:rPr>
            </w:pPr>
            <w:r w:rsidRPr="00064185">
              <w:rPr>
                <w:b/>
                <w:bCs/>
              </w:rPr>
              <w:t>Definition</w:t>
            </w:r>
          </w:p>
        </w:tc>
        <w:tc>
          <w:tcPr>
            <w:tcW w:w="927" w:type="pct"/>
            <w:vAlign w:val="center"/>
            <w:hideMark/>
          </w:tcPr>
          <w:p w14:paraId="0648AAB6" w14:textId="77777777" w:rsidR="00F50A01" w:rsidRPr="00064185" w:rsidRDefault="00F50A01" w:rsidP="00EA61D8">
            <w:pPr>
              <w:keepNext/>
              <w:keepLines/>
              <w:rPr>
                <w:bCs/>
              </w:rPr>
            </w:pPr>
            <w:r w:rsidRPr="00064185">
              <w:rPr>
                <w:b/>
                <w:bCs/>
              </w:rPr>
              <w:t>Value</w:t>
            </w:r>
          </w:p>
        </w:tc>
      </w:tr>
      <w:tr w:rsidR="00064185" w:rsidRPr="00064185" w14:paraId="6E6323E5" w14:textId="77777777" w:rsidTr="00F50A01">
        <w:trPr>
          <w:trHeight w:val="472"/>
        </w:trPr>
        <w:tc>
          <w:tcPr>
            <w:tcW w:w="1610" w:type="pct"/>
            <w:vAlign w:val="center"/>
            <w:hideMark/>
          </w:tcPr>
          <w:p w14:paraId="52372780" w14:textId="77777777" w:rsidR="00F50A01" w:rsidRPr="00064185" w:rsidRDefault="00F50A01" w:rsidP="00EA61D8">
            <w:pPr>
              <w:keepNext/>
              <w:keepLines/>
              <w:rPr>
                <w:bCs/>
              </w:rPr>
            </w:pPr>
            <w:r w:rsidRPr="00064185">
              <w:t xml:space="preserve">Fraction water in suspended matter </w:t>
            </w:r>
            <w:r w:rsidRPr="00064185">
              <w:rPr>
                <w:bCs/>
              </w:rPr>
              <w:t>[m³/m</w:t>
            </w:r>
            <w:r w:rsidRPr="00064185">
              <w:rPr>
                <w:bCs/>
                <w:vertAlign w:val="superscript"/>
              </w:rPr>
              <w:t>3</w:t>
            </w:r>
            <w:r w:rsidRPr="00064185">
              <w:rPr>
                <w:bCs/>
              </w:rPr>
              <w:t>]</w:t>
            </w:r>
          </w:p>
        </w:tc>
        <w:tc>
          <w:tcPr>
            <w:tcW w:w="2463" w:type="pct"/>
            <w:vAlign w:val="center"/>
            <w:hideMark/>
          </w:tcPr>
          <w:p w14:paraId="28F34CE4" w14:textId="77777777" w:rsidR="00F50A01" w:rsidRPr="00064185" w:rsidRDefault="00F50A01" w:rsidP="00EA61D8">
            <w:pPr>
              <w:keepNext/>
              <w:keepLines/>
              <w:rPr>
                <w:bCs/>
              </w:rPr>
            </w:pPr>
            <w:r w:rsidRPr="00064185">
              <w:t>Fwater</w:t>
            </w:r>
            <w:r w:rsidRPr="00064185">
              <w:rPr>
                <w:vertAlign w:val="subscript"/>
              </w:rPr>
              <w:t>susp</w:t>
            </w:r>
          </w:p>
        </w:tc>
        <w:tc>
          <w:tcPr>
            <w:tcW w:w="927" w:type="pct"/>
            <w:vAlign w:val="center"/>
            <w:hideMark/>
          </w:tcPr>
          <w:p w14:paraId="18D9962E" w14:textId="77777777" w:rsidR="00F50A01" w:rsidRPr="00064185" w:rsidRDefault="00F50A01" w:rsidP="00EA61D8">
            <w:pPr>
              <w:keepNext/>
              <w:keepLines/>
            </w:pPr>
            <w:r w:rsidRPr="00064185">
              <w:t>0.9</w:t>
            </w:r>
          </w:p>
        </w:tc>
      </w:tr>
      <w:tr w:rsidR="00064185" w:rsidRPr="00064185" w14:paraId="2669FA40" w14:textId="77777777" w:rsidTr="00F50A01">
        <w:trPr>
          <w:trHeight w:val="420"/>
        </w:trPr>
        <w:tc>
          <w:tcPr>
            <w:tcW w:w="1610" w:type="pct"/>
            <w:vAlign w:val="center"/>
            <w:hideMark/>
          </w:tcPr>
          <w:p w14:paraId="6C650971" w14:textId="77777777" w:rsidR="00F50A01" w:rsidRPr="00064185" w:rsidRDefault="00F50A01" w:rsidP="00EA61D8">
            <w:pPr>
              <w:keepNext/>
              <w:keepLines/>
              <w:tabs>
                <w:tab w:val="left" w:pos="720"/>
                <w:tab w:val="left" w:pos="2127"/>
                <w:tab w:val="left" w:pos="2552"/>
                <w:tab w:val="left" w:pos="7371"/>
                <w:tab w:val="right" w:pos="7921"/>
              </w:tabs>
            </w:pPr>
            <w:r w:rsidRPr="00064185">
              <w:t>Fraction solids in suspended matter</w:t>
            </w:r>
            <w:r w:rsidRPr="00064185">
              <w:rPr>
                <w:bCs/>
              </w:rPr>
              <w:t>[m³/m</w:t>
            </w:r>
            <w:r w:rsidRPr="00064185">
              <w:rPr>
                <w:bCs/>
                <w:vertAlign w:val="superscript"/>
              </w:rPr>
              <w:t>3</w:t>
            </w:r>
            <w:r w:rsidRPr="00064185">
              <w:rPr>
                <w:bCs/>
              </w:rPr>
              <w:t>]</w:t>
            </w:r>
          </w:p>
        </w:tc>
        <w:tc>
          <w:tcPr>
            <w:tcW w:w="2463" w:type="pct"/>
            <w:vAlign w:val="center"/>
            <w:hideMark/>
          </w:tcPr>
          <w:p w14:paraId="7B281AA0" w14:textId="77777777" w:rsidR="00F50A01" w:rsidRPr="00064185" w:rsidRDefault="00F50A01" w:rsidP="00EA61D8">
            <w:pPr>
              <w:keepNext/>
              <w:keepLines/>
            </w:pPr>
            <w:r w:rsidRPr="00064185">
              <w:t>Fsolid</w:t>
            </w:r>
            <w:r w:rsidRPr="00064185">
              <w:rPr>
                <w:vertAlign w:val="subscript"/>
              </w:rPr>
              <w:t>susp</w:t>
            </w:r>
          </w:p>
        </w:tc>
        <w:tc>
          <w:tcPr>
            <w:tcW w:w="927" w:type="pct"/>
            <w:vAlign w:val="center"/>
            <w:hideMark/>
          </w:tcPr>
          <w:p w14:paraId="4C925F97" w14:textId="77777777" w:rsidR="00F50A01" w:rsidRPr="00064185" w:rsidRDefault="00F50A01" w:rsidP="00EA61D8">
            <w:pPr>
              <w:keepNext/>
              <w:keepLines/>
            </w:pPr>
            <w:r w:rsidRPr="00064185">
              <w:t>0.1</w:t>
            </w:r>
          </w:p>
        </w:tc>
      </w:tr>
      <w:tr w:rsidR="00064185" w:rsidRPr="00064185" w14:paraId="3048580C" w14:textId="77777777" w:rsidTr="00F50A01">
        <w:trPr>
          <w:trHeight w:val="420"/>
        </w:trPr>
        <w:tc>
          <w:tcPr>
            <w:tcW w:w="1610" w:type="pct"/>
            <w:vAlign w:val="center"/>
            <w:hideMark/>
          </w:tcPr>
          <w:p w14:paraId="4AB22D49" w14:textId="77777777" w:rsidR="00F50A01" w:rsidRPr="00064185" w:rsidRDefault="00F50A01" w:rsidP="00EA61D8">
            <w:pPr>
              <w:keepNext/>
              <w:keepLines/>
              <w:tabs>
                <w:tab w:val="left" w:pos="720"/>
                <w:tab w:val="left" w:pos="2127"/>
                <w:tab w:val="left" w:pos="2552"/>
                <w:tab w:val="left" w:pos="7371"/>
                <w:tab w:val="right" w:pos="7921"/>
              </w:tabs>
            </w:pPr>
            <w:r w:rsidRPr="00064185">
              <w:t xml:space="preserve">Partition coefficient solid-water in suspended matter </w:t>
            </w:r>
            <w:r w:rsidRPr="00064185">
              <w:rPr>
                <w:bCs/>
              </w:rPr>
              <w:t>[l/kg]</w:t>
            </w:r>
          </w:p>
        </w:tc>
        <w:tc>
          <w:tcPr>
            <w:tcW w:w="2463" w:type="pct"/>
            <w:vAlign w:val="center"/>
            <w:hideMark/>
          </w:tcPr>
          <w:p w14:paraId="308020AA" w14:textId="77777777" w:rsidR="00F50A01" w:rsidRPr="00064185" w:rsidRDefault="00F50A01" w:rsidP="00EA61D8">
            <w:pPr>
              <w:keepNext/>
              <w:keepLines/>
            </w:pPr>
            <w:r w:rsidRPr="00064185">
              <w:t>Kp</w:t>
            </w:r>
            <w:r w:rsidRPr="00064185">
              <w:rPr>
                <w:vertAlign w:val="subscript"/>
              </w:rPr>
              <w:t>susp</w:t>
            </w:r>
          </w:p>
        </w:tc>
        <w:tc>
          <w:tcPr>
            <w:tcW w:w="927" w:type="pct"/>
            <w:vAlign w:val="center"/>
            <w:hideMark/>
          </w:tcPr>
          <w:p w14:paraId="3E71D6C0" w14:textId="77777777" w:rsidR="00F50A01" w:rsidRPr="00064185" w:rsidRDefault="00F50A01" w:rsidP="00EA61D8">
            <w:pPr>
              <w:pStyle w:val="MathemathischeFormel"/>
              <w:keepNext/>
              <w:keepLines/>
              <w:spacing w:before="0" w:after="0"/>
              <w:jc w:val="left"/>
              <w:rPr>
                <w:bCs/>
                <w:szCs w:val="20"/>
              </w:rPr>
            </w:pPr>
            <w:r w:rsidRPr="00064185">
              <w:t>7010</w:t>
            </w:r>
          </w:p>
        </w:tc>
      </w:tr>
      <w:tr w:rsidR="00064185" w:rsidRPr="00064185" w14:paraId="64F236AB" w14:textId="77777777" w:rsidTr="00F50A01">
        <w:trPr>
          <w:trHeight w:val="420"/>
        </w:trPr>
        <w:tc>
          <w:tcPr>
            <w:tcW w:w="1610" w:type="pct"/>
            <w:vAlign w:val="center"/>
            <w:hideMark/>
          </w:tcPr>
          <w:p w14:paraId="62668518" w14:textId="77777777" w:rsidR="00F50A01" w:rsidRPr="00064185" w:rsidRDefault="00F50A01" w:rsidP="00EA61D8">
            <w:pPr>
              <w:keepNext/>
              <w:keepLines/>
              <w:tabs>
                <w:tab w:val="left" w:pos="720"/>
                <w:tab w:val="left" w:pos="2127"/>
                <w:tab w:val="left" w:pos="2552"/>
                <w:tab w:val="left" w:pos="7371"/>
                <w:tab w:val="right" w:pos="7921"/>
              </w:tabs>
            </w:pPr>
            <w:r w:rsidRPr="00064185">
              <w:t>Density of the solid phase</w:t>
            </w:r>
            <w:r w:rsidRPr="00064185">
              <w:br/>
            </w:r>
            <w:r w:rsidRPr="00064185">
              <w:rPr>
                <w:bCs/>
              </w:rPr>
              <w:t>[kg/m</w:t>
            </w:r>
            <w:r w:rsidRPr="00064185">
              <w:rPr>
                <w:bCs/>
                <w:vertAlign w:val="superscript"/>
              </w:rPr>
              <w:t>3</w:t>
            </w:r>
            <w:r w:rsidRPr="00064185">
              <w:rPr>
                <w:bCs/>
              </w:rPr>
              <w:t>]</w:t>
            </w:r>
          </w:p>
        </w:tc>
        <w:tc>
          <w:tcPr>
            <w:tcW w:w="2463" w:type="pct"/>
            <w:vAlign w:val="center"/>
            <w:hideMark/>
          </w:tcPr>
          <w:p w14:paraId="120CE787" w14:textId="77777777" w:rsidR="00F50A01" w:rsidRPr="00064185" w:rsidRDefault="00F50A01" w:rsidP="00EA61D8">
            <w:pPr>
              <w:keepNext/>
              <w:keepLines/>
              <w:rPr>
                <w:bCs/>
              </w:rPr>
            </w:pPr>
            <w:r w:rsidRPr="00064185">
              <w:t>RHOsolid</w:t>
            </w:r>
          </w:p>
        </w:tc>
        <w:tc>
          <w:tcPr>
            <w:tcW w:w="927" w:type="pct"/>
            <w:vAlign w:val="center"/>
            <w:hideMark/>
          </w:tcPr>
          <w:p w14:paraId="141AD88C" w14:textId="77777777" w:rsidR="00F50A01" w:rsidRPr="00064185" w:rsidRDefault="00F50A01" w:rsidP="00EA61D8">
            <w:pPr>
              <w:keepNext/>
              <w:keepLines/>
            </w:pPr>
            <w:r w:rsidRPr="00064185">
              <w:t>2500</w:t>
            </w:r>
          </w:p>
        </w:tc>
      </w:tr>
      <w:tr w:rsidR="00F50A01" w:rsidRPr="00064185" w14:paraId="22299B5A" w14:textId="77777777" w:rsidTr="00F50A01">
        <w:trPr>
          <w:trHeight w:val="815"/>
        </w:trPr>
        <w:tc>
          <w:tcPr>
            <w:tcW w:w="1610" w:type="pct"/>
            <w:vAlign w:val="center"/>
            <w:hideMark/>
          </w:tcPr>
          <w:p w14:paraId="3B2826B9" w14:textId="77777777" w:rsidR="00F50A01" w:rsidRPr="00064185" w:rsidRDefault="00F50A01" w:rsidP="00EA61D8">
            <w:pPr>
              <w:keepNext/>
              <w:keepLines/>
              <w:tabs>
                <w:tab w:val="left" w:pos="1418"/>
                <w:tab w:val="left" w:pos="7513"/>
                <w:tab w:val="left" w:pos="8505"/>
              </w:tabs>
              <w:rPr>
                <w:b/>
              </w:rPr>
            </w:pPr>
            <w:r w:rsidRPr="00064185">
              <w:rPr>
                <w:b/>
              </w:rPr>
              <w:t xml:space="preserve">Suspended matter-water partitioning coefficient </w:t>
            </w:r>
            <w:r w:rsidRPr="00064185">
              <w:rPr>
                <w:b/>
              </w:rPr>
              <w:br/>
            </w:r>
            <w:r w:rsidRPr="00064185">
              <w:rPr>
                <w:b/>
                <w:bCs/>
              </w:rPr>
              <w:t>[m³/m</w:t>
            </w:r>
            <w:r w:rsidRPr="00064185">
              <w:rPr>
                <w:b/>
                <w:bCs/>
                <w:vertAlign w:val="superscript"/>
              </w:rPr>
              <w:t>3</w:t>
            </w:r>
            <w:r w:rsidRPr="00064185">
              <w:rPr>
                <w:b/>
                <w:bCs/>
              </w:rPr>
              <w:t>]</w:t>
            </w:r>
          </w:p>
        </w:tc>
        <w:tc>
          <w:tcPr>
            <w:tcW w:w="2463" w:type="pct"/>
            <w:vAlign w:val="center"/>
            <w:hideMark/>
          </w:tcPr>
          <w:p w14:paraId="0E625091" w14:textId="77777777" w:rsidR="00F50A01" w:rsidRPr="00064185" w:rsidRDefault="00F50A01" w:rsidP="00EA61D8">
            <w:pPr>
              <w:pStyle w:val="Textkrper"/>
              <w:keepNext/>
              <w:keepLines/>
              <w:rPr>
                <w:b/>
                <w:bCs/>
                <w:i/>
                <w:iCs/>
              </w:rPr>
            </w:pPr>
            <w:r w:rsidRPr="00064185">
              <w:rPr>
                <w:b/>
                <w:i/>
                <w:position w:val="-24"/>
                <w:szCs w:val="22"/>
              </w:rPr>
              <w:object w:dxaOrig="4260" w:dyaOrig="525" w14:anchorId="31A77E8B">
                <v:shape id="_x0000_i1027" type="#_x0000_t75" style="width:209.25pt;height:24pt" o:ole="" fillcolor="window">
                  <v:imagedata r:id="rId22" o:title=""/>
                </v:shape>
                <o:OLEObject Type="Embed" ProgID="Equation.3" ShapeID="_x0000_i1027" DrawAspect="Content" ObjectID="_1614069661" r:id="rId23"/>
              </w:object>
            </w:r>
          </w:p>
        </w:tc>
        <w:tc>
          <w:tcPr>
            <w:tcW w:w="927" w:type="pct"/>
            <w:vAlign w:val="center"/>
            <w:hideMark/>
          </w:tcPr>
          <w:p w14:paraId="6CB9777B" w14:textId="77777777" w:rsidR="00F50A01" w:rsidRPr="00064185" w:rsidRDefault="00F50A01" w:rsidP="00EA61D8">
            <w:pPr>
              <w:keepNext/>
              <w:keepLines/>
              <w:rPr>
                <w:b/>
              </w:rPr>
            </w:pPr>
            <w:r w:rsidRPr="00064185">
              <w:rPr>
                <w:b/>
              </w:rPr>
              <w:t>1753.4</w:t>
            </w:r>
          </w:p>
        </w:tc>
      </w:tr>
    </w:tbl>
    <w:p w14:paraId="1447BFFA" w14:textId="77777777" w:rsidR="00FA2E2A" w:rsidRPr="00064185" w:rsidRDefault="00FA2E2A" w:rsidP="00EA61D8">
      <w:pPr>
        <w:spacing w:line="276" w:lineRule="auto"/>
      </w:pPr>
    </w:p>
    <w:p w14:paraId="1D8F52FB" w14:textId="77777777" w:rsidR="00FA2E2A" w:rsidRPr="00064185" w:rsidRDefault="00FA2E2A" w:rsidP="00EA61D8">
      <w:pPr>
        <w:spacing w:line="276" w:lineRule="auto"/>
      </w:pPr>
    </w:p>
    <w:p w14:paraId="1F9C9D68" w14:textId="059DF011" w:rsidR="00FA2E2A" w:rsidRPr="00064185" w:rsidRDefault="00FA2E2A" w:rsidP="00EA61D8">
      <w:pPr>
        <w:spacing w:line="276" w:lineRule="auto"/>
        <w:rPr>
          <w:u w:val="single"/>
        </w:rPr>
      </w:pPr>
      <w:r w:rsidRPr="00064185">
        <w:rPr>
          <w:u w:val="single"/>
        </w:rPr>
        <w:t>Residual treatment:</w:t>
      </w:r>
    </w:p>
    <w:p w14:paraId="6E2DF303" w14:textId="77777777" w:rsidR="00FA2E2A" w:rsidRPr="00064185" w:rsidRDefault="00FA2E2A" w:rsidP="00EA61D8"/>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9"/>
        <w:gridCol w:w="1916"/>
        <w:gridCol w:w="992"/>
        <w:gridCol w:w="1701"/>
        <w:gridCol w:w="1077"/>
        <w:gridCol w:w="1119"/>
      </w:tblGrid>
      <w:tr w:rsidR="00064185" w:rsidRPr="00064185" w14:paraId="7CCB1E91" w14:textId="77777777" w:rsidTr="00B6348B">
        <w:trPr>
          <w:trHeight w:val="465"/>
          <w:jc w:val="center"/>
        </w:trPr>
        <w:tc>
          <w:tcPr>
            <w:tcW w:w="0" w:type="auto"/>
            <w:gridSpan w:val="6"/>
            <w:shd w:val="clear" w:color="auto" w:fill="FFFFCC"/>
            <w:vAlign w:val="center"/>
          </w:tcPr>
          <w:p w14:paraId="5D03FB43" w14:textId="67CD1610" w:rsidR="00A7028F" w:rsidRPr="00064185" w:rsidRDefault="00A7028F" w:rsidP="00EA61D8">
            <w:pPr>
              <w:pStyle w:val="Beschriftung"/>
              <w:spacing w:after="0"/>
              <w:rPr>
                <w:rFonts w:ascii="Verdana" w:hAnsi="Verdana"/>
                <w:b/>
                <w:bCs/>
              </w:rPr>
            </w:pPr>
            <w:r w:rsidRPr="00064185">
              <w:rPr>
                <w:rFonts w:ascii="Verdana" w:hAnsi="Verdana"/>
                <w:b/>
              </w:rPr>
              <w:t>Calculation of PEClocal in sediment (</w:t>
            </w:r>
            <w:r w:rsidRPr="00064185">
              <w:rPr>
                <w:rFonts w:ascii="Verdana" w:hAnsi="Verdana"/>
                <w:b/>
                <w:i/>
              </w:rPr>
              <w:t>cf.</w:t>
            </w:r>
            <w:r w:rsidRPr="00064185">
              <w:rPr>
                <w:rFonts w:ascii="Verdana" w:hAnsi="Verdana"/>
                <w:b/>
              </w:rPr>
              <w:t xml:space="preserve"> TGD, 2003, Equation 50)</w:t>
            </w:r>
          </w:p>
        </w:tc>
      </w:tr>
      <w:tr w:rsidR="00064185" w:rsidRPr="00064185" w14:paraId="45C61ED8" w14:textId="77777777" w:rsidTr="00B6348B">
        <w:trPr>
          <w:trHeight w:val="179"/>
          <w:jc w:val="center"/>
        </w:trPr>
        <w:tc>
          <w:tcPr>
            <w:tcW w:w="0" w:type="auto"/>
            <w:vMerge w:val="restart"/>
            <w:vAlign w:val="center"/>
            <w:hideMark/>
          </w:tcPr>
          <w:p w14:paraId="15C27C4F" w14:textId="77777777" w:rsidR="002C23DC" w:rsidRPr="00064185" w:rsidRDefault="002C23DC" w:rsidP="00EA61D8">
            <w:pPr>
              <w:pStyle w:val="Absatz"/>
              <w:keepNext/>
              <w:keepLines/>
              <w:spacing w:before="60" w:after="60"/>
              <w:ind w:left="0"/>
              <w:rPr>
                <w:rFonts w:ascii="Verdana" w:hAnsi="Verdana"/>
              </w:rPr>
            </w:pPr>
            <w:r w:rsidRPr="00064185">
              <w:rPr>
                <w:rFonts w:ascii="Verdana" w:hAnsi="Verdana"/>
                <w:b/>
                <w:bCs/>
              </w:rPr>
              <w:t>Parameter</w:t>
            </w:r>
          </w:p>
        </w:tc>
        <w:tc>
          <w:tcPr>
            <w:tcW w:w="1916" w:type="dxa"/>
            <w:vMerge w:val="restart"/>
            <w:vAlign w:val="center"/>
            <w:hideMark/>
          </w:tcPr>
          <w:p w14:paraId="6127AC5A" w14:textId="77777777" w:rsidR="002C23DC" w:rsidRPr="00064185" w:rsidRDefault="002C23DC" w:rsidP="00EA61D8">
            <w:pPr>
              <w:pStyle w:val="Absatz"/>
              <w:keepNext/>
              <w:keepLines/>
              <w:spacing w:before="60" w:after="60"/>
              <w:ind w:left="0"/>
              <w:rPr>
                <w:rFonts w:ascii="Verdana" w:hAnsi="Verdana"/>
              </w:rPr>
            </w:pPr>
            <w:r w:rsidRPr="00064185">
              <w:rPr>
                <w:rFonts w:ascii="Verdana" w:hAnsi="Verdana"/>
                <w:b/>
                <w:bCs/>
              </w:rPr>
              <w:t>Definition</w:t>
            </w:r>
          </w:p>
        </w:tc>
        <w:tc>
          <w:tcPr>
            <w:tcW w:w="3770" w:type="dxa"/>
            <w:gridSpan w:val="3"/>
            <w:vAlign w:val="center"/>
            <w:hideMark/>
          </w:tcPr>
          <w:p w14:paraId="493EAB71" w14:textId="2B673EB2" w:rsidR="002C23DC" w:rsidRPr="00064185" w:rsidRDefault="002C23DC" w:rsidP="00EA61D8">
            <w:pPr>
              <w:pStyle w:val="Absatz"/>
              <w:keepNext/>
              <w:keepLines/>
              <w:spacing w:before="60" w:after="60"/>
              <w:ind w:left="0"/>
              <w:rPr>
                <w:rFonts w:ascii="Verdana" w:hAnsi="Verdana"/>
                <w:b/>
                <w:bCs/>
              </w:rPr>
            </w:pPr>
            <w:r w:rsidRPr="00064185">
              <w:rPr>
                <w:rFonts w:ascii="Verdana" w:hAnsi="Verdana"/>
                <w:b/>
                <w:bCs/>
              </w:rPr>
              <w:t>Indoor use</w:t>
            </w:r>
          </w:p>
        </w:tc>
        <w:tc>
          <w:tcPr>
            <w:tcW w:w="1119" w:type="dxa"/>
            <w:vAlign w:val="center"/>
          </w:tcPr>
          <w:p w14:paraId="4A0BE7BD" w14:textId="32DCEC49" w:rsidR="002C23DC" w:rsidRPr="00064185" w:rsidRDefault="002C23DC" w:rsidP="00EA61D8">
            <w:pPr>
              <w:pStyle w:val="Absatz"/>
              <w:keepNext/>
              <w:keepLines/>
              <w:spacing w:before="60" w:after="60"/>
              <w:ind w:left="0"/>
              <w:rPr>
                <w:rFonts w:ascii="Verdana" w:hAnsi="Verdana"/>
                <w:b/>
                <w:bCs/>
              </w:rPr>
            </w:pPr>
            <w:r w:rsidRPr="00064185">
              <w:rPr>
                <w:rFonts w:ascii="Verdana" w:hAnsi="Verdana"/>
                <w:b/>
                <w:bCs/>
              </w:rPr>
              <w:t>Outdoor use</w:t>
            </w:r>
          </w:p>
        </w:tc>
      </w:tr>
      <w:tr w:rsidR="00064185" w:rsidRPr="00064185" w14:paraId="4D5778EF" w14:textId="77777777" w:rsidTr="00B6348B">
        <w:trPr>
          <w:trHeight w:val="178"/>
          <w:jc w:val="center"/>
        </w:trPr>
        <w:tc>
          <w:tcPr>
            <w:tcW w:w="0" w:type="auto"/>
            <w:vMerge/>
            <w:vAlign w:val="center"/>
          </w:tcPr>
          <w:p w14:paraId="35E9C822" w14:textId="77777777" w:rsidR="00A37FD2" w:rsidRPr="00064185" w:rsidRDefault="00A37FD2" w:rsidP="00EA61D8">
            <w:pPr>
              <w:pStyle w:val="Absatz"/>
              <w:keepNext/>
              <w:keepLines/>
              <w:spacing w:before="60" w:after="60"/>
              <w:ind w:left="0"/>
              <w:rPr>
                <w:rFonts w:ascii="Verdana" w:hAnsi="Verdana"/>
                <w:b/>
                <w:bCs/>
              </w:rPr>
            </w:pPr>
          </w:p>
        </w:tc>
        <w:tc>
          <w:tcPr>
            <w:tcW w:w="1916" w:type="dxa"/>
            <w:vMerge/>
            <w:vAlign w:val="center"/>
          </w:tcPr>
          <w:p w14:paraId="64AF8D73" w14:textId="77777777" w:rsidR="00A37FD2" w:rsidRPr="00064185" w:rsidRDefault="00A37FD2" w:rsidP="00EA61D8">
            <w:pPr>
              <w:pStyle w:val="Absatz"/>
              <w:keepNext/>
              <w:keepLines/>
              <w:spacing w:before="60" w:after="60"/>
              <w:ind w:left="0"/>
              <w:rPr>
                <w:rFonts w:ascii="Verdana" w:hAnsi="Verdana"/>
                <w:b/>
                <w:bCs/>
              </w:rPr>
            </w:pPr>
          </w:p>
        </w:tc>
        <w:tc>
          <w:tcPr>
            <w:tcW w:w="992" w:type="dxa"/>
            <w:vAlign w:val="center"/>
          </w:tcPr>
          <w:p w14:paraId="56596A41" w14:textId="19B2E1DA" w:rsidR="00A37FD2" w:rsidRPr="00064185" w:rsidRDefault="00A37FD2" w:rsidP="00EA61D8">
            <w:pPr>
              <w:pStyle w:val="Absatz"/>
              <w:keepNext/>
              <w:keepLines/>
              <w:spacing w:before="60" w:after="60"/>
              <w:ind w:left="0"/>
              <w:rPr>
                <w:rFonts w:ascii="Verdana" w:hAnsi="Verdana"/>
                <w:b/>
                <w:bCs/>
              </w:rPr>
            </w:pPr>
            <w:r w:rsidRPr="00064185">
              <w:rPr>
                <w:rFonts w:ascii="Verdana" w:hAnsi="Verdana"/>
                <w:b/>
                <w:bCs/>
              </w:rPr>
              <w:t>Ants</w:t>
            </w:r>
          </w:p>
        </w:tc>
        <w:tc>
          <w:tcPr>
            <w:tcW w:w="1701" w:type="dxa"/>
            <w:vAlign w:val="center"/>
          </w:tcPr>
          <w:p w14:paraId="3F4E3626" w14:textId="7E8F2E66" w:rsidR="00A37FD2" w:rsidRPr="00064185" w:rsidRDefault="00A37FD2" w:rsidP="00EA61D8">
            <w:pPr>
              <w:pStyle w:val="Absatz"/>
              <w:keepNext/>
              <w:keepLines/>
              <w:spacing w:before="60" w:after="60"/>
              <w:ind w:left="0"/>
              <w:rPr>
                <w:rFonts w:ascii="Verdana" w:hAnsi="Verdana"/>
                <w:b/>
                <w:bCs/>
              </w:rPr>
            </w:pPr>
            <w:r w:rsidRPr="00064185">
              <w:rPr>
                <w:rFonts w:ascii="Verdana" w:hAnsi="Verdana"/>
                <w:b/>
                <w:bCs/>
              </w:rPr>
              <w:t>Silverfish &amp; Cockroaches</w:t>
            </w:r>
          </w:p>
        </w:tc>
        <w:tc>
          <w:tcPr>
            <w:tcW w:w="1077" w:type="dxa"/>
            <w:vAlign w:val="center"/>
          </w:tcPr>
          <w:p w14:paraId="36803748" w14:textId="55F406D3" w:rsidR="00A37FD2" w:rsidRPr="00064185" w:rsidRDefault="00A37FD2" w:rsidP="00EA61D8">
            <w:pPr>
              <w:pStyle w:val="Absatz"/>
              <w:keepNext/>
              <w:keepLines/>
              <w:spacing w:before="60" w:after="60"/>
              <w:ind w:left="0"/>
              <w:rPr>
                <w:rFonts w:ascii="Verdana" w:hAnsi="Verdana"/>
                <w:b/>
                <w:bCs/>
              </w:rPr>
            </w:pPr>
            <w:r w:rsidRPr="00064185">
              <w:rPr>
                <w:rFonts w:ascii="Verdana" w:hAnsi="Verdana"/>
                <w:b/>
                <w:bCs/>
              </w:rPr>
              <w:t>Wood lice</w:t>
            </w:r>
          </w:p>
        </w:tc>
        <w:tc>
          <w:tcPr>
            <w:tcW w:w="0" w:type="auto"/>
            <w:vAlign w:val="center"/>
          </w:tcPr>
          <w:p w14:paraId="3DD27175" w14:textId="0DB6AB97" w:rsidR="00A37FD2" w:rsidRPr="00064185" w:rsidRDefault="00A37FD2" w:rsidP="00EA61D8">
            <w:pPr>
              <w:pStyle w:val="Absatz"/>
              <w:keepNext/>
              <w:keepLines/>
              <w:spacing w:before="60" w:after="60"/>
              <w:ind w:left="0"/>
              <w:rPr>
                <w:rFonts w:ascii="Verdana" w:hAnsi="Verdana"/>
                <w:b/>
                <w:bCs/>
              </w:rPr>
            </w:pPr>
            <w:r w:rsidRPr="00064185">
              <w:rPr>
                <w:rFonts w:ascii="Verdana" w:hAnsi="Verdana"/>
                <w:b/>
                <w:bCs/>
              </w:rPr>
              <w:t>Ants</w:t>
            </w:r>
          </w:p>
        </w:tc>
      </w:tr>
      <w:tr w:rsidR="00064185" w:rsidRPr="00064185" w14:paraId="0414705D" w14:textId="77777777" w:rsidTr="00B6348B">
        <w:trPr>
          <w:trHeight w:val="1092"/>
          <w:jc w:val="center"/>
        </w:trPr>
        <w:tc>
          <w:tcPr>
            <w:tcW w:w="0" w:type="auto"/>
            <w:vAlign w:val="center"/>
            <w:hideMark/>
          </w:tcPr>
          <w:p w14:paraId="5C9A0E7F" w14:textId="4412E223" w:rsidR="00C9490E" w:rsidRPr="00064185" w:rsidRDefault="00C9490E" w:rsidP="00EA61D8">
            <w:pPr>
              <w:pStyle w:val="Absatz"/>
              <w:keepNext/>
              <w:keepLines/>
              <w:spacing w:before="60" w:after="60"/>
              <w:ind w:left="0"/>
              <w:rPr>
                <w:rFonts w:ascii="Verdana" w:hAnsi="Verdana"/>
              </w:rPr>
            </w:pPr>
            <w:r w:rsidRPr="00064185">
              <w:rPr>
                <w:rFonts w:ascii="Verdana" w:hAnsi="Verdana"/>
              </w:rPr>
              <w:t>Concentration in surface water during emission episode</w:t>
            </w:r>
            <w:r w:rsidRPr="00064185">
              <w:rPr>
                <w:rFonts w:ascii="Verdana" w:hAnsi="Verdana"/>
                <w:bCs/>
              </w:rPr>
              <w:t xml:space="preserve"> [µg/l]</w:t>
            </w:r>
          </w:p>
        </w:tc>
        <w:tc>
          <w:tcPr>
            <w:tcW w:w="1916" w:type="dxa"/>
            <w:vAlign w:val="center"/>
            <w:hideMark/>
          </w:tcPr>
          <w:p w14:paraId="1D2B09A9" w14:textId="77777777" w:rsidR="00C9490E" w:rsidRPr="00064185" w:rsidRDefault="00C9490E" w:rsidP="00EA61D8">
            <w:pPr>
              <w:pStyle w:val="Absatz"/>
              <w:keepNext/>
              <w:keepLines/>
              <w:spacing w:before="60" w:after="60"/>
              <w:ind w:left="0"/>
              <w:rPr>
                <w:rFonts w:ascii="Verdana" w:hAnsi="Verdana"/>
              </w:rPr>
            </w:pPr>
            <w:r w:rsidRPr="00064185">
              <w:rPr>
                <w:rFonts w:ascii="Verdana" w:hAnsi="Verdana"/>
              </w:rPr>
              <w:t>PEClocal</w:t>
            </w:r>
            <w:r w:rsidRPr="00064185">
              <w:rPr>
                <w:rFonts w:ascii="Verdana" w:hAnsi="Verdana"/>
                <w:vertAlign w:val="subscript"/>
              </w:rPr>
              <w:t>water</w:t>
            </w:r>
          </w:p>
        </w:tc>
        <w:tc>
          <w:tcPr>
            <w:tcW w:w="992" w:type="dxa"/>
            <w:vAlign w:val="center"/>
          </w:tcPr>
          <w:p w14:paraId="2324ACDD" w14:textId="5E0B1274" w:rsidR="00C9490E" w:rsidRPr="00064185" w:rsidRDefault="00C9490E" w:rsidP="00EA61D8">
            <w:pPr>
              <w:tabs>
                <w:tab w:val="right" w:pos="1370"/>
              </w:tabs>
              <w:spacing w:before="60" w:after="60"/>
            </w:pPr>
            <w:r w:rsidRPr="00064185">
              <w:t>2.97E-3</w:t>
            </w:r>
          </w:p>
        </w:tc>
        <w:tc>
          <w:tcPr>
            <w:tcW w:w="1701" w:type="dxa"/>
            <w:vAlign w:val="center"/>
          </w:tcPr>
          <w:p w14:paraId="51085A93" w14:textId="18E8A7FD" w:rsidR="00C9490E" w:rsidRPr="00064185" w:rsidRDefault="00C9490E" w:rsidP="00EA61D8">
            <w:pPr>
              <w:tabs>
                <w:tab w:val="right" w:pos="1370"/>
              </w:tabs>
              <w:spacing w:before="60" w:after="60"/>
            </w:pPr>
            <w:r w:rsidRPr="00064185">
              <w:t>2.24E-2</w:t>
            </w:r>
          </w:p>
        </w:tc>
        <w:tc>
          <w:tcPr>
            <w:tcW w:w="1077" w:type="dxa"/>
            <w:vAlign w:val="center"/>
          </w:tcPr>
          <w:p w14:paraId="48878D66" w14:textId="27E164D9" w:rsidR="00C9490E" w:rsidRPr="00064185" w:rsidRDefault="0012332D" w:rsidP="00EA61D8">
            <w:pPr>
              <w:tabs>
                <w:tab w:val="right" w:pos="1370"/>
              </w:tabs>
              <w:spacing w:before="60" w:after="60"/>
            </w:pPr>
            <w:r w:rsidRPr="00064185">
              <w:t>1.65E-3</w:t>
            </w:r>
          </w:p>
        </w:tc>
        <w:tc>
          <w:tcPr>
            <w:tcW w:w="1119" w:type="dxa"/>
            <w:vAlign w:val="center"/>
          </w:tcPr>
          <w:p w14:paraId="171E64F9" w14:textId="20CB1FC3" w:rsidR="00C9490E" w:rsidRPr="00064185" w:rsidRDefault="00C9490E" w:rsidP="00EA61D8">
            <w:pPr>
              <w:tabs>
                <w:tab w:val="right" w:pos="1370"/>
              </w:tabs>
              <w:spacing w:before="60" w:after="60"/>
            </w:pPr>
            <w:r w:rsidRPr="00064185">
              <w:t>2.35E-3</w:t>
            </w:r>
          </w:p>
        </w:tc>
      </w:tr>
      <w:tr w:rsidR="00064185" w:rsidRPr="00064185" w14:paraId="7283841C" w14:textId="77777777" w:rsidTr="00B6348B">
        <w:trPr>
          <w:jc w:val="center"/>
        </w:trPr>
        <w:tc>
          <w:tcPr>
            <w:tcW w:w="0" w:type="auto"/>
            <w:vAlign w:val="center"/>
            <w:hideMark/>
          </w:tcPr>
          <w:p w14:paraId="1F275357" w14:textId="77777777" w:rsidR="0042306D" w:rsidRPr="00064185" w:rsidRDefault="0042306D" w:rsidP="00EA61D8">
            <w:pPr>
              <w:pStyle w:val="Absatz"/>
              <w:keepNext/>
              <w:keepLines/>
              <w:spacing w:before="60" w:after="60"/>
              <w:ind w:left="0"/>
              <w:rPr>
                <w:rFonts w:ascii="Verdana" w:hAnsi="Verdana"/>
              </w:rPr>
            </w:pPr>
            <w:r w:rsidRPr="00064185">
              <w:rPr>
                <w:rFonts w:ascii="Verdana" w:hAnsi="Verdana"/>
              </w:rPr>
              <w:t>Suspended matter-water partitioning coefficient</w:t>
            </w:r>
            <w:r w:rsidRPr="00064185">
              <w:rPr>
                <w:rFonts w:ascii="Verdana" w:hAnsi="Verdana"/>
                <w:bCs/>
              </w:rPr>
              <w:t xml:space="preserve"> </w:t>
            </w:r>
            <w:r w:rsidRPr="00064185">
              <w:rPr>
                <w:rFonts w:ascii="Verdana" w:hAnsi="Verdana"/>
                <w:bCs/>
              </w:rPr>
              <w:br/>
              <w:t>[m³/m</w:t>
            </w:r>
            <w:r w:rsidRPr="00064185">
              <w:rPr>
                <w:rFonts w:ascii="Verdana" w:hAnsi="Verdana"/>
                <w:bCs/>
                <w:vertAlign w:val="superscript"/>
              </w:rPr>
              <w:t>3</w:t>
            </w:r>
            <w:r w:rsidRPr="00064185">
              <w:rPr>
                <w:rFonts w:ascii="Verdana" w:hAnsi="Verdana"/>
                <w:bCs/>
              </w:rPr>
              <w:t>]</w:t>
            </w:r>
          </w:p>
        </w:tc>
        <w:tc>
          <w:tcPr>
            <w:tcW w:w="1916" w:type="dxa"/>
            <w:vAlign w:val="center"/>
            <w:hideMark/>
          </w:tcPr>
          <w:p w14:paraId="42B4E2E2" w14:textId="77777777" w:rsidR="0042306D" w:rsidRPr="00064185" w:rsidRDefault="0042306D" w:rsidP="00EA61D8">
            <w:pPr>
              <w:pStyle w:val="Absatz"/>
              <w:keepNext/>
              <w:keepLines/>
              <w:spacing w:before="60" w:after="60"/>
              <w:ind w:left="0"/>
              <w:rPr>
                <w:rFonts w:ascii="Verdana" w:hAnsi="Verdana"/>
              </w:rPr>
            </w:pPr>
            <w:r w:rsidRPr="00064185">
              <w:rPr>
                <w:rFonts w:ascii="Verdana" w:hAnsi="Verdana"/>
              </w:rPr>
              <w:t>K</w:t>
            </w:r>
            <w:r w:rsidRPr="00064185">
              <w:rPr>
                <w:rFonts w:ascii="Verdana" w:hAnsi="Verdana"/>
                <w:vertAlign w:val="subscript"/>
              </w:rPr>
              <w:t>susp-water</w:t>
            </w:r>
          </w:p>
        </w:tc>
        <w:tc>
          <w:tcPr>
            <w:tcW w:w="4889" w:type="dxa"/>
            <w:gridSpan w:val="4"/>
            <w:vAlign w:val="center"/>
            <w:hideMark/>
          </w:tcPr>
          <w:p w14:paraId="3070CD5F" w14:textId="77777777" w:rsidR="0042306D" w:rsidRPr="00064185" w:rsidRDefault="0042306D" w:rsidP="00EA61D8">
            <w:pPr>
              <w:pStyle w:val="Absatz"/>
              <w:keepNext/>
              <w:keepLines/>
              <w:spacing w:before="60" w:after="60"/>
              <w:ind w:left="0"/>
              <w:rPr>
                <w:rFonts w:ascii="Verdana" w:hAnsi="Verdana"/>
                <w:bCs/>
              </w:rPr>
            </w:pPr>
            <w:r w:rsidRPr="00064185">
              <w:rPr>
                <w:rFonts w:ascii="Verdana" w:hAnsi="Verdana"/>
                <w:bCs/>
              </w:rPr>
              <w:t>1753.4</w:t>
            </w:r>
          </w:p>
        </w:tc>
      </w:tr>
      <w:tr w:rsidR="00064185" w:rsidRPr="00064185" w14:paraId="326B5BFA" w14:textId="77777777" w:rsidTr="00B6348B">
        <w:trPr>
          <w:jc w:val="center"/>
        </w:trPr>
        <w:tc>
          <w:tcPr>
            <w:tcW w:w="0" w:type="auto"/>
            <w:vAlign w:val="center"/>
            <w:hideMark/>
          </w:tcPr>
          <w:p w14:paraId="3A7014C4" w14:textId="77777777" w:rsidR="0042306D" w:rsidRPr="00064185" w:rsidRDefault="0042306D" w:rsidP="00EA61D8">
            <w:pPr>
              <w:pStyle w:val="Absatz"/>
              <w:keepNext/>
              <w:keepLines/>
              <w:spacing w:before="60" w:after="60"/>
              <w:ind w:left="0"/>
              <w:rPr>
                <w:rFonts w:ascii="Verdana" w:hAnsi="Verdana"/>
              </w:rPr>
            </w:pPr>
            <w:r w:rsidRPr="00064185">
              <w:rPr>
                <w:rFonts w:ascii="Verdana" w:hAnsi="Verdana"/>
              </w:rPr>
              <w:t xml:space="preserve">Bulk density of suspended matter </w:t>
            </w:r>
            <w:r w:rsidRPr="00064185">
              <w:rPr>
                <w:rFonts w:ascii="Verdana" w:hAnsi="Verdana"/>
                <w:bCs/>
              </w:rPr>
              <w:t>[kg/m</w:t>
            </w:r>
            <w:r w:rsidRPr="00064185">
              <w:rPr>
                <w:rFonts w:ascii="Verdana" w:hAnsi="Verdana"/>
                <w:bCs/>
                <w:vertAlign w:val="superscript"/>
              </w:rPr>
              <w:t>3</w:t>
            </w:r>
            <w:r w:rsidRPr="00064185">
              <w:rPr>
                <w:rFonts w:ascii="Verdana" w:hAnsi="Verdana"/>
                <w:bCs/>
              </w:rPr>
              <w:t>]</w:t>
            </w:r>
          </w:p>
        </w:tc>
        <w:tc>
          <w:tcPr>
            <w:tcW w:w="1916" w:type="dxa"/>
            <w:vAlign w:val="center"/>
            <w:hideMark/>
          </w:tcPr>
          <w:p w14:paraId="78D980EF" w14:textId="64F2A3DF" w:rsidR="0042306D" w:rsidRPr="00064185" w:rsidRDefault="0042306D" w:rsidP="00EA61D8">
            <w:pPr>
              <w:pStyle w:val="Absatz"/>
              <w:keepNext/>
              <w:keepLines/>
              <w:spacing w:before="60" w:after="60"/>
              <w:ind w:left="0"/>
              <w:rPr>
                <w:rFonts w:ascii="Verdana" w:hAnsi="Verdana"/>
              </w:rPr>
            </w:pPr>
            <w:r w:rsidRPr="00064185">
              <w:rPr>
                <w:rFonts w:ascii="Verdana" w:hAnsi="Verdana"/>
              </w:rPr>
              <w:t>RHO</w:t>
            </w:r>
            <w:r w:rsidRPr="00064185">
              <w:rPr>
                <w:rFonts w:ascii="Verdana" w:hAnsi="Verdana"/>
                <w:vertAlign w:val="subscript"/>
              </w:rPr>
              <w:t>susp</w:t>
            </w:r>
          </w:p>
        </w:tc>
        <w:tc>
          <w:tcPr>
            <w:tcW w:w="4889" w:type="dxa"/>
            <w:gridSpan w:val="4"/>
            <w:vAlign w:val="center"/>
            <w:hideMark/>
          </w:tcPr>
          <w:p w14:paraId="4B3459F1" w14:textId="77777777" w:rsidR="0042306D" w:rsidRPr="00064185" w:rsidRDefault="0042306D" w:rsidP="00EA61D8">
            <w:pPr>
              <w:pStyle w:val="Absatz"/>
              <w:keepNext/>
              <w:keepLines/>
              <w:spacing w:before="60" w:after="60"/>
              <w:ind w:left="0"/>
              <w:rPr>
                <w:rFonts w:ascii="Verdana" w:hAnsi="Verdana"/>
              </w:rPr>
            </w:pPr>
            <w:r w:rsidRPr="00064185">
              <w:rPr>
                <w:rFonts w:ascii="Verdana" w:hAnsi="Verdana"/>
              </w:rPr>
              <w:t>1150</w:t>
            </w:r>
          </w:p>
        </w:tc>
      </w:tr>
      <w:tr w:rsidR="00064185" w:rsidRPr="00064185" w14:paraId="76D8E516" w14:textId="77777777" w:rsidTr="00B6348B">
        <w:trPr>
          <w:jc w:val="center"/>
        </w:trPr>
        <w:tc>
          <w:tcPr>
            <w:tcW w:w="0" w:type="auto"/>
            <w:vAlign w:val="center"/>
            <w:hideMark/>
          </w:tcPr>
          <w:p w14:paraId="5BB44F19" w14:textId="77777777" w:rsidR="00C9490E" w:rsidRPr="00064185" w:rsidRDefault="00C9490E" w:rsidP="00EA61D8">
            <w:pPr>
              <w:pStyle w:val="Absatz"/>
              <w:keepNext/>
              <w:keepLines/>
              <w:spacing w:before="60" w:after="60"/>
              <w:ind w:left="0"/>
              <w:rPr>
                <w:rFonts w:ascii="Verdana" w:hAnsi="Verdana"/>
                <w:b/>
              </w:rPr>
            </w:pPr>
            <w:r w:rsidRPr="00064185">
              <w:rPr>
                <w:rFonts w:ascii="Verdana" w:hAnsi="Verdana"/>
                <w:b/>
              </w:rPr>
              <w:t xml:space="preserve">Predicted Environmental Concentration in sediment </w:t>
            </w:r>
            <w:r w:rsidRPr="00064185">
              <w:rPr>
                <w:rFonts w:ascii="Verdana" w:hAnsi="Verdana"/>
                <w:b/>
                <w:bCs/>
              </w:rPr>
              <w:t>[µg/kg]</w:t>
            </w:r>
          </w:p>
        </w:tc>
        <w:tc>
          <w:tcPr>
            <w:tcW w:w="1916" w:type="dxa"/>
            <w:vAlign w:val="center"/>
            <w:hideMark/>
          </w:tcPr>
          <w:p w14:paraId="2F4B64A6" w14:textId="77777777" w:rsidR="00C9490E" w:rsidRPr="00064185" w:rsidRDefault="00C9490E" w:rsidP="00EA61D8">
            <w:pPr>
              <w:pStyle w:val="Absatz"/>
              <w:keepNext/>
              <w:keepLines/>
              <w:spacing w:before="60" w:after="60"/>
              <w:ind w:left="0"/>
              <w:rPr>
                <w:rFonts w:ascii="Verdana" w:hAnsi="Verdana"/>
                <w:b/>
              </w:rPr>
            </w:pPr>
            <w:r w:rsidRPr="00064185">
              <w:rPr>
                <w:rFonts w:ascii="Verdana" w:hAnsi="Verdana"/>
                <w:b/>
              </w:rPr>
              <w:t>PEClocal</w:t>
            </w:r>
            <w:r w:rsidRPr="00064185">
              <w:rPr>
                <w:rFonts w:ascii="Verdana" w:hAnsi="Verdana"/>
                <w:b/>
                <w:vertAlign w:val="subscript"/>
              </w:rPr>
              <w:t>sed</w:t>
            </w:r>
            <w:r w:rsidRPr="00064185">
              <w:rPr>
                <w:rFonts w:ascii="Verdana" w:hAnsi="Verdana"/>
                <w:b/>
              </w:rPr>
              <w:t xml:space="preserve"> = (K</w:t>
            </w:r>
            <w:r w:rsidRPr="00064185">
              <w:rPr>
                <w:rFonts w:ascii="Verdana" w:hAnsi="Verdana"/>
                <w:b/>
                <w:vertAlign w:val="subscript"/>
              </w:rPr>
              <w:t>susp-water</w:t>
            </w:r>
            <w:r w:rsidRPr="00064185">
              <w:rPr>
                <w:rFonts w:ascii="Verdana" w:hAnsi="Verdana"/>
                <w:b/>
              </w:rPr>
              <w:t xml:space="preserve"> / RHO</w:t>
            </w:r>
            <w:r w:rsidRPr="00064185">
              <w:rPr>
                <w:rFonts w:ascii="Verdana" w:hAnsi="Verdana"/>
                <w:b/>
                <w:vertAlign w:val="subscript"/>
              </w:rPr>
              <w:t>susp</w:t>
            </w:r>
            <w:r w:rsidRPr="00064185">
              <w:rPr>
                <w:rFonts w:ascii="Verdana" w:hAnsi="Verdana"/>
                <w:b/>
              </w:rPr>
              <w:t>) x PEClocal</w:t>
            </w:r>
            <w:r w:rsidRPr="00064185">
              <w:rPr>
                <w:rFonts w:ascii="Verdana" w:hAnsi="Verdana"/>
                <w:b/>
                <w:vertAlign w:val="subscript"/>
              </w:rPr>
              <w:t>water</w:t>
            </w:r>
            <w:r w:rsidRPr="00064185">
              <w:rPr>
                <w:rFonts w:ascii="Verdana" w:hAnsi="Verdana"/>
                <w:b/>
              </w:rPr>
              <w:t xml:space="preserve"> x 1000</w:t>
            </w:r>
          </w:p>
        </w:tc>
        <w:tc>
          <w:tcPr>
            <w:tcW w:w="992" w:type="dxa"/>
            <w:vAlign w:val="center"/>
          </w:tcPr>
          <w:p w14:paraId="51E4FB6E" w14:textId="696B0F8E" w:rsidR="00C9490E" w:rsidRPr="00064185" w:rsidRDefault="00C9490E" w:rsidP="00EA61D8">
            <w:pPr>
              <w:pStyle w:val="Absatz"/>
              <w:keepNext/>
              <w:keepLines/>
              <w:spacing w:before="60" w:after="60"/>
              <w:ind w:left="0"/>
              <w:rPr>
                <w:rFonts w:ascii="Verdana" w:hAnsi="Verdana"/>
                <w:b/>
              </w:rPr>
            </w:pPr>
            <w:r w:rsidRPr="00064185">
              <w:rPr>
                <w:rFonts w:ascii="Verdana" w:hAnsi="Verdana"/>
                <w:b/>
                <w:bCs/>
              </w:rPr>
              <w:t>4</w:t>
            </w:r>
            <w:r w:rsidRPr="00064185">
              <w:rPr>
                <w:rFonts w:ascii="Verdana" w:hAnsi="Verdana"/>
                <w:b/>
              </w:rPr>
              <w:t>.53</w:t>
            </w:r>
          </w:p>
        </w:tc>
        <w:tc>
          <w:tcPr>
            <w:tcW w:w="1701" w:type="dxa"/>
            <w:vAlign w:val="center"/>
          </w:tcPr>
          <w:p w14:paraId="588E9F66" w14:textId="00D49941" w:rsidR="00C9490E" w:rsidRPr="00064185" w:rsidRDefault="00C9490E" w:rsidP="00EA61D8">
            <w:pPr>
              <w:pStyle w:val="Absatz"/>
              <w:keepNext/>
              <w:keepLines/>
              <w:spacing w:before="60" w:after="60"/>
              <w:ind w:left="0"/>
              <w:rPr>
                <w:rFonts w:ascii="Verdana" w:hAnsi="Verdana"/>
                <w:b/>
              </w:rPr>
            </w:pPr>
            <w:r w:rsidRPr="00064185">
              <w:rPr>
                <w:rFonts w:ascii="Verdana" w:hAnsi="Verdana"/>
                <w:b/>
                <w:bCs/>
              </w:rPr>
              <w:t>34.09</w:t>
            </w:r>
          </w:p>
        </w:tc>
        <w:tc>
          <w:tcPr>
            <w:tcW w:w="1077" w:type="dxa"/>
            <w:vAlign w:val="center"/>
          </w:tcPr>
          <w:p w14:paraId="7285F03B" w14:textId="09F850DE" w:rsidR="00C9490E" w:rsidRPr="00064185" w:rsidRDefault="00C9490E" w:rsidP="00EA61D8">
            <w:pPr>
              <w:pStyle w:val="Absatz"/>
              <w:keepNext/>
              <w:keepLines/>
              <w:spacing w:before="60" w:after="60"/>
              <w:ind w:left="0"/>
              <w:rPr>
                <w:rFonts w:ascii="Verdana" w:hAnsi="Verdana"/>
                <w:b/>
              </w:rPr>
            </w:pPr>
            <w:r w:rsidRPr="00064185">
              <w:rPr>
                <w:rFonts w:ascii="Verdana" w:hAnsi="Verdana"/>
                <w:b/>
              </w:rPr>
              <w:t>2.52</w:t>
            </w:r>
          </w:p>
        </w:tc>
        <w:tc>
          <w:tcPr>
            <w:tcW w:w="0" w:type="auto"/>
            <w:vAlign w:val="center"/>
          </w:tcPr>
          <w:p w14:paraId="7A6103BA" w14:textId="69568DC0" w:rsidR="00C9490E" w:rsidRPr="00064185" w:rsidRDefault="00C9490E" w:rsidP="00EA61D8">
            <w:pPr>
              <w:pStyle w:val="Absatz"/>
              <w:keepNext/>
              <w:keepLines/>
              <w:spacing w:before="60" w:after="60"/>
              <w:ind w:left="0"/>
              <w:rPr>
                <w:rFonts w:ascii="Verdana" w:hAnsi="Verdana"/>
                <w:b/>
              </w:rPr>
            </w:pPr>
            <w:r w:rsidRPr="00064185">
              <w:rPr>
                <w:rFonts w:ascii="Verdana" w:hAnsi="Verdana"/>
                <w:b/>
                <w:bCs/>
              </w:rPr>
              <w:t>3</w:t>
            </w:r>
            <w:r w:rsidRPr="00064185">
              <w:rPr>
                <w:rFonts w:ascii="Verdana" w:hAnsi="Verdana"/>
                <w:b/>
              </w:rPr>
              <w:t>.95</w:t>
            </w:r>
          </w:p>
        </w:tc>
      </w:tr>
    </w:tbl>
    <w:p w14:paraId="2731BE16" w14:textId="2E4535E9" w:rsidR="000A229F" w:rsidRPr="00064185" w:rsidRDefault="000A229F" w:rsidP="00EA61D8">
      <w:pPr>
        <w:rPr>
          <w:rFonts w:eastAsia="Calibri"/>
          <w:i/>
          <w:sz w:val="22"/>
          <w:szCs w:val="22"/>
          <w:u w:val="single"/>
          <w:lang w:eastAsia="en-US"/>
        </w:rPr>
      </w:pPr>
    </w:p>
    <w:p w14:paraId="0C33F2F8" w14:textId="728291DF" w:rsidR="0050195C" w:rsidRPr="00064185" w:rsidRDefault="0050195C" w:rsidP="00EA61D8">
      <w:pPr>
        <w:rPr>
          <w:rFonts w:eastAsia="Calibri"/>
          <w:i/>
          <w:sz w:val="22"/>
          <w:szCs w:val="22"/>
          <w:u w:val="single"/>
          <w:lang w:eastAsia="en-US"/>
        </w:rPr>
      </w:pPr>
    </w:p>
    <w:p w14:paraId="56D989A6" w14:textId="77777777" w:rsidR="0050195C" w:rsidRPr="00064185" w:rsidRDefault="0050195C" w:rsidP="00EA61D8">
      <w:pPr>
        <w:rPr>
          <w:rFonts w:eastAsia="Calibri"/>
          <w:i/>
          <w:sz w:val="22"/>
          <w:szCs w:val="22"/>
          <w:u w:val="single"/>
          <w:lang w:eastAsia="en-US"/>
        </w:rPr>
      </w:pPr>
    </w:p>
    <w:p w14:paraId="06385128" w14:textId="77777777" w:rsidR="0050195C" w:rsidRPr="00064185" w:rsidRDefault="0050195C" w:rsidP="00EA61D8">
      <w:pPr>
        <w:rPr>
          <w:rFonts w:eastAsia="Calibri"/>
          <w:i/>
          <w:sz w:val="22"/>
          <w:szCs w:val="22"/>
          <w:u w:val="single"/>
          <w:lang w:eastAsia="en-US"/>
        </w:rPr>
      </w:pPr>
    </w:p>
    <w:p w14:paraId="27511099" w14:textId="77777777" w:rsidR="0050195C" w:rsidRPr="00064185" w:rsidRDefault="0050195C" w:rsidP="00EA61D8">
      <w:pPr>
        <w:rPr>
          <w:rFonts w:eastAsia="Calibri"/>
          <w:i/>
          <w:sz w:val="22"/>
          <w:szCs w:val="22"/>
          <w:u w:val="single"/>
          <w:lang w:eastAsia="en-US"/>
        </w:rPr>
      </w:pPr>
    </w:p>
    <w:p w14:paraId="79E64088" w14:textId="77777777" w:rsidR="0050195C" w:rsidRPr="00064185" w:rsidRDefault="0050195C" w:rsidP="00EA61D8">
      <w:pPr>
        <w:rPr>
          <w:rFonts w:eastAsia="Calibri"/>
          <w:i/>
          <w:sz w:val="22"/>
          <w:szCs w:val="22"/>
          <w:u w:val="single"/>
          <w:lang w:eastAsia="en-US"/>
        </w:rPr>
      </w:pPr>
    </w:p>
    <w:p w14:paraId="185911A5" w14:textId="5AE69D2E" w:rsidR="00FA2E2A" w:rsidRPr="00064185" w:rsidRDefault="00FA2E2A" w:rsidP="00EA61D8">
      <w:pPr>
        <w:rPr>
          <w:u w:val="single"/>
        </w:rPr>
      </w:pPr>
      <w:r w:rsidRPr="00064185">
        <w:rPr>
          <w:u w:val="single"/>
        </w:rPr>
        <w:lastRenderedPageBreak/>
        <w:t xml:space="preserve">Direct treatment of </w:t>
      </w:r>
      <w:r w:rsidR="00FD6ACF" w:rsidRPr="00064185">
        <w:rPr>
          <w:u w:val="single"/>
        </w:rPr>
        <w:t>target organisms</w:t>
      </w:r>
      <w:r w:rsidRPr="00064185">
        <w:rPr>
          <w:u w:val="single"/>
        </w:rPr>
        <w:t>:</w:t>
      </w:r>
    </w:p>
    <w:p w14:paraId="3FB527CE" w14:textId="77777777" w:rsidR="0042306D" w:rsidRPr="00064185" w:rsidRDefault="0042306D" w:rsidP="00EA61D8">
      <w:pPr>
        <w:rPr>
          <w:rFonts w:eastAsia="Calibri"/>
          <w:i/>
          <w:sz w:val="22"/>
          <w:szCs w:val="22"/>
          <w:u w:val="single"/>
          <w:lang w:eastAsia="en-US"/>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9"/>
        <w:gridCol w:w="1916"/>
        <w:gridCol w:w="2693"/>
        <w:gridCol w:w="2196"/>
      </w:tblGrid>
      <w:tr w:rsidR="00064185" w:rsidRPr="00064185" w14:paraId="182D0DC4" w14:textId="77777777" w:rsidTr="00064759">
        <w:trPr>
          <w:trHeight w:val="465"/>
          <w:jc w:val="center"/>
        </w:trPr>
        <w:tc>
          <w:tcPr>
            <w:tcW w:w="0" w:type="auto"/>
            <w:gridSpan w:val="4"/>
            <w:shd w:val="clear" w:color="auto" w:fill="FFFFCC"/>
            <w:vAlign w:val="center"/>
          </w:tcPr>
          <w:p w14:paraId="7C1A4DF1" w14:textId="77777777" w:rsidR="00FA2E2A" w:rsidRPr="00064185" w:rsidRDefault="00FA2E2A" w:rsidP="00EA61D8">
            <w:pPr>
              <w:pStyle w:val="Beschriftung"/>
              <w:spacing w:after="0"/>
              <w:rPr>
                <w:rFonts w:ascii="Verdana" w:hAnsi="Verdana"/>
                <w:b/>
                <w:bCs/>
              </w:rPr>
            </w:pPr>
            <w:r w:rsidRPr="00064185">
              <w:rPr>
                <w:rFonts w:ascii="Verdana" w:hAnsi="Verdana"/>
                <w:b/>
              </w:rPr>
              <w:t>Calculation of PEClocal in sediment (</w:t>
            </w:r>
            <w:r w:rsidRPr="00064185">
              <w:rPr>
                <w:rFonts w:ascii="Verdana" w:hAnsi="Verdana"/>
                <w:b/>
                <w:i/>
              </w:rPr>
              <w:t>cf.</w:t>
            </w:r>
            <w:r w:rsidRPr="00064185">
              <w:rPr>
                <w:rFonts w:ascii="Verdana" w:hAnsi="Verdana"/>
                <w:b/>
              </w:rPr>
              <w:t xml:space="preserve"> TGD, 2003, Equation 50)</w:t>
            </w:r>
          </w:p>
        </w:tc>
      </w:tr>
      <w:tr w:rsidR="00064185" w:rsidRPr="00064185" w14:paraId="6AAF3C46" w14:textId="77777777" w:rsidTr="00BB6AEE">
        <w:trPr>
          <w:trHeight w:val="179"/>
          <w:jc w:val="center"/>
        </w:trPr>
        <w:tc>
          <w:tcPr>
            <w:tcW w:w="0" w:type="auto"/>
            <w:vMerge w:val="restart"/>
            <w:vAlign w:val="center"/>
            <w:hideMark/>
          </w:tcPr>
          <w:p w14:paraId="1375CB62" w14:textId="77777777" w:rsidR="0012332D" w:rsidRPr="00064185" w:rsidRDefault="0012332D" w:rsidP="00EA61D8">
            <w:pPr>
              <w:pStyle w:val="Absatz"/>
              <w:keepNext/>
              <w:keepLines/>
              <w:spacing w:before="60" w:after="60"/>
              <w:ind w:left="0"/>
              <w:rPr>
                <w:rFonts w:ascii="Verdana" w:hAnsi="Verdana"/>
              </w:rPr>
            </w:pPr>
            <w:r w:rsidRPr="00064185">
              <w:rPr>
                <w:rFonts w:ascii="Verdana" w:hAnsi="Verdana"/>
                <w:b/>
                <w:bCs/>
              </w:rPr>
              <w:t>Parameter</w:t>
            </w:r>
          </w:p>
        </w:tc>
        <w:tc>
          <w:tcPr>
            <w:tcW w:w="1916" w:type="dxa"/>
            <w:vMerge w:val="restart"/>
            <w:vAlign w:val="center"/>
            <w:hideMark/>
          </w:tcPr>
          <w:p w14:paraId="29082467" w14:textId="77777777" w:rsidR="0012332D" w:rsidRPr="00064185" w:rsidRDefault="0012332D" w:rsidP="00EA61D8">
            <w:pPr>
              <w:pStyle w:val="Absatz"/>
              <w:keepNext/>
              <w:keepLines/>
              <w:spacing w:before="60" w:after="60"/>
              <w:ind w:left="0"/>
              <w:rPr>
                <w:rFonts w:ascii="Verdana" w:hAnsi="Verdana"/>
              </w:rPr>
            </w:pPr>
            <w:r w:rsidRPr="00064185">
              <w:rPr>
                <w:rFonts w:ascii="Verdana" w:hAnsi="Verdana"/>
                <w:b/>
                <w:bCs/>
              </w:rPr>
              <w:t>Definition</w:t>
            </w:r>
          </w:p>
        </w:tc>
        <w:tc>
          <w:tcPr>
            <w:tcW w:w="4889" w:type="dxa"/>
            <w:gridSpan w:val="2"/>
            <w:vAlign w:val="center"/>
            <w:hideMark/>
          </w:tcPr>
          <w:p w14:paraId="39D2E530" w14:textId="36037B1E" w:rsidR="0012332D" w:rsidRPr="00064185" w:rsidRDefault="0012332D" w:rsidP="00EA61D8">
            <w:pPr>
              <w:pStyle w:val="Absatz"/>
              <w:keepNext/>
              <w:keepLines/>
              <w:spacing w:before="60" w:after="60"/>
              <w:ind w:left="0"/>
              <w:rPr>
                <w:rFonts w:ascii="Verdana" w:hAnsi="Verdana"/>
                <w:b/>
                <w:bCs/>
              </w:rPr>
            </w:pPr>
            <w:r w:rsidRPr="00064185">
              <w:rPr>
                <w:rFonts w:ascii="Verdana" w:hAnsi="Verdana"/>
                <w:b/>
                <w:bCs/>
              </w:rPr>
              <w:t>Indoor use</w:t>
            </w:r>
          </w:p>
        </w:tc>
      </w:tr>
      <w:tr w:rsidR="00064185" w:rsidRPr="00064185" w14:paraId="306A083B" w14:textId="77777777" w:rsidTr="00064759">
        <w:trPr>
          <w:trHeight w:val="178"/>
          <w:jc w:val="center"/>
        </w:trPr>
        <w:tc>
          <w:tcPr>
            <w:tcW w:w="0" w:type="auto"/>
            <w:vMerge/>
            <w:vAlign w:val="center"/>
          </w:tcPr>
          <w:p w14:paraId="5FA84177" w14:textId="77777777" w:rsidR="002872A4" w:rsidRPr="00064185" w:rsidRDefault="002872A4" w:rsidP="00EA61D8">
            <w:pPr>
              <w:pStyle w:val="Absatz"/>
              <w:keepNext/>
              <w:keepLines/>
              <w:spacing w:before="60" w:after="60"/>
              <w:ind w:left="0"/>
              <w:rPr>
                <w:rFonts w:ascii="Verdana" w:hAnsi="Verdana"/>
                <w:b/>
                <w:bCs/>
              </w:rPr>
            </w:pPr>
          </w:p>
        </w:tc>
        <w:tc>
          <w:tcPr>
            <w:tcW w:w="1916" w:type="dxa"/>
            <w:vMerge/>
            <w:vAlign w:val="center"/>
          </w:tcPr>
          <w:p w14:paraId="54E44B9E" w14:textId="77777777" w:rsidR="002872A4" w:rsidRPr="00064185" w:rsidRDefault="002872A4" w:rsidP="00EA61D8">
            <w:pPr>
              <w:pStyle w:val="Absatz"/>
              <w:keepNext/>
              <w:keepLines/>
              <w:spacing w:before="60" w:after="60"/>
              <w:ind w:left="0"/>
              <w:rPr>
                <w:rFonts w:ascii="Verdana" w:hAnsi="Verdana"/>
                <w:b/>
                <w:bCs/>
              </w:rPr>
            </w:pPr>
          </w:p>
        </w:tc>
        <w:tc>
          <w:tcPr>
            <w:tcW w:w="2693" w:type="dxa"/>
            <w:vAlign w:val="center"/>
          </w:tcPr>
          <w:p w14:paraId="0F0515AA" w14:textId="11910D50" w:rsidR="002872A4" w:rsidRPr="00064185" w:rsidRDefault="002872A4" w:rsidP="00EA61D8">
            <w:pPr>
              <w:pStyle w:val="Absatz"/>
              <w:keepNext/>
              <w:keepLines/>
              <w:spacing w:before="60" w:after="60"/>
              <w:ind w:left="0"/>
              <w:rPr>
                <w:rFonts w:ascii="Verdana" w:hAnsi="Verdana"/>
                <w:b/>
                <w:bCs/>
              </w:rPr>
            </w:pPr>
            <w:r w:rsidRPr="00064185">
              <w:rPr>
                <w:rFonts w:ascii="Verdana" w:hAnsi="Verdana"/>
                <w:b/>
                <w:bCs/>
              </w:rPr>
              <w:t>Silverfish &amp; Cockroaches</w:t>
            </w:r>
          </w:p>
        </w:tc>
        <w:tc>
          <w:tcPr>
            <w:tcW w:w="2196" w:type="dxa"/>
            <w:vAlign w:val="center"/>
          </w:tcPr>
          <w:p w14:paraId="5CCC9B2D" w14:textId="4ECA650A" w:rsidR="002872A4" w:rsidRPr="00064185" w:rsidRDefault="002872A4" w:rsidP="00EA61D8">
            <w:pPr>
              <w:pStyle w:val="Absatz"/>
              <w:keepNext/>
              <w:keepLines/>
              <w:spacing w:before="60" w:after="60"/>
              <w:ind w:left="0"/>
              <w:rPr>
                <w:rFonts w:ascii="Verdana" w:hAnsi="Verdana"/>
                <w:b/>
                <w:bCs/>
              </w:rPr>
            </w:pPr>
            <w:r w:rsidRPr="00064185">
              <w:rPr>
                <w:rFonts w:ascii="Verdana" w:hAnsi="Verdana"/>
                <w:b/>
                <w:bCs/>
              </w:rPr>
              <w:t>Wood lice</w:t>
            </w:r>
          </w:p>
        </w:tc>
      </w:tr>
      <w:tr w:rsidR="00064185" w:rsidRPr="00064185" w14:paraId="15CD4044" w14:textId="77777777" w:rsidTr="00064759">
        <w:trPr>
          <w:trHeight w:val="1092"/>
          <w:jc w:val="center"/>
        </w:trPr>
        <w:tc>
          <w:tcPr>
            <w:tcW w:w="0" w:type="auto"/>
            <w:vAlign w:val="center"/>
            <w:hideMark/>
          </w:tcPr>
          <w:p w14:paraId="6ECA9513" w14:textId="77777777" w:rsidR="00C9490E" w:rsidRPr="00064185" w:rsidRDefault="00C9490E" w:rsidP="00EA61D8">
            <w:pPr>
              <w:pStyle w:val="Absatz"/>
              <w:keepNext/>
              <w:keepLines/>
              <w:spacing w:before="60" w:after="60"/>
              <w:ind w:left="0"/>
              <w:rPr>
                <w:rFonts w:ascii="Verdana" w:hAnsi="Verdana"/>
              </w:rPr>
            </w:pPr>
            <w:r w:rsidRPr="00064185">
              <w:rPr>
                <w:rFonts w:ascii="Verdana" w:hAnsi="Verdana"/>
              </w:rPr>
              <w:t>Concentration in surface water during emission episode</w:t>
            </w:r>
            <w:r w:rsidRPr="00064185">
              <w:rPr>
                <w:rFonts w:ascii="Verdana" w:hAnsi="Verdana"/>
                <w:bCs/>
              </w:rPr>
              <w:t xml:space="preserve"> [µg/l]</w:t>
            </w:r>
          </w:p>
        </w:tc>
        <w:tc>
          <w:tcPr>
            <w:tcW w:w="1916" w:type="dxa"/>
            <w:vAlign w:val="center"/>
            <w:hideMark/>
          </w:tcPr>
          <w:p w14:paraId="6CC5EB57" w14:textId="77777777" w:rsidR="00C9490E" w:rsidRPr="00064185" w:rsidRDefault="00C9490E" w:rsidP="00EA61D8">
            <w:pPr>
              <w:pStyle w:val="Absatz"/>
              <w:keepNext/>
              <w:keepLines/>
              <w:spacing w:before="60" w:after="60"/>
              <w:ind w:left="0"/>
              <w:rPr>
                <w:rFonts w:ascii="Verdana" w:hAnsi="Verdana"/>
              </w:rPr>
            </w:pPr>
            <w:r w:rsidRPr="00064185">
              <w:rPr>
                <w:rFonts w:ascii="Verdana" w:hAnsi="Verdana"/>
              </w:rPr>
              <w:t>PEClocal</w:t>
            </w:r>
            <w:r w:rsidRPr="00064185">
              <w:rPr>
                <w:rFonts w:ascii="Verdana" w:hAnsi="Verdana"/>
                <w:vertAlign w:val="subscript"/>
              </w:rPr>
              <w:t>water</w:t>
            </w:r>
          </w:p>
        </w:tc>
        <w:tc>
          <w:tcPr>
            <w:tcW w:w="2693" w:type="dxa"/>
            <w:vAlign w:val="center"/>
          </w:tcPr>
          <w:p w14:paraId="2BE71E6E" w14:textId="4CDC6F2B" w:rsidR="00C9490E" w:rsidRPr="00064185" w:rsidRDefault="00C9490E" w:rsidP="00EA61D8">
            <w:pPr>
              <w:tabs>
                <w:tab w:val="right" w:pos="1370"/>
              </w:tabs>
              <w:spacing w:before="60" w:after="60"/>
            </w:pPr>
            <w:r w:rsidRPr="00064185">
              <w:t>2.75E-2</w:t>
            </w:r>
          </w:p>
        </w:tc>
        <w:tc>
          <w:tcPr>
            <w:tcW w:w="2196" w:type="dxa"/>
            <w:vAlign w:val="center"/>
          </w:tcPr>
          <w:p w14:paraId="49928A37" w14:textId="3FA19612" w:rsidR="00C9490E" w:rsidRPr="00064185" w:rsidRDefault="00C9490E" w:rsidP="00EA61D8">
            <w:pPr>
              <w:tabs>
                <w:tab w:val="right" w:pos="1370"/>
              </w:tabs>
              <w:spacing w:before="60" w:after="60"/>
            </w:pPr>
            <w:r w:rsidRPr="00064185">
              <w:t>2.81E-2</w:t>
            </w:r>
          </w:p>
        </w:tc>
      </w:tr>
      <w:tr w:rsidR="00064185" w:rsidRPr="00064185" w14:paraId="0C6F3AC0" w14:textId="77777777" w:rsidTr="00064759">
        <w:trPr>
          <w:jc w:val="center"/>
        </w:trPr>
        <w:tc>
          <w:tcPr>
            <w:tcW w:w="0" w:type="auto"/>
            <w:vAlign w:val="center"/>
            <w:hideMark/>
          </w:tcPr>
          <w:p w14:paraId="7E2733D6"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Suspended matter-water partitioning coefficient</w:t>
            </w:r>
            <w:r w:rsidRPr="00064185">
              <w:rPr>
                <w:rFonts w:ascii="Verdana" w:hAnsi="Verdana"/>
                <w:bCs/>
              </w:rPr>
              <w:t xml:space="preserve"> </w:t>
            </w:r>
            <w:r w:rsidRPr="00064185">
              <w:rPr>
                <w:rFonts w:ascii="Verdana" w:hAnsi="Verdana"/>
                <w:bCs/>
              </w:rPr>
              <w:br/>
              <w:t>[m³/m</w:t>
            </w:r>
            <w:r w:rsidRPr="00064185">
              <w:rPr>
                <w:rFonts w:ascii="Verdana" w:hAnsi="Verdana"/>
                <w:bCs/>
                <w:vertAlign w:val="superscript"/>
              </w:rPr>
              <w:t>3</w:t>
            </w:r>
            <w:r w:rsidRPr="00064185">
              <w:rPr>
                <w:rFonts w:ascii="Verdana" w:hAnsi="Verdana"/>
                <w:bCs/>
              </w:rPr>
              <w:t>]</w:t>
            </w:r>
          </w:p>
        </w:tc>
        <w:tc>
          <w:tcPr>
            <w:tcW w:w="1916" w:type="dxa"/>
            <w:vAlign w:val="center"/>
            <w:hideMark/>
          </w:tcPr>
          <w:p w14:paraId="40FC8F5B"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K</w:t>
            </w:r>
            <w:r w:rsidRPr="00064185">
              <w:rPr>
                <w:rFonts w:ascii="Verdana" w:hAnsi="Verdana"/>
                <w:vertAlign w:val="subscript"/>
              </w:rPr>
              <w:t>susp-water</w:t>
            </w:r>
          </w:p>
        </w:tc>
        <w:tc>
          <w:tcPr>
            <w:tcW w:w="4889" w:type="dxa"/>
            <w:gridSpan w:val="2"/>
            <w:vAlign w:val="center"/>
            <w:hideMark/>
          </w:tcPr>
          <w:p w14:paraId="34145E37" w14:textId="77777777" w:rsidR="00FA2E2A" w:rsidRPr="00064185" w:rsidRDefault="00FA2E2A" w:rsidP="00EA61D8">
            <w:pPr>
              <w:pStyle w:val="Absatz"/>
              <w:keepNext/>
              <w:keepLines/>
              <w:spacing w:before="60" w:after="60"/>
              <w:ind w:left="0"/>
              <w:rPr>
                <w:rFonts w:ascii="Verdana" w:hAnsi="Verdana"/>
                <w:bCs/>
              </w:rPr>
            </w:pPr>
            <w:r w:rsidRPr="00064185">
              <w:rPr>
                <w:rFonts w:ascii="Verdana" w:hAnsi="Verdana"/>
                <w:bCs/>
              </w:rPr>
              <w:t>1753.4</w:t>
            </w:r>
          </w:p>
        </w:tc>
      </w:tr>
      <w:tr w:rsidR="00064185" w:rsidRPr="00064185" w14:paraId="4C82C704" w14:textId="77777777" w:rsidTr="00064759">
        <w:trPr>
          <w:jc w:val="center"/>
        </w:trPr>
        <w:tc>
          <w:tcPr>
            <w:tcW w:w="0" w:type="auto"/>
            <w:vAlign w:val="center"/>
            <w:hideMark/>
          </w:tcPr>
          <w:p w14:paraId="222D9844"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 xml:space="preserve">Bulk density of suspended matter </w:t>
            </w:r>
            <w:r w:rsidRPr="00064185">
              <w:rPr>
                <w:rFonts w:ascii="Verdana" w:hAnsi="Verdana"/>
                <w:bCs/>
              </w:rPr>
              <w:t>[kg/m</w:t>
            </w:r>
            <w:r w:rsidRPr="00064185">
              <w:rPr>
                <w:rFonts w:ascii="Verdana" w:hAnsi="Verdana"/>
                <w:bCs/>
                <w:vertAlign w:val="superscript"/>
              </w:rPr>
              <w:t>3</w:t>
            </w:r>
            <w:r w:rsidRPr="00064185">
              <w:rPr>
                <w:rFonts w:ascii="Verdana" w:hAnsi="Verdana"/>
                <w:bCs/>
              </w:rPr>
              <w:t>]</w:t>
            </w:r>
          </w:p>
        </w:tc>
        <w:tc>
          <w:tcPr>
            <w:tcW w:w="1916" w:type="dxa"/>
            <w:vAlign w:val="center"/>
            <w:hideMark/>
          </w:tcPr>
          <w:p w14:paraId="4A372B3D"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RHO</w:t>
            </w:r>
            <w:r w:rsidRPr="00064185">
              <w:rPr>
                <w:rFonts w:ascii="Verdana" w:hAnsi="Verdana"/>
                <w:vertAlign w:val="subscript"/>
              </w:rPr>
              <w:t>susp</w:t>
            </w:r>
          </w:p>
        </w:tc>
        <w:tc>
          <w:tcPr>
            <w:tcW w:w="4889" w:type="dxa"/>
            <w:gridSpan w:val="2"/>
            <w:vAlign w:val="center"/>
            <w:hideMark/>
          </w:tcPr>
          <w:p w14:paraId="4182A863" w14:textId="77777777" w:rsidR="00FA2E2A" w:rsidRPr="00064185" w:rsidRDefault="00FA2E2A" w:rsidP="00EA61D8">
            <w:pPr>
              <w:pStyle w:val="Absatz"/>
              <w:keepNext/>
              <w:keepLines/>
              <w:spacing w:before="60" w:after="60"/>
              <w:ind w:left="0"/>
              <w:rPr>
                <w:rFonts w:ascii="Verdana" w:hAnsi="Verdana"/>
              </w:rPr>
            </w:pPr>
            <w:r w:rsidRPr="00064185">
              <w:rPr>
                <w:rFonts w:ascii="Verdana" w:hAnsi="Verdana"/>
              </w:rPr>
              <w:t>1150</w:t>
            </w:r>
          </w:p>
        </w:tc>
      </w:tr>
      <w:tr w:rsidR="00064185" w:rsidRPr="00064185" w14:paraId="61CFF2B1" w14:textId="77777777" w:rsidTr="00064759">
        <w:trPr>
          <w:jc w:val="center"/>
        </w:trPr>
        <w:tc>
          <w:tcPr>
            <w:tcW w:w="0" w:type="auto"/>
            <w:vAlign w:val="center"/>
            <w:hideMark/>
          </w:tcPr>
          <w:p w14:paraId="5019B141" w14:textId="77777777" w:rsidR="00C9490E" w:rsidRPr="00064185" w:rsidRDefault="00C9490E" w:rsidP="00EA61D8">
            <w:pPr>
              <w:pStyle w:val="Absatz"/>
              <w:keepNext/>
              <w:keepLines/>
              <w:spacing w:before="60" w:after="60"/>
              <w:ind w:left="0"/>
              <w:rPr>
                <w:rFonts w:ascii="Verdana" w:hAnsi="Verdana"/>
                <w:b/>
              </w:rPr>
            </w:pPr>
            <w:r w:rsidRPr="00064185">
              <w:rPr>
                <w:rFonts w:ascii="Verdana" w:hAnsi="Verdana"/>
                <w:b/>
              </w:rPr>
              <w:t xml:space="preserve">Predicted Environmental Concentration in sediment </w:t>
            </w:r>
            <w:r w:rsidRPr="00064185">
              <w:rPr>
                <w:rFonts w:ascii="Verdana" w:hAnsi="Verdana"/>
                <w:b/>
                <w:bCs/>
              </w:rPr>
              <w:t>[µg/kg]</w:t>
            </w:r>
          </w:p>
        </w:tc>
        <w:tc>
          <w:tcPr>
            <w:tcW w:w="1916" w:type="dxa"/>
            <w:vAlign w:val="center"/>
            <w:hideMark/>
          </w:tcPr>
          <w:p w14:paraId="04B1EB6D" w14:textId="77777777" w:rsidR="00C9490E" w:rsidRPr="00064185" w:rsidRDefault="00C9490E" w:rsidP="00EA61D8">
            <w:pPr>
              <w:pStyle w:val="Absatz"/>
              <w:keepNext/>
              <w:keepLines/>
              <w:spacing w:before="60" w:after="60"/>
              <w:ind w:left="0"/>
              <w:rPr>
                <w:rFonts w:ascii="Verdana" w:hAnsi="Verdana"/>
                <w:b/>
              </w:rPr>
            </w:pPr>
            <w:r w:rsidRPr="00064185">
              <w:rPr>
                <w:rFonts w:ascii="Verdana" w:hAnsi="Verdana"/>
                <w:b/>
              </w:rPr>
              <w:t>PEClocal</w:t>
            </w:r>
            <w:r w:rsidRPr="00064185">
              <w:rPr>
                <w:rFonts w:ascii="Verdana" w:hAnsi="Verdana"/>
                <w:b/>
                <w:vertAlign w:val="subscript"/>
              </w:rPr>
              <w:t>sed</w:t>
            </w:r>
            <w:r w:rsidRPr="00064185">
              <w:rPr>
                <w:rFonts w:ascii="Verdana" w:hAnsi="Verdana"/>
                <w:b/>
              </w:rPr>
              <w:t xml:space="preserve"> = (K</w:t>
            </w:r>
            <w:r w:rsidRPr="00064185">
              <w:rPr>
                <w:rFonts w:ascii="Verdana" w:hAnsi="Verdana"/>
                <w:b/>
                <w:vertAlign w:val="subscript"/>
              </w:rPr>
              <w:t>susp-water</w:t>
            </w:r>
            <w:r w:rsidRPr="00064185">
              <w:rPr>
                <w:rFonts w:ascii="Verdana" w:hAnsi="Verdana"/>
                <w:b/>
              </w:rPr>
              <w:t xml:space="preserve"> / RHO</w:t>
            </w:r>
            <w:r w:rsidRPr="00064185">
              <w:rPr>
                <w:rFonts w:ascii="Verdana" w:hAnsi="Verdana"/>
                <w:b/>
                <w:vertAlign w:val="subscript"/>
              </w:rPr>
              <w:t>susp</w:t>
            </w:r>
            <w:r w:rsidRPr="00064185">
              <w:rPr>
                <w:rFonts w:ascii="Verdana" w:hAnsi="Verdana"/>
                <w:b/>
              </w:rPr>
              <w:t>) x PEClocal</w:t>
            </w:r>
            <w:r w:rsidRPr="00064185">
              <w:rPr>
                <w:rFonts w:ascii="Verdana" w:hAnsi="Verdana"/>
                <w:b/>
                <w:vertAlign w:val="subscript"/>
              </w:rPr>
              <w:t>water</w:t>
            </w:r>
            <w:r w:rsidRPr="00064185">
              <w:rPr>
                <w:rFonts w:ascii="Verdana" w:hAnsi="Verdana"/>
                <w:b/>
              </w:rPr>
              <w:t xml:space="preserve"> x 1000</w:t>
            </w:r>
          </w:p>
        </w:tc>
        <w:tc>
          <w:tcPr>
            <w:tcW w:w="2693" w:type="dxa"/>
            <w:vAlign w:val="center"/>
          </w:tcPr>
          <w:p w14:paraId="214B07C9" w14:textId="2DAEEF27" w:rsidR="00C9490E" w:rsidRPr="00064185" w:rsidRDefault="00C9490E" w:rsidP="00EA61D8">
            <w:pPr>
              <w:pStyle w:val="Absatz"/>
              <w:keepNext/>
              <w:keepLines/>
              <w:spacing w:before="60" w:after="60"/>
              <w:ind w:left="0"/>
              <w:rPr>
                <w:rFonts w:ascii="Verdana" w:hAnsi="Verdana"/>
                <w:b/>
              </w:rPr>
            </w:pPr>
            <w:r w:rsidRPr="00064185">
              <w:rPr>
                <w:rFonts w:ascii="Verdana" w:hAnsi="Verdana"/>
                <w:b/>
                <w:bCs/>
              </w:rPr>
              <w:t>41.96</w:t>
            </w:r>
          </w:p>
        </w:tc>
        <w:tc>
          <w:tcPr>
            <w:tcW w:w="2196" w:type="dxa"/>
            <w:vAlign w:val="center"/>
          </w:tcPr>
          <w:p w14:paraId="1968BAB8" w14:textId="0C2D599E" w:rsidR="00C9490E" w:rsidRPr="00064185" w:rsidRDefault="00C9490E" w:rsidP="00EA61D8">
            <w:pPr>
              <w:pStyle w:val="Absatz"/>
              <w:keepNext/>
              <w:keepLines/>
              <w:spacing w:before="60" w:after="60"/>
              <w:ind w:left="0"/>
              <w:rPr>
                <w:rFonts w:ascii="Verdana" w:hAnsi="Verdana"/>
                <w:b/>
              </w:rPr>
            </w:pPr>
            <w:r w:rsidRPr="00064185">
              <w:rPr>
                <w:rFonts w:ascii="Verdana" w:hAnsi="Verdana"/>
                <w:b/>
                <w:bCs/>
              </w:rPr>
              <w:t>4.28</w:t>
            </w:r>
          </w:p>
        </w:tc>
      </w:tr>
    </w:tbl>
    <w:p w14:paraId="0A42D3F0" w14:textId="77777777" w:rsidR="00A75DED" w:rsidRPr="00064185" w:rsidRDefault="00A75DED" w:rsidP="00EA61D8">
      <w:pPr>
        <w:rPr>
          <w:rFonts w:eastAsia="Calibri"/>
          <w:i/>
          <w:sz w:val="22"/>
          <w:szCs w:val="22"/>
          <w:u w:val="single"/>
          <w:lang w:eastAsia="en-US"/>
        </w:rPr>
      </w:pPr>
    </w:p>
    <w:p w14:paraId="51508ABB" w14:textId="77777777" w:rsidR="00C55F1E" w:rsidRPr="00064185" w:rsidRDefault="00C55F1E" w:rsidP="00EA61D8">
      <w:pPr>
        <w:rPr>
          <w:rFonts w:eastAsia="Calibri"/>
          <w:i/>
          <w:sz w:val="22"/>
          <w:szCs w:val="22"/>
          <w:u w:val="single"/>
          <w:lang w:eastAsia="en-US"/>
        </w:rPr>
      </w:pPr>
    </w:p>
    <w:p w14:paraId="7AA0D87F" w14:textId="77777777" w:rsidR="00F90636" w:rsidRPr="00064185" w:rsidRDefault="00F90636" w:rsidP="00EA61D8">
      <w:pPr>
        <w:rPr>
          <w:rFonts w:eastAsia="Calibri"/>
          <w:i/>
          <w:sz w:val="22"/>
          <w:szCs w:val="22"/>
          <w:u w:val="single"/>
          <w:lang w:eastAsia="en-US"/>
        </w:rPr>
      </w:pPr>
    </w:p>
    <w:p w14:paraId="4CB5D19D" w14:textId="77777777" w:rsidR="006B46E3" w:rsidRPr="00064185" w:rsidRDefault="000A229F" w:rsidP="006A7704">
      <w:pPr>
        <w:jc w:val="both"/>
        <w:rPr>
          <w:rFonts w:eastAsia="Calibri"/>
          <w:b/>
          <w:i/>
          <w:sz w:val="22"/>
          <w:szCs w:val="22"/>
          <w:u w:val="single"/>
          <w:lang w:eastAsia="en-US"/>
        </w:rPr>
      </w:pPr>
      <w:r w:rsidRPr="00064185">
        <w:rPr>
          <w:rFonts w:eastAsia="Calibri"/>
          <w:b/>
          <w:i/>
          <w:sz w:val="22"/>
          <w:szCs w:val="22"/>
          <w:u w:val="single"/>
          <w:lang w:eastAsia="en-US"/>
        </w:rPr>
        <w:t>PEC in soils</w:t>
      </w:r>
      <w:r w:rsidR="006B46E3" w:rsidRPr="00064185">
        <w:rPr>
          <w:rFonts w:eastAsia="Calibri"/>
          <w:b/>
          <w:i/>
          <w:sz w:val="22"/>
          <w:szCs w:val="22"/>
          <w:u w:val="single"/>
          <w:lang w:eastAsia="en-US"/>
        </w:rPr>
        <w:t xml:space="preserve"> </w:t>
      </w:r>
    </w:p>
    <w:p w14:paraId="66791A8F" w14:textId="77777777" w:rsidR="006B46E3" w:rsidRPr="00064185" w:rsidRDefault="006B46E3" w:rsidP="006A7704">
      <w:pPr>
        <w:jc w:val="both"/>
        <w:rPr>
          <w:b/>
          <w:bCs/>
          <w:szCs w:val="22"/>
          <w:u w:val="single"/>
        </w:rPr>
      </w:pPr>
      <w:bookmarkStart w:id="1816" w:name="_Ref161811186"/>
    </w:p>
    <w:p w14:paraId="3B4E2D15" w14:textId="77777777" w:rsidR="000960E4" w:rsidRPr="00064185" w:rsidRDefault="000960E4" w:rsidP="006A7704">
      <w:pPr>
        <w:jc w:val="both"/>
        <w:rPr>
          <w:rFonts w:eastAsia="Calibri"/>
          <w:i/>
          <w:u w:val="single"/>
          <w:lang w:eastAsia="en-US"/>
        </w:rPr>
      </w:pPr>
      <w:r w:rsidRPr="00064185">
        <w:rPr>
          <w:rFonts w:eastAsia="Calibri"/>
          <w:i/>
          <w:u w:val="single"/>
          <w:lang w:eastAsia="en-US"/>
        </w:rPr>
        <w:t>PEC in soil as a result of wash-off to soil by rainfall (direct exposure, rural area):</w:t>
      </w:r>
    </w:p>
    <w:p w14:paraId="2A2C27B9" w14:textId="77777777" w:rsidR="000960E4" w:rsidRPr="00064185" w:rsidRDefault="000960E4" w:rsidP="006A7704">
      <w:pPr>
        <w:autoSpaceDE w:val="0"/>
        <w:autoSpaceDN w:val="0"/>
        <w:adjustRightInd w:val="0"/>
        <w:jc w:val="both"/>
        <w:rPr>
          <w:rFonts w:eastAsia="Calibri"/>
          <w:lang w:eastAsia="en-US"/>
        </w:rPr>
      </w:pPr>
      <w:r w:rsidRPr="00064185">
        <w:rPr>
          <w:rFonts w:eastAsia="Calibri"/>
          <w:lang w:eastAsia="en-US"/>
        </w:rPr>
        <w:t xml:space="preserve">For outdoor applications on terraces in rural areas, it is considered, that soil adjacent to the terraces is directly exposed following wash-off of the treated areas by rainfalls. </w:t>
      </w:r>
    </w:p>
    <w:p w14:paraId="7AFCBF2B" w14:textId="77777777" w:rsidR="000960E4" w:rsidRPr="00064185" w:rsidRDefault="000960E4" w:rsidP="006A7704">
      <w:pPr>
        <w:autoSpaceDE w:val="0"/>
        <w:autoSpaceDN w:val="0"/>
        <w:adjustRightInd w:val="0"/>
        <w:jc w:val="both"/>
        <w:rPr>
          <w:lang w:val="en-US"/>
        </w:rPr>
      </w:pPr>
      <w:r w:rsidRPr="00064185">
        <w:rPr>
          <w:lang w:val="en-US"/>
        </w:rPr>
        <w:t>A rectangular terrace of 6 m × 5 m (30 m²) of a private house is assumed. One of the longer sides of the terrace is adjacent to one side of the house (6 m). In accordance with scenarios recommend in ESD PT18, a 0.5 m soil strip adjacent to the other sides of the terrace with a 0.5 m default value for soil depth is defined as the receiving compartment and a volume of the two soil corners of 0.5 m side length and 0.5 m soil depth is added.</w:t>
      </w:r>
    </w:p>
    <w:p w14:paraId="4D3EC217" w14:textId="77777777" w:rsidR="000960E4" w:rsidRPr="00064185" w:rsidRDefault="000960E4" w:rsidP="006A7704">
      <w:pPr>
        <w:autoSpaceDE w:val="0"/>
        <w:autoSpaceDN w:val="0"/>
        <w:adjustRightInd w:val="0"/>
        <w:jc w:val="both"/>
        <w:rPr>
          <w:lang w:val="en-US"/>
        </w:rPr>
      </w:pPr>
    </w:p>
    <w:p w14:paraId="7BA8D4BA" w14:textId="77777777" w:rsidR="000960E4" w:rsidRPr="00064185" w:rsidRDefault="000960E4" w:rsidP="006A7704">
      <w:pPr>
        <w:autoSpaceDE w:val="0"/>
        <w:autoSpaceDN w:val="0"/>
        <w:adjustRightInd w:val="0"/>
        <w:jc w:val="both"/>
        <w:rPr>
          <w:lang w:val="en-US"/>
        </w:rPr>
      </w:pPr>
      <w:r w:rsidRPr="00064185">
        <w:rPr>
          <w:lang w:val="en-US"/>
        </w:rPr>
        <w:t>Hence, the s</w:t>
      </w:r>
      <w:r w:rsidRPr="00064185">
        <w:rPr>
          <w:rFonts w:eastAsia="Calibri"/>
          <w:lang w:val="en-US" w:eastAsia="en-GB"/>
        </w:rPr>
        <w:t>oil volume for wash-off is calculated as</w:t>
      </w:r>
      <w:r w:rsidRPr="00064185">
        <w:rPr>
          <w:lang w:val="en-US"/>
        </w:rPr>
        <w:t>:</w:t>
      </w:r>
    </w:p>
    <w:p w14:paraId="16F5E4C0" w14:textId="77777777" w:rsidR="000960E4" w:rsidRPr="00064185" w:rsidRDefault="000960E4" w:rsidP="006A7704">
      <w:pPr>
        <w:autoSpaceDE w:val="0"/>
        <w:autoSpaceDN w:val="0"/>
        <w:adjustRightInd w:val="0"/>
        <w:jc w:val="both"/>
        <w:rPr>
          <w:lang w:val="en-US"/>
        </w:rPr>
      </w:pPr>
    </w:p>
    <w:p w14:paraId="725552EB" w14:textId="14CE2DD1" w:rsidR="000960E4" w:rsidRPr="00064185" w:rsidRDefault="000960E4" w:rsidP="006A7704">
      <w:pPr>
        <w:jc w:val="both"/>
        <w:rPr>
          <w:lang w:val="en-US"/>
        </w:rPr>
      </w:pPr>
      <w:r w:rsidRPr="00064185">
        <w:rPr>
          <w:lang w:val="en-US"/>
        </w:rPr>
        <w:t>V</w:t>
      </w:r>
      <w:r w:rsidRPr="00064185">
        <w:rPr>
          <w:vertAlign w:val="subscript"/>
          <w:lang w:val="en-US"/>
        </w:rPr>
        <w:t>soil, wash-off</w:t>
      </w:r>
      <w:r w:rsidRPr="00064185">
        <w:rPr>
          <w:lang w:val="en-US"/>
        </w:rPr>
        <w:t xml:space="preserve"> = [2*(5*0.5*0.5)]</w:t>
      </w:r>
      <w:r w:rsidR="00A95A19" w:rsidRPr="00064185">
        <w:rPr>
          <w:lang w:val="en-US"/>
        </w:rPr>
        <w:t xml:space="preserve"> </w:t>
      </w:r>
      <w:r w:rsidRPr="00064185">
        <w:rPr>
          <w:lang w:val="en-US"/>
        </w:rPr>
        <w:t>+</w:t>
      </w:r>
      <w:r w:rsidR="00A95A19" w:rsidRPr="00064185">
        <w:rPr>
          <w:lang w:val="en-US"/>
        </w:rPr>
        <w:t xml:space="preserve"> </w:t>
      </w:r>
      <w:r w:rsidRPr="00064185">
        <w:rPr>
          <w:lang w:val="en-US"/>
        </w:rPr>
        <w:t>(6*0.5*0.5) + [2*(0.5*0.5*0.5)] = 4.25 m³</w:t>
      </w:r>
    </w:p>
    <w:p w14:paraId="4E5AF1EA" w14:textId="77777777" w:rsidR="000960E4" w:rsidRPr="00064185" w:rsidRDefault="000960E4" w:rsidP="006A7704">
      <w:pPr>
        <w:pStyle w:val="Absatz"/>
        <w:ind w:left="0"/>
        <w:jc w:val="both"/>
        <w:rPr>
          <w:rFonts w:ascii="Verdana" w:hAnsi="Verdana"/>
          <w:lang w:val="en-US"/>
        </w:rPr>
      </w:pPr>
    </w:p>
    <w:p w14:paraId="11FF7142" w14:textId="77777777" w:rsidR="000960E4" w:rsidRPr="00064185" w:rsidRDefault="000960E4" w:rsidP="006A7704">
      <w:pPr>
        <w:pStyle w:val="Absatz"/>
        <w:ind w:left="0"/>
        <w:jc w:val="both"/>
        <w:rPr>
          <w:rFonts w:ascii="Verdana" w:hAnsi="Verdana"/>
          <w:lang w:val="en-US"/>
        </w:rPr>
      </w:pPr>
      <w:r w:rsidRPr="00064185">
        <w:rPr>
          <w:rFonts w:ascii="Verdana" w:hAnsi="Verdana"/>
          <w:lang w:val="en-US"/>
        </w:rPr>
        <w:t xml:space="preserve">The PEC of </w:t>
      </w:r>
      <w:r w:rsidRPr="00064185">
        <w:rPr>
          <w:rFonts w:ascii="Verdana" w:hAnsi="Verdana"/>
          <w:i/>
          <w:lang w:val="en-US"/>
        </w:rPr>
        <w:t>lambda</w:t>
      </w:r>
      <w:r w:rsidRPr="00064185">
        <w:rPr>
          <w:rFonts w:ascii="Verdana" w:hAnsi="Verdana"/>
          <w:lang w:val="en-US"/>
        </w:rPr>
        <w:t>-cyhalothrin in the receiving soil around treated terraces is estimated as follows:</w:t>
      </w:r>
    </w:p>
    <w:p w14:paraId="0FA89CE3" w14:textId="77777777" w:rsidR="000960E4" w:rsidRPr="00064185" w:rsidRDefault="000960E4" w:rsidP="006A7704">
      <w:pPr>
        <w:pStyle w:val="Absatz"/>
        <w:ind w:left="0"/>
        <w:jc w:val="both"/>
        <w:rPr>
          <w:rFonts w:ascii="Verdana" w:hAnsi="Verdana"/>
          <w:lang w:val="en-US"/>
        </w:rPr>
      </w:pPr>
    </w:p>
    <w:p w14:paraId="5A457265" w14:textId="7980D8AD" w:rsidR="00F90636" w:rsidRPr="00064185" w:rsidRDefault="00F90636" w:rsidP="006A7704">
      <w:pPr>
        <w:pStyle w:val="Absatz"/>
        <w:ind w:left="0"/>
        <w:jc w:val="both"/>
        <w:rPr>
          <w:rFonts w:ascii="Verdana" w:hAnsi="Verdana"/>
          <w:lang w:val="en-US"/>
        </w:rPr>
      </w:pPr>
    </w:p>
    <w:p w14:paraId="551FD03B" w14:textId="77777777" w:rsidR="009F0417" w:rsidRPr="00064185" w:rsidRDefault="009F0417" w:rsidP="006A7704">
      <w:pPr>
        <w:pStyle w:val="Absatz"/>
        <w:ind w:left="0"/>
        <w:jc w:val="both"/>
        <w:rPr>
          <w:rFonts w:ascii="Verdana" w:hAnsi="Verdana"/>
          <w:lang w:val="en-US"/>
        </w:rPr>
      </w:pPr>
    </w:p>
    <w:p w14:paraId="3218B913" w14:textId="77777777" w:rsidR="00F90636" w:rsidRPr="00064185" w:rsidRDefault="00F90636" w:rsidP="00EA61D8">
      <w:pPr>
        <w:pStyle w:val="Absatz"/>
        <w:ind w:left="0"/>
        <w:rPr>
          <w:rFonts w:ascii="Verdana" w:hAnsi="Verdana"/>
          <w:lang w:val="en-US"/>
        </w:rPr>
      </w:pPr>
    </w:p>
    <w:p w14:paraId="108C438A" w14:textId="77777777" w:rsidR="00F90636" w:rsidRPr="00064185" w:rsidRDefault="00F90636" w:rsidP="00EA61D8">
      <w:pPr>
        <w:pStyle w:val="Absatz"/>
        <w:ind w:left="0"/>
        <w:rPr>
          <w:rFonts w:ascii="Verdana" w:hAnsi="Verdana"/>
          <w:lang w:val="en-US"/>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0"/>
        <w:gridCol w:w="3261"/>
        <w:gridCol w:w="3003"/>
      </w:tblGrid>
      <w:tr w:rsidR="00064185" w:rsidRPr="00064185" w14:paraId="176B88FF" w14:textId="77777777" w:rsidTr="00B6348B">
        <w:trPr>
          <w:cantSplit/>
          <w:trHeight w:val="704"/>
        </w:trPr>
        <w:tc>
          <w:tcPr>
            <w:tcW w:w="5000" w:type="pct"/>
            <w:gridSpan w:val="3"/>
            <w:shd w:val="clear" w:color="auto" w:fill="FFFFCC"/>
            <w:vAlign w:val="center"/>
          </w:tcPr>
          <w:p w14:paraId="529774E0" w14:textId="77777777" w:rsidR="000960E4" w:rsidRPr="00064185" w:rsidRDefault="000960E4" w:rsidP="00EA61D8">
            <w:pPr>
              <w:pStyle w:val="Textkrper21"/>
              <w:keepNext/>
              <w:keepLines/>
              <w:widowControl w:val="0"/>
              <w:spacing w:before="100" w:beforeAutospacing="1" w:after="100" w:afterAutospacing="1" w:line="240" w:lineRule="auto"/>
              <w:jc w:val="left"/>
              <w:rPr>
                <w:rFonts w:ascii="Verdana" w:hAnsi="Verdana"/>
                <w:b/>
                <w:bCs/>
              </w:rPr>
            </w:pPr>
            <w:r w:rsidRPr="00064185">
              <w:rPr>
                <w:rFonts w:ascii="Verdana" w:hAnsi="Verdana"/>
                <w:b/>
                <w:bCs/>
                <w:sz w:val="20"/>
              </w:rPr>
              <w:lastRenderedPageBreak/>
              <w:t xml:space="preserve">Calculation of </w:t>
            </w:r>
            <w:r w:rsidRPr="00064185">
              <w:rPr>
                <w:rFonts w:ascii="Verdana" w:eastAsia="Calibri" w:hAnsi="Verdana"/>
                <w:b/>
                <w:lang w:val="en-US" w:eastAsia="en-GB"/>
              </w:rPr>
              <w:t>the concentration in the receiving soil as a result of wash-off to soil by rainfall</w:t>
            </w:r>
            <w:r w:rsidRPr="00064185">
              <w:rPr>
                <w:rFonts w:ascii="Verdana" w:hAnsi="Verdana"/>
                <w:b/>
                <w:bCs/>
                <w:sz w:val="20"/>
              </w:rPr>
              <w:t xml:space="preserve"> </w:t>
            </w:r>
          </w:p>
        </w:tc>
      </w:tr>
      <w:tr w:rsidR="00064185" w:rsidRPr="00064185" w14:paraId="5E563DB0" w14:textId="77777777" w:rsidTr="00B6348B">
        <w:trPr>
          <w:cantSplit/>
          <w:trHeight w:val="423"/>
        </w:trPr>
        <w:tc>
          <w:tcPr>
            <w:tcW w:w="1652" w:type="pct"/>
            <w:vMerge w:val="restart"/>
            <w:vAlign w:val="center"/>
            <w:hideMark/>
          </w:tcPr>
          <w:p w14:paraId="13736D64" w14:textId="77777777" w:rsidR="005D5442" w:rsidRPr="00064185" w:rsidRDefault="005D5442" w:rsidP="00EA61D8">
            <w:pPr>
              <w:pStyle w:val="Textkrper21"/>
              <w:keepNext/>
              <w:keepLines/>
              <w:widowControl w:val="0"/>
              <w:spacing w:before="100" w:beforeAutospacing="1" w:after="100" w:afterAutospacing="1" w:line="240" w:lineRule="auto"/>
              <w:jc w:val="left"/>
              <w:rPr>
                <w:rFonts w:ascii="Verdana" w:hAnsi="Verdana"/>
                <w:b/>
                <w:bCs/>
                <w:sz w:val="20"/>
              </w:rPr>
            </w:pPr>
            <w:r w:rsidRPr="00064185">
              <w:rPr>
                <w:rFonts w:ascii="Verdana" w:hAnsi="Verdana"/>
                <w:b/>
                <w:bCs/>
                <w:sz w:val="20"/>
              </w:rPr>
              <w:t>Parameter</w:t>
            </w:r>
          </w:p>
        </w:tc>
        <w:tc>
          <w:tcPr>
            <w:tcW w:w="1743" w:type="pct"/>
            <w:vMerge w:val="restart"/>
            <w:vAlign w:val="center"/>
            <w:hideMark/>
          </w:tcPr>
          <w:p w14:paraId="4E384522" w14:textId="77777777" w:rsidR="005D5442" w:rsidRPr="00064185" w:rsidRDefault="005D5442" w:rsidP="00EA61D8">
            <w:pPr>
              <w:pStyle w:val="Kopfzeile-fett-zentr"/>
              <w:keepNext/>
              <w:keepLines/>
              <w:widowControl w:val="0"/>
              <w:tabs>
                <w:tab w:val="left" w:pos="708"/>
              </w:tabs>
              <w:spacing w:before="100" w:beforeAutospacing="1" w:after="100" w:afterAutospacing="1"/>
              <w:jc w:val="left"/>
              <w:rPr>
                <w:rFonts w:ascii="Verdana" w:hAnsi="Verdana"/>
                <w:bCs/>
                <w:lang w:val="en-GB"/>
              </w:rPr>
            </w:pPr>
            <w:r w:rsidRPr="00064185">
              <w:rPr>
                <w:rFonts w:ascii="Verdana" w:hAnsi="Verdana"/>
                <w:bCs/>
                <w:lang w:val="en-GB"/>
              </w:rPr>
              <w:t>Definition</w:t>
            </w:r>
          </w:p>
        </w:tc>
        <w:tc>
          <w:tcPr>
            <w:tcW w:w="1605" w:type="pct"/>
            <w:vAlign w:val="center"/>
          </w:tcPr>
          <w:p w14:paraId="09FD87FA" w14:textId="71FEE1E4" w:rsidR="005D5442" w:rsidRPr="00064185" w:rsidRDefault="005D5442" w:rsidP="00EA61D8">
            <w:pPr>
              <w:keepNext/>
              <w:keepLines/>
              <w:widowControl w:val="0"/>
              <w:spacing w:before="100" w:beforeAutospacing="1" w:after="100" w:afterAutospacing="1"/>
              <w:rPr>
                <w:b/>
                <w:bCs/>
              </w:rPr>
            </w:pPr>
            <w:r w:rsidRPr="00064185">
              <w:rPr>
                <w:b/>
                <w:bCs/>
              </w:rPr>
              <w:t xml:space="preserve">Outdoor use </w:t>
            </w:r>
          </w:p>
        </w:tc>
      </w:tr>
      <w:tr w:rsidR="00064185" w:rsidRPr="00064185" w14:paraId="45F7A4CC" w14:textId="77777777" w:rsidTr="00B6348B">
        <w:trPr>
          <w:cantSplit/>
          <w:trHeight w:val="297"/>
        </w:trPr>
        <w:tc>
          <w:tcPr>
            <w:tcW w:w="1652" w:type="pct"/>
            <w:vMerge/>
            <w:vAlign w:val="center"/>
          </w:tcPr>
          <w:p w14:paraId="0034C79E" w14:textId="77777777" w:rsidR="005D5442" w:rsidRPr="00064185" w:rsidRDefault="005D5442" w:rsidP="00EA61D8">
            <w:pPr>
              <w:pStyle w:val="Textkrper21"/>
              <w:keepNext/>
              <w:keepLines/>
              <w:widowControl w:val="0"/>
              <w:spacing w:before="100" w:beforeAutospacing="1" w:after="100" w:afterAutospacing="1" w:line="240" w:lineRule="auto"/>
              <w:jc w:val="left"/>
              <w:rPr>
                <w:rFonts w:ascii="Verdana" w:hAnsi="Verdana"/>
                <w:b/>
                <w:bCs/>
                <w:sz w:val="20"/>
              </w:rPr>
            </w:pPr>
          </w:p>
        </w:tc>
        <w:tc>
          <w:tcPr>
            <w:tcW w:w="1743" w:type="pct"/>
            <w:vMerge/>
            <w:vAlign w:val="center"/>
          </w:tcPr>
          <w:p w14:paraId="03DAB0E6" w14:textId="77777777" w:rsidR="005D5442" w:rsidRPr="00064185" w:rsidRDefault="005D5442" w:rsidP="00EA61D8">
            <w:pPr>
              <w:pStyle w:val="Kopfzeile-fett-zentr"/>
              <w:keepNext/>
              <w:keepLines/>
              <w:widowControl w:val="0"/>
              <w:tabs>
                <w:tab w:val="left" w:pos="708"/>
              </w:tabs>
              <w:spacing w:before="100" w:beforeAutospacing="1" w:after="100" w:afterAutospacing="1"/>
              <w:jc w:val="left"/>
              <w:rPr>
                <w:rFonts w:ascii="Verdana" w:hAnsi="Verdana"/>
                <w:bCs/>
                <w:lang w:val="en-GB"/>
              </w:rPr>
            </w:pPr>
          </w:p>
        </w:tc>
        <w:tc>
          <w:tcPr>
            <w:tcW w:w="1605" w:type="pct"/>
            <w:vAlign w:val="center"/>
          </w:tcPr>
          <w:p w14:paraId="77C11961" w14:textId="0DF048D5" w:rsidR="005D5442" w:rsidRPr="00064185" w:rsidRDefault="005D5442" w:rsidP="00EA61D8">
            <w:pPr>
              <w:keepNext/>
              <w:keepLines/>
              <w:widowControl w:val="0"/>
              <w:spacing w:before="100" w:beforeAutospacing="1" w:after="100" w:afterAutospacing="1"/>
              <w:rPr>
                <w:b/>
                <w:bCs/>
              </w:rPr>
            </w:pPr>
            <w:r w:rsidRPr="00064185">
              <w:rPr>
                <w:b/>
                <w:bCs/>
              </w:rPr>
              <w:t>Ants</w:t>
            </w:r>
          </w:p>
        </w:tc>
      </w:tr>
      <w:tr w:rsidR="00064185" w:rsidRPr="00064185" w14:paraId="2A059F13" w14:textId="77777777" w:rsidTr="00B6348B">
        <w:trPr>
          <w:cantSplit/>
          <w:trHeight w:val="951"/>
        </w:trPr>
        <w:tc>
          <w:tcPr>
            <w:tcW w:w="1652" w:type="pct"/>
            <w:vAlign w:val="center"/>
          </w:tcPr>
          <w:p w14:paraId="2D8967CC" w14:textId="77777777" w:rsidR="000960E4" w:rsidRPr="00064185" w:rsidRDefault="000960E4" w:rsidP="00EA61D8">
            <w:pPr>
              <w:pStyle w:val="Tabellenformat"/>
              <w:keepNext/>
              <w:keepLines/>
              <w:widowControl w:val="0"/>
              <w:spacing w:beforeAutospacing="1" w:afterAutospacing="1"/>
              <w:rPr>
                <w:i/>
              </w:rPr>
            </w:pPr>
            <w:r w:rsidRPr="00064185">
              <w:rPr>
                <w:rFonts w:eastAsia="Calibri"/>
                <w:lang w:val="en-US" w:eastAsia="en-GB"/>
              </w:rPr>
              <w:t>Emission from outdoor application on terraces [m</w:t>
            </w:r>
            <w:r w:rsidRPr="00064185">
              <w:t>g/d</w:t>
            </w:r>
            <w:r w:rsidRPr="00064185">
              <w:rPr>
                <w:rFonts w:eastAsia="Calibri"/>
                <w:lang w:val="en-US" w:eastAsia="en-GB"/>
              </w:rPr>
              <w:t>]</w:t>
            </w:r>
          </w:p>
        </w:tc>
        <w:tc>
          <w:tcPr>
            <w:tcW w:w="1743" w:type="pct"/>
            <w:vAlign w:val="center"/>
          </w:tcPr>
          <w:p w14:paraId="0B5FD54E" w14:textId="77777777" w:rsidR="000960E4" w:rsidRPr="00064185" w:rsidRDefault="000960E4" w:rsidP="00EA61D8">
            <w:pPr>
              <w:pStyle w:val="Textkrper2"/>
              <w:keepNext/>
              <w:keepLines/>
              <w:widowControl w:val="0"/>
              <w:spacing w:before="100" w:beforeAutospacing="1" w:after="100" w:afterAutospacing="1"/>
              <w:rPr>
                <w:i w:val="0"/>
                <w:color w:val="auto"/>
              </w:rPr>
            </w:pPr>
            <w:r w:rsidRPr="00064185">
              <w:rPr>
                <w:i w:val="0"/>
                <w:color w:val="auto"/>
                <w:lang w:val="en-US"/>
              </w:rPr>
              <w:t>Elocal</w:t>
            </w:r>
            <w:r w:rsidRPr="00064185">
              <w:rPr>
                <w:i w:val="0"/>
                <w:color w:val="auto"/>
                <w:vertAlign w:val="subscript"/>
                <w:lang w:val="en-US"/>
              </w:rPr>
              <w:t>soil,washoff</w:t>
            </w:r>
          </w:p>
        </w:tc>
        <w:tc>
          <w:tcPr>
            <w:tcW w:w="1605" w:type="pct"/>
            <w:vAlign w:val="center"/>
          </w:tcPr>
          <w:p w14:paraId="7686BCCB" w14:textId="71530D59" w:rsidR="000960E4" w:rsidRPr="00064185" w:rsidRDefault="00D34047" w:rsidP="00EA61D8">
            <w:pPr>
              <w:pStyle w:val="MathemathischeFormel"/>
              <w:keepNext/>
              <w:keepLines/>
              <w:widowControl w:val="0"/>
              <w:spacing w:before="100" w:beforeAutospacing="1" w:after="100" w:afterAutospacing="1"/>
              <w:jc w:val="left"/>
              <w:rPr>
                <w:rFonts w:ascii="Verdana" w:hAnsi="Verdana"/>
                <w:iCs/>
              </w:rPr>
            </w:pPr>
            <w:r w:rsidRPr="00064185">
              <w:rPr>
                <w:rFonts w:ascii="Verdana" w:hAnsi="Verdana"/>
                <w:iCs/>
              </w:rPr>
              <w:t>27</w:t>
            </w:r>
          </w:p>
        </w:tc>
      </w:tr>
      <w:tr w:rsidR="00064185" w:rsidRPr="00064185" w14:paraId="669742C7" w14:textId="77777777" w:rsidTr="00B6348B">
        <w:trPr>
          <w:cantSplit/>
          <w:trHeight w:val="682"/>
        </w:trPr>
        <w:tc>
          <w:tcPr>
            <w:tcW w:w="1652" w:type="pct"/>
            <w:vAlign w:val="center"/>
            <w:hideMark/>
          </w:tcPr>
          <w:p w14:paraId="34B461F6" w14:textId="77777777" w:rsidR="000960E4" w:rsidRPr="00064185" w:rsidRDefault="000960E4" w:rsidP="00EA61D8">
            <w:pPr>
              <w:pStyle w:val="Tabellenformat"/>
              <w:keepNext/>
              <w:keepLines/>
              <w:widowControl w:val="0"/>
              <w:spacing w:beforeAutospacing="1" w:afterAutospacing="1"/>
              <w:rPr>
                <w:iCs/>
              </w:rPr>
            </w:pPr>
            <w:r w:rsidRPr="00064185">
              <w:rPr>
                <w:rFonts w:eastAsia="Calibri"/>
                <w:lang w:val="en-US" w:eastAsia="en-GB"/>
              </w:rPr>
              <w:t>Soil volume for wash-off at [m³]</w:t>
            </w:r>
          </w:p>
        </w:tc>
        <w:tc>
          <w:tcPr>
            <w:tcW w:w="1743" w:type="pct"/>
            <w:vAlign w:val="center"/>
            <w:hideMark/>
          </w:tcPr>
          <w:p w14:paraId="071EEDD7" w14:textId="77777777" w:rsidR="000960E4" w:rsidRPr="00064185" w:rsidRDefault="000960E4" w:rsidP="00EA61D8">
            <w:pPr>
              <w:keepNext/>
              <w:keepLines/>
              <w:widowControl w:val="0"/>
              <w:spacing w:before="100" w:beforeAutospacing="1" w:after="100" w:afterAutospacing="1"/>
            </w:pPr>
            <w:r w:rsidRPr="00064185">
              <w:rPr>
                <w:lang w:val="en-US"/>
              </w:rPr>
              <w:t>V</w:t>
            </w:r>
            <w:r w:rsidRPr="00064185">
              <w:rPr>
                <w:vertAlign w:val="subscript"/>
                <w:lang w:val="en-US"/>
              </w:rPr>
              <w:t>soil, wash-off</w:t>
            </w:r>
          </w:p>
        </w:tc>
        <w:tc>
          <w:tcPr>
            <w:tcW w:w="1605" w:type="pct"/>
            <w:vAlign w:val="center"/>
            <w:hideMark/>
          </w:tcPr>
          <w:p w14:paraId="489711EB" w14:textId="77777777" w:rsidR="000960E4" w:rsidRPr="00064185" w:rsidRDefault="000960E4" w:rsidP="00EA61D8">
            <w:pPr>
              <w:keepNext/>
              <w:keepLines/>
              <w:widowControl w:val="0"/>
              <w:spacing w:before="100" w:beforeAutospacing="1" w:after="100" w:afterAutospacing="1"/>
              <w:rPr>
                <w:iCs/>
              </w:rPr>
            </w:pPr>
            <w:r w:rsidRPr="00064185">
              <w:rPr>
                <w:lang w:val="en-US"/>
              </w:rPr>
              <w:t>4.25</w:t>
            </w:r>
          </w:p>
        </w:tc>
      </w:tr>
      <w:tr w:rsidR="00064185" w:rsidRPr="00064185" w14:paraId="41E9244B" w14:textId="77777777" w:rsidTr="00B6348B">
        <w:trPr>
          <w:cantSplit/>
          <w:trHeight w:val="692"/>
        </w:trPr>
        <w:tc>
          <w:tcPr>
            <w:tcW w:w="1652" w:type="pct"/>
            <w:vAlign w:val="center"/>
          </w:tcPr>
          <w:p w14:paraId="53E9C766" w14:textId="77777777" w:rsidR="000960E4" w:rsidRPr="00064185" w:rsidRDefault="000960E4" w:rsidP="00EA61D8">
            <w:pPr>
              <w:pStyle w:val="Tabellenformat"/>
              <w:keepNext/>
              <w:keepLines/>
              <w:widowControl w:val="0"/>
              <w:spacing w:beforeAutospacing="1" w:afterAutospacing="1"/>
              <w:rPr>
                <w:iCs/>
              </w:rPr>
            </w:pPr>
            <w:r w:rsidRPr="00064185">
              <w:rPr>
                <w:rFonts w:eastAsia="Calibri"/>
                <w:lang w:val="en-US" w:eastAsia="en-GB"/>
              </w:rPr>
              <w:t>Bulk density of wet soil [kg/m³]</w:t>
            </w:r>
          </w:p>
        </w:tc>
        <w:tc>
          <w:tcPr>
            <w:tcW w:w="1743" w:type="pct"/>
            <w:vAlign w:val="center"/>
          </w:tcPr>
          <w:p w14:paraId="4A937E9A" w14:textId="77777777" w:rsidR="000960E4" w:rsidRPr="00064185" w:rsidRDefault="000960E4" w:rsidP="00EA61D8">
            <w:pPr>
              <w:pStyle w:val="MathemathischeFormel"/>
              <w:keepNext/>
              <w:keepLines/>
              <w:widowControl w:val="0"/>
              <w:spacing w:before="100" w:beforeAutospacing="1" w:after="100" w:afterAutospacing="1"/>
              <w:jc w:val="left"/>
              <w:rPr>
                <w:rFonts w:ascii="Verdana" w:hAnsi="Verdana"/>
                <w:szCs w:val="20"/>
              </w:rPr>
            </w:pPr>
            <w:r w:rsidRPr="00064185">
              <w:rPr>
                <w:rFonts w:ascii="Verdana" w:hAnsi="Verdana"/>
                <w:lang w:val="en-US"/>
              </w:rPr>
              <w:t>RHO</w:t>
            </w:r>
            <w:r w:rsidRPr="00064185">
              <w:rPr>
                <w:rFonts w:ascii="Verdana" w:hAnsi="Verdana"/>
                <w:vertAlign w:val="subscript"/>
                <w:lang w:val="en-US"/>
              </w:rPr>
              <w:t>soil</w:t>
            </w:r>
          </w:p>
        </w:tc>
        <w:tc>
          <w:tcPr>
            <w:tcW w:w="1605" w:type="pct"/>
            <w:vAlign w:val="center"/>
          </w:tcPr>
          <w:p w14:paraId="176CBF07" w14:textId="77777777" w:rsidR="000960E4" w:rsidRPr="00064185" w:rsidRDefault="000960E4" w:rsidP="00EA61D8">
            <w:pPr>
              <w:keepNext/>
              <w:keepLines/>
              <w:widowControl w:val="0"/>
              <w:tabs>
                <w:tab w:val="decimal" w:pos="470"/>
                <w:tab w:val="right" w:pos="1370"/>
              </w:tabs>
              <w:spacing w:before="100" w:beforeAutospacing="1" w:after="100" w:afterAutospacing="1"/>
              <w:rPr>
                <w:bCs/>
              </w:rPr>
            </w:pPr>
            <w:r w:rsidRPr="00064185">
              <w:rPr>
                <w:rFonts w:eastAsia="Calibri"/>
                <w:lang w:val="en-US" w:eastAsia="en-GB"/>
              </w:rPr>
              <w:t>1700</w:t>
            </w:r>
          </w:p>
        </w:tc>
      </w:tr>
      <w:tr w:rsidR="00064185" w:rsidRPr="00064185" w14:paraId="088F360E" w14:textId="77777777" w:rsidTr="00B6348B">
        <w:trPr>
          <w:cantSplit/>
          <w:trHeight w:val="1141"/>
        </w:trPr>
        <w:tc>
          <w:tcPr>
            <w:tcW w:w="1652" w:type="pct"/>
            <w:vAlign w:val="center"/>
            <w:hideMark/>
          </w:tcPr>
          <w:p w14:paraId="2822264B" w14:textId="77777777" w:rsidR="000960E4" w:rsidRPr="00064185" w:rsidRDefault="000960E4" w:rsidP="00EA61D8">
            <w:pPr>
              <w:keepNext/>
              <w:keepLines/>
              <w:widowControl w:val="0"/>
              <w:spacing w:before="100" w:beforeAutospacing="1" w:after="100" w:afterAutospacing="1"/>
              <w:rPr>
                <w:b/>
                <w:bCs/>
              </w:rPr>
            </w:pPr>
            <w:r w:rsidRPr="00064185">
              <w:rPr>
                <w:rFonts w:eastAsia="Calibri"/>
                <w:b/>
                <w:lang w:val="en-US" w:eastAsia="en-GB"/>
              </w:rPr>
              <w:t>Concentration in the receiving soil as a result of wash-off to soil by rainfall</w:t>
            </w:r>
            <w:r w:rsidRPr="00064185">
              <w:rPr>
                <w:b/>
                <w:lang w:val="en-US"/>
              </w:rPr>
              <w:t xml:space="preserve"> </w:t>
            </w:r>
            <w:r w:rsidRPr="00064185">
              <w:rPr>
                <w:b/>
              </w:rPr>
              <w:t>[mg/kg</w:t>
            </w:r>
            <w:r w:rsidRPr="00064185">
              <w:rPr>
                <w:b/>
                <w:vertAlign w:val="subscript"/>
              </w:rPr>
              <w:t>wwt</w:t>
            </w:r>
            <w:r w:rsidRPr="00064185">
              <w:rPr>
                <w:b/>
              </w:rPr>
              <w:t>]</w:t>
            </w:r>
          </w:p>
        </w:tc>
        <w:tc>
          <w:tcPr>
            <w:tcW w:w="1743" w:type="pct"/>
            <w:vAlign w:val="center"/>
            <w:hideMark/>
          </w:tcPr>
          <w:p w14:paraId="4123C4F1" w14:textId="77777777" w:rsidR="000960E4" w:rsidRPr="00064185" w:rsidRDefault="000960E4" w:rsidP="00EA61D8">
            <w:pPr>
              <w:keepNext/>
              <w:keepLines/>
              <w:widowControl w:val="0"/>
              <w:spacing w:before="100" w:beforeAutospacing="1" w:after="100" w:afterAutospacing="1"/>
              <w:rPr>
                <w:b/>
                <w:bCs/>
              </w:rPr>
            </w:pPr>
            <w:r w:rsidRPr="00064185">
              <w:rPr>
                <w:b/>
                <w:lang w:val="en-US"/>
              </w:rPr>
              <w:t>Clocal</w:t>
            </w:r>
            <w:r w:rsidRPr="00064185">
              <w:rPr>
                <w:b/>
                <w:vertAlign w:val="subscript"/>
                <w:lang w:val="en-US"/>
              </w:rPr>
              <w:t>,soil,washoff</w:t>
            </w:r>
            <w:r w:rsidRPr="00064185">
              <w:rPr>
                <w:b/>
                <w:lang w:val="en-US"/>
              </w:rPr>
              <w:t xml:space="preserve"> = Elocal</w:t>
            </w:r>
            <w:r w:rsidRPr="00064185">
              <w:rPr>
                <w:b/>
                <w:vertAlign w:val="subscript"/>
                <w:lang w:val="en-US"/>
              </w:rPr>
              <w:t>soil,washoff</w:t>
            </w:r>
            <w:r w:rsidRPr="00064185">
              <w:rPr>
                <w:b/>
                <w:lang w:val="en-US"/>
              </w:rPr>
              <w:t xml:space="preserve"> / (V</w:t>
            </w:r>
            <w:r w:rsidRPr="00064185">
              <w:rPr>
                <w:b/>
                <w:vertAlign w:val="subscript"/>
                <w:lang w:val="en-US"/>
              </w:rPr>
              <w:t>soil,washoff</w:t>
            </w:r>
            <w:r w:rsidRPr="00064185">
              <w:rPr>
                <w:b/>
                <w:lang w:val="en-US"/>
              </w:rPr>
              <w:t xml:space="preserve"> × </w:t>
            </w:r>
            <w:r w:rsidRPr="00064185">
              <w:rPr>
                <w:b/>
                <w:i/>
                <w:lang w:val="en-US"/>
              </w:rPr>
              <w:t>RHO</w:t>
            </w:r>
            <w:r w:rsidRPr="00064185">
              <w:rPr>
                <w:b/>
                <w:i/>
                <w:vertAlign w:val="subscript"/>
                <w:lang w:val="en-US"/>
              </w:rPr>
              <w:t>soil</w:t>
            </w:r>
            <w:r w:rsidRPr="00064185">
              <w:rPr>
                <w:b/>
                <w:lang w:val="en-US"/>
              </w:rPr>
              <w:t>)</w:t>
            </w:r>
          </w:p>
        </w:tc>
        <w:tc>
          <w:tcPr>
            <w:tcW w:w="1605" w:type="pct"/>
            <w:vAlign w:val="center"/>
            <w:hideMark/>
          </w:tcPr>
          <w:p w14:paraId="14472626" w14:textId="7386E408" w:rsidR="000960E4" w:rsidRPr="00064185" w:rsidRDefault="00E85148" w:rsidP="00EA61D8">
            <w:pPr>
              <w:pStyle w:val="Kopfzeile-fett-zentr"/>
              <w:keepNext/>
              <w:keepLines/>
              <w:widowControl w:val="0"/>
              <w:tabs>
                <w:tab w:val="left" w:pos="708"/>
              </w:tabs>
              <w:spacing w:before="100" w:beforeAutospacing="1" w:after="100" w:afterAutospacing="1"/>
              <w:jc w:val="left"/>
              <w:rPr>
                <w:rFonts w:ascii="Verdana" w:hAnsi="Verdana"/>
                <w:lang w:val="en-GB"/>
              </w:rPr>
            </w:pPr>
            <w:r w:rsidRPr="00064185">
              <w:rPr>
                <w:rFonts w:ascii="Verdana" w:hAnsi="Verdana"/>
                <w:lang w:val="en-GB"/>
              </w:rPr>
              <w:t>3</w:t>
            </w:r>
            <w:r w:rsidRPr="00064185">
              <w:rPr>
                <w:rFonts w:ascii="Verdana" w:hAnsi="Verdana"/>
                <w:lang w:val="en-US"/>
              </w:rPr>
              <w:t>.74E-3</w:t>
            </w:r>
          </w:p>
        </w:tc>
      </w:tr>
    </w:tbl>
    <w:p w14:paraId="79197E0A" w14:textId="77777777" w:rsidR="000960E4" w:rsidRPr="00064185" w:rsidRDefault="000960E4" w:rsidP="00EA61D8">
      <w:pPr>
        <w:spacing w:line="260" w:lineRule="atLeast"/>
        <w:rPr>
          <w:b/>
          <w:bCs/>
        </w:rPr>
      </w:pPr>
    </w:p>
    <w:p w14:paraId="6205465C" w14:textId="77777777" w:rsidR="000960E4" w:rsidRPr="00064185" w:rsidRDefault="000960E4" w:rsidP="00EA61D8">
      <w:pPr>
        <w:spacing w:line="260" w:lineRule="atLeast"/>
        <w:rPr>
          <w:b/>
          <w:bCs/>
        </w:rPr>
      </w:pPr>
    </w:p>
    <w:p w14:paraId="5A5BAB7A" w14:textId="77777777" w:rsidR="000960E4" w:rsidRPr="00064185" w:rsidRDefault="000960E4" w:rsidP="006A7704">
      <w:pPr>
        <w:jc w:val="both"/>
        <w:rPr>
          <w:rFonts w:eastAsia="Calibri"/>
          <w:i/>
          <w:u w:val="single"/>
          <w:lang w:eastAsia="en-US"/>
        </w:rPr>
      </w:pPr>
      <w:r w:rsidRPr="00064185">
        <w:rPr>
          <w:rFonts w:eastAsia="Calibri"/>
          <w:i/>
          <w:u w:val="single"/>
          <w:lang w:eastAsia="en-US"/>
        </w:rPr>
        <w:t>PEC in soil via the application of STP sludge (indirect exposure, urban area):</w:t>
      </w:r>
    </w:p>
    <w:p w14:paraId="3E8BF63A" w14:textId="4EDA635E" w:rsidR="000A229F" w:rsidRPr="00064185" w:rsidRDefault="000A229F" w:rsidP="006A7704">
      <w:pPr>
        <w:jc w:val="both"/>
      </w:pPr>
      <w:r w:rsidRPr="00064185">
        <w:t>Soil contamination can arise indirectly, via the application of STP sludge; hence, the concentration in STP s</w:t>
      </w:r>
      <w:r w:rsidR="00840657" w:rsidRPr="00064185">
        <w:t>ludge has to be assessed at first</w:t>
      </w:r>
      <w:r w:rsidRPr="00064185">
        <w:t xml:space="preserve">. </w:t>
      </w:r>
    </w:p>
    <w:p w14:paraId="1A71DEA6" w14:textId="144439BC" w:rsidR="000A229F" w:rsidRPr="00064185" w:rsidRDefault="000A229F" w:rsidP="006A7704">
      <w:pPr>
        <w:jc w:val="both"/>
      </w:pPr>
      <w:r w:rsidRPr="00064185">
        <w:t>The rate of sewage sludge production (SLUDGERATE) is estimated from the outflows of primary and secondary sludge. According to the TGD (2003), the following default values were chosen: 0.45 kg/m³ for SUSPCONC</w:t>
      </w:r>
      <w:r w:rsidRPr="00064185">
        <w:rPr>
          <w:vertAlign w:val="subscript"/>
        </w:rPr>
        <w:t xml:space="preserve">inf </w:t>
      </w:r>
      <w:r w:rsidRPr="00064185">
        <w:t>(concentration of suspended matter in STP influent), 0.011 kg/d for SURPLUSsludge (surplus sludge per inhabitant equivalent), and 10000 inhabitant equivalents for CAPACITY</w:t>
      </w:r>
      <w:r w:rsidRPr="00064185">
        <w:rPr>
          <w:vertAlign w:val="subscript"/>
        </w:rPr>
        <w:t>stp</w:t>
      </w:r>
      <w:r w:rsidRPr="00064185">
        <w:t xml:space="preserve"> (capacity of the STP). The re</w:t>
      </w:r>
      <w:r w:rsidR="008E5F1D" w:rsidRPr="00064185">
        <w:t>sulting SLUDGERATE amounts to 79</w:t>
      </w:r>
      <w:r w:rsidRPr="00064185">
        <w:t xml:space="preserve">0 kg/d. </w:t>
      </w:r>
    </w:p>
    <w:p w14:paraId="1D773609" w14:textId="77777777" w:rsidR="000A229F" w:rsidRPr="00064185" w:rsidRDefault="000A229F" w:rsidP="00EA61D8">
      <w:pPr>
        <w:pStyle w:val="Index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1"/>
        <w:gridCol w:w="3236"/>
        <w:gridCol w:w="2157"/>
      </w:tblGrid>
      <w:tr w:rsidR="00064185" w:rsidRPr="00064185" w14:paraId="0BE5D0E5" w14:textId="77777777" w:rsidTr="00696522">
        <w:trPr>
          <w:trHeight w:val="471"/>
        </w:trPr>
        <w:tc>
          <w:tcPr>
            <w:tcW w:w="5000" w:type="pct"/>
            <w:gridSpan w:val="3"/>
            <w:shd w:val="clear" w:color="auto" w:fill="FFFFCC"/>
            <w:vAlign w:val="center"/>
          </w:tcPr>
          <w:p w14:paraId="57845CB8" w14:textId="717D9147" w:rsidR="005F3564" w:rsidRPr="00064185" w:rsidRDefault="005F3564" w:rsidP="00EA61D8">
            <w:pPr>
              <w:keepNext/>
              <w:keepLines/>
              <w:rPr>
                <w:b/>
              </w:rPr>
            </w:pPr>
            <w:r w:rsidRPr="00064185">
              <w:rPr>
                <w:b/>
              </w:rPr>
              <w:t>Calculation of the rate of sewage sludge production in a model STP (TGD, 2003, Equation 37)</w:t>
            </w:r>
          </w:p>
        </w:tc>
      </w:tr>
      <w:tr w:rsidR="00064185" w:rsidRPr="00064185" w14:paraId="1EDCEDED" w14:textId="77777777" w:rsidTr="005F3564">
        <w:trPr>
          <w:trHeight w:val="471"/>
        </w:trPr>
        <w:tc>
          <w:tcPr>
            <w:tcW w:w="2117" w:type="pct"/>
            <w:vAlign w:val="center"/>
            <w:hideMark/>
          </w:tcPr>
          <w:p w14:paraId="7890E45E" w14:textId="77777777" w:rsidR="000A229F" w:rsidRPr="00064185" w:rsidRDefault="000A229F" w:rsidP="00EA61D8">
            <w:pPr>
              <w:keepNext/>
              <w:keepLines/>
            </w:pPr>
            <w:r w:rsidRPr="00064185">
              <w:rPr>
                <w:b/>
              </w:rPr>
              <w:t>Parameter</w:t>
            </w:r>
          </w:p>
        </w:tc>
        <w:tc>
          <w:tcPr>
            <w:tcW w:w="1730" w:type="pct"/>
            <w:vAlign w:val="center"/>
            <w:hideMark/>
          </w:tcPr>
          <w:p w14:paraId="6995F25E" w14:textId="77777777" w:rsidR="000A229F" w:rsidRPr="00064185" w:rsidRDefault="000A229F" w:rsidP="00EA61D8">
            <w:pPr>
              <w:keepNext/>
              <w:keepLines/>
              <w:rPr>
                <w:b/>
              </w:rPr>
            </w:pPr>
            <w:r w:rsidRPr="00064185">
              <w:rPr>
                <w:b/>
              </w:rPr>
              <w:t>Definition</w:t>
            </w:r>
          </w:p>
        </w:tc>
        <w:tc>
          <w:tcPr>
            <w:tcW w:w="1153" w:type="pct"/>
            <w:vAlign w:val="center"/>
            <w:hideMark/>
          </w:tcPr>
          <w:p w14:paraId="387FEE12" w14:textId="77777777" w:rsidR="000A229F" w:rsidRPr="00064185" w:rsidRDefault="000A229F" w:rsidP="00EA61D8">
            <w:pPr>
              <w:keepNext/>
              <w:keepLines/>
            </w:pPr>
            <w:r w:rsidRPr="00064185">
              <w:rPr>
                <w:b/>
              </w:rPr>
              <w:t>Value</w:t>
            </w:r>
          </w:p>
        </w:tc>
      </w:tr>
      <w:tr w:rsidR="00064185" w:rsidRPr="00064185" w14:paraId="41D29B27" w14:textId="77777777" w:rsidTr="005F3564">
        <w:trPr>
          <w:trHeight w:val="472"/>
        </w:trPr>
        <w:tc>
          <w:tcPr>
            <w:tcW w:w="2117" w:type="pct"/>
            <w:vAlign w:val="center"/>
            <w:hideMark/>
          </w:tcPr>
          <w:p w14:paraId="1CA05838" w14:textId="77777777" w:rsidR="000A229F" w:rsidRPr="00064185" w:rsidRDefault="000A229F" w:rsidP="00EA61D8">
            <w:pPr>
              <w:keepNext/>
              <w:keepLines/>
            </w:pPr>
            <w:r w:rsidRPr="00064185">
              <w:t>Concentration of suspended matter in STP influent [kg/m</w:t>
            </w:r>
            <w:r w:rsidRPr="00064185">
              <w:rPr>
                <w:vertAlign w:val="superscript"/>
              </w:rPr>
              <w:t>3</w:t>
            </w:r>
            <w:r w:rsidRPr="00064185">
              <w:t>]</w:t>
            </w:r>
          </w:p>
        </w:tc>
        <w:tc>
          <w:tcPr>
            <w:tcW w:w="1730" w:type="pct"/>
            <w:vAlign w:val="center"/>
            <w:hideMark/>
          </w:tcPr>
          <w:p w14:paraId="4E651BE2" w14:textId="77777777" w:rsidR="000A229F" w:rsidRPr="00064185" w:rsidRDefault="000A229F" w:rsidP="00EA61D8">
            <w:pPr>
              <w:keepNext/>
              <w:keepLines/>
            </w:pPr>
            <w:r w:rsidRPr="00064185">
              <w:t>SUSPCONC</w:t>
            </w:r>
            <w:r w:rsidRPr="00064185">
              <w:rPr>
                <w:vertAlign w:val="subscript"/>
              </w:rPr>
              <w:t>inf</w:t>
            </w:r>
          </w:p>
        </w:tc>
        <w:tc>
          <w:tcPr>
            <w:tcW w:w="1153" w:type="pct"/>
            <w:vAlign w:val="center"/>
            <w:hideMark/>
          </w:tcPr>
          <w:p w14:paraId="17EB8824" w14:textId="77777777" w:rsidR="000A229F" w:rsidRPr="00064185" w:rsidRDefault="000A229F" w:rsidP="00EA61D8">
            <w:pPr>
              <w:keepNext/>
              <w:keepLines/>
              <w:tabs>
                <w:tab w:val="right" w:pos="1295"/>
              </w:tabs>
              <w:spacing w:after="40"/>
            </w:pPr>
            <w:r w:rsidRPr="00064185">
              <w:tab/>
              <w:t>0.45</w:t>
            </w:r>
          </w:p>
        </w:tc>
      </w:tr>
      <w:tr w:rsidR="00064185" w:rsidRPr="00064185" w14:paraId="68B30C9E" w14:textId="77777777" w:rsidTr="005F3564">
        <w:trPr>
          <w:trHeight w:val="472"/>
        </w:trPr>
        <w:tc>
          <w:tcPr>
            <w:tcW w:w="2117" w:type="pct"/>
            <w:vAlign w:val="center"/>
            <w:hideMark/>
          </w:tcPr>
          <w:p w14:paraId="47970B59" w14:textId="77777777" w:rsidR="000A229F" w:rsidRPr="00064185" w:rsidRDefault="000A229F" w:rsidP="00EA61D8">
            <w:pPr>
              <w:keepNext/>
              <w:keepLines/>
            </w:pPr>
            <w:r w:rsidRPr="00064185">
              <w:t>Effluent discharge rate of STP [m³/d]</w:t>
            </w:r>
          </w:p>
        </w:tc>
        <w:tc>
          <w:tcPr>
            <w:tcW w:w="1730" w:type="pct"/>
            <w:vAlign w:val="center"/>
            <w:hideMark/>
          </w:tcPr>
          <w:p w14:paraId="089B298E" w14:textId="77777777" w:rsidR="000A229F" w:rsidRPr="00064185" w:rsidRDefault="000A229F" w:rsidP="00EA61D8">
            <w:pPr>
              <w:keepNext/>
              <w:keepLines/>
            </w:pPr>
            <w:r w:rsidRPr="00064185">
              <w:t>EFFLUENT</w:t>
            </w:r>
            <w:r w:rsidRPr="00064185">
              <w:rPr>
                <w:vertAlign w:val="subscript"/>
              </w:rPr>
              <w:t>STP</w:t>
            </w:r>
          </w:p>
        </w:tc>
        <w:tc>
          <w:tcPr>
            <w:tcW w:w="1153" w:type="pct"/>
            <w:vAlign w:val="center"/>
            <w:hideMark/>
          </w:tcPr>
          <w:p w14:paraId="4395E65B" w14:textId="77777777" w:rsidR="000A229F" w:rsidRPr="00064185" w:rsidRDefault="000A229F" w:rsidP="00EA61D8">
            <w:pPr>
              <w:keepNext/>
              <w:keepLines/>
              <w:tabs>
                <w:tab w:val="right" w:pos="1295"/>
              </w:tabs>
              <w:spacing w:after="40"/>
            </w:pPr>
            <w:r w:rsidRPr="00064185">
              <w:tab/>
              <w:t>2000</w:t>
            </w:r>
          </w:p>
        </w:tc>
      </w:tr>
      <w:tr w:rsidR="00064185" w:rsidRPr="00064185" w14:paraId="1C1617F6" w14:textId="77777777" w:rsidTr="005F3564">
        <w:trPr>
          <w:trHeight w:val="472"/>
        </w:trPr>
        <w:tc>
          <w:tcPr>
            <w:tcW w:w="2117" w:type="pct"/>
            <w:vAlign w:val="center"/>
            <w:hideMark/>
          </w:tcPr>
          <w:p w14:paraId="37F80841" w14:textId="77777777" w:rsidR="000A229F" w:rsidRPr="00064185" w:rsidRDefault="000A229F" w:rsidP="00EA61D8">
            <w:pPr>
              <w:keepNext/>
              <w:keepLines/>
            </w:pPr>
            <w:r w:rsidRPr="00064185">
              <w:t xml:space="preserve">Surplus sludge per inhabitant equivalent </w:t>
            </w:r>
            <w:r w:rsidRPr="00064185">
              <w:br/>
              <w:t>[kg/d*eq]</w:t>
            </w:r>
          </w:p>
        </w:tc>
        <w:tc>
          <w:tcPr>
            <w:tcW w:w="1730" w:type="pct"/>
            <w:vAlign w:val="center"/>
            <w:hideMark/>
          </w:tcPr>
          <w:p w14:paraId="41616CF2" w14:textId="77777777" w:rsidR="000A229F" w:rsidRPr="00064185" w:rsidRDefault="000A229F" w:rsidP="00EA61D8">
            <w:pPr>
              <w:keepNext/>
              <w:keepLines/>
            </w:pPr>
            <w:r w:rsidRPr="00064185">
              <w:t>SURPLUS</w:t>
            </w:r>
            <w:r w:rsidRPr="00064185">
              <w:rPr>
                <w:vertAlign w:val="subscript"/>
              </w:rPr>
              <w:t>sludge</w:t>
            </w:r>
          </w:p>
        </w:tc>
        <w:tc>
          <w:tcPr>
            <w:tcW w:w="1153" w:type="pct"/>
            <w:vAlign w:val="center"/>
            <w:hideMark/>
          </w:tcPr>
          <w:p w14:paraId="519D56C1" w14:textId="28C40972" w:rsidR="000A229F" w:rsidRPr="00064185" w:rsidRDefault="000A229F" w:rsidP="00EA61D8">
            <w:pPr>
              <w:keepNext/>
              <w:keepLines/>
              <w:tabs>
                <w:tab w:val="right" w:pos="1295"/>
              </w:tabs>
              <w:spacing w:after="40"/>
            </w:pPr>
            <w:r w:rsidRPr="00064185">
              <w:tab/>
              <w:t>0.</w:t>
            </w:r>
            <w:r w:rsidR="001620C3" w:rsidRPr="00064185">
              <w:t>019</w:t>
            </w:r>
          </w:p>
        </w:tc>
      </w:tr>
      <w:tr w:rsidR="00064185" w:rsidRPr="00064185" w14:paraId="2C25546D" w14:textId="77777777" w:rsidTr="005F3564">
        <w:trPr>
          <w:trHeight w:val="472"/>
        </w:trPr>
        <w:tc>
          <w:tcPr>
            <w:tcW w:w="2117" w:type="pct"/>
            <w:vAlign w:val="center"/>
            <w:hideMark/>
          </w:tcPr>
          <w:p w14:paraId="16A1F6C9" w14:textId="77777777" w:rsidR="000A229F" w:rsidRPr="00064185" w:rsidRDefault="000A229F" w:rsidP="00EA61D8">
            <w:pPr>
              <w:pStyle w:val="OmniPage4"/>
              <w:keepNext/>
              <w:keepLines/>
              <w:tabs>
                <w:tab w:val="clear" w:pos="50"/>
                <w:tab w:val="left" w:pos="708"/>
              </w:tabs>
              <w:rPr>
                <w:rFonts w:ascii="Verdana" w:hAnsi="Verdana"/>
                <w:lang w:val="en-GB"/>
              </w:rPr>
            </w:pPr>
            <w:r w:rsidRPr="00064185">
              <w:rPr>
                <w:rFonts w:ascii="Verdana" w:hAnsi="Verdana"/>
                <w:lang w:val="en-GB"/>
              </w:rPr>
              <w:t>Capacity of the STP [eq]</w:t>
            </w:r>
          </w:p>
        </w:tc>
        <w:tc>
          <w:tcPr>
            <w:tcW w:w="1730" w:type="pct"/>
            <w:vAlign w:val="center"/>
            <w:hideMark/>
          </w:tcPr>
          <w:p w14:paraId="5E853C42" w14:textId="77777777" w:rsidR="000A229F" w:rsidRPr="00064185" w:rsidRDefault="000A229F" w:rsidP="00EA61D8">
            <w:pPr>
              <w:keepNext/>
              <w:keepLines/>
            </w:pPr>
            <w:r w:rsidRPr="00064185">
              <w:t>CAPACITY</w:t>
            </w:r>
            <w:r w:rsidRPr="00064185">
              <w:rPr>
                <w:vertAlign w:val="subscript"/>
              </w:rPr>
              <w:t>STP</w:t>
            </w:r>
          </w:p>
        </w:tc>
        <w:tc>
          <w:tcPr>
            <w:tcW w:w="1153" w:type="pct"/>
            <w:vAlign w:val="center"/>
            <w:hideMark/>
          </w:tcPr>
          <w:p w14:paraId="38659581" w14:textId="77777777" w:rsidR="000A229F" w:rsidRPr="00064185" w:rsidRDefault="000A229F" w:rsidP="00EA61D8">
            <w:pPr>
              <w:keepNext/>
              <w:keepLines/>
              <w:tabs>
                <w:tab w:val="right" w:pos="1295"/>
              </w:tabs>
              <w:spacing w:after="40"/>
            </w:pPr>
            <w:r w:rsidRPr="00064185">
              <w:tab/>
              <w:t>10000</w:t>
            </w:r>
          </w:p>
        </w:tc>
      </w:tr>
      <w:tr w:rsidR="005F3564" w:rsidRPr="00064185" w14:paraId="7FF0CCE5" w14:textId="77777777" w:rsidTr="005F3564">
        <w:trPr>
          <w:trHeight w:val="472"/>
        </w:trPr>
        <w:tc>
          <w:tcPr>
            <w:tcW w:w="2117" w:type="pct"/>
            <w:vAlign w:val="center"/>
            <w:hideMark/>
          </w:tcPr>
          <w:p w14:paraId="2F2495EB" w14:textId="77777777" w:rsidR="000A229F" w:rsidRPr="00064185" w:rsidRDefault="000A229F" w:rsidP="00EA61D8">
            <w:pPr>
              <w:keepNext/>
              <w:keepLines/>
              <w:rPr>
                <w:b/>
                <w:bCs/>
              </w:rPr>
            </w:pPr>
            <w:r w:rsidRPr="00064185">
              <w:rPr>
                <w:b/>
                <w:bCs/>
              </w:rPr>
              <w:t>Rate of sewage sludge production [kg/d]</w:t>
            </w:r>
          </w:p>
        </w:tc>
        <w:tc>
          <w:tcPr>
            <w:tcW w:w="1730" w:type="pct"/>
            <w:vAlign w:val="center"/>
            <w:hideMark/>
          </w:tcPr>
          <w:p w14:paraId="29981451" w14:textId="77777777" w:rsidR="000A229F" w:rsidRPr="00064185" w:rsidRDefault="000A229F" w:rsidP="00EA61D8">
            <w:pPr>
              <w:keepNext/>
              <w:keepLines/>
              <w:rPr>
                <w:b/>
                <w:bCs/>
              </w:rPr>
            </w:pPr>
            <w:r w:rsidRPr="00064185">
              <w:rPr>
                <w:b/>
                <w:bCs/>
              </w:rPr>
              <w:t>SLUDGERATE = 2/3 × SUSPCONC</w:t>
            </w:r>
            <w:r w:rsidRPr="00064185">
              <w:rPr>
                <w:b/>
                <w:bCs/>
                <w:vertAlign w:val="subscript"/>
              </w:rPr>
              <w:t>inf</w:t>
            </w:r>
            <w:r w:rsidRPr="00064185">
              <w:rPr>
                <w:b/>
                <w:bCs/>
              </w:rPr>
              <w:t xml:space="preserve"> × EFFLUENT</w:t>
            </w:r>
            <w:r w:rsidRPr="00064185">
              <w:rPr>
                <w:b/>
                <w:bCs/>
                <w:vertAlign w:val="subscript"/>
              </w:rPr>
              <w:t>STP</w:t>
            </w:r>
            <w:r w:rsidRPr="00064185">
              <w:rPr>
                <w:b/>
                <w:bCs/>
              </w:rPr>
              <w:t xml:space="preserve"> + SURPLUS</w:t>
            </w:r>
            <w:r w:rsidRPr="00064185">
              <w:rPr>
                <w:b/>
                <w:bCs/>
                <w:vertAlign w:val="subscript"/>
              </w:rPr>
              <w:t>sludge</w:t>
            </w:r>
            <w:r w:rsidRPr="00064185">
              <w:rPr>
                <w:b/>
                <w:bCs/>
              </w:rPr>
              <w:t xml:space="preserve"> × CAPACITY</w:t>
            </w:r>
            <w:r w:rsidRPr="00064185">
              <w:rPr>
                <w:b/>
                <w:bCs/>
                <w:vertAlign w:val="subscript"/>
              </w:rPr>
              <w:t>STP</w:t>
            </w:r>
          </w:p>
        </w:tc>
        <w:tc>
          <w:tcPr>
            <w:tcW w:w="1153" w:type="pct"/>
            <w:vAlign w:val="center"/>
            <w:hideMark/>
          </w:tcPr>
          <w:p w14:paraId="4A5026E4" w14:textId="6C5E7BFF" w:rsidR="000A229F" w:rsidRPr="00064185" w:rsidRDefault="000A229F" w:rsidP="00EA61D8">
            <w:pPr>
              <w:keepNext/>
              <w:keepLines/>
              <w:tabs>
                <w:tab w:val="right" w:pos="1295"/>
              </w:tabs>
              <w:spacing w:after="40"/>
              <w:rPr>
                <w:b/>
                <w:bCs/>
              </w:rPr>
            </w:pPr>
            <w:r w:rsidRPr="00064185">
              <w:rPr>
                <w:b/>
                <w:bCs/>
              </w:rPr>
              <w:tab/>
            </w:r>
            <w:r w:rsidR="001620C3" w:rsidRPr="00064185">
              <w:rPr>
                <w:b/>
              </w:rPr>
              <w:t>790</w:t>
            </w:r>
          </w:p>
        </w:tc>
      </w:tr>
    </w:tbl>
    <w:p w14:paraId="2376B133" w14:textId="77777777" w:rsidR="000A229F" w:rsidRPr="00064185" w:rsidRDefault="000A229F" w:rsidP="00EA61D8"/>
    <w:p w14:paraId="2F17B794" w14:textId="77777777" w:rsidR="00F90636" w:rsidRPr="00064185" w:rsidRDefault="00F90636" w:rsidP="00EA61D8"/>
    <w:p w14:paraId="0A7ECA35" w14:textId="77777777" w:rsidR="002115FD" w:rsidRPr="00064185" w:rsidRDefault="002115FD" w:rsidP="00EA61D8">
      <w:pPr>
        <w:spacing w:line="276" w:lineRule="auto"/>
      </w:pPr>
    </w:p>
    <w:p w14:paraId="3D201604" w14:textId="468BA7B8" w:rsidR="002115FD" w:rsidRPr="00064185" w:rsidRDefault="002115FD" w:rsidP="00EA61D8">
      <w:pPr>
        <w:spacing w:line="276" w:lineRule="auto"/>
        <w:rPr>
          <w:u w:val="single"/>
        </w:rPr>
      </w:pPr>
      <w:r w:rsidRPr="00064185">
        <w:rPr>
          <w:u w:val="single"/>
        </w:rPr>
        <w:lastRenderedPageBreak/>
        <w:t>Residual treatment:</w:t>
      </w:r>
    </w:p>
    <w:p w14:paraId="63F6AA30" w14:textId="6F3AA9A3" w:rsidR="00884957" w:rsidRPr="00064185" w:rsidRDefault="00884957" w:rsidP="00EA61D8">
      <w:pPr>
        <w:spacing w:line="276" w:lineRule="auto"/>
        <w:rPr>
          <w:u w:val="single"/>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0"/>
        <w:gridCol w:w="2368"/>
        <w:gridCol w:w="771"/>
        <w:gridCol w:w="1819"/>
        <w:gridCol w:w="869"/>
        <w:gridCol w:w="1147"/>
      </w:tblGrid>
      <w:tr w:rsidR="00064185" w:rsidRPr="00064185" w14:paraId="203CA5F4" w14:textId="77777777" w:rsidTr="00B6348B">
        <w:trPr>
          <w:cantSplit/>
          <w:trHeight w:val="471"/>
        </w:trPr>
        <w:tc>
          <w:tcPr>
            <w:tcW w:w="0" w:type="auto"/>
            <w:gridSpan w:val="6"/>
            <w:shd w:val="clear" w:color="auto" w:fill="FFFFCC"/>
            <w:vAlign w:val="center"/>
          </w:tcPr>
          <w:bookmarkEnd w:id="1816"/>
          <w:p w14:paraId="33A37141" w14:textId="019F357C" w:rsidR="007C38EA" w:rsidRPr="00064185" w:rsidRDefault="007C38EA" w:rsidP="00EA61D8">
            <w:pPr>
              <w:keepNext/>
              <w:rPr>
                <w:b/>
              </w:rPr>
            </w:pPr>
            <w:r w:rsidRPr="00064185">
              <w:rPr>
                <w:b/>
              </w:rPr>
              <w:t>Calculation of the sludge concentration (TGD, 2003, Equation 36)</w:t>
            </w:r>
          </w:p>
        </w:tc>
      </w:tr>
      <w:tr w:rsidR="00064185" w:rsidRPr="00064185" w14:paraId="2FD642B1" w14:textId="77777777" w:rsidTr="00B6348B">
        <w:trPr>
          <w:cantSplit/>
          <w:trHeight w:val="294"/>
        </w:trPr>
        <w:tc>
          <w:tcPr>
            <w:tcW w:w="0" w:type="auto"/>
            <w:vMerge w:val="restart"/>
            <w:vAlign w:val="center"/>
            <w:hideMark/>
          </w:tcPr>
          <w:p w14:paraId="01C8C1B9" w14:textId="77777777" w:rsidR="00E2559B" w:rsidRPr="00064185" w:rsidRDefault="00E2559B" w:rsidP="00EA61D8">
            <w:pPr>
              <w:keepNext/>
              <w:rPr>
                <w:rFonts w:ascii="Arial" w:hAnsi="Arial"/>
              </w:rPr>
            </w:pPr>
            <w:r w:rsidRPr="00064185">
              <w:rPr>
                <w:b/>
              </w:rPr>
              <w:t>Parameter</w:t>
            </w:r>
          </w:p>
        </w:tc>
        <w:tc>
          <w:tcPr>
            <w:tcW w:w="2368" w:type="dxa"/>
            <w:vMerge w:val="restart"/>
            <w:vAlign w:val="center"/>
            <w:hideMark/>
          </w:tcPr>
          <w:p w14:paraId="0DBC966D" w14:textId="77777777" w:rsidR="00E2559B" w:rsidRPr="00064185" w:rsidRDefault="00E2559B" w:rsidP="00EA61D8">
            <w:pPr>
              <w:keepNext/>
              <w:rPr>
                <w:b/>
              </w:rPr>
            </w:pPr>
            <w:r w:rsidRPr="00064185">
              <w:rPr>
                <w:b/>
              </w:rPr>
              <w:t>Definition</w:t>
            </w:r>
          </w:p>
        </w:tc>
        <w:tc>
          <w:tcPr>
            <w:tcW w:w="3459" w:type="dxa"/>
            <w:gridSpan w:val="3"/>
            <w:vAlign w:val="center"/>
            <w:hideMark/>
          </w:tcPr>
          <w:p w14:paraId="7838E2DB" w14:textId="1ED11E1C" w:rsidR="00E2559B" w:rsidRPr="00064185" w:rsidRDefault="00E2559B" w:rsidP="00EA61D8">
            <w:pPr>
              <w:keepNext/>
            </w:pPr>
            <w:r w:rsidRPr="00064185">
              <w:rPr>
                <w:b/>
                <w:bCs/>
              </w:rPr>
              <w:t>Indoor use</w:t>
            </w:r>
          </w:p>
        </w:tc>
        <w:tc>
          <w:tcPr>
            <w:tcW w:w="0" w:type="auto"/>
            <w:vAlign w:val="center"/>
          </w:tcPr>
          <w:p w14:paraId="16E37A44" w14:textId="577CDA1C" w:rsidR="00E2559B" w:rsidRPr="00064185" w:rsidRDefault="00E2559B" w:rsidP="00EA61D8">
            <w:pPr>
              <w:keepNext/>
            </w:pPr>
            <w:r w:rsidRPr="00064185">
              <w:rPr>
                <w:b/>
                <w:bCs/>
              </w:rPr>
              <w:t>Outdoor use</w:t>
            </w:r>
          </w:p>
        </w:tc>
      </w:tr>
      <w:tr w:rsidR="00064185" w:rsidRPr="00064185" w14:paraId="40B92406" w14:textId="77777777" w:rsidTr="00B6348B">
        <w:trPr>
          <w:cantSplit/>
          <w:trHeight w:val="294"/>
        </w:trPr>
        <w:tc>
          <w:tcPr>
            <w:tcW w:w="0" w:type="auto"/>
            <w:vMerge/>
            <w:vAlign w:val="center"/>
          </w:tcPr>
          <w:p w14:paraId="78F02E62" w14:textId="77777777" w:rsidR="00E2559B" w:rsidRPr="00064185" w:rsidRDefault="00E2559B" w:rsidP="00EA61D8">
            <w:pPr>
              <w:keepNext/>
              <w:rPr>
                <w:b/>
              </w:rPr>
            </w:pPr>
          </w:p>
        </w:tc>
        <w:tc>
          <w:tcPr>
            <w:tcW w:w="2368" w:type="dxa"/>
            <w:vMerge/>
            <w:vAlign w:val="center"/>
          </w:tcPr>
          <w:p w14:paraId="313057A5" w14:textId="77777777" w:rsidR="00E2559B" w:rsidRPr="00064185" w:rsidRDefault="00E2559B" w:rsidP="00EA61D8">
            <w:pPr>
              <w:keepNext/>
              <w:rPr>
                <w:b/>
              </w:rPr>
            </w:pPr>
          </w:p>
        </w:tc>
        <w:tc>
          <w:tcPr>
            <w:tcW w:w="771" w:type="dxa"/>
            <w:vAlign w:val="center"/>
          </w:tcPr>
          <w:p w14:paraId="565CE1E1" w14:textId="0C467BBB" w:rsidR="00E2559B" w:rsidRPr="00064185" w:rsidRDefault="00E2559B" w:rsidP="00EA61D8">
            <w:pPr>
              <w:keepNext/>
            </w:pPr>
            <w:r w:rsidRPr="00064185">
              <w:rPr>
                <w:b/>
                <w:bCs/>
              </w:rPr>
              <w:t>Ants</w:t>
            </w:r>
          </w:p>
        </w:tc>
        <w:tc>
          <w:tcPr>
            <w:tcW w:w="0" w:type="auto"/>
            <w:vAlign w:val="center"/>
          </w:tcPr>
          <w:p w14:paraId="44525F96" w14:textId="66FCA514" w:rsidR="00E2559B" w:rsidRPr="00064185" w:rsidRDefault="00E2559B" w:rsidP="00EA61D8">
            <w:pPr>
              <w:keepNext/>
            </w:pPr>
            <w:r w:rsidRPr="00064185">
              <w:rPr>
                <w:b/>
                <w:bCs/>
              </w:rPr>
              <w:t>Silverfish &amp; Cockroaches</w:t>
            </w:r>
          </w:p>
        </w:tc>
        <w:tc>
          <w:tcPr>
            <w:tcW w:w="0" w:type="auto"/>
            <w:vAlign w:val="center"/>
          </w:tcPr>
          <w:p w14:paraId="2729D815" w14:textId="0555E203" w:rsidR="00E2559B" w:rsidRPr="00064185" w:rsidRDefault="00E2559B" w:rsidP="00EA61D8">
            <w:pPr>
              <w:keepNext/>
            </w:pPr>
            <w:r w:rsidRPr="00064185">
              <w:rPr>
                <w:b/>
                <w:bCs/>
              </w:rPr>
              <w:t>Wood lice</w:t>
            </w:r>
          </w:p>
        </w:tc>
        <w:tc>
          <w:tcPr>
            <w:tcW w:w="0" w:type="auto"/>
            <w:vAlign w:val="center"/>
          </w:tcPr>
          <w:p w14:paraId="269F1A1A" w14:textId="285CD43A" w:rsidR="00E2559B" w:rsidRPr="00064185" w:rsidRDefault="00E2559B" w:rsidP="00EA61D8">
            <w:pPr>
              <w:keepNext/>
            </w:pPr>
            <w:r w:rsidRPr="00064185">
              <w:rPr>
                <w:b/>
                <w:bCs/>
              </w:rPr>
              <w:t>Ants</w:t>
            </w:r>
          </w:p>
        </w:tc>
      </w:tr>
      <w:tr w:rsidR="00064185" w:rsidRPr="00064185" w14:paraId="5F02A79E" w14:textId="77777777" w:rsidTr="00B6348B">
        <w:trPr>
          <w:cantSplit/>
          <w:trHeight w:val="472"/>
        </w:trPr>
        <w:tc>
          <w:tcPr>
            <w:tcW w:w="0" w:type="auto"/>
            <w:vAlign w:val="center"/>
            <w:hideMark/>
          </w:tcPr>
          <w:p w14:paraId="7C330C87" w14:textId="419FBE85" w:rsidR="007F5F45" w:rsidRPr="00064185" w:rsidRDefault="007F5F45" w:rsidP="00EA61D8">
            <w:pPr>
              <w:keepNext/>
            </w:pPr>
            <w:r w:rsidRPr="00064185">
              <w:t>Local emission rate to water during episode [g/d]</w:t>
            </w:r>
          </w:p>
        </w:tc>
        <w:tc>
          <w:tcPr>
            <w:tcW w:w="2368" w:type="dxa"/>
            <w:vAlign w:val="center"/>
            <w:hideMark/>
          </w:tcPr>
          <w:p w14:paraId="4D749F56" w14:textId="77777777" w:rsidR="007F5F45" w:rsidRPr="00064185" w:rsidRDefault="007F5F45" w:rsidP="00EA61D8">
            <w:pPr>
              <w:keepNext/>
            </w:pPr>
            <w:r w:rsidRPr="00064185">
              <w:t>Elocal</w:t>
            </w:r>
            <w:r w:rsidRPr="00064185">
              <w:rPr>
                <w:vertAlign w:val="subscript"/>
              </w:rPr>
              <w:t>water</w:t>
            </w:r>
          </w:p>
        </w:tc>
        <w:tc>
          <w:tcPr>
            <w:tcW w:w="771" w:type="dxa"/>
            <w:vAlign w:val="center"/>
            <w:hideMark/>
          </w:tcPr>
          <w:p w14:paraId="40112319" w14:textId="05E6E880" w:rsidR="007F5F45" w:rsidRPr="00064185" w:rsidRDefault="00EB3E3E" w:rsidP="00EA61D8">
            <w:pPr>
              <w:keepNext/>
              <w:keepLines/>
              <w:tabs>
                <w:tab w:val="right" w:pos="1370"/>
              </w:tabs>
              <w:spacing w:before="60" w:after="60"/>
            </w:pPr>
            <w:r w:rsidRPr="00064185">
              <w:t>0.72</w:t>
            </w:r>
          </w:p>
        </w:tc>
        <w:tc>
          <w:tcPr>
            <w:tcW w:w="0" w:type="auto"/>
            <w:vAlign w:val="center"/>
          </w:tcPr>
          <w:p w14:paraId="6C7C4B59" w14:textId="2E3BEC1C" w:rsidR="007F5F45" w:rsidRPr="00064185" w:rsidRDefault="004829D4" w:rsidP="00EA61D8">
            <w:pPr>
              <w:keepNext/>
              <w:keepLines/>
              <w:tabs>
                <w:tab w:val="right" w:pos="1370"/>
              </w:tabs>
              <w:spacing w:before="60" w:after="60"/>
            </w:pPr>
            <w:r w:rsidRPr="00064185">
              <w:t>5.42</w:t>
            </w:r>
          </w:p>
        </w:tc>
        <w:tc>
          <w:tcPr>
            <w:tcW w:w="0" w:type="auto"/>
            <w:vAlign w:val="center"/>
          </w:tcPr>
          <w:p w14:paraId="776395C2" w14:textId="1C3AB080" w:rsidR="007F5F45" w:rsidRPr="00064185" w:rsidRDefault="004829D4" w:rsidP="00EA61D8">
            <w:pPr>
              <w:keepNext/>
              <w:keepLines/>
              <w:tabs>
                <w:tab w:val="right" w:pos="1370"/>
              </w:tabs>
              <w:spacing w:before="60" w:after="60"/>
            </w:pPr>
            <w:r w:rsidRPr="00064185">
              <w:t>0.40</w:t>
            </w:r>
          </w:p>
        </w:tc>
        <w:tc>
          <w:tcPr>
            <w:tcW w:w="0" w:type="auto"/>
            <w:vAlign w:val="center"/>
          </w:tcPr>
          <w:p w14:paraId="52C15C66" w14:textId="32FAE56F" w:rsidR="007F5F45" w:rsidRPr="00064185" w:rsidRDefault="007F5F45" w:rsidP="00EA61D8">
            <w:pPr>
              <w:keepNext/>
              <w:keepLines/>
              <w:tabs>
                <w:tab w:val="right" w:pos="1370"/>
              </w:tabs>
              <w:spacing w:before="60" w:after="60"/>
            </w:pPr>
            <w:r w:rsidRPr="00064185">
              <w:t>0.</w:t>
            </w:r>
            <w:r w:rsidR="00EB3E3E" w:rsidRPr="00064185">
              <w:t>57</w:t>
            </w:r>
          </w:p>
        </w:tc>
      </w:tr>
      <w:tr w:rsidR="00064185" w:rsidRPr="00064185" w14:paraId="2AE163EF" w14:textId="77777777" w:rsidTr="00B6348B">
        <w:trPr>
          <w:cantSplit/>
          <w:trHeight w:val="472"/>
        </w:trPr>
        <w:tc>
          <w:tcPr>
            <w:tcW w:w="0" w:type="auto"/>
            <w:vAlign w:val="center"/>
            <w:hideMark/>
          </w:tcPr>
          <w:p w14:paraId="4C22AA35" w14:textId="0E56FBFD" w:rsidR="007F5F45" w:rsidRPr="00064185" w:rsidRDefault="007F5F45" w:rsidP="00EA61D8">
            <w:pPr>
              <w:keepNext/>
            </w:pPr>
            <w:r w:rsidRPr="00064185">
              <w:t>Fraction of emission directed to sludge by STP [-]</w:t>
            </w:r>
          </w:p>
        </w:tc>
        <w:tc>
          <w:tcPr>
            <w:tcW w:w="2368" w:type="dxa"/>
            <w:vAlign w:val="center"/>
            <w:hideMark/>
          </w:tcPr>
          <w:p w14:paraId="68E89F73" w14:textId="77777777" w:rsidR="007F5F45" w:rsidRPr="00064185" w:rsidRDefault="007F5F45" w:rsidP="00EA61D8">
            <w:pPr>
              <w:keepNext/>
            </w:pPr>
            <w:r w:rsidRPr="00064185">
              <w:t>Fstp</w:t>
            </w:r>
            <w:r w:rsidRPr="00064185">
              <w:rPr>
                <w:vertAlign w:val="subscript"/>
              </w:rPr>
              <w:t>sludge</w:t>
            </w:r>
          </w:p>
        </w:tc>
        <w:tc>
          <w:tcPr>
            <w:tcW w:w="4606" w:type="dxa"/>
            <w:gridSpan w:val="4"/>
            <w:vAlign w:val="center"/>
            <w:hideMark/>
          </w:tcPr>
          <w:p w14:paraId="3F39E3B5" w14:textId="3BD25015" w:rsidR="007F5F45" w:rsidRPr="00064185" w:rsidRDefault="007F5F45" w:rsidP="00EA61D8">
            <w:pPr>
              <w:tabs>
                <w:tab w:val="right" w:pos="1370"/>
              </w:tabs>
              <w:spacing w:after="40"/>
            </w:pPr>
            <w:r w:rsidRPr="00064185">
              <w:t>0.909</w:t>
            </w:r>
          </w:p>
        </w:tc>
      </w:tr>
      <w:tr w:rsidR="00064185" w:rsidRPr="00064185" w14:paraId="1580356F" w14:textId="77777777" w:rsidTr="00B6348B">
        <w:trPr>
          <w:cantSplit/>
          <w:trHeight w:val="472"/>
        </w:trPr>
        <w:tc>
          <w:tcPr>
            <w:tcW w:w="0" w:type="auto"/>
            <w:vAlign w:val="center"/>
            <w:hideMark/>
          </w:tcPr>
          <w:p w14:paraId="23C37EC0" w14:textId="79A4A170" w:rsidR="007F5F45" w:rsidRPr="00064185" w:rsidRDefault="007F5F45" w:rsidP="00EA61D8">
            <w:pPr>
              <w:keepNext/>
            </w:pPr>
            <w:r w:rsidRPr="00064185">
              <w:t xml:space="preserve">Rate of sewage sludge production </w:t>
            </w:r>
            <w:r w:rsidRPr="00064185">
              <w:br/>
              <w:t>[kg/d]</w:t>
            </w:r>
          </w:p>
        </w:tc>
        <w:tc>
          <w:tcPr>
            <w:tcW w:w="2368" w:type="dxa"/>
            <w:vAlign w:val="center"/>
            <w:hideMark/>
          </w:tcPr>
          <w:p w14:paraId="1DE244B3" w14:textId="77777777" w:rsidR="007F5F45" w:rsidRPr="00064185" w:rsidRDefault="007F5F45" w:rsidP="00EA61D8">
            <w:pPr>
              <w:keepNext/>
            </w:pPr>
            <w:r w:rsidRPr="00064185">
              <w:t xml:space="preserve">SLUDGERATE </w:t>
            </w:r>
          </w:p>
        </w:tc>
        <w:tc>
          <w:tcPr>
            <w:tcW w:w="4606" w:type="dxa"/>
            <w:gridSpan w:val="4"/>
            <w:vAlign w:val="center"/>
            <w:hideMark/>
          </w:tcPr>
          <w:p w14:paraId="0C723C4E" w14:textId="5E4094BC" w:rsidR="007F5F45" w:rsidRPr="00064185" w:rsidRDefault="00EB3E3E" w:rsidP="00EA61D8">
            <w:pPr>
              <w:tabs>
                <w:tab w:val="right" w:pos="1370"/>
              </w:tabs>
              <w:spacing w:after="40"/>
            </w:pPr>
            <w:r w:rsidRPr="00064185">
              <w:t>790</w:t>
            </w:r>
          </w:p>
        </w:tc>
      </w:tr>
      <w:tr w:rsidR="00064185" w:rsidRPr="00064185" w14:paraId="14572030" w14:textId="77777777" w:rsidTr="00B6348B">
        <w:trPr>
          <w:cantSplit/>
          <w:trHeight w:val="472"/>
        </w:trPr>
        <w:tc>
          <w:tcPr>
            <w:tcW w:w="0" w:type="auto"/>
            <w:vAlign w:val="center"/>
            <w:hideMark/>
          </w:tcPr>
          <w:p w14:paraId="728EA688" w14:textId="2ECFA47A" w:rsidR="007F5F45" w:rsidRPr="00064185" w:rsidRDefault="007F5F45" w:rsidP="00EA61D8">
            <w:pPr>
              <w:keepNext/>
              <w:rPr>
                <w:b/>
              </w:rPr>
            </w:pPr>
            <w:r w:rsidRPr="00064185">
              <w:rPr>
                <w:b/>
              </w:rPr>
              <w:t xml:space="preserve">Concentration in dry sewage sludge </w:t>
            </w:r>
            <w:r w:rsidRPr="00064185">
              <w:rPr>
                <w:b/>
              </w:rPr>
              <w:br/>
              <w:t>[µg/kg]</w:t>
            </w:r>
          </w:p>
        </w:tc>
        <w:tc>
          <w:tcPr>
            <w:tcW w:w="2368" w:type="dxa"/>
            <w:vAlign w:val="center"/>
            <w:hideMark/>
          </w:tcPr>
          <w:p w14:paraId="6597ACFC" w14:textId="77777777" w:rsidR="007F5F45" w:rsidRPr="00064185" w:rsidRDefault="007F5F45" w:rsidP="00EA61D8">
            <w:pPr>
              <w:keepNext/>
              <w:rPr>
                <w:b/>
                <w:bCs/>
              </w:rPr>
            </w:pPr>
            <w:r w:rsidRPr="00064185">
              <w:rPr>
                <w:b/>
                <w:bCs/>
              </w:rPr>
              <w:t>C</w:t>
            </w:r>
            <w:r w:rsidRPr="00064185">
              <w:rPr>
                <w:b/>
                <w:bCs/>
                <w:vertAlign w:val="subscript"/>
              </w:rPr>
              <w:t xml:space="preserve">sludge  </w:t>
            </w:r>
            <w:r w:rsidRPr="00064185">
              <w:rPr>
                <w:b/>
                <w:bCs/>
              </w:rPr>
              <w:t>= Fstp</w:t>
            </w:r>
            <w:r w:rsidRPr="00064185">
              <w:rPr>
                <w:b/>
                <w:bCs/>
                <w:vertAlign w:val="subscript"/>
              </w:rPr>
              <w:t>sludge</w:t>
            </w:r>
            <w:r w:rsidRPr="00064185">
              <w:rPr>
                <w:b/>
                <w:bCs/>
              </w:rPr>
              <w:t xml:space="preserve"> × Elocal</w:t>
            </w:r>
            <w:r w:rsidRPr="00064185">
              <w:rPr>
                <w:b/>
                <w:bCs/>
                <w:vertAlign w:val="subscript"/>
              </w:rPr>
              <w:t>water</w:t>
            </w:r>
            <w:r w:rsidRPr="00064185">
              <w:rPr>
                <w:b/>
                <w:bCs/>
              </w:rPr>
              <w:t xml:space="preserve"> × 10</w:t>
            </w:r>
            <w:r w:rsidRPr="00064185">
              <w:rPr>
                <w:b/>
                <w:bCs/>
                <w:vertAlign w:val="superscript"/>
              </w:rPr>
              <w:t>6</w:t>
            </w:r>
            <w:r w:rsidRPr="00064185">
              <w:rPr>
                <w:b/>
                <w:bCs/>
              </w:rPr>
              <w:t xml:space="preserve"> × SLUDGERATE</w:t>
            </w:r>
            <w:r w:rsidRPr="00064185">
              <w:rPr>
                <w:b/>
                <w:bCs/>
                <w:vertAlign w:val="superscript"/>
              </w:rPr>
              <w:t xml:space="preserve"> -1</w:t>
            </w:r>
            <w:r w:rsidRPr="00064185">
              <w:rPr>
                <w:b/>
                <w:bCs/>
              </w:rPr>
              <w:t xml:space="preserve"> </w:t>
            </w:r>
          </w:p>
        </w:tc>
        <w:tc>
          <w:tcPr>
            <w:tcW w:w="771" w:type="dxa"/>
            <w:vAlign w:val="center"/>
            <w:hideMark/>
          </w:tcPr>
          <w:p w14:paraId="45D7F8CD" w14:textId="33294B65" w:rsidR="007F5F45" w:rsidRPr="00064185" w:rsidRDefault="00E5252C" w:rsidP="00EA61D8">
            <w:pPr>
              <w:tabs>
                <w:tab w:val="right" w:pos="1370"/>
              </w:tabs>
              <w:spacing w:after="40"/>
              <w:rPr>
                <w:b/>
              </w:rPr>
            </w:pPr>
            <w:r w:rsidRPr="00064185">
              <w:rPr>
                <w:b/>
              </w:rPr>
              <w:t>828</w:t>
            </w:r>
          </w:p>
        </w:tc>
        <w:tc>
          <w:tcPr>
            <w:tcW w:w="0" w:type="auto"/>
            <w:vAlign w:val="center"/>
          </w:tcPr>
          <w:p w14:paraId="09709B8E" w14:textId="0919C3B8" w:rsidR="007F5F45" w:rsidRPr="00064185" w:rsidRDefault="004829D4" w:rsidP="00EA61D8">
            <w:pPr>
              <w:tabs>
                <w:tab w:val="right" w:pos="1370"/>
              </w:tabs>
              <w:spacing w:after="40"/>
              <w:rPr>
                <w:b/>
              </w:rPr>
            </w:pPr>
            <w:r w:rsidRPr="00064185">
              <w:rPr>
                <w:b/>
              </w:rPr>
              <w:t>6236</w:t>
            </w:r>
          </w:p>
        </w:tc>
        <w:tc>
          <w:tcPr>
            <w:tcW w:w="0" w:type="auto"/>
            <w:vAlign w:val="center"/>
          </w:tcPr>
          <w:p w14:paraId="400C4A36" w14:textId="66494062" w:rsidR="007F5F45" w:rsidRPr="00064185" w:rsidRDefault="004829D4" w:rsidP="00EA61D8">
            <w:pPr>
              <w:tabs>
                <w:tab w:val="right" w:pos="1370"/>
              </w:tabs>
              <w:spacing w:after="40"/>
              <w:rPr>
                <w:b/>
              </w:rPr>
            </w:pPr>
            <w:r w:rsidRPr="00064185">
              <w:rPr>
                <w:b/>
              </w:rPr>
              <w:t>460</w:t>
            </w:r>
          </w:p>
        </w:tc>
        <w:tc>
          <w:tcPr>
            <w:tcW w:w="0" w:type="auto"/>
            <w:vAlign w:val="center"/>
          </w:tcPr>
          <w:p w14:paraId="06D429E0" w14:textId="516AE98A" w:rsidR="007F5F45" w:rsidRPr="00064185" w:rsidRDefault="0043674A" w:rsidP="00EA61D8">
            <w:pPr>
              <w:tabs>
                <w:tab w:val="right" w:pos="1370"/>
              </w:tabs>
              <w:spacing w:after="40"/>
              <w:rPr>
                <w:b/>
              </w:rPr>
            </w:pPr>
            <w:r w:rsidRPr="00064185">
              <w:rPr>
                <w:b/>
              </w:rPr>
              <w:t>656</w:t>
            </w:r>
          </w:p>
        </w:tc>
      </w:tr>
    </w:tbl>
    <w:p w14:paraId="52C86977" w14:textId="77777777" w:rsidR="009D3353" w:rsidRPr="00064185" w:rsidRDefault="009D3353" w:rsidP="00EA61D8"/>
    <w:p w14:paraId="1254FF25" w14:textId="77777777" w:rsidR="000A229F" w:rsidRPr="00064185" w:rsidRDefault="000A229F" w:rsidP="006A7704">
      <w:pPr>
        <w:pStyle w:val="Textkrper2"/>
        <w:jc w:val="both"/>
        <w:rPr>
          <w:i w:val="0"/>
          <w:iCs/>
          <w:color w:val="auto"/>
        </w:rPr>
      </w:pPr>
      <w:r w:rsidRPr="00064185">
        <w:rPr>
          <w:i w:val="0"/>
          <w:color w:val="auto"/>
        </w:rPr>
        <w:t>According to the TGD, default values were taken for the sludge application rate (5000 kg dry weight/ha/yr, corresponding to 0.5 kg/m²/yr), the soil depth (0.2 m) and the bulk density of the soil (1700 kg/m³).</w:t>
      </w:r>
    </w:p>
    <w:p w14:paraId="61CCF2B3" w14:textId="77777777" w:rsidR="000A229F" w:rsidRPr="00064185" w:rsidRDefault="000A229F" w:rsidP="00EA61D8">
      <w:pPr>
        <w:pStyle w:val="Textkrper2"/>
        <w:rPr>
          <w:i w:val="0"/>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3119"/>
        <w:gridCol w:w="850"/>
        <w:gridCol w:w="238"/>
        <w:gridCol w:w="1322"/>
        <w:gridCol w:w="225"/>
        <w:gridCol w:w="625"/>
        <w:gridCol w:w="152"/>
        <w:gridCol w:w="1052"/>
      </w:tblGrid>
      <w:tr w:rsidR="00064185" w:rsidRPr="00064185" w14:paraId="1DE5536D" w14:textId="77777777" w:rsidTr="005D5442">
        <w:trPr>
          <w:cantSplit/>
          <w:trHeight w:val="603"/>
        </w:trPr>
        <w:tc>
          <w:tcPr>
            <w:tcW w:w="9354" w:type="dxa"/>
            <w:gridSpan w:val="9"/>
            <w:shd w:val="clear" w:color="auto" w:fill="FFFFCC"/>
            <w:vAlign w:val="center"/>
          </w:tcPr>
          <w:p w14:paraId="6248CCCA" w14:textId="04999E08" w:rsidR="005233DC" w:rsidRPr="00064185" w:rsidRDefault="005233DC" w:rsidP="00EA61D8">
            <w:pPr>
              <w:keepNext/>
              <w:keepLines/>
              <w:rPr>
                <w:b/>
              </w:rPr>
            </w:pPr>
            <w:r w:rsidRPr="00064185">
              <w:rPr>
                <w:b/>
              </w:rPr>
              <w:t>Calculation of concentrations in the soil following a single STP sludge concentration (TGD, 2003, equation 60)</w:t>
            </w:r>
          </w:p>
        </w:tc>
      </w:tr>
      <w:tr w:rsidR="00064185" w:rsidRPr="00064185" w14:paraId="70263AAE" w14:textId="77777777" w:rsidTr="005D5442">
        <w:trPr>
          <w:cantSplit/>
          <w:trHeight w:val="231"/>
        </w:trPr>
        <w:tc>
          <w:tcPr>
            <w:tcW w:w="1771" w:type="dxa"/>
            <w:vMerge w:val="restart"/>
            <w:vAlign w:val="center"/>
            <w:hideMark/>
          </w:tcPr>
          <w:p w14:paraId="056E14E6" w14:textId="77777777" w:rsidR="00073CA0" w:rsidRPr="00064185" w:rsidRDefault="00073CA0" w:rsidP="00EA61D8">
            <w:pPr>
              <w:keepNext/>
              <w:keepLines/>
              <w:rPr>
                <w:rFonts w:ascii="Arial" w:hAnsi="Arial"/>
              </w:rPr>
            </w:pPr>
            <w:r w:rsidRPr="00064185">
              <w:rPr>
                <w:b/>
              </w:rPr>
              <w:t>Parameter</w:t>
            </w:r>
          </w:p>
        </w:tc>
        <w:tc>
          <w:tcPr>
            <w:tcW w:w="3119" w:type="dxa"/>
            <w:vMerge w:val="restart"/>
            <w:vAlign w:val="center"/>
            <w:hideMark/>
          </w:tcPr>
          <w:p w14:paraId="6B246A9B" w14:textId="77777777" w:rsidR="00073CA0" w:rsidRPr="00064185" w:rsidRDefault="00073CA0" w:rsidP="00EA61D8">
            <w:pPr>
              <w:keepNext/>
              <w:keepLines/>
              <w:rPr>
                <w:b/>
              </w:rPr>
            </w:pPr>
            <w:r w:rsidRPr="00064185">
              <w:rPr>
                <w:b/>
              </w:rPr>
              <w:t>Definition</w:t>
            </w:r>
          </w:p>
        </w:tc>
        <w:tc>
          <w:tcPr>
            <w:tcW w:w="3260" w:type="dxa"/>
            <w:gridSpan w:val="5"/>
            <w:vAlign w:val="center"/>
            <w:hideMark/>
          </w:tcPr>
          <w:p w14:paraId="312919B0" w14:textId="22D7F662" w:rsidR="00073CA0" w:rsidRPr="00064185" w:rsidRDefault="00073CA0" w:rsidP="00EA61D8">
            <w:pPr>
              <w:keepNext/>
              <w:keepLines/>
            </w:pPr>
            <w:r w:rsidRPr="00064185">
              <w:rPr>
                <w:b/>
                <w:bCs/>
              </w:rPr>
              <w:t>Indoor use</w:t>
            </w:r>
          </w:p>
        </w:tc>
        <w:tc>
          <w:tcPr>
            <w:tcW w:w="1204" w:type="dxa"/>
            <w:gridSpan w:val="2"/>
            <w:vAlign w:val="center"/>
          </w:tcPr>
          <w:p w14:paraId="6F1ABF35" w14:textId="5213C366" w:rsidR="00073CA0" w:rsidRPr="00064185" w:rsidRDefault="00073CA0" w:rsidP="00EA61D8">
            <w:pPr>
              <w:keepNext/>
              <w:keepLines/>
            </w:pPr>
            <w:r w:rsidRPr="00064185">
              <w:rPr>
                <w:b/>
                <w:bCs/>
              </w:rPr>
              <w:t>Outdoor use</w:t>
            </w:r>
          </w:p>
        </w:tc>
      </w:tr>
      <w:tr w:rsidR="00064185" w:rsidRPr="00064185" w14:paraId="617036B7" w14:textId="77777777" w:rsidTr="005D5442">
        <w:trPr>
          <w:cantSplit/>
          <w:trHeight w:val="230"/>
        </w:trPr>
        <w:tc>
          <w:tcPr>
            <w:tcW w:w="1771" w:type="dxa"/>
            <w:vMerge/>
            <w:vAlign w:val="center"/>
          </w:tcPr>
          <w:p w14:paraId="485EE2E0" w14:textId="77777777" w:rsidR="00073CA0" w:rsidRPr="00064185" w:rsidRDefault="00073CA0" w:rsidP="00EA61D8">
            <w:pPr>
              <w:keepNext/>
              <w:keepLines/>
              <w:rPr>
                <w:b/>
              </w:rPr>
            </w:pPr>
          </w:p>
        </w:tc>
        <w:tc>
          <w:tcPr>
            <w:tcW w:w="3119" w:type="dxa"/>
            <w:vMerge/>
            <w:vAlign w:val="center"/>
          </w:tcPr>
          <w:p w14:paraId="7B328E5A" w14:textId="77777777" w:rsidR="00073CA0" w:rsidRPr="00064185" w:rsidRDefault="00073CA0" w:rsidP="00EA61D8">
            <w:pPr>
              <w:keepNext/>
              <w:keepLines/>
              <w:rPr>
                <w:b/>
              </w:rPr>
            </w:pPr>
          </w:p>
        </w:tc>
        <w:tc>
          <w:tcPr>
            <w:tcW w:w="850" w:type="dxa"/>
            <w:vAlign w:val="center"/>
          </w:tcPr>
          <w:p w14:paraId="141BE2F7" w14:textId="2187A202" w:rsidR="00073CA0" w:rsidRPr="00064185" w:rsidRDefault="00073CA0" w:rsidP="00EA61D8">
            <w:pPr>
              <w:keepNext/>
              <w:keepLines/>
            </w:pPr>
            <w:r w:rsidRPr="00064185">
              <w:rPr>
                <w:b/>
                <w:bCs/>
              </w:rPr>
              <w:t>Ants</w:t>
            </w:r>
          </w:p>
        </w:tc>
        <w:tc>
          <w:tcPr>
            <w:tcW w:w="1560" w:type="dxa"/>
            <w:gridSpan w:val="2"/>
            <w:vAlign w:val="center"/>
          </w:tcPr>
          <w:p w14:paraId="0CDEE00C" w14:textId="3E8DE78B" w:rsidR="00073CA0" w:rsidRPr="00064185" w:rsidRDefault="00073CA0" w:rsidP="00EA61D8">
            <w:pPr>
              <w:keepNext/>
              <w:keepLines/>
            </w:pPr>
            <w:r w:rsidRPr="00064185">
              <w:rPr>
                <w:b/>
                <w:bCs/>
              </w:rPr>
              <w:t>Silverfish &amp; Cockroaches</w:t>
            </w:r>
          </w:p>
        </w:tc>
        <w:tc>
          <w:tcPr>
            <w:tcW w:w="850" w:type="dxa"/>
            <w:gridSpan w:val="2"/>
            <w:vAlign w:val="center"/>
          </w:tcPr>
          <w:p w14:paraId="5D45D651" w14:textId="64F89F41" w:rsidR="00073CA0" w:rsidRPr="00064185" w:rsidRDefault="00073CA0" w:rsidP="00EA61D8">
            <w:pPr>
              <w:keepNext/>
              <w:keepLines/>
            </w:pPr>
            <w:r w:rsidRPr="00064185">
              <w:rPr>
                <w:b/>
                <w:bCs/>
              </w:rPr>
              <w:t>Wood lice</w:t>
            </w:r>
          </w:p>
        </w:tc>
        <w:tc>
          <w:tcPr>
            <w:tcW w:w="1204" w:type="dxa"/>
            <w:gridSpan w:val="2"/>
            <w:vAlign w:val="center"/>
          </w:tcPr>
          <w:p w14:paraId="5D8C10E0" w14:textId="018D371A" w:rsidR="00073CA0" w:rsidRPr="00064185" w:rsidRDefault="00073CA0" w:rsidP="00EA61D8">
            <w:pPr>
              <w:keepNext/>
              <w:keepLines/>
            </w:pPr>
            <w:r w:rsidRPr="00064185">
              <w:rPr>
                <w:b/>
                <w:bCs/>
              </w:rPr>
              <w:t>Ants</w:t>
            </w:r>
          </w:p>
        </w:tc>
      </w:tr>
      <w:tr w:rsidR="00064185" w:rsidRPr="00064185" w14:paraId="662BA860" w14:textId="77777777" w:rsidTr="005D5442">
        <w:trPr>
          <w:cantSplit/>
          <w:trHeight w:val="472"/>
        </w:trPr>
        <w:tc>
          <w:tcPr>
            <w:tcW w:w="1771" w:type="dxa"/>
            <w:vAlign w:val="center"/>
            <w:hideMark/>
          </w:tcPr>
          <w:p w14:paraId="05A60ABE" w14:textId="77777777" w:rsidR="00073CA0" w:rsidRPr="00064185" w:rsidRDefault="00073CA0" w:rsidP="00EA61D8">
            <w:pPr>
              <w:keepNext/>
              <w:keepLines/>
            </w:pPr>
            <w:r w:rsidRPr="00064185">
              <w:t xml:space="preserve">Concentration in dry sewage sludge </w:t>
            </w:r>
            <w:r w:rsidRPr="00064185">
              <w:br/>
              <w:t>[µg/kg]</w:t>
            </w:r>
          </w:p>
        </w:tc>
        <w:tc>
          <w:tcPr>
            <w:tcW w:w="3119" w:type="dxa"/>
            <w:vAlign w:val="center"/>
            <w:hideMark/>
          </w:tcPr>
          <w:p w14:paraId="4DF6D34B" w14:textId="77777777" w:rsidR="00073CA0" w:rsidRPr="00064185" w:rsidRDefault="00073CA0" w:rsidP="00EA61D8">
            <w:pPr>
              <w:keepNext/>
              <w:keepLines/>
            </w:pPr>
            <w:r w:rsidRPr="00064185">
              <w:t>C</w:t>
            </w:r>
            <w:r w:rsidRPr="00064185">
              <w:rPr>
                <w:vertAlign w:val="subscript"/>
              </w:rPr>
              <w:t>sludge</w:t>
            </w:r>
          </w:p>
        </w:tc>
        <w:tc>
          <w:tcPr>
            <w:tcW w:w="850" w:type="dxa"/>
            <w:vAlign w:val="center"/>
            <w:hideMark/>
          </w:tcPr>
          <w:p w14:paraId="4E8871BC" w14:textId="7E27F1A2" w:rsidR="00073CA0" w:rsidRPr="00064185" w:rsidRDefault="00E5252C" w:rsidP="00EA61D8">
            <w:pPr>
              <w:tabs>
                <w:tab w:val="right" w:pos="1370"/>
              </w:tabs>
              <w:spacing w:after="40"/>
            </w:pPr>
            <w:r w:rsidRPr="00064185">
              <w:t>828</w:t>
            </w:r>
          </w:p>
        </w:tc>
        <w:tc>
          <w:tcPr>
            <w:tcW w:w="1560" w:type="dxa"/>
            <w:gridSpan w:val="2"/>
            <w:vAlign w:val="center"/>
          </w:tcPr>
          <w:p w14:paraId="63800D97" w14:textId="5AD1D6BB" w:rsidR="00073CA0" w:rsidRPr="00064185" w:rsidRDefault="004829D4" w:rsidP="00EA61D8">
            <w:pPr>
              <w:tabs>
                <w:tab w:val="right" w:pos="1370"/>
              </w:tabs>
              <w:spacing w:after="40"/>
            </w:pPr>
            <w:r w:rsidRPr="00064185">
              <w:t>6236</w:t>
            </w:r>
          </w:p>
        </w:tc>
        <w:tc>
          <w:tcPr>
            <w:tcW w:w="850" w:type="dxa"/>
            <w:gridSpan w:val="2"/>
            <w:vAlign w:val="center"/>
          </w:tcPr>
          <w:p w14:paraId="429640F5" w14:textId="41BD884B" w:rsidR="00073CA0" w:rsidRPr="00064185" w:rsidRDefault="004829D4" w:rsidP="00EA61D8">
            <w:pPr>
              <w:tabs>
                <w:tab w:val="right" w:pos="1370"/>
              </w:tabs>
              <w:spacing w:after="40"/>
            </w:pPr>
            <w:r w:rsidRPr="00064185">
              <w:t>460</w:t>
            </w:r>
          </w:p>
        </w:tc>
        <w:tc>
          <w:tcPr>
            <w:tcW w:w="1204" w:type="dxa"/>
            <w:gridSpan w:val="2"/>
            <w:vAlign w:val="center"/>
          </w:tcPr>
          <w:p w14:paraId="1114CDE6" w14:textId="0B762B56" w:rsidR="00073CA0" w:rsidRPr="00064185" w:rsidRDefault="0043674A" w:rsidP="00EA61D8">
            <w:pPr>
              <w:tabs>
                <w:tab w:val="right" w:pos="1370"/>
              </w:tabs>
              <w:spacing w:after="40"/>
            </w:pPr>
            <w:r w:rsidRPr="00064185">
              <w:t>656</w:t>
            </w:r>
          </w:p>
        </w:tc>
      </w:tr>
      <w:tr w:rsidR="00064185" w:rsidRPr="00064185" w14:paraId="5E653CA1" w14:textId="77777777" w:rsidTr="005D5442">
        <w:trPr>
          <w:cantSplit/>
          <w:trHeight w:val="472"/>
        </w:trPr>
        <w:tc>
          <w:tcPr>
            <w:tcW w:w="1771" w:type="dxa"/>
            <w:vAlign w:val="center"/>
            <w:hideMark/>
          </w:tcPr>
          <w:p w14:paraId="33E75114" w14:textId="77777777" w:rsidR="00073CA0" w:rsidRPr="00064185" w:rsidRDefault="00073CA0" w:rsidP="00EA61D8">
            <w:pPr>
              <w:keepNext/>
              <w:keepLines/>
            </w:pPr>
            <w:r w:rsidRPr="00064185">
              <w:t xml:space="preserve">Dry sludge application rate </w:t>
            </w:r>
            <w:r w:rsidRPr="00064185">
              <w:br/>
              <w:t>[kg/m</w:t>
            </w:r>
            <w:r w:rsidRPr="00064185">
              <w:rPr>
                <w:vertAlign w:val="superscript"/>
              </w:rPr>
              <w:t>2</w:t>
            </w:r>
            <w:r w:rsidRPr="00064185">
              <w:t>*yr]</w:t>
            </w:r>
          </w:p>
        </w:tc>
        <w:tc>
          <w:tcPr>
            <w:tcW w:w="3119" w:type="dxa"/>
            <w:vAlign w:val="center"/>
            <w:hideMark/>
          </w:tcPr>
          <w:p w14:paraId="4C1E3CD0" w14:textId="77777777" w:rsidR="00073CA0" w:rsidRPr="00064185" w:rsidRDefault="00073CA0" w:rsidP="00EA61D8">
            <w:pPr>
              <w:keepNext/>
              <w:keepLines/>
            </w:pPr>
            <w:r w:rsidRPr="00064185">
              <w:t>APPL</w:t>
            </w:r>
            <w:r w:rsidRPr="00064185">
              <w:rPr>
                <w:vertAlign w:val="subscript"/>
              </w:rPr>
              <w:t>sludge</w:t>
            </w:r>
          </w:p>
        </w:tc>
        <w:tc>
          <w:tcPr>
            <w:tcW w:w="4464" w:type="dxa"/>
            <w:gridSpan w:val="7"/>
            <w:vAlign w:val="center"/>
            <w:hideMark/>
          </w:tcPr>
          <w:p w14:paraId="3F0FDB84" w14:textId="77777777" w:rsidR="00073CA0" w:rsidRPr="00064185" w:rsidRDefault="00073CA0" w:rsidP="00EA61D8">
            <w:pPr>
              <w:keepNext/>
              <w:keepLines/>
              <w:tabs>
                <w:tab w:val="decimal" w:pos="470"/>
                <w:tab w:val="right" w:pos="1370"/>
              </w:tabs>
              <w:spacing w:after="40"/>
            </w:pPr>
            <w:r w:rsidRPr="00064185">
              <w:t>0.5</w:t>
            </w:r>
          </w:p>
        </w:tc>
      </w:tr>
      <w:tr w:rsidR="00064185" w:rsidRPr="00064185" w14:paraId="05BA9D9B" w14:textId="77777777" w:rsidTr="005D5442">
        <w:trPr>
          <w:cantSplit/>
          <w:trHeight w:val="472"/>
        </w:trPr>
        <w:tc>
          <w:tcPr>
            <w:tcW w:w="1771" w:type="dxa"/>
            <w:vAlign w:val="center"/>
            <w:hideMark/>
          </w:tcPr>
          <w:p w14:paraId="6CD3D8FB" w14:textId="77777777" w:rsidR="00073CA0" w:rsidRPr="00064185" w:rsidRDefault="00073CA0" w:rsidP="00EA61D8">
            <w:pPr>
              <w:keepNext/>
              <w:keepLines/>
            </w:pPr>
            <w:r w:rsidRPr="00064185">
              <w:t>Mixing depth of soil [m]</w:t>
            </w:r>
          </w:p>
        </w:tc>
        <w:tc>
          <w:tcPr>
            <w:tcW w:w="3119" w:type="dxa"/>
            <w:vAlign w:val="center"/>
            <w:hideMark/>
          </w:tcPr>
          <w:p w14:paraId="163815FD" w14:textId="77777777" w:rsidR="00073CA0" w:rsidRPr="00064185" w:rsidRDefault="00073CA0" w:rsidP="00EA61D8">
            <w:pPr>
              <w:keepNext/>
              <w:keepLines/>
              <w:rPr>
                <w:vertAlign w:val="subscript"/>
              </w:rPr>
            </w:pPr>
            <w:r w:rsidRPr="00064185">
              <w:t>DEPTH</w:t>
            </w:r>
            <w:r w:rsidRPr="00064185">
              <w:rPr>
                <w:vertAlign w:val="subscript"/>
              </w:rPr>
              <w:t>soil</w:t>
            </w:r>
          </w:p>
        </w:tc>
        <w:tc>
          <w:tcPr>
            <w:tcW w:w="4464" w:type="dxa"/>
            <w:gridSpan w:val="7"/>
            <w:vAlign w:val="center"/>
            <w:hideMark/>
          </w:tcPr>
          <w:p w14:paraId="00B047AE" w14:textId="77777777" w:rsidR="00073CA0" w:rsidRPr="00064185" w:rsidRDefault="00073CA0" w:rsidP="00EA61D8">
            <w:pPr>
              <w:keepNext/>
              <w:keepLines/>
              <w:tabs>
                <w:tab w:val="decimal" w:pos="470"/>
                <w:tab w:val="right" w:pos="1370"/>
              </w:tabs>
              <w:spacing w:after="40"/>
            </w:pPr>
            <w:r w:rsidRPr="00064185">
              <w:t>0.2</w:t>
            </w:r>
          </w:p>
        </w:tc>
      </w:tr>
      <w:tr w:rsidR="00064185" w:rsidRPr="00064185" w14:paraId="227DD09E" w14:textId="77777777" w:rsidTr="005D5442">
        <w:trPr>
          <w:cantSplit/>
          <w:trHeight w:val="472"/>
        </w:trPr>
        <w:tc>
          <w:tcPr>
            <w:tcW w:w="1771" w:type="dxa"/>
            <w:vAlign w:val="center"/>
            <w:hideMark/>
          </w:tcPr>
          <w:p w14:paraId="633CEA0C" w14:textId="77777777" w:rsidR="00073CA0" w:rsidRPr="00064185" w:rsidRDefault="00073CA0" w:rsidP="00EA61D8">
            <w:pPr>
              <w:keepNext/>
              <w:keepLines/>
            </w:pPr>
            <w:r w:rsidRPr="00064185">
              <w:t>Bulk density of soil [kg/m</w:t>
            </w:r>
            <w:r w:rsidRPr="00064185">
              <w:rPr>
                <w:vertAlign w:val="superscript"/>
              </w:rPr>
              <w:t>3</w:t>
            </w:r>
            <w:r w:rsidRPr="00064185">
              <w:t>]</w:t>
            </w:r>
          </w:p>
        </w:tc>
        <w:tc>
          <w:tcPr>
            <w:tcW w:w="3119" w:type="dxa"/>
            <w:vAlign w:val="center"/>
            <w:hideMark/>
          </w:tcPr>
          <w:p w14:paraId="32EBB02D" w14:textId="77777777" w:rsidR="00073CA0" w:rsidRPr="00064185" w:rsidRDefault="00073CA0" w:rsidP="00EA61D8">
            <w:pPr>
              <w:keepNext/>
              <w:keepLines/>
            </w:pPr>
            <w:r w:rsidRPr="00064185">
              <w:t>RHO</w:t>
            </w:r>
            <w:r w:rsidRPr="00064185">
              <w:rPr>
                <w:vertAlign w:val="subscript"/>
              </w:rPr>
              <w:t>soil</w:t>
            </w:r>
          </w:p>
        </w:tc>
        <w:tc>
          <w:tcPr>
            <w:tcW w:w="4464" w:type="dxa"/>
            <w:gridSpan w:val="7"/>
            <w:vAlign w:val="center"/>
            <w:hideMark/>
          </w:tcPr>
          <w:p w14:paraId="16D27276" w14:textId="77777777" w:rsidR="00073CA0" w:rsidRPr="00064185" w:rsidRDefault="00073CA0" w:rsidP="00EA61D8">
            <w:pPr>
              <w:keepNext/>
              <w:keepLines/>
              <w:tabs>
                <w:tab w:val="decimal" w:pos="470"/>
                <w:tab w:val="right" w:pos="1370"/>
              </w:tabs>
              <w:spacing w:after="40"/>
            </w:pPr>
            <w:r w:rsidRPr="00064185">
              <w:t>1700</w:t>
            </w:r>
          </w:p>
        </w:tc>
      </w:tr>
      <w:tr w:rsidR="00073CA0" w:rsidRPr="00064185" w14:paraId="570F7E93" w14:textId="77777777" w:rsidTr="005D5442">
        <w:trPr>
          <w:cantSplit/>
          <w:trHeight w:val="472"/>
        </w:trPr>
        <w:tc>
          <w:tcPr>
            <w:tcW w:w="1771" w:type="dxa"/>
            <w:vAlign w:val="center"/>
            <w:hideMark/>
          </w:tcPr>
          <w:p w14:paraId="4FB8F645" w14:textId="44ED4455" w:rsidR="00073CA0" w:rsidRPr="00064185" w:rsidRDefault="00073CA0" w:rsidP="00EA61D8">
            <w:pPr>
              <w:keepNext/>
              <w:keepLines/>
              <w:rPr>
                <w:b/>
              </w:rPr>
            </w:pPr>
            <w:r w:rsidRPr="00064185">
              <w:rPr>
                <w:b/>
              </w:rPr>
              <w:t>Concentration in soil due to sludge in first year at t=0</w:t>
            </w:r>
            <w:r w:rsidR="005D5442" w:rsidRPr="00064185">
              <w:rPr>
                <w:b/>
              </w:rPr>
              <w:t xml:space="preserve"> [µg/kg]</w:t>
            </w:r>
          </w:p>
        </w:tc>
        <w:tc>
          <w:tcPr>
            <w:tcW w:w="3119" w:type="dxa"/>
            <w:vAlign w:val="center"/>
            <w:hideMark/>
          </w:tcPr>
          <w:p w14:paraId="05CC89BD" w14:textId="386FEDD8" w:rsidR="00073CA0" w:rsidRPr="00064185" w:rsidRDefault="005D5442" w:rsidP="00EA61D8">
            <w:pPr>
              <w:keepNext/>
              <w:keepLines/>
              <w:rPr>
                <w:b/>
              </w:rPr>
            </w:pPr>
            <w:r w:rsidRPr="00064185">
              <w:rPr>
                <w:position w:val="-30"/>
                <w:vertAlign w:val="subscript"/>
              </w:rPr>
              <w:object w:dxaOrig="3510" w:dyaOrig="660" w14:anchorId="7734C866">
                <v:shape id="_x0000_i1028" type="#_x0000_t75" style="width:152.25pt;height:24pt" o:ole="" fillcolor="window">
                  <v:imagedata r:id="rId24" o:title=""/>
                </v:shape>
                <o:OLEObject Type="Embed" ProgID="Equation.3" ShapeID="_x0000_i1028" DrawAspect="Content" ObjectID="_1614069662" r:id="rId25"/>
              </w:object>
            </w:r>
          </w:p>
        </w:tc>
        <w:tc>
          <w:tcPr>
            <w:tcW w:w="1088" w:type="dxa"/>
            <w:gridSpan w:val="2"/>
            <w:vAlign w:val="center"/>
            <w:hideMark/>
          </w:tcPr>
          <w:p w14:paraId="183EA2A1" w14:textId="6344BC46" w:rsidR="00073CA0" w:rsidRPr="00064185" w:rsidRDefault="00E5252C" w:rsidP="00EA61D8">
            <w:pPr>
              <w:keepNext/>
              <w:keepLines/>
              <w:tabs>
                <w:tab w:val="decimal" w:pos="470"/>
                <w:tab w:val="right" w:pos="1370"/>
              </w:tabs>
              <w:spacing w:after="40"/>
              <w:rPr>
                <w:b/>
              </w:rPr>
            </w:pPr>
            <w:r w:rsidRPr="00064185">
              <w:rPr>
                <w:b/>
              </w:rPr>
              <w:t>1.22</w:t>
            </w:r>
          </w:p>
        </w:tc>
        <w:tc>
          <w:tcPr>
            <w:tcW w:w="1547" w:type="dxa"/>
            <w:gridSpan w:val="2"/>
            <w:vAlign w:val="center"/>
          </w:tcPr>
          <w:p w14:paraId="35F1AD11" w14:textId="4E195E93" w:rsidR="00073CA0" w:rsidRPr="00064185" w:rsidRDefault="004829D4" w:rsidP="00EA61D8">
            <w:pPr>
              <w:keepNext/>
              <w:keepLines/>
              <w:tabs>
                <w:tab w:val="decimal" w:pos="470"/>
                <w:tab w:val="right" w:pos="1370"/>
              </w:tabs>
              <w:spacing w:after="40"/>
              <w:rPr>
                <w:b/>
              </w:rPr>
            </w:pPr>
            <w:r w:rsidRPr="00064185">
              <w:rPr>
                <w:b/>
              </w:rPr>
              <w:t>9.17</w:t>
            </w:r>
          </w:p>
        </w:tc>
        <w:tc>
          <w:tcPr>
            <w:tcW w:w="777" w:type="dxa"/>
            <w:gridSpan w:val="2"/>
            <w:vAlign w:val="center"/>
          </w:tcPr>
          <w:p w14:paraId="13892FF5" w14:textId="7B3CF24B" w:rsidR="00073CA0" w:rsidRPr="00064185" w:rsidRDefault="004829D4" w:rsidP="00EA61D8">
            <w:pPr>
              <w:keepNext/>
              <w:keepLines/>
              <w:tabs>
                <w:tab w:val="decimal" w:pos="470"/>
                <w:tab w:val="right" w:pos="1370"/>
              </w:tabs>
              <w:spacing w:after="40"/>
              <w:rPr>
                <w:b/>
              </w:rPr>
            </w:pPr>
            <w:r w:rsidRPr="00064185">
              <w:rPr>
                <w:b/>
              </w:rPr>
              <w:t>0.68</w:t>
            </w:r>
          </w:p>
        </w:tc>
        <w:tc>
          <w:tcPr>
            <w:tcW w:w="1052" w:type="dxa"/>
            <w:vAlign w:val="center"/>
          </w:tcPr>
          <w:p w14:paraId="12CCD4E1" w14:textId="67F35E3A" w:rsidR="00073CA0" w:rsidRPr="00064185" w:rsidRDefault="0043674A" w:rsidP="00EA61D8">
            <w:pPr>
              <w:keepNext/>
              <w:keepLines/>
              <w:tabs>
                <w:tab w:val="decimal" w:pos="470"/>
                <w:tab w:val="right" w:pos="1370"/>
              </w:tabs>
              <w:spacing w:after="40"/>
              <w:rPr>
                <w:b/>
              </w:rPr>
            </w:pPr>
            <w:r w:rsidRPr="00064185">
              <w:rPr>
                <w:b/>
              </w:rPr>
              <w:t>0.96</w:t>
            </w:r>
          </w:p>
        </w:tc>
      </w:tr>
    </w:tbl>
    <w:p w14:paraId="0877A825" w14:textId="77777777" w:rsidR="000A229F" w:rsidRPr="00064185" w:rsidRDefault="000A229F" w:rsidP="00EA61D8">
      <w:pPr>
        <w:pStyle w:val="Textkrper2"/>
        <w:keepNext/>
        <w:keepLines/>
        <w:rPr>
          <w:i w:val="0"/>
          <w:color w:val="auto"/>
        </w:rPr>
      </w:pPr>
    </w:p>
    <w:p w14:paraId="717A45A4" w14:textId="5F9856D6" w:rsidR="000A229F" w:rsidRPr="00064185" w:rsidRDefault="000A229F" w:rsidP="006A7704">
      <w:pPr>
        <w:pStyle w:val="Textkrper2"/>
        <w:jc w:val="both"/>
        <w:rPr>
          <w:i w:val="0"/>
          <w:color w:val="auto"/>
        </w:rPr>
      </w:pPr>
      <w:r w:rsidRPr="00064185">
        <w:rPr>
          <w:i w:val="0"/>
          <w:color w:val="auto"/>
        </w:rPr>
        <w:t xml:space="preserve">As a worst-case assumption for exposure, it is assumed that sludge applications take place for 10 consecutive years, each with one application. The fraction of </w:t>
      </w:r>
      <w:r w:rsidRPr="00064185">
        <w:rPr>
          <w:color w:val="auto"/>
          <w:szCs w:val="22"/>
        </w:rPr>
        <w:t>lambda</w:t>
      </w:r>
      <w:r w:rsidRPr="00064185">
        <w:rPr>
          <w:i w:val="0"/>
          <w:color w:val="auto"/>
          <w:szCs w:val="22"/>
        </w:rPr>
        <w:t>-cyhalothrin</w:t>
      </w:r>
      <w:r w:rsidRPr="00064185">
        <w:rPr>
          <w:i w:val="0"/>
          <w:color w:val="auto"/>
        </w:rPr>
        <w:t xml:space="preserve"> that remains in the top soil layer one year after an application is given in</w:t>
      </w:r>
      <w:r w:rsidR="00401AD5" w:rsidRPr="00064185">
        <w:rPr>
          <w:i w:val="0"/>
          <w:color w:val="auto"/>
        </w:rPr>
        <w:t xml:space="preserve"> the</w:t>
      </w:r>
      <w:r w:rsidRPr="00064185">
        <w:rPr>
          <w:i w:val="0"/>
          <w:color w:val="auto"/>
        </w:rPr>
        <w:t xml:space="preserve"> </w:t>
      </w:r>
      <w:r w:rsidR="00401AD5" w:rsidRPr="00064185">
        <w:rPr>
          <w:i w:val="0"/>
          <w:color w:val="auto"/>
        </w:rPr>
        <w:t>table below.</w:t>
      </w:r>
      <w:r w:rsidRPr="00064185">
        <w:rPr>
          <w:i w:val="0"/>
          <w:color w:val="auto"/>
        </w:rPr>
        <w:t xml:space="preserve"> For the calculation of the rate (k), a DT</w:t>
      </w:r>
      <w:r w:rsidRPr="00064185">
        <w:rPr>
          <w:i w:val="0"/>
          <w:color w:val="auto"/>
          <w:vertAlign w:val="subscript"/>
        </w:rPr>
        <w:t>50</w:t>
      </w:r>
      <w:r w:rsidRPr="00064185">
        <w:rPr>
          <w:i w:val="0"/>
          <w:color w:val="auto"/>
        </w:rPr>
        <w:t xml:space="preserve"> in soils of 69 days is considered.</w:t>
      </w:r>
    </w:p>
    <w:p w14:paraId="7ACE993D" w14:textId="77777777" w:rsidR="000A229F" w:rsidRPr="00064185" w:rsidRDefault="000A229F" w:rsidP="00EA61D8">
      <w:pPr>
        <w:pStyle w:val="Textkrper2"/>
        <w:rPr>
          <w:i w:val="0"/>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5"/>
        <w:gridCol w:w="1740"/>
        <w:gridCol w:w="1959"/>
      </w:tblGrid>
      <w:tr w:rsidR="00064185" w:rsidRPr="00064185" w14:paraId="6BD718F3" w14:textId="77777777" w:rsidTr="00696522">
        <w:tc>
          <w:tcPr>
            <w:tcW w:w="5000" w:type="pct"/>
            <w:gridSpan w:val="3"/>
            <w:shd w:val="clear" w:color="auto" w:fill="FFFFCC"/>
            <w:vAlign w:val="center"/>
          </w:tcPr>
          <w:p w14:paraId="6B85172D" w14:textId="7C9D4B9A" w:rsidR="00860407" w:rsidRPr="00064185" w:rsidRDefault="00860407" w:rsidP="00EA61D8">
            <w:pPr>
              <w:pStyle w:val="Textkrper2"/>
              <w:keepNext/>
              <w:keepLines/>
              <w:rPr>
                <w:b/>
                <w:bCs/>
                <w:i w:val="0"/>
                <w:color w:val="auto"/>
              </w:rPr>
            </w:pPr>
            <w:r w:rsidRPr="00064185">
              <w:rPr>
                <w:b/>
                <w:bCs/>
                <w:i w:val="0"/>
                <w:color w:val="auto"/>
              </w:rPr>
              <w:t>Calculation of the accumulated active substance fraction remaining in soils one year following a sludge application (TGD, 2003, equation 61)</w:t>
            </w:r>
          </w:p>
        </w:tc>
      </w:tr>
      <w:tr w:rsidR="00064185" w:rsidRPr="00064185" w14:paraId="14064A25" w14:textId="77777777" w:rsidTr="00860407">
        <w:tc>
          <w:tcPr>
            <w:tcW w:w="3023" w:type="pct"/>
            <w:vAlign w:val="center"/>
            <w:hideMark/>
          </w:tcPr>
          <w:p w14:paraId="549AC2B0" w14:textId="77777777" w:rsidR="000A229F" w:rsidRPr="00064185" w:rsidRDefault="000A229F" w:rsidP="00EA61D8">
            <w:pPr>
              <w:pStyle w:val="Textkrper2"/>
              <w:keepNext/>
              <w:keepLines/>
              <w:rPr>
                <w:b/>
                <w:bCs/>
                <w:i w:val="0"/>
                <w:color w:val="auto"/>
              </w:rPr>
            </w:pPr>
            <w:r w:rsidRPr="00064185">
              <w:rPr>
                <w:b/>
                <w:bCs/>
                <w:i w:val="0"/>
                <w:color w:val="auto"/>
              </w:rPr>
              <w:t>Parameter</w:t>
            </w:r>
          </w:p>
        </w:tc>
        <w:tc>
          <w:tcPr>
            <w:tcW w:w="930" w:type="pct"/>
            <w:vAlign w:val="center"/>
            <w:hideMark/>
          </w:tcPr>
          <w:p w14:paraId="502BBE0B" w14:textId="77777777" w:rsidR="000A229F" w:rsidRPr="00064185" w:rsidRDefault="000A229F" w:rsidP="00EA61D8">
            <w:pPr>
              <w:pStyle w:val="Textkrper2"/>
              <w:keepNext/>
              <w:keepLines/>
              <w:rPr>
                <w:b/>
                <w:bCs/>
                <w:i w:val="0"/>
                <w:color w:val="auto"/>
              </w:rPr>
            </w:pPr>
            <w:r w:rsidRPr="00064185">
              <w:rPr>
                <w:b/>
                <w:bCs/>
                <w:i w:val="0"/>
                <w:color w:val="auto"/>
              </w:rPr>
              <w:t>Definition</w:t>
            </w:r>
          </w:p>
        </w:tc>
        <w:tc>
          <w:tcPr>
            <w:tcW w:w="1047" w:type="pct"/>
            <w:vAlign w:val="center"/>
            <w:hideMark/>
          </w:tcPr>
          <w:p w14:paraId="3926793F" w14:textId="77777777" w:rsidR="000A229F" w:rsidRPr="00064185" w:rsidRDefault="000A229F" w:rsidP="00EA61D8">
            <w:pPr>
              <w:pStyle w:val="Textkrper2"/>
              <w:keepNext/>
              <w:keepLines/>
              <w:rPr>
                <w:b/>
                <w:bCs/>
                <w:i w:val="0"/>
                <w:color w:val="auto"/>
              </w:rPr>
            </w:pPr>
            <w:r w:rsidRPr="00064185">
              <w:rPr>
                <w:b/>
                <w:bCs/>
                <w:i w:val="0"/>
                <w:color w:val="auto"/>
              </w:rPr>
              <w:t>Value</w:t>
            </w:r>
          </w:p>
        </w:tc>
      </w:tr>
      <w:tr w:rsidR="00064185" w:rsidRPr="00064185" w14:paraId="5AA71BD7" w14:textId="77777777" w:rsidTr="00860407">
        <w:tc>
          <w:tcPr>
            <w:tcW w:w="3023" w:type="pct"/>
            <w:vAlign w:val="center"/>
            <w:hideMark/>
          </w:tcPr>
          <w:p w14:paraId="50572244" w14:textId="77777777" w:rsidR="000A229F" w:rsidRPr="00064185" w:rsidRDefault="000A229F" w:rsidP="00EA61D8">
            <w:pPr>
              <w:pStyle w:val="Textkrper2"/>
              <w:keepNext/>
              <w:keepLines/>
              <w:rPr>
                <w:i w:val="0"/>
                <w:color w:val="auto"/>
              </w:rPr>
            </w:pPr>
            <w:r w:rsidRPr="00064185">
              <w:rPr>
                <w:i w:val="0"/>
                <w:color w:val="auto"/>
              </w:rPr>
              <w:t xml:space="preserve">First order rate constant for removal from top soil </w:t>
            </w:r>
            <w:r w:rsidRPr="00064185">
              <w:rPr>
                <w:i w:val="0"/>
                <w:iCs/>
                <w:color w:val="auto"/>
              </w:rPr>
              <w:t>[1/d]</w:t>
            </w:r>
            <w:r w:rsidRPr="00064185">
              <w:rPr>
                <w:i w:val="0"/>
                <w:color w:val="auto"/>
              </w:rPr>
              <w:t xml:space="preserve"> </w:t>
            </w:r>
          </w:p>
        </w:tc>
        <w:tc>
          <w:tcPr>
            <w:tcW w:w="930" w:type="pct"/>
            <w:vAlign w:val="center"/>
            <w:hideMark/>
          </w:tcPr>
          <w:p w14:paraId="39CA66B7" w14:textId="77777777" w:rsidR="000A229F" w:rsidRPr="00064185" w:rsidRDefault="000A229F" w:rsidP="00EA61D8">
            <w:pPr>
              <w:pStyle w:val="Textkrper2"/>
              <w:keepNext/>
              <w:keepLines/>
              <w:rPr>
                <w:i w:val="0"/>
                <w:color w:val="auto"/>
              </w:rPr>
            </w:pPr>
            <w:r w:rsidRPr="00064185">
              <w:rPr>
                <w:i w:val="0"/>
                <w:color w:val="auto"/>
              </w:rPr>
              <w:t>k</w:t>
            </w:r>
          </w:p>
        </w:tc>
        <w:tc>
          <w:tcPr>
            <w:tcW w:w="1047" w:type="pct"/>
            <w:vAlign w:val="center"/>
            <w:hideMark/>
          </w:tcPr>
          <w:p w14:paraId="24D3566B" w14:textId="77777777" w:rsidR="000A229F" w:rsidRPr="00064185" w:rsidRDefault="000A229F" w:rsidP="00EA61D8">
            <w:pPr>
              <w:pStyle w:val="Textkrper2"/>
              <w:keepNext/>
              <w:keepLines/>
              <w:rPr>
                <w:i w:val="0"/>
                <w:color w:val="auto"/>
              </w:rPr>
            </w:pPr>
            <w:r w:rsidRPr="00064185">
              <w:rPr>
                <w:i w:val="0"/>
                <w:color w:val="auto"/>
              </w:rPr>
              <w:t>0.01005</w:t>
            </w:r>
          </w:p>
        </w:tc>
      </w:tr>
      <w:tr w:rsidR="00860407" w:rsidRPr="00064185" w14:paraId="33D88E4D" w14:textId="77777777" w:rsidTr="00860407">
        <w:tc>
          <w:tcPr>
            <w:tcW w:w="3023" w:type="pct"/>
            <w:vAlign w:val="center"/>
            <w:hideMark/>
          </w:tcPr>
          <w:p w14:paraId="57E3E032" w14:textId="77777777" w:rsidR="000A229F" w:rsidRPr="00064185" w:rsidRDefault="000A229F" w:rsidP="00EA61D8">
            <w:pPr>
              <w:pStyle w:val="Textkrper2"/>
              <w:keepNext/>
              <w:keepLines/>
              <w:rPr>
                <w:b/>
                <w:bCs/>
                <w:i w:val="0"/>
                <w:color w:val="auto"/>
              </w:rPr>
            </w:pPr>
            <w:r w:rsidRPr="00064185">
              <w:rPr>
                <w:b/>
                <w:bCs/>
                <w:i w:val="0"/>
                <w:color w:val="auto"/>
              </w:rPr>
              <w:t xml:space="preserve">Fraction accumulation in one year </w:t>
            </w:r>
            <w:r w:rsidRPr="00064185">
              <w:rPr>
                <w:b/>
                <w:bCs/>
                <w:i w:val="0"/>
                <w:iCs/>
                <w:color w:val="auto"/>
              </w:rPr>
              <w:t>[-]</w:t>
            </w:r>
          </w:p>
        </w:tc>
        <w:tc>
          <w:tcPr>
            <w:tcW w:w="930" w:type="pct"/>
            <w:vAlign w:val="center"/>
            <w:hideMark/>
          </w:tcPr>
          <w:p w14:paraId="5C1CB6E1" w14:textId="77777777" w:rsidR="000A229F" w:rsidRPr="00064185" w:rsidRDefault="000A229F" w:rsidP="00EA61D8">
            <w:pPr>
              <w:pStyle w:val="Textkrper2"/>
              <w:keepNext/>
              <w:keepLines/>
              <w:rPr>
                <w:b/>
                <w:bCs/>
                <w:i w:val="0"/>
                <w:color w:val="auto"/>
              </w:rPr>
            </w:pPr>
            <w:r w:rsidRPr="00064185">
              <w:rPr>
                <w:b/>
                <w:bCs/>
                <w:i w:val="0"/>
                <w:color w:val="auto"/>
              </w:rPr>
              <w:t>Facc = e</w:t>
            </w:r>
            <w:r w:rsidRPr="00064185">
              <w:rPr>
                <w:b/>
                <w:bCs/>
                <w:i w:val="0"/>
                <w:color w:val="auto"/>
                <w:vertAlign w:val="superscript"/>
              </w:rPr>
              <w:t>-365k</w:t>
            </w:r>
          </w:p>
        </w:tc>
        <w:tc>
          <w:tcPr>
            <w:tcW w:w="1047" w:type="pct"/>
            <w:vAlign w:val="center"/>
            <w:hideMark/>
          </w:tcPr>
          <w:p w14:paraId="54A0B1F9" w14:textId="77777777" w:rsidR="000A229F" w:rsidRPr="00064185" w:rsidRDefault="000A229F" w:rsidP="00EA61D8">
            <w:pPr>
              <w:pStyle w:val="Textkrper2"/>
              <w:keepNext/>
              <w:keepLines/>
              <w:rPr>
                <w:b/>
                <w:bCs/>
                <w:i w:val="0"/>
                <w:color w:val="auto"/>
              </w:rPr>
            </w:pPr>
            <w:r w:rsidRPr="00064185">
              <w:rPr>
                <w:b/>
                <w:bCs/>
                <w:i w:val="0"/>
                <w:color w:val="auto"/>
              </w:rPr>
              <w:t>0.025562</w:t>
            </w:r>
          </w:p>
        </w:tc>
      </w:tr>
    </w:tbl>
    <w:p w14:paraId="15D7E895" w14:textId="77777777" w:rsidR="000A229F" w:rsidRPr="00064185" w:rsidRDefault="000A229F" w:rsidP="00EA61D8">
      <w:pPr>
        <w:pStyle w:val="Textkrper2"/>
        <w:rPr>
          <w:i w:val="0"/>
          <w:color w:val="auto"/>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23"/>
        <w:gridCol w:w="1825"/>
        <w:gridCol w:w="1092"/>
        <w:gridCol w:w="1619"/>
        <w:gridCol w:w="821"/>
        <w:gridCol w:w="49"/>
        <w:gridCol w:w="1155"/>
      </w:tblGrid>
      <w:tr w:rsidR="00064185" w:rsidRPr="00064185" w14:paraId="023FA0F3" w14:textId="77777777" w:rsidTr="00A75DED">
        <w:trPr>
          <w:cantSplit/>
        </w:trPr>
        <w:tc>
          <w:tcPr>
            <w:tcW w:w="9284" w:type="dxa"/>
            <w:gridSpan w:val="7"/>
            <w:shd w:val="clear" w:color="auto" w:fill="FFFFCC"/>
            <w:vAlign w:val="center"/>
          </w:tcPr>
          <w:p w14:paraId="318624D4" w14:textId="7B179A16" w:rsidR="00FC12E2" w:rsidRPr="00064185" w:rsidRDefault="00FC12E2" w:rsidP="00EA61D8">
            <w:pPr>
              <w:pStyle w:val="Textkrper21"/>
              <w:keepNext/>
              <w:keepLines/>
              <w:widowControl w:val="0"/>
              <w:spacing w:before="40" w:after="40" w:line="288" w:lineRule="auto"/>
              <w:jc w:val="left"/>
              <w:rPr>
                <w:rFonts w:ascii="Verdana" w:hAnsi="Verdana"/>
                <w:b/>
                <w:bCs/>
                <w:sz w:val="20"/>
              </w:rPr>
            </w:pPr>
            <w:r w:rsidRPr="00064185">
              <w:rPr>
                <w:rFonts w:ascii="Verdana" w:hAnsi="Verdana"/>
                <w:b/>
                <w:bCs/>
                <w:sz w:val="20"/>
              </w:rPr>
              <w:t>Calculation of soil concentrations following a one-fold sludge application in each of ten years (concentration immediately after the tenth application, TGD, 2003, equation 62)</w:t>
            </w:r>
          </w:p>
        </w:tc>
      </w:tr>
      <w:tr w:rsidR="00064185" w:rsidRPr="00064185" w14:paraId="12A97F28" w14:textId="77777777" w:rsidTr="00A75DED">
        <w:trPr>
          <w:cantSplit/>
          <w:trHeight w:val="202"/>
        </w:trPr>
        <w:tc>
          <w:tcPr>
            <w:tcW w:w="2723" w:type="dxa"/>
            <w:vMerge w:val="restart"/>
            <w:vAlign w:val="center"/>
            <w:hideMark/>
          </w:tcPr>
          <w:p w14:paraId="08A872A5" w14:textId="77777777" w:rsidR="00AD000F" w:rsidRPr="00064185" w:rsidRDefault="00AD000F" w:rsidP="00EA61D8">
            <w:pPr>
              <w:pStyle w:val="Textkrper21"/>
              <w:keepNext/>
              <w:keepLines/>
              <w:widowControl w:val="0"/>
              <w:spacing w:before="40" w:after="40" w:line="288" w:lineRule="auto"/>
              <w:jc w:val="left"/>
              <w:rPr>
                <w:rFonts w:ascii="Verdana" w:hAnsi="Verdana"/>
                <w:b/>
                <w:bCs/>
                <w:sz w:val="20"/>
              </w:rPr>
            </w:pPr>
            <w:r w:rsidRPr="00064185">
              <w:rPr>
                <w:rFonts w:ascii="Verdana" w:hAnsi="Verdana"/>
                <w:b/>
                <w:bCs/>
                <w:sz w:val="20"/>
              </w:rPr>
              <w:t>Parameter</w:t>
            </w:r>
          </w:p>
        </w:tc>
        <w:tc>
          <w:tcPr>
            <w:tcW w:w="1825" w:type="dxa"/>
            <w:vMerge w:val="restart"/>
            <w:vAlign w:val="center"/>
            <w:hideMark/>
          </w:tcPr>
          <w:p w14:paraId="4142DE16" w14:textId="77777777" w:rsidR="00AD000F" w:rsidRPr="00064185" w:rsidRDefault="00AD000F" w:rsidP="00EA61D8">
            <w:pPr>
              <w:pStyle w:val="Kopfzeile-fett-zentr"/>
              <w:keepNext/>
              <w:keepLines/>
              <w:widowControl w:val="0"/>
              <w:tabs>
                <w:tab w:val="left" w:pos="708"/>
              </w:tabs>
              <w:spacing w:before="40" w:after="40" w:line="288" w:lineRule="auto"/>
              <w:jc w:val="left"/>
              <w:rPr>
                <w:rFonts w:ascii="Verdana" w:hAnsi="Verdana"/>
                <w:bCs/>
                <w:lang w:val="en-GB"/>
              </w:rPr>
            </w:pPr>
            <w:r w:rsidRPr="00064185">
              <w:rPr>
                <w:rFonts w:ascii="Verdana" w:hAnsi="Verdana"/>
                <w:bCs/>
                <w:lang w:val="en-GB"/>
              </w:rPr>
              <w:t>Definition</w:t>
            </w:r>
          </w:p>
        </w:tc>
        <w:tc>
          <w:tcPr>
            <w:tcW w:w="3532" w:type="dxa"/>
            <w:gridSpan w:val="3"/>
            <w:vAlign w:val="center"/>
            <w:hideMark/>
          </w:tcPr>
          <w:p w14:paraId="10F91307" w14:textId="2DBC8AE4" w:rsidR="00AD000F" w:rsidRPr="00064185" w:rsidRDefault="00AD000F" w:rsidP="00EA61D8">
            <w:pPr>
              <w:keepNext/>
              <w:keepLines/>
              <w:widowControl w:val="0"/>
              <w:spacing w:after="40"/>
              <w:rPr>
                <w:b/>
                <w:bCs/>
              </w:rPr>
            </w:pPr>
            <w:r w:rsidRPr="00064185">
              <w:rPr>
                <w:b/>
                <w:bCs/>
              </w:rPr>
              <w:t>Indoor use</w:t>
            </w:r>
          </w:p>
        </w:tc>
        <w:tc>
          <w:tcPr>
            <w:tcW w:w="1204" w:type="dxa"/>
            <w:gridSpan w:val="2"/>
            <w:vAlign w:val="center"/>
          </w:tcPr>
          <w:p w14:paraId="3D4ECA09" w14:textId="35290613" w:rsidR="00AD000F" w:rsidRPr="00064185" w:rsidRDefault="00AD000F" w:rsidP="00EA61D8">
            <w:pPr>
              <w:keepNext/>
              <w:keepLines/>
              <w:widowControl w:val="0"/>
              <w:spacing w:after="40"/>
              <w:rPr>
                <w:b/>
                <w:bCs/>
              </w:rPr>
            </w:pPr>
            <w:r w:rsidRPr="00064185">
              <w:rPr>
                <w:b/>
                <w:bCs/>
              </w:rPr>
              <w:t>Outdoor use</w:t>
            </w:r>
          </w:p>
        </w:tc>
      </w:tr>
      <w:tr w:rsidR="00064185" w:rsidRPr="00064185" w14:paraId="1B2764EB" w14:textId="77777777" w:rsidTr="00A75DED">
        <w:trPr>
          <w:cantSplit/>
          <w:trHeight w:val="201"/>
        </w:trPr>
        <w:tc>
          <w:tcPr>
            <w:tcW w:w="2723" w:type="dxa"/>
            <w:vMerge/>
            <w:vAlign w:val="center"/>
          </w:tcPr>
          <w:p w14:paraId="7E3C3A78" w14:textId="77777777" w:rsidR="00AD000F" w:rsidRPr="00064185" w:rsidRDefault="00AD000F" w:rsidP="00EA61D8">
            <w:pPr>
              <w:pStyle w:val="Textkrper21"/>
              <w:keepNext/>
              <w:keepLines/>
              <w:widowControl w:val="0"/>
              <w:spacing w:before="40" w:after="40" w:line="288" w:lineRule="auto"/>
              <w:jc w:val="left"/>
              <w:rPr>
                <w:rFonts w:ascii="Verdana" w:hAnsi="Verdana"/>
                <w:b/>
                <w:bCs/>
                <w:sz w:val="20"/>
              </w:rPr>
            </w:pPr>
          </w:p>
        </w:tc>
        <w:tc>
          <w:tcPr>
            <w:tcW w:w="1825" w:type="dxa"/>
            <w:vMerge/>
            <w:vAlign w:val="center"/>
          </w:tcPr>
          <w:p w14:paraId="679C0900" w14:textId="77777777" w:rsidR="00AD000F" w:rsidRPr="00064185" w:rsidRDefault="00AD000F" w:rsidP="00EA61D8">
            <w:pPr>
              <w:pStyle w:val="Kopfzeile-fett-zentr"/>
              <w:keepNext/>
              <w:keepLines/>
              <w:widowControl w:val="0"/>
              <w:tabs>
                <w:tab w:val="left" w:pos="708"/>
              </w:tabs>
              <w:spacing w:before="40" w:after="40" w:line="288" w:lineRule="auto"/>
              <w:jc w:val="left"/>
              <w:rPr>
                <w:rFonts w:ascii="Verdana" w:hAnsi="Verdana"/>
                <w:bCs/>
                <w:lang w:val="en-GB"/>
              </w:rPr>
            </w:pPr>
          </w:p>
        </w:tc>
        <w:tc>
          <w:tcPr>
            <w:tcW w:w="1092" w:type="dxa"/>
            <w:vAlign w:val="center"/>
          </w:tcPr>
          <w:p w14:paraId="43299B39" w14:textId="221C7161" w:rsidR="00AD000F" w:rsidRPr="00064185" w:rsidRDefault="00AD000F" w:rsidP="00EA61D8">
            <w:pPr>
              <w:keepNext/>
              <w:keepLines/>
              <w:widowControl w:val="0"/>
              <w:spacing w:after="40"/>
              <w:rPr>
                <w:b/>
                <w:bCs/>
              </w:rPr>
            </w:pPr>
            <w:r w:rsidRPr="00064185">
              <w:rPr>
                <w:b/>
                <w:bCs/>
              </w:rPr>
              <w:t>Ants</w:t>
            </w:r>
          </w:p>
        </w:tc>
        <w:tc>
          <w:tcPr>
            <w:tcW w:w="1619" w:type="dxa"/>
            <w:vAlign w:val="center"/>
          </w:tcPr>
          <w:p w14:paraId="2E34A28A" w14:textId="32A5043D" w:rsidR="00AD000F" w:rsidRPr="00064185" w:rsidRDefault="00AD000F" w:rsidP="00EA61D8">
            <w:pPr>
              <w:keepNext/>
              <w:keepLines/>
              <w:widowControl w:val="0"/>
              <w:spacing w:after="40"/>
              <w:rPr>
                <w:b/>
                <w:bCs/>
              </w:rPr>
            </w:pPr>
            <w:r w:rsidRPr="00064185">
              <w:rPr>
                <w:b/>
                <w:bCs/>
              </w:rPr>
              <w:t>Silverfish &amp; Cockroaches</w:t>
            </w:r>
          </w:p>
        </w:tc>
        <w:tc>
          <w:tcPr>
            <w:tcW w:w="821" w:type="dxa"/>
            <w:vAlign w:val="center"/>
          </w:tcPr>
          <w:p w14:paraId="344C50E4" w14:textId="7FA06BB4" w:rsidR="00AD000F" w:rsidRPr="00064185" w:rsidRDefault="00AD000F" w:rsidP="00EA61D8">
            <w:pPr>
              <w:keepNext/>
              <w:keepLines/>
              <w:widowControl w:val="0"/>
              <w:spacing w:after="40"/>
              <w:rPr>
                <w:b/>
                <w:bCs/>
              </w:rPr>
            </w:pPr>
            <w:r w:rsidRPr="00064185">
              <w:rPr>
                <w:b/>
                <w:bCs/>
              </w:rPr>
              <w:t>Wood lice</w:t>
            </w:r>
          </w:p>
        </w:tc>
        <w:tc>
          <w:tcPr>
            <w:tcW w:w="1204" w:type="dxa"/>
            <w:gridSpan w:val="2"/>
            <w:vAlign w:val="center"/>
          </w:tcPr>
          <w:p w14:paraId="68122522" w14:textId="57A9A499" w:rsidR="00AD000F" w:rsidRPr="00064185" w:rsidRDefault="00AD000F" w:rsidP="00EA61D8">
            <w:pPr>
              <w:keepNext/>
              <w:keepLines/>
              <w:widowControl w:val="0"/>
              <w:spacing w:after="40"/>
              <w:rPr>
                <w:b/>
                <w:bCs/>
              </w:rPr>
            </w:pPr>
            <w:r w:rsidRPr="00064185">
              <w:rPr>
                <w:b/>
                <w:bCs/>
              </w:rPr>
              <w:t>Ants</w:t>
            </w:r>
          </w:p>
        </w:tc>
      </w:tr>
      <w:tr w:rsidR="00064185" w:rsidRPr="00064185" w14:paraId="6A17BC0D" w14:textId="77777777" w:rsidTr="00A75DED">
        <w:trPr>
          <w:cantSplit/>
        </w:trPr>
        <w:tc>
          <w:tcPr>
            <w:tcW w:w="2723" w:type="dxa"/>
            <w:vAlign w:val="center"/>
            <w:hideMark/>
          </w:tcPr>
          <w:p w14:paraId="30556ABA" w14:textId="2F75DCF0" w:rsidR="00AD000F" w:rsidRPr="00064185" w:rsidRDefault="00AD000F" w:rsidP="00EA61D8">
            <w:pPr>
              <w:keepNext/>
              <w:keepLines/>
              <w:widowControl w:val="0"/>
              <w:spacing w:after="40"/>
            </w:pPr>
            <w:r w:rsidRPr="00064185">
              <w:t xml:space="preserve">Concentration in soil due to sludge in first year at t=0 </w:t>
            </w:r>
            <w:r w:rsidRPr="00064185">
              <w:br/>
              <w:t>[µg/kg]</w:t>
            </w:r>
          </w:p>
        </w:tc>
        <w:tc>
          <w:tcPr>
            <w:tcW w:w="1825" w:type="dxa"/>
            <w:vAlign w:val="center"/>
            <w:hideMark/>
          </w:tcPr>
          <w:p w14:paraId="57EC223B" w14:textId="77777777" w:rsidR="00AD000F" w:rsidRPr="00064185" w:rsidRDefault="00AD000F" w:rsidP="00EA61D8">
            <w:pPr>
              <w:keepNext/>
              <w:keepLines/>
              <w:widowControl w:val="0"/>
              <w:spacing w:after="40"/>
              <w:rPr>
                <w:bCs/>
              </w:rPr>
            </w:pPr>
            <w:r w:rsidRPr="00064185">
              <w:rPr>
                <w:bCs/>
              </w:rPr>
              <w:t>Csludge</w:t>
            </w:r>
            <w:r w:rsidRPr="00064185">
              <w:rPr>
                <w:bCs/>
                <w:vertAlign w:val="subscript"/>
              </w:rPr>
              <w:t>soil1</w:t>
            </w:r>
            <w:r w:rsidRPr="00064185">
              <w:rPr>
                <w:bCs/>
              </w:rPr>
              <w:t xml:space="preserve"> (0)</w:t>
            </w:r>
          </w:p>
        </w:tc>
        <w:tc>
          <w:tcPr>
            <w:tcW w:w="1092" w:type="dxa"/>
            <w:vAlign w:val="center"/>
            <w:hideMark/>
          </w:tcPr>
          <w:p w14:paraId="71ED3B31" w14:textId="3F8EE071" w:rsidR="00AD000F" w:rsidRPr="00064185" w:rsidRDefault="008444C7" w:rsidP="00EA61D8">
            <w:pPr>
              <w:keepNext/>
              <w:keepLines/>
              <w:widowControl w:val="0"/>
            </w:pPr>
            <w:r w:rsidRPr="00064185">
              <w:t>1.22</w:t>
            </w:r>
          </w:p>
        </w:tc>
        <w:tc>
          <w:tcPr>
            <w:tcW w:w="1619" w:type="dxa"/>
            <w:vAlign w:val="center"/>
          </w:tcPr>
          <w:p w14:paraId="3504B0D3" w14:textId="1C8EBE7C" w:rsidR="00AD000F" w:rsidRPr="00064185" w:rsidRDefault="004829D4" w:rsidP="00EA61D8">
            <w:pPr>
              <w:keepNext/>
              <w:keepLines/>
              <w:widowControl w:val="0"/>
            </w:pPr>
            <w:r w:rsidRPr="00064185">
              <w:t>9.17</w:t>
            </w:r>
          </w:p>
        </w:tc>
        <w:tc>
          <w:tcPr>
            <w:tcW w:w="821" w:type="dxa"/>
            <w:vAlign w:val="center"/>
          </w:tcPr>
          <w:p w14:paraId="10006965" w14:textId="66B2B9CC" w:rsidR="00AD000F" w:rsidRPr="00064185" w:rsidRDefault="004829D4" w:rsidP="00EA61D8">
            <w:pPr>
              <w:keepNext/>
              <w:keepLines/>
              <w:widowControl w:val="0"/>
            </w:pPr>
            <w:r w:rsidRPr="00064185">
              <w:t>0.68</w:t>
            </w:r>
          </w:p>
        </w:tc>
        <w:tc>
          <w:tcPr>
            <w:tcW w:w="1204" w:type="dxa"/>
            <w:gridSpan w:val="2"/>
            <w:vAlign w:val="center"/>
          </w:tcPr>
          <w:p w14:paraId="18EA2846" w14:textId="6F55D41C" w:rsidR="00AD000F" w:rsidRPr="00064185" w:rsidRDefault="0043674A" w:rsidP="00EA61D8">
            <w:pPr>
              <w:keepNext/>
              <w:keepLines/>
              <w:widowControl w:val="0"/>
            </w:pPr>
            <w:r w:rsidRPr="00064185">
              <w:t>0.96</w:t>
            </w:r>
          </w:p>
        </w:tc>
      </w:tr>
      <w:tr w:rsidR="00064185" w:rsidRPr="00064185" w14:paraId="307AF19A" w14:textId="77777777" w:rsidTr="00A75DED">
        <w:trPr>
          <w:cantSplit/>
        </w:trPr>
        <w:tc>
          <w:tcPr>
            <w:tcW w:w="2723" w:type="dxa"/>
            <w:vAlign w:val="center"/>
            <w:hideMark/>
          </w:tcPr>
          <w:p w14:paraId="2B962886" w14:textId="5A2E1995" w:rsidR="00AD000F" w:rsidRPr="00064185" w:rsidRDefault="00AD000F" w:rsidP="00EA61D8">
            <w:pPr>
              <w:pStyle w:val="Tabellenformat"/>
              <w:keepNext/>
              <w:keepLines/>
              <w:widowControl w:val="0"/>
              <w:spacing w:before="40" w:after="40" w:line="288" w:lineRule="auto"/>
              <w:rPr>
                <w:iCs/>
              </w:rPr>
            </w:pPr>
            <w:r w:rsidRPr="00064185">
              <w:rPr>
                <w:iCs/>
              </w:rPr>
              <w:t>Fraction accumulation in one year [-]</w:t>
            </w:r>
          </w:p>
        </w:tc>
        <w:tc>
          <w:tcPr>
            <w:tcW w:w="1825" w:type="dxa"/>
            <w:vAlign w:val="center"/>
            <w:hideMark/>
          </w:tcPr>
          <w:p w14:paraId="3A9D6270" w14:textId="77777777" w:rsidR="00AD000F" w:rsidRPr="00064185" w:rsidRDefault="00AD000F" w:rsidP="00EA61D8">
            <w:pPr>
              <w:keepNext/>
              <w:keepLines/>
              <w:widowControl w:val="0"/>
              <w:spacing w:after="40"/>
            </w:pPr>
            <w:r w:rsidRPr="00064185">
              <w:t>Facc</w:t>
            </w:r>
          </w:p>
        </w:tc>
        <w:tc>
          <w:tcPr>
            <w:tcW w:w="4736" w:type="dxa"/>
            <w:gridSpan w:val="5"/>
            <w:vAlign w:val="center"/>
            <w:hideMark/>
          </w:tcPr>
          <w:p w14:paraId="42D640A6" w14:textId="17274FD3" w:rsidR="00AD000F" w:rsidRPr="00064185" w:rsidRDefault="00AD000F" w:rsidP="00EA61D8">
            <w:pPr>
              <w:keepNext/>
              <w:keepLines/>
              <w:widowControl w:val="0"/>
              <w:spacing w:after="40"/>
              <w:rPr>
                <w:iCs/>
              </w:rPr>
            </w:pPr>
            <w:r w:rsidRPr="00064185">
              <w:rPr>
                <w:iCs/>
              </w:rPr>
              <w:t>0.025562</w:t>
            </w:r>
          </w:p>
        </w:tc>
      </w:tr>
      <w:tr w:rsidR="00064185" w:rsidRPr="00064185" w14:paraId="29CE33B0" w14:textId="77777777" w:rsidTr="00A75DED">
        <w:trPr>
          <w:cantSplit/>
        </w:trPr>
        <w:tc>
          <w:tcPr>
            <w:tcW w:w="2723" w:type="dxa"/>
            <w:vAlign w:val="center"/>
            <w:hideMark/>
          </w:tcPr>
          <w:p w14:paraId="77937DDA" w14:textId="285D1CD1" w:rsidR="00AD000F" w:rsidRPr="00064185" w:rsidRDefault="00AD000F" w:rsidP="00EA61D8">
            <w:pPr>
              <w:keepNext/>
              <w:keepLines/>
              <w:widowControl w:val="0"/>
              <w:spacing w:after="40"/>
              <w:rPr>
                <w:b/>
                <w:bCs/>
              </w:rPr>
            </w:pPr>
            <w:r w:rsidRPr="00064185">
              <w:rPr>
                <w:b/>
                <w:bCs/>
              </w:rPr>
              <w:t>Concentration in soil due to sludge after 10 applications at=0 [µg/kg]</w:t>
            </w:r>
          </w:p>
        </w:tc>
        <w:tc>
          <w:tcPr>
            <w:tcW w:w="1825" w:type="dxa"/>
            <w:vAlign w:val="center"/>
            <w:hideMark/>
          </w:tcPr>
          <w:p w14:paraId="70501D63" w14:textId="77777777" w:rsidR="00AD000F" w:rsidRPr="00064185" w:rsidRDefault="00AD000F" w:rsidP="00EA61D8">
            <w:pPr>
              <w:keepNext/>
              <w:keepLines/>
              <w:widowControl w:val="0"/>
              <w:rPr>
                <w:b/>
                <w:i/>
              </w:rPr>
            </w:pPr>
            <w:r w:rsidRPr="00064185">
              <w:rPr>
                <w:b/>
                <w:i/>
              </w:rPr>
              <w:t>Csludge</w:t>
            </w:r>
            <w:r w:rsidRPr="00064185">
              <w:rPr>
                <w:b/>
                <w:i/>
                <w:vertAlign w:val="subscript"/>
              </w:rPr>
              <w:t>soil 10</w:t>
            </w:r>
            <w:r w:rsidRPr="00064185">
              <w:rPr>
                <w:b/>
                <w:i/>
              </w:rPr>
              <w:t xml:space="preserve"> (0) =</w:t>
            </w:r>
          </w:p>
          <w:p w14:paraId="4C844F48" w14:textId="3DA93B33" w:rsidR="00AD000F" w:rsidRPr="00064185" w:rsidRDefault="00AD000F" w:rsidP="00EA61D8">
            <w:pPr>
              <w:keepNext/>
              <w:keepLines/>
              <w:widowControl w:val="0"/>
              <w:spacing w:after="40"/>
              <w:rPr>
                <w:b/>
                <w:bCs/>
              </w:rPr>
            </w:pPr>
            <w:r w:rsidRPr="00064185">
              <w:rPr>
                <w:b/>
                <w:i/>
              </w:rPr>
              <w:t>Csludge</w:t>
            </w:r>
            <w:r w:rsidRPr="00064185">
              <w:rPr>
                <w:b/>
                <w:i/>
                <w:vertAlign w:val="subscript"/>
              </w:rPr>
              <w:t>soil1</w:t>
            </w:r>
            <w:r w:rsidRPr="00064185">
              <w:rPr>
                <w:b/>
                <w:i/>
              </w:rPr>
              <w:t xml:space="preserve"> (0) × [1 + </w:t>
            </w:r>
            <w:r w:rsidRPr="00064185">
              <w:rPr>
                <w:b/>
                <w:i/>
                <w:position w:val="-16"/>
                <w:vertAlign w:val="subscript"/>
              </w:rPr>
              <w:object w:dxaOrig="735" w:dyaOrig="465" w14:anchorId="3EF8F18F">
                <v:shape id="_x0000_i1029" type="#_x0000_t75" style="width:38.25pt;height:24pt" o:ole="" fillcolor="window">
                  <v:imagedata r:id="rId26" o:title=""/>
                </v:shape>
                <o:OLEObject Type="Embed" ProgID="Equation.3" ShapeID="_x0000_i1029" DrawAspect="Content" ObjectID="_1614069663" r:id="rId27"/>
              </w:object>
            </w:r>
            <w:r w:rsidRPr="00064185">
              <w:rPr>
                <w:b/>
                <w:i/>
              </w:rPr>
              <w:t>Facc</w:t>
            </w:r>
            <w:r w:rsidRPr="00064185">
              <w:rPr>
                <w:b/>
                <w:i/>
                <w:vertAlign w:val="superscript"/>
              </w:rPr>
              <w:t>n</w:t>
            </w:r>
            <w:r w:rsidRPr="00064185">
              <w:rPr>
                <w:b/>
                <w:i/>
              </w:rPr>
              <w:t>]</w:t>
            </w:r>
          </w:p>
        </w:tc>
        <w:tc>
          <w:tcPr>
            <w:tcW w:w="1092" w:type="dxa"/>
            <w:vAlign w:val="center"/>
            <w:hideMark/>
          </w:tcPr>
          <w:p w14:paraId="03DBFF3C" w14:textId="15694BB2" w:rsidR="00AD000F" w:rsidRPr="00064185" w:rsidRDefault="008444C7" w:rsidP="00EA61D8">
            <w:pPr>
              <w:keepNext/>
              <w:keepLines/>
              <w:widowControl w:val="0"/>
              <w:tabs>
                <w:tab w:val="decimal" w:pos="470"/>
                <w:tab w:val="right" w:pos="1370"/>
              </w:tabs>
              <w:spacing w:after="40"/>
              <w:rPr>
                <w:b/>
              </w:rPr>
            </w:pPr>
            <w:r w:rsidRPr="00064185">
              <w:rPr>
                <w:b/>
              </w:rPr>
              <w:t>1.25</w:t>
            </w:r>
          </w:p>
        </w:tc>
        <w:tc>
          <w:tcPr>
            <w:tcW w:w="1619" w:type="dxa"/>
            <w:vAlign w:val="center"/>
          </w:tcPr>
          <w:p w14:paraId="29DB60F0" w14:textId="490F39AC" w:rsidR="00AD000F" w:rsidRPr="00064185" w:rsidRDefault="004829D4" w:rsidP="00EA61D8">
            <w:pPr>
              <w:keepNext/>
              <w:keepLines/>
              <w:widowControl w:val="0"/>
              <w:tabs>
                <w:tab w:val="decimal" w:pos="470"/>
                <w:tab w:val="right" w:pos="1370"/>
              </w:tabs>
              <w:spacing w:after="40"/>
              <w:rPr>
                <w:b/>
              </w:rPr>
            </w:pPr>
            <w:r w:rsidRPr="00064185">
              <w:rPr>
                <w:b/>
              </w:rPr>
              <w:t>9.41</w:t>
            </w:r>
          </w:p>
        </w:tc>
        <w:tc>
          <w:tcPr>
            <w:tcW w:w="870" w:type="dxa"/>
            <w:gridSpan w:val="2"/>
            <w:vAlign w:val="center"/>
          </w:tcPr>
          <w:p w14:paraId="60229D3E" w14:textId="243DF3E9" w:rsidR="00AD000F" w:rsidRPr="00064185" w:rsidRDefault="004829D4" w:rsidP="00EA61D8">
            <w:pPr>
              <w:keepNext/>
              <w:keepLines/>
              <w:widowControl w:val="0"/>
              <w:tabs>
                <w:tab w:val="decimal" w:pos="470"/>
                <w:tab w:val="right" w:pos="1370"/>
              </w:tabs>
              <w:spacing w:after="40"/>
              <w:rPr>
                <w:b/>
              </w:rPr>
            </w:pPr>
            <w:r w:rsidRPr="00064185">
              <w:rPr>
                <w:b/>
              </w:rPr>
              <w:t>0.69</w:t>
            </w:r>
          </w:p>
        </w:tc>
        <w:tc>
          <w:tcPr>
            <w:tcW w:w="1155" w:type="dxa"/>
            <w:vAlign w:val="center"/>
          </w:tcPr>
          <w:p w14:paraId="0AE261CA" w14:textId="623D18DA" w:rsidR="00AD000F" w:rsidRPr="00064185" w:rsidRDefault="0043674A" w:rsidP="00EA61D8">
            <w:pPr>
              <w:keepNext/>
              <w:keepLines/>
              <w:widowControl w:val="0"/>
              <w:tabs>
                <w:tab w:val="decimal" w:pos="470"/>
                <w:tab w:val="right" w:pos="1370"/>
              </w:tabs>
              <w:spacing w:after="40"/>
              <w:rPr>
                <w:b/>
              </w:rPr>
            </w:pPr>
            <w:r w:rsidRPr="00064185">
              <w:rPr>
                <w:b/>
              </w:rPr>
              <w:t>0.99</w:t>
            </w:r>
          </w:p>
        </w:tc>
      </w:tr>
    </w:tbl>
    <w:p w14:paraId="66A1AE58" w14:textId="77777777" w:rsidR="000A229F" w:rsidRPr="00064185" w:rsidRDefault="000A229F" w:rsidP="00EA61D8">
      <w:pPr>
        <w:pStyle w:val="Textkrper2"/>
        <w:keepNext/>
        <w:keepLines/>
        <w:widowControl w:val="0"/>
        <w:rPr>
          <w:i w:val="0"/>
          <w:color w:val="auto"/>
        </w:rPr>
      </w:pPr>
    </w:p>
    <w:p w14:paraId="63AA43C7" w14:textId="402F072A" w:rsidR="000A229F" w:rsidRPr="00064185" w:rsidRDefault="000A229F" w:rsidP="006A7704">
      <w:pPr>
        <w:pStyle w:val="Textkrper2"/>
        <w:keepNext/>
        <w:keepLines/>
        <w:widowControl w:val="0"/>
        <w:jc w:val="both"/>
        <w:rPr>
          <w:i w:val="0"/>
          <w:iCs/>
          <w:color w:val="auto"/>
        </w:rPr>
      </w:pPr>
      <w:r w:rsidRPr="00064185">
        <w:rPr>
          <w:i w:val="0"/>
          <w:color w:val="auto"/>
        </w:rPr>
        <w:t>The initial concentrations following 10 sludge applications are used to calculate average residues in soils of terrestrial ecosystems, i.e., over a time period of 30 days</w:t>
      </w:r>
      <w:r w:rsidRPr="00064185">
        <w:rPr>
          <w:i w:val="0"/>
          <w:iCs/>
          <w:color w:val="auto"/>
        </w:rPr>
        <w:t>. The rate constant k only compasses the biodegradation, whereas volatilisation and leaching were not considered as relevant routes for removal.</w:t>
      </w:r>
    </w:p>
    <w:p w14:paraId="15F71305" w14:textId="77777777" w:rsidR="000A229F" w:rsidRPr="00064185" w:rsidRDefault="000A229F" w:rsidP="00EA61D8">
      <w:pPr>
        <w:pStyle w:val="Textkrper2"/>
        <w:rPr>
          <w:i w:val="0"/>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7"/>
        <w:gridCol w:w="1845"/>
        <w:gridCol w:w="798"/>
        <w:gridCol w:w="1888"/>
        <w:gridCol w:w="1236"/>
        <w:gridCol w:w="1520"/>
      </w:tblGrid>
      <w:tr w:rsidR="00064185" w:rsidRPr="00064185" w14:paraId="5DBF6718" w14:textId="77777777" w:rsidTr="00A230BC">
        <w:trPr>
          <w:cantSplit/>
        </w:trPr>
        <w:tc>
          <w:tcPr>
            <w:tcW w:w="0" w:type="auto"/>
            <w:gridSpan w:val="6"/>
            <w:shd w:val="clear" w:color="auto" w:fill="FFFFCC"/>
            <w:vAlign w:val="center"/>
          </w:tcPr>
          <w:p w14:paraId="1F821DD6" w14:textId="4FB707C0" w:rsidR="00FD3751" w:rsidRPr="00064185" w:rsidRDefault="00FD3751" w:rsidP="00EA61D8">
            <w:pPr>
              <w:pStyle w:val="Textkrper21"/>
              <w:keepNext/>
              <w:keepLines/>
              <w:spacing w:before="40" w:after="40" w:line="288" w:lineRule="auto"/>
              <w:jc w:val="left"/>
              <w:rPr>
                <w:rFonts w:ascii="Verdana" w:hAnsi="Verdana"/>
                <w:b/>
                <w:bCs/>
              </w:rPr>
            </w:pPr>
            <w:r w:rsidRPr="00064185">
              <w:rPr>
                <w:rFonts w:ascii="Verdana" w:hAnsi="Verdana"/>
                <w:b/>
                <w:bCs/>
                <w:sz w:val="20"/>
              </w:rPr>
              <w:lastRenderedPageBreak/>
              <w:t>Calculation of the average concentration in soils of terrestrial ecosystems (Clocalsoil, TGD, 2003, equation 55)</w:t>
            </w:r>
          </w:p>
        </w:tc>
      </w:tr>
      <w:tr w:rsidR="00064185" w:rsidRPr="00064185" w14:paraId="51223BA5" w14:textId="77777777" w:rsidTr="002648A9">
        <w:trPr>
          <w:cantSplit/>
          <w:trHeight w:val="219"/>
        </w:trPr>
        <w:tc>
          <w:tcPr>
            <w:tcW w:w="0" w:type="auto"/>
            <w:vMerge w:val="restart"/>
            <w:vAlign w:val="center"/>
            <w:hideMark/>
          </w:tcPr>
          <w:p w14:paraId="44C3CD64" w14:textId="77777777" w:rsidR="00B469DD" w:rsidRPr="00064185" w:rsidRDefault="00B469DD" w:rsidP="00EA61D8">
            <w:pPr>
              <w:pStyle w:val="Textkrper21"/>
              <w:keepNext/>
              <w:keepLines/>
              <w:spacing w:before="40" w:after="40" w:line="288" w:lineRule="auto"/>
              <w:jc w:val="left"/>
              <w:rPr>
                <w:rFonts w:ascii="Verdana" w:hAnsi="Verdana"/>
                <w:b/>
                <w:bCs/>
                <w:sz w:val="20"/>
              </w:rPr>
            </w:pPr>
            <w:r w:rsidRPr="00064185">
              <w:rPr>
                <w:rFonts w:ascii="Verdana" w:hAnsi="Verdana"/>
                <w:b/>
                <w:bCs/>
                <w:sz w:val="20"/>
              </w:rPr>
              <w:t>Parameter</w:t>
            </w:r>
          </w:p>
        </w:tc>
        <w:tc>
          <w:tcPr>
            <w:tcW w:w="1845" w:type="dxa"/>
            <w:vMerge w:val="restart"/>
            <w:vAlign w:val="center"/>
            <w:hideMark/>
          </w:tcPr>
          <w:p w14:paraId="26AB4641" w14:textId="77777777" w:rsidR="00B469DD" w:rsidRPr="00064185" w:rsidRDefault="00B469DD" w:rsidP="00EA61D8">
            <w:pPr>
              <w:pStyle w:val="Kopfzeile-fett-zentr"/>
              <w:keepLines/>
              <w:tabs>
                <w:tab w:val="left" w:pos="708"/>
              </w:tabs>
              <w:spacing w:before="40" w:after="40" w:line="288" w:lineRule="auto"/>
              <w:jc w:val="left"/>
              <w:rPr>
                <w:rFonts w:ascii="Verdana" w:hAnsi="Verdana"/>
                <w:bCs/>
                <w:lang w:val="en-GB"/>
              </w:rPr>
            </w:pPr>
            <w:r w:rsidRPr="00064185">
              <w:rPr>
                <w:rFonts w:ascii="Verdana" w:hAnsi="Verdana"/>
                <w:bCs/>
                <w:lang w:val="en-GB"/>
              </w:rPr>
              <w:t>Definition</w:t>
            </w:r>
          </w:p>
        </w:tc>
        <w:tc>
          <w:tcPr>
            <w:tcW w:w="3578" w:type="dxa"/>
            <w:gridSpan w:val="3"/>
            <w:vAlign w:val="center"/>
            <w:hideMark/>
          </w:tcPr>
          <w:p w14:paraId="44DF9380" w14:textId="61917557" w:rsidR="00B469DD" w:rsidRPr="00064185" w:rsidRDefault="00B469DD" w:rsidP="00EA61D8">
            <w:pPr>
              <w:keepNext/>
              <w:keepLines/>
              <w:spacing w:after="40"/>
              <w:rPr>
                <w:b/>
                <w:bCs/>
              </w:rPr>
            </w:pPr>
            <w:r w:rsidRPr="00064185">
              <w:rPr>
                <w:b/>
                <w:bCs/>
              </w:rPr>
              <w:t>Indoor use</w:t>
            </w:r>
          </w:p>
        </w:tc>
        <w:tc>
          <w:tcPr>
            <w:tcW w:w="0" w:type="auto"/>
            <w:vAlign w:val="center"/>
          </w:tcPr>
          <w:p w14:paraId="13B2E5B0" w14:textId="244F79BA" w:rsidR="00B469DD" w:rsidRPr="00064185" w:rsidRDefault="00B469DD" w:rsidP="00EA61D8">
            <w:pPr>
              <w:keepNext/>
              <w:keepLines/>
              <w:spacing w:after="40"/>
              <w:rPr>
                <w:b/>
                <w:bCs/>
              </w:rPr>
            </w:pPr>
            <w:r w:rsidRPr="00064185">
              <w:rPr>
                <w:b/>
                <w:bCs/>
              </w:rPr>
              <w:t>Outdoor use</w:t>
            </w:r>
          </w:p>
        </w:tc>
      </w:tr>
      <w:tr w:rsidR="00064185" w:rsidRPr="00064185" w14:paraId="76F79715" w14:textId="77777777" w:rsidTr="002648A9">
        <w:trPr>
          <w:cantSplit/>
          <w:trHeight w:val="219"/>
        </w:trPr>
        <w:tc>
          <w:tcPr>
            <w:tcW w:w="0" w:type="auto"/>
            <w:vMerge/>
            <w:vAlign w:val="center"/>
          </w:tcPr>
          <w:p w14:paraId="234F8E46" w14:textId="77777777" w:rsidR="00B469DD" w:rsidRPr="00064185" w:rsidRDefault="00B469DD" w:rsidP="00EA61D8">
            <w:pPr>
              <w:pStyle w:val="Textkrper21"/>
              <w:keepNext/>
              <w:keepLines/>
              <w:spacing w:before="40" w:after="40" w:line="288" w:lineRule="auto"/>
              <w:jc w:val="left"/>
              <w:rPr>
                <w:rFonts w:ascii="Verdana" w:hAnsi="Verdana"/>
                <w:b/>
                <w:bCs/>
                <w:sz w:val="20"/>
              </w:rPr>
            </w:pPr>
          </w:p>
        </w:tc>
        <w:tc>
          <w:tcPr>
            <w:tcW w:w="1845" w:type="dxa"/>
            <w:vMerge/>
            <w:vAlign w:val="center"/>
          </w:tcPr>
          <w:p w14:paraId="3E11D751" w14:textId="77777777" w:rsidR="00B469DD" w:rsidRPr="00064185" w:rsidRDefault="00B469DD" w:rsidP="00EA61D8">
            <w:pPr>
              <w:pStyle w:val="Kopfzeile-fett-zentr"/>
              <w:keepLines/>
              <w:tabs>
                <w:tab w:val="left" w:pos="708"/>
              </w:tabs>
              <w:spacing w:before="40" w:after="40" w:line="288" w:lineRule="auto"/>
              <w:jc w:val="left"/>
              <w:rPr>
                <w:rFonts w:ascii="Verdana" w:hAnsi="Verdana"/>
                <w:bCs/>
                <w:lang w:val="en-GB"/>
              </w:rPr>
            </w:pPr>
          </w:p>
        </w:tc>
        <w:tc>
          <w:tcPr>
            <w:tcW w:w="798" w:type="dxa"/>
            <w:vAlign w:val="center"/>
          </w:tcPr>
          <w:p w14:paraId="3A112BB1" w14:textId="37C64946" w:rsidR="00B469DD" w:rsidRPr="00064185" w:rsidRDefault="00B469DD" w:rsidP="00EA61D8">
            <w:pPr>
              <w:keepNext/>
              <w:keepLines/>
              <w:spacing w:after="40"/>
              <w:rPr>
                <w:b/>
                <w:bCs/>
              </w:rPr>
            </w:pPr>
            <w:r w:rsidRPr="00064185">
              <w:rPr>
                <w:b/>
                <w:bCs/>
              </w:rPr>
              <w:t>Ants</w:t>
            </w:r>
          </w:p>
        </w:tc>
        <w:tc>
          <w:tcPr>
            <w:tcW w:w="1888" w:type="dxa"/>
            <w:vAlign w:val="center"/>
          </w:tcPr>
          <w:p w14:paraId="3FC5F9D2" w14:textId="4986D35C" w:rsidR="00B469DD" w:rsidRPr="00064185" w:rsidRDefault="00B469DD" w:rsidP="00EA61D8">
            <w:pPr>
              <w:keepNext/>
              <w:keepLines/>
              <w:spacing w:after="40"/>
              <w:rPr>
                <w:b/>
                <w:bCs/>
              </w:rPr>
            </w:pPr>
            <w:r w:rsidRPr="00064185">
              <w:rPr>
                <w:b/>
                <w:bCs/>
              </w:rPr>
              <w:t>Silverfish &amp; Cockroaches</w:t>
            </w:r>
          </w:p>
        </w:tc>
        <w:tc>
          <w:tcPr>
            <w:tcW w:w="0" w:type="auto"/>
            <w:vAlign w:val="center"/>
          </w:tcPr>
          <w:p w14:paraId="290DC2EF" w14:textId="54675BF1" w:rsidR="00B469DD" w:rsidRPr="00064185" w:rsidRDefault="00B469DD" w:rsidP="00EA61D8">
            <w:pPr>
              <w:keepNext/>
              <w:keepLines/>
              <w:spacing w:after="40"/>
              <w:rPr>
                <w:b/>
                <w:bCs/>
              </w:rPr>
            </w:pPr>
            <w:r w:rsidRPr="00064185">
              <w:rPr>
                <w:b/>
                <w:bCs/>
              </w:rPr>
              <w:t>Wood lice</w:t>
            </w:r>
          </w:p>
        </w:tc>
        <w:tc>
          <w:tcPr>
            <w:tcW w:w="0" w:type="auto"/>
            <w:vAlign w:val="center"/>
          </w:tcPr>
          <w:p w14:paraId="4D7E07A1" w14:textId="3B86A720" w:rsidR="00B469DD" w:rsidRPr="00064185" w:rsidRDefault="00B469DD" w:rsidP="00EA61D8">
            <w:pPr>
              <w:keepNext/>
              <w:keepLines/>
              <w:spacing w:after="40"/>
              <w:rPr>
                <w:b/>
                <w:bCs/>
              </w:rPr>
            </w:pPr>
            <w:r w:rsidRPr="00064185">
              <w:rPr>
                <w:b/>
                <w:bCs/>
              </w:rPr>
              <w:t>Ants</w:t>
            </w:r>
          </w:p>
        </w:tc>
      </w:tr>
      <w:tr w:rsidR="00064185" w:rsidRPr="00064185" w14:paraId="1B1238F7" w14:textId="77777777" w:rsidTr="002648A9">
        <w:trPr>
          <w:cantSplit/>
        </w:trPr>
        <w:tc>
          <w:tcPr>
            <w:tcW w:w="0" w:type="auto"/>
            <w:vAlign w:val="center"/>
            <w:hideMark/>
          </w:tcPr>
          <w:p w14:paraId="32580487" w14:textId="1C13B800" w:rsidR="00B469DD" w:rsidRPr="00064185" w:rsidRDefault="00B469DD" w:rsidP="00EA61D8">
            <w:pPr>
              <w:pStyle w:val="Textkrper2"/>
              <w:keepNext/>
              <w:keepLines/>
              <w:rPr>
                <w:i w:val="0"/>
                <w:color w:val="auto"/>
              </w:rPr>
            </w:pPr>
            <w:r w:rsidRPr="00064185">
              <w:rPr>
                <w:i w:val="0"/>
                <w:color w:val="auto"/>
              </w:rPr>
              <w:t xml:space="preserve">First order rate constant for removal from top soil </w:t>
            </w:r>
            <w:r w:rsidRPr="00064185">
              <w:rPr>
                <w:i w:val="0"/>
                <w:iCs/>
                <w:color w:val="auto"/>
              </w:rPr>
              <w:t>[1/d]</w:t>
            </w:r>
            <w:r w:rsidRPr="00064185">
              <w:rPr>
                <w:i w:val="0"/>
                <w:color w:val="auto"/>
              </w:rPr>
              <w:t xml:space="preserve"> </w:t>
            </w:r>
          </w:p>
        </w:tc>
        <w:tc>
          <w:tcPr>
            <w:tcW w:w="1845" w:type="dxa"/>
            <w:vAlign w:val="center"/>
            <w:hideMark/>
          </w:tcPr>
          <w:p w14:paraId="75B27818" w14:textId="77777777" w:rsidR="00B469DD" w:rsidRPr="00064185" w:rsidRDefault="00B469DD" w:rsidP="00EA61D8">
            <w:pPr>
              <w:pStyle w:val="Textkrper2"/>
              <w:keepNext/>
              <w:keepLines/>
              <w:rPr>
                <w:i w:val="0"/>
                <w:color w:val="auto"/>
              </w:rPr>
            </w:pPr>
            <w:r w:rsidRPr="00064185">
              <w:rPr>
                <w:i w:val="0"/>
                <w:color w:val="auto"/>
              </w:rPr>
              <w:t>k</w:t>
            </w:r>
          </w:p>
        </w:tc>
        <w:tc>
          <w:tcPr>
            <w:tcW w:w="4748" w:type="dxa"/>
            <w:gridSpan w:val="4"/>
            <w:vAlign w:val="center"/>
            <w:hideMark/>
          </w:tcPr>
          <w:p w14:paraId="5AB634BE" w14:textId="4AD30280" w:rsidR="00B469DD" w:rsidRPr="00064185" w:rsidRDefault="00B469DD" w:rsidP="00EA61D8">
            <w:pPr>
              <w:pStyle w:val="MathemathischeFormel"/>
              <w:keepNext/>
              <w:keepLines/>
              <w:spacing w:before="40" w:after="40" w:line="288" w:lineRule="auto"/>
              <w:jc w:val="left"/>
              <w:rPr>
                <w:rFonts w:ascii="Verdana" w:hAnsi="Verdana"/>
                <w:iCs/>
                <w:szCs w:val="20"/>
              </w:rPr>
            </w:pPr>
            <w:r w:rsidRPr="00064185">
              <w:rPr>
                <w:rFonts w:ascii="Verdana" w:hAnsi="Verdana"/>
                <w:iCs/>
              </w:rPr>
              <w:t>0.01005</w:t>
            </w:r>
          </w:p>
        </w:tc>
      </w:tr>
      <w:tr w:rsidR="00064185" w:rsidRPr="00064185" w14:paraId="49FD9275" w14:textId="77777777" w:rsidTr="002648A9">
        <w:trPr>
          <w:cantSplit/>
        </w:trPr>
        <w:tc>
          <w:tcPr>
            <w:tcW w:w="0" w:type="auto"/>
            <w:vAlign w:val="center"/>
            <w:hideMark/>
          </w:tcPr>
          <w:p w14:paraId="25200A56" w14:textId="558783AA" w:rsidR="00B469DD" w:rsidRPr="00064185" w:rsidRDefault="00B469DD" w:rsidP="00EA61D8">
            <w:pPr>
              <w:pStyle w:val="Tabellenformat"/>
              <w:keepNext/>
              <w:keepLines/>
              <w:spacing w:before="40" w:after="40" w:line="288" w:lineRule="auto"/>
              <w:rPr>
                <w:iCs/>
              </w:rPr>
            </w:pPr>
            <w:r w:rsidRPr="00064185">
              <w:rPr>
                <w:iCs/>
              </w:rPr>
              <w:t xml:space="preserve">Averaging time </w:t>
            </w:r>
            <w:r w:rsidRPr="00064185">
              <w:t>[d]</w:t>
            </w:r>
          </w:p>
        </w:tc>
        <w:tc>
          <w:tcPr>
            <w:tcW w:w="1845" w:type="dxa"/>
            <w:vAlign w:val="center"/>
            <w:hideMark/>
          </w:tcPr>
          <w:p w14:paraId="59395E55" w14:textId="77777777" w:rsidR="00B469DD" w:rsidRPr="00064185" w:rsidRDefault="00B469DD" w:rsidP="00EA61D8">
            <w:pPr>
              <w:keepNext/>
              <w:keepLines/>
              <w:spacing w:after="40"/>
            </w:pPr>
            <w:r w:rsidRPr="00064185">
              <w:t>T</w:t>
            </w:r>
          </w:p>
        </w:tc>
        <w:tc>
          <w:tcPr>
            <w:tcW w:w="4748" w:type="dxa"/>
            <w:gridSpan w:val="4"/>
            <w:vAlign w:val="center"/>
            <w:hideMark/>
          </w:tcPr>
          <w:p w14:paraId="08E4BB99" w14:textId="51917D7A" w:rsidR="00B469DD" w:rsidRPr="00064185" w:rsidRDefault="00B469DD" w:rsidP="00EA61D8">
            <w:pPr>
              <w:keepNext/>
              <w:keepLines/>
              <w:spacing w:after="40"/>
              <w:rPr>
                <w:iCs/>
              </w:rPr>
            </w:pPr>
            <w:r w:rsidRPr="00064185">
              <w:rPr>
                <w:iCs/>
              </w:rPr>
              <w:t>30</w:t>
            </w:r>
          </w:p>
        </w:tc>
      </w:tr>
      <w:tr w:rsidR="00064185" w:rsidRPr="00064185" w14:paraId="52C7DFC0" w14:textId="77777777" w:rsidTr="002648A9">
        <w:trPr>
          <w:cantSplit/>
        </w:trPr>
        <w:tc>
          <w:tcPr>
            <w:tcW w:w="0" w:type="auto"/>
            <w:vAlign w:val="center"/>
            <w:hideMark/>
          </w:tcPr>
          <w:p w14:paraId="1FE85CFC" w14:textId="72C6D976" w:rsidR="00B469DD" w:rsidRPr="00064185" w:rsidRDefault="00B469DD" w:rsidP="00EA61D8">
            <w:pPr>
              <w:pStyle w:val="Tabellenformat"/>
              <w:keepNext/>
              <w:keepLines/>
              <w:spacing w:before="40" w:after="40" w:line="288" w:lineRule="auto"/>
              <w:rPr>
                <w:iCs/>
              </w:rPr>
            </w:pPr>
            <w:r w:rsidRPr="00064185">
              <w:rPr>
                <w:iCs/>
              </w:rPr>
              <w:t xml:space="preserve">Initial concentration after sludge application </w:t>
            </w:r>
            <w:r w:rsidRPr="00064185">
              <w:t>[µg/kg]</w:t>
            </w:r>
          </w:p>
        </w:tc>
        <w:tc>
          <w:tcPr>
            <w:tcW w:w="1845" w:type="dxa"/>
            <w:vAlign w:val="center"/>
            <w:hideMark/>
          </w:tcPr>
          <w:p w14:paraId="3043F827" w14:textId="77777777" w:rsidR="00B469DD" w:rsidRPr="00064185" w:rsidRDefault="00B469DD" w:rsidP="00EA61D8">
            <w:pPr>
              <w:pStyle w:val="MathemathischeFormel"/>
              <w:keepNext/>
              <w:keepLines/>
              <w:spacing w:before="40" w:after="40" w:line="288" w:lineRule="auto"/>
              <w:jc w:val="left"/>
              <w:rPr>
                <w:rFonts w:ascii="Verdana" w:hAnsi="Verdana"/>
                <w:szCs w:val="20"/>
              </w:rPr>
            </w:pPr>
            <w:r w:rsidRPr="00064185">
              <w:rPr>
                <w:rFonts w:ascii="Verdana" w:hAnsi="Verdana"/>
                <w:szCs w:val="20"/>
              </w:rPr>
              <w:t>C</w:t>
            </w:r>
            <w:r w:rsidRPr="00064185">
              <w:rPr>
                <w:rFonts w:ascii="Verdana" w:hAnsi="Verdana"/>
                <w:szCs w:val="20"/>
                <w:vertAlign w:val="subscript"/>
              </w:rPr>
              <w:t>soil</w:t>
            </w:r>
            <w:r w:rsidRPr="00064185">
              <w:rPr>
                <w:rFonts w:ascii="Verdana" w:hAnsi="Verdana"/>
                <w:szCs w:val="20"/>
              </w:rPr>
              <w:t xml:space="preserve"> (0)</w:t>
            </w:r>
          </w:p>
        </w:tc>
        <w:tc>
          <w:tcPr>
            <w:tcW w:w="798" w:type="dxa"/>
            <w:vAlign w:val="center"/>
            <w:hideMark/>
          </w:tcPr>
          <w:p w14:paraId="2F8EEC9E" w14:textId="451334A7" w:rsidR="00B469DD" w:rsidRPr="00064185" w:rsidRDefault="008444C7" w:rsidP="00EA61D8">
            <w:pPr>
              <w:keepNext/>
              <w:keepLines/>
              <w:tabs>
                <w:tab w:val="decimal" w:pos="470"/>
                <w:tab w:val="right" w:pos="1370"/>
              </w:tabs>
              <w:spacing w:after="40"/>
            </w:pPr>
            <w:r w:rsidRPr="00064185">
              <w:t>1.25</w:t>
            </w:r>
          </w:p>
        </w:tc>
        <w:tc>
          <w:tcPr>
            <w:tcW w:w="0" w:type="auto"/>
            <w:vAlign w:val="center"/>
          </w:tcPr>
          <w:p w14:paraId="19183FDE" w14:textId="233080F5" w:rsidR="00B469DD" w:rsidRPr="00064185" w:rsidRDefault="004829D4" w:rsidP="00EA61D8">
            <w:pPr>
              <w:keepNext/>
              <w:keepLines/>
              <w:tabs>
                <w:tab w:val="decimal" w:pos="470"/>
                <w:tab w:val="right" w:pos="1370"/>
              </w:tabs>
              <w:spacing w:after="40"/>
            </w:pPr>
            <w:r w:rsidRPr="00064185">
              <w:t>9.41</w:t>
            </w:r>
          </w:p>
        </w:tc>
        <w:tc>
          <w:tcPr>
            <w:tcW w:w="0" w:type="auto"/>
            <w:vAlign w:val="center"/>
          </w:tcPr>
          <w:p w14:paraId="5256F2A7" w14:textId="4C6912F7" w:rsidR="00B469DD" w:rsidRPr="00064185" w:rsidRDefault="004829D4" w:rsidP="00EA61D8">
            <w:pPr>
              <w:keepNext/>
              <w:keepLines/>
              <w:tabs>
                <w:tab w:val="decimal" w:pos="470"/>
                <w:tab w:val="right" w:pos="1370"/>
              </w:tabs>
              <w:spacing w:after="40"/>
            </w:pPr>
            <w:r w:rsidRPr="00064185">
              <w:t>0.69</w:t>
            </w:r>
          </w:p>
        </w:tc>
        <w:tc>
          <w:tcPr>
            <w:tcW w:w="0" w:type="auto"/>
            <w:vAlign w:val="center"/>
          </w:tcPr>
          <w:p w14:paraId="3A93CA62" w14:textId="1CBA2BE0" w:rsidR="00B469DD" w:rsidRPr="00064185" w:rsidRDefault="0043674A" w:rsidP="00EA61D8">
            <w:pPr>
              <w:keepNext/>
              <w:keepLines/>
              <w:tabs>
                <w:tab w:val="decimal" w:pos="470"/>
                <w:tab w:val="right" w:pos="1370"/>
              </w:tabs>
              <w:spacing w:after="40"/>
            </w:pPr>
            <w:r w:rsidRPr="00064185">
              <w:t>0.99</w:t>
            </w:r>
          </w:p>
        </w:tc>
      </w:tr>
      <w:tr w:rsidR="00A230BC" w:rsidRPr="00064185" w14:paraId="59E2BF63" w14:textId="77777777" w:rsidTr="002648A9">
        <w:trPr>
          <w:cantSplit/>
          <w:trHeight w:val="522"/>
        </w:trPr>
        <w:tc>
          <w:tcPr>
            <w:tcW w:w="0" w:type="auto"/>
            <w:vAlign w:val="center"/>
            <w:hideMark/>
          </w:tcPr>
          <w:p w14:paraId="58DFB3E5" w14:textId="17856D51" w:rsidR="00A230BC" w:rsidRPr="00064185" w:rsidRDefault="00A230BC" w:rsidP="00EA61D8">
            <w:pPr>
              <w:keepNext/>
              <w:keepLines/>
              <w:spacing w:after="40"/>
              <w:rPr>
                <w:b/>
                <w:bCs/>
              </w:rPr>
            </w:pPr>
            <w:r w:rsidRPr="00064185">
              <w:rPr>
                <w:b/>
                <w:bCs/>
              </w:rPr>
              <w:t xml:space="preserve">Average concentration in soil over T days </w:t>
            </w:r>
            <w:r w:rsidRPr="00064185">
              <w:rPr>
                <w:b/>
              </w:rPr>
              <w:t>[µg/kg</w:t>
            </w:r>
            <w:r w:rsidRPr="00064185">
              <w:rPr>
                <w:b/>
                <w:vertAlign w:val="subscript"/>
              </w:rPr>
              <w:t>wwt</w:t>
            </w:r>
            <w:r w:rsidRPr="00064185">
              <w:rPr>
                <w:b/>
              </w:rPr>
              <w:t>]</w:t>
            </w:r>
          </w:p>
        </w:tc>
        <w:tc>
          <w:tcPr>
            <w:tcW w:w="1845" w:type="dxa"/>
            <w:vAlign w:val="center"/>
            <w:hideMark/>
          </w:tcPr>
          <w:p w14:paraId="19054EA8" w14:textId="4CB76096" w:rsidR="00A230BC" w:rsidRPr="00064185" w:rsidRDefault="00A230BC" w:rsidP="00EA61D8">
            <w:pPr>
              <w:keepNext/>
              <w:keepLines/>
              <w:spacing w:after="40"/>
              <w:rPr>
                <w:b/>
                <w:bCs/>
              </w:rPr>
            </w:pPr>
            <w:r w:rsidRPr="00064185">
              <w:rPr>
                <w:b/>
                <w:bCs/>
              </w:rPr>
              <w:t>Clocal</w:t>
            </w:r>
            <w:r w:rsidRPr="00064185">
              <w:rPr>
                <w:b/>
                <w:bCs/>
                <w:vertAlign w:val="subscript"/>
              </w:rPr>
              <w:t>soil</w:t>
            </w:r>
            <w:r w:rsidRPr="00064185">
              <w:rPr>
                <w:b/>
                <w:bCs/>
              </w:rPr>
              <w:t xml:space="preserve"> = (1/kT) x C</w:t>
            </w:r>
            <w:r w:rsidRPr="00064185">
              <w:rPr>
                <w:b/>
                <w:bCs/>
                <w:vertAlign w:val="subscript"/>
              </w:rPr>
              <w:t>soil</w:t>
            </w:r>
            <w:r w:rsidRPr="00064185">
              <w:rPr>
                <w:b/>
                <w:bCs/>
              </w:rPr>
              <w:t xml:space="preserve"> (0) x (1-e</w:t>
            </w:r>
            <w:r w:rsidRPr="00064185">
              <w:rPr>
                <w:b/>
                <w:bCs/>
                <w:vertAlign w:val="superscript"/>
              </w:rPr>
              <w:t>-kT</w:t>
            </w:r>
            <w:r w:rsidRPr="00064185">
              <w:rPr>
                <w:b/>
                <w:bCs/>
              </w:rPr>
              <w:t>)</w:t>
            </w:r>
          </w:p>
        </w:tc>
        <w:tc>
          <w:tcPr>
            <w:tcW w:w="798" w:type="dxa"/>
            <w:vAlign w:val="center"/>
            <w:hideMark/>
          </w:tcPr>
          <w:p w14:paraId="2BCB3DBC" w14:textId="54C17670" w:rsidR="00A230BC" w:rsidRPr="00064185" w:rsidRDefault="008444C7" w:rsidP="00EA61D8">
            <w:pPr>
              <w:pStyle w:val="Kopfzeile-fett-zentr"/>
              <w:keepNext/>
              <w:keepLines/>
              <w:tabs>
                <w:tab w:val="left" w:pos="708"/>
              </w:tabs>
              <w:spacing w:before="40" w:after="40" w:line="288" w:lineRule="auto"/>
              <w:jc w:val="left"/>
              <w:rPr>
                <w:rFonts w:ascii="Verdana" w:hAnsi="Verdana"/>
                <w:lang w:val="en-GB"/>
              </w:rPr>
            </w:pPr>
            <w:r w:rsidRPr="00064185">
              <w:rPr>
                <w:rFonts w:ascii="Verdana" w:hAnsi="Verdana"/>
                <w:lang w:val="en-GB"/>
              </w:rPr>
              <w:t>1.08</w:t>
            </w:r>
          </w:p>
        </w:tc>
        <w:tc>
          <w:tcPr>
            <w:tcW w:w="0" w:type="auto"/>
            <w:vAlign w:val="center"/>
          </w:tcPr>
          <w:p w14:paraId="2F0C131D" w14:textId="2DCD9311" w:rsidR="00A230BC" w:rsidRPr="00064185" w:rsidRDefault="004829D4" w:rsidP="00EA61D8">
            <w:pPr>
              <w:pStyle w:val="Kopfzeile-fett-zentr"/>
              <w:keepNext/>
              <w:keepLines/>
              <w:tabs>
                <w:tab w:val="left" w:pos="708"/>
              </w:tabs>
              <w:spacing w:before="40" w:after="40" w:line="288" w:lineRule="auto"/>
              <w:jc w:val="left"/>
              <w:rPr>
                <w:rFonts w:ascii="Verdana" w:hAnsi="Verdana"/>
                <w:lang w:val="en-GB"/>
              </w:rPr>
            </w:pPr>
            <w:r w:rsidRPr="00064185">
              <w:rPr>
                <w:rFonts w:ascii="Verdana" w:hAnsi="Verdana"/>
                <w:lang w:val="en-GB"/>
              </w:rPr>
              <w:t>8.13</w:t>
            </w:r>
          </w:p>
        </w:tc>
        <w:tc>
          <w:tcPr>
            <w:tcW w:w="0" w:type="auto"/>
            <w:vAlign w:val="center"/>
          </w:tcPr>
          <w:p w14:paraId="7D4613C0" w14:textId="6C6776D7" w:rsidR="00A230BC" w:rsidRPr="00064185" w:rsidRDefault="004829D4" w:rsidP="00EA61D8">
            <w:pPr>
              <w:pStyle w:val="Kopfzeile-fett-zentr"/>
              <w:keepNext/>
              <w:keepLines/>
              <w:tabs>
                <w:tab w:val="left" w:pos="708"/>
              </w:tabs>
              <w:spacing w:before="40" w:after="40" w:line="288" w:lineRule="auto"/>
              <w:jc w:val="left"/>
              <w:rPr>
                <w:rFonts w:ascii="Verdana" w:hAnsi="Verdana"/>
                <w:lang w:val="en-GB"/>
              </w:rPr>
            </w:pPr>
            <w:r w:rsidRPr="00064185">
              <w:rPr>
                <w:rFonts w:ascii="Verdana" w:hAnsi="Verdana"/>
                <w:lang w:val="en-GB"/>
              </w:rPr>
              <w:t>0.60</w:t>
            </w:r>
          </w:p>
        </w:tc>
        <w:tc>
          <w:tcPr>
            <w:tcW w:w="0" w:type="auto"/>
            <w:vAlign w:val="center"/>
          </w:tcPr>
          <w:p w14:paraId="7BA73D2C" w14:textId="1D7BFDE4" w:rsidR="00A230BC" w:rsidRPr="00064185" w:rsidRDefault="0043674A" w:rsidP="00EA61D8">
            <w:pPr>
              <w:pStyle w:val="Kopfzeile-fett-zentr"/>
              <w:keepNext/>
              <w:keepLines/>
              <w:tabs>
                <w:tab w:val="left" w:pos="708"/>
              </w:tabs>
              <w:spacing w:before="40" w:after="40" w:line="288" w:lineRule="auto"/>
              <w:jc w:val="left"/>
              <w:rPr>
                <w:rFonts w:ascii="Verdana" w:hAnsi="Verdana"/>
                <w:lang w:val="en-GB"/>
              </w:rPr>
            </w:pPr>
            <w:r w:rsidRPr="00064185">
              <w:rPr>
                <w:rFonts w:ascii="Verdana" w:hAnsi="Verdana"/>
                <w:lang w:val="en-GB"/>
              </w:rPr>
              <w:t>0.85</w:t>
            </w:r>
          </w:p>
        </w:tc>
      </w:tr>
    </w:tbl>
    <w:p w14:paraId="6AD52349" w14:textId="77777777" w:rsidR="000A229F" w:rsidRPr="00064185" w:rsidRDefault="000A229F" w:rsidP="00EA61D8">
      <w:pPr>
        <w:pStyle w:val="Textkrper2"/>
        <w:tabs>
          <w:tab w:val="left" w:pos="1800"/>
        </w:tabs>
        <w:ind w:left="1800" w:hanging="1800"/>
        <w:rPr>
          <w:b/>
          <w:bCs/>
          <w:i w:val="0"/>
          <w:iCs/>
          <w:color w:val="auto"/>
        </w:rPr>
      </w:pPr>
    </w:p>
    <w:p w14:paraId="0DB79E0F" w14:textId="77777777" w:rsidR="000A229F" w:rsidRPr="00064185" w:rsidRDefault="000A229F" w:rsidP="006A7704">
      <w:pPr>
        <w:jc w:val="both"/>
      </w:pPr>
      <w:r w:rsidRPr="00064185">
        <w:t xml:space="preserve">Under the prerequisite that a background concentration for </w:t>
      </w:r>
      <w:r w:rsidRPr="00064185">
        <w:rPr>
          <w:i/>
        </w:rPr>
        <w:t>lambda</w:t>
      </w:r>
      <w:r w:rsidRPr="00064185">
        <w:t>-cyhalothrin does not exist, the Clocal</w:t>
      </w:r>
      <w:r w:rsidRPr="00064185">
        <w:rPr>
          <w:vertAlign w:val="subscript"/>
        </w:rPr>
        <w:t>soil</w:t>
      </w:r>
      <w:r w:rsidRPr="00064185">
        <w:t xml:space="preserve"> values represent the PEClocal</w:t>
      </w:r>
      <w:r w:rsidRPr="00064185">
        <w:rPr>
          <w:vertAlign w:val="subscript"/>
        </w:rPr>
        <w:t>soil</w:t>
      </w:r>
      <w:r w:rsidRPr="00064185">
        <w:t xml:space="preserve"> values.</w:t>
      </w:r>
    </w:p>
    <w:p w14:paraId="583766B6" w14:textId="77777777" w:rsidR="000A229F" w:rsidRPr="00064185" w:rsidRDefault="000A229F" w:rsidP="006A7704">
      <w:pPr>
        <w:jc w:val="both"/>
        <w:rPr>
          <w:szCs w:val="22"/>
          <w:lang w:val="en-US"/>
        </w:rPr>
      </w:pPr>
    </w:p>
    <w:p w14:paraId="18C86B9E" w14:textId="77777777" w:rsidR="009F0417" w:rsidRPr="00064185" w:rsidRDefault="009F0417" w:rsidP="00EA61D8">
      <w:pPr>
        <w:rPr>
          <w:szCs w:val="22"/>
          <w:lang w:val="en-US"/>
        </w:rPr>
      </w:pPr>
    </w:p>
    <w:p w14:paraId="3CBCAA94" w14:textId="1AAEE9C3" w:rsidR="009D3353" w:rsidRPr="00064185" w:rsidRDefault="009D3353" w:rsidP="00EA61D8">
      <w:pPr>
        <w:rPr>
          <w:u w:val="single"/>
        </w:rPr>
      </w:pPr>
      <w:r w:rsidRPr="00064185">
        <w:rPr>
          <w:u w:val="single"/>
        </w:rPr>
        <w:t xml:space="preserve">Direct treatment of </w:t>
      </w:r>
      <w:r w:rsidR="00FD6ACF" w:rsidRPr="00064185">
        <w:rPr>
          <w:u w:val="single"/>
        </w:rPr>
        <w:t>target organisms</w:t>
      </w:r>
      <w:r w:rsidRPr="00064185">
        <w:rPr>
          <w:u w:val="single"/>
        </w:rPr>
        <w:t>:</w:t>
      </w:r>
    </w:p>
    <w:p w14:paraId="48A2575E" w14:textId="77777777" w:rsidR="009D3353" w:rsidRPr="00064185" w:rsidRDefault="009D3353" w:rsidP="00EA61D8">
      <w:pPr>
        <w:rPr>
          <w:u w:val="single"/>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1"/>
        <w:gridCol w:w="2335"/>
        <w:gridCol w:w="2544"/>
        <w:gridCol w:w="1234"/>
        <w:gridCol w:w="1520"/>
      </w:tblGrid>
      <w:tr w:rsidR="00064185" w:rsidRPr="00064185" w14:paraId="5B2F0C4C" w14:textId="77777777" w:rsidTr="00064759">
        <w:trPr>
          <w:cantSplit/>
          <w:trHeight w:val="471"/>
        </w:trPr>
        <w:tc>
          <w:tcPr>
            <w:tcW w:w="0" w:type="auto"/>
            <w:gridSpan w:val="5"/>
            <w:shd w:val="clear" w:color="auto" w:fill="FFFFCC"/>
            <w:vAlign w:val="center"/>
          </w:tcPr>
          <w:p w14:paraId="4471C212" w14:textId="77777777" w:rsidR="009D3353" w:rsidRPr="00064185" w:rsidRDefault="009D3353" w:rsidP="00EA61D8">
            <w:pPr>
              <w:keepNext/>
              <w:rPr>
                <w:b/>
              </w:rPr>
            </w:pPr>
            <w:r w:rsidRPr="00064185">
              <w:rPr>
                <w:b/>
              </w:rPr>
              <w:t>Calculation of the sludge concentration (TGD, 2003, Equation 36)</w:t>
            </w:r>
          </w:p>
        </w:tc>
      </w:tr>
      <w:tr w:rsidR="00064185" w:rsidRPr="00064185" w14:paraId="1F10BE6B" w14:textId="77777777" w:rsidTr="007F40AC">
        <w:trPr>
          <w:cantSplit/>
          <w:trHeight w:val="294"/>
        </w:trPr>
        <w:tc>
          <w:tcPr>
            <w:tcW w:w="0" w:type="auto"/>
            <w:vMerge w:val="restart"/>
            <w:vAlign w:val="center"/>
            <w:hideMark/>
          </w:tcPr>
          <w:p w14:paraId="36F79EB2" w14:textId="77777777" w:rsidR="009D3353" w:rsidRPr="00064185" w:rsidRDefault="009D3353" w:rsidP="00EA61D8">
            <w:pPr>
              <w:keepNext/>
              <w:rPr>
                <w:rFonts w:ascii="Arial" w:hAnsi="Arial"/>
              </w:rPr>
            </w:pPr>
            <w:r w:rsidRPr="00064185">
              <w:rPr>
                <w:b/>
              </w:rPr>
              <w:t>Parameter</w:t>
            </w:r>
          </w:p>
        </w:tc>
        <w:tc>
          <w:tcPr>
            <w:tcW w:w="2335" w:type="dxa"/>
            <w:vMerge w:val="restart"/>
            <w:vAlign w:val="center"/>
            <w:hideMark/>
          </w:tcPr>
          <w:p w14:paraId="548FD965" w14:textId="77777777" w:rsidR="009D3353" w:rsidRPr="00064185" w:rsidRDefault="009D3353" w:rsidP="00EA61D8">
            <w:pPr>
              <w:keepNext/>
              <w:rPr>
                <w:b/>
              </w:rPr>
            </w:pPr>
            <w:r w:rsidRPr="00064185">
              <w:rPr>
                <w:b/>
              </w:rPr>
              <w:t>Definition</w:t>
            </w:r>
          </w:p>
        </w:tc>
        <w:tc>
          <w:tcPr>
            <w:tcW w:w="3778" w:type="dxa"/>
            <w:gridSpan w:val="2"/>
            <w:vAlign w:val="center"/>
            <w:hideMark/>
          </w:tcPr>
          <w:p w14:paraId="2D93E384" w14:textId="77777777" w:rsidR="009D3353" w:rsidRPr="00064185" w:rsidRDefault="009D3353" w:rsidP="00EA61D8">
            <w:pPr>
              <w:keepNext/>
            </w:pPr>
            <w:r w:rsidRPr="00064185">
              <w:rPr>
                <w:b/>
                <w:bCs/>
              </w:rPr>
              <w:t>Indoor use</w:t>
            </w:r>
          </w:p>
        </w:tc>
        <w:tc>
          <w:tcPr>
            <w:tcW w:w="0" w:type="auto"/>
            <w:vAlign w:val="center"/>
          </w:tcPr>
          <w:p w14:paraId="1D8C010B" w14:textId="77777777" w:rsidR="009D3353" w:rsidRPr="00064185" w:rsidRDefault="009D3353" w:rsidP="00EA61D8">
            <w:pPr>
              <w:keepNext/>
            </w:pPr>
            <w:r w:rsidRPr="00064185">
              <w:rPr>
                <w:b/>
                <w:bCs/>
              </w:rPr>
              <w:t>Outdoor use</w:t>
            </w:r>
          </w:p>
        </w:tc>
      </w:tr>
      <w:tr w:rsidR="00064185" w:rsidRPr="00064185" w14:paraId="2EE28013" w14:textId="77777777" w:rsidTr="007F40AC">
        <w:trPr>
          <w:cantSplit/>
          <w:trHeight w:val="294"/>
        </w:trPr>
        <w:tc>
          <w:tcPr>
            <w:tcW w:w="0" w:type="auto"/>
            <w:vMerge/>
            <w:vAlign w:val="center"/>
          </w:tcPr>
          <w:p w14:paraId="6065C3EB" w14:textId="77777777" w:rsidR="007F40AC" w:rsidRPr="00064185" w:rsidRDefault="007F40AC" w:rsidP="00EA61D8">
            <w:pPr>
              <w:keepNext/>
              <w:rPr>
                <w:b/>
              </w:rPr>
            </w:pPr>
          </w:p>
        </w:tc>
        <w:tc>
          <w:tcPr>
            <w:tcW w:w="2335" w:type="dxa"/>
            <w:vMerge/>
            <w:vAlign w:val="center"/>
          </w:tcPr>
          <w:p w14:paraId="3B19FF4A" w14:textId="77777777" w:rsidR="007F40AC" w:rsidRPr="00064185" w:rsidRDefault="007F40AC" w:rsidP="00EA61D8">
            <w:pPr>
              <w:keepNext/>
              <w:rPr>
                <w:b/>
              </w:rPr>
            </w:pPr>
          </w:p>
        </w:tc>
        <w:tc>
          <w:tcPr>
            <w:tcW w:w="2544" w:type="dxa"/>
            <w:vAlign w:val="center"/>
          </w:tcPr>
          <w:p w14:paraId="589D2398" w14:textId="5391F9DD" w:rsidR="007F40AC" w:rsidRPr="00064185" w:rsidRDefault="007F40AC" w:rsidP="00EA61D8">
            <w:pPr>
              <w:keepNext/>
            </w:pPr>
            <w:r w:rsidRPr="00064185">
              <w:rPr>
                <w:b/>
                <w:bCs/>
              </w:rPr>
              <w:t>Silverfish &amp; Cockroaches</w:t>
            </w:r>
          </w:p>
        </w:tc>
        <w:tc>
          <w:tcPr>
            <w:tcW w:w="0" w:type="auto"/>
            <w:gridSpan w:val="2"/>
            <w:vAlign w:val="center"/>
          </w:tcPr>
          <w:p w14:paraId="782E9A4D" w14:textId="614EB85B" w:rsidR="007F40AC" w:rsidRPr="00064185" w:rsidRDefault="007F40AC" w:rsidP="00EA61D8">
            <w:pPr>
              <w:keepNext/>
            </w:pPr>
            <w:r w:rsidRPr="00064185">
              <w:rPr>
                <w:b/>
                <w:bCs/>
              </w:rPr>
              <w:t>Wood lice</w:t>
            </w:r>
          </w:p>
        </w:tc>
      </w:tr>
      <w:tr w:rsidR="00064185" w:rsidRPr="00064185" w14:paraId="1C9A2041" w14:textId="77777777" w:rsidTr="007F40AC">
        <w:trPr>
          <w:cantSplit/>
          <w:trHeight w:val="472"/>
        </w:trPr>
        <w:tc>
          <w:tcPr>
            <w:tcW w:w="0" w:type="auto"/>
            <w:vAlign w:val="center"/>
            <w:hideMark/>
          </w:tcPr>
          <w:p w14:paraId="4258155F" w14:textId="77777777" w:rsidR="00D06A7D" w:rsidRPr="00064185" w:rsidRDefault="00D06A7D" w:rsidP="00EA61D8">
            <w:pPr>
              <w:keepNext/>
            </w:pPr>
            <w:r w:rsidRPr="00064185">
              <w:t>Local emission rate to water during episode [g/d]</w:t>
            </w:r>
          </w:p>
        </w:tc>
        <w:tc>
          <w:tcPr>
            <w:tcW w:w="2335" w:type="dxa"/>
            <w:vAlign w:val="center"/>
            <w:hideMark/>
          </w:tcPr>
          <w:p w14:paraId="4838A764" w14:textId="77777777" w:rsidR="00D06A7D" w:rsidRPr="00064185" w:rsidRDefault="00D06A7D" w:rsidP="00EA61D8">
            <w:pPr>
              <w:keepNext/>
            </w:pPr>
            <w:r w:rsidRPr="00064185">
              <w:t>Elocal</w:t>
            </w:r>
            <w:r w:rsidRPr="00064185">
              <w:rPr>
                <w:vertAlign w:val="subscript"/>
              </w:rPr>
              <w:t>water</w:t>
            </w:r>
          </w:p>
        </w:tc>
        <w:tc>
          <w:tcPr>
            <w:tcW w:w="2544" w:type="dxa"/>
            <w:vAlign w:val="center"/>
            <w:hideMark/>
          </w:tcPr>
          <w:p w14:paraId="3749D9D4" w14:textId="45A69466" w:rsidR="00D06A7D" w:rsidRPr="00064185" w:rsidRDefault="00D06A7D" w:rsidP="00EA61D8">
            <w:pPr>
              <w:keepNext/>
              <w:keepLines/>
              <w:tabs>
                <w:tab w:val="right" w:pos="1370"/>
              </w:tabs>
              <w:spacing w:before="60" w:after="60"/>
            </w:pPr>
            <w:r w:rsidRPr="00064185">
              <w:t>6.67</w:t>
            </w:r>
          </w:p>
        </w:tc>
        <w:tc>
          <w:tcPr>
            <w:tcW w:w="0" w:type="auto"/>
            <w:gridSpan w:val="2"/>
            <w:vAlign w:val="center"/>
          </w:tcPr>
          <w:p w14:paraId="6CD40393" w14:textId="2297DD88" w:rsidR="00D06A7D" w:rsidRPr="00064185" w:rsidRDefault="00D06A7D" w:rsidP="00EA61D8">
            <w:pPr>
              <w:keepNext/>
              <w:keepLines/>
              <w:tabs>
                <w:tab w:val="right" w:pos="1370"/>
              </w:tabs>
              <w:spacing w:before="60" w:after="60"/>
            </w:pPr>
            <w:r w:rsidRPr="00064185">
              <w:t>0.68</w:t>
            </w:r>
          </w:p>
        </w:tc>
      </w:tr>
      <w:tr w:rsidR="00064185" w:rsidRPr="00064185" w14:paraId="3A767A90" w14:textId="77777777" w:rsidTr="007F40AC">
        <w:trPr>
          <w:cantSplit/>
          <w:trHeight w:val="472"/>
        </w:trPr>
        <w:tc>
          <w:tcPr>
            <w:tcW w:w="0" w:type="auto"/>
            <w:vAlign w:val="center"/>
            <w:hideMark/>
          </w:tcPr>
          <w:p w14:paraId="5FD42F35" w14:textId="77777777" w:rsidR="009D3353" w:rsidRPr="00064185" w:rsidRDefault="009D3353" w:rsidP="00EA61D8">
            <w:pPr>
              <w:keepNext/>
            </w:pPr>
            <w:r w:rsidRPr="00064185">
              <w:t>Fraction of emission directed to sludge by STP [-]</w:t>
            </w:r>
          </w:p>
        </w:tc>
        <w:tc>
          <w:tcPr>
            <w:tcW w:w="2335" w:type="dxa"/>
            <w:vAlign w:val="center"/>
            <w:hideMark/>
          </w:tcPr>
          <w:p w14:paraId="6A23FD09" w14:textId="77777777" w:rsidR="009D3353" w:rsidRPr="00064185" w:rsidRDefault="009D3353" w:rsidP="00EA61D8">
            <w:pPr>
              <w:keepNext/>
            </w:pPr>
            <w:r w:rsidRPr="00064185">
              <w:t>Fstp</w:t>
            </w:r>
            <w:r w:rsidRPr="00064185">
              <w:rPr>
                <w:vertAlign w:val="subscript"/>
              </w:rPr>
              <w:t>sludge</w:t>
            </w:r>
          </w:p>
        </w:tc>
        <w:tc>
          <w:tcPr>
            <w:tcW w:w="5298" w:type="dxa"/>
            <w:gridSpan w:val="3"/>
            <w:vAlign w:val="center"/>
            <w:hideMark/>
          </w:tcPr>
          <w:p w14:paraId="01AF3AFC" w14:textId="77777777" w:rsidR="009D3353" w:rsidRPr="00064185" w:rsidRDefault="009D3353" w:rsidP="00EA61D8">
            <w:pPr>
              <w:tabs>
                <w:tab w:val="right" w:pos="1370"/>
              </w:tabs>
              <w:spacing w:after="40"/>
            </w:pPr>
            <w:r w:rsidRPr="00064185">
              <w:t>0.909</w:t>
            </w:r>
          </w:p>
        </w:tc>
      </w:tr>
      <w:tr w:rsidR="00064185" w:rsidRPr="00064185" w14:paraId="7F2D14C1" w14:textId="77777777" w:rsidTr="007F40AC">
        <w:trPr>
          <w:cantSplit/>
          <w:trHeight w:val="472"/>
        </w:trPr>
        <w:tc>
          <w:tcPr>
            <w:tcW w:w="0" w:type="auto"/>
            <w:vAlign w:val="center"/>
            <w:hideMark/>
          </w:tcPr>
          <w:p w14:paraId="6E48B5D0" w14:textId="77777777" w:rsidR="009D3353" w:rsidRPr="00064185" w:rsidRDefault="009D3353" w:rsidP="00EA61D8">
            <w:pPr>
              <w:keepNext/>
            </w:pPr>
            <w:r w:rsidRPr="00064185">
              <w:t xml:space="preserve">Rate of sewage sludge production </w:t>
            </w:r>
            <w:r w:rsidRPr="00064185">
              <w:br/>
              <w:t>[kg/d]</w:t>
            </w:r>
          </w:p>
        </w:tc>
        <w:tc>
          <w:tcPr>
            <w:tcW w:w="2335" w:type="dxa"/>
            <w:vAlign w:val="center"/>
            <w:hideMark/>
          </w:tcPr>
          <w:p w14:paraId="7673D2B0" w14:textId="77777777" w:rsidR="009D3353" w:rsidRPr="00064185" w:rsidRDefault="009D3353" w:rsidP="00EA61D8">
            <w:pPr>
              <w:keepNext/>
            </w:pPr>
            <w:r w:rsidRPr="00064185">
              <w:t xml:space="preserve">SLUDGERATE </w:t>
            </w:r>
          </w:p>
        </w:tc>
        <w:tc>
          <w:tcPr>
            <w:tcW w:w="5298" w:type="dxa"/>
            <w:gridSpan w:val="3"/>
            <w:vAlign w:val="center"/>
            <w:hideMark/>
          </w:tcPr>
          <w:p w14:paraId="546699F4" w14:textId="77777777" w:rsidR="009D3353" w:rsidRPr="00064185" w:rsidRDefault="009D3353" w:rsidP="00EA61D8">
            <w:pPr>
              <w:tabs>
                <w:tab w:val="right" w:pos="1370"/>
              </w:tabs>
              <w:spacing w:after="40"/>
            </w:pPr>
            <w:r w:rsidRPr="00064185">
              <w:t>790</w:t>
            </w:r>
          </w:p>
        </w:tc>
      </w:tr>
      <w:tr w:rsidR="00064185" w:rsidRPr="00064185" w14:paraId="5558FE7D" w14:textId="77777777" w:rsidTr="00064759">
        <w:trPr>
          <w:cantSplit/>
          <w:trHeight w:val="472"/>
        </w:trPr>
        <w:tc>
          <w:tcPr>
            <w:tcW w:w="0" w:type="auto"/>
            <w:vAlign w:val="center"/>
            <w:hideMark/>
          </w:tcPr>
          <w:p w14:paraId="7F823EA0" w14:textId="77777777" w:rsidR="00D06A7D" w:rsidRPr="00064185" w:rsidRDefault="00D06A7D" w:rsidP="00EA61D8">
            <w:pPr>
              <w:keepNext/>
              <w:rPr>
                <w:b/>
              </w:rPr>
            </w:pPr>
            <w:r w:rsidRPr="00064185">
              <w:rPr>
                <w:b/>
              </w:rPr>
              <w:t xml:space="preserve">Concentration in dry sewage sludge </w:t>
            </w:r>
            <w:r w:rsidRPr="00064185">
              <w:rPr>
                <w:b/>
              </w:rPr>
              <w:br/>
              <w:t>[µg/kg]</w:t>
            </w:r>
          </w:p>
        </w:tc>
        <w:tc>
          <w:tcPr>
            <w:tcW w:w="2335" w:type="dxa"/>
            <w:vAlign w:val="center"/>
            <w:hideMark/>
          </w:tcPr>
          <w:p w14:paraId="42A96C8C" w14:textId="77777777" w:rsidR="00D06A7D" w:rsidRPr="00064185" w:rsidRDefault="00D06A7D" w:rsidP="00EA61D8">
            <w:pPr>
              <w:keepNext/>
              <w:rPr>
                <w:b/>
                <w:bCs/>
              </w:rPr>
            </w:pPr>
            <w:r w:rsidRPr="00064185">
              <w:rPr>
                <w:b/>
                <w:bCs/>
              </w:rPr>
              <w:t>C</w:t>
            </w:r>
            <w:r w:rsidRPr="00064185">
              <w:rPr>
                <w:b/>
                <w:bCs/>
                <w:vertAlign w:val="subscript"/>
              </w:rPr>
              <w:t xml:space="preserve">sludge  </w:t>
            </w:r>
            <w:r w:rsidRPr="00064185">
              <w:rPr>
                <w:b/>
                <w:bCs/>
              </w:rPr>
              <w:t>= Fstp</w:t>
            </w:r>
            <w:r w:rsidRPr="00064185">
              <w:rPr>
                <w:b/>
                <w:bCs/>
                <w:vertAlign w:val="subscript"/>
              </w:rPr>
              <w:t>sludge</w:t>
            </w:r>
            <w:r w:rsidRPr="00064185">
              <w:rPr>
                <w:b/>
                <w:bCs/>
              </w:rPr>
              <w:t xml:space="preserve"> × Elocal</w:t>
            </w:r>
            <w:r w:rsidRPr="00064185">
              <w:rPr>
                <w:b/>
                <w:bCs/>
                <w:vertAlign w:val="subscript"/>
              </w:rPr>
              <w:t>water</w:t>
            </w:r>
            <w:r w:rsidRPr="00064185">
              <w:rPr>
                <w:b/>
                <w:bCs/>
              </w:rPr>
              <w:t xml:space="preserve"> × 10</w:t>
            </w:r>
            <w:r w:rsidRPr="00064185">
              <w:rPr>
                <w:b/>
                <w:bCs/>
                <w:vertAlign w:val="superscript"/>
              </w:rPr>
              <w:t>6</w:t>
            </w:r>
            <w:r w:rsidRPr="00064185">
              <w:rPr>
                <w:b/>
                <w:bCs/>
              </w:rPr>
              <w:t xml:space="preserve"> × SLUDGERATE</w:t>
            </w:r>
            <w:r w:rsidRPr="00064185">
              <w:rPr>
                <w:b/>
                <w:bCs/>
                <w:vertAlign w:val="superscript"/>
              </w:rPr>
              <w:t xml:space="preserve"> -1</w:t>
            </w:r>
            <w:r w:rsidRPr="00064185">
              <w:rPr>
                <w:b/>
                <w:bCs/>
              </w:rPr>
              <w:t xml:space="preserve"> </w:t>
            </w:r>
          </w:p>
        </w:tc>
        <w:tc>
          <w:tcPr>
            <w:tcW w:w="2544" w:type="dxa"/>
            <w:vAlign w:val="center"/>
            <w:hideMark/>
          </w:tcPr>
          <w:p w14:paraId="7AB9FF8F" w14:textId="05423D2F" w:rsidR="00D06A7D" w:rsidRPr="00064185" w:rsidRDefault="00D06A7D" w:rsidP="00EA61D8">
            <w:pPr>
              <w:tabs>
                <w:tab w:val="right" w:pos="1370"/>
              </w:tabs>
              <w:spacing w:after="40"/>
              <w:rPr>
                <w:b/>
              </w:rPr>
            </w:pPr>
            <w:r w:rsidRPr="00064185">
              <w:rPr>
                <w:b/>
              </w:rPr>
              <w:t>7674</w:t>
            </w:r>
          </w:p>
        </w:tc>
        <w:tc>
          <w:tcPr>
            <w:tcW w:w="0" w:type="auto"/>
            <w:gridSpan w:val="2"/>
            <w:vAlign w:val="center"/>
          </w:tcPr>
          <w:p w14:paraId="014BD5E2" w14:textId="693C8D06" w:rsidR="00D06A7D" w:rsidRPr="00064185" w:rsidRDefault="00D06A7D" w:rsidP="00EA61D8">
            <w:pPr>
              <w:tabs>
                <w:tab w:val="right" w:pos="1370"/>
              </w:tabs>
              <w:spacing w:after="40"/>
              <w:rPr>
                <w:b/>
              </w:rPr>
            </w:pPr>
            <w:r w:rsidRPr="00064185">
              <w:rPr>
                <w:b/>
              </w:rPr>
              <w:t>782</w:t>
            </w:r>
          </w:p>
        </w:tc>
      </w:tr>
    </w:tbl>
    <w:p w14:paraId="5227F4E0" w14:textId="77777777" w:rsidR="009D3353" w:rsidRPr="00064185" w:rsidRDefault="009D3353" w:rsidP="00EA61D8"/>
    <w:p w14:paraId="61EA1728" w14:textId="77777777" w:rsidR="009D3353" w:rsidRPr="00064185" w:rsidRDefault="009D3353" w:rsidP="006A7704">
      <w:pPr>
        <w:pStyle w:val="Textkrper2"/>
        <w:jc w:val="both"/>
        <w:rPr>
          <w:i w:val="0"/>
          <w:iCs/>
          <w:color w:val="auto"/>
        </w:rPr>
      </w:pPr>
      <w:r w:rsidRPr="00064185">
        <w:rPr>
          <w:i w:val="0"/>
          <w:color w:val="auto"/>
        </w:rPr>
        <w:lastRenderedPageBreak/>
        <w:t>According to the TGD, default values were taken for the sludge application rate (5000 kg dry weight/ha/yr, corresponding to 0.5 kg/m²/yr), the soil depth (0.2 m) and the bulk density of the soil (1700 kg/m³).</w:t>
      </w:r>
    </w:p>
    <w:p w14:paraId="6C8734F1" w14:textId="77777777" w:rsidR="009D3353" w:rsidRPr="00064185" w:rsidRDefault="009D3353" w:rsidP="00EA61D8">
      <w:pPr>
        <w:pStyle w:val="Textkrper2"/>
        <w:rPr>
          <w:i w:val="0"/>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3119"/>
        <w:gridCol w:w="2410"/>
        <w:gridCol w:w="225"/>
        <w:gridCol w:w="1829"/>
      </w:tblGrid>
      <w:tr w:rsidR="00064185" w:rsidRPr="00064185" w14:paraId="1790B53F" w14:textId="77777777" w:rsidTr="00064759">
        <w:trPr>
          <w:cantSplit/>
          <w:trHeight w:val="603"/>
        </w:trPr>
        <w:tc>
          <w:tcPr>
            <w:tcW w:w="9354" w:type="dxa"/>
            <w:gridSpan w:val="5"/>
            <w:shd w:val="clear" w:color="auto" w:fill="FFFFCC"/>
            <w:vAlign w:val="center"/>
          </w:tcPr>
          <w:p w14:paraId="1A06F278" w14:textId="77777777" w:rsidR="009D3353" w:rsidRPr="00064185" w:rsidRDefault="009D3353" w:rsidP="00EA61D8">
            <w:pPr>
              <w:keepNext/>
              <w:keepLines/>
              <w:rPr>
                <w:b/>
              </w:rPr>
            </w:pPr>
            <w:r w:rsidRPr="00064185">
              <w:rPr>
                <w:b/>
              </w:rPr>
              <w:t>Calculation of concentrations in the soil following a single STP sludge concentration (TGD, 2003, equation 60)</w:t>
            </w:r>
          </w:p>
        </w:tc>
      </w:tr>
      <w:tr w:rsidR="00064185" w:rsidRPr="00064185" w14:paraId="5111277D" w14:textId="77777777" w:rsidTr="00BB6AEE">
        <w:trPr>
          <w:cantSplit/>
          <w:trHeight w:val="231"/>
        </w:trPr>
        <w:tc>
          <w:tcPr>
            <w:tcW w:w="1771" w:type="dxa"/>
            <w:vMerge w:val="restart"/>
            <w:vAlign w:val="center"/>
            <w:hideMark/>
          </w:tcPr>
          <w:p w14:paraId="2585E896" w14:textId="77777777" w:rsidR="009F0417" w:rsidRPr="00064185" w:rsidRDefault="009F0417" w:rsidP="00EA61D8">
            <w:pPr>
              <w:keepNext/>
              <w:keepLines/>
              <w:rPr>
                <w:rFonts w:ascii="Arial" w:hAnsi="Arial"/>
              </w:rPr>
            </w:pPr>
            <w:r w:rsidRPr="00064185">
              <w:rPr>
                <w:b/>
              </w:rPr>
              <w:t>Parameter</w:t>
            </w:r>
          </w:p>
        </w:tc>
        <w:tc>
          <w:tcPr>
            <w:tcW w:w="3119" w:type="dxa"/>
            <w:vMerge w:val="restart"/>
            <w:vAlign w:val="center"/>
            <w:hideMark/>
          </w:tcPr>
          <w:p w14:paraId="1D388CE6" w14:textId="77777777" w:rsidR="009F0417" w:rsidRPr="00064185" w:rsidRDefault="009F0417" w:rsidP="00EA61D8">
            <w:pPr>
              <w:keepNext/>
              <w:keepLines/>
              <w:rPr>
                <w:b/>
              </w:rPr>
            </w:pPr>
            <w:r w:rsidRPr="00064185">
              <w:rPr>
                <w:b/>
              </w:rPr>
              <w:t>Definition</w:t>
            </w:r>
          </w:p>
        </w:tc>
        <w:tc>
          <w:tcPr>
            <w:tcW w:w="4464" w:type="dxa"/>
            <w:gridSpan w:val="3"/>
            <w:vAlign w:val="center"/>
            <w:hideMark/>
          </w:tcPr>
          <w:p w14:paraId="2273D723" w14:textId="321446F1" w:rsidR="009F0417" w:rsidRPr="00064185" w:rsidRDefault="009F0417" w:rsidP="00EA61D8">
            <w:pPr>
              <w:keepNext/>
              <w:keepLines/>
              <w:spacing w:before="120" w:after="120"/>
            </w:pPr>
            <w:r w:rsidRPr="00064185">
              <w:rPr>
                <w:b/>
                <w:bCs/>
              </w:rPr>
              <w:t>Indoor use</w:t>
            </w:r>
          </w:p>
        </w:tc>
      </w:tr>
      <w:tr w:rsidR="00064185" w:rsidRPr="00064185" w14:paraId="7BF34D36" w14:textId="77777777" w:rsidTr="00BB6AEE">
        <w:trPr>
          <w:cantSplit/>
          <w:trHeight w:val="230"/>
        </w:trPr>
        <w:tc>
          <w:tcPr>
            <w:tcW w:w="1771" w:type="dxa"/>
            <w:vMerge/>
            <w:vAlign w:val="center"/>
          </w:tcPr>
          <w:p w14:paraId="1A24D515" w14:textId="77777777" w:rsidR="009F0417" w:rsidRPr="00064185" w:rsidRDefault="009F0417" w:rsidP="00EA61D8">
            <w:pPr>
              <w:keepNext/>
              <w:keepLines/>
              <w:rPr>
                <w:b/>
              </w:rPr>
            </w:pPr>
          </w:p>
        </w:tc>
        <w:tc>
          <w:tcPr>
            <w:tcW w:w="3119" w:type="dxa"/>
            <w:vMerge/>
            <w:vAlign w:val="center"/>
          </w:tcPr>
          <w:p w14:paraId="120F44F9" w14:textId="77777777" w:rsidR="009F0417" w:rsidRPr="00064185" w:rsidRDefault="009F0417" w:rsidP="00EA61D8">
            <w:pPr>
              <w:keepNext/>
              <w:keepLines/>
              <w:rPr>
                <w:b/>
              </w:rPr>
            </w:pPr>
          </w:p>
        </w:tc>
        <w:tc>
          <w:tcPr>
            <w:tcW w:w="2410" w:type="dxa"/>
            <w:vAlign w:val="center"/>
          </w:tcPr>
          <w:p w14:paraId="18B61539" w14:textId="77777777" w:rsidR="009F0417" w:rsidRPr="00064185" w:rsidRDefault="009F0417" w:rsidP="00EA61D8">
            <w:pPr>
              <w:keepNext/>
              <w:keepLines/>
            </w:pPr>
            <w:r w:rsidRPr="00064185">
              <w:rPr>
                <w:b/>
                <w:bCs/>
              </w:rPr>
              <w:t>Silverfish &amp; Cockroaches</w:t>
            </w:r>
          </w:p>
        </w:tc>
        <w:tc>
          <w:tcPr>
            <w:tcW w:w="2054" w:type="dxa"/>
            <w:gridSpan w:val="2"/>
            <w:vAlign w:val="center"/>
          </w:tcPr>
          <w:p w14:paraId="192357FD" w14:textId="43BF541C" w:rsidR="009F0417" w:rsidRPr="00064185" w:rsidRDefault="009F0417" w:rsidP="00EA61D8">
            <w:pPr>
              <w:keepNext/>
              <w:keepLines/>
            </w:pPr>
            <w:r w:rsidRPr="00064185">
              <w:rPr>
                <w:b/>
                <w:bCs/>
              </w:rPr>
              <w:t>Wood lice</w:t>
            </w:r>
          </w:p>
        </w:tc>
      </w:tr>
      <w:tr w:rsidR="00064185" w:rsidRPr="00064185" w14:paraId="17AF2D73" w14:textId="77777777" w:rsidTr="00BB6AEE">
        <w:trPr>
          <w:cantSplit/>
          <w:trHeight w:val="472"/>
        </w:trPr>
        <w:tc>
          <w:tcPr>
            <w:tcW w:w="1771" w:type="dxa"/>
            <w:vAlign w:val="center"/>
            <w:hideMark/>
          </w:tcPr>
          <w:p w14:paraId="3FE61BAF" w14:textId="77777777" w:rsidR="009F0417" w:rsidRPr="00064185" w:rsidRDefault="009F0417" w:rsidP="00EA61D8">
            <w:pPr>
              <w:keepNext/>
              <w:keepLines/>
            </w:pPr>
            <w:r w:rsidRPr="00064185">
              <w:t xml:space="preserve">Concentration in dry sewage sludge </w:t>
            </w:r>
            <w:r w:rsidRPr="00064185">
              <w:br/>
              <w:t>[µg/kg]</w:t>
            </w:r>
          </w:p>
        </w:tc>
        <w:tc>
          <w:tcPr>
            <w:tcW w:w="3119" w:type="dxa"/>
            <w:vAlign w:val="center"/>
            <w:hideMark/>
          </w:tcPr>
          <w:p w14:paraId="79C0E735" w14:textId="77777777" w:rsidR="009F0417" w:rsidRPr="00064185" w:rsidRDefault="009F0417" w:rsidP="00EA61D8">
            <w:pPr>
              <w:keepNext/>
              <w:keepLines/>
            </w:pPr>
            <w:r w:rsidRPr="00064185">
              <w:t>C</w:t>
            </w:r>
            <w:r w:rsidRPr="00064185">
              <w:rPr>
                <w:vertAlign w:val="subscript"/>
              </w:rPr>
              <w:t>sludge</w:t>
            </w:r>
          </w:p>
        </w:tc>
        <w:tc>
          <w:tcPr>
            <w:tcW w:w="2410" w:type="dxa"/>
            <w:vAlign w:val="center"/>
          </w:tcPr>
          <w:p w14:paraId="661F0D40" w14:textId="36A8B1A0" w:rsidR="009F0417" w:rsidRPr="00064185" w:rsidRDefault="009F0417" w:rsidP="00EA61D8">
            <w:pPr>
              <w:tabs>
                <w:tab w:val="right" w:pos="1370"/>
              </w:tabs>
              <w:spacing w:after="40"/>
            </w:pPr>
            <w:r w:rsidRPr="00064185">
              <w:t>7674</w:t>
            </w:r>
          </w:p>
        </w:tc>
        <w:tc>
          <w:tcPr>
            <w:tcW w:w="2054" w:type="dxa"/>
            <w:gridSpan w:val="2"/>
            <w:vAlign w:val="center"/>
          </w:tcPr>
          <w:p w14:paraId="18EB5882" w14:textId="486901D0" w:rsidR="009F0417" w:rsidRPr="00064185" w:rsidRDefault="009F0417" w:rsidP="00EA61D8">
            <w:pPr>
              <w:tabs>
                <w:tab w:val="right" w:pos="1370"/>
              </w:tabs>
              <w:spacing w:after="40"/>
            </w:pPr>
            <w:r w:rsidRPr="00064185">
              <w:t>782</w:t>
            </w:r>
          </w:p>
        </w:tc>
      </w:tr>
      <w:tr w:rsidR="00064185" w:rsidRPr="00064185" w14:paraId="53F10ADC" w14:textId="77777777" w:rsidTr="00064759">
        <w:trPr>
          <w:cantSplit/>
          <w:trHeight w:val="472"/>
        </w:trPr>
        <w:tc>
          <w:tcPr>
            <w:tcW w:w="1771" w:type="dxa"/>
            <w:vAlign w:val="center"/>
            <w:hideMark/>
          </w:tcPr>
          <w:p w14:paraId="366F4D6D" w14:textId="77777777" w:rsidR="009D3353" w:rsidRPr="00064185" w:rsidRDefault="009D3353" w:rsidP="00EA61D8">
            <w:pPr>
              <w:keepNext/>
              <w:keepLines/>
            </w:pPr>
            <w:r w:rsidRPr="00064185">
              <w:t xml:space="preserve">Dry sludge application rate </w:t>
            </w:r>
            <w:r w:rsidRPr="00064185">
              <w:br/>
              <w:t>[kg/m</w:t>
            </w:r>
            <w:r w:rsidRPr="00064185">
              <w:rPr>
                <w:vertAlign w:val="superscript"/>
              </w:rPr>
              <w:t>2</w:t>
            </w:r>
            <w:r w:rsidRPr="00064185">
              <w:t>*yr]</w:t>
            </w:r>
          </w:p>
        </w:tc>
        <w:tc>
          <w:tcPr>
            <w:tcW w:w="3119" w:type="dxa"/>
            <w:vAlign w:val="center"/>
            <w:hideMark/>
          </w:tcPr>
          <w:p w14:paraId="66FA0E5C" w14:textId="77777777" w:rsidR="009D3353" w:rsidRPr="00064185" w:rsidRDefault="009D3353" w:rsidP="00EA61D8">
            <w:pPr>
              <w:keepNext/>
              <w:keepLines/>
            </w:pPr>
            <w:r w:rsidRPr="00064185">
              <w:t>APPL</w:t>
            </w:r>
            <w:r w:rsidRPr="00064185">
              <w:rPr>
                <w:vertAlign w:val="subscript"/>
              </w:rPr>
              <w:t>sludge</w:t>
            </w:r>
          </w:p>
        </w:tc>
        <w:tc>
          <w:tcPr>
            <w:tcW w:w="4464" w:type="dxa"/>
            <w:gridSpan w:val="3"/>
            <w:vAlign w:val="center"/>
            <w:hideMark/>
          </w:tcPr>
          <w:p w14:paraId="2205CF5E" w14:textId="77777777" w:rsidR="009D3353" w:rsidRPr="00064185" w:rsidRDefault="009D3353" w:rsidP="00EA61D8">
            <w:pPr>
              <w:keepNext/>
              <w:keepLines/>
              <w:tabs>
                <w:tab w:val="decimal" w:pos="470"/>
                <w:tab w:val="right" w:pos="1370"/>
              </w:tabs>
              <w:spacing w:after="40"/>
            </w:pPr>
            <w:r w:rsidRPr="00064185">
              <w:t>0.5</w:t>
            </w:r>
          </w:p>
        </w:tc>
      </w:tr>
      <w:tr w:rsidR="00064185" w:rsidRPr="00064185" w14:paraId="6D16C56E" w14:textId="77777777" w:rsidTr="00064759">
        <w:trPr>
          <w:cantSplit/>
          <w:trHeight w:val="472"/>
        </w:trPr>
        <w:tc>
          <w:tcPr>
            <w:tcW w:w="1771" w:type="dxa"/>
            <w:vAlign w:val="center"/>
            <w:hideMark/>
          </w:tcPr>
          <w:p w14:paraId="613A7F39" w14:textId="77777777" w:rsidR="009D3353" w:rsidRPr="00064185" w:rsidRDefault="009D3353" w:rsidP="00EA61D8">
            <w:pPr>
              <w:keepNext/>
              <w:keepLines/>
            </w:pPr>
            <w:r w:rsidRPr="00064185">
              <w:t>Mixing depth of soil [m]</w:t>
            </w:r>
          </w:p>
        </w:tc>
        <w:tc>
          <w:tcPr>
            <w:tcW w:w="3119" w:type="dxa"/>
            <w:vAlign w:val="center"/>
            <w:hideMark/>
          </w:tcPr>
          <w:p w14:paraId="1C2F9DBA" w14:textId="77777777" w:rsidR="009D3353" w:rsidRPr="00064185" w:rsidRDefault="009D3353" w:rsidP="00EA61D8">
            <w:pPr>
              <w:keepNext/>
              <w:keepLines/>
              <w:rPr>
                <w:vertAlign w:val="subscript"/>
              </w:rPr>
            </w:pPr>
            <w:r w:rsidRPr="00064185">
              <w:t>DEPTH</w:t>
            </w:r>
            <w:r w:rsidRPr="00064185">
              <w:rPr>
                <w:vertAlign w:val="subscript"/>
              </w:rPr>
              <w:t>soil</w:t>
            </w:r>
          </w:p>
        </w:tc>
        <w:tc>
          <w:tcPr>
            <w:tcW w:w="4464" w:type="dxa"/>
            <w:gridSpan w:val="3"/>
            <w:vAlign w:val="center"/>
            <w:hideMark/>
          </w:tcPr>
          <w:p w14:paraId="69C2B140" w14:textId="77777777" w:rsidR="009D3353" w:rsidRPr="00064185" w:rsidRDefault="009D3353" w:rsidP="00EA61D8">
            <w:pPr>
              <w:keepNext/>
              <w:keepLines/>
              <w:tabs>
                <w:tab w:val="decimal" w:pos="470"/>
                <w:tab w:val="right" w:pos="1370"/>
              </w:tabs>
              <w:spacing w:after="40"/>
            </w:pPr>
            <w:r w:rsidRPr="00064185">
              <w:t>0.2</w:t>
            </w:r>
          </w:p>
        </w:tc>
      </w:tr>
      <w:tr w:rsidR="00064185" w:rsidRPr="00064185" w14:paraId="565332A3" w14:textId="77777777" w:rsidTr="00064759">
        <w:trPr>
          <w:cantSplit/>
          <w:trHeight w:val="472"/>
        </w:trPr>
        <w:tc>
          <w:tcPr>
            <w:tcW w:w="1771" w:type="dxa"/>
            <w:vAlign w:val="center"/>
            <w:hideMark/>
          </w:tcPr>
          <w:p w14:paraId="1DA0FD5B" w14:textId="77777777" w:rsidR="009D3353" w:rsidRPr="00064185" w:rsidRDefault="009D3353" w:rsidP="00EA61D8">
            <w:pPr>
              <w:keepNext/>
              <w:keepLines/>
            </w:pPr>
            <w:r w:rsidRPr="00064185">
              <w:t>Bulk density of soil [kg/m</w:t>
            </w:r>
            <w:r w:rsidRPr="00064185">
              <w:rPr>
                <w:vertAlign w:val="superscript"/>
              </w:rPr>
              <w:t>3</w:t>
            </w:r>
            <w:r w:rsidRPr="00064185">
              <w:t>]</w:t>
            </w:r>
          </w:p>
        </w:tc>
        <w:tc>
          <w:tcPr>
            <w:tcW w:w="3119" w:type="dxa"/>
            <w:vAlign w:val="center"/>
            <w:hideMark/>
          </w:tcPr>
          <w:p w14:paraId="44245138" w14:textId="77777777" w:rsidR="009D3353" w:rsidRPr="00064185" w:rsidRDefault="009D3353" w:rsidP="00EA61D8">
            <w:pPr>
              <w:keepNext/>
              <w:keepLines/>
            </w:pPr>
            <w:r w:rsidRPr="00064185">
              <w:t>RHO</w:t>
            </w:r>
            <w:r w:rsidRPr="00064185">
              <w:rPr>
                <w:vertAlign w:val="subscript"/>
              </w:rPr>
              <w:t>soil</w:t>
            </w:r>
          </w:p>
        </w:tc>
        <w:tc>
          <w:tcPr>
            <w:tcW w:w="4464" w:type="dxa"/>
            <w:gridSpan w:val="3"/>
            <w:vAlign w:val="center"/>
            <w:hideMark/>
          </w:tcPr>
          <w:p w14:paraId="404C9DEC" w14:textId="77777777" w:rsidR="009D3353" w:rsidRPr="00064185" w:rsidRDefault="009D3353" w:rsidP="00EA61D8">
            <w:pPr>
              <w:keepNext/>
              <w:keepLines/>
              <w:tabs>
                <w:tab w:val="decimal" w:pos="470"/>
                <w:tab w:val="right" w:pos="1370"/>
              </w:tabs>
              <w:spacing w:after="40"/>
            </w:pPr>
            <w:r w:rsidRPr="00064185">
              <w:t>1700</w:t>
            </w:r>
          </w:p>
        </w:tc>
      </w:tr>
      <w:tr w:rsidR="009F0417" w:rsidRPr="00064185" w14:paraId="52E65BE9" w14:textId="77777777" w:rsidTr="00BB6AEE">
        <w:trPr>
          <w:cantSplit/>
          <w:trHeight w:val="472"/>
        </w:trPr>
        <w:tc>
          <w:tcPr>
            <w:tcW w:w="1771" w:type="dxa"/>
            <w:vAlign w:val="center"/>
            <w:hideMark/>
          </w:tcPr>
          <w:p w14:paraId="50CA7121" w14:textId="77777777" w:rsidR="009F0417" w:rsidRPr="00064185" w:rsidRDefault="009F0417" w:rsidP="00EA61D8">
            <w:pPr>
              <w:keepNext/>
              <w:keepLines/>
              <w:rPr>
                <w:b/>
              </w:rPr>
            </w:pPr>
            <w:r w:rsidRPr="00064185">
              <w:rPr>
                <w:b/>
              </w:rPr>
              <w:t>Concentration in soil due to sludge in first year at t=0 [µg/kg]</w:t>
            </w:r>
          </w:p>
        </w:tc>
        <w:tc>
          <w:tcPr>
            <w:tcW w:w="3119" w:type="dxa"/>
            <w:vAlign w:val="center"/>
            <w:hideMark/>
          </w:tcPr>
          <w:p w14:paraId="0162D7A2" w14:textId="77777777" w:rsidR="009F0417" w:rsidRPr="00064185" w:rsidRDefault="009F0417" w:rsidP="00EA61D8">
            <w:pPr>
              <w:keepNext/>
              <w:keepLines/>
              <w:rPr>
                <w:b/>
              </w:rPr>
            </w:pPr>
            <w:r w:rsidRPr="00064185">
              <w:rPr>
                <w:position w:val="-30"/>
                <w:vertAlign w:val="subscript"/>
              </w:rPr>
              <w:object w:dxaOrig="3510" w:dyaOrig="660" w14:anchorId="456B8AB5">
                <v:shape id="_x0000_i1030" type="#_x0000_t75" style="width:152.25pt;height:24pt" o:ole="" fillcolor="window">
                  <v:imagedata r:id="rId24" o:title=""/>
                </v:shape>
                <o:OLEObject Type="Embed" ProgID="Equation.3" ShapeID="_x0000_i1030" DrawAspect="Content" ObjectID="_1614069664" r:id="rId28"/>
              </w:object>
            </w:r>
          </w:p>
        </w:tc>
        <w:tc>
          <w:tcPr>
            <w:tcW w:w="2635" w:type="dxa"/>
            <w:gridSpan w:val="2"/>
            <w:vAlign w:val="center"/>
            <w:hideMark/>
          </w:tcPr>
          <w:p w14:paraId="6C4AB113" w14:textId="073C7247" w:rsidR="009F0417" w:rsidRPr="00064185" w:rsidRDefault="009F0417" w:rsidP="00EA61D8">
            <w:pPr>
              <w:keepNext/>
              <w:keepLines/>
              <w:tabs>
                <w:tab w:val="decimal" w:pos="470"/>
                <w:tab w:val="right" w:pos="1370"/>
              </w:tabs>
              <w:spacing w:after="40"/>
              <w:rPr>
                <w:b/>
              </w:rPr>
            </w:pPr>
            <w:r w:rsidRPr="00064185">
              <w:rPr>
                <w:b/>
              </w:rPr>
              <w:t>11</w:t>
            </w:r>
          </w:p>
        </w:tc>
        <w:tc>
          <w:tcPr>
            <w:tcW w:w="1829" w:type="dxa"/>
            <w:vAlign w:val="center"/>
          </w:tcPr>
          <w:p w14:paraId="036EF62A" w14:textId="2591B9A2" w:rsidR="009F0417" w:rsidRPr="00064185" w:rsidRDefault="009F0417" w:rsidP="00EA61D8">
            <w:pPr>
              <w:keepNext/>
              <w:keepLines/>
              <w:tabs>
                <w:tab w:val="decimal" w:pos="470"/>
                <w:tab w:val="right" w:pos="1370"/>
              </w:tabs>
              <w:spacing w:after="40"/>
              <w:rPr>
                <w:b/>
              </w:rPr>
            </w:pPr>
            <w:r w:rsidRPr="00064185">
              <w:rPr>
                <w:b/>
              </w:rPr>
              <w:t>1.15</w:t>
            </w:r>
          </w:p>
        </w:tc>
      </w:tr>
    </w:tbl>
    <w:p w14:paraId="6A60CB64" w14:textId="77777777" w:rsidR="009D3353" w:rsidRPr="00064185" w:rsidRDefault="009D3353" w:rsidP="00EA61D8">
      <w:pPr>
        <w:pStyle w:val="Textkrper2"/>
        <w:keepNext/>
        <w:keepLines/>
        <w:rPr>
          <w:i w:val="0"/>
          <w:color w:val="auto"/>
        </w:rPr>
      </w:pPr>
    </w:p>
    <w:p w14:paraId="1E679BB0" w14:textId="77777777" w:rsidR="009D3353" w:rsidRPr="00064185" w:rsidRDefault="009D3353" w:rsidP="006A7704">
      <w:pPr>
        <w:pStyle w:val="Textkrper2"/>
        <w:jc w:val="both"/>
        <w:rPr>
          <w:i w:val="0"/>
          <w:color w:val="auto"/>
        </w:rPr>
      </w:pPr>
      <w:r w:rsidRPr="00064185">
        <w:rPr>
          <w:i w:val="0"/>
          <w:color w:val="auto"/>
        </w:rPr>
        <w:t xml:space="preserve">As a worst-case assumption for exposure, it is assumed that sludge applications take place for 10 consecutive years, each with one application. The fraction of </w:t>
      </w:r>
      <w:r w:rsidRPr="00064185">
        <w:rPr>
          <w:color w:val="auto"/>
          <w:szCs w:val="22"/>
        </w:rPr>
        <w:t>lambda</w:t>
      </w:r>
      <w:r w:rsidRPr="00064185">
        <w:rPr>
          <w:i w:val="0"/>
          <w:color w:val="auto"/>
          <w:szCs w:val="22"/>
        </w:rPr>
        <w:t>-cyhalothrin</w:t>
      </w:r>
      <w:r w:rsidRPr="00064185">
        <w:rPr>
          <w:i w:val="0"/>
          <w:color w:val="auto"/>
        </w:rPr>
        <w:t xml:space="preserve"> that remains in the top soil layer one year after an application is given in the table below. For the calculation of the rate (k), a DT</w:t>
      </w:r>
      <w:r w:rsidRPr="00064185">
        <w:rPr>
          <w:i w:val="0"/>
          <w:color w:val="auto"/>
          <w:vertAlign w:val="subscript"/>
        </w:rPr>
        <w:t>50</w:t>
      </w:r>
      <w:r w:rsidRPr="00064185">
        <w:rPr>
          <w:i w:val="0"/>
          <w:color w:val="auto"/>
        </w:rPr>
        <w:t xml:space="preserve"> in soils of 69 days is considered.</w:t>
      </w:r>
    </w:p>
    <w:p w14:paraId="07CC790C" w14:textId="77777777" w:rsidR="009D3353" w:rsidRPr="00064185" w:rsidRDefault="009D3353" w:rsidP="00EA61D8">
      <w:pPr>
        <w:pStyle w:val="Textkrper2"/>
        <w:rPr>
          <w:i w:val="0"/>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5"/>
        <w:gridCol w:w="1740"/>
        <w:gridCol w:w="1959"/>
      </w:tblGrid>
      <w:tr w:rsidR="00064185" w:rsidRPr="00064185" w14:paraId="701CFF14" w14:textId="77777777" w:rsidTr="00064759">
        <w:tc>
          <w:tcPr>
            <w:tcW w:w="5000" w:type="pct"/>
            <w:gridSpan w:val="3"/>
            <w:shd w:val="clear" w:color="auto" w:fill="FFFFCC"/>
            <w:vAlign w:val="center"/>
          </w:tcPr>
          <w:p w14:paraId="4A4C671F" w14:textId="77777777" w:rsidR="009D3353" w:rsidRPr="00064185" w:rsidRDefault="009D3353" w:rsidP="00EA61D8">
            <w:pPr>
              <w:pStyle w:val="Textkrper2"/>
              <w:keepNext/>
              <w:keepLines/>
              <w:rPr>
                <w:b/>
                <w:bCs/>
                <w:i w:val="0"/>
                <w:color w:val="auto"/>
              </w:rPr>
            </w:pPr>
            <w:r w:rsidRPr="00064185">
              <w:rPr>
                <w:b/>
                <w:bCs/>
                <w:i w:val="0"/>
                <w:color w:val="auto"/>
              </w:rPr>
              <w:t>Calculation of the accumulated active substance fraction remaining in soils one year following a sludge application (TGD, 2003, equation 61)</w:t>
            </w:r>
          </w:p>
        </w:tc>
      </w:tr>
      <w:tr w:rsidR="00064185" w:rsidRPr="00064185" w14:paraId="26D8472D" w14:textId="77777777" w:rsidTr="00064759">
        <w:tc>
          <w:tcPr>
            <w:tcW w:w="3023" w:type="pct"/>
            <w:vAlign w:val="center"/>
            <w:hideMark/>
          </w:tcPr>
          <w:p w14:paraId="237294E8" w14:textId="77777777" w:rsidR="009D3353" w:rsidRPr="00064185" w:rsidRDefault="009D3353" w:rsidP="00EA61D8">
            <w:pPr>
              <w:pStyle w:val="Textkrper2"/>
              <w:keepNext/>
              <w:keepLines/>
              <w:rPr>
                <w:b/>
                <w:bCs/>
                <w:i w:val="0"/>
                <w:color w:val="auto"/>
              </w:rPr>
            </w:pPr>
            <w:r w:rsidRPr="00064185">
              <w:rPr>
                <w:b/>
                <w:bCs/>
                <w:i w:val="0"/>
                <w:color w:val="auto"/>
              </w:rPr>
              <w:t>Parameter</w:t>
            </w:r>
          </w:p>
        </w:tc>
        <w:tc>
          <w:tcPr>
            <w:tcW w:w="930" w:type="pct"/>
            <w:vAlign w:val="center"/>
            <w:hideMark/>
          </w:tcPr>
          <w:p w14:paraId="7DC75ED2" w14:textId="77777777" w:rsidR="009D3353" w:rsidRPr="00064185" w:rsidRDefault="009D3353" w:rsidP="00EA61D8">
            <w:pPr>
              <w:pStyle w:val="Textkrper2"/>
              <w:keepNext/>
              <w:keepLines/>
              <w:rPr>
                <w:b/>
                <w:bCs/>
                <w:i w:val="0"/>
                <w:color w:val="auto"/>
              </w:rPr>
            </w:pPr>
            <w:r w:rsidRPr="00064185">
              <w:rPr>
                <w:b/>
                <w:bCs/>
                <w:i w:val="0"/>
                <w:color w:val="auto"/>
              </w:rPr>
              <w:t>Definition</w:t>
            </w:r>
          </w:p>
        </w:tc>
        <w:tc>
          <w:tcPr>
            <w:tcW w:w="1047" w:type="pct"/>
            <w:vAlign w:val="center"/>
            <w:hideMark/>
          </w:tcPr>
          <w:p w14:paraId="648D969F" w14:textId="77777777" w:rsidR="009D3353" w:rsidRPr="00064185" w:rsidRDefault="009D3353" w:rsidP="00EA61D8">
            <w:pPr>
              <w:pStyle w:val="Textkrper2"/>
              <w:keepNext/>
              <w:keepLines/>
              <w:rPr>
                <w:b/>
                <w:bCs/>
                <w:i w:val="0"/>
                <w:color w:val="auto"/>
              </w:rPr>
            </w:pPr>
            <w:r w:rsidRPr="00064185">
              <w:rPr>
                <w:b/>
                <w:bCs/>
                <w:i w:val="0"/>
                <w:color w:val="auto"/>
              </w:rPr>
              <w:t>Value</w:t>
            </w:r>
          </w:p>
        </w:tc>
      </w:tr>
      <w:tr w:rsidR="00064185" w:rsidRPr="00064185" w14:paraId="07D07538" w14:textId="77777777" w:rsidTr="00064759">
        <w:tc>
          <w:tcPr>
            <w:tcW w:w="3023" w:type="pct"/>
            <w:vAlign w:val="center"/>
            <w:hideMark/>
          </w:tcPr>
          <w:p w14:paraId="522F5506" w14:textId="77777777" w:rsidR="009D3353" w:rsidRPr="00064185" w:rsidRDefault="009D3353" w:rsidP="00EA61D8">
            <w:pPr>
              <w:pStyle w:val="Textkrper2"/>
              <w:keepNext/>
              <w:keepLines/>
              <w:rPr>
                <w:i w:val="0"/>
                <w:color w:val="auto"/>
              </w:rPr>
            </w:pPr>
            <w:r w:rsidRPr="00064185">
              <w:rPr>
                <w:i w:val="0"/>
                <w:color w:val="auto"/>
              </w:rPr>
              <w:t xml:space="preserve">First order rate constant for removal from top soil </w:t>
            </w:r>
            <w:r w:rsidRPr="00064185">
              <w:rPr>
                <w:i w:val="0"/>
                <w:iCs/>
                <w:color w:val="auto"/>
              </w:rPr>
              <w:t>[1/d]</w:t>
            </w:r>
            <w:r w:rsidRPr="00064185">
              <w:rPr>
                <w:i w:val="0"/>
                <w:color w:val="auto"/>
              </w:rPr>
              <w:t xml:space="preserve"> </w:t>
            </w:r>
          </w:p>
        </w:tc>
        <w:tc>
          <w:tcPr>
            <w:tcW w:w="930" w:type="pct"/>
            <w:vAlign w:val="center"/>
            <w:hideMark/>
          </w:tcPr>
          <w:p w14:paraId="7CDDB28C" w14:textId="77777777" w:rsidR="009D3353" w:rsidRPr="00064185" w:rsidRDefault="009D3353" w:rsidP="00EA61D8">
            <w:pPr>
              <w:pStyle w:val="Textkrper2"/>
              <w:keepNext/>
              <w:keepLines/>
              <w:rPr>
                <w:i w:val="0"/>
                <w:color w:val="auto"/>
              </w:rPr>
            </w:pPr>
            <w:r w:rsidRPr="00064185">
              <w:rPr>
                <w:i w:val="0"/>
                <w:color w:val="auto"/>
              </w:rPr>
              <w:t>k</w:t>
            </w:r>
          </w:p>
        </w:tc>
        <w:tc>
          <w:tcPr>
            <w:tcW w:w="1047" w:type="pct"/>
            <w:vAlign w:val="center"/>
            <w:hideMark/>
          </w:tcPr>
          <w:p w14:paraId="6017B039" w14:textId="77777777" w:rsidR="009D3353" w:rsidRPr="00064185" w:rsidRDefault="009D3353" w:rsidP="00EA61D8">
            <w:pPr>
              <w:pStyle w:val="Textkrper2"/>
              <w:keepNext/>
              <w:keepLines/>
              <w:rPr>
                <w:i w:val="0"/>
                <w:color w:val="auto"/>
              </w:rPr>
            </w:pPr>
            <w:r w:rsidRPr="00064185">
              <w:rPr>
                <w:i w:val="0"/>
                <w:color w:val="auto"/>
              </w:rPr>
              <w:t>0.01005</w:t>
            </w:r>
          </w:p>
        </w:tc>
      </w:tr>
      <w:tr w:rsidR="009D3353" w:rsidRPr="00064185" w14:paraId="14DC75E1" w14:textId="77777777" w:rsidTr="00064759">
        <w:tc>
          <w:tcPr>
            <w:tcW w:w="3023" w:type="pct"/>
            <w:vAlign w:val="center"/>
            <w:hideMark/>
          </w:tcPr>
          <w:p w14:paraId="632D9825" w14:textId="77777777" w:rsidR="009D3353" w:rsidRPr="00064185" w:rsidRDefault="009D3353" w:rsidP="00EA61D8">
            <w:pPr>
              <w:pStyle w:val="Textkrper2"/>
              <w:keepNext/>
              <w:keepLines/>
              <w:rPr>
                <w:b/>
                <w:bCs/>
                <w:i w:val="0"/>
                <w:color w:val="auto"/>
              </w:rPr>
            </w:pPr>
            <w:r w:rsidRPr="00064185">
              <w:rPr>
                <w:b/>
                <w:bCs/>
                <w:i w:val="0"/>
                <w:color w:val="auto"/>
              </w:rPr>
              <w:t xml:space="preserve">Fraction accumulation in one year </w:t>
            </w:r>
            <w:r w:rsidRPr="00064185">
              <w:rPr>
                <w:b/>
                <w:bCs/>
                <w:i w:val="0"/>
                <w:iCs/>
                <w:color w:val="auto"/>
              </w:rPr>
              <w:t>[-]</w:t>
            </w:r>
          </w:p>
        </w:tc>
        <w:tc>
          <w:tcPr>
            <w:tcW w:w="930" w:type="pct"/>
            <w:vAlign w:val="center"/>
            <w:hideMark/>
          </w:tcPr>
          <w:p w14:paraId="6732A31F" w14:textId="77777777" w:rsidR="009D3353" w:rsidRPr="00064185" w:rsidRDefault="009D3353" w:rsidP="00EA61D8">
            <w:pPr>
              <w:pStyle w:val="Textkrper2"/>
              <w:keepNext/>
              <w:keepLines/>
              <w:rPr>
                <w:b/>
                <w:bCs/>
                <w:i w:val="0"/>
                <w:color w:val="auto"/>
              </w:rPr>
            </w:pPr>
            <w:r w:rsidRPr="00064185">
              <w:rPr>
                <w:b/>
                <w:bCs/>
                <w:i w:val="0"/>
                <w:color w:val="auto"/>
              </w:rPr>
              <w:t>Facc = e</w:t>
            </w:r>
            <w:r w:rsidRPr="00064185">
              <w:rPr>
                <w:b/>
                <w:bCs/>
                <w:i w:val="0"/>
                <w:color w:val="auto"/>
                <w:vertAlign w:val="superscript"/>
              </w:rPr>
              <w:t>-365k</w:t>
            </w:r>
          </w:p>
        </w:tc>
        <w:tc>
          <w:tcPr>
            <w:tcW w:w="1047" w:type="pct"/>
            <w:vAlign w:val="center"/>
            <w:hideMark/>
          </w:tcPr>
          <w:p w14:paraId="1CA8DABE" w14:textId="77777777" w:rsidR="009D3353" w:rsidRPr="00064185" w:rsidRDefault="009D3353" w:rsidP="00EA61D8">
            <w:pPr>
              <w:pStyle w:val="Textkrper2"/>
              <w:keepNext/>
              <w:keepLines/>
              <w:rPr>
                <w:b/>
                <w:bCs/>
                <w:i w:val="0"/>
                <w:color w:val="auto"/>
              </w:rPr>
            </w:pPr>
            <w:r w:rsidRPr="00064185">
              <w:rPr>
                <w:b/>
                <w:bCs/>
                <w:i w:val="0"/>
                <w:color w:val="auto"/>
              </w:rPr>
              <w:t>0.025562</w:t>
            </w:r>
          </w:p>
        </w:tc>
      </w:tr>
    </w:tbl>
    <w:p w14:paraId="68A2FDD2" w14:textId="77777777" w:rsidR="009D3353" w:rsidRPr="00064185" w:rsidRDefault="009D3353" w:rsidP="00EA61D8">
      <w:pPr>
        <w:pStyle w:val="Textkrper2"/>
        <w:rPr>
          <w:i w:val="0"/>
          <w:color w:val="auto"/>
        </w:rPr>
      </w:pPr>
    </w:p>
    <w:p w14:paraId="65E46945" w14:textId="1C6E935D" w:rsidR="009F0417" w:rsidRPr="00064185" w:rsidRDefault="009F0417" w:rsidP="00EA61D8">
      <w:pPr>
        <w:pStyle w:val="Textkrper2"/>
        <w:rPr>
          <w:i w:val="0"/>
          <w:color w:val="auto"/>
        </w:rPr>
      </w:pPr>
    </w:p>
    <w:p w14:paraId="6A21595F" w14:textId="77777777" w:rsidR="009F0417" w:rsidRPr="00064185" w:rsidRDefault="009F0417" w:rsidP="00EA61D8">
      <w:pPr>
        <w:pStyle w:val="Textkrper2"/>
        <w:rPr>
          <w:i w:val="0"/>
          <w:color w:val="auto"/>
        </w:rPr>
      </w:pPr>
    </w:p>
    <w:p w14:paraId="1F6C6838" w14:textId="77777777" w:rsidR="009F0417" w:rsidRPr="00064185" w:rsidRDefault="009F0417" w:rsidP="00EA61D8">
      <w:pPr>
        <w:pStyle w:val="Textkrper2"/>
        <w:rPr>
          <w:i w:val="0"/>
          <w:color w:val="auto"/>
        </w:rPr>
      </w:pPr>
    </w:p>
    <w:p w14:paraId="16A0B591" w14:textId="77777777" w:rsidR="009F0417" w:rsidRPr="00064185" w:rsidRDefault="009F0417" w:rsidP="00EA61D8">
      <w:pPr>
        <w:pStyle w:val="Textkrper2"/>
        <w:rPr>
          <w:i w:val="0"/>
          <w:color w:val="auto"/>
        </w:rPr>
      </w:pPr>
    </w:p>
    <w:p w14:paraId="5E21D558" w14:textId="77777777" w:rsidR="009F0417" w:rsidRPr="00064185" w:rsidRDefault="009F0417" w:rsidP="00EA61D8">
      <w:pPr>
        <w:pStyle w:val="Textkrper2"/>
        <w:rPr>
          <w:i w:val="0"/>
          <w:color w:val="auto"/>
        </w:rPr>
      </w:pPr>
    </w:p>
    <w:p w14:paraId="7CE5EB6B" w14:textId="77777777" w:rsidR="009F0417" w:rsidRPr="00064185" w:rsidRDefault="009F0417" w:rsidP="00EA61D8">
      <w:pPr>
        <w:pStyle w:val="Textkrper2"/>
        <w:rPr>
          <w:i w:val="0"/>
          <w:color w:val="auto"/>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23"/>
        <w:gridCol w:w="1825"/>
        <w:gridCol w:w="2711"/>
        <w:gridCol w:w="2025"/>
      </w:tblGrid>
      <w:tr w:rsidR="00064185" w:rsidRPr="00064185" w14:paraId="50D0D35D" w14:textId="77777777" w:rsidTr="00064759">
        <w:trPr>
          <w:cantSplit/>
        </w:trPr>
        <w:tc>
          <w:tcPr>
            <w:tcW w:w="9284" w:type="dxa"/>
            <w:gridSpan w:val="4"/>
            <w:shd w:val="clear" w:color="auto" w:fill="FFFFCC"/>
            <w:vAlign w:val="center"/>
          </w:tcPr>
          <w:p w14:paraId="4FF04D43" w14:textId="77777777" w:rsidR="009D3353" w:rsidRPr="00064185" w:rsidRDefault="009D3353" w:rsidP="00EA61D8">
            <w:pPr>
              <w:pStyle w:val="Textkrper21"/>
              <w:keepNext/>
              <w:keepLines/>
              <w:widowControl w:val="0"/>
              <w:spacing w:before="40" w:after="40" w:line="288" w:lineRule="auto"/>
              <w:jc w:val="left"/>
              <w:rPr>
                <w:rFonts w:ascii="Verdana" w:hAnsi="Verdana"/>
                <w:b/>
                <w:bCs/>
                <w:sz w:val="20"/>
              </w:rPr>
            </w:pPr>
            <w:r w:rsidRPr="00064185">
              <w:rPr>
                <w:rFonts w:ascii="Verdana" w:hAnsi="Verdana"/>
                <w:b/>
                <w:bCs/>
                <w:sz w:val="20"/>
              </w:rPr>
              <w:lastRenderedPageBreak/>
              <w:t>Calculation of soil concentrations following a one-fold sludge application in each of ten years (concentration immediately after the tenth application, TGD, 2003, equation 62)</w:t>
            </w:r>
          </w:p>
        </w:tc>
      </w:tr>
      <w:tr w:rsidR="00064185" w:rsidRPr="00064185" w14:paraId="64A5F77F" w14:textId="77777777" w:rsidTr="00BB6AEE">
        <w:trPr>
          <w:cantSplit/>
          <w:trHeight w:val="202"/>
        </w:trPr>
        <w:tc>
          <w:tcPr>
            <w:tcW w:w="2723" w:type="dxa"/>
            <w:vMerge w:val="restart"/>
            <w:vAlign w:val="center"/>
            <w:hideMark/>
          </w:tcPr>
          <w:p w14:paraId="76497052" w14:textId="77777777" w:rsidR="000456CD" w:rsidRPr="00064185" w:rsidRDefault="000456CD" w:rsidP="00EA61D8">
            <w:pPr>
              <w:pStyle w:val="Textkrper21"/>
              <w:keepNext/>
              <w:keepLines/>
              <w:widowControl w:val="0"/>
              <w:spacing w:before="40" w:after="40" w:line="288" w:lineRule="auto"/>
              <w:jc w:val="left"/>
              <w:rPr>
                <w:rFonts w:ascii="Verdana" w:hAnsi="Verdana"/>
                <w:b/>
                <w:bCs/>
                <w:sz w:val="20"/>
              </w:rPr>
            </w:pPr>
            <w:r w:rsidRPr="00064185">
              <w:rPr>
                <w:rFonts w:ascii="Verdana" w:hAnsi="Verdana"/>
                <w:b/>
                <w:bCs/>
                <w:sz w:val="20"/>
              </w:rPr>
              <w:t>Parameter</w:t>
            </w:r>
          </w:p>
        </w:tc>
        <w:tc>
          <w:tcPr>
            <w:tcW w:w="1825" w:type="dxa"/>
            <w:vMerge w:val="restart"/>
            <w:vAlign w:val="center"/>
            <w:hideMark/>
          </w:tcPr>
          <w:p w14:paraId="7A66FC50" w14:textId="77777777" w:rsidR="000456CD" w:rsidRPr="00064185" w:rsidRDefault="000456CD" w:rsidP="00EA61D8">
            <w:pPr>
              <w:pStyle w:val="Kopfzeile-fett-zentr"/>
              <w:keepNext/>
              <w:keepLines/>
              <w:widowControl w:val="0"/>
              <w:tabs>
                <w:tab w:val="left" w:pos="708"/>
              </w:tabs>
              <w:spacing w:before="40" w:after="40" w:line="288" w:lineRule="auto"/>
              <w:jc w:val="left"/>
              <w:rPr>
                <w:rFonts w:ascii="Verdana" w:hAnsi="Verdana"/>
                <w:bCs/>
                <w:lang w:val="en-GB"/>
              </w:rPr>
            </w:pPr>
            <w:r w:rsidRPr="00064185">
              <w:rPr>
                <w:rFonts w:ascii="Verdana" w:hAnsi="Verdana"/>
                <w:bCs/>
                <w:lang w:val="en-GB"/>
              </w:rPr>
              <w:t>Definition</w:t>
            </w:r>
          </w:p>
        </w:tc>
        <w:tc>
          <w:tcPr>
            <w:tcW w:w="4736" w:type="dxa"/>
            <w:gridSpan w:val="2"/>
            <w:vAlign w:val="center"/>
            <w:hideMark/>
          </w:tcPr>
          <w:p w14:paraId="4C4DEDBB" w14:textId="7B185DED" w:rsidR="000456CD" w:rsidRPr="00064185" w:rsidRDefault="000456CD" w:rsidP="00EA61D8">
            <w:pPr>
              <w:keepNext/>
              <w:keepLines/>
              <w:widowControl w:val="0"/>
              <w:spacing w:before="120" w:after="120"/>
              <w:rPr>
                <w:b/>
                <w:bCs/>
              </w:rPr>
            </w:pPr>
            <w:r w:rsidRPr="00064185">
              <w:rPr>
                <w:b/>
                <w:bCs/>
              </w:rPr>
              <w:t>Indoor use</w:t>
            </w:r>
          </w:p>
        </w:tc>
      </w:tr>
      <w:tr w:rsidR="00064185" w:rsidRPr="00064185" w14:paraId="704833F4" w14:textId="77777777" w:rsidTr="00064759">
        <w:trPr>
          <w:cantSplit/>
          <w:trHeight w:val="201"/>
        </w:trPr>
        <w:tc>
          <w:tcPr>
            <w:tcW w:w="2723" w:type="dxa"/>
            <w:vMerge/>
            <w:vAlign w:val="center"/>
          </w:tcPr>
          <w:p w14:paraId="4E14B7CD" w14:textId="77777777" w:rsidR="007F40AC" w:rsidRPr="00064185" w:rsidRDefault="007F40AC" w:rsidP="00EA61D8">
            <w:pPr>
              <w:pStyle w:val="Textkrper21"/>
              <w:keepNext/>
              <w:keepLines/>
              <w:widowControl w:val="0"/>
              <w:spacing w:before="40" w:after="40" w:line="288" w:lineRule="auto"/>
              <w:jc w:val="left"/>
              <w:rPr>
                <w:rFonts w:ascii="Verdana" w:hAnsi="Verdana"/>
                <w:b/>
                <w:bCs/>
                <w:sz w:val="20"/>
              </w:rPr>
            </w:pPr>
          </w:p>
        </w:tc>
        <w:tc>
          <w:tcPr>
            <w:tcW w:w="1825" w:type="dxa"/>
            <w:vMerge/>
            <w:vAlign w:val="center"/>
          </w:tcPr>
          <w:p w14:paraId="0BDC0632" w14:textId="77777777" w:rsidR="007F40AC" w:rsidRPr="00064185" w:rsidRDefault="007F40AC" w:rsidP="00EA61D8">
            <w:pPr>
              <w:pStyle w:val="Kopfzeile-fett-zentr"/>
              <w:keepNext/>
              <w:keepLines/>
              <w:widowControl w:val="0"/>
              <w:tabs>
                <w:tab w:val="left" w:pos="708"/>
              </w:tabs>
              <w:spacing w:before="40" w:after="40" w:line="288" w:lineRule="auto"/>
              <w:jc w:val="left"/>
              <w:rPr>
                <w:rFonts w:ascii="Verdana" w:hAnsi="Verdana"/>
                <w:bCs/>
                <w:lang w:val="en-GB"/>
              </w:rPr>
            </w:pPr>
          </w:p>
        </w:tc>
        <w:tc>
          <w:tcPr>
            <w:tcW w:w="2711" w:type="dxa"/>
            <w:vAlign w:val="center"/>
          </w:tcPr>
          <w:p w14:paraId="2DFDC513" w14:textId="266F01F7" w:rsidR="007F40AC" w:rsidRPr="00064185" w:rsidRDefault="007F40AC" w:rsidP="00EA61D8">
            <w:pPr>
              <w:keepNext/>
              <w:keepLines/>
              <w:widowControl w:val="0"/>
              <w:spacing w:after="40"/>
              <w:rPr>
                <w:b/>
                <w:bCs/>
              </w:rPr>
            </w:pPr>
            <w:r w:rsidRPr="00064185">
              <w:rPr>
                <w:b/>
                <w:bCs/>
              </w:rPr>
              <w:t>Silverfish &amp; Cockroaches</w:t>
            </w:r>
          </w:p>
        </w:tc>
        <w:tc>
          <w:tcPr>
            <w:tcW w:w="2025" w:type="dxa"/>
            <w:vAlign w:val="center"/>
          </w:tcPr>
          <w:p w14:paraId="34A670F5" w14:textId="1E0567F0" w:rsidR="007F40AC" w:rsidRPr="00064185" w:rsidRDefault="007F40AC" w:rsidP="00EA61D8">
            <w:pPr>
              <w:keepNext/>
              <w:keepLines/>
              <w:widowControl w:val="0"/>
              <w:spacing w:after="40"/>
              <w:rPr>
                <w:b/>
                <w:bCs/>
              </w:rPr>
            </w:pPr>
            <w:r w:rsidRPr="00064185">
              <w:rPr>
                <w:b/>
                <w:bCs/>
              </w:rPr>
              <w:t>Wood lice</w:t>
            </w:r>
          </w:p>
        </w:tc>
      </w:tr>
      <w:tr w:rsidR="00064185" w:rsidRPr="00064185" w14:paraId="02247E2B" w14:textId="77777777" w:rsidTr="00064759">
        <w:trPr>
          <w:cantSplit/>
        </w:trPr>
        <w:tc>
          <w:tcPr>
            <w:tcW w:w="2723" w:type="dxa"/>
            <w:vAlign w:val="center"/>
            <w:hideMark/>
          </w:tcPr>
          <w:p w14:paraId="1CFE0663" w14:textId="77777777" w:rsidR="000456CD" w:rsidRPr="00064185" w:rsidRDefault="000456CD" w:rsidP="00EA61D8">
            <w:pPr>
              <w:keepNext/>
              <w:keepLines/>
              <w:widowControl w:val="0"/>
              <w:spacing w:after="40"/>
            </w:pPr>
            <w:r w:rsidRPr="00064185">
              <w:t xml:space="preserve">Concentration in soil due to sludge in first year at t=0 </w:t>
            </w:r>
            <w:r w:rsidRPr="00064185">
              <w:br/>
              <w:t>[µg/kg]</w:t>
            </w:r>
          </w:p>
        </w:tc>
        <w:tc>
          <w:tcPr>
            <w:tcW w:w="1825" w:type="dxa"/>
            <w:vAlign w:val="center"/>
            <w:hideMark/>
          </w:tcPr>
          <w:p w14:paraId="5847C96C" w14:textId="77777777" w:rsidR="000456CD" w:rsidRPr="00064185" w:rsidRDefault="000456CD" w:rsidP="00EA61D8">
            <w:pPr>
              <w:keepNext/>
              <w:keepLines/>
              <w:widowControl w:val="0"/>
              <w:spacing w:after="40"/>
              <w:rPr>
                <w:bCs/>
              </w:rPr>
            </w:pPr>
            <w:r w:rsidRPr="00064185">
              <w:rPr>
                <w:bCs/>
              </w:rPr>
              <w:t>Csludge</w:t>
            </w:r>
            <w:r w:rsidRPr="00064185">
              <w:rPr>
                <w:bCs/>
                <w:vertAlign w:val="subscript"/>
              </w:rPr>
              <w:t>soil1</w:t>
            </w:r>
            <w:r w:rsidRPr="00064185">
              <w:rPr>
                <w:bCs/>
              </w:rPr>
              <w:t xml:space="preserve"> (0)</w:t>
            </w:r>
          </w:p>
        </w:tc>
        <w:tc>
          <w:tcPr>
            <w:tcW w:w="2711" w:type="dxa"/>
            <w:vAlign w:val="center"/>
            <w:hideMark/>
          </w:tcPr>
          <w:p w14:paraId="0CE4475C" w14:textId="097438F7" w:rsidR="000456CD" w:rsidRPr="00064185" w:rsidRDefault="000456CD" w:rsidP="00EA61D8">
            <w:pPr>
              <w:keepNext/>
              <w:keepLines/>
              <w:widowControl w:val="0"/>
            </w:pPr>
            <w:r w:rsidRPr="00064185">
              <w:t>11.28</w:t>
            </w:r>
          </w:p>
        </w:tc>
        <w:tc>
          <w:tcPr>
            <w:tcW w:w="2025" w:type="dxa"/>
            <w:vAlign w:val="center"/>
          </w:tcPr>
          <w:p w14:paraId="03197184" w14:textId="603686CB" w:rsidR="000456CD" w:rsidRPr="00064185" w:rsidRDefault="000456CD" w:rsidP="00EA61D8">
            <w:pPr>
              <w:keepNext/>
              <w:keepLines/>
              <w:widowControl w:val="0"/>
            </w:pPr>
            <w:r w:rsidRPr="00064185">
              <w:t>1.15</w:t>
            </w:r>
          </w:p>
        </w:tc>
      </w:tr>
      <w:tr w:rsidR="00064185" w:rsidRPr="00064185" w14:paraId="5344BCCA" w14:textId="77777777" w:rsidTr="00064759">
        <w:trPr>
          <w:cantSplit/>
        </w:trPr>
        <w:tc>
          <w:tcPr>
            <w:tcW w:w="2723" w:type="dxa"/>
            <w:vAlign w:val="center"/>
            <w:hideMark/>
          </w:tcPr>
          <w:p w14:paraId="4D08E75A" w14:textId="77777777" w:rsidR="009D3353" w:rsidRPr="00064185" w:rsidRDefault="009D3353" w:rsidP="00EA61D8">
            <w:pPr>
              <w:pStyle w:val="Tabellenformat"/>
              <w:keepNext/>
              <w:keepLines/>
              <w:widowControl w:val="0"/>
              <w:spacing w:before="40" w:after="40" w:line="288" w:lineRule="auto"/>
              <w:rPr>
                <w:iCs/>
              </w:rPr>
            </w:pPr>
            <w:r w:rsidRPr="00064185">
              <w:rPr>
                <w:iCs/>
              </w:rPr>
              <w:t>Fraction accumulation in one year [-]</w:t>
            </w:r>
          </w:p>
        </w:tc>
        <w:tc>
          <w:tcPr>
            <w:tcW w:w="1825" w:type="dxa"/>
            <w:vAlign w:val="center"/>
            <w:hideMark/>
          </w:tcPr>
          <w:p w14:paraId="69A04D37" w14:textId="77777777" w:rsidR="009D3353" w:rsidRPr="00064185" w:rsidRDefault="009D3353" w:rsidP="00EA61D8">
            <w:pPr>
              <w:keepNext/>
              <w:keepLines/>
              <w:widowControl w:val="0"/>
              <w:spacing w:after="40"/>
            </w:pPr>
            <w:r w:rsidRPr="00064185">
              <w:t>Facc</w:t>
            </w:r>
          </w:p>
        </w:tc>
        <w:tc>
          <w:tcPr>
            <w:tcW w:w="4736" w:type="dxa"/>
            <w:gridSpan w:val="2"/>
            <w:vAlign w:val="center"/>
            <w:hideMark/>
          </w:tcPr>
          <w:p w14:paraId="45BF3443" w14:textId="77777777" w:rsidR="009D3353" w:rsidRPr="00064185" w:rsidRDefault="009D3353" w:rsidP="00EA61D8">
            <w:pPr>
              <w:keepNext/>
              <w:keepLines/>
              <w:widowControl w:val="0"/>
              <w:spacing w:after="40"/>
              <w:rPr>
                <w:iCs/>
              </w:rPr>
            </w:pPr>
            <w:r w:rsidRPr="00064185">
              <w:rPr>
                <w:iCs/>
              </w:rPr>
              <w:t>0.025562</w:t>
            </w:r>
          </w:p>
        </w:tc>
      </w:tr>
      <w:tr w:rsidR="00064185" w:rsidRPr="00064185" w14:paraId="08090816" w14:textId="77777777" w:rsidTr="00064759">
        <w:trPr>
          <w:cantSplit/>
        </w:trPr>
        <w:tc>
          <w:tcPr>
            <w:tcW w:w="2723" w:type="dxa"/>
            <w:vAlign w:val="center"/>
            <w:hideMark/>
          </w:tcPr>
          <w:p w14:paraId="0F0B720B" w14:textId="77777777" w:rsidR="000456CD" w:rsidRPr="00064185" w:rsidRDefault="000456CD" w:rsidP="00EA61D8">
            <w:pPr>
              <w:keepNext/>
              <w:keepLines/>
              <w:widowControl w:val="0"/>
              <w:spacing w:after="40"/>
              <w:rPr>
                <w:b/>
                <w:bCs/>
              </w:rPr>
            </w:pPr>
            <w:r w:rsidRPr="00064185">
              <w:rPr>
                <w:b/>
                <w:bCs/>
              </w:rPr>
              <w:t>Concentration in soil due to sludge after 10 applications at=0 [µg/kg]</w:t>
            </w:r>
          </w:p>
        </w:tc>
        <w:tc>
          <w:tcPr>
            <w:tcW w:w="1825" w:type="dxa"/>
            <w:vAlign w:val="center"/>
            <w:hideMark/>
          </w:tcPr>
          <w:p w14:paraId="4522CF9C" w14:textId="77777777" w:rsidR="000456CD" w:rsidRPr="00064185" w:rsidRDefault="000456CD" w:rsidP="00EA61D8">
            <w:pPr>
              <w:keepNext/>
              <w:keepLines/>
              <w:widowControl w:val="0"/>
              <w:rPr>
                <w:b/>
                <w:i/>
              </w:rPr>
            </w:pPr>
            <w:r w:rsidRPr="00064185">
              <w:rPr>
                <w:b/>
                <w:i/>
              </w:rPr>
              <w:t>Csludge</w:t>
            </w:r>
            <w:r w:rsidRPr="00064185">
              <w:rPr>
                <w:b/>
                <w:i/>
                <w:vertAlign w:val="subscript"/>
              </w:rPr>
              <w:t>soil 10</w:t>
            </w:r>
            <w:r w:rsidRPr="00064185">
              <w:rPr>
                <w:b/>
                <w:i/>
              </w:rPr>
              <w:t xml:space="preserve"> (0) =</w:t>
            </w:r>
          </w:p>
          <w:p w14:paraId="638375AD" w14:textId="77777777" w:rsidR="000456CD" w:rsidRPr="00064185" w:rsidRDefault="000456CD" w:rsidP="00EA61D8">
            <w:pPr>
              <w:keepNext/>
              <w:keepLines/>
              <w:widowControl w:val="0"/>
              <w:spacing w:after="40"/>
              <w:rPr>
                <w:b/>
                <w:bCs/>
              </w:rPr>
            </w:pPr>
            <w:r w:rsidRPr="00064185">
              <w:rPr>
                <w:b/>
                <w:i/>
              </w:rPr>
              <w:t>Csludge</w:t>
            </w:r>
            <w:r w:rsidRPr="00064185">
              <w:rPr>
                <w:b/>
                <w:i/>
                <w:vertAlign w:val="subscript"/>
              </w:rPr>
              <w:t>soil1</w:t>
            </w:r>
            <w:r w:rsidRPr="00064185">
              <w:rPr>
                <w:b/>
                <w:i/>
              </w:rPr>
              <w:t xml:space="preserve"> (0) × [1 + </w:t>
            </w:r>
            <w:r w:rsidRPr="00064185">
              <w:rPr>
                <w:b/>
                <w:i/>
                <w:position w:val="-16"/>
                <w:vertAlign w:val="subscript"/>
              </w:rPr>
              <w:object w:dxaOrig="735" w:dyaOrig="465" w14:anchorId="49B51EF7">
                <v:shape id="_x0000_i1031" type="#_x0000_t75" style="width:38.25pt;height:24pt" o:ole="" fillcolor="window">
                  <v:imagedata r:id="rId26" o:title=""/>
                </v:shape>
                <o:OLEObject Type="Embed" ProgID="Equation.3" ShapeID="_x0000_i1031" DrawAspect="Content" ObjectID="_1614069665" r:id="rId29"/>
              </w:object>
            </w:r>
            <w:r w:rsidRPr="00064185">
              <w:rPr>
                <w:b/>
                <w:i/>
              </w:rPr>
              <w:t>Facc</w:t>
            </w:r>
            <w:r w:rsidRPr="00064185">
              <w:rPr>
                <w:b/>
                <w:i/>
                <w:vertAlign w:val="superscript"/>
              </w:rPr>
              <w:t>n</w:t>
            </w:r>
            <w:r w:rsidRPr="00064185">
              <w:rPr>
                <w:b/>
                <w:i/>
              </w:rPr>
              <w:t>]</w:t>
            </w:r>
          </w:p>
        </w:tc>
        <w:tc>
          <w:tcPr>
            <w:tcW w:w="2711" w:type="dxa"/>
            <w:vAlign w:val="center"/>
            <w:hideMark/>
          </w:tcPr>
          <w:p w14:paraId="379755D0" w14:textId="48D4A1A3" w:rsidR="000456CD" w:rsidRPr="00064185" w:rsidRDefault="000456CD" w:rsidP="00EA61D8">
            <w:pPr>
              <w:keepNext/>
              <w:keepLines/>
              <w:widowControl w:val="0"/>
              <w:tabs>
                <w:tab w:val="decimal" w:pos="470"/>
                <w:tab w:val="right" w:pos="1370"/>
              </w:tabs>
              <w:spacing w:after="40"/>
              <w:rPr>
                <w:b/>
              </w:rPr>
            </w:pPr>
            <w:r w:rsidRPr="00064185">
              <w:rPr>
                <w:b/>
              </w:rPr>
              <w:t>11.58</w:t>
            </w:r>
          </w:p>
        </w:tc>
        <w:tc>
          <w:tcPr>
            <w:tcW w:w="2025" w:type="dxa"/>
            <w:vAlign w:val="center"/>
          </w:tcPr>
          <w:p w14:paraId="4C0C1EDE" w14:textId="49159D35" w:rsidR="000456CD" w:rsidRPr="00064185" w:rsidRDefault="000456CD" w:rsidP="00EA61D8">
            <w:pPr>
              <w:keepNext/>
              <w:keepLines/>
              <w:widowControl w:val="0"/>
              <w:tabs>
                <w:tab w:val="decimal" w:pos="470"/>
                <w:tab w:val="right" w:pos="1370"/>
              </w:tabs>
              <w:spacing w:after="40"/>
              <w:rPr>
                <w:b/>
              </w:rPr>
            </w:pPr>
            <w:r w:rsidRPr="00064185">
              <w:rPr>
                <w:b/>
              </w:rPr>
              <w:t>1.18</w:t>
            </w:r>
          </w:p>
        </w:tc>
      </w:tr>
    </w:tbl>
    <w:p w14:paraId="5D87FADF" w14:textId="77777777" w:rsidR="009D3353" w:rsidRPr="00064185" w:rsidRDefault="009D3353" w:rsidP="00EA61D8">
      <w:pPr>
        <w:pStyle w:val="Textkrper2"/>
        <w:keepNext/>
        <w:keepLines/>
        <w:widowControl w:val="0"/>
        <w:rPr>
          <w:i w:val="0"/>
          <w:color w:val="auto"/>
        </w:rPr>
      </w:pPr>
    </w:p>
    <w:p w14:paraId="44B036C5" w14:textId="77777777" w:rsidR="009D3353" w:rsidRPr="00064185" w:rsidRDefault="009D3353" w:rsidP="006A7704">
      <w:pPr>
        <w:pStyle w:val="Textkrper2"/>
        <w:keepNext/>
        <w:keepLines/>
        <w:widowControl w:val="0"/>
        <w:jc w:val="both"/>
        <w:rPr>
          <w:i w:val="0"/>
          <w:iCs/>
          <w:color w:val="auto"/>
        </w:rPr>
      </w:pPr>
      <w:r w:rsidRPr="00064185">
        <w:rPr>
          <w:i w:val="0"/>
          <w:color w:val="auto"/>
        </w:rPr>
        <w:t>The initial concentrations following 10 sludge applications are used to calculate average residues in soils of terrestrial ecosystems, i.e., over a time period of 30 days</w:t>
      </w:r>
      <w:r w:rsidRPr="00064185">
        <w:rPr>
          <w:i w:val="0"/>
          <w:iCs/>
          <w:color w:val="auto"/>
        </w:rPr>
        <w:t>. The rate constant k only compasses the biodegradation, whereas volatilisation and leaching were not considered as relevant routes for removal.</w:t>
      </w:r>
    </w:p>
    <w:p w14:paraId="373203C6" w14:textId="77777777" w:rsidR="009D3353" w:rsidRPr="00064185" w:rsidRDefault="009D3353" w:rsidP="00EA61D8">
      <w:pPr>
        <w:pStyle w:val="Textkrper2"/>
        <w:rPr>
          <w:i w:val="0"/>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7"/>
        <w:gridCol w:w="1845"/>
        <w:gridCol w:w="2686"/>
        <w:gridCol w:w="2756"/>
      </w:tblGrid>
      <w:tr w:rsidR="00064185" w:rsidRPr="00064185" w14:paraId="4A23743C" w14:textId="77777777" w:rsidTr="00064759">
        <w:trPr>
          <w:cantSplit/>
        </w:trPr>
        <w:tc>
          <w:tcPr>
            <w:tcW w:w="0" w:type="auto"/>
            <w:gridSpan w:val="4"/>
            <w:shd w:val="clear" w:color="auto" w:fill="FFFFCC"/>
            <w:vAlign w:val="center"/>
          </w:tcPr>
          <w:p w14:paraId="14C7A577" w14:textId="77777777" w:rsidR="009D3353" w:rsidRPr="00064185" w:rsidRDefault="009D3353" w:rsidP="00EA61D8">
            <w:pPr>
              <w:pStyle w:val="Textkrper21"/>
              <w:keepNext/>
              <w:keepLines/>
              <w:spacing w:before="40" w:after="40" w:line="288" w:lineRule="auto"/>
              <w:jc w:val="left"/>
              <w:rPr>
                <w:rFonts w:ascii="Verdana" w:hAnsi="Verdana"/>
                <w:b/>
                <w:bCs/>
              </w:rPr>
            </w:pPr>
            <w:r w:rsidRPr="00064185">
              <w:rPr>
                <w:rFonts w:ascii="Verdana" w:hAnsi="Verdana"/>
                <w:b/>
                <w:bCs/>
                <w:sz w:val="20"/>
              </w:rPr>
              <w:t>Calculation of the average concentration in soils of terrestrial ecosystems (Clocalsoil, TGD, 2003, equation 55)</w:t>
            </w:r>
          </w:p>
        </w:tc>
      </w:tr>
      <w:tr w:rsidR="00064185" w:rsidRPr="00064185" w14:paraId="16717967" w14:textId="77777777" w:rsidTr="00BB6AEE">
        <w:trPr>
          <w:cantSplit/>
          <w:trHeight w:val="219"/>
        </w:trPr>
        <w:tc>
          <w:tcPr>
            <w:tcW w:w="0" w:type="auto"/>
            <w:vMerge w:val="restart"/>
            <w:vAlign w:val="center"/>
            <w:hideMark/>
          </w:tcPr>
          <w:p w14:paraId="4D2F0FDE" w14:textId="77777777" w:rsidR="009F0417" w:rsidRPr="00064185" w:rsidRDefault="009F0417" w:rsidP="00EA61D8">
            <w:pPr>
              <w:pStyle w:val="Textkrper21"/>
              <w:keepNext/>
              <w:keepLines/>
              <w:spacing w:before="40" w:after="40" w:line="288" w:lineRule="auto"/>
              <w:jc w:val="left"/>
              <w:rPr>
                <w:rFonts w:ascii="Verdana" w:hAnsi="Verdana"/>
                <w:b/>
                <w:bCs/>
                <w:sz w:val="20"/>
              </w:rPr>
            </w:pPr>
            <w:r w:rsidRPr="00064185">
              <w:rPr>
                <w:rFonts w:ascii="Verdana" w:hAnsi="Verdana"/>
                <w:b/>
                <w:bCs/>
                <w:sz w:val="20"/>
              </w:rPr>
              <w:t>Parameter</w:t>
            </w:r>
          </w:p>
        </w:tc>
        <w:tc>
          <w:tcPr>
            <w:tcW w:w="1845" w:type="dxa"/>
            <w:vMerge w:val="restart"/>
            <w:vAlign w:val="center"/>
            <w:hideMark/>
          </w:tcPr>
          <w:p w14:paraId="21808AF9" w14:textId="77777777" w:rsidR="009F0417" w:rsidRPr="00064185" w:rsidRDefault="009F0417" w:rsidP="00EA61D8">
            <w:pPr>
              <w:pStyle w:val="Kopfzeile-fett-zentr"/>
              <w:keepLines/>
              <w:tabs>
                <w:tab w:val="left" w:pos="708"/>
              </w:tabs>
              <w:spacing w:before="40" w:after="40" w:line="288" w:lineRule="auto"/>
              <w:jc w:val="left"/>
              <w:rPr>
                <w:rFonts w:ascii="Verdana" w:hAnsi="Verdana"/>
                <w:bCs/>
                <w:lang w:val="en-GB"/>
              </w:rPr>
            </w:pPr>
            <w:r w:rsidRPr="00064185">
              <w:rPr>
                <w:rFonts w:ascii="Verdana" w:hAnsi="Verdana"/>
                <w:bCs/>
                <w:lang w:val="en-GB"/>
              </w:rPr>
              <w:t>Definition</w:t>
            </w:r>
          </w:p>
        </w:tc>
        <w:tc>
          <w:tcPr>
            <w:tcW w:w="5442" w:type="dxa"/>
            <w:gridSpan w:val="2"/>
            <w:vAlign w:val="center"/>
            <w:hideMark/>
          </w:tcPr>
          <w:p w14:paraId="12851489" w14:textId="7D46BF2A" w:rsidR="009F0417" w:rsidRPr="00064185" w:rsidRDefault="009F0417" w:rsidP="00EA61D8">
            <w:pPr>
              <w:keepNext/>
              <w:keepLines/>
              <w:spacing w:before="120" w:after="120"/>
              <w:rPr>
                <w:b/>
                <w:bCs/>
              </w:rPr>
            </w:pPr>
            <w:r w:rsidRPr="00064185">
              <w:rPr>
                <w:b/>
                <w:bCs/>
              </w:rPr>
              <w:t>Indoor use</w:t>
            </w:r>
          </w:p>
        </w:tc>
      </w:tr>
      <w:tr w:rsidR="00064185" w:rsidRPr="00064185" w14:paraId="0F3D5E93" w14:textId="77777777" w:rsidTr="00064759">
        <w:trPr>
          <w:cantSplit/>
          <w:trHeight w:val="219"/>
        </w:trPr>
        <w:tc>
          <w:tcPr>
            <w:tcW w:w="0" w:type="auto"/>
            <w:vMerge/>
            <w:vAlign w:val="center"/>
          </w:tcPr>
          <w:p w14:paraId="1A4B2FA6" w14:textId="77777777" w:rsidR="007F40AC" w:rsidRPr="00064185" w:rsidRDefault="007F40AC" w:rsidP="00EA61D8">
            <w:pPr>
              <w:pStyle w:val="Textkrper21"/>
              <w:keepNext/>
              <w:keepLines/>
              <w:spacing w:before="40" w:after="40" w:line="288" w:lineRule="auto"/>
              <w:jc w:val="left"/>
              <w:rPr>
                <w:rFonts w:ascii="Verdana" w:hAnsi="Verdana"/>
                <w:b/>
                <w:bCs/>
                <w:sz w:val="20"/>
              </w:rPr>
            </w:pPr>
          </w:p>
        </w:tc>
        <w:tc>
          <w:tcPr>
            <w:tcW w:w="1845" w:type="dxa"/>
            <w:vMerge/>
            <w:vAlign w:val="center"/>
          </w:tcPr>
          <w:p w14:paraId="516FB4DE" w14:textId="77777777" w:rsidR="007F40AC" w:rsidRPr="00064185" w:rsidRDefault="007F40AC" w:rsidP="00EA61D8">
            <w:pPr>
              <w:pStyle w:val="Kopfzeile-fett-zentr"/>
              <w:keepLines/>
              <w:tabs>
                <w:tab w:val="left" w:pos="708"/>
              </w:tabs>
              <w:spacing w:before="40" w:after="40" w:line="288" w:lineRule="auto"/>
              <w:jc w:val="left"/>
              <w:rPr>
                <w:rFonts w:ascii="Verdana" w:hAnsi="Verdana"/>
                <w:bCs/>
                <w:lang w:val="en-GB"/>
              </w:rPr>
            </w:pPr>
          </w:p>
        </w:tc>
        <w:tc>
          <w:tcPr>
            <w:tcW w:w="2686" w:type="dxa"/>
            <w:vAlign w:val="center"/>
          </w:tcPr>
          <w:p w14:paraId="078DEB5B" w14:textId="127C494F" w:rsidR="007F40AC" w:rsidRPr="00064185" w:rsidRDefault="007F40AC" w:rsidP="00EA61D8">
            <w:pPr>
              <w:keepNext/>
              <w:keepLines/>
              <w:spacing w:after="40"/>
              <w:rPr>
                <w:b/>
                <w:bCs/>
              </w:rPr>
            </w:pPr>
            <w:r w:rsidRPr="00064185">
              <w:rPr>
                <w:b/>
                <w:bCs/>
              </w:rPr>
              <w:t>Silverfish &amp; Cockroaches</w:t>
            </w:r>
          </w:p>
        </w:tc>
        <w:tc>
          <w:tcPr>
            <w:tcW w:w="0" w:type="auto"/>
            <w:vAlign w:val="center"/>
          </w:tcPr>
          <w:p w14:paraId="63B41959" w14:textId="5FD6FC3E" w:rsidR="007F40AC" w:rsidRPr="00064185" w:rsidRDefault="007F40AC" w:rsidP="00EA61D8">
            <w:pPr>
              <w:keepNext/>
              <w:keepLines/>
              <w:spacing w:after="40"/>
              <w:rPr>
                <w:b/>
                <w:bCs/>
              </w:rPr>
            </w:pPr>
            <w:r w:rsidRPr="00064185">
              <w:rPr>
                <w:b/>
                <w:bCs/>
              </w:rPr>
              <w:t>Wood lice</w:t>
            </w:r>
          </w:p>
        </w:tc>
      </w:tr>
      <w:tr w:rsidR="00064185" w:rsidRPr="00064185" w14:paraId="5AABADB5" w14:textId="77777777" w:rsidTr="007F40AC">
        <w:trPr>
          <w:cantSplit/>
        </w:trPr>
        <w:tc>
          <w:tcPr>
            <w:tcW w:w="0" w:type="auto"/>
            <w:vAlign w:val="center"/>
            <w:hideMark/>
          </w:tcPr>
          <w:p w14:paraId="4061EED1" w14:textId="77777777" w:rsidR="009D3353" w:rsidRPr="00064185" w:rsidRDefault="009D3353" w:rsidP="00EA61D8">
            <w:pPr>
              <w:pStyle w:val="Textkrper2"/>
              <w:keepNext/>
              <w:keepLines/>
              <w:rPr>
                <w:i w:val="0"/>
                <w:color w:val="auto"/>
              </w:rPr>
            </w:pPr>
            <w:r w:rsidRPr="00064185">
              <w:rPr>
                <w:i w:val="0"/>
                <w:color w:val="auto"/>
              </w:rPr>
              <w:t xml:space="preserve">First order rate constant for removal from top soil </w:t>
            </w:r>
            <w:r w:rsidRPr="00064185">
              <w:rPr>
                <w:i w:val="0"/>
                <w:iCs/>
                <w:color w:val="auto"/>
              </w:rPr>
              <w:t>[1/d]</w:t>
            </w:r>
            <w:r w:rsidRPr="00064185">
              <w:rPr>
                <w:i w:val="0"/>
                <w:color w:val="auto"/>
              </w:rPr>
              <w:t xml:space="preserve"> </w:t>
            </w:r>
          </w:p>
        </w:tc>
        <w:tc>
          <w:tcPr>
            <w:tcW w:w="1845" w:type="dxa"/>
            <w:vAlign w:val="center"/>
            <w:hideMark/>
          </w:tcPr>
          <w:p w14:paraId="0813915C" w14:textId="77777777" w:rsidR="009D3353" w:rsidRPr="00064185" w:rsidRDefault="009D3353" w:rsidP="00EA61D8">
            <w:pPr>
              <w:pStyle w:val="Textkrper2"/>
              <w:keepNext/>
              <w:keepLines/>
              <w:rPr>
                <w:i w:val="0"/>
                <w:color w:val="auto"/>
              </w:rPr>
            </w:pPr>
            <w:r w:rsidRPr="00064185">
              <w:rPr>
                <w:i w:val="0"/>
                <w:color w:val="auto"/>
              </w:rPr>
              <w:t>k</w:t>
            </w:r>
          </w:p>
        </w:tc>
        <w:tc>
          <w:tcPr>
            <w:tcW w:w="5442" w:type="dxa"/>
            <w:gridSpan w:val="2"/>
            <w:vAlign w:val="center"/>
            <w:hideMark/>
          </w:tcPr>
          <w:p w14:paraId="71BC2A32" w14:textId="77777777" w:rsidR="009D3353" w:rsidRPr="00064185" w:rsidRDefault="009D3353" w:rsidP="00EA61D8">
            <w:pPr>
              <w:pStyle w:val="MathemathischeFormel"/>
              <w:keepNext/>
              <w:keepLines/>
              <w:spacing w:before="40" w:after="40" w:line="288" w:lineRule="auto"/>
              <w:jc w:val="left"/>
              <w:rPr>
                <w:rFonts w:ascii="Verdana" w:hAnsi="Verdana"/>
                <w:iCs/>
                <w:szCs w:val="20"/>
              </w:rPr>
            </w:pPr>
            <w:r w:rsidRPr="00064185">
              <w:rPr>
                <w:rFonts w:ascii="Verdana" w:hAnsi="Verdana"/>
                <w:iCs/>
              </w:rPr>
              <w:t>0.01005</w:t>
            </w:r>
          </w:p>
        </w:tc>
      </w:tr>
      <w:tr w:rsidR="00064185" w:rsidRPr="00064185" w14:paraId="5FD9530A" w14:textId="77777777" w:rsidTr="007F40AC">
        <w:trPr>
          <w:cantSplit/>
        </w:trPr>
        <w:tc>
          <w:tcPr>
            <w:tcW w:w="0" w:type="auto"/>
            <w:vAlign w:val="center"/>
            <w:hideMark/>
          </w:tcPr>
          <w:p w14:paraId="0733E82D" w14:textId="77777777" w:rsidR="009D3353" w:rsidRPr="00064185" w:rsidRDefault="009D3353" w:rsidP="00EA61D8">
            <w:pPr>
              <w:pStyle w:val="Tabellenformat"/>
              <w:keepNext/>
              <w:keepLines/>
              <w:spacing w:before="40" w:after="40" w:line="288" w:lineRule="auto"/>
              <w:rPr>
                <w:iCs/>
              </w:rPr>
            </w:pPr>
            <w:r w:rsidRPr="00064185">
              <w:rPr>
                <w:iCs/>
              </w:rPr>
              <w:t xml:space="preserve">Averaging time </w:t>
            </w:r>
            <w:r w:rsidRPr="00064185">
              <w:t>[d]</w:t>
            </w:r>
          </w:p>
        </w:tc>
        <w:tc>
          <w:tcPr>
            <w:tcW w:w="1845" w:type="dxa"/>
            <w:vAlign w:val="center"/>
            <w:hideMark/>
          </w:tcPr>
          <w:p w14:paraId="6D5EBDA4" w14:textId="77777777" w:rsidR="009D3353" w:rsidRPr="00064185" w:rsidRDefault="009D3353" w:rsidP="00EA61D8">
            <w:pPr>
              <w:keepNext/>
              <w:keepLines/>
              <w:spacing w:after="40"/>
            </w:pPr>
            <w:r w:rsidRPr="00064185">
              <w:t>T</w:t>
            </w:r>
          </w:p>
        </w:tc>
        <w:tc>
          <w:tcPr>
            <w:tcW w:w="5442" w:type="dxa"/>
            <w:gridSpan w:val="2"/>
            <w:vAlign w:val="center"/>
            <w:hideMark/>
          </w:tcPr>
          <w:p w14:paraId="669E3EBA" w14:textId="77777777" w:rsidR="009D3353" w:rsidRPr="00064185" w:rsidRDefault="009D3353" w:rsidP="00EA61D8">
            <w:pPr>
              <w:keepNext/>
              <w:keepLines/>
              <w:spacing w:after="40"/>
              <w:rPr>
                <w:iCs/>
              </w:rPr>
            </w:pPr>
            <w:r w:rsidRPr="00064185">
              <w:rPr>
                <w:iCs/>
              </w:rPr>
              <w:t>30</w:t>
            </w:r>
          </w:p>
        </w:tc>
      </w:tr>
      <w:tr w:rsidR="00064185" w:rsidRPr="00064185" w14:paraId="07252BC4" w14:textId="77777777" w:rsidTr="00064759">
        <w:trPr>
          <w:cantSplit/>
        </w:trPr>
        <w:tc>
          <w:tcPr>
            <w:tcW w:w="0" w:type="auto"/>
            <w:vAlign w:val="center"/>
            <w:hideMark/>
          </w:tcPr>
          <w:p w14:paraId="2F538EEF" w14:textId="77777777" w:rsidR="000456CD" w:rsidRPr="00064185" w:rsidRDefault="000456CD" w:rsidP="00EA61D8">
            <w:pPr>
              <w:pStyle w:val="Tabellenformat"/>
              <w:keepNext/>
              <w:keepLines/>
              <w:spacing w:before="40" w:after="40" w:line="288" w:lineRule="auto"/>
              <w:rPr>
                <w:iCs/>
              </w:rPr>
            </w:pPr>
            <w:r w:rsidRPr="00064185">
              <w:rPr>
                <w:iCs/>
              </w:rPr>
              <w:t xml:space="preserve">Initial concentration after sludge application </w:t>
            </w:r>
            <w:r w:rsidRPr="00064185">
              <w:t>[µg/kg]</w:t>
            </w:r>
          </w:p>
        </w:tc>
        <w:tc>
          <w:tcPr>
            <w:tcW w:w="1845" w:type="dxa"/>
            <w:vAlign w:val="center"/>
            <w:hideMark/>
          </w:tcPr>
          <w:p w14:paraId="339F3AAC" w14:textId="77777777" w:rsidR="000456CD" w:rsidRPr="00064185" w:rsidRDefault="000456CD" w:rsidP="00EA61D8">
            <w:pPr>
              <w:pStyle w:val="MathemathischeFormel"/>
              <w:keepNext/>
              <w:keepLines/>
              <w:spacing w:before="40" w:after="40" w:line="288" w:lineRule="auto"/>
              <w:jc w:val="left"/>
              <w:rPr>
                <w:rFonts w:ascii="Verdana" w:hAnsi="Verdana"/>
                <w:szCs w:val="20"/>
              </w:rPr>
            </w:pPr>
            <w:r w:rsidRPr="00064185">
              <w:rPr>
                <w:rFonts w:ascii="Verdana" w:hAnsi="Verdana"/>
                <w:szCs w:val="20"/>
              </w:rPr>
              <w:t>C</w:t>
            </w:r>
            <w:r w:rsidRPr="00064185">
              <w:rPr>
                <w:rFonts w:ascii="Verdana" w:hAnsi="Verdana"/>
                <w:szCs w:val="20"/>
                <w:vertAlign w:val="subscript"/>
              </w:rPr>
              <w:t>soil</w:t>
            </w:r>
            <w:r w:rsidRPr="00064185">
              <w:rPr>
                <w:rFonts w:ascii="Verdana" w:hAnsi="Verdana"/>
                <w:szCs w:val="20"/>
              </w:rPr>
              <w:t xml:space="preserve"> (0)</w:t>
            </w:r>
          </w:p>
        </w:tc>
        <w:tc>
          <w:tcPr>
            <w:tcW w:w="2686" w:type="dxa"/>
            <w:vAlign w:val="center"/>
          </w:tcPr>
          <w:p w14:paraId="0B70BD1A" w14:textId="11F90BED" w:rsidR="000456CD" w:rsidRPr="00064185" w:rsidRDefault="000456CD" w:rsidP="00EA61D8">
            <w:pPr>
              <w:keepNext/>
              <w:keepLines/>
              <w:tabs>
                <w:tab w:val="decimal" w:pos="470"/>
                <w:tab w:val="right" w:pos="1370"/>
              </w:tabs>
              <w:spacing w:after="40"/>
            </w:pPr>
            <w:r w:rsidRPr="00064185">
              <w:t>11,58</w:t>
            </w:r>
          </w:p>
        </w:tc>
        <w:tc>
          <w:tcPr>
            <w:tcW w:w="0" w:type="auto"/>
            <w:vAlign w:val="center"/>
          </w:tcPr>
          <w:p w14:paraId="205C11D7" w14:textId="53AD093C" w:rsidR="000456CD" w:rsidRPr="00064185" w:rsidRDefault="000456CD" w:rsidP="00EA61D8">
            <w:pPr>
              <w:keepNext/>
              <w:keepLines/>
              <w:tabs>
                <w:tab w:val="decimal" w:pos="470"/>
                <w:tab w:val="right" w:pos="1370"/>
              </w:tabs>
              <w:spacing w:after="40"/>
            </w:pPr>
            <w:r w:rsidRPr="00064185">
              <w:t>1.18</w:t>
            </w:r>
          </w:p>
        </w:tc>
      </w:tr>
      <w:tr w:rsidR="000456CD" w:rsidRPr="00064185" w14:paraId="1BE6001D" w14:textId="77777777" w:rsidTr="00064759">
        <w:trPr>
          <w:cantSplit/>
          <w:trHeight w:val="522"/>
        </w:trPr>
        <w:tc>
          <w:tcPr>
            <w:tcW w:w="0" w:type="auto"/>
            <w:vAlign w:val="center"/>
            <w:hideMark/>
          </w:tcPr>
          <w:p w14:paraId="380CBCB2" w14:textId="77777777" w:rsidR="000456CD" w:rsidRPr="00064185" w:rsidRDefault="000456CD" w:rsidP="00EA61D8">
            <w:pPr>
              <w:keepNext/>
              <w:keepLines/>
              <w:spacing w:after="40"/>
              <w:rPr>
                <w:b/>
                <w:bCs/>
              </w:rPr>
            </w:pPr>
            <w:r w:rsidRPr="00064185">
              <w:rPr>
                <w:b/>
                <w:bCs/>
              </w:rPr>
              <w:t xml:space="preserve">Average concentration in soil over T days </w:t>
            </w:r>
            <w:r w:rsidRPr="00064185">
              <w:rPr>
                <w:b/>
              </w:rPr>
              <w:t>[µg/kg</w:t>
            </w:r>
            <w:r w:rsidRPr="00064185">
              <w:rPr>
                <w:b/>
                <w:vertAlign w:val="subscript"/>
              </w:rPr>
              <w:t>wwt</w:t>
            </w:r>
            <w:r w:rsidRPr="00064185">
              <w:rPr>
                <w:b/>
              </w:rPr>
              <w:t>]</w:t>
            </w:r>
          </w:p>
        </w:tc>
        <w:tc>
          <w:tcPr>
            <w:tcW w:w="1845" w:type="dxa"/>
            <w:vAlign w:val="center"/>
            <w:hideMark/>
          </w:tcPr>
          <w:p w14:paraId="5BAFBEDF" w14:textId="77777777" w:rsidR="000456CD" w:rsidRPr="00064185" w:rsidRDefault="000456CD" w:rsidP="00EA61D8">
            <w:pPr>
              <w:keepNext/>
              <w:keepLines/>
              <w:spacing w:after="40"/>
              <w:rPr>
                <w:b/>
                <w:bCs/>
              </w:rPr>
            </w:pPr>
            <w:r w:rsidRPr="00064185">
              <w:rPr>
                <w:b/>
                <w:bCs/>
              </w:rPr>
              <w:t>Clocal</w:t>
            </w:r>
            <w:r w:rsidRPr="00064185">
              <w:rPr>
                <w:b/>
                <w:bCs/>
                <w:vertAlign w:val="subscript"/>
              </w:rPr>
              <w:t>soil</w:t>
            </w:r>
            <w:r w:rsidRPr="00064185">
              <w:rPr>
                <w:b/>
                <w:bCs/>
              </w:rPr>
              <w:t xml:space="preserve"> = (1/kT) x C</w:t>
            </w:r>
            <w:r w:rsidRPr="00064185">
              <w:rPr>
                <w:b/>
                <w:bCs/>
                <w:vertAlign w:val="subscript"/>
              </w:rPr>
              <w:t>soil</w:t>
            </w:r>
            <w:r w:rsidRPr="00064185">
              <w:rPr>
                <w:b/>
                <w:bCs/>
              </w:rPr>
              <w:t xml:space="preserve"> (0) x (1-e</w:t>
            </w:r>
            <w:r w:rsidRPr="00064185">
              <w:rPr>
                <w:b/>
                <w:bCs/>
                <w:vertAlign w:val="superscript"/>
              </w:rPr>
              <w:t>-kT</w:t>
            </w:r>
            <w:r w:rsidRPr="00064185">
              <w:rPr>
                <w:b/>
                <w:bCs/>
              </w:rPr>
              <w:t>)</w:t>
            </w:r>
          </w:p>
        </w:tc>
        <w:tc>
          <w:tcPr>
            <w:tcW w:w="2686" w:type="dxa"/>
            <w:vAlign w:val="center"/>
          </w:tcPr>
          <w:p w14:paraId="5878B1CE" w14:textId="5C56AA2A" w:rsidR="000456CD" w:rsidRPr="00064185" w:rsidRDefault="000456CD" w:rsidP="00EA61D8">
            <w:pPr>
              <w:pStyle w:val="Kopfzeile-fett-zentr"/>
              <w:keepNext/>
              <w:keepLines/>
              <w:tabs>
                <w:tab w:val="left" w:pos="708"/>
              </w:tabs>
              <w:spacing w:before="40" w:after="40" w:line="288" w:lineRule="auto"/>
              <w:jc w:val="left"/>
              <w:rPr>
                <w:rFonts w:ascii="Verdana" w:hAnsi="Verdana"/>
                <w:lang w:val="en-GB"/>
              </w:rPr>
            </w:pPr>
            <w:r w:rsidRPr="00064185">
              <w:rPr>
                <w:rFonts w:ascii="Verdana" w:hAnsi="Verdana"/>
                <w:lang w:val="en-GB"/>
              </w:rPr>
              <w:t>10,00</w:t>
            </w:r>
          </w:p>
        </w:tc>
        <w:tc>
          <w:tcPr>
            <w:tcW w:w="0" w:type="auto"/>
            <w:vAlign w:val="center"/>
          </w:tcPr>
          <w:p w14:paraId="1894B4BA" w14:textId="1EB96616" w:rsidR="000456CD" w:rsidRPr="00064185" w:rsidRDefault="000456CD" w:rsidP="00EA61D8">
            <w:pPr>
              <w:pStyle w:val="Kopfzeile-fett-zentr"/>
              <w:keepNext/>
              <w:keepLines/>
              <w:tabs>
                <w:tab w:val="left" w:pos="708"/>
              </w:tabs>
              <w:spacing w:before="40" w:after="40" w:line="288" w:lineRule="auto"/>
              <w:jc w:val="left"/>
              <w:rPr>
                <w:rFonts w:ascii="Verdana" w:hAnsi="Verdana"/>
                <w:lang w:val="en-GB"/>
              </w:rPr>
            </w:pPr>
            <w:r w:rsidRPr="00064185">
              <w:rPr>
                <w:rFonts w:ascii="Verdana" w:hAnsi="Verdana"/>
                <w:lang w:val="en-GB"/>
              </w:rPr>
              <w:t>1.02</w:t>
            </w:r>
          </w:p>
        </w:tc>
      </w:tr>
    </w:tbl>
    <w:p w14:paraId="619F2962" w14:textId="77777777" w:rsidR="009D3353" w:rsidRPr="00064185" w:rsidRDefault="009D3353" w:rsidP="00EA61D8">
      <w:pPr>
        <w:pStyle w:val="Textkrper2"/>
        <w:tabs>
          <w:tab w:val="left" w:pos="1800"/>
        </w:tabs>
        <w:ind w:left="1800" w:hanging="1800"/>
        <w:rPr>
          <w:b/>
          <w:bCs/>
          <w:i w:val="0"/>
          <w:iCs/>
          <w:color w:val="auto"/>
        </w:rPr>
      </w:pPr>
    </w:p>
    <w:p w14:paraId="32036E11" w14:textId="77777777" w:rsidR="009D3353" w:rsidRPr="00064185" w:rsidRDefault="009D3353" w:rsidP="006A7704">
      <w:pPr>
        <w:jc w:val="both"/>
      </w:pPr>
      <w:r w:rsidRPr="00064185">
        <w:t xml:space="preserve">Under the prerequisite that a background concentration for </w:t>
      </w:r>
      <w:r w:rsidRPr="00064185">
        <w:rPr>
          <w:i/>
        </w:rPr>
        <w:t>lambda</w:t>
      </w:r>
      <w:r w:rsidRPr="00064185">
        <w:t>-cyhalothrin does not exist, the Clocal</w:t>
      </w:r>
      <w:r w:rsidRPr="00064185">
        <w:rPr>
          <w:vertAlign w:val="subscript"/>
        </w:rPr>
        <w:t>soil</w:t>
      </w:r>
      <w:r w:rsidRPr="00064185">
        <w:t xml:space="preserve"> values represent the PEClocal</w:t>
      </w:r>
      <w:r w:rsidRPr="00064185">
        <w:rPr>
          <w:vertAlign w:val="subscript"/>
        </w:rPr>
        <w:t>soil</w:t>
      </w:r>
      <w:r w:rsidRPr="00064185">
        <w:t xml:space="preserve"> values.</w:t>
      </w:r>
    </w:p>
    <w:p w14:paraId="2A2964EE" w14:textId="77777777" w:rsidR="000A229F" w:rsidRPr="00064185" w:rsidRDefault="000A229F" w:rsidP="006A7704">
      <w:pPr>
        <w:jc w:val="both"/>
        <w:rPr>
          <w:rFonts w:eastAsia="Calibri"/>
          <w:b/>
          <w:i/>
          <w:sz w:val="22"/>
          <w:u w:val="single"/>
          <w:lang w:eastAsia="en-US"/>
        </w:rPr>
      </w:pPr>
      <w:r w:rsidRPr="00064185">
        <w:rPr>
          <w:rFonts w:eastAsia="Calibri"/>
          <w:b/>
          <w:i/>
          <w:sz w:val="22"/>
          <w:u w:val="single"/>
          <w:lang w:eastAsia="en-US"/>
        </w:rPr>
        <w:lastRenderedPageBreak/>
        <w:t>PEC in groundwater</w:t>
      </w:r>
    </w:p>
    <w:p w14:paraId="59BCCA50" w14:textId="77777777" w:rsidR="00C6445A" w:rsidRPr="00064185" w:rsidRDefault="00C6445A" w:rsidP="006A7704">
      <w:pPr>
        <w:pStyle w:val="Textkrper2"/>
        <w:jc w:val="both"/>
        <w:rPr>
          <w:b/>
          <w:i w:val="0"/>
          <w:color w:val="auto"/>
        </w:rPr>
      </w:pPr>
    </w:p>
    <w:p w14:paraId="1111B9A8" w14:textId="1409DD0F" w:rsidR="000A229F" w:rsidRPr="00064185" w:rsidRDefault="000A229F" w:rsidP="006A7704">
      <w:pPr>
        <w:pStyle w:val="Textkrper2"/>
        <w:jc w:val="both"/>
        <w:rPr>
          <w:i w:val="0"/>
          <w:color w:val="auto"/>
        </w:rPr>
      </w:pPr>
      <w:r w:rsidRPr="00064185">
        <w:rPr>
          <w:i w:val="0"/>
          <w:iCs/>
          <w:color w:val="auto"/>
        </w:rPr>
        <w:t>The K</w:t>
      </w:r>
      <w:r w:rsidRPr="00064185">
        <w:rPr>
          <w:i w:val="0"/>
          <w:iCs/>
          <w:caps/>
          <w:color w:val="auto"/>
          <w:vertAlign w:val="subscript"/>
        </w:rPr>
        <w:t>oc</w:t>
      </w:r>
      <w:r w:rsidRPr="00064185">
        <w:rPr>
          <w:i w:val="0"/>
          <w:iCs/>
          <w:color w:val="auto"/>
        </w:rPr>
        <w:t xml:space="preserve"> values determined for </w:t>
      </w:r>
      <w:r w:rsidRPr="00064185">
        <w:rPr>
          <w:iCs/>
          <w:color w:val="auto"/>
        </w:rPr>
        <w:t>lambda</w:t>
      </w:r>
      <w:r w:rsidR="00A56F50" w:rsidRPr="00064185">
        <w:rPr>
          <w:i w:val="0"/>
          <w:iCs/>
          <w:color w:val="auto"/>
        </w:rPr>
        <w:t>-cyhalothrin (70100 ml</w:t>
      </w:r>
      <w:r w:rsidRPr="00064185">
        <w:rPr>
          <w:i w:val="0"/>
          <w:iCs/>
          <w:color w:val="auto"/>
        </w:rPr>
        <w:t>/g</w:t>
      </w:r>
      <w:r w:rsidR="003F54D0" w:rsidRPr="00064185">
        <w:rPr>
          <w:i w:val="0"/>
          <w:iCs/>
          <w:color w:val="auto"/>
        </w:rPr>
        <w:t xml:space="preserve"> </w:t>
      </w:r>
      <w:r w:rsidRPr="00064185">
        <w:rPr>
          <w:i w:val="0"/>
          <w:iCs/>
          <w:color w:val="auto"/>
        </w:rPr>
        <w:t>-</w:t>
      </w:r>
      <w:r w:rsidR="003F54D0" w:rsidRPr="00064185">
        <w:rPr>
          <w:i w:val="0"/>
          <w:iCs/>
          <w:color w:val="auto"/>
        </w:rPr>
        <w:t xml:space="preserve"> </w:t>
      </w:r>
      <w:r w:rsidR="00A56F50" w:rsidRPr="00064185">
        <w:rPr>
          <w:i w:val="0"/>
          <w:iCs/>
          <w:color w:val="auto"/>
        </w:rPr>
        <w:t>724000 ml</w:t>
      </w:r>
      <w:r w:rsidRPr="00064185">
        <w:rPr>
          <w:i w:val="0"/>
          <w:iCs/>
          <w:color w:val="auto"/>
        </w:rPr>
        <w:t xml:space="preserve">/g, n=14) indicate a very strong adsorption in soils and </w:t>
      </w:r>
      <w:r w:rsidR="00056784" w:rsidRPr="00064185">
        <w:rPr>
          <w:i w:val="0"/>
          <w:iCs/>
          <w:color w:val="auto"/>
        </w:rPr>
        <w:t xml:space="preserve">therefore </w:t>
      </w:r>
      <w:r w:rsidRPr="00064185">
        <w:rPr>
          <w:i w:val="0"/>
          <w:iCs/>
          <w:color w:val="auto"/>
        </w:rPr>
        <w:t xml:space="preserve">a very low potential for </w:t>
      </w:r>
      <w:r w:rsidR="00056784" w:rsidRPr="00064185">
        <w:rPr>
          <w:i w:val="0"/>
          <w:iCs/>
          <w:color w:val="auto"/>
        </w:rPr>
        <w:t>transport</w:t>
      </w:r>
      <w:r w:rsidRPr="00064185">
        <w:rPr>
          <w:i w:val="0"/>
          <w:iCs/>
          <w:color w:val="auto"/>
        </w:rPr>
        <w:t xml:space="preserve"> into deeper soil layers. However, for reasons of completeness,</w:t>
      </w:r>
      <w:r w:rsidRPr="00064185">
        <w:rPr>
          <w:i w:val="0"/>
          <w:color w:val="auto"/>
        </w:rPr>
        <w:t xml:space="preserve"> the soil pore water concentration will be assessed as an indicator of potential residues occurring in groundwater. </w:t>
      </w:r>
    </w:p>
    <w:p w14:paraId="700C2889" w14:textId="5E2AD8E9" w:rsidR="000A229F" w:rsidRPr="00064185" w:rsidRDefault="000A229F" w:rsidP="006A7704">
      <w:pPr>
        <w:jc w:val="both"/>
        <w:rPr>
          <w:szCs w:val="22"/>
        </w:rPr>
      </w:pPr>
      <w:r w:rsidRPr="00064185">
        <w:rPr>
          <w:szCs w:val="22"/>
        </w:rPr>
        <w:t xml:space="preserve">Most of the parameters used for the PEC calculation in soil pore water have default values, which are provided in the TGD (TGD, 2003). For characterisation of the adsorption potential of </w:t>
      </w:r>
      <w:r w:rsidRPr="00064185">
        <w:rPr>
          <w:i/>
          <w:szCs w:val="22"/>
        </w:rPr>
        <w:t>lambda</w:t>
      </w:r>
      <w:r w:rsidRPr="00064185">
        <w:rPr>
          <w:szCs w:val="22"/>
        </w:rPr>
        <w:t>-cyhalothrin in soils, the lowest K</w:t>
      </w:r>
      <w:r w:rsidRPr="00064185">
        <w:rPr>
          <w:caps/>
          <w:szCs w:val="22"/>
          <w:vertAlign w:val="subscript"/>
        </w:rPr>
        <w:t>oc</w:t>
      </w:r>
      <w:r w:rsidR="00056784" w:rsidRPr="00064185">
        <w:rPr>
          <w:caps/>
          <w:szCs w:val="22"/>
        </w:rPr>
        <w:t xml:space="preserve"> </w:t>
      </w:r>
      <w:r w:rsidR="00A56F50" w:rsidRPr="00064185">
        <w:rPr>
          <w:szCs w:val="22"/>
        </w:rPr>
        <w:t>value of 70100 ml</w:t>
      </w:r>
      <w:r w:rsidRPr="00064185">
        <w:rPr>
          <w:szCs w:val="22"/>
        </w:rPr>
        <w:t>/g has been used for worst case considerations with regards to compound mobility in soil.</w:t>
      </w:r>
    </w:p>
    <w:p w14:paraId="1D7C0D0D" w14:textId="77777777" w:rsidR="000A229F" w:rsidRPr="00064185" w:rsidRDefault="000A229F" w:rsidP="00EA61D8">
      <w:pPr>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55"/>
        <w:gridCol w:w="2136"/>
        <w:gridCol w:w="1063"/>
      </w:tblGrid>
      <w:tr w:rsidR="00064185" w:rsidRPr="00064185" w14:paraId="312D2D87" w14:textId="77777777" w:rsidTr="00696522">
        <w:trPr>
          <w:trHeight w:val="128"/>
          <w:jc w:val="center"/>
        </w:trPr>
        <w:tc>
          <w:tcPr>
            <w:tcW w:w="5000" w:type="pct"/>
            <w:gridSpan w:val="3"/>
            <w:shd w:val="clear" w:color="auto" w:fill="FFFFCC"/>
            <w:noWrap/>
            <w:vAlign w:val="center"/>
          </w:tcPr>
          <w:p w14:paraId="2A484288" w14:textId="638F4426" w:rsidR="008C58CA" w:rsidRPr="00064185" w:rsidRDefault="008C58CA" w:rsidP="00EA61D8">
            <w:pPr>
              <w:keepNext/>
              <w:keepLines/>
              <w:tabs>
                <w:tab w:val="right" w:pos="1370"/>
              </w:tabs>
              <w:rPr>
                <w:b/>
                <w:bCs/>
              </w:rPr>
            </w:pPr>
            <w:r w:rsidRPr="00064185">
              <w:rPr>
                <w:b/>
              </w:rPr>
              <w:t>Calculation of the solids-water partition coefficient in soil (</w:t>
            </w:r>
            <w:r w:rsidRPr="00064185">
              <w:rPr>
                <w:b/>
                <w:i/>
              </w:rPr>
              <w:t>cf.</w:t>
            </w:r>
            <w:r w:rsidRPr="00064185">
              <w:rPr>
                <w:b/>
              </w:rPr>
              <w:t xml:space="preserve"> TGD, Equation 23)</w:t>
            </w:r>
          </w:p>
        </w:tc>
      </w:tr>
      <w:tr w:rsidR="00064185" w:rsidRPr="00064185" w14:paraId="519B692C" w14:textId="77777777" w:rsidTr="0090052B">
        <w:trPr>
          <w:trHeight w:val="128"/>
          <w:jc w:val="center"/>
        </w:trPr>
        <w:tc>
          <w:tcPr>
            <w:tcW w:w="3290" w:type="pct"/>
            <w:noWrap/>
            <w:vAlign w:val="center"/>
            <w:hideMark/>
          </w:tcPr>
          <w:p w14:paraId="0F14CAA5" w14:textId="77777777" w:rsidR="000A229F" w:rsidRPr="00064185" w:rsidRDefault="000A229F" w:rsidP="00EA61D8">
            <w:pPr>
              <w:keepNext/>
              <w:keepLines/>
              <w:rPr>
                <w:rFonts w:ascii="Arial" w:hAnsi="Arial" w:cs="Arial"/>
              </w:rPr>
            </w:pPr>
            <w:r w:rsidRPr="00064185">
              <w:rPr>
                <w:bCs/>
              </w:rPr>
              <w:t>Parameter</w:t>
            </w:r>
          </w:p>
        </w:tc>
        <w:tc>
          <w:tcPr>
            <w:tcW w:w="1142" w:type="pct"/>
            <w:vAlign w:val="center"/>
            <w:hideMark/>
          </w:tcPr>
          <w:p w14:paraId="2BAEDB8F" w14:textId="77777777" w:rsidR="000A229F" w:rsidRPr="00064185" w:rsidRDefault="000A229F" w:rsidP="00EA61D8">
            <w:pPr>
              <w:keepNext/>
              <w:keepLines/>
              <w:rPr>
                <w:b/>
                <w:bCs/>
              </w:rPr>
            </w:pPr>
            <w:r w:rsidRPr="00064185">
              <w:rPr>
                <w:b/>
                <w:bCs/>
              </w:rPr>
              <w:t>Definition</w:t>
            </w:r>
          </w:p>
        </w:tc>
        <w:tc>
          <w:tcPr>
            <w:tcW w:w="568" w:type="pct"/>
            <w:vAlign w:val="center"/>
            <w:hideMark/>
          </w:tcPr>
          <w:p w14:paraId="6E29B897" w14:textId="77777777" w:rsidR="000A229F" w:rsidRPr="00064185" w:rsidRDefault="000A229F" w:rsidP="00EA61D8">
            <w:pPr>
              <w:keepNext/>
              <w:keepLines/>
              <w:tabs>
                <w:tab w:val="right" w:pos="1370"/>
              </w:tabs>
              <w:spacing w:after="40"/>
              <w:rPr>
                <w:bCs/>
              </w:rPr>
            </w:pPr>
            <w:r w:rsidRPr="00064185">
              <w:rPr>
                <w:b/>
                <w:bCs/>
              </w:rPr>
              <w:t>Value</w:t>
            </w:r>
          </w:p>
        </w:tc>
      </w:tr>
      <w:tr w:rsidR="00064185" w:rsidRPr="00064185" w14:paraId="657122FE" w14:textId="77777777" w:rsidTr="0090052B">
        <w:trPr>
          <w:trHeight w:val="388"/>
          <w:jc w:val="center"/>
        </w:trPr>
        <w:tc>
          <w:tcPr>
            <w:tcW w:w="3290" w:type="pct"/>
            <w:vAlign w:val="center"/>
            <w:hideMark/>
          </w:tcPr>
          <w:p w14:paraId="521EA19D" w14:textId="77777777" w:rsidR="000A229F" w:rsidRPr="00064185" w:rsidRDefault="000A229F" w:rsidP="00EA61D8">
            <w:pPr>
              <w:keepNext/>
              <w:keepLines/>
              <w:tabs>
                <w:tab w:val="left" w:pos="720"/>
                <w:tab w:val="left" w:pos="2127"/>
                <w:tab w:val="left" w:pos="2552"/>
                <w:tab w:val="left" w:pos="7371"/>
                <w:tab w:val="right" w:pos="7921"/>
              </w:tabs>
            </w:pPr>
            <w:r w:rsidRPr="00064185">
              <w:t>Weight fraction of organic carbon in compartment soil [kg/kg]</w:t>
            </w:r>
          </w:p>
        </w:tc>
        <w:tc>
          <w:tcPr>
            <w:tcW w:w="1142" w:type="pct"/>
            <w:vAlign w:val="center"/>
            <w:hideMark/>
          </w:tcPr>
          <w:p w14:paraId="7C2ADBB3" w14:textId="77777777" w:rsidR="000A229F" w:rsidRPr="00064185" w:rsidRDefault="000A229F" w:rsidP="00EA61D8">
            <w:pPr>
              <w:keepNext/>
              <w:keepLines/>
            </w:pPr>
            <w:r w:rsidRPr="00064185">
              <w:t>Foc</w:t>
            </w:r>
            <w:r w:rsidRPr="00064185">
              <w:rPr>
                <w:vertAlign w:val="subscript"/>
              </w:rPr>
              <w:t>soil</w:t>
            </w:r>
          </w:p>
        </w:tc>
        <w:tc>
          <w:tcPr>
            <w:tcW w:w="568" w:type="pct"/>
            <w:vAlign w:val="center"/>
            <w:hideMark/>
          </w:tcPr>
          <w:p w14:paraId="133B4FCD" w14:textId="77777777" w:rsidR="000A229F" w:rsidRPr="00064185" w:rsidRDefault="000A229F" w:rsidP="00EA61D8">
            <w:pPr>
              <w:keepNext/>
              <w:keepLines/>
            </w:pPr>
            <w:r w:rsidRPr="00064185">
              <w:t>0.02</w:t>
            </w:r>
          </w:p>
        </w:tc>
      </w:tr>
      <w:tr w:rsidR="00064185" w:rsidRPr="00064185" w14:paraId="7AEFC602" w14:textId="77777777" w:rsidTr="0090052B">
        <w:trPr>
          <w:trHeight w:val="359"/>
          <w:jc w:val="center"/>
        </w:trPr>
        <w:tc>
          <w:tcPr>
            <w:tcW w:w="3290" w:type="pct"/>
            <w:vAlign w:val="center"/>
            <w:hideMark/>
          </w:tcPr>
          <w:p w14:paraId="40585AF7" w14:textId="28D8B214" w:rsidR="000A229F" w:rsidRPr="00064185" w:rsidRDefault="000A229F" w:rsidP="00EA61D8">
            <w:pPr>
              <w:keepNext/>
              <w:keepLines/>
              <w:tabs>
                <w:tab w:val="left" w:pos="720"/>
                <w:tab w:val="left" w:pos="2127"/>
                <w:tab w:val="left" w:pos="2552"/>
                <w:tab w:val="left" w:pos="7371"/>
                <w:tab w:val="right" w:pos="7921"/>
              </w:tabs>
            </w:pPr>
            <w:r w:rsidRPr="00064185">
              <w:t>Partition coe</w:t>
            </w:r>
            <w:r w:rsidR="00A56F50" w:rsidRPr="00064185">
              <w:t>fficient organic carbon-water [l</w:t>
            </w:r>
            <w:r w:rsidRPr="00064185">
              <w:t>/kg]</w:t>
            </w:r>
          </w:p>
        </w:tc>
        <w:tc>
          <w:tcPr>
            <w:tcW w:w="1142" w:type="pct"/>
            <w:vAlign w:val="center"/>
            <w:hideMark/>
          </w:tcPr>
          <w:p w14:paraId="18A696C4" w14:textId="77777777" w:rsidR="000A229F" w:rsidRPr="00064185" w:rsidRDefault="000A229F" w:rsidP="00EA61D8">
            <w:pPr>
              <w:keepNext/>
              <w:keepLines/>
            </w:pPr>
            <w:r w:rsidRPr="00064185">
              <w:t>K</w:t>
            </w:r>
            <w:r w:rsidRPr="00064185">
              <w:rPr>
                <w:caps/>
                <w:vertAlign w:val="subscript"/>
              </w:rPr>
              <w:t>oc</w:t>
            </w:r>
          </w:p>
        </w:tc>
        <w:tc>
          <w:tcPr>
            <w:tcW w:w="568" w:type="pct"/>
            <w:vAlign w:val="center"/>
            <w:hideMark/>
          </w:tcPr>
          <w:p w14:paraId="49F2994C" w14:textId="77777777" w:rsidR="000A229F" w:rsidRPr="00064185" w:rsidRDefault="000A229F" w:rsidP="00EA61D8">
            <w:pPr>
              <w:keepNext/>
              <w:keepLines/>
            </w:pPr>
            <w:r w:rsidRPr="00064185">
              <w:t>70100</w:t>
            </w:r>
          </w:p>
        </w:tc>
      </w:tr>
      <w:tr w:rsidR="00D2569C" w:rsidRPr="00064185" w14:paraId="7F5FBC54" w14:textId="77777777" w:rsidTr="0090052B">
        <w:trPr>
          <w:trHeight w:val="391"/>
          <w:jc w:val="center"/>
        </w:trPr>
        <w:tc>
          <w:tcPr>
            <w:tcW w:w="3290" w:type="pct"/>
            <w:vAlign w:val="center"/>
            <w:hideMark/>
          </w:tcPr>
          <w:p w14:paraId="5B8C2CEA" w14:textId="10AA238E" w:rsidR="000A229F" w:rsidRPr="00064185" w:rsidRDefault="000A229F" w:rsidP="00EA61D8">
            <w:pPr>
              <w:keepNext/>
              <w:keepLines/>
              <w:rPr>
                <w:b/>
              </w:rPr>
            </w:pPr>
            <w:r w:rsidRPr="00064185">
              <w:rPr>
                <w:b/>
              </w:rPr>
              <w:t>Partitioning coefficient sol</w:t>
            </w:r>
            <w:r w:rsidR="00A56F50" w:rsidRPr="00064185">
              <w:rPr>
                <w:b/>
              </w:rPr>
              <w:t>id-water in soil [l</w:t>
            </w:r>
            <w:r w:rsidRPr="00064185">
              <w:rPr>
                <w:b/>
              </w:rPr>
              <w:t>/kg]</w:t>
            </w:r>
          </w:p>
        </w:tc>
        <w:tc>
          <w:tcPr>
            <w:tcW w:w="1142" w:type="pct"/>
            <w:vAlign w:val="center"/>
            <w:hideMark/>
          </w:tcPr>
          <w:p w14:paraId="2BA40651" w14:textId="559858E3" w:rsidR="000A229F" w:rsidRPr="00064185" w:rsidRDefault="000A229F" w:rsidP="00EA61D8">
            <w:pPr>
              <w:keepNext/>
              <w:keepLines/>
              <w:tabs>
                <w:tab w:val="left" w:pos="720"/>
                <w:tab w:val="left" w:pos="2160"/>
                <w:tab w:val="left" w:pos="4140"/>
              </w:tabs>
              <w:spacing w:after="40"/>
            </w:pPr>
            <w:r w:rsidRPr="00064185">
              <w:rPr>
                <w:noProof/>
                <w:lang w:val="de-AT" w:eastAsia="de-AT"/>
              </w:rPr>
              <w:drawing>
                <wp:inline distT="0" distB="0" distL="0" distR="0" wp14:anchorId="6F57C234" wp14:editId="180D6996">
                  <wp:extent cx="1141095" cy="190500"/>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1095" cy="190500"/>
                          </a:xfrm>
                          <a:prstGeom prst="rect">
                            <a:avLst/>
                          </a:prstGeom>
                          <a:noFill/>
                          <a:ln>
                            <a:noFill/>
                          </a:ln>
                        </pic:spPr>
                      </pic:pic>
                    </a:graphicData>
                  </a:graphic>
                </wp:inline>
              </w:drawing>
            </w:r>
          </w:p>
        </w:tc>
        <w:tc>
          <w:tcPr>
            <w:tcW w:w="568" w:type="pct"/>
            <w:vAlign w:val="center"/>
            <w:hideMark/>
          </w:tcPr>
          <w:p w14:paraId="4E932E30" w14:textId="77777777" w:rsidR="000A229F" w:rsidRPr="00064185" w:rsidRDefault="000A229F" w:rsidP="00EA61D8">
            <w:pPr>
              <w:keepNext/>
              <w:keepLines/>
              <w:rPr>
                <w:b/>
              </w:rPr>
            </w:pPr>
            <w:r w:rsidRPr="00064185">
              <w:rPr>
                <w:b/>
              </w:rPr>
              <w:t>1402</w:t>
            </w:r>
          </w:p>
        </w:tc>
      </w:tr>
    </w:tbl>
    <w:p w14:paraId="69E3CC9A" w14:textId="77777777" w:rsidR="000A229F" w:rsidRPr="00064185" w:rsidRDefault="000A229F" w:rsidP="00EA61D8">
      <w:pPr>
        <w:rPr>
          <w:szCs w:val="22"/>
        </w:rPr>
      </w:pPr>
      <w:bookmarkStart w:id="1817" w:name="_Ref1357941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8"/>
        <w:gridCol w:w="2868"/>
        <w:gridCol w:w="1798"/>
      </w:tblGrid>
      <w:tr w:rsidR="00064185" w:rsidRPr="00064185" w14:paraId="5EA0C7AC" w14:textId="77777777" w:rsidTr="00696522">
        <w:trPr>
          <w:trHeight w:val="128"/>
          <w:jc w:val="center"/>
        </w:trPr>
        <w:tc>
          <w:tcPr>
            <w:tcW w:w="5000" w:type="pct"/>
            <w:gridSpan w:val="3"/>
            <w:shd w:val="clear" w:color="auto" w:fill="FFFFCC"/>
            <w:noWrap/>
            <w:vAlign w:val="center"/>
          </w:tcPr>
          <w:p w14:paraId="45335DC2" w14:textId="775D8B77" w:rsidR="008C58CA" w:rsidRPr="00064185" w:rsidRDefault="008C58CA" w:rsidP="00EA61D8">
            <w:pPr>
              <w:keepNext/>
              <w:keepLines/>
              <w:widowControl w:val="0"/>
              <w:rPr>
                <w:b/>
                <w:bCs/>
              </w:rPr>
            </w:pPr>
            <w:bookmarkStart w:id="1818" w:name="_Ref160000738"/>
            <w:bookmarkEnd w:id="1817"/>
            <w:bookmarkEnd w:id="1818"/>
            <w:r w:rsidRPr="00064185">
              <w:rPr>
                <w:b/>
              </w:rPr>
              <w:t>Calculation of the air-water partitioning coefficient (</w:t>
            </w:r>
            <w:r w:rsidRPr="00064185">
              <w:rPr>
                <w:b/>
                <w:i/>
              </w:rPr>
              <w:t>cf.</w:t>
            </w:r>
            <w:r w:rsidRPr="00064185">
              <w:rPr>
                <w:b/>
              </w:rPr>
              <w:t xml:space="preserve"> TGD, Equation 22)</w:t>
            </w:r>
          </w:p>
        </w:tc>
      </w:tr>
      <w:tr w:rsidR="00064185" w:rsidRPr="00064185" w14:paraId="5712FB6B" w14:textId="77777777" w:rsidTr="00D2569C">
        <w:trPr>
          <w:trHeight w:val="128"/>
          <w:jc w:val="center"/>
        </w:trPr>
        <w:tc>
          <w:tcPr>
            <w:tcW w:w="2506" w:type="pct"/>
            <w:noWrap/>
            <w:vAlign w:val="center"/>
            <w:hideMark/>
          </w:tcPr>
          <w:p w14:paraId="55D6C7E9" w14:textId="77777777" w:rsidR="000A229F" w:rsidRPr="00064185" w:rsidRDefault="000A229F" w:rsidP="00EA61D8">
            <w:pPr>
              <w:keepNext/>
              <w:keepLines/>
              <w:widowControl w:val="0"/>
              <w:rPr>
                <w:rFonts w:ascii="Arial" w:hAnsi="Arial" w:cs="Arial"/>
              </w:rPr>
            </w:pPr>
            <w:r w:rsidRPr="00064185">
              <w:rPr>
                <w:bCs/>
              </w:rPr>
              <w:t>Parameter</w:t>
            </w:r>
          </w:p>
        </w:tc>
        <w:tc>
          <w:tcPr>
            <w:tcW w:w="1533" w:type="pct"/>
            <w:vAlign w:val="center"/>
            <w:hideMark/>
          </w:tcPr>
          <w:p w14:paraId="2BC00DFD" w14:textId="77777777" w:rsidR="000A229F" w:rsidRPr="00064185" w:rsidRDefault="000A229F" w:rsidP="00EA61D8">
            <w:pPr>
              <w:keepNext/>
              <w:keepLines/>
              <w:widowControl w:val="0"/>
              <w:rPr>
                <w:b/>
                <w:bCs/>
              </w:rPr>
            </w:pPr>
            <w:r w:rsidRPr="00064185">
              <w:rPr>
                <w:b/>
                <w:bCs/>
              </w:rPr>
              <w:t>Definition</w:t>
            </w:r>
          </w:p>
        </w:tc>
        <w:tc>
          <w:tcPr>
            <w:tcW w:w="961" w:type="pct"/>
            <w:vAlign w:val="center"/>
            <w:hideMark/>
          </w:tcPr>
          <w:p w14:paraId="01E55C4F" w14:textId="77777777" w:rsidR="000A229F" w:rsidRPr="00064185" w:rsidRDefault="000A229F" w:rsidP="00EA61D8">
            <w:pPr>
              <w:keepNext/>
              <w:keepLines/>
              <w:widowControl w:val="0"/>
              <w:tabs>
                <w:tab w:val="right" w:pos="1370"/>
              </w:tabs>
              <w:spacing w:after="40"/>
              <w:rPr>
                <w:bCs/>
              </w:rPr>
            </w:pPr>
            <w:r w:rsidRPr="00064185">
              <w:rPr>
                <w:b/>
                <w:bCs/>
              </w:rPr>
              <w:t>Value</w:t>
            </w:r>
          </w:p>
        </w:tc>
      </w:tr>
      <w:tr w:rsidR="00064185" w:rsidRPr="00064185" w14:paraId="7A6744B2" w14:textId="77777777" w:rsidTr="00D2569C">
        <w:trPr>
          <w:trHeight w:val="331"/>
          <w:jc w:val="center"/>
        </w:trPr>
        <w:tc>
          <w:tcPr>
            <w:tcW w:w="2506" w:type="pct"/>
            <w:vAlign w:val="center"/>
            <w:hideMark/>
          </w:tcPr>
          <w:p w14:paraId="0E4424F9" w14:textId="77777777" w:rsidR="000A229F" w:rsidRPr="00064185" w:rsidRDefault="000A229F" w:rsidP="00EA61D8">
            <w:pPr>
              <w:keepNext/>
              <w:keepLines/>
              <w:widowControl w:val="0"/>
              <w:tabs>
                <w:tab w:val="left" w:pos="720"/>
                <w:tab w:val="left" w:pos="2127"/>
                <w:tab w:val="left" w:pos="2552"/>
                <w:tab w:val="left" w:pos="7371"/>
                <w:tab w:val="right" w:pos="7921"/>
              </w:tabs>
            </w:pPr>
            <w:r w:rsidRPr="00064185">
              <w:t>Henry´s Law constant [Pa*m³/mol]</w:t>
            </w:r>
          </w:p>
        </w:tc>
        <w:tc>
          <w:tcPr>
            <w:tcW w:w="1533" w:type="pct"/>
            <w:vAlign w:val="center"/>
            <w:hideMark/>
          </w:tcPr>
          <w:p w14:paraId="674B1A8E" w14:textId="77777777" w:rsidR="000A229F" w:rsidRPr="00064185" w:rsidRDefault="000A229F" w:rsidP="00EA61D8">
            <w:pPr>
              <w:keepNext/>
              <w:keepLines/>
              <w:widowControl w:val="0"/>
            </w:pPr>
            <w:r w:rsidRPr="00064185">
              <w:t>HENRY</w:t>
            </w:r>
          </w:p>
        </w:tc>
        <w:tc>
          <w:tcPr>
            <w:tcW w:w="961" w:type="pct"/>
            <w:vAlign w:val="center"/>
            <w:hideMark/>
          </w:tcPr>
          <w:p w14:paraId="474698F8" w14:textId="77777777" w:rsidR="000A229F" w:rsidRPr="00064185" w:rsidRDefault="000A229F" w:rsidP="00EA61D8">
            <w:pPr>
              <w:keepNext/>
              <w:keepLines/>
              <w:widowControl w:val="0"/>
            </w:pPr>
            <w:r w:rsidRPr="00064185">
              <w:rPr>
                <w:szCs w:val="22"/>
              </w:rPr>
              <w:t>1.80</w:t>
            </w:r>
            <w:r w:rsidRPr="00064185">
              <w:t> x 10</w:t>
            </w:r>
            <w:r w:rsidRPr="00064185">
              <w:rPr>
                <w:vertAlign w:val="superscript"/>
              </w:rPr>
              <w:t>-2</w:t>
            </w:r>
          </w:p>
        </w:tc>
      </w:tr>
      <w:tr w:rsidR="00064185" w:rsidRPr="00064185" w14:paraId="6AE23E08" w14:textId="77777777" w:rsidTr="00D2569C">
        <w:trPr>
          <w:trHeight w:val="361"/>
          <w:jc w:val="center"/>
        </w:trPr>
        <w:tc>
          <w:tcPr>
            <w:tcW w:w="2506" w:type="pct"/>
            <w:vAlign w:val="center"/>
            <w:hideMark/>
          </w:tcPr>
          <w:p w14:paraId="66C3625D" w14:textId="77777777" w:rsidR="000A229F" w:rsidRPr="00064185" w:rsidRDefault="000A229F" w:rsidP="00EA61D8">
            <w:pPr>
              <w:keepNext/>
              <w:keepLines/>
              <w:widowControl w:val="0"/>
              <w:tabs>
                <w:tab w:val="left" w:pos="720"/>
                <w:tab w:val="left" w:pos="2127"/>
                <w:tab w:val="left" w:pos="2552"/>
                <w:tab w:val="left" w:pos="7371"/>
                <w:tab w:val="right" w:pos="7921"/>
              </w:tabs>
              <w:rPr>
                <w:lang w:val="fr-FR"/>
              </w:rPr>
            </w:pPr>
            <w:r w:rsidRPr="00064185">
              <w:rPr>
                <w:lang w:val="fr-FR"/>
              </w:rPr>
              <w:t>Gas constant [Pa*m³/mol*k]</w:t>
            </w:r>
          </w:p>
        </w:tc>
        <w:tc>
          <w:tcPr>
            <w:tcW w:w="1533" w:type="pct"/>
            <w:vAlign w:val="center"/>
            <w:hideMark/>
          </w:tcPr>
          <w:p w14:paraId="70A173CE" w14:textId="77777777" w:rsidR="000A229F" w:rsidRPr="00064185" w:rsidRDefault="000A229F" w:rsidP="00EA61D8">
            <w:pPr>
              <w:keepNext/>
              <w:keepLines/>
              <w:widowControl w:val="0"/>
            </w:pPr>
            <w:r w:rsidRPr="00064185">
              <w:t>R</w:t>
            </w:r>
          </w:p>
        </w:tc>
        <w:tc>
          <w:tcPr>
            <w:tcW w:w="961" w:type="pct"/>
            <w:vAlign w:val="center"/>
            <w:hideMark/>
          </w:tcPr>
          <w:p w14:paraId="7CE4A6DC" w14:textId="77777777" w:rsidR="000A229F" w:rsidRPr="00064185" w:rsidRDefault="000A229F" w:rsidP="00EA61D8">
            <w:pPr>
              <w:keepNext/>
              <w:keepLines/>
              <w:widowControl w:val="0"/>
            </w:pPr>
            <w:r w:rsidRPr="00064185">
              <w:t>8.314</w:t>
            </w:r>
          </w:p>
        </w:tc>
      </w:tr>
      <w:tr w:rsidR="00064185" w:rsidRPr="00064185" w14:paraId="66FE4D10" w14:textId="77777777" w:rsidTr="00D2569C">
        <w:trPr>
          <w:trHeight w:val="343"/>
          <w:jc w:val="center"/>
        </w:trPr>
        <w:tc>
          <w:tcPr>
            <w:tcW w:w="2506" w:type="pct"/>
            <w:vAlign w:val="center"/>
            <w:hideMark/>
          </w:tcPr>
          <w:p w14:paraId="04729958" w14:textId="77777777" w:rsidR="000A229F" w:rsidRPr="00064185" w:rsidRDefault="000A229F" w:rsidP="00EA61D8">
            <w:pPr>
              <w:keepNext/>
              <w:keepLines/>
              <w:widowControl w:val="0"/>
              <w:tabs>
                <w:tab w:val="left" w:pos="720"/>
                <w:tab w:val="left" w:pos="2127"/>
                <w:tab w:val="left" w:pos="2552"/>
                <w:tab w:val="left" w:pos="7371"/>
                <w:tab w:val="right" w:pos="7921"/>
              </w:tabs>
            </w:pPr>
            <w:r w:rsidRPr="00064185">
              <w:t>Temperature at the air-water interface [K]</w:t>
            </w:r>
          </w:p>
        </w:tc>
        <w:tc>
          <w:tcPr>
            <w:tcW w:w="1533" w:type="pct"/>
            <w:vAlign w:val="center"/>
            <w:hideMark/>
          </w:tcPr>
          <w:p w14:paraId="3B716FC1" w14:textId="77777777" w:rsidR="000A229F" w:rsidRPr="00064185" w:rsidRDefault="000A229F" w:rsidP="00EA61D8">
            <w:pPr>
              <w:keepNext/>
              <w:keepLines/>
              <w:widowControl w:val="0"/>
            </w:pPr>
            <w:r w:rsidRPr="00064185">
              <w:t>TEMP</w:t>
            </w:r>
          </w:p>
        </w:tc>
        <w:tc>
          <w:tcPr>
            <w:tcW w:w="961" w:type="pct"/>
            <w:vAlign w:val="center"/>
            <w:hideMark/>
          </w:tcPr>
          <w:p w14:paraId="09D90E17" w14:textId="77777777" w:rsidR="000A229F" w:rsidRPr="00064185" w:rsidRDefault="000A229F" w:rsidP="00EA61D8">
            <w:pPr>
              <w:keepNext/>
              <w:keepLines/>
              <w:widowControl w:val="0"/>
            </w:pPr>
            <w:r w:rsidRPr="00064185">
              <w:t>285</w:t>
            </w:r>
          </w:p>
        </w:tc>
      </w:tr>
      <w:tr w:rsidR="00D2569C" w:rsidRPr="00064185" w14:paraId="51975976" w14:textId="77777777" w:rsidTr="00D2569C">
        <w:trPr>
          <w:trHeight w:val="512"/>
          <w:jc w:val="center"/>
        </w:trPr>
        <w:tc>
          <w:tcPr>
            <w:tcW w:w="2506" w:type="pct"/>
            <w:vAlign w:val="center"/>
            <w:hideMark/>
          </w:tcPr>
          <w:p w14:paraId="44DF4E4E" w14:textId="77777777" w:rsidR="000A229F" w:rsidRPr="00064185" w:rsidRDefault="000A229F" w:rsidP="00EA61D8">
            <w:pPr>
              <w:keepNext/>
              <w:keepLines/>
              <w:widowControl w:val="0"/>
              <w:rPr>
                <w:b/>
              </w:rPr>
            </w:pPr>
            <w:r w:rsidRPr="00064185">
              <w:rPr>
                <w:b/>
              </w:rPr>
              <w:t>Air-water partitioning coefficient [-]</w:t>
            </w:r>
          </w:p>
        </w:tc>
        <w:tc>
          <w:tcPr>
            <w:tcW w:w="1533" w:type="pct"/>
            <w:vAlign w:val="center"/>
            <w:hideMark/>
          </w:tcPr>
          <w:p w14:paraId="45CBEAF7" w14:textId="131B5D20" w:rsidR="000A229F" w:rsidRPr="00064185" w:rsidRDefault="000A229F" w:rsidP="00EA61D8">
            <w:pPr>
              <w:keepNext/>
              <w:keepLines/>
              <w:widowControl w:val="0"/>
              <w:tabs>
                <w:tab w:val="left" w:pos="720"/>
                <w:tab w:val="left" w:pos="2160"/>
                <w:tab w:val="left" w:pos="4140"/>
              </w:tabs>
              <w:spacing w:after="40"/>
            </w:pPr>
            <w:r w:rsidRPr="00064185">
              <w:rPr>
                <w:noProof/>
                <w:lang w:val="de-AT" w:eastAsia="de-AT"/>
              </w:rPr>
              <w:drawing>
                <wp:inline distT="0" distB="0" distL="0" distR="0" wp14:anchorId="14C23B21" wp14:editId="55C8CADD">
                  <wp:extent cx="1257935" cy="33655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57935" cy="336550"/>
                          </a:xfrm>
                          <a:prstGeom prst="rect">
                            <a:avLst/>
                          </a:prstGeom>
                          <a:noFill/>
                          <a:ln>
                            <a:noFill/>
                          </a:ln>
                        </pic:spPr>
                      </pic:pic>
                    </a:graphicData>
                  </a:graphic>
                </wp:inline>
              </w:drawing>
            </w:r>
          </w:p>
        </w:tc>
        <w:tc>
          <w:tcPr>
            <w:tcW w:w="961" w:type="pct"/>
            <w:vAlign w:val="center"/>
            <w:hideMark/>
          </w:tcPr>
          <w:p w14:paraId="3B01DD66" w14:textId="444408F3" w:rsidR="000A229F" w:rsidRPr="00064185" w:rsidRDefault="000A229F" w:rsidP="00EA61D8">
            <w:pPr>
              <w:keepNext/>
              <w:keepLines/>
              <w:widowControl w:val="0"/>
              <w:rPr>
                <w:b/>
              </w:rPr>
            </w:pPr>
            <w:r w:rsidRPr="00064185">
              <w:rPr>
                <w:b/>
              </w:rPr>
              <w:t>7.</w:t>
            </w:r>
            <w:r w:rsidR="00E230D3" w:rsidRPr="00064185">
              <w:rPr>
                <w:b/>
              </w:rPr>
              <w:t>60</w:t>
            </w:r>
            <w:r w:rsidRPr="00064185">
              <w:rPr>
                <w:b/>
              </w:rPr>
              <w:t xml:space="preserve"> x 10</w:t>
            </w:r>
            <w:r w:rsidRPr="00064185">
              <w:rPr>
                <w:b/>
                <w:vertAlign w:val="superscript"/>
              </w:rPr>
              <w:t>-6</w:t>
            </w:r>
          </w:p>
        </w:tc>
      </w:tr>
    </w:tbl>
    <w:p w14:paraId="364FE1AE" w14:textId="77777777" w:rsidR="000A229F" w:rsidRPr="00064185" w:rsidRDefault="000A229F" w:rsidP="00EA61D8">
      <w:pPr>
        <w:tabs>
          <w:tab w:val="left" w:pos="720"/>
          <w:tab w:val="left" w:pos="2160"/>
          <w:tab w:val="left" w:pos="4140"/>
        </w:tabs>
        <w:spacing w:after="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5102"/>
        <w:gridCol w:w="1205"/>
      </w:tblGrid>
      <w:tr w:rsidR="00064185" w:rsidRPr="00064185" w14:paraId="6FD4A5B3" w14:textId="77777777" w:rsidTr="001C46CA">
        <w:trPr>
          <w:trHeight w:val="128"/>
          <w:jc w:val="center"/>
        </w:trPr>
        <w:tc>
          <w:tcPr>
            <w:tcW w:w="5000" w:type="pct"/>
            <w:gridSpan w:val="3"/>
            <w:shd w:val="clear" w:color="auto" w:fill="FFFFCC"/>
            <w:noWrap/>
            <w:vAlign w:val="center"/>
          </w:tcPr>
          <w:p w14:paraId="332A10D6" w14:textId="06874781" w:rsidR="008C58CA" w:rsidRPr="00064185" w:rsidRDefault="008C58CA" w:rsidP="00EA61D8">
            <w:pPr>
              <w:tabs>
                <w:tab w:val="right" w:pos="1370"/>
              </w:tabs>
              <w:spacing w:after="40"/>
              <w:rPr>
                <w:b/>
                <w:bCs/>
              </w:rPr>
            </w:pPr>
            <w:bookmarkStart w:id="1819" w:name="_Ref160000729"/>
            <w:bookmarkEnd w:id="1819"/>
            <w:r w:rsidRPr="00064185">
              <w:rPr>
                <w:b/>
              </w:rPr>
              <w:t>Calculation of the soil-water partitioning coefficient (cf. TGD, Equation 24)</w:t>
            </w:r>
          </w:p>
        </w:tc>
      </w:tr>
      <w:tr w:rsidR="00064185" w:rsidRPr="00064185" w14:paraId="4417871C" w14:textId="77777777" w:rsidTr="0090052B">
        <w:trPr>
          <w:trHeight w:val="128"/>
          <w:jc w:val="center"/>
        </w:trPr>
        <w:tc>
          <w:tcPr>
            <w:tcW w:w="1629" w:type="pct"/>
            <w:noWrap/>
            <w:vAlign w:val="center"/>
            <w:hideMark/>
          </w:tcPr>
          <w:p w14:paraId="31ED92E2" w14:textId="77777777" w:rsidR="000A229F" w:rsidRPr="00064185" w:rsidRDefault="000A229F" w:rsidP="00EA61D8">
            <w:pPr>
              <w:keepNext/>
              <w:rPr>
                <w:rFonts w:ascii="Arial" w:hAnsi="Arial" w:cs="Arial"/>
              </w:rPr>
            </w:pPr>
            <w:r w:rsidRPr="00064185">
              <w:rPr>
                <w:b/>
                <w:bCs/>
              </w:rPr>
              <w:t>Parameter</w:t>
            </w:r>
          </w:p>
        </w:tc>
        <w:tc>
          <w:tcPr>
            <w:tcW w:w="2727" w:type="pct"/>
            <w:vAlign w:val="center"/>
            <w:hideMark/>
          </w:tcPr>
          <w:p w14:paraId="0228B907" w14:textId="77777777" w:rsidR="000A229F" w:rsidRPr="00064185" w:rsidRDefault="000A229F" w:rsidP="00EA61D8">
            <w:pPr>
              <w:keepNext/>
              <w:rPr>
                <w:b/>
                <w:bCs/>
              </w:rPr>
            </w:pPr>
            <w:r w:rsidRPr="00064185">
              <w:rPr>
                <w:b/>
                <w:bCs/>
              </w:rPr>
              <w:t>Definition</w:t>
            </w:r>
          </w:p>
        </w:tc>
        <w:tc>
          <w:tcPr>
            <w:tcW w:w="644" w:type="pct"/>
            <w:vAlign w:val="center"/>
            <w:hideMark/>
          </w:tcPr>
          <w:p w14:paraId="6F4EFB9C" w14:textId="77777777" w:rsidR="000A229F" w:rsidRPr="00064185" w:rsidRDefault="000A229F" w:rsidP="00EA61D8">
            <w:pPr>
              <w:tabs>
                <w:tab w:val="right" w:pos="1370"/>
              </w:tabs>
              <w:spacing w:after="40"/>
              <w:rPr>
                <w:bCs/>
              </w:rPr>
            </w:pPr>
            <w:r w:rsidRPr="00064185">
              <w:rPr>
                <w:b/>
                <w:bCs/>
              </w:rPr>
              <w:t>Value</w:t>
            </w:r>
          </w:p>
        </w:tc>
      </w:tr>
      <w:tr w:rsidR="00064185" w:rsidRPr="00064185" w14:paraId="0EC1F4DB" w14:textId="77777777" w:rsidTr="0090052B">
        <w:trPr>
          <w:trHeight w:val="388"/>
          <w:jc w:val="center"/>
        </w:trPr>
        <w:tc>
          <w:tcPr>
            <w:tcW w:w="1629" w:type="pct"/>
            <w:vAlign w:val="center"/>
            <w:hideMark/>
          </w:tcPr>
          <w:p w14:paraId="55A71C41" w14:textId="77777777" w:rsidR="000A229F" w:rsidRPr="00064185" w:rsidRDefault="000A229F" w:rsidP="00EA61D8">
            <w:pPr>
              <w:tabs>
                <w:tab w:val="left" w:pos="720"/>
                <w:tab w:val="left" w:pos="2127"/>
                <w:tab w:val="left" w:pos="2552"/>
                <w:tab w:val="left" w:pos="7371"/>
                <w:tab w:val="right" w:pos="7921"/>
              </w:tabs>
            </w:pPr>
            <w:r w:rsidRPr="00064185">
              <w:t>Fraction air in compartment soil [m³ x m</w:t>
            </w:r>
            <w:r w:rsidRPr="00064185">
              <w:rPr>
                <w:vertAlign w:val="superscript"/>
              </w:rPr>
              <w:t>-3</w:t>
            </w:r>
            <w:r w:rsidRPr="00064185">
              <w:t>]</w:t>
            </w:r>
          </w:p>
        </w:tc>
        <w:tc>
          <w:tcPr>
            <w:tcW w:w="2727" w:type="pct"/>
            <w:vAlign w:val="center"/>
            <w:hideMark/>
          </w:tcPr>
          <w:p w14:paraId="06F3D6B6" w14:textId="77777777" w:rsidR="000A229F" w:rsidRPr="00064185" w:rsidRDefault="000A229F" w:rsidP="00EA61D8">
            <w:pPr>
              <w:keepNext/>
            </w:pPr>
            <w:r w:rsidRPr="00064185">
              <w:t>Fair</w:t>
            </w:r>
            <w:r w:rsidRPr="00064185">
              <w:rPr>
                <w:vertAlign w:val="subscript"/>
              </w:rPr>
              <w:t>soil</w:t>
            </w:r>
          </w:p>
        </w:tc>
        <w:tc>
          <w:tcPr>
            <w:tcW w:w="644" w:type="pct"/>
            <w:vAlign w:val="center"/>
            <w:hideMark/>
          </w:tcPr>
          <w:p w14:paraId="5380C993" w14:textId="77777777" w:rsidR="000A229F" w:rsidRPr="00064185" w:rsidRDefault="000A229F" w:rsidP="0090052B">
            <w:pPr>
              <w:ind w:left="-127" w:right="-171"/>
              <w:jc w:val="center"/>
            </w:pPr>
            <w:r w:rsidRPr="00064185">
              <w:t>0.2</w:t>
            </w:r>
          </w:p>
        </w:tc>
      </w:tr>
      <w:tr w:rsidR="00064185" w:rsidRPr="00064185" w14:paraId="73884644" w14:textId="77777777" w:rsidTr="0090052B">
        <w:trPr>
          <w:trHeight w:val="359"/>
          <w:jc w:val="center"/>
        </w:trPr>
        <w:tc>
          <w:tcPr>
            <w:tcW w:w="1629" w:type="pct"/>
            <w:vAlign w:val="center"/>
            <w:hideMark/>
          </w:tcPr>
          <w:p w14:paraId="41DB30FA" w14:textId="77777777" w:rsidR="000A229F" w:rsidRPr="00064185" w:rsidRDefault="000A229F" w:rsidP="00EA61D8">
            <w:pPr>
              <w:tabs>
                <w:tab w:val="left" w:pos="720"/>
                <w:tab w:val="left" w:pos="2127"/>
                <w:tab w:val="left" w:pos="2552"/>
                <w:tab w:val="left" w:pos="7371"/>
                <w:tab w:val="right" w:pos="7921"/>
              </w:tabs>
            </w:pPr>
            <w:r w:rsidRPr="00064185">
              <w:t>Air-water partitioning coefficient [-]</w:t>
            </w:r>
          </w:p>
        </w:tc>
        <w:tc>
          <w:tcPr>
            <w:tcW w:w="2727" w:type="pct"/>
            <w:vAlign w:val="center"/>
            <w:hideMark/>
          </w:tcPr>
          <w:p w14:paraId="10F2C23C" w14:textId="77777777" w:rsidR="000A229F" w:rsidRPr="00064185" w:rsidRDefault="000A229F" w:rsidP="00EA61D8">
            <w:pPr>
              <w:keepNext/>
            </w:pPr>
            <w:r w:rsidRPr="00064185">
              <w:t>K</w:t>
            </w:r>
            <w:r w:rsidRPr="00064185">
              <w:rPr>
                <w:vertAlign w:val="subscript"/>
              </w:rPr>
              <w:t>air-water</w:t>
            </w:r>
          </w:p>
        </w:tc>
        <w:tc>
          <w:tcPr>
            <w:tcW w:w="644" w:type="pct"/>
            <w:vAlign w:val="center"/>
            <w:hideMark/>
          </w:tcPr>
          <w:p w14:paraId="4C12425A" w14:textId="77777777" w:rsidR="000A229F" w:rsidRPr="00064185" w:rsidRDefault="000A229F" w:rsidP="0090052B">
            <w:pPr>
              <w:ind w:left="-127" w:right="-171"/>
              <w:jc w:val="center"/>
              <w:rPr>
                <w:bCs/>
              </w:rPr>
            </w:pPr>
            <w:r w:rsidRPr="00064185">
              <w:rPr>
                <w:bCs/>
              </w:rPr>
              <w:t>7.58 x 10</w:t>
            </w:r>
            <w:r w:rsidRPr="00064185">
              <w:rPr>
                <w:bCs/>
                <w:vertAlign w:val="superscript"/>
              </w:rPr>
              <w:t>-6</w:t>
            </w:r>
          </w:p>
        </w:tc>
      </w:tr>
      <w:tr w:rsidR="00064185" w:rsidRPr="00064185" w14:paraId="5AD855E2" w14:textId="77777777" w:rsidTr="0090052B">
        <w:trPr>
          <w:trHeight w:val="159"/>
          <w:jc w:val="center"/>
        </w:trPr>
        <w:tc>
          <w:tcPr>
            <w:tcW w:w="1629" w:type="pct"/>
            <w:vAlign w:val="center"/>
            <w:hideMark/>
          </w:tcPr>
          <w:p w14:paraId="4DFC9B29" w14:textId="77777777" w:rsidR="000A229F" w:rsidRPr="00064185" w:rsidRDefault="000A229F" w:rsidP="00EA61D8">
            <w:pPr>
              <w:tabs>
                <w:tab w:val="left" w:pos="720"/>
                <w:tab w:val="left" w:pos="2127"/>
                <w:tab w:val="left" w:pos="2552"/>
                <w:tab w:val="left" w:pos="7371"/>
                <w:tab w:val="right" w:pos="7921"/>
              </w:tabs>
            </w:pPr>
            <w:r w:rsidRPr="00064185">
              <w:t>Fraction water in compartment soil [m³ x m</w:t>
            </w:r>
            <w:r w:rsidRPr="00064185">
              <w:rPr>
                <w:vertAlign w:val="superscript"/>
              </w:rPr>
              <w:t>-3</w:t>
            </w:r>
            <w:r w:rsidRPr="00064185">
              <w:t>]</w:t>
            </w:r>
          </w:p>
        </w:tc>
        <w:tc>
          <w:tcPr>
            <w:tcW w:w="2727" w:type="pct"/>
            <w:vAlign w:val="center"/>
            <w:hideMark/>
          </w:tcPr>
          <w:p w14:paraId="6ED9427E" w14:textId="77777777" w:rsidR="000A229F" w:rsidRPr="00064185" w:rsidRDefault="000A229F" w:rsidP="00EA61D8">
            <w:pPr>
              <w:keepNext/>
            </w:pPr>
            <w:r w:rsidRPr="00064185">
              <w:t>Fwater</w:t>
            </w:r>
            <w:r w:rsidRPr="00064185">
              <w:rPr>
                <w:vertAlign w:val="subscript"/>
              </w:rPr>
              <w:t>soil</w:t>
            </w:r>
          </w:p>
        </w:tc>
        <w:tc>
          <w:tcPr>
            <w:tcW w:w="644" w:type="pct"/>
            <w:vAlign w:val="center"/>
            <w:hideMark/>
          </w:tcPr>
          <w:p w14:paraId="1FD8CA5F" w14:textId="77777777" w:rsidR="000A229F" w:rsidRPr="00064185" w:rsidRDefault="000A229F" w:rsidP="0090052B">
            <w:pPr>
              <w:ind w:left="-127" w:right="-171"/>
              <w:jc w:val="center"/>
            </w:pPr>
            <w:r w:rsidRPr="00064185">
              <w:t>0.2</w:t>
            </w:r>
          </w:p>
        </w:tc>
      </w:tr>
      <w:tr w:rsidR="00064185" w:rsidRPr="00064185" w14:paraId="22B7C870" w14:textId="77777777" w:rsidTr="0090052B">
        <w:trPr>
          <w:trHeight w:val="159"/>
          <w:jc w:val="center"/>
        </w:trPr>
        <w:tc>
          <w:tcPr>
            <w:tcW w:w="1629" w:type="pct"/>
            <w:vAlign w:val="center"/>
            <w:hideMark/>
          </w:tcPr>
          <w:p w14:paraId="3863A1DC" w14:textId="77777777" w:rsidR="000A229F" w:rsidRPr="00064185" w:rsidRDefault="000A229F" w:rsidP="00EA61D8">
            <w:pPr>
              <w:tabs>
                <w:tab w:val="left" w:pos="720"/>
                <w:tab w:val="left" w:pos="2127"/>
                <w:tab w:val="left" w:pos="2552"/>
                <w:tab w:val="left" w:pos="7371"/>
                <w:tab w:val="right" w:pos="7921"/>
              </w:tabs>
            </w:pPr>
            <w:r w:rsidRPr="00064185">
              <w:t>Fraction solids in compartment soil [m³ x m</w:t>
            </w:r>
            <w:r w:rsidRPr="00064185">
              <w:rPr>
                <w:vertAlign w:val="superscript"/>
              </w:rPr>
              <w:t>-3</w:t>
            </w:r>
            <w:r w:rsidRPr="00064185">
              <w:t>]</w:t>
            </w:r>
          </w:p>
        </w:tc>
        <w:tc>
          <w:tcPr>
            <w:tcW w:w="2727" w:type="pct"/>
            <w:vAlign w:val="center"/>
            <w:hideMark/>
          </w:tcPr>
          <w:p w14:paraId="614537D5" w14:textId="77777777" w:rsidR="000A229F" w:rsidRPr="00064185" w:rsidRDefault="000A229F" w:rsidP="00EA61D8">
            <w:pPr>
              <w:keepNext/>
            </w:pPr>
            <w:r w:rsidRPr="00064185">
              <w:t>Fsolid</w:t>
            </w:r>
            <w:r w:rsidRPr="00064185">
              <w:rPr>
                <w:vertAlign w:val="subscript"/>
              </w:rPr>
              <w:t>soil</w:t>
            </w:r>
          </w:p>
        </w:tc>
        <w:tc>
          <w:tcPr>
            <w:tcW w:w="644" w:type="pct"/>
            <w:vAlign w:val="center"/>
            <w:hideMark/>
          </w:tcPr>
          <w:p w14:paraId="377BC816" w14:textId="77777777" w:rsidR="000A229F" w:rsidRPr="00064185" w:rsidRDefault="000A229F" w:rsidP="0090052B">
            <w:pPr>
              <w:ind w:left="-127" w:right="-171"/>
              <w:jc w:val="center"/>
            </w:pPr>
            <w:r w:rsidRPr="00064185">
              <w:t>0.6</w:t>
            </w:r>
          </w:p>
        </w:tc>
      </w:tr>
      <w:tr w:rsidR="00064185" w:rsidRPr="00064185" w14:paraId="2C1A59E6" w14:textId="77777777" w:rsidTr="0090052B">
        <w:trPr>
          <w:trHeight w:val="159"/>
          <w:jc w:val="center"/>
        </w:trPr>
        <w:tc>
          <w:tcPr>
            <w:tcW w:w="1629" w:type="pct"/>
            <w:vAlign w:val="center"/>
            <w:hideMark/>
          </w:tcPr>
          <w:p w14:paraId="7F913F5C" w14:textId="20CF7B3D" w:rsidR="000A229F" w:rsidRPr="00064185" w:rsidRDefault="000A229F" w:rsidP="00EA61D8">
            <w:pPr>
              <w:tabs>
                <w:tab w:val="left" w:pos="720"/>
                <w:tab w:val="left" w:pos="2127"/>
                <w:tab w:val="left" w:pos="2552"/>
                <w:tab w:val="left" w:pos="7371"/>
                <w:tab w:val="right" w:pos="7921"/>
              </w:tabs>
            </w:pPr>
            <w:r w:rsidRPr="00064185">
              <w:t>Solids-water partitioning co</w:t>
            </w:r>
            <w:r w:rsidR="00A56F50" w:rsidRPr="00064185">
              <w:t>efficient in compartment soil [l</w:t>
            </w:r>
            <w:r w:rsidRPr="00064185">
              <w:t xml:space="preserve"> x kg</w:t>
            </w:r>
            <w:r w:rsidRPr="00064185">
              <w:rPr>
                <w:vertAlign w:val="superscript"/>
              </w:rPr>
              <w:t>-1</w:t>
            </w:r>
            <w:r w:rsidRPr="00064185">
              <w:t>]</w:t>
            </w:r>
          </w:p>
        </w:tc>
        <w:tc>
          <w:tcPr>
            <w:tcW w:w="2727" w:type="pct"/>
            <w:vAlign w:val="center"/>
            <w:hideMark/>
          </w:tcPr>
          <w:p w14:paraId="0238A1FD" w14:textId="77777777" w:rsidR="000A229F" w:rsidRPr="00064185" w:rsidRDefault="000A229F" w:rsidP="00EA61D8">
            <w:pPr>
              <w:keepNext/>
            </w:pPr>
            <w:r w:rsidRPr="00064185">
              <w:t>Kp</w:t>
            </w:r>
            <w:r w:rsidRPr="00064185">
              <w:rPr>
                <w:vertAlign w:val="subscript"/>
              </w:rPr>
              <w:t>soil</w:t>
            </w:r>
          </w:p>
        </w:tc>
        <w:tc>
          <w:tcPr>
            <w:tcW w:w="644" w:type="pct"/>
            <w:vAlign w:val="center"/>
            <w:hideMark/>
          </w:tcPr>
          <w:p w14:paraId="51AB1A3C" w14:textId="77777777" w:rsidR="000A229F" w:rsidRPr="00064185" w:rsidRDefault="000A229F" w:rsidP="0090052B">
            <w:pPr>
              <w:ind w:left="-127" w:right="-171"/>
              <w:jc w:val="center"/>
              <w:rPr>
                <w:bCs/>
              </w:rPr>
            </w:pPr>
            <w:r w:rsidRPr="00064185">
              <w:rPr>
                <w:bCs/>
              </w:rPr>
              <w:t>1402</w:t>
            </w:r>
          </w:p>
        </w:tc>
      </w:tr>
      <w:tr w:rsidR="00064185" w:rsidRPr="00064185" w14:paraId="1625BF19" w14:textId="77777777" w:rsidTr="0090052B">
        <w:trPr>
          <w:trHeight w:val="159"/>
          <w:jc w:val="center"/>
        </w:trPr>
        <w:tc>
          <w:tcPr>
            <w:tcW w:w="1629" w:type="pct"/>
            <w:vAlign w:val="center"/>
            <w:hideMark/>
          </w:tcPr>
          <w:p w14:paraId="09F79ED4" w14:textId="77777777" w:rsidR="000A229F" w:rsidRPr="00064185" w:rsidRDefault="000A229F" w:rsidP="00EA61D8">
            <w:pPr>
              <w:tabs>
                <w:tab w:val="left" w:pos="720"/>
                <w:tab w:val="left" w:pos="2127"/>
                <w:tab w:val="left" w:pos="2552"/>
                <w:tab w:val="left" w:pos="7371"/>
                <w:tab w:val="right" w:pos="7921"/>
              </w:tabs>
            </w:pPr>
            <w:r w:rsidRPr="00064185">
              <w:t>Density of the solid phase (kg x m</w:t>
            </w:r>
            <w:r w:rsidRPr="00064185">
              <w:rPr>
                <w:vertAlign w:val="superscript"/>
              </w:rPr>
              <w:t>-3</w:t>
            </w:r>
            <w:r w:rsidRPr="00064185">
              <w:t>) [kg x m</w:t>
            </w:r>
            <w:r w:rsidRPr="00064185">
              <w:rPr>
                <w:vertAlign w:val="superscript"/>
              </w:rPr>
              <w:t>-3</w:t>
            </w:r>
            <w:r w:rsidRPr="00064185">
              <w:t>]</w:t>
            </w:r>
          </w:p>
        </w:tc>
        <w:tc>
          <w:tcPr>
            <w:tcW w:w="2727" w:type="pct"/>
            <w:vAlign w:val="center"/>
            <w:hideMark/>
          </w:tcPr>
          <w:p w14:paraId="7B94EF6C" w14:textId="77777777" w:rsidR="000A229F" w:rsidRPr="00064185" w:rsidRDefault="000A229F" w:rsidP="00EA61D8">
            <w:pPr>
              <w:keepNext/>
            </w:pPr>
            <w:r w:rsidRPr="00064185">
              <w:t>RHO</w:t>
            </w:r>
            <w:r w:rsidRPr="00064185">
              <w:rPr>
                <w:vertAlign w:val="subscript"/>
              </w:rPr>
              <w:t>solid</w:t>
            </w:r>
          </w:p>
        </w:tc>
        <w:tc>
          <w:tcPr>
            <w:tcW w:w="644" w:type="pct"/>
            <w:vAlign w:val="center"/>
            <w:hideMark/>
          </w:tcPr>
          <w:p w14:paraId="1BB1FC38" w14:textId="77777777" w:rsidR="000A229F" w:rsidRPr="00064185" w:rsidRDefault="000A229F" w:rsidP="0090052B">
            <w:pPr>
              <w:ind w:left="-127" w:right="-171"/>
              <w:jc w:val="center"/>
            </w:pPr>
            <w:r w:rsidRPr="00064185">
              <w:t>2500</w:t>
            </w:r>
          </w:p>
        </w:tc>
      </w:tr>
      <w:tr w:rsidR="00D2569C" w:rsidRPr="00064185" w14:paraId="59EAC575" w14:textId="77777777" w:rsidTr="0090052B">
        <w:trPr>
          <w:trHeight w:val="660"/>
          <w:jc w:val="center"/>
        </w:trPr>
        <w:tc>
          <w:tcPr>
            <w:tcW w:w="1629" w:type="pct"/>
            <w:vAlign w:val="center"/>
            <w:hideMark/>
          </w:tcPr>
          <w:p w14:paraId="4120D1E3" w14:textId="77777777" w:rsidR="000A229F" w:rsidRPr="00064185" w:rsidRDefault="000A229F" w:rsidP="00EA61D8">
            <w:pPr>
              <w:rPr>
                <w:b/>
              </w:rPr>
            </w:pPr>
            <w:r w:rsidRPr="00064185">
              <w:rPr>
                <w:b/>
              </w:rPr>
              <w:t>Soil-water partitioning coefficient [m³ x m</w:t>
            </w:r>
            <w:r w:rsidRPr="00064185">
              <w:rPr>
                <w:b/>
                <w:vertAlign w:val="superscript"/>
              </w:rPr>
              <w:t>-3</w:t>
            </w:r>
            <w:r w:rsidRPr="00064185">
              <w:rPr>
                <w:b/>
              </w:rPr>
              <w:t>]</w:t>
            </w:r>
          </w:p>
        </w:tc>
        <w:tc>
          <w:tcPr>
            <w:tcW w:w="2727" w:type="pct"/>
            <w:vAlign w:val="center"/>
            <w:hideMark/>
          </w:tcPr>
          <w:p w14:paraId="2320C6F6" w14:textId="12050339" w:rsidR="000A229F" w:rsidRPr="00064185" w:rsidRDefault="000A229F" w:rsidP="00EA61D8">
            <w:pPr>
              <w:rPr>
                <w:b/>
              </w:rPr>
            </w:pPr>
            <w:r w:rsidRPr="00064185">
              <w:rPr>
                <w:noProof/>
                <w:lang w:val="de-AT" w:eastAsia="de-AT"/>
              </w:rPr>
              <w:drawing>
                <wp:inline distT="0" distB="0" distL="0" distR="0" wp14:anchorId="7A632CBD" wp14:editId="3E4256B4">
                  <wp:extent cx="3240405" cy="33655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40405" cy="336550"/>
                          </a:xfrm>
                          <a:prstGeom prst="rect">
                            <a:avLst/>
                          </a:prstGeom>
                          <a:noFill/>
                          <a:ln>
                            <a:noFill/>
                          </a:ln>
                        </pic:spPr>
                      </pic:pic>
                    </a:graphicData>
                  </a:graphic>
                </wp:inline>
              </w:drawing>
            </w:r>
          </w:p>
        </w:tc>
        <w:tc>
          <w:tcPr>
            <w:tcW w:w="644" w:type="pct"/>
            <w:vAlign w:val="center"/>
            <w:hideMark/>
          </w:tcPr>
          <w:p w14:paraId="3B7D8882" w14:textId="77777777" w:rsidR="000A229F" w:rsidRPr="00064185" w:rsidRDefault="000A229F" w:rsidP="0090052B">
            <w:pPr>
              <w:ind w:left="-127" w:right="-171"/>
              <w:jc w:val="center"/>
              <w:rPr>
                <w:b/>
              </w:rPr>
            </w:pPr>
            <w:r w:rsidRPr="00064185">
              <w:rPr>
                <w:b/>
              </w:rPr>
              <w:t>2103.2</w:t>
            </w:r>
          </w:p>
        </w:tc>
      </w:tr>
    </w:tbl>
    <w:p w14:paraId="1EA5F85E" w14:textId="77777777" w:rsidR="000A229F" w:rsidRPr="00064185" w:rsidRDefault="000A229F" w:rsidP="00EA61D8">
      <w:pPr>
        <w:rPr>
          <w:szCs w:val="22"/>
        </w:rPr>
      </w:pPr>
    </w:p>
    <w:p w14:paraId="271AFC27" w14:textId="77777777" w:rsidR="006C6C9F" w:rsidRPr="00064185" w:rsidRDefault="006C6C9F" w:rsidP="00EA61D8">
      <w:pPr>
        <w:rPr>
          <w:szCs w:val="22"/>
        </w:rPr>
        <w:sectPr w:rsidR="006C6C9F" w:rsidRPr="00064185" w:rsidSect="00F8285E">
          <w:headerReference w:type="default" r:id="rId33"/>
          <w:endnotePr>
            <w:numFmt w:val="decimal"/>
          </w:endnotePr>
          <w:pgSz w:w="11907" w:h="16840" w:code="9"/>
          <w:pgMar w:top="1474" w:right="1247" w:bottom="2013" w:left="1446" w:header="850" w:footer="850" w:gutter="0"/>
          <w:cols w:space="720"/>
          <w:titlePg/>
          <w:docGrid w:linePitch="272"/>
        </w:sectPr>
      </w:pPr>
    </w:p>
    <w:p w14:paraId="6035DFF9" w14:textId="082EEF8F" w:rsidR="000A229F" w:rsidRPr="00064185" w:rsidRDefault="000A229F" w:rsidP="00EA61D8">
      <w:pPr>
        <w:rPr>
          <w:szCs w:val="22"/>
        </w:rPr>
      </w:pPr>
      <w:r w:rsidRPr="00064185">
        <w:rPr>
          <w:szCs w:val="22"/>
        </w:rPr>
        <w:lastRenderedPageBreak/>
        <w:t xml:space="preserve">As result, the soil-water partitioning coefficient is calculated and used as </w:t>
      </w:r>
      <w:r w:rsidRPr="00064185">
        <w:t xml:space="preserve">input parameter to calculate the local pore water concentration. Degradation of </w:t>
      </w:r>
      <w:r w:rsidR="00BB7DBB" w:rsidRPr="00064185">
        <w:rPr>
          <w:i/>
        </w:rPr>
        <w:t>lamb</w:t>
      </w:r>
      <w:r w:rsidRPr="00064185">
        <w:rPr>
          <w:i/>
        </w:rPr>
        <w:t>da</w:t>
      </w:r>
      <w:r w:rsidRPr="00064185">
        <w:t xml:space="preserve">-cyhalothrin in soils is not considered. </w:t>
      </w:r>
    </w:p>
    <w:p w14:paraId="4A726DF5" w14:textId="77777777" w:rsidR="00E923EE" w:rsidRPr="00064185" w:rsidRDefault="00E923EE" w:rsidP="00EA61D8">
      <w:pPr>
        <w:spacing w:line="276" w:lineRule="auto"/>
        <w:rPr>
          <w:u w:val="single"/>
        </w:rPr>
      </w:pPr>
    </w:p>
    <w:p w14:paraId="7D1735FB" w14:textId="0FB2A78B" w:rsidR="00E923EE" w:rsidRPr="00064185" w:rsidRDefault="00E923EE" w:rsidP="00EA61D8">
      <w:pPr>
        <w:spacing w:line="276" w:lineRule="auto"/>
        <w:rPr>
          <w:u w:val="single"/>
        </w:rPr>
      </w:pPr>
      <w:r w:rsidRPr="00064185">
        <w:rPr>
          <w:u w:val="single"/>
        </w:rPr>
        <w:t>Residual treatment:</w:t>
      </w:r>
    </w:p>
    <w:p w14:paraId="0DDE4BA5" w14:textId="77777777" w:rsidR="000A229F" w:rsidRPr="00064185" w:rsidRDefault="000A229F" w:rsidP="00EA61D8">
      <w:pPr>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1"/>
        <w:gridCol w:w="1822"/>
        <w:gridCol w:w="2971"/>
        <w:gridCol w:w="1414"/>
        <w:gridCol w:w="2229"/>
        <w:gridCol w:w="1646"/>
        <w:gridCol w:w="1490"/>
      </w:tblGrid>
      <w:tr w:rsidR="00064185" w:rsidRPr="00064185" w14:paraId="4E048732" w14:textId="77777777" w:rsidTr="006C6C9F">
        <w:trPr>
          <w:trHeight w:val="413"/>
          <w:jc w:val="center"/>
        </w:trPr>
        <w:tc>
          <w:tcPr>
            <w:tcW w:w="5000" w:type="pct"/>
            <w:gridSpan w:val="7"/>
            <w:shd w:val="clear" w:color="auto" w:fill="FFFFCC"/>
            <w:noWrap/>
            <w:vAlign w:val="center"/>
          </w:tcPr>
          <w:p w14:paraId="0692EFC2" w14:textId="588983EF" w:rsidR="008C58CA" w:rsidRPr="00064185" w:rsidRDefault="008C58CA" w:rsidP="00EA61D8">
            <w:pPr>
              <w:keepNext/>
              <w:keepLines/>
              <w:tabs>
                <w:tab w:val="right" w:pos="1370"/>
              </w:tabs>
              <w:spacing w:before="60" w:afterLines="60" w:after="144"/>
              <w:contextualSpacing/>
              <w:rPr>
                <w:b/>
                <w:bCs/>
              </w:rPr>
            </w:pPr>
            <w:bookmarkStart w:id="1820" w:name="_Ref160000718"/>
            <w:bookmarkStart w:id="1821" w:name="_Ref135795899"/>
            <w:bookmarkEnd w:id="1820"/>
            <w:bookmarkEnd w:id="1821"/>
            <w:r w:rsidRPr="00064185">
              <w:rPr>
                <w:b/>
              </w:rPr>
              <w:t>Calculation of the predicted environmental concentration in pore water (</w:t>
            </w:r>
            <w:r w:rsidRPr="00064185">
              <w:rPr>
                <w:b/>
                <w:i/>
              </w:rPr>
              <w:t>cf.</w:t>
            </w:r>
            <w:r w:rsidRPr="00064185">
              <w:rPr>
                <w:b/>
              </w:rPr>
              <w:t xml:space="preserve"> TGD, Equation 67)</w:t>
            </w:r>
          </w:p>
        </w:tc>
      </w:tr>
      <w:tr w:rsidR="00064185" w:rsidRPr="00064185" w14:paraId="7CC26D57" w14:textId="77777777" w:rsidTr="00E923EE">
        <w:trPr>
          <w:trHeight w:val="162"/>
          <w:jc w:val="center"/>
        </w:trPr>
        <w:tc>
          <w:tcPr>
            <w:tcW w:w="1387" w:type="pct"/>
            <w:gridSpan w:val="2"/>
            <w:vMerge w:val="restart"/>
            <w:noWrap/>
            <w:vAlign w:val="center"/>
            <w:hideMark/>
          </w:tcPr>
          <w:p w14:paraId="7DD0BF43" w14:textId="77777777" w:rsidR="00E42CCF" w:rsidRPr="00064185" w:rsidRDefault="00E42CCF" w:rsidP="00EA61D8">
            <w:pPr>
              <w:keepNext/>
              <w:keepLines/>
              <w:spacing w:before="60" w:afterLines="60" w:after="144"/>
              <w:contextualSpacing/>
              <w:rPr>
                <w:rFonts w:ascii="Arial" w:hAnsi="Arial" w:cs="Arial"/>
              </w:rPr>
            </w:pPr>
            <w:r w:rsidRPr="00064185">
              <w:rPr>
                <w:b/>
                <w:bCs/>
              </w:rPr>
              <w:t>Parameter</w:t>
            </w:r>
          </w:p>
        </w:tc>
        <w:tc>
          <w:tcPr>
            <w:tcW w:w="1101" w:type="pct"/>
            <w:vMerge w:val="restart"/>
            <w:vAlign w:val="center"/>
            <w:hideMark/>
          </w:tcPr>
          <w:p w14:paraId="4C466034" w14:textId="77777777" w:rsidR="00E42CCF" w:rsidRPr="00064185" w:rsidRDefault="00E42CCF" w:rsidP="00EA61D8">
            <w:pPr>
              <w:keepNext/>
              <w:keepLines/>
              <w:spacing w:before="60" w:afterLines="60" w:after="144"/>
              <w:contextualSpacing/>
              <w:rPr>
                <w:b/>
                <w:bCs/>
              </w:rPr>
            </w:pPr>
            <w:r w:rsidRPr="00064185">
              <w:rPr>
                <w:b/>
                <w:bCs/>
              </w:rPr>
              <w:t>Definition</w:t>
            </w:r>
          </w:p>
        </w:tc>
        <w:tc>
          <w:tcPr>
            <w:tcW w:w="1960" w:type="pct"/>
            <w:gridSpan w:val="3"/>
            <w:vAlign w:val="center"/>
            <w:hideMark/>
          </w:tcPr>
          <w:p w14:paraId="6E2B4829" w14:textId="0D096C31" w:rsidR="00E42CCF" w:rsidRPr="00064185" w:rsidRDefault="00E42CCF" w:rsidP="00EA61D8">
            <w:pPr>
              <w:keepNext/>
              <w:keepLines/>
              <w:tabs>
                <w:tab w:val="right" w:pos="1370"/>
              </w:tabs>
              <w:spacing w:before="60" w:afterLines="60" w:after="144"/>
              <w:contextualSpacing/>
              <w:rPr>
                <w:bCs/>
              </w:rPr>
            </w:pPr>
            <w:r w:rsidRPr="00064185">
              <w:rPr>
                <w:b/>
                <w:bCs/>
              </w:rPr>
              <w:t>Indoor use</w:t>
            </w:r>
          </w:p>
        </w:tc>
        <w:tc>
          <w:tcPr>
            <w:tcW w:w="552" w:type="pct"/>
            <w:vAlign w:val="center"/>
          </w:tcPr>
          <w:p w14:paraId="42E59643" w14:textId="3D884388" w:rsidR="00E42CCF" w:rsidRPr="00064185" w:rsidRDefault="00E42CCF" w:rsidP="00EA61D8">
            <w:pPr>
              <w:keepNext/>
              <w:keepLines/>
              <w:tabs>
                <w:tab w:val="right" w:pos="1370"/>
              </w:tabs>
              <w:spacing w:before="60" w:afterLines="60" w:after="144"/>
              <w:contextualSpacing/>
              <w:rPr>
                <w:bCs/>
              </w:rPr>
            </w:pPr>
            <w:r w:rsidRPr="00064185">
              <w:rPr>
                <w:b/>
                <w:bCs/>
              </w:rPr>
              <w:t>Outdoor use</w:t>
            </w:r>
          </w:p>
        </w:tc>
      </w:tr>
      <w:tr w:rsidR="00064185" w:rsidRPr="00064185" w14:paraId="1F5BEC44" w14:textId="77777777" w:rsidTr="00E923EE">
        <w:trPr>
          <w:trHeight w:val="161"/>
          <w:jc w:val="center"/>
        </w:trPr>
        <w:tc>
          <w:tcPr>
            <w:tcW w:w="1387" w:type="pct"/>
            <w:gridSpan w:val="2"/>
            <w:vMerge/>
            <w:noWrap/>
            <w:vAlign w:val="center"/>
          </w:tcPr>
          <w:p w14:paraId="2FBBC469" w14:textId="77777777" w:rsidR="00E42CCF" w:rsidRPr="00064185" w:rsidRDefault="00E42CCF" w:rsidP="00EA61D8">
            <w:pPr>
              <w:keepNext/>
              <w:keepLines/>
              <w:spacing w:before="60" w:afterLines="60" w:after="144"/>
              <w:contextualSpacing/>
              <w:rPr>
                <w:b/>
                <w:bCs/>
              </w:rPr>
            </w:pPr>
          </w:p>
        </w:tc>
        <w:tc>
          <w:tcPr>
            <w:tcW w:w="1101" w:type="pct"/>
            <w:vMerge/>
            <w:vAlign w:val="center"/>
          </w:tcPr>
          <w:p w14:paraId="516AC423" w14:textId="77777777" w:rsidR="00E42CCF" w:rsidRPr="00064185" w:rsidRDefault="00E42CCF" w:rsidP="00EA61D8">
            <w:pPr>
              <w:keepNext/>
              <w:keepLines/>
              <w:spacing w:before="60" w:afterLines="60" w:after="144"/>
              <w:contextualSpacing/>
              <w:rPr>
                <w:b/>
                <w:bCs/>
              </w:rPr>
            </w:pPr>
          </w:p>
        </w:tc>
        <w:tc>
          <w:tcPr>
            <w:tcW w:w="524" w:type="pct"/>
            <w:vAlign w:val="center"/>
          </w:tcPr>
          <w:p w14:paraId="6DA610AA" w14:textId="0EAFD9B6" w:rsidR="00E42CCF" w:rsidRPr="00064185" w:rsidRDefault="00E42CCF" w:rsidP="00EA61D8">
            <w:pPr>
              <w:keepNext/>
              <w:keepLines/>
              <w:tabs>
                <w:tab w:val="right" w:pos="1370"/>
              </w:tabs>
              <w:spacing w:before="60" w:afterLines="60" w:after="144"/>
              <w:contextualSpacing/>
              <w:rPr>
                <w:bCs/>
              </w:rPr>
            </w:pPr>
            <w:r w:rsidRPr="00064185">
              <w:rPr>
                <w:b/>
                <w:bCs/>
              </w:rPr>
              <w:t>Ants</w:t>
            </w:r>
          </w:p>
        </w:tc>
        <w:tc>
          <w:tcPr>
            <w:tcW w:w="826" w:type="pct"/>
            <w:vAlign w:val="center"/>
          </w:tcPr>
          <w:p w14:paraId="16DA3D26" w14:textId="3CCADCB2" w:rsidR="00E42CCF" w:rsidRPr="00064185" w:rsidRDefault="00E42CCF" w:rsidP="00EA61D8">
            <w:pPr>
              <w:keepNext/>
              <w:keepLines/>
              <w:tabs>
                <w:tab w:val="right" w:pos="1370"/>
              </w:tabs>
              <w:spacing w:before="60" w:afterLines="60" w:after="144"/>
              <w:contextualSpacing/>
              <w:rPr>
                <w:bCs/>
              </w:rPr>
            </w:pPr>
            <w:r w:rsidRPr="00064185">
              <w:rPr>
                <w:b/>
                <w:bCs/>
              </w:rPr>
              <w:t>Silverfish &amp; Cockroaches</w:t>
            </w:r>
          </w:p>
        </w:tc>
        <w:tc>
          <w:tcPr>
            <w:tcW w:w="609" w:type="pct"/>
            <w:vAlign w:val="center"/>
          </w:tcPr>
          <w:p w14:paraId="4D68AA27" w14:textId="4D81804A" w:rsidR="00E42CCF" w:rsidRPr="00064185" w:rsidRDefault="00E42CCF" w:rsidP="00EA61D8">
            <w:pPr>
              <w:keepNext/>
              <w:keepLines/>
              <w:tabs>
                <w:tab w:val="right" w:pos="1370"/>
              </w:tabs>
              <w:spacing w:before="60" w:afterLines="60" w:after="144"/>
              <w:contextualSpacing/>
              <w:rPr>
                <w:bCs/>
              </w:rPr>
            </w:pPr>
            <w:r w:rsidRPr="00064185">
              <w:rPr>
                <w:b/>
                <w:bCs/>
              </w:rPr>
              <w:t>Wood lice</w:t>
            </w:r>
          </w:p>
        </w:tc>
        <w:tc>
          <w:tcPr>
            <w:tcW w:w="552" w:type="pct"/>
            <w:vAlign w:val="center"/>
          </w:tcPr>
          <w:p w14:paraId="07F3644F" w14:textId="709E9465" w:rsidR="00E42CCF" w:rsidRPr="00064185" w:rsidRDefault="00E42CCF" w:rsidP="00EA61D8">
            <w:pPr>
              <w:keepNext/>
              <w:keepLines/>
              <w:tabs>
                <w:tab w:val="right" w:pos="1370"/>
              </w:tabs>
              <w:spacing w:before="60" w:afterLines="60" w:after="144"/>
              <w:contextualSpacing/>
              <w:rPr>
                <w:bCs/>
              </w:rPr>
            </w:pPr>
            <w:r w:rsidRPr="00064185">
              <w:rPr>
                <w:b/>
                <w:bCs/>
              </w:rPr>
              <w:t>Ants</w:t>
            </w:r>
          </w:p>
        </w:tc>
      </w:tr>
      <w:tr w:rsidR="00064185" w:rsidRPr="00064185" w14:paraId="272ABC20" w14:textId="77777777" w:rsidTr="00E923EE">
        <w:trPr>
          <w:trHeight w:val="331"/>
          <w:jc w:val="center"/>
        </w:trPr>
        <w:tc>
          <w:tcPr>
            <w:tcW w:w="712" w:type="pct"/>
            <w:vMerge w:val="restart"/>
            <w:vAlign w:val="center"/>
            <w:hideMark/>
          </w:tcPr>
          <w:p w14:paraId="6F549615" w14:textId="3139D487" w:rsidR="00721733" w:rsidRPr="00064185" w:rsidRDefault="00721733" w:rsidP="00EA61D8">
            <w:pPr>
              <w:keepNext/>
              <w:spacing w:before="60" w:afterLines="60" w:after="144"/>
              <w:contextualSpacing/>
            </w:pPr>
            <w:r w:rsidRPr="00064185">
              <w:t>Local concentration in soil [µg/kg]</w:t>
            </w:r>
          </w:p>
        </w:tc>
        <w:tc>
          <w:tcPr>
            <w:tcW w:w="675" w:type="pct"/>
            <w:vAlign w:val="center"/>
          </w:tcPr>
          <w:p w14:paraId="49E99D1D" w14:textId="7DA2EC78" w:rsidR="00721733" w:rsidRPr="00064185" w:rsidRDefault="00721733" w:rsidP="00EA61D8">
            <w:pPr>
              <w:keepNext/>
              <w:spacing w:before="60" w:afterLines="60" w:after="144"/>
              <w:contextualSpacing/>
            </w:pPr>
            <w:r w:rsidRPr="00064185">
              <w:t>sludge application</w:t>
            </w:r>
          </w:p>
        </w:tc>
        <w:tc>
          <w:tcPr>
            <w:tcW w:w="1101" w:type="pct"/>
            <w:vMerge w:val="restart"/>
            <w:vAlign w:val="center"/>
            <w:hideMark/>
          </w:tcPr>
          <w:p w14:paraId="223D3AC7" w14:textId="7FA5F9D9" w:rsidR="00721733" w:rsidRPr="00064185" w:rsidRDefault="00721733" w:rsidP="00EA61D8">
            <w:pPr>
              <w:keepNext/>
              <w:spacing w:before="60" w:afterLines="60" w:after="144"/>
              <w:contextualSpacing/>
            </w:pPr>
            <w:r w:rsidRPr="00064185">
              <w:t>PEClocal</w:t>
            </w:r>
            <w:r w:rsidRPr="00064185">
              <w:rPr>
                <w:vertAlign w:val="subscript"/>
              </w:rPr>
              <w:t>soil</w:t>
            </w:r>
          </w:p>
        </w:tc>
        <w:tc>
          <w:tcPr>
            <w:tcW w:w="524" w:type="pct"/>
            <w:shd w:val="clear" w:color="auto" w:fill="auto"/>
            <w:vAlign w:val="center"/>
            <w:hideMark/>
          </w:tcPr>
          <w:p w14:paraId="20DDA8D7" w14:textId="0AA1284F" w:rsidR="00721733" w:rsidRPr="00064185" w:rsidRDefault="00D86488" w:rsidP="00EA61D8">
            <w:pPr>
              <w:keepNext/>
              <w:tabs>
                <w:tab w:val="right" w:pos="1370"/>
              </w:tabs>
              <w:spacing w:before="60" w:afterLines="60" w:after="144"/>
              <w:contextualSpacing/>
            </w:pPr>
            <w:r w:rsidRPr="00064185">
              <w:t>1.08</w:t>
            </w:r>
          </w:p>
        </w:tc>
        <w:tc>
          <w:tcPr>
            <w:tcW w:w="826" w:type="pct"/>
            <w:shd w:val="clear" w:color="auto" w:fill="auto"/>
            <w:vAlign w:val="center"/>
          </w:tcPr>
          <w:p w14:paraId="72A2F8C0" w14:textId="5057DF35" w:rsidR="00721733" w:rsidRPr="00064185" w:rsidRDefault="004829D4" w:rsidP="00EA61D8">
            <w:pPr>
              <w:keepNext/>
              <w:tabs>
                <w:tab w:val="right" w:pos="1370"/>
              </w:tabs>
              <w:spacing w:before="60" w:afterLines="60" w:after="144"/>
              <w:contextualSpacing/>
            </w:pPr>
            <w:r w:rsidRPr="00064185">
              <w:t>8.13</w:t>
            </w:r>
          </w:p>
        </w:tc>
        <w:tc>
          <w:tcPr>
            <w:tcW w:w="609" w:type="pct"/>
            <w:shd w:val="clear" w:color="auto" w:fill="auto"/>
            <w:vAlign w:val="center"/>
          </w:tcPr>
          <w:p w14:paraId="712DC3E0" w14:textId="156F7E54" w:rsidR="00721733" w:rsidRPr="00064185" w:rsidRDefault="004829D4" w:rsidP="00EA61D8">
            <w:pPr>
              <w:keepNext/>
              <w:tabs>
                <w:tab w:val="right" w:pos="1370"/>
              </w:tabs>
              <w:spacing w:before="60" w:afterLines="60" w:after="144"/>
              <w:contextualSpacing/>
            </w:pPr>
            <w:r w:rsidRPr="00064185">
              <w:t>0.60</w:t>
            </w:r>
          </w:p>
        </w:tc>
        <w:tc>
          <w:tcPr>
            <w:tcW w:w="552" w:type="pct"/>
            <w:shd w:val="clear" w:color="auto" w:fill="auto"/>
            <w:vAlign w:val="center"/>
          </w:tcPr>
          <w:p w14:paraId="2204A495" w14:textId="16C04D63" w:rsidR="00721733" w:rsidRPr="00064185" w:rsidRDefault="0043674A" w:rsidP="00EA61D8">
            <w:pPr>
              <w:keepNext/>
              <w:tabs>
                <w:tab w:val="right" w:pos="1370"/>
              </w:tabs>
              <w:spacing w:before="60" w:afterLines="60" w:after="144"/>
              <w:contextualSpacing/>
            </w:pPr>
            <w:r w:rsidRPr="00064185">
              <w:t>0.85</w:t>
            </w:r>
          </w:p>
        </w:tc>
      </w:tr>
      <w:tr w:rsidR="00064185" w:rsidRPr="00064185" w14:paraId="7C8FA249" w14:textId="77777777" w:rsidTr="00E923EE">
        <w:trPr>
          <w:trHeight w:val="331"/>
          <w:jc w:val="center"/>
        </w:trPr>
        <w:tc>
          <w:tcPr>
            <w:tcW w:w="712" w:type="pct"/>
            <w:vMerge/>
            <w:vAlign w:val="center"/>
          </w:tcPr>
          <w:p w14:paraId="56F587D6" w14:textId="77777777" w:rsidR="00721733" w:rsidRPr="00064185" w:rsidRDefault="00721733" w:rsidP="00EA61D8">
            <w:pPr>
              <w:keepNext/>
              <w:spacing w:before="60" w:afterLines="60" w:after="144"/>
              <w:contextualSpacing/>
            </w:pPr>
          </w:p>
        </w:tc>
        <w:tc>
          <w:tcPr>
            <w:tcW w:w="675" w:type="pct"/>
            <w:vAlign w:val="center"/>
          </w:tcPr>
          <w:p w14:paraId="48543712" w14:textId="275A3D6D" w:rsidR="00721733" w:rsidRPr="00064185" w:rsidRDefault="00721733" w:rsidP="00EA61D8">
            <w:pPr>
              <w:keepNext/>
              <w:spacing w:before="60" w:afterLines="60" w:after="144"/>
              <w:contextualSpacing/>
            </w:pPr>
            <w:r w:rsidRPr="00064185">
              <w:t>wash-off to soil</w:t>
            </w:r>
          </w:p>
        </w:tc>
        <w:tc>
          <w:tcPr>
            <w:tcW w:w="1101" w:type="pct"/>
            <w:vMerge/>
            <w:vAlign w:val="center"/>
          </w:tcPr>
          <w:p w14:paraId="61D1989C" w14:textId="77777777" w:rsidR="00721733" w:rsidRPr="00064185" w:rsidRDefault="00721733" w:rsidP="00EA61D8">
            <w:pPr>
              <w:keepNext/>
              <w:spacing w:before="60" w:afterLines="60" w:after="144"/>
              <w:contextualSpacing/>
            </w:pPr>
          </w:p>
        </w:tc>
        <w:tc>
          <w:tcPr>
            <w:tcW w:w="524" w:type="pct"/>
            <w:shd w:val="clear" w:color="auto" w:fill="auto"/>
            <w:vAlign w:val="center"/>
          </w:tcPr>
          <w:p w14:paraId="40D8882A" w14:textId="6E5E02CB" w:rsidR="00721733" w:rsidRPr="00064185" w:rsidRDefault="00721733" w:rsidP="00EA61D8">
            <w:pPr>
              <w:keepNext/>
              <w:tabs>
                <w:tab w:val="right" w:pos="1370"/>
              </w:tabs>
              <w:spacing w:before="60" w:afterLines="60" w:after="144"/>
              <w:contextualSpacing/>
            </w:pPr>
            <w:r w:rsidRPr="00064185">
              <w:t>-</w:t>
            </w:r>
          </w:p>
        </w:tc>
        <w:tc>
          <w:tcPr>
            <w:tcW w:w="826" w:type="pct"/>
            <w:shd w:val="clear" w:color="auto" w:fill="auto"/>
            <w:vAlign w:val="center"/>
          </w:tcPr>
          <w:p w14:paraId="4DEC97E3" w14:textId="279E27F9" w:rsidR="00721733" w:rsidRPr="00064185" w:rsidRDefault="00721733" w:rsidP="00EA61D8">
            <w:pPr>
              <w:keepNext/>
              <w:tabs>
                <w:tab w:val="right" w:pos="1370"/>
              </w:tabs>
              <w:spacing w:before="60" w:afterLines="60" w:after="144"/>
              <w:contextualSpacing/>
            </w:pPr>
            <w:r w:rsidRPr="00064185">
              <w:t>-</w:t>
            </w:r>
          </w:p>
        </w:tc>
        <w:tc>
          <w:tcPr>
            <w:tcW w:w="609" w:type="pct"/>
            <w:shd w:val="clear" w:color="auto" w:fill="auto"/>
            <w:vAlign w:val="center"/>
          </w:tcPr>
          <w:p w14:paraId="088BB722" w14:textId="7970499B" w:rsidR="00721733" w:rsidRPr="00064185" w:rsidRDefault="00721733" w:rsidP="00EA61D8">
            <w:pPr>
              <w:keepNext/>
              <w:tabs>
                <w:tab w:val="right" w:pos="1370"/>
              </w:tabs>
              <w:spacing w:before="60" w:afterLines="60" w:after="144"/>
              <w:contextualSpacing/>
            </w:pPr>
            <w:r w:rsidRPr="00064185">
              <w:t>-</w:t>
            </w:r>
          </w:p>
        </w:tc>
        <w:tc>
          <w:tcPr>
            <w:tcW w:w="552" w:type="pct"/>
            <w:shd w:val="clear" w:color="auto" w:fill="auto"/>
            <w:vAlign w:val="center"/>
          </w:tcPr>
          <w:p w14:paraId="72FD5AC1" w14:textId="0DD18CD3" w:rsidR="00721733" w:rsidRPr="00064185" w:rsidRDefault="00721733" w:rsidP="00EA61D8">
            <w:pPr>
              <w:keepNext/>
              <w:tabs>
                <w:tab w:val="right" w:pos="1370"/>
              </w:tabs>
              <w:spacing w:before="60" w:afterLines="60" w:after="144"/>
              <w:contextualSpacing/>
            </w:pPr>
            <w:r w:rsidRPr="00064185">
              <w:t>3.74</w:t>
            </w:r>
          </w:p>
        </w:tc>
      </w:tr>
      <w:tr w:rsidR="00064185" w:rsidRPr="00064185" w14:paraId="4445D363" w14:textId="77777777" w:rsidTr="00E923EE">
        <w:trPr>
          <w:trHeight w:val="361"/>
          <w:jc w:val="center"/>
        </w:trPr>
        <w:tc>
          <w:tcPr>
            <w:tcW w:w="1387" w:type="pct"/>
            <w:gridSpan w:val="2"/>
            <w:vAlign w:val="center"/>
            <w:hideMark/>
          </w:tcPr>
          <w:p w14:paraId="2D7FE2DB" w14:textId="37B5D5F9" w:rsidR="008E7DBC" w:rsidRPr="00064185" w:rsidRDefault="008E7DBC" w:rsidP="00EA61D8">
            <w:pPr>
              <w:keepNext/>
              <w:keepLines/>
              <w:tabs>
                <w:tab w:val="left" w:pos="720"/>
                <w:tab w:val="left" w:pos="2127"/>
                <w:tab w:val="left" w:pos="2552"/>
                <w:tab w:val="left" w:pos="7371"/>
                <w:tab w:val="right" w:pos="7921"/>
              </w:tabs>
              <w:spacing w:before="60" w:afterLines="60" w:after="144"/>
              <w:contextualSpacing/>
            </w:pPr>
            <w:r w:rsidRPr="00064185">
              <w:t>Bulk density of wet soil [kg/m</w:t>
            </w:r>
            <w:r w:rsidRPr="00064185">
              <w:rPr>
                <w:vertAlign w:val="superscript"/>
              </w:rPr>
              <w:t>3</w:t>
            </w:r>
            <w:r w:rsidRPr="00064185">
              <w:t>]</w:t>
            </w:r>
          </w:p>
        </w:tc>
        <w:tc>
          <w:tcPr>
            <w:tcW w:w="1101" w:type="pct"/>
            <w:vAlign w:val="center"/>
            <w:hideMark/>
          </w:tcPr>
          <w:p w14:paraId="1E2EAD20" w14:textId="77777777" w:rsidR="008E7DBC" w:rsidRPr="00064185" w:rsidRDefault="008E7DBC" w:rsidP="00EA61D8">
            <w:pPr>
              <w:keepNext/>
              <w:keepLines/>
              <w:spacing w:before="60" w:afterLines="60" w:after="144"/>
              <w:contextualSpacing/>
            </w:pPr>
            <w:r w:rsidRPr="00064185">
              <w:t>RHO</w:t>
            </w:r>
            <w:r w:rsidRPr="00064185">
              <w:rPr>
                <w:vertAlign w:val="subscript"/>
              </w:rPr>
              <w:t>soil</w:t>
            </w:r>
          </w:p>
        </w:tc>
        <w:tc>
          <w:tcPr>
            <w:tcW w:w="2512" w:type="pct"/>
            <w:gridSpan w:val="4"/>
            <w:vAlign w:val="center"/>
            <w:hideMark/>
          </w:tcPr>
          <w:p w14:paraId="7FB455A0" w14:textId="32E28930" w:rsidR="008E7DBC" w:rsidRPr="00064185" w:rsidRDefault="008E7DBC" w:rsidP="00EA61D8">
            <w:pPr>
              <w:keepNext/>
              <w:keepLines/>
              <w:spacing w:before="60" w:afterLines="60" w:after="144"/>
              <w:contextualSpacing/>
            </w:pPr>
            <w:r w:rsidRPr="00064185">
              <w:t>1700</w:t>
            </w:r>
          </w:p>
        </w:tc>
      </w:tr>
      <w:tr w:rsidR="00064185" w:rsidRPr="00064185" w14:paraId="31CE4D5E" w14:textId="77777777" w:rsidTr="00E923EE">
        <w:trPr>
          <w:trHeight w:val="343"/>
          <w:jc w:val="center"/>
        </w:trPr>
        <w:tc>
          <w:tcPr>
            <w:tcW w:w="1387" w:type="pct"/>
            <w:gridSpan w:val="2"/>
            <w:vAlign w:val="center"/>
            <w:hideMark/>
          </w:tcPr>
          <w:p w14:paraId="45CB44F9" w14:textId="2968C1E0" w:rsidR="008E7DBC" w:rsidRPr="00064185" w:rsidRDefault="008E7DBC" w:rsidP="00EA61D8">
            <w:pPr>
              <w:keepNext/>
              <w:keepLines/>
              <w:tabs>
                <w:tab w:val="left" w:pos="720"/>
                <w:tab w:val="left" w:pos="2127"/>
                <w:tab w:val="left" w:pos="2552"/>
                <w:tab w:val="left" w:pos="7371"/>
                <w:tab w:val="right" w:pos="7921"/>
              </w:tabs>
              <w:spacing w:before="60" w:afterLines="60" w:after="144"/>
              <w:contextualSpacing/>
            </w:pPr>
            <w:r w:rsidRPr="00064185">
              <w:t xml:space="preserve">Soil-water partitioning coefficient </w:t>
            </w:r>
            <w:r w:rsidRPr="00064185">
              <w:br/>
              <w:t>[m³/m</w:t>
            </w:r>
            <w:r w:rsidRPr="00064185">
              <w:rPr>
                <w:vertAlign w:val="superscript"/>
              </w:rPr>
              <w:t>3</w:t>
            </w:r>
            <w:r w:rsidRPr="00064185">
              <w:t>]</w:t>
            </w:r>
          </w:p>
        </w:tc>
        <w:tc>
          <w:tcPr>
            <w:tcW w:w="1101" w:type="pct"/>
            <w:vAlign w:val="center"/>
            <w:hideMark/>
          </w:tcPr>
          <w:p w14:paraId="2221CD4A" w14:textId="77777777" w:rsidR="008E7DBC" w:rsidRPr="00064185" w:rsidRDefault="008E7DBC" w:rsidP="00EA61D8">
            <w:pPr>
              <w:keepNext/>
              <w:keepLines/>
              <w:spacing w:before="60" w:afterLines="60" w:after="144"/>
              <w:contextualSpacing/>
            </w:pPr>
            <w:r w:rsidRPr="00064185">
              <w:t>K</w:t>
            </w:r>
            <w:r w:rsidRPr="00064185">
              <w:rPr>
                <w:vertAlign w:val="subscript"/>
              </w:rPr>
              <w:t>soil-water</w:t>
            </w:r>
          </w:p>
        </w:tc>
        <w:tc>
          <w:tcPr>
            <w:tcW w:w="2512" w:type="pct"/>
            <w:gridSpan w:val="4"/>
            <w:vAlign w:val="center"/>
            <w:hideMark/>
          </w:tcPr>
          <w:p w14:paraId="05CD58A4" w14:textId="322AA781" w:rsidR="008E7DBC" w:rsidRPr="00064185" w:rsidRDefault="008E7DBC" w:rsidP="00EA61D8">
            <w:pPr>
              <w:keepNext/>
              <w:keepLines/>
              <w:spacing w:before="60" w:afterLines="60" w:after="144"/>
              <w:contextualSpacing/>
            </w:pPr>
            <w:r w:rsidRPr="00064185">
              <w:t>2103.2</w:t>
            </w:r>
          </w:p>
        </w:tc>
      </w:tr>
      <w:tr w:rsidR="00064185" w:rsidRPr="00064185" w14:paraId="6FD51A9A" w14:textId="77777777" w:rsidTr="00E923EE">
        <w:trPr>
          <w:trHeight w:val="677"/>
          <w:jc w:val="center"/>
        </w:trPr>
        <w:tc>
          <w:tcPr>
            <w:tcW w:w="712" w:type="pct"/>
            <w:vMerge w:val="restart"/>
            <w:vAlign w:val="center"/>
            <w:hideMark/>
          </w:tcPr>
          <w:p w14:paraId="5625BE6A" w14:textId="43BAA5CC" w:rsidR="00721733" w:rsidRPr="00064185" w:rsidRDefault="00721733" w:rsidP="00EA61D8">
            <w:pPr>
              <w:keepNext/>
              <w:keepLines/>
              <w:spacing w:before="60" w:afterLines="60" w:after="144"/>
              <w:contextualSpacing/>
              <w:rPr>
                <w:b/>
              </w:rPr>
            </w:pPr>
            <w:r w:rsidRPr="00064185">
              <w:rPr>
                <w:b/>
              </w:rPr>
              <w:t>Predicted Environmental Co</w:t>
            </w:r>
            <w:r w:rsidR="00A56F50" w:rsidRPr="00064185">
              <w:rPr>
                <w:b/>
              </w:rPr>
              <w:t xml:space="preserve">ncentration in pore water </w:t>
            </w:r>
            <w:r w:rsidR="00A56F50" w:rsidRPr="00064185">
              <w:rPr>
                <w:b/>
              </w:rPr>
              <w:br/>
              <w:t>[µg/l</w:t>
            </w:r>
            <w:r w:rsidRPr="00064185">
              <w:rPr>
                <w:b/>
              </w:rPr>
              <w:t>]</w:t>
            </w:r>
          </w:p>
        </w:tc>
        <w:tc>
          <w:tcPr>
            <w:tcW w:w="675" w:type="pct"/>
            <w:vAlign w:val="center"/>
          </w:tcPr>
          <w:p w14:paraId="527AD50E" w14:textId="40BC8C91" w:rsidR="00721733" w:rsidRPr="00064185" w:rsidRDefault="00721733" w:rsidP="00EA61D8">
            <w:pPr>
              <w:keepNext/>
              <w:keepLines/>
              <w:spacing w:before="60" w:afterLines="60" w:after="144"/>
              <w:contextualSpacing/>
              <w:rPr>
                <w:b/>
              </w:rPr>
            </w:pPr>
            <w:r w:rsidRPr="00064185">
              <w:t>sludge application</w:t>
            </w:r>
            <w:r w:rsidR="00011DAC" w:rsidRPr="00064185">
              <w:rPr>
                <w:vertAlign w:val="superscript"/>
              </w:rPr>
              <w:t>*</w:t>
            </w:r>
          </w:p>
        </w:tc>
        <w:tc>
          <w:tcPr>
            <w:tcW w:w="1101" w:type="pct"/>
            <w:vMerge w:val="restart"/>
            <w:vAlign w:val="center"/>
            <w:hideMark/>
          </w:tcPr>
          <w:p w14:paraId="0CB25613" w14:textId="3B8582E9" w:rsidR="00721733" w:rsidRPr="00064185" w:rsidRDefault="00721733" w:rsidP="00EA61D8">
            <w:pPr>
              <w:keepNext/>
              <w:keepLines/>
              <w:tabs>
                <w:tab w:val="left" w:pos="720"/>
                <w:tab w:val="left" w:pos="2160"/>
                <w:tab w:val="left" w:pos="4140"/>
              </w:tabs>
              <w:spacing w:before="60" w:afterLines="60" w:after="144"/>
              <w:contextualSpacing/>
            </w:pPr>
          </w:p>
          <w:p w14:paraId="4D4C65FB" w14:textId="23E23E80" w:rsidR="00721733" w:rsidRPr="00064185" w:rsidRDefault="00721733" w:rsidP="00EA61D8">
            <w:pPr>
              <w:keepNext/>
              <w:keepLines/>
              <w:tabs>
                <w:tab w:val="left" w:pos="720"/>
                <w:tab w:val="left" w:pos="2160"/>
                <w:tab w:val="left" w:pos="4140"/>
              </w:tabs>
              <w:spacing w:before="60" w:afterLines="60" w:after="144"/>
              <w:contextualSpacing/>
            </w:pPr>
            <w:r w:rsidRPr="00064185">
              <w:rPr>
                <w:noProof/>
                <w:lang w:val="de-AT" w:eastAsia="de-AT"/>
              </w:rPr>
              <w:drawing>
                <wp:inline distT="0" distB="0" distL="0" distR="0" wp14:anchorId="39846A99" wp14:editId="27FA4EF8">
                  <wp:extent cx="1798141" cy="28823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5019" cy="287735"/>
                          </a:xfrm>
                          <a:prstGeom prst="rect">
                            <a:avLst/>
                          </a:prstGeom>
                          <a:noFill/>
                          <a:ln>
                            <a:noFill/>
                          </a:ln>
                        </pic:spPr>
                      </pic:pic>
                    </a:graphicData>
                  </a:graphic>
                </wp:inline>
              </w:drawing>
            </w:r>
          </w:p>
        </w:tc>
        <w:tc>
          <w:tcPr>
            <w:tcW w:w="524" w:type="pct"/>
            <w:vAlign w:val="center"/>
            <w:hideMark/>
          </w:tcPr>
          <w:p w14:paraId="304BBE9C" w14:textId="3227ED8C" w:rsidR="00721733" w:rsidRPr="00064185" w:rsidRDefault="00D86488" w:rsidP="00EA61D8">
            <w:pPr>
              <w:keepNext/>
              <w:keepLines/>
              <w:spacing w:before="60" w:afterLines="60" w:after="144"/>
              <w:contextualSpacing/>
              <w:rPr>
                <w:b/>
              </w:rPr>
            </w:pPr>
            <w:r w:rsidRPr="00064185">
              <w:rPr>
                <w:b/>
              </w:rPr>
              <w:t>8.72E-4</w:t>
            </w:r>
          </w:p>
        </w:tc>
        <w:tc>
          <w:tcPr>
            <w:tcW w:w="826" w:type="pct"/>
            <w:vAlign w:val="center"/>
          </w:tcPr>
          <w:p w14:paraId="64DC2E87" w14:textId="0460844A" w:rsidR="00721733" w:rsidRPr="00064185" w:rsidRDefault="004829D4" w:rsidP="00EA61D8">
            <w:pPr>
              <w:keepNext/>
              <w:keepLines/>
              <w:spacing w:before="60" w:afterLines="60" w:after="144"/>
              <w:contextualSpacing/>
              <w:rPr>
                <w:b/>
              </w:rPr>
            </w:pPr>
            <w:r w:rsidRPr="00064185">
              <w:rPr>
                <w:b/>
              </w:rPr>
              <w:t>6.57</w:t>
            </w:r>
            <w:r w:rsidR="004A3EF4" w:rsidRPr="00064185">
              <w:rPr>
                <w:b/>
              </w:rPr>
              <w:t>E-3</w:t>
            </w:r>
          </w:p>
        </w:tc>
        <w:tc>
          <w:tcPr>
            <w:tcW w:w="609" w:type="pct"/>
            <w:vAlign w:val="center"/>
          </w:tcPr>
          <w:p w14:paraId="6DF1D24C" w14:textId="50643E9F" w:rsidR="00721733" w:rsidRPr="00064185" w:rsidRDefault="004829D4" w:rsidP="00EA61D8">
            <w:pPr>
              <w:keepNext/>
              <w:keepLines/>
              <w:spacing w:before="60" w:afterLines="60" w:after="144"/>
              <w:contextualSpacing/>
              <w:rPr>
                <w:b/>
              </w:rPr>
            </w:pPr>
            <w:r w:rsidRPr="00064185">
              <w:rPr>
                <w:b/>
              </w:rPr>
              <w:t>4.85</w:t>
            </w:r>
            <w:r w:rsidR="0061222E" w:rsidRPr="00064185">
              <w:rPr>
                <w:b/>
              </w:rPr>
              <w:t>E-4</w:t>
            </w:r>
          </w:p>
        </w:tc>
        <w:tc>
          <w:tcPr>
            <w:tcW w:w="552" w:type="pct"/>
            <w:vAlign w:val="center"/>
          </w:tcPr>
          <w:p w14:paraId="06F13D9B" w14:textId="64339E46" w:rsidR="00721733" w:rsidRPr="00064185" w:rsidRDefault="0043674A" w:rsidP="00EA61D8">
            <w:pPr>
              <w:keepNext/>
              <w:keepLines/>
              <w:spacing w:before="60" w:afterLines="60" w:after="144"/>
              <w:contextualSpacing/>
              <w:rPr>
                <w:b/>
              </w:rPr>
            </w:pPr>
            <w:r w:rsidRPr="00064185">
              <w:rPr>
                <w:b/>
              </w:rPr>
              <w:t>6.91E-4</w:t>
            </w:r>
          </w:p>
        </w:tc>
      </w:tr>
      <w:tr w:rsidR="00064185" w:rsidRPr="00064185" w14:paraId="54E5339D" w14:textId="77777777" w:rsidTr="00E923EE">
        <w:trPr>
          <w:trHeight w:val="558"/>
          <w:jc w:val="center"/>
        </w:trPr>
        <w:tc>
          <w:tcPr>
            <w:tcW w:w="712" w:type="pct"/>
            <w:vMerge/>
            <w:vAlign w:val="center"/>
          </w:tcPr>
          <w:p w14:paraId="1E4CAFF6" w14:textId="77777777" w:rsidR="00721733" w:rsidRPr="00064185" w:rsidRDefault="00721733" w:rsidP="00EA61D8">
            <w:pPr>
              <w:keepNext/>
              <w:keepLines/>
              <w:spacing w:before="60" w:afterLines="60" w:after="144"/>
              <w:contextualSpacing/>
              <w:rPr>
                <w:b/>
              </w:rPr>
            </w:pPr>
          </w:p>
        </w:tc>
        <w:tc>
          <w:tcPr>
            <w:tcW w:w="675" w:type="pct"/>
            <w:vAlign w:val="center"/>
          </w:tcPr>
          <w:p w14:paraId="1FB8C687" w14:textId="5018732C" w:rsidR="00721733" w:rsidRPr="00064185" w:rsidRDefault="00721733" w:rsidP="00EA61D8">
            <w:pPr>
              <w:keepNext/>
              <w:keepLines/>
              <w:spacing w:before="60" w:afterLines="60" w:after="144"/>
              <w:contextualSpacing/>
              <w:rPr>
                <w:b/>
              </w:rPr>
            </w:pPr>
            <w:r w:rsidRPr="00064185">
              <w:t>wash-off to soil</w:t>
            </w:r>
          </w:p>
        </w:tc>
        <w:tc>
          <w:tcPr>
            <w:tcW w:w="1101" w:type="pct"/>
            <w:vMerge/>
            <w:vAlign w:val="center"/>
          </w:tcPr>
          <w:p w14:paraId="0EA4E0F1" w14:textId="2BA79DE6" w:rsidR="00721733" w:rsidRPr="00064185" w:rsidRDefault="00721733" w:rsidP="00EA61D8">
            <w:pPr>
              <w:keepNext/>
              <w:keepLines/>
              <w:tabs>
                <w:tab w:val="left" w:pos="720"/>
                <w:tab w:val="left" w:pos="2160"/>
                <w:tab w:val="left" w:pos="4140"/>
              </w:tabs>
              <w:spacing w:before="60" w:afterLines="60" w:after="144"/>
              <w:contextualSpacing/>
              <w:rPr>
                <w:noProof/>
                <w:lang w:val="de-AT" w:eastAsia="de-AT"/>
              </w:rPr>
            </w:pPr>
          </w:p>
        </w:tc>
        <w:tc>
          <w:tcPr>
            <w:tcW w:w="524" w:type="pct"/>
            <w:vAlign w:val="center"/>
          </w:tcPr>
          <w:p w14:paraId="6656445B" w14:textId="206FA238" w:rsidR="00721733" w:rsidRPr="00064185" w:rsidRDefault="00721733" w:rsidP="00EA61D8">
            <w:pPr>
              <w:keepNext/>
              <w:keepLines/>
              <w:spacing w:before="60" w:afterLines="60" w:after="144"/>
              <w:contextualSpacing/>
              <w:rPr>
                <w:b/>
              </w:rPr>
            </w:pPr>
            <w:r w:rsidRPr="00064185">
              <w:rPr>
                <w:b/>
              </w:rPr>
              <w:t>-</w:t>
            </w:r>
          </w:p>
        </w:tc>
        <w:tc>
          <w:tcPr>
            <w:tcW w:w="826" w:type="pct"/>
            <w:vAlign w:val="center"/>
          </w:tcPr>
          <w:p w14:paraId="168949DA" w14:textId="75AEF989" w:rsidR="00721733" w:rsidRPr="00064185" w:rsidRDefault="00721733" w:rsidP="00EA61D8">
            <w:pPr>
              <w:keepNext/>
              <w:keepLines/>
              <w:spacing w:before="60" w:afterLines="60" w:after="144"/>
              <w:contextualSpacing/>
              <w:rPr>
                <w:b/>
              </w:rPr>
            </w:pPr>
            <w:r w:rsidRPr="00064185">
              <w:rPr>
                <w:b/>
              </w:rPr>
              <w:t>-</w:t>
            </w:r>
          </w:p>
        </w:tc>
        <w:tc>
          <w:tcPr>
            <w:tcW w:w="609" w:type="pct"/>
            <w:vAlign w:val="center"/>
          </w:tcPr>
          <w:p w14:paraId="2BE2EE2A" w14:textId="54A7E9A4" w:rsidR="00721733" w:rsidRPr="00064185" w:rsidRDefault="00721733" w:rsidP="00EA61D8">
            <w:pPr>
              <w:keepNext/>
              <w:keepLines/>
              <w:spacing w:before="60" w:afterLines="60" w:after="144"/>
              <w:contextualSpacing/>
              <w:rPr>
                <w:b/>
              </w:rPr>
            </w:pPr>
            <w:r w:rsidRPr="00064185">
              <w:rPr>
                <w:b/>
              </w:rPr>
              <w:t>-</w:t>
            </w:r>
          </w:p>
        </w:tc>
        <w:tc>
          <w:tcPr>
            <w:tcW w:w="552" w:type="pct"/>
            <w:vAlign w:val="center"/>
          </w:tcPr>
          <w:p w14:paraId="3BD77D0D" w14:textId="3EDF2A78" w:rsidR="00721733" w:rsidRPr="00064185" w:rsidRDefault="00721733" w:rsidP="00EA61D8">
            <w:pPr>
              <w:keepNext/>
              <w:keepLines/>
              <w:spacing w:before="60" w:afterLines="60" w:after="144"/>
              <w:contextualSpacing/>
              <w:rPr>
                <w:b/>
              </w:rPr>
            </w:pPr>
            <w:r w:rsidRPr="00064185">
              <w:rPr>
                <w:b/>
              </w:rPr>
              <w:t>3.03E-3</w:t>
            </w:r>
          </w:p>
        </w:tc>
      </w:tr>
    </w:tbl>
    <w:p w14:paraId="5C1CADD2" w14:textId="53FCC921" w:rsidR="00E923EE" w:rsidRPr="00064185" w:rsidRDefault="00011DAC" w:rsidP="006A7704">
      <w:pPr>
        <w:jc w:val="both"/>
        <w:rPr>
          <w:sz w:val="16"/>
          <w:szCs w:val="16"/>
        </w:rPr>
      </w:pPr>
      <w:r w:rsidRPr="00064185">
        <w:rPr>
          <w:sz w:val="16"/>
          <w:szCs w:val="16"/>
          <w:vertAlign w:val="superscript"/>
        </w:rPr>
        <w:t>*</w:t>
      </w:r>
      <w:r w:rsidR="007F3DD8" w:rsidRPr="00064185">
        <w:rPr>
          <w:sz w:val="16"/>
          <w:szCs w:val="16"/>
        </w:rPr>
        <w:t>According to g</w:t>
      </w:r>
      <w:r w:rsidRPr="00064185">
        <w:rPr>
          <w:sz w:val="16"/>
          <w:szCs w:val="16"/>
        </w:rPr>
        <w:t xml:space="preserve">uidance the concentration in pore water of agricultural soil after an averaging time of 180 days should be used as an indication for potential groundwater levels. However, the approach to use the concentration in pore water </w:t>
      </w:r>
      <w:r w:rsidR="007F3DD8" w:rsidRPr="00064185">
        <w:rPr>
          <w:sz w:val="16"/>
          <w:szCs w:val="16"/>
        </w:rPr>
        <w:t>of the terrestrial ecosystem</w:t>
      </w:r>
      <w:r w:rsidRPr="00064185">
        <w:rPr>
          <w:sz w:val="16"/>
          <w:szCs w:val="16"/>
        </w:rPr>
        <w:t xml:space="preserve"> represents the worst case</w:t>
      </w:r>
      <w:r w:rsidR="007F3DD8" w:rsidRPr="00064185">
        <w:rPr>
          <w:sz w:val="16"/>
          <w:szCs w:val="16"/>
        </w:rPr>
        <w:t xml:space="preserve"> </w:t>
      </w:r>
      <w:r w:rsidR="00066FC7" w:rsidRPr="00064185">
        <w:rPr>
          <w:sz w:val="16"/>
          <w:szCs w:val="16"/>
        </w:rPr>
        <w:t>resulting in low pore water levels</w:t>
      </w:r>
      <w:r w:rsidR="002D0D6D" w:rsidRPr="00064185">
        <w:rPr>
          <w:sz w:val="16"/>
          <w:szCs w:val="16"/>
        </w:rPr>
        <w:t xml:space="preserve"> and an adaption would not change the outcome of the environmental risk assessment in this report</w:t>
      </w:r>
      <w:r w:rsidR="00C35ECD" w:rsidRPr="00064185">
        <w:rPr>
          <w:sz w:val="16"/>
          <w:szCs w:val="16"/>
        </w:rPr>
        <w:t>.</w:t>
      </w:r>
    </w:p>
    <w:p w14:paraId="37B76D4F" w14:textId="7FF35388" w:rsidR="0060305C" w:rsidRPr="00064185" w:rsidRDefault="0060305C" w:rsidP="006A7704">
      <w:pPr>
        <w:jc w:val="both"/>
      </w:pPr>
    </w:p>
    <w:p w14:paraId="049C6C4C" w14:textId="77777777" w:rsidR="0060305C" w:rsidRPr="00064185" w:rsidRDefault="0060305C" w:rsidP="006A7704">
      <w:pPr>
        <w:jc w:val="both"/>
      </w:pPr>
    </w:p>
    <w:p w14:paraId="21EE0A06" w14:textId="77777777" w:rsidR="0060305C" w:rsidRPr="00064185" w:rsidRDefault="0060305C" w:rsidP="00EA61D8"/>
    <w:p w14:paraId="51A84715" w14:textId="77777777" w:rsidR="0060305C" w:rsidRPr="00064185" w:rsidRDefault="0060305C" w:rsidP="00EA61D8"/>
    <w:p w14:paraId="68E9E765" w14:textId="77777777" w:rsidR="0060305C" w:rsidRPr="00064185" w:rsidRDefault="0060305C" w:rsidP="00EA61D8"/>
    <w:p w14:paraId="68C61175" w14:textId="77777777" w:rsidR="0060305C" w:rsidRPr="00064185" w:rsidRDefault="0060305C" w:rsidP="00EA61D8"/>
    <w:p w14:paraId="16BBEAE8" w14:textId="77777777" w:rsidR="0060305C" w:rsidRPr="00064185" w:rsidRDefault="0060305C" w:rsidP="00EA61D8"/>
    <w:p w14:paraId="499A8EFD" w14:textId="77777777" w:rsidR="0060305C" w:rsidRPr="00064185" w:rsidRDefault="0060305C" w:rsidP="00EA61D8"/>
    <w:p w14:paraId="680BA826" w14:textId="77777777" w:rsidR="0060305C" w:rsidRPr="00064185" w:rsidRDefault="0060305C" w:rsidP="00EA61D8"/>
    <w:p w14:paraId="37DA8D29" w14:textId="77777777" w:rsidR="0060305C" w:rsidRPr="00064185" w:rsidRDefault="0060305C" w:rsidP="00EA61D8"/>
    <w:p w14:paraId="3DA46F32" w14:textId="77777777" w:rsidR="0060305C" w:rsidRPr="00064185" w:rsidRDefault="0060305C" w:rsidP="00EA61D8"/>
    <w:p w14:paraId="46835881" w14:textId="77777777" w:rsidR="0060305C" w:rsidRPr="00064185" w:rsidRDefault="0060305C" w:rsidP="00EA61D8"/>
    <w:p w14:paraId="2A8AA1AB" w14:textId="77777777" w:rsidR="0060305C" w:rsidRPr="00064185" w:rsidRDefault="0060305C" w:rsidP="00EA61D8"/>
    <w:p w14:paraId="02DBB987" w14:textId="707C68D1" w:rsidR="00E923EE" w:rsidRPr="00064185" w:rsidRDefault="00E923EE" w:rsidP="00EA61D8">
      <w:pPr>
        <w:rPr>
          <w:u w:val="single"/>
        </w:rPr>
      </w:pPr>
      <w:r w:rsidRPr="00064185">
        <w:rPr>
          <w:u w:val="single"/>
        </w:rPr>
        <w:t xml:space="preserve">Direct treatment of </w:t>
      </w:r>
      <w:r w:rsidR="00FD6ACF" w:rsidRPr="00064185">
        <w:rPr>
          <w:u w:val="single"/>
        </w:rPr>
        <w:t>target organisms</w:t>
      </w:r>
      <w:r w:rsidRPr="00064185">
        <w:rPr>
          <w:u w:val="single"/>
        </w:rPr>
        <w:t>:</w:t>
      </w:r>
    </w:p>
    <w:p w14:paraId="626B8E48" w14:textId="77777777" w:rsidR="0060305C" w:rsidRPr="00064185" w:rsidRDefault="0060305C" w:rsidP="00EA61D8">
      <w:pPr>
        <w:rPr>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1"/>
        <w:gridCol w:w="1822"/>
        <w:gridCol w:w="2971"/>
        <w:gridCol w:w="3643"/>
        <w:gridCol w:w="3136"/>
      </w:tblGrid>
      <w:tr w:rsidR="00064185" w:rsidRPr="00064185" w14:paraId="427AFBDA" w14:textId="77777777" w:rsidTr="00064759">
        <w:trPr>
          <w:trHeight w:val="413"/>
          <w:jc w:val="center"/>
        </w:trPr>
        <w:tc>
          <w:tcPr>
            <w:tcW w:w="5000" w:type="pct"/>
            <w:gridSpan w:val="5"/>
            <w:shd w:val="clear" w:color="auto" w:fill="FFFFCC"/>
            <w:noWrap/>
            <w:vAlign w:val="center"/>
          </w:tcPr>
          <w:p w14:paraId="4F065F18" w14:textId="77777777" w:rsidR="00E923EE" w:rsidRPr="00064185" w:rsidRDefault="00E923EE" w:rsidP="00EA61D8">
            <w:pPr>
              <w:keepNext/>
              <w:keepLines/>
              <w:tabs>
                <w:tab w:val="right" w:pos="1370"/>
              </w:tabs>
              <w:spacing w:before="60" w:afterLines="60" w:after="144"/>
              <w:contextualSpacing/>
              <w:rPr>
                <w:b/>
                <w:bCs/>
              </w:rPr>
            </w:pPr>
            <w:r w:rsidRPr="00064185">
              <w:rPr>
                <w:b/>
              </w:rPr>
              <w:t>Calculation of the predicted environmental concentration in pore water (</w:t>
            </w:r>
            <w:r w:rsidRPr="00064185">
              <w:rPr>
                <w:b/>
                <w:i/>
              </w:rPr>
              <w:t>cf.</w:t>
            </w:r>
            <w:r w:rsidRPr="00064185">
              <w:rPr>
                <w:b/>
              </w:rPr>
              <w:t xml:space="preserve"> TGD, Equation 67)</w:t>
            </w:r>
          </w:p>
        </w:tc>
      </w:tr>
      <w:tr w:rsidR="00064185" w:rsidRPr="00064185" w14:paraId="30BB9AB4" w14:textId="77777777" w:rsidTr="009F0417">
        <w:trPr>
          <w:trHeight w:val="162"/>
          <w:jc w:val="center"/>
        </w:trPr>
        <w:tc>
          <w:tcPr>
            <w:tcW w:w="1387" w:type="pct"/>
            <w:gridSpan w:val="2"/>
            <w:vMerge w:val="restart"/>
            <w:noWrap/>
            <w:vAlign w:val="center"/>
            <w:hideMark/>
          </w:tcPr>
          <w:p w14:paraId="031CB5C3" w14:textId="77777777" w:rsidR="009F0417" w:rsidRPr="00064185" w:rsidRDefault="009F0417" w:rsidP="00EA61D8">
            <w:pPr>
              <w:keepNext/>
              <w:keepLines/>
              <w:spacing w:before="60" w:afterLines="60" w:after="144"/>
              <w:contextualSpacing/>
              <w:rPr>
                <w:rFonts w:ascii="Arial" w:hAnsi="Arial" w:cs="Arial"/>
              </w:rPr>
            </w:pPr>
            <w:r w:rsidRPr="00064185">
              <w:rPr>
                <w:b/>
                <w:bCs/>
              </w:rPr>
              <w:t>Parameter</w:t>
            </w:r>
          </w:p>
        </w:tc>
        <w:tc>
          <w:tcPr>
            <w:tcW w:w="1101" w:type="pct"/>
            <w:vMerge w:val="restart"/>
            <w:vAlign w:val="center"/>
            <w:hideMark/>
          </w:tcPr>
          <w:p w14:paraId="7F75ABF7" w14:textId="77777777" w:rsidR="009F0417" w:rsidRPr="00064185" w:rsidRDefault="009F0417" w:rsidP="00EA61D8">
            <w:pPr>
              <w:keepNext/>
              <w:keepLines/>
              <w:spacing w:before="60" w:afterLines="60" w:after="144"/>
              <w:contextualSpacing/>
              <w:rPr>
                <w:b/>
                <w:bCs/>
              </w:rPr>
            </w:pPr>
            <w:r w:rsidRPr="00064185">
              <w:rPr>
                <w:b/>
                <w:bCs/>
              </w:rPr>
              <w:t>Definition</w:t>
            </w:r>
          </w:p>
        </w:tc>
        <w:tc>
          <w:tcPr>
            <w:tcW w:w="2512" w:type="pct"/>
            <w:gridSpan w:val="2"/>
            <w:vAlign w:val="center"/>
            <w:hideMark/>
          </w:tcPr>
          <w:p w14:paraId="6DAA1384" w14:textId="5B92DF19" w:rsidR="009F0417" w:rsidRPr="00064185" w:rsidRDefault="009F0417" w:rsidP="00EA61D8">
            <w:pPr>
              <w:keepNext/>
              <w:keepLines/>
              <w:tabs>
                <w:tab w:val="right" w:pos="1370"/>
              </w:tabs>
              <w:spacing w:before="120" w:afterLines="50" w:after="120"/>
              <w:rPr>
                <w:bCs/>
              </w:rPr>
            </w:pPr>
            <w:r w:rsidRPr="00064185">
              <w:rPr>
                <w:b/>
                <w:bCs/>
              </w:rPr>
              <w:t>Indoor use</w:t>
            </w:r>
          </w:p>
        </w:tc>
      </w:tr>
      <w:tr w:rsidR="00064185" w:rsidRPr="00064185" w14:paraId="2C8E381A" w14:textId="77777777" w:rsidTr="009F0417">
        <w:trPr>
          <w:trHeight w:val="161"/>
          <w:jc w:val="center"/>
        </w:trPr>
        <w:tc>
          <w:tcPr>
            <w:tcW w:w="1387" w:type="pct"/>
            <w:gridSpan w:val="2"/>
            <w:vMerge/>
            <w:noWrap/>
            <w:vAlign w:val="center"/>
          </w:tcPr>
          <w:p w14:paraId="282AA6A9" w14:textId="77777777" w:rsidR="009F0417" w:rsidRPr="00064185" w:rsidRDefault="009F0417" w:rsidP="00EA61D8">
            <w:pPr>
              <w:keepNext/>
              <w:keepLines/>
              <w:spacing w:before="60" w:afterLines="60" w:after="144"/>
              <w:contextualSpacing/>
              <w:rPr>
                <w:b/>
                <w:bCs/>
              </w:rPr>
            </w:pPr>
          </w:p>
        </w:tc>
        <w:tc>
          <w:tcPr>
            <w:tcW w:w="1101" w:type="pct"/>
            <w:vMerge/>
            <w:vAlign w:val="center"/>
          </w:tcPr>
          <w:p w14:paraId="07486EE0" w14:textId="77777777" w:rsidR="009F0417" w:rsidRPr="00064185" w:rsidRDefault="009F0417" w:rsidP="00EA61D8">
            <w:pPr>
              <w:keepNext/>
              <w:keepLines/>
              <w:spacing w:before="60" w:afterLines="60" w:after="144"/>
              <w:contextualSpacing/>
              <w:rPr>
                <w:b/>
                <w:bCs/>
              </w:rPr>
            </w:pPr>
          </w:p>
        </w:tc>
        <w:tc>
          <w:tcPr>
            <w:tcW w:w="1350" w:type="pct"/>
            <w:vAlign w:val="center"/>
          </w:tcPr>
          <w:p w14:paraId="1B1A5B07" w14:textId="592C659C" w:rsidR="009F0417" w:rsidRPr="00064185" w:rsidRDefault="009F0417" w:rsidP="00EA61D8">
            <w:pPr>
              <w:keepNext/>
              <w:keepLines/>
              <w:tabs>
                <w:tab w:val="right" w:pos="1370"/>
              </w:tabs>
              <w:spacing w:before="60" w:afterLines="60" w:after="144"/>
              <w:contextualSpacing/>
              <w:rPr>
                <w:bCs/>
              </w:rPr>
            </w:pPr>
            <w:r w:rsidRPr="00064185">
              <w:rPr>
                <w:b/>
                <w:bCs/>
              </w:rPr>
              <w:t>Silverfish &amp; Cockroaches</w:t>
            </w:r>
          </w:p>
        </w:tc>
        <w:tc>
          <w:tcPr>
            <w:tcW w:w="1162" w:type="pct"/>
            <w:vAlign w:val="center"/>
          </w:tcPr>
          <w:p w14:paraId="1BEB4A4D" w14:textId="1AC599A5" w:rsidR="009F0417" w:rsidRPr="00064185" w:rsidRDefault="009F0417" w:rsidP="00EA61D8">
            <w:pPr>
              <w:keepNext/>
              <w:keepLines/>
              <w:tabs>
                <w:tab w:val="right" w:pos="1370"/>
              </w:tabs>
              <w:spacing w:before="60" w:afterLines="60" w:after="144"/>
              <w:contextualSpacing/>
              <w:rPr>
                <w:bCs/>
              </w:rPr>
            </w:pPr>
            <w:r w:rsidRPr="00064185">
              <w:rPr>
                <w:b/>
                <w:bCs/>
              </w:rPr>
              <w:t>Wood lice</w:t>
            </w:r>
          </w:p>
        </w:tc>
      </w:tr>
      <w:tr w:rsidR="00064185" w:rsidRPr="00064185" w14:paraId="0953E73D" w14:textId="77777777" w:rsidTr="009F0417">
        <w:trPr>
          <w:trHeight w:val="729"/>
          <w:jc w:val="center"/>
        </w:trPr>
        <w:tc>
          <w:tcPr>
            <w:tcW w:w="712" w:type="pct"/>
            <w:vAlign w:val="center"/>
            <w:hideMark/>
          </w:tcPr>
          <w:p w14:paraId="670B05E6" w14:textId="77777777" w:rsidR="009F0417" w:rsidRPr="00064185" w:rsidRDefault="009F0417" w:rsidP="00EA61D8">
            <w:pPr>
              <w:keepNext/>
              <w:spacing w:before="60" w:afterLines="60" w:after="144"/>
              <w:contextualSpacing/>
            </w:pPr>
            <w:r w:rsidRPr="00064185">
              <w:t>Local concentration in soil [µg/kg]</w:t>
            </w:r>
          </w:p>
        </w:tc>
        <w:tc>
          <w:tcPr>
            <w:tcW w:w="675" w:type="pct"/>
            <w:vAlign w:val="center"/>
          </w:tcPr>
          <w:p w14:paraId="2CEE3B32" w14:textId="177BE8C5" w:rsidR="009F0417" w:rsidRPr="00064185" w:rsidRDefault="009F0417" w:rsidP="00EA61D8">
            <w:pPr>
              <w:keepNext/>
              <w:spacing w:before="60" w:afterLines="60" w:after="144"/>
              <w:contextualSpacing/>
            </w:pPr>
            <w:r w:rsidRPr="00064185">
              <w:t>sludge application</w:t>
            </w:r>
          </w:p>
        </w:tc>
        <w:tc>
          <w:tcPr>
            <w:tcW w:w="1101" w:type="pct"/>
            <w:vAlign w:val="center"/>
            <w:hideMark/>
          </w:tcPr>
          <w:p w14:paraId="4A61C38E" w14:textId="77777777" w:rsidR="009F0417" w:rsidRPr="00064185" w:rsidRDefault="009F0417" w:rsidP="00EA61D8">
            <w:pPr>
              <w:keepNext/>
              <w:spacing w:before="60" w:afterLines="60" w:after="144"/>
              <w:contextualSpacing/>
            </w:pPr>
            <w:r w:rsidRPr="00064185">
              <w:t>PEClocal</w:t>
            </w:r>
            <w:r w:rsidRPr="00064185">
              <w:rPr>
                <w:vertAlign w:val="subscript"/>
              </w:rPr>
              <w:t>soil</w:t>
            </w:r>
          </w:p>
        </w:tc>
        <w:tc>
          <w:tcPr>
            <w:tcW w:w="1350" w:type="pct"/>
            <w:shd w:val="clear" w:color="auto" w:fill="auto"/>
            <w:vAlign w:val="center"/>
          </w:tcPr>
          <w:p w14:paraId="1A9D82B1" w14:textId="5836C774" w:rsidR="009F0417" w:rsidRPr="00064185" w:rsidRDefault="001C46CA" w:rsidP="00EA61D8">
            <w:pPr>
              <w:keepNext/>
              <w:tabs>
                <w:tab w:val="right" w:pos="1370"/>
              </w:tabs>
              <w:spacing w:before="60" w:afterLines="60" w:after="144"/>
              <w:contextualSpacing/>
            </w:pPr>
            <w:r w:rsidRPr="00064185">
              <w:t>10</w:t>
            </w:r>
          </w:p>
        </w:tc>
        <w:tc>
          <w:tcPr>
            <w:tcW w:w="1162" w:type="pct"/>
            <w:shd w:val="clear" w:color="auto" w:fill="auto"/>
            <w:vAlign w:val="center"/>
          </w:tcPr>
          <w:p w14:paraId="78F27A8A" w14:textId="4AEA269C" w:rsidR="009F0417" w:rsidRPr="00064185" w:rsidRDefault="001C46CA" w:rsidP="00EA61D8">
            <w:pPr>
              <w:keepNext/>
              <w:tabs>
                <w:tab w:val="right" w:pos="1370"/>
              </w:tabs>
              <w:spacing w:before="60" w:afterLines="60" w:after="144"/>
              <w:contextualSpacing/>
            </w:pPr>
            <w:r w:rsidRPr="00064185">
              <w:t>1.02</w:t>
            </w:r>
          </w:p>
        </w:tc>
      </w:tr>
      <w:tr w:rsidR="00064185" w:rsidRPr="00064185" w14:paraId="15583BBC" w14:textId="77777777" w:rsidTr="009F0417">
        <w:trPr>
          <w:trHeight w:val="361"/>
          <w:jc w:val="center"/>
        </w:trPr>
        <w:tc>
          <w:tcPr>
            <w:tcW w:w="1387" w:type="pct"/>
            <w:gridSpan w:val="2"/>
            <w:vAlign w:val="center"/>
            <w:hideMark/>
          </w:tcPr>
          <w:p w14:paraId="1010872F" w14:textId="77777777" w:rsidR="00E923EE" w:rsidRPr="00064185" w:rsidRDefault="00E923EE" w:rsidP="00EA61D8">
            <w:pPr>
              <w:keepNext/>
              <w:keepLines/>
              <w:tabs>
                <w:tab w:val="left" w:pos="720"/>
                <w:tab w:val="left" w:pos="2127"/>
                <w:tab w:val="left" w:pos="2552"/>
                <w:tab w:val="left" w:pos="7371"/>
                <w:tab w:val="right" w:pos="7921"/>
              </w:tabs>
              <w:spacing w:before="60" w:afterLines="60" w:after="144"/>
              <w:contextualSpacing/>
            </w:pPr>
            <w:r w:rsidRPr="00064185">
              <w:t>Bulk density of wet soil [kg/m</w:t>
            </w:r>
            <w:r w:rsidRPr="00064185">
              <w:rPr>
                <w:vertAlign w:val="superscript"/>
              </w:rPr>
              <w:t>3</w:t>
            </w:r>
            <w:r w:rsidRPr="00064185">
              <w:t>]</w:t>
            </w:r>
          </w:p>
        </w:tc>
        <w:tc>
          <w:tcPr>
            <w:tcW w:w="1101" w:type="pct"/>
            <w:vAlign w:val="center"/>
            <w:hideMark/>
          </w:tcPr>
          <w:p w14:paraId="651EBD1C" w14:textId="77777777" w:rsidR="00E923EE" w:rsidRPr="00064185" w:rsidRDefault="00E923EE" w:rsidP="00EA61D8">
            <w:pPr>
              <w:keepNext/>
              <w:keepLines/>
              <w:spacing w:before="60" w:afterLines="60" w:after="144"/>
              <w:contextualSpacing/>
            </w:pPr>
            <w:r w:rsidRPr="00064185">
              <w:t>RHO</w:t>
            </w:r>
            <w:r w:rsidRPr="00064185">
              <w:rPr>
                <w:vertAlign w:val="subscript"/>
              </w:rPr>
              <w:t>soil</w:t>
            </w:r>
          </w:p>
        </w:tc>
        <w:tc>
          <w:tcPr>
            <w:tcW w:w="2512" w:type="pct"/>
            <w:gridSpan w:val="2"/>
            <w:vAlign w:val="center"/>
          </w:tcPr>
          <w:p w14:paraId="6749CD5C" w14:textId="67F18F8D" w:rsidR="00E923EE" w:rsidRPr="00064185" w:rsidRDefault="009F0417" w:rsidP="00EA61D8">
            <w:pPr>
              <w:keepNext/>
              <w:keepLines/>
              <w:spacing w:before="60" w:afterLines="60" w:after="144"/>
              <w:contextualSpacing/>
            </w:pPr>
            <w:r w:rsidRPr="00064185">
              <w:t>1700</w:t>
            </w:r>
          </w:p>
        </w:tc>
      </w:tr>
      <w:tr w:rsidR="00064185" w:rsidRPr="00064185" w14:paraId="52668D52" w14:textId="77777777" w:rsidTr="009F0417">
        <w:trPr>
          <w:trHeight w:val="343"/>
          <w:jc w:val="center"/>
        </w:trPr>
        <w:tc>
          <w:tcPr>
            <w:tcW w:w="1387" w:type="pct"/>
            <w:gridSpan w:val="2"/>
            <w:vAlign w:val="center"/>
            <w:hideMark/>
          </w:tcPr>
          <w:p w14:paraId="74F851B1" w14:textId="77777777" w:rsidR="00E923EE" w:rsidRPr="00064185" w:rsidRDefault="00E923EE" w:rsidP="00EA61D8">
            <w:pPr>
              <w:keepNext/>
              <w:keepLines/>
              <w:tabs>
                <w:tab w:val="left" w:pos="720"/>
                <w:tab w:val="left" w:pos="2127"/>
                <w:tab w:val="left" w:pos="2552"/>
                <w:tab w:val="left" w:pos="7371"/>
                <w:tab w:val="right" w:pos="7921"/>
              </w:tabs>
              <w:spacing w:before="60" w:afterLines="60" w:after="144"/>
              <w:contextualSpacing/>
            </w:pPr>
            <w:r w:rsidRPr="00064185">
              <w:t xml:space="preserve">Soil-water partitioning coefficient </w:t>
            </w:r>
            <w:r w:rsidRPr="00064185">
              <w:br/>
              <w:t>[m³/m</w:t>
            </w:r>
            <w:r w:rsidRPr="00064185">
              <w:rPr>
                <w:vertAlign w:val="superscript"/>
              </w:rPr>
              <w:t>3</w:t>
            </w:r>
            <w:r w:rsidRPr="00064185">
              <w:t>]</w:t>
            </w:r>
          </w:p>
        </w:tc>
        <w:tc>
          <w:tcPr>
            <w:tcW w:w="1101" w:type="pct"/>
            <w:vAlign w:val="center"/>
            <w:hideMark/>
          </w:tcPr>
          <w:p w14:paraId="7562EE8E" w14:textId="77777777" w:rsidR="00E923EE" w:rsidRPr="00064185" w:rsidRDefault="00E923EE" w:rsidP="00EA61D8">
            <w:pPr>
              <w:keepNext/>
              <w:keepLines/>
              <w:spacing w:before="60" w:afterLines="60" w:after="144"/>
              <w:contextualSpacing/>
            </w:pPr>
            <w:r w:rsidRPr="00064185">
              <w:t>K</w:t>
            </w:r>
            <w:r w:rsidRPr="00064185">
              <w:rPr>
                <w:vertAlign w:val="subscript"/>
              </w:rPr>
              <w:t>soil-water</w:t>
            </w:r>
          </w:p>
        </w:tc>
        <w:tc>
          <w:tcPr>
            <w:tcW w:w="2512" w:type="pct"/>
            <w:gridSpan w:val="2"/>
            <w:vAlign w:val="center"/>
          </w:tcPr>
          <w:p w14:paraId="6F66B625" w14:textId="391CFBA0" w:rsidR="00E923EE" w:rsidRPr="00064185" w:rsidRDefault="009F0417" w:rsidP="00EA61D8">
            <w:pPr>
              <w:keepNext/>
              <w:keepLines/>
              <w:spacing w:before="60" w:afterLines="60" w:after="144"/>
              <w:contextualSpacing/>
            </w:pPr>
            <w:r w:rsidRPr="00064185">
              <w:t>2103.2</w:t>
            </w:r>
          </w:p>
        </w:tc>
      </w:tr>
      <w:tr w:rsidR="009F0417" w:rsidRPr="00064185" w14:paraId="4AED6C8A" w14:textId="77777777" w:rsidTr="009F0417">
        <w:trPr>
          <w:trHeight w:val="1245"/>
          <w:jc w:val="center"/>
        </w:trPr>
        <w:tc>
          <w:tcPr>
            <w:tcW w:w="712" w:type="pct"/>
            <w:vAlign w:val="center"/>
            <w:hideMark/>
          </w:tcPr>
          <w:p w14:paraId="43486193" w14:textId="77777777" w:rsidR="009F0417" w:rsidRPr="00064185" w:rsidRDefault="009F0417" w:rsidP="00EA61D8">
            <w:pPr>
              <w:keepNext/>
              <w:keepLines/>
              <w:spacing w:before="60" w:afterLines="60" w:after="144"/>
              <w:contextualSpacing/>
              <w:rPr>
                <w:b/>
              </w:rPr>
            </w:pPr>
            <w:r w:rsidRPr="00064185">
              <w:rPr>
                <w:b/>
              </w:rPr>
              <w:t xml:space="preserve">Predicted Environmental Concentration in pore water </w:t>
            </w:r>
            <w:r w:rsidRPr="00064185">
              <w:rPr>
                <w:b/>
              </w:rPr>
              <w:br/>
              <w:t>[µg/l]</w:t>
            </w:r>
          </w:p>
        </w:tc>
        <w:tc>
          <w:tcPr>
            <w:tcW w:w="675" w:type="pct"/>
            <w:vAlign w:val="center"/>
          </w:tcPr>
          <w:p w14:paraId="4AD415A0" w14:textId="169CC8A8" w:rsidR="009F0417" w:rsidRPr="00064185" w:rsidRDefault="009F0417" w:rsidP="00EA61D8">
            <w:pPr>
              <w:keepNext/>
              <w:keepLines/>
              <w:spacing w:before="60" w:afterLines="60" w:after="144"/>
              <w:contextualSpacing/>
              <w:rPr>
                <w:b/>
              </w:rPr>
            </w:pPr>
            <w:r w:rsidRPr="00064185">
              <w:t>sludge application</w:t>
            </w:r>
          </w:p>
        </w:tc>
        <w:tc>
          <w:tcPr>
            <w:tcW w:w="1101" w:type="pct"/>
            <w:vAlign w:val="center"/>
            <w:hideMark/>
          </w:tcPr>
          <w:p w14:paraId="454E7111" w14:textId="77777777" w:rsidR="009F0417" w:rsidRPr="00064185" w:rsidRDefault="009F0417" w:rsidP="00EA61D8">
            <w:pPr>
              <w:keepNext/>
              <w:keepLines/>
              <w:tabs>
                <w:tab w:val="left" w:pos="720"/>
                <w:tab w:val="left" w:pos="2160"/>
                <w:tab w:val="left" w:pos="4140"/>
              </w:tabs>
              <w:spacing w:before="60" w:afterLines="60" w:after="144"/>
              <w:contextualSpacing/>
            </w:pPr>
          </w:p>
          <w:p w14:paraId="6D548020" w14:textId="77777777" w:rsidR="009F0417" w:rsidRPr="00064185" w:rsidRDefault="009F0417" w:rsidP="00EA61D8">
            <w:pPr>
              <w:keepNext/>
              <w:keepLines/>
              <w:tabs>
                <w:tab w:val="left" w:pos="720"/>
                <w:tab w:val="left" w:pos="2160"/>
                <w:tab w:val="left" w:pos="4140"/>
              </w:tabs>
              <w:spacing w:before="60" w:afterLines="60" w:after="144"/>
              <w:contextualSpacing/>
            </w:pPr>
            <w:r w:rsidRPr="00064185">
              <w:rPr>
                <w:noProof/>
                <w:lang w:val="de-AT" w:eastAsia="de-AT"/>
              </w:rPr>
              <w:drawing>
                <wp:inline distT="0" distB="0" distL="0" distR="0" wp14:anchorId="33FE057F" wp14:editId="3325B6B9">
                  <wp:extent cx="1798141" cy="2882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5019" cy="287735"/>
                          </a:xfrm>
                          <a:prstGeom prst="rect">
                            <a:avLst/>
                          </a:prstGeom>
                          <a:noFill/>
                          <a:ln>
                            <a:noFill/>
                          </a:ln>
                        </pic:spPr>
                      </pic:pic>
                    </a:graphicData>
                  </a:graphic>
                </wp:inline>
              </w:drawing>
            </w:r>
          </w:p>
        </w:tc>
        <w:tc>
          <w:tcPr>
            <w:tcW w:w="1350" w:type="pct"/>
            <w:vAlign w:val="center"/>
          </w:tcPr>
          <w:p w14:paraId="4C2B31F4" w14:textId="6F6541C6" w:rsidR="009F0417" w:rsidRPr="00064185" w:rsidRDefault="001C46CA" w:rsidP="00EA61D8">
            <w:pPr>
              <w:keepNext/>
              <w:keepLines/>
              <w:spacing w:before="60" w:afterLines="60" w:after="144"/>
              <w:contextualSpacing/>
              <w:rPr>
                <w:b/>
              </w:rPr>
            </w:pPr>
            <w:r w:rsidRPr="00064185">
              <w:rPr>
                <w:b/>
              </w:rPr>
              <w:t>8.08</w:t>
            </w:r>
            <w:r w:rsidR="009F0417" w:rsidRPr="00064185">
              <w:rPr>
                <w:b/>
              </w:rPr>
              <w:t>E-3</w:t>
            </w:r>
          </w:p>
        </w:tc>
        <w:tc>
          <w:tcPr>
            <w:tcW w:w="1162" w:type="pct"/>
            <w:vAlign w:val="center"/>
          </w:tcPr>
          <w:p w14:paraId="1546746E" w14:textId="4719446B" w:rsidR="009F0417" w:rsidRPr="00064185" w:rsidRDefault="001C46CA" w:rsidP="00EA61D8">
            <w:pPr>
              <w:keepNext/>
              <w:keepLines/>
              <w:spacing w:before="60" w:afterLines="60" w:after="144"/>
              <w:contextualSpacing/>
              <w:rPr>
                <w:b/>
              </w:rPr>
            </w:pPr>
            <w:r w:rsidRPr="00064185">
              <w:rPr>
                <w:b/>
              </w:rPr>
              <w:t>8.24</w:t>
            </w:r>
            <w:r w:rsidR="009F0417" w:rsidRPr="00064185">
              <w:rPr>
                <w:b/>
              </w:rPr>
              <w:t>E-4</w:t>
            </w:r>
          </w:p>
        </w:tc>
      </w:tr>
    </w:tbl>
    <w:p w14:paraId="57A74D84" w14:textId="77777777" w:rsidR="000A229F" w:rsidRPr="00064185" w:rsidRDefault="000A229F" w:rsidP="00EA61D8">
      <w:pPr>
        <w:keepNext/>
        <w:keepLines/>
        <w:tabs>
          <w:tab w:val="left" w:pos="720"/>
          <w:tab w:val="left" w:pos="2160"/>
          <w:tab w:val="left" w:pos="4140"/>
        </w:tabs>
        <w:spacing w:after="40"/>
      </w:pPr>
    </w:p>
    <w:p w14:paraId="4855B145" w14:textId="5742CE6A" w:rsidR="000A229F" w:rsidRPr="00064185" w:rsidRDefault="000A229F" w:rsidP="006A7704">
      <w:pPr>
        <w:jc w:val="both"/>
      </w:pPr>
      <w:r w:rsidRPr="00064185">
        <w:rPr>
          <w:szCs w:val="22"/>
        </w:rPr>
        <w:t>Predicted environmental concentrations in po</w:t>
      </w:r>
      <w:r w:rsidR="00A56F50" w:rsidRPr="00064185">
        <w:rPr>
          <w:szCs w:val="22"/>
        </w:rPr>
        <w:t>re water are well below 0.1 µg/l,</w:t>
      </w:r>
      <w:r w:rsidRPr="00064185">
        <w:rPr>
          <w:szCs w:val="22"/>
        </w:rPr>
        <w:t xml:space="preserve"> indicat</w:t>
      </w:r>
      <w:r w:rsidR="00056784" w:rsidRPr="00064185">
        <w:rPr>
          <w:szCs w:val="22"/>
        </w:rPr>
        <w:t>ing</w:t>
      </w:r>
      <w:r w:rsidR="00525827" w:rsidRPr="00064185">
        <w:rPr>
          <w:szCs w:val="22"/>
        </w:rPr>
        <w:t xml:space="preserve"> </w:t>
      </w:r>
      <w:r w:rsidRPr="00064185">
        <w:rPr>
          <w:szCs w:val="22"/>
        </w:rPr>
        <w:t xml:space="preserve">relevant concentrations in groundwater </w:t>
      </w:r>
      <w:proofErr w:type="gramStart"/>
      <w:r w:rsidRPr="00064185">
        <w:rPr>
          <w:szCs w:val="22"/>
        </w:rPr>
        <w:t>are</w:t>
      </w:r>
      <w:proofErr w:type="gramEnd"/>
      <w:r w:rsidR="003917F5" w:rsidRPr="00064185">
        <w:rPr>
          <w:szCs w:val="22"/>
        </w:rPr>
        <w:t xml:space="preserve"> </w:t>
      </w:r>
      <w:r w:rsidRPr="00064185">
        <w:rPr>
          <w:szCs w:val="22"/>
        </w:rPr>
        <w:t>n</w:t>
      </w:r>
      <w:r w:rsidR="003917F5" w:rsidRPr="00064185">
        <w:rPr>
          <w:szCs w:val="22"/>
        </w:rPr>
        <w:t>o</w:t>
      </w:r>
      <w:r w:rsidRPr="00064185">
        <w:rPr>
          <w:szCs w:val="22"/>
        </w:rPr>
        <w:t>t to be expected.</w:t>
      </w:r>
    </w:p>
    <w:p w14:paraId="60F6ACB2" w14:textId="77777777" w:rsidR="006C6C9F" w:rsidRPr="00064185" w:rsidRDefault="006C6C9F" w:rsidP="00EA61D8">
      <w:pPr>
        <w:pStyle w:val="Textkrper2"/>
        <w:rPr>
          <w:i w:val="0"/>
          <w:color w:val="auto"/>
        </w:rPr>
        <w:sectPr w:rsidR="006C6C9F" w:rsidRPr="00064185" w:rsidSect="006C6C9F">
          <w:endnotePr>
            <w:numFmt w:val="decimal"/>
          </w:endnotePr>
          <w:pgSz w:w="16840" w:h="11907" w:orient="landscape" w:code="9"/>
          <w:pgMar w:top="1446" w:right="1474" w:bottom="1247" w:left="2013" w:header="850" w:footer="850" w:gutter="0"/>
          <w:cols w:space="720"/>
          <w:titlePg/>
          <w:docGrid w:linePitch="272"/>
        </w:sectPr>
      </w:pPr>
    </w:p>
    <w:p w14:paraId="421D643F" w14:textId="460300EF" w:rsidR="006C02DF" w:rsidRPr="00064185" w:rsidRDefault="009D3353" w:rsidP="00EA61D8">
      <w:pPr>
        <w:rPr>
          <w:rFonts w:eastAsia="Calibri"/>
          <w:b/>
          <w:i/>
          <w:sz w:val="22"/>
          <w:u w:val="single"/>
          <w:lang w:eastAsia="en-US"/>
        </w:rPr>
      </w:pPr>
      <w:r w:rsidRPr="00064185">
        <w:rPr>
          <w:rFonts w:eastAsia="Calibri"/>
          <w:b/>
          <w:i/>
          <w:sz w:val="22"/>
          <w:u w:val="single"/>
          <w:lang w:eastAsia="en-US"/>
        </w:rPr>
        <w:lastRenderedPageBreak/>
        <w:t>Summary tables on calculated PEC values</w:t>
      </w:r>
    </w:p>
    <w:p w14:paraId="5A2AFEF7" w14:textId="77777777" w:rsidR="00FD0D68" w:rsidRPr="00064185" w:rsidRDefault="00FD0D68" w:rsidP="00EA61D8">
      <w:pPr>
        <w:autoSpaceDE w:val="0"/>
        <w:autoSpaceDN w:val="0"/>
        <w:adjustRightInd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1147"/>
        <w:gridCol w:w="1269"/>
        <w:gridCol w:w="1275"/>
        <w:gridCol w:w="1279"/>
        <w:gridCol w:w="1173"/>
        <w:gridCol w:w="783"/>
      </w:tblGrid>
      <w:tr w:rsidR="00064185" w:rsidRPr="00064185" w14:paraId="5484737C" w14:textId="77777777" w:rsidTr="00360D92">
        <w:trPr>
          <w:trHeight w:val="249"/>
        </w:trPr>
        <w:tc>
          <w:tcPr>
            <w:tcW w:w="5000" w:type="pct"/>
            <w:gridSpan w:val="7"/>
            <w:tcBorders>
              <w:top w:val="single" w:sz="4" w:space="0" w:color="auto"/>
              <w:left w:val="single" w:sz="4" w:space="0" w:color="auto"/>
              <w:bottom w:val="single" w:sz="4" w:space="0" w:color="auto"/>
            </w:tcBorders>
            <w:shd w:val="clear" w:color="auto" w:fill="FFFFCC"/>
            <w:vAlign w:val="center"/>
          </w:tcPr>
          <w:p w14:paraId="63C69664" w14:textId="77777777" w:rsidR="00FD0D68" w:rsidRPr="00064185" w:rsidRDefault="00FD0D68" w:rsidP="00EA61D8">
            <w:pPr>
              <w:autoSpaceDE w:val="0"/>
              <w:autoSpaceDN w:val="0"/>
              <w:adjustRightInd w:val="0"/>
              <w:spacing w:before="60" w:after="60" w:line="260" w:lineRule="atLeast"/>
              <w:rPr>
                <w:rFonts w:eastAsia="Calibri" w:cs="Arial"/>
                <w:sz w:val="18"/>
                <w:szCs w:val="18"/>
                <w:lang w:eastAsia="en-GB"/>
              </w:rPr>
            </w:pPr>
            <w:r w:rsidRPr="00064185">
              <w:rPr>
                <w:rFonts w:eastAsia="Calibri"/>
                <w:b/>
                <w:sz w:val="18"/>
                <w:lang w:eastAsia="en-GB"/>
              </w:rPr>
              <w:t>Summary table on calculated PEC values</w:t>
            </w:r>
          </w:p>
        </w:tc>
      </w:tr>
      <w:tr w:rsidR="00064185" w:rsidRPr="00064185" w14:paraId="445075DE" w14:textId="77777777" w:rsidTr="00360D92">
        <w:trPr>
          <w:trHeight w:val="249"/>
        </w:trPr>
        <w:tc>
          <w:tcPr>
            <w:tcW w:w="1328" w:type="pct"/>
            <w:vMerge w:val="restart"/>
            <w:shd w:val="clear" w:color="auto" w:fill="FFFFFF"/>
            <w:vAlign w:val="center"/>
          </w:tcPr>
          <w:p w14:paraId="784F513B" w14:textId="77777777" w:rsidR="00FD0D68" w:rsidRPr="00064185" w:rsidRDefault="00FD0D68" w:rsidP="00EA61D8">
            <w:pPr>
              <w:spacing w:before="60" w:after="60" w:line="276" w:lineRule="auto"/>
              <w:rPr>
                <w:rFonts w:eastAsia="Calibri" w:cs="Arial"/>
                <w:b/>
                <w:sz w:val="18"/>
                <w:szCs w:val="18"/>
                <w:lang w:eastAsia="en-GB"/>
              </w:rPr>
            </w:pPr>
            <w:r w:rsidRPr="00064185">
              <w:rPr>
                <w:rFonts w:eastAsia="Calibri" w:cs="Arial"/>
                <w:b/>
                <w:sz w:val="18"/>
                <w:szCs w:val="18"/>
                <w:lang w:eastAsia="en-GB"/>
              </w:rPr>
              <w:t>Scenarios</w:t>
            </w:r>
          </w:p>
        </w:tc>
        <w:tc>
          <w:tcPr>
            <w:tcW w:w="608" w:type="pct"/>
            <w:shd w:val="clear" w:color="auto" w:fill="FFFFFF"/>
            <w:vAlign w:val="center"/>
          </w:tcPr>
          <w:p w14:paraId="15EC47F0" w14:textId="77777777" w:rsidR="00FD0D68" w:rsidRPr="00064185" w:rsidRDefault="00FD0D68" w:rsidP="00EA61D8">
            <w:pPr>
              <w:autoSpaceDE w:val="0"/>
              <w:autoSpaceDN w:val="0"/>
              <w:adjustRightInd w:val="0"/>
              <w:spacing w:before="60" w:after="60" w:line="260" w:lineRule="atLeast"/>
              <w:rPr>
                <w:rFonts w:eastAsia="Calibri"/>
                <w:sz w:val="16"/>
                <w:highlight w:val="yellow"/>
                <w:lang w:eastAsia="en-GB"/>
              </w:rPr>
            </w:pPr>
            <w:r w:rsidRPr="00064185">
              <w:rPr>
                <w:rFonts w:eastAsia="Calibri"/>
                <w:b/>
                <w:sz w:val="18"/>
                <w:lang w:eastAsia="en-GB"/>
              </w:rPr>
              <w:t>PEC</w:t>
            </w:r>
            <w:r w:rsidRPr="00064185">
              <w:rPr>
                <w:rFonts w:eastAsia="Calibri"/>
                <w:b/>
                <w:sz w:val="18"/>
                <w:vertAlign w:val="subscript"/>
                <w:lang w:eastAsia="en-GB"/>
              </w:rPr>
              <w:t>STP</w:t>
            </w:r>
          </w:p>
        </w:tc>
        <w:tc>
          <w:tcPr>
            <w:tcW w:w="673" w:type="pct"/>
            <w:shd w:val="clear" w:color="auto" w:fill="FFFFFF"/>
            <w:vAlign w:val="center"/>
          </w:tcPr>
          <w:p w14:paraId="24906D46" w14:textId="77777777" w:rsidR="00FD0D68" w:rsidRPr="00064185" w:rsidRDefault="00FD0D68" w:rsidP="00EA61D8">
            <w:pPr>
              <w:spacing w:before="60" w:after="60" w:line="276" w:lineRule="auto"/>
              <w:rPr>
                <w:rFonts w:eastAsia="Calibri"/>
                <w:sz w:val="18"/>
                <w:lang w:eastAsia="en-GB"/>
              </w:rPr>
            </w:pPr>
            <w:r w:rsidRPr="00064185">
              <w:rPr>
                <w:rFonts w:eastAsia="Calibri"/>
                <w:b/>
                <w:sz w:val="18"/>
                <w:lang w:eastAsia="en-GB"/>
              </w:rPr>
              <w:t>PEC</w:t>
            </w:r>
            <w:r w:rsidRPr="00064185">
              <w:rPr>
                <w:rFonts w:eastAsia="Calibri"/>
                <w:b/>
                <w:sz w:val="18"/>
                <w:vertAlign w:val="subscript"/>
                <w:lang w:eastAsia="en-GB"/>
              </w:rPr>
              <w:t>water</w:t>
            </w:r>
          </w:p>
        </w:tc>
        <w:tc>
          <w:tcPr>
            <w:tcW w:w="676" w:type="pct"/>
            <w:shd w:val="clear" w:color="auto" w:fill="FFFFFF"/>
            <w:vAlign w:val="center"/>
          </w:tcPr>
          <w:p w14:paraId="53BCDAEA" w14:textId="77777777" w:rsidR="00FD0D68" w:rsidRPr="00064185" w:rsidRDefault="00FD0D68" w:rsidP="00EA61D8">
            <w:pPr>
              <w:spacing w:before="60" w:after="60" w:line="276" w:lineRule="auto"/>
              <w:rPr>
                <w:rFonts w:eastAsia="Calibri"/>
                <w:b/>
                <w:sz w:val="18"/>
                <w:lang w:eastAsia="en-GB"/>
              </w:rPr>
            </w:pPr>
            <w:r w:rsidRPr="00064185">
              <w:rPr>
                <w:rFonts w:eastAsia="Calibri"/>
                <w:b/>
                <w:sz w:val="18"/>
                <w:lang w:eastAsia="en-GB"/>
              </w:rPr>
              <w:t>PEC</w:t>
            </w:r>
            <w:r w:rsidRPr="00064185">
              <w:rPr>
                <w:rFonts w:eastAsia="Calibri"/>
                <w:b/>
                <w:sz w:val="18"/>
                <w:vertAlign w:val="subscript"/>
                <w:lang w:eastAsia="en-GB"/>
              </w:rPr>
              <w:t>sed</w:t>
            </w:r>
          </w:p>
        </w:tc>
        <w:tc>
          <w:tcPr>
            <w:tcW w:w="678" w:type="pct"/>
            <w:vAlign w:val="center"/>
          </w:tcPr>
          <w:p w14:paraId="0F271D99" w14:textId="77777777" w:rsidR="00FD0D68" w:rsidRPr="00064185" w:rsidRDefault="00FD0D68" w:rsidP="00EA61D8">
            <w:pPr>
              <w:spacing w:before="60" w:after="60" w:line="276" w:lineRule="auto"/>
              <w:rPr>
                <w:rFonts w:eastAsia="Calibri"/>
                <w:sz w:val="18"/>
                <w:lang w:eastAsia="en-GB"/>
              </w:rPr>
            </w:pPr>
            <w:r w:rsidRPr="00064185">
              <w:rPr>
                <w:rFonts w:eastAsia="Calibri"/>
                <w:b/>
                <w:sz w:val="18"/>
                <w:lang w:eastAsia="en-GB"/>
              </w:rPr>
              <w:t>PEC</w:t>
            </w:r>
            <w:r w:rsidRPr="00064185">
              <w:rPr>
                <w:rFonts w:eastAsia="Calibri"/>
                <w:b/>
                <w:sz w:val="18"/>
                <w:vertAlign w:val="subscript"/>
                <w:lang w:eastAsia="en-GB"/>
              </w:rPr>
              <w:t>soil</w:t>
            </w:r>
          </w:p>
        </w:tc>
        <w:tc>
          <w:tcPr>
            <w:tcW w:w="622" w:type="pct"/>
            <w:vAlign w:val="center"/>
          </w:tcPr>
          <w:p w14:paraId="6AA74135" w14:textId="77777777" w:rsidR="00FD0D68" w:rsidRPr="00064185" w:rsidRDefault="00FD0D68" w:rsidP="00EA61D8">
            <w:pPr>
              <w:spacing w:before="60" w:after="60" w:line="276" w:lineRule="auto"/>
              <w:rPr>
                <w:rFonts w:eastAsia="Calibri"/>
                <w:sz w:val="18"/>
                <w:lang w:eastAsia="en-GB"/>
              </w:rPr>
            </w:pPr>
            <w:r w:rsidRPr="00064185">
              <w:rPr>
                <w:rFonts w:eastAsia="Calibri"/>
                <w:b/>
                <w:sz w:val="18"/>
                <w:lang w:eastAsia="en-GB"/>
              </w:rPr>
              <w:t>PEC</w:t>
            </w:r>
            <w:r w:rsidRPr="00064185">
              <w:rPr>
                <w:rFonts w:eastAsia="Calibri"/>
                <w:b/>
                <w:sz w:val="18"/>
                <w:vertAlign w:val="subscript"/>
                <w:lang w:eastAsia="en-GB"/>
              </w:rPr>
              <w:t>GW</w:t>
            </w:r>
          </w:p>
        </w:tc>
        <w:tc>
          <w:tcPr>
            <w:tcW w:w="415" w:type="pct"/>
            <w:vAlign w:val="center"/>
          </w:tcPr>
          <w:p w14:paraId="2D7D8B29" w14:textId="77777777" w:rsidR="00FD0D68" w:rsidRPr="00064185" w:rsidRDefault="00FD0D68"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b/>
                <w:bCs/>
                <w:sz w:val="18"/>
                <w:szCs w:val="18"/>
                <w:lang w:eastAsia="en-GB"/>
              </w:rPr>
              <w:t>PEC</w:t>
            </w:r>
            <w:r w:rsidRPr="00064185">
              <w:rPr>
                <w:rFonts w:eastAsia="Calibri" w:cs="Arial"/>
                <w:b/>
                <w:bCs/>
                <w:sz w:val="18"/>
                <w:szCs w:val="18"/>
                <w:vertAlign w:val="subscript"/>
                <w:lang w:eastAsia="en-GB"/>
              </w:rPr>
              <w:t>air</w:t>
            </w:r>
          </w:p>
        </w:tc>
      </w:tr>
      <w:tr w:rsidR="00064185" w:rsidRPr="00064185" w14:paraId="4B0236E3" w14:textId="77777777" w:rsidTr="00360D92">
        <w:trPr>
          <w:trHeight w:val="249"/>
        </w:trPr>
        <w:tc>
          <w:tcPr>
            <w:tcW w:w="1328" w:type="pct"/>
            <w:vMerge/>
            <w:shd w:val="clear" w:color="auto" w:fill="FFFFFF"/>
            <w:vAlign w:val="center"/>
          </w:tcPr>
          <w:p w14:paraId="5DC6948C" w14:textId="77777777" w:rsidR="00FD0D68" w:rsidRPr="00064185" w:rsidRDefault="00FD0D68" w:rsidP="00EA61D8">
            <w:pPr>
              <w:spacing w:before="60" w:after="60" w:line="276" w:lineRule="auto"/>
              <w:rPr>
                <w:rFonts w:eastAsia="Calibri" w:cs="Arial"/>
                <w:b/>
                <w:sz w:val="18"/>
                <w:szCs w:val="18"/>
                <w:lang w:eastAsia="en-GB"/>
              </w:rPr>
            </w:pPr>
          </w:p>
        </w:tc>
        <w:tc>
          <w:tcPr>
            <w:tcW w:w="608" w:type="pct"/>
            <w:shd w:val="clear" w:color="auto" w:fill="FFFFFF"/>
            <w:vAlign w:val="center"/>
          </w:tcPr>
          <w:p w14:paraId="263DA2F7" w14:textId="77777777" w:rsidR="00FD0D68" w:rsidRPr="00064185" w:rsidRDefault="00FD0D68" w:rsidP="00EA61D8">
            <w:pPr>
              <w:autoSpaceDE w:val="0"/>
              <w:autoSpaceDN w:val="0"/>
              <w:adjustRightInd w:val="0"/>
              <w:spacing w:before="60" w:after="60" w:line="260" w:lineRule="atLeast"/>
              <w:rPr>
                <w:rFonts w:eastAsia="Calibri"/>
                <w:b/>
                <w:sz w:val="18"/>
                <w:lang w:eastAsia="en-GB"/>
              </w:rPr>
            </w:pPr>
            <w:r w:rsidRPr="00064185">
              <w:rPr>
                <w:rFonts w:eastAsia="Calibri" w:cs="Arial"/>
                <w:bCs/>
                <w:sz w:val="16"/>
                <w:szCs w:val="16"/>
                <w:lang w:eastAsia="en-GB"/>
              </w:rPr>
              <w:t>[mg/l]</w:t>
            </w:r>
          </w:p>
        </w:tc>
        <w:tc>
          <w:tcPr>
            <w:tcW w:w="673" w:type="pct"/>
            <w:shd w:val="clear" w:color="auto" w:fill="FFFFFF"/>
            <w:vAlign w:val="center"/>
          </w:tcPr>
          <w:p w14:paraId="25A1AAFC" w14:textId="77777777" w:rsidR="00FD0D68" w:rsidRPr="00064185" w:rsidRDefault="00FD0D68" w:rsidP="00EA61D8">
            <w:pPr>
              <w:spacing w:before="60" w:after="60" w:line="276" w:lineRule="auto"/>
              <w:rPr>
                <w:rFonts w:eastAsia="Calibri"/>
                <w:b/>
                <w:sz w:val="18"/>
                <w:lang w:eastAsia="en-GB"/>
              </w:rPr>
            </w:pPr>
            <w:r w:rsidRPr="00064185">
              <w:rPr>
                <w:rFonts w:eastAsia="Calibri" w:cs="Arial"/>
                <w:bCs/>
                <w:sz w:val="16"/>
                <w:szCs w:val="16"/>
                <w:lang w:eastAsia="en-GB"/>
              </w:rPr>
              <w:t>[mg/l]</w:t>
            </w:r>
          </w:p>
        </w:tc>
        <w:tc>
          <w:tcPr>
            <w:tcW w:w="676" w:type="pct"/>
            <w:shd w:val="clear" w:color="auto" w:fill="FFFFFF"/>
            <w:vAlign w:val="center"/>
          </w:tcPr>
          <w:p w14:paraId="46294370" w14:textId="77777777" w:rsidR="00FD0D68" w:rsidRPr="00064185" w:rsidRDefault="00FD0D68" w:rsidP="00EA61D8">
            <w:pPr>
              <w:spacing w:before="60" w:after="60" w:line="276" w:lineRule="auto"/>
              <w:rPr>
                <w:rFonts w:eastAsia="Calibri"/>
                <w:b/>
                <w:sz w:val="18"/>
                <w:lang w:eastAsia="en-GB"/>
              </w:rPr>
            </w:pPr>
            <w:r w:rsidRPr="00064185">
              <w:rPr>
                <w:rFonts w:eastAsia="Calibri" w:cs="Arial"/>
                <w:bCs/>
                <w:sz w:val="16"/>
                <w:szCs w:val="16"/>
                <w:lang w:eastAsia="en-GB"/>
              </w:rPr>
              <w:t>[mg/kg</w:t>
            </w:r>
            <w:r w:rsidRPr="00064185">
              <w:rPr>
                <w:rFonts w:eastAsia="Calibri" w:cs="Arial"/>
                <w:bCs/>
                <w:vertAlign w:val="subscript"/>
                <w:lang w:eastAsia="en-GB"/>
              </w:rPr>
              <w:t>wwt</w:t>
            </w:r>
            <w:r w:rsidRPr="00064185">
              <w:rPr>
                <w:rFonts w:eastAsia="Calibri" w:cs="Arial"/>
                <w:bCs/>
                <w:sz w:val="16"/>
                <w:szCs w:val="16"/>
                <w:lang w:eastAsia="en-GB"/>
              </w:rPr>
              <w:t>]</w:t>
            </w:r>
          </w:p>
        </w:tc>
        <w:tc>
          <w:tcPr>
            <w:tcW w:w="678" w:type="pct"/>
            <w:vAlign w:val="center"/>
          </w:tcPr>
          <w:p w14:paraId="380CFAE0" w14:textId="77777777" w:rsidR="00FD0D68" w:rsidRPr="00064185" w:rsidRDefault="00FD0D68" w:rsidP="00EA61D8">
            <w:pPr>
              <w:spacing w:before="60" w:after="60" w:line="276" w:lineRule="auto"/>
              <w:rPr>
                <w:rFonts w:eastAsia="Calibri"/>
                <w:b/>
                <w:sz w:val="18"/>
                <w:lang w:eastAsia="en-GB"/>
              </w:rPr>
            </w:pPr>
            <w:r w:rsidRPr="00064185">
              <w:rPr>
                <w:rFonts w:eastAsia="Calibri" w:cs="Arial"/>
                <w:bCs/>
                <w:sz w:val="16"/>
                <w:szCs w:val="16"/>
                <w:lang w:eastAsia="en-GB"/>
              </w:rPr>
              <w:t>[mg/kg</w:t>
            </w:r>
            <w:r w:rsidRPr="00064185">
              <w:rPr>
                <w:vertAlign w:val="subscript"/>
              </w:rPr>
              <w:t>wwt</w:t>
            </w:r>
            <w:r w:rsidRPr="00064185">
              <w:rPr>
                <w:rFonts w:eastAsia="Calibri" w:cs="Arial"/>
                <w:bCs/>
                <w:sz w:val="16"/>
                <w:szCs w:val="16"/>
                <w:lang w:eastAsia="en-GB"/>
              </w:rPr>
              <w:t>]</w:t>
            </w:r>
          </w:p>
        </w:tc>
        <w:tc>
          <w:tcPr>
            <w:tcW w:w="622" w:type="pct"/>
            <w:vAlign w:val="center"/>
          </w:tcPr>
          <w:p w14:paraId="65013F63" w14:textId="77777777" w:rsidR="00FD0D68" w:rsidRPr="00064185" w:rsidRDefault="00FD0D68" w:rsidP="00EA61D8">
            <w:pPr>
              <w:spacing w:before="60" w:after="60" w:line="276" w:lineRule="auto"/>
              <w:rPr>
                <w:rFonts w:eastAsia="Calibri"/>
                <w:b/>
                <w:sz w:val="18"/>
                <w:lang w:eastAsia="en-GB"/>
              </w:rPr>
            </w:pPr>
            <w:r w:rsidRPr="00064185">
              <w:rPr>
                <w:rFonts w:eastAsia="Calibri" w:cs="Arial"/>
                <w:bCs/>
                <w:sz w:val="16"/>
                <w:szCs w:val="16"/>
                <w:lang w:eastAsia="en-GB"/>
              </w:rPr>
              <w:t>[μg/l]</w:t>
            </w:r>
          </w:p>
        </w:tc>
        <w:tc>
          <w:tcPr>
            <w:tcW w:w="415" w:type="pct"/>
            <w:vAlign w:val="center"/>
          </w:tcPr>
          <w:p w14:paraId="7BE994E6" w14:textId="77777777" w:rsidR="00FD0D68" w:rsidRPr="00064185" w:rsidRDefault="00FD0D68" w:rsidP="00EA61D8">
            <w:pPr>
              <w:autoSpaceDE w:val="0"/>
              <w:autoSpaceDN w:val="0"/>
              <w:adjustRightInd w:val="0"/>
              <w:spacing w:before="60" w:after="60" w:line="260" w:lineRule="atLeast"/>
              <w:rPr>
                <w:rFonts w:eastAsia="Calibri" w:cs="Arial"/>
                <w:b/>
                <w:bCs/>
                <w:sz w:val="18"/>
                <w:szCs w:val="18"/>
                <w:lang w:eastAsia="en-GB"/>
              </w:rPr>
            </w:pPr>
          </w:p>
        </w:tc>
      </w:tr>
      <w:tr w:rsidR="00064185" w:rsidRPr="00064185" w14:paraId="6AFA6CFD" w14:textId="77777777" w:rsidTr="00360D92">
        <w:trPr>
          <w:trHeight w:val="249"/>
        </w:trPr>
        <w:tc>
          <w:tcPr>
            <w:tcW w:w="4585" w:type="pct"/>
            <w:gridSpan w:val="6"/>
            <w:shd w:val="clear" w:color="auto" w:fill="FFFFFF"/>
            <w:vAlign w:val="center"/>
          </w:tcPr>
          <w:p w14:paraId="2F007BB5" w14:textId="77777777" w:rsidR="00FD0D68" w:rsidRPr="00064185" w:rsidRDefault="00FD0D68" w:rsidP="00EA61D8">
            <w:pPr>
              <w:spacing w:before="60" w:after="60" w:line="276" w:lineRule="auto"/>
              <w:rPr>
                <w:rFonts w:eastAsia="Calibri" w:cs="Arial"/>
                <w:sz w:val="16"/>
                <w:szCs w:val="16"/>
                <w:lang w:eastAsia="en-GB"/>
              </w:rPr>
            </w:pPr>
            <w:r w:rsidRPr="00064185">
              <w:rPr>
                <w:rFonts w:eastAsia="Calibri" w:cs="Arial"/>
                <w:b/>
                <w:bCs/>
                <w:sz w:val="18"/>
                <w:szCs w:val="18"/>
                <w:lang w:eastAsia="en-GB"/>
              </w:rPr>
              <w:t>Spraying indoors, residual treatment</w:t>
            </w:r>
          </w:p>
        </w:tc>
        <w:tc>
          <w:tcPr>
            <w:tcW w:w="415" w:type="pct"/>
            <w:vMerge w:val="restart"/>
            <w:textDirection w:val="btLr"/>
            <w:vAlign w:val="center"/>
          </w:tcPr>
          <w:p w14:paraId="40968F0B" w14:textId="77777777" w:rsidR="00FD0D68" w:rsidRPr="00064185" w:rsidRDefault="00FD0D68" w:rsidP="00EA61D8">
            <w:pPr>
              <w:autoSpaceDE w:val="0"/>
              <w:autoSpaceDN w:val="0"/>
              <w:adjustRightInd w:val="0"/>
              <w:spacing w:before="60" w:after="60" w:line="260" w:lineRule="atLeast"/>
              <w:ind w:left="113" w:right="113"/>
              <w:rPr>
                <w:rFonts w:eastAsia="Calibri" w:cs="Arial"/>
                <w:bCs/>
                <w:sz w:val="16"/>
                <w:szCs w:val="16"/>
                <w:lang w:eastAsia="en-GB"/>
              </w:rPr>
            </w:pPr>
            <w:r w:rsidRPr="00064185">
              <w:rPr>
                <w:sz w:val="16"/>
                <w:szCs w:val="16"/>
              </w:rPr>
              <w:t>has not been predicted</w:t>
            </w:r>
          </w:p>
        </w:tc>
      </w:tr>
      <w:tr w:rsidR="00064185" w:rsidRPr="00064185" w14:paraId="7DCB3784" w14:textId="77777777" w:rsidTr="00360D92">
        <w:trPr>
          <w:cantSplit/>
          <w:trHeight w:val="292"/>
        </w:trPr>
        <w:tc>
          <w:tcPr>
            <w:tcW w:w="1328" w:type="pct"/>
            <w:shd w:val="clear" w:color="auto" w:fill="FFFFFF"/>
            <w:vAlign w:val="center"/>
          </w:tcPr>
          <w:p w14:paraId="24341781" w14:textId="77777777" w:rsidR="00FD0D68" w:rsidRPr="00064185" w:rsidRDefault="00FD0D68" w:rsidP="00EA61D8">
            <w:pPr>
              <w:spacing w:before="60" w:after="60" w:line="276" w:lineRule="auto"/>
              <w:ind w:right="113"/>
              <w:rPr>
                <w:rFonts w:eastAsia="Calibri" w:cs="Arial"/>
                <w:b/>
                <w:sz w:val="18"/>
                <w:szCs w:val="18"/>
                <w:lang w:eastAsia="en-GB"/>
              </w:rPr>
            </w:pPr>
            <w:r w:rsidRPr="00064185">
              <w:rPr>
                <w:rFonts w:eastAsia="Calibri" w:cs="Arial"/>
                <w:b/>
                <w:sz w:val="18"/>
                <w:szCs w:val="18"/>
                <w:lang w:eastAsia="en-GB"/>
              </w:rPr>
              <w:t>Ants</w:t>
            </w:r>
          </w:p>
        </w:tc>
        <w:tc>
          <w:tcPr>
            <w:tcW w:w="608" w:type="pct"/>
            <w:shd w:val="clear" w:color="auto" w:fill="FFFFFF"/>
            <w:vAlign w:val="center"/>
          </w:tcPr>
          <w:p w14:paraId="7D76716C" w14:textId="77777777" w:rsidR="00FD0D68" w:rsidRPr="00064185" w:rsidRDefault="00FD0D68" w:rsidP="00EA61D8">
            <w:pPr>
              <w:autoSpaceDE w:val="0"/>
              <w:autoSpaceDN w:val="0"/>
              <w:adjustRightInd w:val="0"/>
              <w:spacing w:before="60" w:after="60" w:line="260" w:lineRule="atLeast"/>
              <w:rPr>
                <w:rFonts w:eastAsia="Calibri"/>
                <w:sz w:val="18"/>
                <w:lang w:eastAsia="en-GB"/>
              </w:rPr>
            </w:pPr>
            <w:r w:rsidRPr="00064185">
              <w:t>3.28E-5</w:t>
            </w:r>
          </w:p>
        </w:tc>
        <w:tc>
          <w:tcPr>
            <w:tcW w:w="673" w:type="pct"/>
            <w:shd w:val="clear" w:color="auto" w:fill="FFFFFF"/>
            <w:vAlign w:val="center"/>
          </w:tcPr>
          <w:p w14:paraId="43EA39F7" w14:textId="77777777" w:rsidR="00FD0D68" w:rsidRPr="00064185" w:rsidRDefault="00FD0D68" w:rsidP="00EA61D8">
            <w:r w:rsidRPr="00064185">
              <w:t>2.97E-6</w:t>
            </w:r>
          </w:p>
        </w:tc>
        <w:tc>
          <w:tcPr>
            <w:tcW w:w="676" w:type="pct"/>
            <w:shd w:val="clear" w:color="auto" w:fill="FFFFFF"/>
            <w:vAlign w:val="center"/>
          </w:tcPr>
          <w:p w14:paraId="0BBE8AC8" w14:textId="77777777" w:rsidR="00FD0D68" w:rsidRPr="00064185" w:rsidRDefault="00FD0D68" w:rsidP="00EA61D8">
            <w:r w:rsidRPr="00064185">
              <w:t>4.53E-3</w:t>
            </w:r>
          </w:p>
        </w:tc>
        <w:tc>
          <w:tcPr>
            <w:tcW w:w="678" w:type="pct"/>
            <w:vAlign w:val="center"/>
          </w:tcPr>
          <w:p w14:paraId="27DECA2A" w14:textId="77777777" w:rsidR="00FD0D68" w:rsidRPr="00064185" w:rsidRDefault="00FD0D68" w:rsidP="00EA61D8">
            <w:r w:rsidRPr="00064185">
              <w:t>1.08E-3</w:t>
            </w:r>
          </w:p>
        </w:tc>
        <w:tc>
          <w:tcPr>
            <w:tcW w:w="622" w:type="pct"/>
            <w:vAlign w:val="center"/>
          </w:tcPr>
          <w:p w14:paraId="28FE66E1" w14:textId="77777777" w:rsidR="00FD0D68" w:rsidRPr="00064185" w:rsidRDefault="00FD0D68" w:rsidP="00EA61D8">
            <w:r w:rsidRPr="00064185">
              <w:t>8.72E-4</w:t>
            </w:r>
          </w:p>
        </w:tc>
        <w:tc>
          <w:tcPr>
            <w:tcW w:w="415" w:type="pct"/>
            <w:vMerge/>
            <w:vAlign w:val="center"/>
          </w:tcPr>
          <w:p w14:paraId="42BD935D" w14:textId="77777777" w:rsidR="00FD0D68" w:rsidRPr="00064185" w:rsidRDefault="00FD0D68" w:rsidP="00EA61D8">
            <w:pPr>
              <w:autoSpaceDE w:val="0"/>
              <w:autoSpaceDN w:val="0"/>
              <w:adjustRightInd w:val="0"/>
              <w:spacing w:before="60" w:after="60" w:line="260" w:lineRule="atLeast"/>
              <w:rPr>
                <w:rFonts w:eastAsia="Calibri" w:cs="Arial"/>
                <w:sz w:val="18"/>
                <w:szCs w:val="18"/>
                <w:lang w:eastAsia="en-GB"/>
              </w:rPr>
            </w:pPr>
          </w:p>
        </w:tc>
      </w:tr>
      <w:tr w:rsidR="00064185" w:rsidRPr="00064185" w14:paraId="436DB1AA" w14:textId="77777777" w:rsidTr="00360D92">
        <w:trPr>
          <w:cantSplit/>
          <w:trHeight w:val="292"/>
        </w:trPr>
        <w:tc>
          <w:tcPr>
            <w:tcW w:w="1328" w:type="pct"/>
            <w:shd w:val="clear" w:color="auto" w:fill="FFFFFF"/>
            <w:vAlign w:val="center"/>
          </w:tcPr>
          <w:p w14:paraId="781DAFE5" w14:textId="77777777" w:rsidR="00FD0D68" w:rsidRPr="00064185" w:rsidRDefault="00FD0D68" w:rsidP="00EA61D8">
            <w:pPr>
              <w:spacing w:before="60" w:after="60" w:line="276" w:lineRule="auto"/>
              <w:ind w:right="113"/>
              <w:rPr>
                <w:rFonts w:eastAsia="Calibri" w:cs="Arial"/>
                <w:b/>
                <w:sz w:val="18"/>
                <w:szCs w:val="18"/>
                <w:lang w:eastAsia="en-GB"/>
              </w:rPr>
            </w:pPr>
            <w:r w:rsidRPr="00064185">
              <w:rPr>
                <w:rFonts w:eastAsia="Calibri" w:cs="Arial"/>
                <w:b/>
                <w:sz w:val="18"/>
                <w:szCs w:val="18"/>
                <w:lang w:eastAsia="en-GB"/>
              </w:rPr>
              <w:t>Silverfish &amp; Cockroaches, weekly</w:t>
            </w:r>
          </w:p>
        </w:tc>
        <w:tc>
          <w:tcPr>
            <w:tcW w:w="608" w:type="pct"/>
            <w:shd w:val="clear" w:color="auto" w:fill="FFFFFF"/>
            <w:vAlign w:val="center"/>
          </w:tcPr>
          <w:p w14:paraId="25F1E897" w14:textId="77777777" w:rsidR="00FD0D68" w:rsidRPr="00064185" w:rsidRDefault="00FD0D68" w:rsidP="00EA61D8">
            <w:pPr>
              <w:autoSpaceDE w:val="0"/>
              <w:autoSpaceDN w:val="0"/>
              <w:adjustRightInd w:val="0"/>
              <w:spacing w:before="60" w:after="60" w:line="260" w:lineRule="atLeast"/>
              <w:rPr>
                <w:rFonts w:eastAsia="Calibri"/>
                <w:sz w:val="18"/>
                <w:lang w:eastAsia="en-GB"/>
              </w:rPr>
            </w:pPr>
            <w:r w:rsidRPr="00064185">
              <w:t>0.25E-3</w:t>
            </w:r>
          </w:p>
        </w:tc>
        <w:tc>
          <w:tcPr>
            <w:tcW w:w="673" w:type="pct"/>
            <w:shd w:val="clear" w:color="auto" w:fill="FFFFFF"/>
            <w:vAlign w:val="center"/>
          </w:tcPr>
          <w:p w14:paraId="4C74C132" w14:textId="77777777" w:rsidR="00FD0D68" w:rsidRPr="00064185" w:rsidRDefault="00FD0D68" w:rsidP="00EA61D8">
            <w:r w:rsidRPr="00064185">
              <w:t>2.24E-5</w:t>
            </w:r>
          </w:p>
        </w:tc>
        <w:tc>
          <w:tcPr>
            <w:tcW w:w="676" w:type="pct"/>
            <w:shd w:val="clear" w:color="auto" w:fill="FFFFFF"/>
            <w:vAlign w:val="center"/>
          </w:tcPr>
          <w:p w14:paraId="36247AEC" w14:textId="77777777" w:rsidR="00FD0D68" w:rsidRPr="00064185" w:rsidRDefault="00FD0D68" w:rsidP="00EA61D8">
            <w:r w:rsidRPr="00064185">
              <w:t>34.09E-3</w:t>
            </w:r>
          </w:p>
        </w:tc>
        <w:tc>
          <w:tcPr>
            <w:tcW w:w="678" w:type="pct"/>
            <w:vAlign w:val="center"/>
          </w:tcPr>
          <w:p w14:paraId="308C8ED2" w14:textId="77777777" w:rsidR="00FD0D68" w:rsidRPr="00064185" w:rsidRDefault="00FD0D68" w:rsidP="00EA61D8">
            <w:r w:rsidRPr="00064185">
              <w:t>8.13E-3</w:t>
            </w:r>
          </w:p>
        </w:tc>
        <w:tc>
          <w:tcPr>
            <w:tcW w:w="622" w:type="pct"/>
            <w:vAlign w:val="center"/>
          </w:tcPr>
          <w:p w14:paraId="1B4FD506" w14:textId="77777777" w:rsidR="00FD0D68" w:rsidRPr="00064185" w:rsidRDefault="00FD0D68" w:rsidP="00EA61D8">
            <w:r w:rsidRPr="00064185">
              <w:t>6.57E-3</w:t>
            </w:r>
          </w:p>
        </w:tc>
        <w:tc>
          <w:tcPr>
            <w:tcW w:w="415" w:type="pct"/>
            <w:vMerge/>
            <w:vAlign w:val="center"/>
          </w:tcPr>
          <w:p w14:paraId="60AC0CA3" w14:textId="77777777" w:rsidR="00FD0D68" w:rsidRPr="00064185" w:rsidRDefault="00FD0D68" w:rsidP="00EA61D8">
            <w:pPr>
              <w:autoSpaceDE w:val="0"/>
              <w:autoSpaceDN w:val="0"/>
              <w:adjustRightInd w:val="0"/>
              <w:spacing w:before="60" w:after="60" w:line="260" w:lineRule="atLeast"/>
              <w:rPr>
                <w:rFonts w:eastAsia="Calibri" w:cs="Arial"/>
                <w:sz w:val="18"/>
                <w:szCs w:val="18"/>
                <w:lang w:eastAsia="en-GB"/>
              </w:rPr>
            </w:pPr>
          </w:p>
        </w:tc>
      </w:tr>
      <w:tr w:rsidR="00064185" w:rsidRPr="00064185" w14:paraId="48332AE1" w14:textId="77777777" w:rsidTr="00360D92">
        <w:trPr>
          <w:cantSplit/>
          <w:trHeight w:val="292"/>
        </w:trPr>
        <w:tc>
          <w:tcPr>
            <w:tcW w:w="1328" w:type="pct"/>
            <w:shd w:val="clear" w:color="auto" w:fill="FFFFFF"/>
            <w:vAlign w:val="center"/>
          </w:tcPr>
          <w:p w14:paraId="6245A88A" w14:textId="6712DE04" w:rsidR="00FD0D68" w:rsidRPr="00064185" w:rsidRDefault="00FD0D68" w:rsidP="00EA61D8">
            <w:pPr>
              <w:spacing w:before="60" w:after="60" w:line="276" w:lineRule="auto"/>
              <w:ind w:right="113"/>
              <w:rPr>
                <w:rFonts w:eastAsia="Calibri" w:cs="Arial"/>
                <w:b/>
                <w:sz w:val="18"/>
                <w:szCs w:val="18"/>
                <w:lang w:eastAsia="en-GB"/>
              </w:rPr>
            </w:pPr>
            <w:r w:rsidRPr="00064185">
              <w:rPr>
                <w:rFonts w:eastAsia="Calibri" w:cs="Arial"/>
                <w:b/>
                <w:sz w:val="18"/>
                <w:szCs w:val="18"/>
                <w:lang w:eastAsia="en-GB"/>
              </w:rPr>
              <w:t xml:space="preserve">Wood lice </w:t>
            </w:r>
          </w:p>
        </w:tc>
        <w:tc>
          <w:tcPr>
            <w:tcW w:w="608" w:type="pct"/>
            <w:shd w:val="clear" w:color="auto" w:fill="FFFFFF"/>
            <w:vAlign w:val="center"/>
          </w:tcPr>
          <w:p w14:paraId="255F918C" w14:textId="77777777" w:rsidR="00FD0D68" w:rsidRPr="00064185" w:rsidRDefault="00FD0D68" w:rsidP="00EA61D8">
            <w:pPr>
              <w:autoSpaceDE w:val="0"/>
              <w:autoSpaceDN w:val="0"/>
              <w:adjustRightInd w:val="0"/>
              <w:spacing w:before="60" w:after="60" w:line="260" w:lineRule="atLeast"/>
            </w:pPr>
            <w:r w:rsidRPr="00064185">
              <w:t xml:space="preserve"> 1.82E-5</w:t>
            </w:r>
          </w:p>
        </w:tc>
        <w:tc>
          <w:tcPr>
            <w:tcW w:w="673" w:type="pct"/>
            <w:shd w:val="clear" w:color="auto" w:fill="FFFFFF"/>
            <w:vAlign w:val="center"/>
          </w:tcPr>
          <w:p w14:paraId="5E5F7269" w14:textId="77777777" w:rsidR="00FD0D68" w:rsidRPr="00064185" w:rsidRDefault="00FD0D68" w:rsidP="00EA61D8">
            <w:r w:rsidRPr="00064185">
              <w:t xml:space="preserve"> 1.65E-6</w:t>
            </w:r>
          </w:p>
        </w:tc>
        <w:tc>
          <w:tcPr>
            <w:tcW w:w="676" w:type="pct"/>
            <w:shd w:val="clear" w:color="auto" w:fill="FFFFFF"/>
            <w:vAlign w:val="center"/>
          </w:tcPr>
          <w:p w14:paraId="0EB51C16" w14:textId="77777777" w:rsidR="00FD0D68" w:rsidRPr="00064185" w:rsidRDefault="00FD0D68" w:rsidP="00EA61D8">
            <w:r w:rsidRPr="00064185">
              <w:t xml:space="preserve"> 2.52E-3</w:t>
            </w:r>
          </w:p>
        </w:tc>
        <w:tc>
          <w:tcPr>
            <w:tcW w:w="678" w:type="pct"/>
            <w:vAlign w:val="center"/>
          </w:tcPr>
          <w:p w14:paraId="550327B8" w14:textId="77777777" w:rsidR="00FD0D68" w:rsidRPr="00064185" w:rsidRDefault="00FD0D68" w:rsidP="00EA61D8">
            <w:r w:rsidRPr="00064185">
              <w:t xml:space="preserve"> 0.60E-3</w:t>
            </w:r>
          </w:p>
        </w:tc>
        <w:tc>
          <w:tcPr>
            <w:tcW w:w="622" w:type="pct"/>
            <w:vAlign w:val="center"/>
          </w:tcPr>
          <w:p w14:paraId="7517B2BB" w14:textId="77777777" w:rsidR="00FD0D68" w:rsidRPr="00064185" w:rsidRDefault="00FD0D68" w:rsidP="00EA61D8">
            <w:r w:rsidRPr="00064185">
              <w:t xml:space="preserve"> 4.85E-4</w:t>
            </w:r>
          </w:p>
        </w:tc>
        <w:tc>
          <w:tcPr>
            <w:tcW w:w="415" w:type="pct"/>
            <w:vMerge/>
            <w:vAlign w:val="center"/>
          </w:tcPr>
          <w:p w14:paraId="29309790" w14:textId="77777777" w:rsidR="00FD0D68" w:rsidRPr="00064185" w:rsidRDefault="00FD0D68" w:rsidP="00EA61D8">
            <w:pPr>
              <w:autoSpaceDE w:val="0"/>
              <w:autoSpaceDN w:val="0"/>
              <w:adjustRightInd w:val="0"/>
              <w:spacing w:before="60" w:after="60" w:line="260" w:lineRule="atLeast"/>
              <w:rPr>
                <w:rFonts w:eastAsia="Calibri" w:cs="Arial"/>
                <w:sz w:val="18"/>
                <w:szCs w:val="18"/>
                <w:lang w:eastAsia="en-GB"/>
              </w:rPr>
            </w:pPr>
          </w:p>
        </w:tc>
      </w:tr>
      <w:tr w:rsidR="00064185" w:rsidRPr="00064185" w14:paraId="3B0A8F85" w14:textId="77777777" w:rsidTr="00360D92">
        <w:trPr>
          <w:cantSplit/>
          <w:trHeight w:val="410"/>
        </w:trPr>
        <w:tc>
          <w:tcPr>
            <w:tcW w:w="4585" w:type="pct"/>
            <w:gridSpan w:val="6"/>
            <w:shd w:val="clear" w:color="auto" w:fill="FFFFFF"/>
            <w:vAlign w:val="center"/>
          </w:tcPr>
          <w:p w14:paraId="6E00E316" w14:textId="77777777" w:rsidR="00FD0D68" w:rsidRPr="00064185" w:rsidRDefault="00FD0D68" w:rsidP="00EA61D8">
            <w:r w:rsidRPr="00064185">
              <w:rPr>
                <w:rFonts w:eastAsia="Calibri" w:cs="Arial"/>
                <w:b/>
                <w:bCs/>
                <w:sz w:val="18"/>
                <w:szCs w:val="18"/>
                <w:lang w:eastAsia="en-GB"/>
              </w:rPr>
              <w:t>Spraying indoors, direct treatment of target organisms</w:t>
            </w:r>
          </w:p>
        </w:tc>
        <w:tc>
          <w:tcPr>
            <w:tcW w:w="415" w:type="pct"/>
            <w:vMerge/>
            <w:vAlign w:val="center"/>
          </w:tcPr>
          <w:p w14:paraId="3314ABAB" w14:textId="77777777" w:rsidR="00FD0D68" w:rsidRPr="00064185" w:rsidRDefault="00FD0D68" w:rsidP="00EA61D8">
            <w:pPr>
              <w:autoSpaceDE w:val="0"/>
              <w:autoSpaceDN w:val="0"/>
              <w:adjustRightInd w:val="0"/>
              <w:spacing w:before="60" w:after="60" w:line="260" w:lineRule="atLeast"/>
              <w:rPr>
                <w:rFonts w:eastAsia="Calibri" w:cs="Arial"/>
                <w:sz w:val="18"/>
                <w:szCs w:val="18"/>
                <w:lang w:eastAsia="en-GB"/>
              </w:rPr>
            </w:pPr>
          </w:p>
        </w:tc>
      </w:tr>
      <w:tr w:rsidR="00064185" w:rsidRPr="00064185" w14:paraId="7A916CC1" w14:textId="77777777" w:rsidTr="00360D92">
        <w:trPr>
          <w:cantSplit/>
          <w:trHeight w:val="292"/>
        </w:trPr>
        <w:tc>
          <w:tcPr>
            <w:tcW w:w="1328" w:type="pct"/>
            <w:shd w:val="clear" w:color="auto" w:fill="FFFFFF"/>
            <w:vAlign w:val="center"/>
          </w:tcPr>
          <w:p w14:paraId="1F30B756" w14:textId="77777777" w:rsidR="00FD0D68" w:rsidRPr="00064185" w:rsidRDefault="00FD0D68" w:rsidP="00EA61D8">
            <w:pPr>
              <w:spacing w:before="60" w:after="60" w:line="276" w:lineRule="auto"/>
              <w:ind w:right="113"/>
              <w:rPr>
                <w:rFonts w:eastAsia="Calibri" w:cs="Arial"/>
                <w:b/>
                <w:sz w:val="18"/>
                <w:szCs w:val="18"/>
                <w:lang w:eastAsia="en-GB"/>
              </w:rPr>
            </w:pPr>
            <w:r w:rsidRPr="00064185">
              <w:rPr>
                <w:rFonts w:eastAsia="Calibri" w:cs="Arial"/>
                <w:b/>
                <w:sz w:val="18"/>
                <w:szCs w:val="18"/>
                <w:lang w:eastAsia="en-GB"/>
              </w:rPr>
              <w:t>Silverfish &amp; Cockroaches, weekly</w:t>
            </w:r>
          </w:p>
        </w:tc>
        <w:tc>
          <w:tcPr>
            <w:tcW w:w="608" w:type="pct"/>
            <w:shd w:val="clear" w:color="auto" w:fill="FFFFFF"/>
            <w:vAlign w:val="center"/>
          </w:tcPr>
          <w:p w14:paraId="2AF625CD" w14:textId="77777777" w:rsidR="00FD0D68" w:rsidRPr="00064185" w:rsidRDefault="00FD0D68" w:rsidP="00EA61D8">
            <w:r w:rsidRPr="00064185">
              <w:t>0.30E-3</w:t>
            </w:r>
          </w:p>
        </w:tc>
        <w:tc>
          <w:tcPr>
            <w:tcW w:w="673" w:type="pct"/>
            <w:shd w:val="clear" w:color="auto" w:fill="FFFFFF"/>
            <w:vAlign w:val="center"/>
          </w:tcPr>
          <w:p w14:paraId="4014EEDB" w14:textId="77777777" w:rsidR="00FD0D68" w:rsidRPr="00064185" w:rsidRDefault="00FD0D68" w:rsidP="00EA61D8">
            <w:r w:rsidRPr="00064185">
              <w:t>2.75E-5</w:t>
            </w:r>
          </w:p>
        </w:tc>
        <w:tc>
          <w:tcPr>
            <w:tcW w:w="676" w:type="pct"/>
            <w:shd w:val="clear" w:color="auto" w:fill="FFFFFF"/>
            <w:vAlign w:val="center"/>
          </w:tcPr>
          <w:p w14:paraId="7E1C2909" w14:textId="77777777" w:rsidR="00FD0D68" w:rsidRPr="00064185" w:rsidRDefault="00FD0D68" w:rsidP="00EA61D8">
            <w:r w:rsidRPr="00064185">
              <w:t>41.96E-3</w:t>
            </w:r>
          </w:p>
        </w:tc>
        <w:tc>
          <w:tcPr>
            <w:tcW w:w="678" w:type="pct"/>
            <w:shd w:val="clear" w:color="auto" w:fill="FFFFFF"/>
            <w:vAlign w:val="center"/>
          </w:tcPr>
          <w:p w14:paraId="195F4A8A" w14:textId="77777777" w:rsidR="00FD0D68" w:rsidRPr="00064185" w:rsidRDefault="00FD0D68" w:rsidP="00EA61D8">
            <w:r w:rsidRPr="00064185">
              <w:t>10.00E-3</w:t>
            </w:r>
          </w:p>
        </w:tc>
        <w:tc>
          <w:tcPr>
            <w:tcW w:w="622" w:type="pct"/>
            <w:shd w:val="clear" w:color="auto" w:fill="FFFFFF"/>
            <w:vAlign w:val="center"/>
          </w:tcPr>
          <w:p w14:paraId="77BB44CE" w14:textId="77777777" w:rsidR="00FD0D68" w:rsidRPr="00064185" w:rsidRDefault="00FD0D68" w:rsidP="00EA61D8">
            <w:r w:rsidRPr="00064185">
              <w:t>8.08E-3</w:t>
            </w:r>
          </w:p>
        </w:tc>
        <w:tc>
          <w:tcPr>
            <w:tcW w:w="415" w:type="pct"/>
            <w:vMerge/>
            <w:vAlign w:val="center"/>
          </w:tcPr>
          <w:p w14:paraId="664B8746" w14:textId="77777777" w:rsidR="00FD0D68" w:rsidRPr="00064185" w:rsidRDefault="00FD0D68" w:rsidP="00EA61D8">
            <w:pPr>
              <w:autoSpaceDE w:val="0"/>
              <w:autoSpaceDN w:val="0"/>
              <w:adjustRightInd w:val="0"/>
              <w:spacing w:before="60" w:after="60" w:line="260" w:lineRule="atLeast"/>
              <w:rPr>
                <w:rFonts w:eastAsia="Calibri" w:cs="Arial"/>
                <w:sz w:val="18"/>
                <w:szCs w:val="18"/>
                <w:lang w:eastAsia="en-GB"/>
              </w:rPr>
            </w:pPr>
          </w:p>
        </w:tc>
      </w:tr>
      <w:tr w:rsidR="00064185" w:rsidRPr="00064185" w14:paraId="66370732" w14:textId="77777777" w:rsidTr="00360D92">
        <w:trPr>
          <w:cantSplit/>
          <w:trHeight w:val="292"/>
        </w:trPr>
        <w:tc>
          <w:tcPr>
            <w:tcW w:w="1328" w:type="pct"/>
            <w:shd w:val="clear" w:color="auto" w:fill="FFFFFF"/>
            <w:vAlign w:val="center"/>
          </w:tcPr>
          <w:p w14:paraId="557E74C5" w14:textId="77777777" w:rsidR="00FD0D68" w:rsidRPr="00064185" w:rsidRDefault="00FD0D68" w:rsidP="00EA61D8">
            <w:pPr>
              <w:spacing w:before="60" w:after="60" w:line="276" w:lineRule="auto"/>
              <w:ind w:right="113"/>
              <w:rPr>
                <w:rFonts w:eastAsia="Calibri" w:cs="Arial"/>
                <w:b/>
                <w:sz w:val="18"/>
                <w:szCs w:val="18"/>
                <w:lang w:eastAsia="en-GB"/>
              </w:rPr>
            </w:pPr>
            <w:r w:rsidRPr="00064185">
              <w:rPr>
                <w:rFonts w:eastAsia="Calibri" w:cs="Arial"/>
                <w:b/>
                <w:sz w:val="18"/>
                <w:szCs w:val="18"/>
                <w:lang w:eastAsia="en-GB"/>
              </w:rPr>
              <w:t>Wood lice,          twice a year</w:t>
            </w:r>
          </w:p>
        </w:tc>
        <w:tc>
          <w:tcPr>
            <w:tcW w:w="608" w:type="pct"/>
            <w:shd w:val="clear" w:color="auto" w:fill="FFFFFF"/>
            <w:vAlign w:val="center"/>
          </w:tcPr>
          <w:p w14:paraId="6F529097" w14:textId="77777777" w:rsidR="00FD0D68" w:rsidRPr="00064185" w:rsidRDefault="00FD0D68" w:rsidP="00EA61D8">
            <w:r w:rsidRPr="00064185">
              <w:t>3.10E-5</w:t>
            </w:r>
          </w:p>
        </w:tc>
        <w:tc>
          <w:tcPr>
            <w:tcW w:w="673" w:type="pct"/>
            <w:shd w:val="clear" w:color="auto" w:fill="FFFFFF"/>
            <w:vAlign w:val="center"/>
          </w:tcPr>
          <w:p w14:paraId="4D81E7B1" w14:textId="77777777" w:rsidR="00FD0D68" w:rsidRPr="00064185" w:rsidRDefault="00FD0D68" w:rsidP="00EA61D8">
            <w:r w:rsidRPr="00064185">
              <w:t>2.81E-6</w:t>
            </w:r>
          </w:p>
        </w:tc>
        <w:tc>
          <w:tcPr>
            <w:tcW w:w="676" w:type="pct"/>
            <w:shd w:val="clear" w:color="auto" w:fill="FFFFFF"/>
            <w:vAlign w:val="center"/>
          </w:tcPr>
          <w:p w14:paraId="0BA24E71" w14:textId="77777777" w:rsidR="00FD0D68" w:rsidRPr="00064185" w:rsidRDefault="00FD0D68" w:rsidP="00EA61D8">
            <w:r w:rsidRPr="00064185">
              <w:t>4.28E-3</w:t>
            </w:r>
          </w:p>
        </w:tc>
        <w:tc>
          <w:tcPr>
            <w:tcW w:w="678" w:type="pct"/>
            <w:shd w:val="clear" w:color="auto" w:fill="FFFFFF"/>
            <w:vAlign w:val="center"/>
          </w:tcPr>
          <w:p w14:paraId="6CA7F00F" w14:textId="77777777" w:rsidR="00FD0D68" w:rsidRPr="00064185" w:rsidRDefault="00FD0D68" w:rsidP="00EA61D8">
            <w:r w:rsidRPr="00064185">
              <w:t>1.02E-3</w:t>
            </w:r>
          </w:p>
        </w:tc>
        <w:tc>
          <w:tcPr>
            <w:tcW w:w="622" w:type="pct"/>
            <w:shd w:val="clear" w:color="auto" w:fill="FFFFFF"/>
            <w:vAlign w:val="center"/>
          </w:tcPr>
          <w:p w14:paraId="01B15355" w14:textId="77777777" w:rsidR="00FD0D68" w:rsidRPr="00064185" w:rsidRDefault="00FD0D68" w:rsidP="00EA61D8">
            <w:r w:rsidRPr="00064185">
              <w:t>8.24E-4</w:t>
            </w:r>
          </w:p>
        </w:tc>
        <w:tc>
          <w:tcPr>
            <w:tcW w:w="415" w:type="pct"/>
            <w:vMerge/>
            <w:vAlign w:val="center"/>
          </w:tcPr>
          <w:p w14:paraId="0AD69C4E" w14:textId="77777777" w:rsidR="00FD0D68" w:rsidRPr="00064185" w:rsidRDefault="00FD0D68" w:rsidP="00EA61D8">
            <w:pPr>
              <w:autoSpaceDE w:val="0"/>
              <w:autoSpaceDN w:val="0"/>
              <w:adjustRightInd w:val="0"/>
              <w:spacing w:before="60" w:after="60" w:line="260" w:lineRule="atLeast"/>
              <w:rPr>
                <w:rFonts w:eastAsia="Calibri" w:cs="Arial"/>
                <w:sz w:val="18"/>
                <w:szCs w:val="18"/>
                <w:lang w:eastAsia="en-GB"/>
              </w:rPr>
            </w:pPr>
          </w:p>
        </w:tc>
      </w:tr>
      <w:tr w:rsidR="00064185" w:rsidRPr="00064185" w14:paraId="576A1E97" w14:textId="77777777" w:rsidTr="00360D92">
        <w:trPr>
          <w:cantSplit/>
          <w:trHeight w:val="405"/>
        </w:trPr>
        <w:tc>
          <w:tcPr>
            <w:tcW w:w="4585" w:type="pct"/>
            <w:gridSpan w:val="6"/>
            <w:shd w:val="clear" w:color="auto" w:fill="FFFFFF"/>
            <w:vAlign w:val="center"/>
          </w:tcPr>
          <w:p w14:paraId="681BF619" w14:textId="77777777" w:rsidR="00FD0D68" w:rsidRPr="00064185" w:rsidRDefault="00FD0D68" w:rsidP="00EA61D8">
            <w:pPr>
              <w:rPr>
                <w:highlight w:val="yellow"/>
              </w:rPr>
            </w:pPr>
            <w:r w:rsidRPr="00064185">
              <w:rPr>
                <w:rFonts w:eastAsia="Calibri" w:cs="Arial"/>
                <w:b/>
                <w:sz w:val="18"/>
                <w:szCs w:val="18"/>
                <w:lang w:eastAsia="en-GB"/>
              </w:rPr>
              <w:t xml:space="preserve">Spraying, outdoors, </w:t>
            </w:r>
            <w:r w:rsidRPr="00064185">
              <w:rPr>
                <w:rFonts w:eastAsia="Calibri" w:cs="Arial"/>
                <w:b/>
                <w:bCs/>
                <w:sz w:val="18"/>
                <w:szCs w:val="18"/>
                <w:lang w:eastAsia="en-GB"/>
              </w:rPr>
              <w:t>residual treatment</w:t>
            </w:r>
          </w:p>
        </w:tc>
        <w:tc>
          <w:tcPr>
            <w:tcW w:w="415" w:type="pct"/>
            <w:vMerge/>
            <w:vAlign w:val="center"/>
          </w:tcPr>
          <w:p w14:paraId="13BD120C" w14:textId="77777777" w:rsidR="00FD0D68" w:rsidRPr="00064185" w:rsidRDefault="00FD0D68" w:rsidP="00EA61D8">
            <w:pPr>
              <w:autoSpaceDE w:val="0"/>
              <w:autoSpaceDN w:val="0"/>
              <w:adjustRightInd w:val="0"/>
              <w:spacing w:before="60" w:after="60" w:line="260" w:lineRule="atLeast"/>
              <w:rPr>
                <w:rFonts w:eastAsia="Calibri" w:cs="Arial"/>
                <w:sz w:val="18"/>
                <w:szCs w:val="18"/>
                <w:lang w:eastAsia="en-GB"/>
              </w:rPr>
            </w:pPr>
          </w:p>
        </w:tc>
      </w:tr>
      <w:tr w:rsidR="00064185" w:rsidRPr="00064185" w14:paraId="11F22A03" w14:textId="77777777" w:rsidTr="00360D92">
        <w:trPr>
          <w:cantSplit/>
          <w:trHeight w:val="441"/>
        </w:trPr>
        <w:tc>
          <w:tcPr>
            <w:tcW w:w="1328" w:type="pct"/>
            <w:shd w:val="clear" w:color="auto" w:fill="FFFFFF"/>
            <w:vAlign w:val="center"/>
          </w:tcPr>
          <w:p w14:paraId="1D246498" w14:textId="77777777" w:rsidR="00FD0D68" w:rsidRPr="00064185" w:rsidRDefault="00FD0D68" w:rsidP="00EA61D8">
            <w:pPr>
              <w:spacing w:before="60" w:after="60" w:line="276" w:lineRule="auto"/>
              <w:rPr>
                <w:rFonts w:eastAsia="Calibri" w:cs="Arial"/>
                <w:b/>
                <w:sz w:val="18"/>
                <w:szCs w:val="18"/>
                <w:lang w:eastAsia="en-GB"/>
              </w:rPr>
            </w:pPr>
            <w:r w:rsidRPr="00064185">
              <w:rPr>
                <w:rFonts w:eastAsia="Calibri" w:cs="Arial"/>
                <w:b/>
                <w:sz w:val="18"/>
                <w:szCs w:val="18"/>
                <w:lang w:eastAsia="en-GB"/>
              </w:rPr>
              <w:t xml:space="preserve">Ants </w:t>
            </w:r>
            <w:r w:rsidRPr="00064185">
              <w:rPr>
                <w:sz w:val="16"/>
                <w:szCs w:val="16"/>
              </w:rPr>
              <w:t>(urban area)</w:t>
            </w:r>
          </w:p>
        </w:tc>
        <w:tc>
          <w:tcPr>
            <w:tcW w:w="608" w:type="pct"/>
            <w:shd w:val="clear" w:color="auto" w:fill="FFFFFF"/>
            <w:vAlign w:val="center"/>
          </w:tcPr>
          <w:p w14:paraId="1833D79D" w14:textId="77777777" w:rsidR="00FD0D68" w:rsidRPr="00064185" w:rsidRDefault="00FD0D68" w:rsidP="00EA61D8">
            <w:r w:rsidRPr="00064185">
              <w:t>2.6E-5</w:t>
            </w:r>
          </w:p>
        </w:tc>
        <w:tc>
          <w:tcPr>
            <w:tcW w:w="673" w:type="pct"/>
            <w:shd w:val="clear" w:color="auto" w:fill="FFFFFF"/>
            <w:vAlign w:val="center"/>
          </w:tcPr>
          <w:p w14:paraId="17E364F3" w14:textId="77777777" w:rsidR="00FD0D68" w:rsidRPr="00064185" w:rsidRDefault="00FD0D68" w:rsidP="00EA61D8">
            <w:r w:rsidRPr="00064185">
              <w:t>2.35E-6</w:t>
            </w:r>
          </w:p>
        </w:tc>
        <w:tc>
          <w:tcPr>
            <w:tcW w:w="676" w:type="pct"/>
            <w:shd w:val="clear" w:color="auto" w:fill="FFFFFF"/>
            <w:vAlign w:val="center"/>
          </w:tcPr>
          <w:p w14:paraId="09A479A0" w14:textId="77777777" w:rsidR="00FD0D68" w:rsidRPr="00064185" w:rsidRDefault="00FD0D68" w:rsidP="00EA61D8">
            <w:r w:rsidRPr="00064185">
              <w:t>3.95E-3</w:t>
            </w:r>
          </w:p>
        </w:tc>
        <w:tc>
          <w:tcPr>
            <w:tcW w:w="678" w:type="pct"/>
            <w:shd w:val="clear" w:color="auto" w:fill="FFFFFF"/>
            <w:vAlign w:val="center"/>
          </w:tcPr>
          <w:p w14:paraId="05DA9D36" w14:textId="77777777" w:rsidR="00FD0D68" w:rsidRPr="00064185" w:rsidRDefault="00FD0D68" w:rsidP="00EA61D8">
            <w:r w:rsidRPr="00064185">
              <w:t>0.85E-3</w:t>
            </w:r>
          </w:p>
        </w:tc>
        <w:tc>
          <w:tcPr>
            <w:tcW w:w="622" w:type="pct"/>
            <w:shd w:val="clear" w:color="auto" w:fill="FFFFFF"/>
            <w:vAlign w:val="center"/>
          </w:tcPr>
          <w:p w14:paraId="2ECDC8EE" w14:textId="77777777" w:rsidR="00FD0D68" w:rsidRPr="00064185" w:rsidRDefault="00FD0D68" w:rsidP="00EA61D8">
            <w:r w:rsidRPr="00064185">
              <w:t>6.91E-4</w:t>
            </w:r>
          </w:p>
        </w:tc>
        <w:tc>
          <w:tcPr>
            <w:tcW w:w="415" w:type="pct"/>
            <w:vMerge/>
            <w:shd w:val="clear" w:color="auto" w:fill="FFFFFF"/>
            <w:vAlign w:val="center"/>
          </w:tcPr>
          <w:p w14:paraId="27A221A9" w14:textId="77777777" w:rsidR="00FD0D68" w:rsidRPr="00064185" w:rsidRDefault="00FD0D68" w:rsidP="00EA61D8"/>
        </w:tc>
      </w:tr>
      <w:tr w:rsidR="00064185" w:rsidRPr="00064185" w14:paraId="34BF42D7" w14:textId="77777777" w:rsidTr="00360D92">
        <w:trPr>
          <w:cantSplit/>
          <w:trHeight w:val="419"/>
        </w:trPr>
        <w:tc>
          <w:tcPr>
            <w:tcW w:w="1328" w:type="pct"/>
            <w:shd w:val="clear" w:color="auto" w:fill="FFFFFF"/>
            <w:vAlign w:val="center"/>
          </w:tcPr>
          <w:p w14:paraId="124271DC" w14:textId="77777777" w:rsidR="00FD0D68" w:rsidRPr="00064185" w:rsidRDefault="00FD0D68" w:rsidP="00EA61D8">
            <w:pPr>
              <w:spacing w:before="60" w:after="60" w:line="276" w:lineRule="auto"/>
              <w:rPr>
                <w:rFonts w:eastAsia="Calibri" w:cs="Arial"/>
                <w:b/>
                <w:sz w:val="18"/>
                <w:szCs w:val="18"/>
                <w:lang w:eastAsia="en-GB"/>
              </w:rPr>
            </w:pPr>
            <w:r w:rsidRPr="00064185">
              <w:rPr>
                <w:rFonts w:eastAsia="Calibri" w:cs="Arial"/>
                <w:b/>
                <w:sz w:val="18"/>
                <w:szCs w:val="18"/>
                <w:lang w:eastAsia="en-GB"/>
              </w:rPr>
              <w:t xml:space="preserve">Ants </w:t>
            </w:r>
            <w:r w:rsidRPr="00064185">
              <w:rPr>
                <w:sz w:val="16"/>
                <w:szCs w:val="16"/>
              </w:rPr>
              <w:t>(rural area)</w:t>
            </w:r>
          </w:p>
        </w:tc>
        <w:tc>
          <w:tcPr>
            <w:tcW w:w="608" w:type="pct"/>
            <w:shd w:val="clear" w:color="auto" w:fill="FFFFFF"/>
            <w:vAlign w:val="center"/>
          </w:tcPr>
          <w:p w14:paraId="1A16C450" w14:textId="77777777" w:rsidR="00FD0D68" w:rsidRPr="00064185" w:rsidRDefault="00FD0D68" w:rsidP="00EA61D8">
            <w:pPr>
              <w:rPr>
                <w:rFonts w:eastAsia="Calibri"/>
                <w:lang w:eastAsia="en-US"/>
              </w:rPr>
            </w:pPr>
            <w:r w:rsidRPr="00064185">
              <w:rPr>
                <w:rFonts w:eastAsia="Calibri"/>
                <w:lang w:eastAsia="en-US"/>
              </w:rPr>
              <w:t>-</w:t>
            </w:r>
          </w:p>
        </w:tc>
        <w:tc>
          <w:tcPr>
            <w:tcW w:w="673" w:type="pct"/>
            <w:shd w:val="clear" w:color="auto" w:fill="FFFFFF"/>
            <w:vAlign w:val="center"/>
          </w:tcPr>
          <w:p w14:paraId="7675FE29" w14:textId="77777777" w:rsidR="00FD0D68" w:rsidRPr="00064185" w:rsidRDefault="00FD0D68" w:rsidP="00EA61D8">
            <w:pPr>
              <w:rPr>
                <w:rFonts w:eastAsia="Calibri"/>
                <w:lang w:eastAsia="en-US"/>
              </w:rPr>
            </w:pPr>
            <w:r w:rsidRPr="00064185">
              <w:rPr>
                <w:rFonts w:eastAsia="Calibri"/>
                <w:lang w:eastAsia="en-US"/>
              </w:rPr>
              <w:t>-</w:t>
            </w:r>
          </w:p>
        </w:tc>
        <w:tc>
          <w:tcPr>
            <w:tcW w:w="676" w:type="pct"/>
            <w:shd w:val="clear" w:color="auto" w:fill="FFFFFF"/>
            <w:vAlign w:val="center"/>
          </w:tcPr>
          <w:p w14:paraId="27A46794" w14:textId="77777777" w:rsidR="00FD0D68" w:rsidRPr="00064185" w:rsidRDefault="00FD0D68" w:rsidP="00EA61D8">
            <w:pPr>
              <w:rPr>
                <w:rFonts w:eastAsia="Calibri"/>
                <w:lang w:eastAsia="en-US"/>
              </w:rPr>
            </w:pPr>
            <w:r w:rsidRPr="00064185">
              <w:rPr>
                <w:rFonts w:eastAsia="Calibri"/>
                <w:lang w:eastAsia="en-US"/>
              </w:rPr>
              <w:t>-</w:t>
            </w:r>
          </w:p>
        </w:tc>
        <w:tc>
          <w:tcPr>
            <w:tcW w:w="678" w:type="pct"/>
            <w:shd w:val="clear" w:color="auto" w:fill="FFFFFF"/>
            <w:vAlign w:val="center"/>
          </w:tcPr>
          <w:p w14:paraId="692655D4" w14:textId="77777777" w:rsidR="00FD0D68" w:rsidRPr="00064185" w:rsidRDefault="00FD0D68" w:rsidP="00EA61D8">
            <w:pPr>
              <w:rPr>
                <w:rFonts w:eastAsia="Calibri"/>
                <w:lang w:eastAsia="en-US"/>
              </w:rPr>
            </w:pPr>
            <w:r w:rsidRPr="00064185">
              <w:t>3</w:t>
            </w:r>
            <w:r w:rsidRPr="00064185">
              <w:rPr>
                <w:lang w:val="en-US"/>
              </w:rPr>
              <w:t>.74E-3</w:t>
            </w:r>
          </w:p>
        </w:tc>
        <w:tc>
          <w:tcPr>
            <w:tcW w:w="622" w:type="pct"/>
            <w:shd w:val="clear" w:color="auto" w:fill="FFFFFF"/>
            <w:vAlign w:val="center"/>
          </w:tcPr>
          <w:p w14:paraId="7EB7A7A3" w14:textId="77777777" w:rsidR="00FD0D68" w:rsidRPr="00064185" w:rsidRDefault="00FD0D68" w:rsidP="00EA61D8">
            <w:pPr>
              <w:rPr>
                <w:rFonts w:eastAsia="Calibri"/>
                <w:lang w:eastAsia="en-US"/>
              </w:rPr>
            </w:pPr>
            <w:r w:rsidRPr="00064185">
              <w:t>3.03E-3</w:t>
            </w:r>
          </w:p>
        </w:tc>
        <w:tc>
          <w:tcPr>
            <w:tcW w:w="415" w:type="pct"/>
            <w:vMerge/>
            <w:shd w:val="clear" w:color="auto" w:fill="FFFFFF"/>
            <w:vAlign w:val="center"/>
          </w:tcPr>
          <w:p w14:paraId="66A7218E" w14:textId="77777777" w:rsidR="00FD0D68" w:rsidRPr="00064185" w:rsidRDefault="00FD0D68" w:rsidP="00EA61D8">
            <w:pPr>
              <w:rPr>
                <w:rFonts w:eastAsia="Calibri"/>
                <w:lang w:eastAsia="en-US"/>
              </w:rPr>
            </w:pPr>
          </w:p>
        </w:tc>
      </w:tr>
    </w:tbl>
    <w:p w14:paraId="28740E6B" w14:textId="77777777" w:rsidR="00FD0D68" w:rsidRPr="00064185" w:rsidRDefault="00FD0D68" w:rsidP="00EA61D8">
      <w:pPr>
        <w:spacing w:line="260" w:lineRule="atLeast"/>
        <w:rPr>
          <w:rFonts w:eastAsia="Calibri"/>
          <w:lang w:eastAsia="en-US"/>
        </w:rPr>
      </w:pPr>
      <w:r w:rsidRPr="00064185">
        <w:rPr>
          <w:sz w:val="16"/>
          <w:szCs w:val="16"/>
        </w:rPr>
        <w:t>- Compartment not exposed</w:t>
      </w:r>
    </w:p>
    <w:p w14:paraId="3DB375B3" w14:textId="682ED555" w:rsidR="00D86A80" w:rsidRPr="00064185" w:rsidRDefault="00D86A80" w:rsidP="006A7704">
      <w:pPr>
        <w:spacing w:line="260" w:lineRule="atLeast"/>
        <w:jc w:val="both"/>
        <w:rPr>
          <w:rFonts w:eastAsia="Calibri"/>
          <w:lang w:eastAsia="en-US"/>
        </w:rPr>
      </w:pPr>
    </w:p>
    <w:p w14:paraId="6511CD02" w14:textId="0BD2ED3B" w:rsidR="00087957" w:rsidRPr="00064185" w:rsidRDefault="00087957" w:rsidP="006A7704">
      <w:pPr>
        <w:autoSpaceDE w:val="0"/>
        <w:autoSpaceDN w:val="0"/>
        <w:adjustRightInd w:val="0"/>
        <w:jc w:val="both"/>
        <w:rPr>
          <w:rFonts w:cs="Arial"/>
        </w:rPr>
      </w:pPr>
      <w:bookmarkStart w:id="1822" w:name="_Toc377651047"/>
      <w:bookmarkStart w:id="1823" w:name="_Toc389729117"/>
      <w:bookmarkStart w:id="1824" w:name="_Toc403472802"/>
      <w:r w:rsidRPr="00064185">
        <w:rPr>
          <w:rFonts w:cs="Arial"/>
        </w:rPr>
        <w:t>Risk from treatment against c</w:t>
      </w:r>
      <w:r w:rsidRPr="00064185">
        <w:rPr>
          <w:rFonts w:eastAsiaTheme="minorHAnsi" w:cs="Arial"/>
          <w:lang w:eastAsia="en-US"/>
        </w:rPr>
        <w:t>ockroaches</w:t>
      </w:r>
      <w:r w:rsidRPr="00064185">
        <w:rPr>
          <w:rFonts w:cs="Arial"/>
        </w:rPr>
        <w:t xml:space="preserve"> has been assessed considering applications every two weeks (simultaneity factor 2.75%), which is the worst case assumption according to the number and timing of application given in the intended use.</w:t>
      </w:r>
      <w:r w:rsidR="00D86A80" w:rsidRPr="00064185">
        <w:rPr>
          <w:rFonts w:cs="Arial"/>
        </w:rPr>
        <w:t xml:space="preserve"> </w:t>
      </w:r>
      <w:r w:rsidRPr="00064185">
        <w:rPr>
          <w:rFonts w:cs="Arial"/>
        </w:rPr>
        <w:t xml:space="preserve">However, in view of the treatment of </w:t>
      </w:r>
      <w:r w:rsidRPr="00064185">
        <w:rPr>
          <w:rFonts w:cs="Arial"/>
          <w:bCs/>
          <w:lang w:val="en-US"/>
        </w:rPr>
        <w:t>non-porous ground e.g. glazed tiles</w:t>
      </w:r>
      <w:r w:rsidRPr="00064185">
        <w:rPr>
          <w:rFonts w:cs="Arial"/>
        </w:rPr>
        <w:t xml:space="preserve">, the Austrian Competent Authority considers that a simultaneity factor of 2.75% will overestimate environmental releases as the time until which product remains efficient on </w:t>
      </w:r>
      <w:r w:rsidRPr="00064185">
        <w:rPr>
          <w:rFonts w:cs="Arial"/>
          <w:bCs/>
          <w:lang w:val="en-US"/>
        </w:rPr>
        <w:t>non-porous ground is at least 24 weeks.</w:t>
      </w:r>
      <w:r w:rsidR="00D86A80" w:rsidRPr="00064185">
        <w:rPr>
          <w:rFonts w:cs="Arial"/>
          <w:bCs/>
          <w:lang w:val="en-US"/>
        </w:rPr>
        <w:t xml:space="preserve"> </w:t>
      </w:r>
      <w:r w:rsidRPr="00064185">
        <w:rPr>
          <w:rFonts w:cs="Arial"/>
        </w:rPr>
        <w:t>A refined simultaneity factor of 0.204%, as proposed for applications only twice a year, has been considered for a second Tier release estimation. The table below summarizes revised PEC values for indoor applications</w:t>
      </w:r>
      <w:r w:rsidRPr="00064185">
        <w:rPr>
          <w:rFonts w:eastAsiaTheme="minorHAnsi" w:cs="Arial"/>
          <w:lang w:eastAsia="en-US"/>
        </w:rPr>
        <w:t xml:space="preserve"> against </w:t>
      </w:r>
      <w:r w:rsidRPr="00064185">
        <w:rPr>
          <w:rFonts w:cs="Arial"/>
        </w:rPr>
        <w:t>c</w:t>
      </w:r>
      <w:r w:rsidRPr="00064185">
        <w:rPr>
          <w:rFonts w:eastAsiaTheme="minorHAnsi" w:cs="Arial"/>
          <w:lang w:eastAsia="en-US"/>
        </w:rPr>
        <w:t>ockroaches</w:t>
      </w:r>
      <w:r w:rsidRPr="00064185">
        <w:rPr>
          <w:rFonts w:cs="Arial"/>
        </w:rPr>
        <w:t xml:space="preserve"> calculated using the same calculation method and input parameter as described above but based on the </w:t>
      </w:r>
      <w:r w:rsidR="0091207F" w:rsidRPr="00064185">
        <w:rPr>
          <w:rFonts w:cs="Arial"/>
        </w:rPr>
        <w:t xml:space="preserve">lower </w:t>
      </w:r>
      <w:r w:rsidRPr="00064185">
        <w:rPr>
          <w:rFonts w:cs="Arial"/>
        </w:rPr>
        <w:t>frequency of product use</w:t>
      </w:r>
      <w:r w:rsidR="0091207F" w:rsidRPr="00064185">
        <w:rPr>
          <w:rFonts w:cs="Arial"/>
        </w:rPr>
        <w:t xml:space="preserve"> according to the intended use</w:t>
      </w:r>
      <w:r w:rsidRPr="00064185">
        <w:rPr>
          <w:rFonts w:cs="Arial"/>
        </w:rPr>
        <w:t>.</w:t>
      </w:r>
    </w:p>
    <w:p w14:paraId="672067D9" w14:textId="77777777" w:rsidR="00E16BC4" w:rsidRPr="00064185" w:rsidRDefault="00E16BC4" w:rsidP="00EA61D8">
      <w:pPr>
        <w:autoSpaceDE w:val="0"/>
        <w:autoSpaceDN w:val="0"/>
        <w:adjustRightInd w:val="0"/>
        <w:rPr>
          <w:rFonts w:cs="Arial"/>
        </w:rPr>
      </w:pPr>
    </w:p>
    <w:tbl>
      <w:tblPr>
        <w:tblpPr w:leftFromText="141" w:rightFromText="141" w:vertAnchor="text" w:horzAnchor="margin"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1109"/>
        <w:gridCol w:w="1203"/>
        <w:gridCol w:w="1215"/>
        <w:gridCol w:w="1215"/>
        <w:gridCol w:w="1099"/>
      </w:tblGrid>
      <w:tr w:rsidR="00064185" w:rsidRPr="00064185" w14:paraId="3A65BF2D" w14:textId="77777777" w:rsidTr="00E16BC4">
        <w:trPr>
          <w:trHeight w:val="249"/>
        </w:trPr>
        <w:tc>
          <w:tcPr>
            <w:tcW w:w="0" w:type="auto"/>
            <w:gridSpan w:val="6"/>
            <w:tcBorders>
              <w:top w:val="single" w:sz="4" w:space="0" w:color="auto"/>
              <w:left w:val="single" w:sz="4" w:space="0" w:color="auto"/>
              <w:bottom w:val="single" w:sz="4" w:space="0" w:color="auto"/>
            </w:tcBorders>
            <w:shd w:val="clear" w:color="auto" w:fill="FFFFCC"/>
            <w:vAlign w:val="center"/>
          </w:tcPr>
          <w:p w14:paraId="132CD7F6" w14:textId="77777777" w:rsidR="00E16BC4" w:rsidRPr="00064185" w:rsidRDefault="00E16BC4" w:rsidP="00EA61D8">
            <w:pPr>
              <w:autoSpaceDE w:val="0"/>
              <w:autoSpaceDN w:val="0"/>
              <w:adjustRightInd w:val="0"/>
              <w:spacing w:before="60" w:after="60" w:line="260" w:lineRule="atLeast"/>
              <w:rPr>
                <w:rFonts w:eastAsia="Calibri" w:cs="Arial"/>
                <w:b/>
                <w:bCs/>
                <w:lang w:eastAsia="en-GB"/>
              </w:rPr>
            </w:pPr>
            <w:r w:rsidRPr="00064185">
              <w:rPr>
                <w:rFonts w:eastAsia="Calibri" w:cs="Arial"/>
                <w:b/>
                <w:bCs/>
                <w:lang w:eastAsia="en-GB"/>
              </w:rPr>
              <w:t>Summary table on revised PEC values for indoor applications against Cockroaches, when the product is used twice a year</w:t>
            </w:r>
          </w:p>
        </w:tc>
      </w:tr>
      <w:tr w:rsidR="00064185" w:rsidRPr="00064185" w14:paraId="1148DF70" w14:textId="77777777" w:rsidTr="00E16BC4">
        <w:trPr>
          <w:trHeight w:val="249"/>
        </w:trPr>
        <w:tc>
          <w:tcPr>
            <w:tcW w:w="0" w:type="auto"/>
            <w:vMerge w:val="restart"/>
            <w:shd w:val="clear" w:color="auto" w:fill="FFFFFF"/>
            <w:vAlign w:val="center"/>
          </w:tcPr>
          <w:p w14:paraId="6C63EDC6" w14:textId="77777777" w:rsidR="00E16BC4" w:rsidRPr="00064185" w:rsidRDefault="00E16BC4" w:rsidP="00EA61D8">
            <w:pPr>
              <w:spacing w:before="60" w:after="60"/>
              <w:rPr>
                <w:rFonts w:eastAsia="Calibri" w:cs="Arial"/>
                <w:lang w:eastAsia="en-GB"/>
              </w:rPr>
            </w:pPr>
          </w:p>
        </w:tc>
        <w:tc>
          <w:tcPr>
            <w:tcW w:w="0" w:type="auto"/>
            <w:shd w:val="clear" w:color="auto" w:fill="FFFFFF"/>
            <w:vAlign w:val="center"/>
          </w:tcPr>
          <w:p w14:paraId="50A5A942" w14:textId="77777777" w:rsidR="00E16BC4" w:rsidRPr="00064185" w:rsidRDefault="00E16BC4" w:rsidP="00EA61D8">
            <w:pPr>
              <w:autoSpaceDE w:val="0"/>
              <w:autoSpaceDN w:val="0"/>
              <w:adjustRightInd w:val="0"/>
              <w:spacing w:line="260" w:lineRule="atLeast"/>
              <w:rPr>
                <w:rFonts w:eastAsia="Calibri" w:cs="Arial"/>
                <w:bCs/>
                <w:lang w:eastAsia="en-GB"/>
              </w:rPr>
            </w:pPr>
            <w:r w:rsidRPr="00064185">
              <w:rPr>
                <w:rFonts w:eastAsia="Calibri" w:cs="Arial"/>
                <w:b/>
                <w:bCs/>
                <w:lang w:eastAsia="en-GB"/>
              </w:rPr>
              <w:t>PEC</w:t>
            </w:r>
            <w:r w:rsidRPr="00064185">
              <w:rPr>
                <w:rFonts w:eastAsia="Calibri" w:cs="Arial"/>
                <w:b/>
                <w:bCs/>
                <w:vertAlign w:val="subscript"/>
                <w:lang w:eastAsia="en-GB"/>
              </w:rPr>
              <w:t>STP</w:t>
            </w:r>
          </w:p>
        </w:tc>
        <w:tc>
          <w:tcPr>
            <w:tcW w:w="0" w:type="auto"/>
            <w:shd w:val="clear" w:color="auto" w:fill="FFFFFF"/>
            <w:vAlign w:val="center"/>
          </w:tcPr>
          <w:p w14:paraId="7E5B2B34" w14:textId="77777777" w:rsidR="00E16BC4" w:rsidRPr="00064185" w:rsidRDefault="00E16BC4" w:rsidP="00EA61D8">
            <w:pPr>
              <w:rPr>
                <w:rFonts w:eastAsia="Calibri" w:cs="Arial"/>
                <w:lang w:eastAsia="en-GB"/>
              </w:rPr>
            </w:pPr>
            <w:r w:rsidRPr="00064185">
              <w:rPr>
                <w:rFonts w:eastAsia="Calibri" w:cs="Arial"/>
                <w:b/>
                <w:bCs/>
                <w:lang w:eastAsia="en-GB"/>
              </w:rPr>
              <w:t>PEC</w:t>
            </w:r>
            <w:r w:rsidRPr="00064185">
              <w:rPr>
                <w:rFonts w:eastAsia="Calibri" w:cs="Arial"/>
                <w:b/>
                <w:bCs/>
                <w:vertAlign w:val="subscript"/>
                <w:lang w:eastAsia="en-GB"/>
              </w:rPr>
              <w:t>water</w:t>
            </w:r>
          </w:p>
        </w:tc>
        <w:tc>
          <w:tcPr>
            <w:tcW w:w="0" w:type="auto"/>
            <w:shd w:val="clear" w:color="auto" w:fill="FFFFFF"/>
            <w:vAlign w:val="center"/>
          </w:tcPr>
          <w:p w14:paraId="0A956F1E" w14:textId="77777777" w:rsidR="00E16BC4" w:rsidRPr="00064185" w:rsidRDefault="00E16BC4" w:rsidP="00EA61D8">
            <w:pPr>
              <w:rPr>
                <w:rFonts w:eastAsia="Calibri" w:cs="Arial"/>
                <w:b/>
                <w:lang w:eastAsia="en-GB"/>
              </w:rPr>
            </w:pPr>
            <w:r w:rsidRPr="00064185">
              <w:rPr>
                <w:rFonts w:eastAsia="Calibri" w:cs="Arial"/>
                <w:b/>
                <w:lang w:eastAsia="en-GB"/>
              </w:rPr>
              <w:t>PEC</w:t>
            </w:r>
            <w:r w:rsidRPr="00064185">
              <w:rPr>
                <w:rFonts w:eastAsia="Calibri" w:cs="Arial"/>
                <w:b/>
                <w:vertAlign w:val="subscript"/>
                <w:lang w:eastAsia="en-GB"/>
              </w:rPr>
              <w:t>sed</w:t>
            </w:r>
          </w:p>
        </w:tc>
        <w:tc>
          <w:tcPr>
            <w:tcW w:w="0" w:type="auto"/>
            <w:vAlign w:val="center"/>
          </w:tcPr>
          <w:p w14:paraId="21D483E1" w14:textId="77777777" w:rsidR="00E16BC4" w:rsidRPr="00064185" w:rsidRDefault="00E16BC4" w:rsidP="00EA61D8">
            <w:pPr>
              <w:rPr>
                <w:rFonts w:eastAsia="Calibri" w:cs="Arial"/>
                <w:lang w:eastAsia="en-GB"/>
              </w:rPr>
            </w:pPr>
            <w:r w:rsidRPr="00064185">
              <w:rPr>
                <w:rFonts w:eastAsia="Calibri" w:cs="Arial"/>
                <w:b/>
                <w:bCs/>
                <w:lang w:eastAsia="en-GB"/>
              </w:rPr>
              <w:t>PEC</w:t>
            </w:r>
            <w:r w:rsidRPr="00064185">
              <w:rPr>
                <w:rFonts w:eastAsia="Calibri" w:cs="Arial"/>
                <w:b/>
                <w:bCs/>
                <w:vertAlign w:val="subscript"/>
                <w:lang w:eastAsia="en-GB"/>
              </w:rPr>
              <w:t>soil</w:t>
            </w:r>
          </w:p>
        </w:tc>
        <w:tc>
          <w:tcPr>
            <w:tcW w:w="0" w:type="auto"/>
            <w:vAlign w:val="center"/>
          </w:tcPr>
          <w:p w14:paraId="70D40821" w14:textId="77777777" w:rsidR="00E16BC4" w:rsidRPr="00064185" w:rsidRDefault="00E16BC4" w:rsidP="00EA61D8">
            <w:pPr>
              <w:autoSpaceDE w:val="0"/>
              <w:autoSpaceDN w:val="0"/>
              <w:adjustRightInd w:val="0"/>
              <w:spacing w:line="260" w:lineRule="atLeast"/>
              <w:rPr>
                <w:rFonts w:eastAsia="Calibri" w:cs="Arial"/>
                <w:lang w:eastAsia="en-GB"/>
              </w:rPr>
            </w:pPr>
            <w:r w:rsidRPr="00064185">
              <w:rPr>
                <w:rFonts w:eastAsia="Calibri" w:cs="Arial"/>
                <w:b/>
                <w:bCs/>
                <w:lang w:eastAsia="en-GB"/>
              </w:rPr>
              <w:t>PEC</w:t>
            </w:r>
            <w:r w:rsidRPr="00064185">
              <w:rPr>
                <w:rFonts w:eastAsia="Calibri" w:cs="Arial"/>
                <w:b/>
                <w:bCs/>
                <w:vertAlign w:val="subscript"/>
                <w:lang w:eastAsia="en-GB"/>
              </w:rPr>
              <w:t>GW</w:t>
            </w:r>
          </w:p>
        </w:tc>
      </w:tr>
      <w:tr w:rsidR="00064185" w:rsidRPr="00064185" w14:paraId="331D3B33" w14:textId="77777777" w:rsidTr="00E16BC4">
        <w:trPr>
          <w:trHeight w:val="190"/>
        </w:trPr>
        <w:tc>
          <w:tcPr>
            <w:tcW w:w="0" w:type="auto"/>
            <w:vMerge/>
            <w:shd w:val="clear" w:color="auto" w:fill="FFFFFF"/>
            <w:vAlign w:val="center"/>
          </w:tcPr>
          <w:p w14:paraId="33B0927F" w14:textId="77777777" w:rsidR="00E16BC4" w:rsidRPr="00064185" w:rsidRDefault="00E16BC4" w:rsidP="00EA61D8">
            <w:pPr>
              <w:spacing w:before="60" w:after="60"/>
              <w:rPr>
                <w:rFonts w:eastAsia="Calibri" w:cs="Arial"/>
                <w:b/>
                <w:bCs/>
                <w:lang w:eastAsia="en-GB"/>
              </w:rPr>
            </w:pPr>
          </w:p>
        </w:tc>
        <w:tc>
          <w:tcPr>
            <w:tcW w:w="0" w:type="auto"/>
            <w:shd w:val="clear" w:color="auto" w:fill="FFFFFF"/>
            <w:vAlign w:val="center"/>
          </w:tcPr>
          <w:p w14:paraId="17F0DE91" w14:textId="77777777" w:rsidR="00E16BC4" w:rsidRPr="00064185" w:rsidRDefault="00E16BC4" w:rsidP="00EA61D8">
            <w:pPr>
              <w:autoSpaceDE w:val="0"/>
              <w:autoSpaceDN w:val="0"/>
              <w:adjustRightInd w:val="0"/>
              <w:spacing w:before="60" w:after="60" w:line="260" w:lineRule="atLeast"/>
              <w:rPr>
                <w:rFonts w:eastAsia="Calibri" w:cs="Arial"/>
                <w:sz w:val="16"/>
                <w:szCs w:val="16"/>
                <w:lang w:eastAsia="en-GB"/>
              </w:rPr>
            </w:pPr>
            <w:r w:rsidRPr="00064185">
              <w:rPr>
                <w:rFonts w:eastAsia="Calibri"/>
                <w:sz w:val="16"/>
                <w:lang w:eastAsia="en-GB"/>
              </w:rPr>
              <w:t>[</w:t>
            </w:r>
            <w:r w:rsidRPr="00064185">
              <w:rPr>
                <w:rFonts w:eastAsia="Calibri" w:cs="Arial"/>
                <w:bCs/>
                <w:sz w:val="16"/>
                <w:szCs w:val="16"/>
                <w:lang w:eastAsia="en-GB"/>
              </w:rPr>
              <w:t>mg</w:t>
            </w:r>
            <w:r w:rsidRPr="00064185">
              <w:rPr>
                <w:rFonts w:eastAsia="Calibri"/>
                <w:sz w:val="16"/>
                <w:lang w:eastAsia="en-GB"/>
              </w:rPr>
              <w:t>/l]</w:t>
            </w:r>
          </w:p>
        </w:tc>
        <w:tc>
          <w:tcPr>
            <w:tcW w:w="0" w:type="auto"/>
            <w:shd w:val="clear" w:color="auto" w:fill="FFFFFF"/>
            <w:vAlign w:val="center"/>
          </w:tcPr>
          <w:p w14:paraId="0E971EA5" w14:textId="77777777" w:rsidR="00E16BC4" w:rsidRPr="00064185" w:rsidRDefault="00E16BC4" w:rsidP="00EA61D8">
            <w:pPr>
              <w:autoSpaceDE w:val="0"/>
              <w:autoSpaceDN w:val="0"/>
              <w:adjustRightInd w:val="0"/>
              <w:spacing w:before="60" w:after="60" w:line="260" w:lineRule="atLeast"/>
              <w:rPr>
                <w:rFonts w:eastAsia="Calibri" w:cs="Arial"/>
                <w:bCs/>
                <w:sz w:val="16"/>
                <w:szCs w:val="16"/>
                <w:lang w:eastAsia="en-GB"/>
              </w:rPr>
            </w:pPr>
            <w:r w:rsidRPr="00064185">
              <w:rPr>
                <w:rFonts w:eastAsia="Calibri" w:cs="Arial"/>
                <w:bCs/>
                <w:sz w:val="16"/>
                <w:szCs w:val="16"/>
                <w:lang w:eastAsia="en-GB"/>
              </w:rPr>
              <w:t>[mg/l]</w:t>
            </w:r>
          </w:p>
        </w:tc>
        <w:tc>
          <w:tcPr>
            <w:tcW w:w="0" w:type="auto"/>
            <w:shd w:val="clear" w:color="auto" w:fill="FFFFFF"/>
            <w:vAlign w:val="center"/>
          </w:tcPr>
          <w:p w14:paraId="567F5BBC" w14:textId="77777777" w:rsidR="00E16BC4" w:rsidRPr="00064185" w:rsidRDefault="00E16BC4" w:rsidP="00EA61D8">
            <w:pPr>
              <w:autoSpaceDE w:val="0"/>
              <w:autoSpaceDN w:val="0"/>
              <w:adjustRightInd w:val="0"/>
              <w:spacing w:before="60" w:after="60" w:line="260" w:lineRule="atLeast"/>
              <w:rPr>
                <w:rFonts w:eastAsia="Calibri" w:cs="Arial"/>
                <w:bCs/>
                <w:sz w:val="16"/>
                <w:szCs w:val="16"/>
                <w:lang w:eastAsia="en-GB"/>
              </w:rPr>
            </w:pPr>
            <w:r w:rsidRPr="00064185">
              <w:rPr>
                <w:rFonts w:eastAsia="Calibri" w:cs="Arial"/>
                <w:bCs/>
                <w:sz w:val="16"/>
                <w:szCs w:val="16"/>
                <w:lang w:eastAsia="en-GB"/>
              </w:rPr>
              <w:t>[mg/kg</w:t>
            </w:r>
            <w:r w:rsidRPr="00064185">
              <w:rPr>
                <w:rFonts w:eastAsia="Calibri" w:cs="Arial"/>
                <w:bCs/>
                <w:sz w:val="16"/>
                <w:szCs w:val="16"/>
                <w:vertAlign w:val="subscript"/>
                <w:lang w:eastAsia="en-GB"/>
              </w:rPr>
              <w:t>wwt</w:t>
            </w:r>
            <w:r w:rsidRPr="00064185">
              <w:rPr>
                <w:rFonts w:eastAsia="Calibri" w:cs="Arial"/>
                <w:bCs/>
                <w:sz w:val="16"/>
                <w:szCs w:val="16"/>
                <w:lang w:eastAsia="en-GB"/>
              </w:rPr>
              <w:t>]</w:t>
            </w:r>
          </w:p>
        </w:tc>
        <w:tc>
          <w:tcPr>
            <w:tcW w:w="0" w:type="auto"/>
            <w:vAlign w:val="center"/>
          </w:tcPr>
          <w:p w14:paraId="6EEF132F" w14:textId="77777777" w:rsidR="00E16BC4" w:rsidRPr="00064185" w:rsidRDefault="00E16BC4" w:rsidP="00EA61D8">
            <w:pPr>
              <w:autoSpaceDE w:val="0"/>
              <w:autoSpaceDN w:val="0"/>
              <w:adjustRightInd w:val="0"/>
              <w:spacing w:before="60" w:after="60" w:line="260" w:lineRule="atLeast"/>
              <w:rPr>
                <w:rFonts w:eastAsia="Calibri" w:cs="Arial"/>
                <w:bCs/>
                <w:sz w:val="16"/>
                <w:szCs w:val="16"/>
                <w:lang w:eastAsia="en-GB"/>
              </w:rPr>
            </w:pPr>
            <w:r w:rsidRPr="00064185">
              <w:rPr>
                <w:rFonts w:eastAsia="Calibri" w:cs="Arial"/>
                <w:bCs/>
                <w:sz w:val="16"/>
                <w:szCs w:val="16"/>
                <w:lang w:eastAsia="en-GB"/>
              </w:rPr>
              <w:t>[mg/kg</w:t>
            </w:r>
            <w:r w:rsidRPr="00064185">
              <w:rPr>
                <w:sz w:val="16"/>
                <w:szCs w:val="16"/>
                <w:vertAlign w:val="subscript"/>
              </w:rPr>
              <w:t>wwt</w:t>
            </w:r>
            <w:r w:rsidRPr="00064185">
              <w:rPr>
                <w:rFonts w:eastAsia="Calibri" w:cs="Arial"/>
                <w:bCs/>
                <w:sz w:val="16"/>
                <w:szCs w:val="16"/>
                <w:lang w:eastAsia="en-GB"/>
              </w:rPr>
              <w:t>]</w:t>
            </w:r>
          </w:p>
        </w:tc>
        <w:tc>
          <w:tcPr>
            <w:tcW w:w="0" w:type="auto"/>
            <w:vAlign w:val="center"/>
          </w:tcPr>
          <w:p w14:paraId="64BFF4BF" w14:textId="77777777" w:rsidR="00E16BC4" w:rsidRPr="00064185" w:rsidRDefault="00E16BC4" w:rsidP="00EA61D8">
            <w:pPr>
              <w:autoSpaceDE w:val="0"/>
              <w:autoSpaceDN w:val="0"/>
              <w:adjustRightInd w:val="0"/>
              <w:spacing w:before="60" w:after="60" w:line="260" w:lineRule="atLeast"/>
              <w:ind w:left="113" w:right="113"/>
              <w:rPr>
                <w:rFonts w:eastAsia="Calibri" w:cs="Arial"/>
                <w:bCs/>
                <w:sz w:val="16"/>
                <w:szCs w:val="16"/>
                <w:lang w:eastAsia="en-GB"/>
              </w:rPr>
            </w:pPr>
            <w:r w:rsidRPr="00064185">
              <w:rPr>
                <w:rFonts w:eastAsia="Calibri" w:cs="Arial"/>
                <w:bCs/>
                <w:sz w:val="16"/>
                <w:szCs w:val="16"/>
                <w:lang w:eastAsia="en-GB"/>
              </w:rPr>
              <w:t>[μg/l]</w:t>
            </w:r>
          </w:p>
        </w:tc>
      </w:tr>
      <w:tr w:rsidR="00064185" w:rsidRPr="00064185" w14:paraId="1659F6FA" w14:textId="77777777" w:rsidTr="00E16BC4">
        <w:trPr>
          <w:trHeight w:val="70"/>
        </w:trPr>
        <w:tc>
          <w:tcPr>
            <w:tcW w:w="0" w:type="auto"/>
            <w:shd w:val="clear" w:color="auto" w:fill="FFFFFF"/>
            <w:vAlign w:val="center"/>
          </w:tcPr>
          <w:p w14:paraId="64542508" w14:textId="77777777" w:rsidR="00E16BC4" w:rsidRPr="00064185" w:rsidRDefault="00E16BC4" w:rsidP="00EA61D8">
            <w:pPr>
              <w:spacing w:before="60" w:after="60"/>
              <w:ind w:right="113"/>
              <w:rPr>
                <w:rFonts w:eastAsia="Calibri" w:cs="Arial"/>
                <w:b/>
                <w:lang w:eastAsia="en-GB"/>
              </w:rPr>
            </w:pPr>
            <w:r w:rsidRPr="00064185">
              <w:rPr>
                <w:rFonts w:eastAsia="Calibri" w:cs="Arial"/>
                <w:b/>
                <w:lang w:eastAsia="en-GB"/>
              </w:rPr>
              <w:t>Cockroaches</w:t>
            </w:r>
            <w:r w:rsidRPr="00064185">
              <w:rPr>
                <w:rFonts w:eastAsia="Calibri" w:cs="Arial"/>
                <w:b/>
                <w:bCs/>
                <w:sz w:val="18"/>
                <w:szCs w:val="18"/>
                <w:lang w:eastAsia="en-GB"/>
              </w:rPr>
              <w:t>, residual treatment</w:t>
            </w:r>
            <w:r w:rsidRPr="00064185">
              <w:rPr>
                <w:rFonts w:eastAsia="Calibri" w:cs="Arial"/>
                <w:b/>
                <w:sz w:val="18"/>
                <w:szCs w:val="18"/>
                <w:lang w:eastAsia="en-GB"/>
              </w:rPr>
              <w:t xml:space="preserve"> twice a year</w:t>
            </w:r>
          </w:p>
        </w:tc>
        <w:tc>
          <w:tcPr>
            <w:tcW w:w="0" w:type="auto"/>
            <w:shd w:val="clear" w:color="auto" w:fill="FFFFFF"/>
            <w:vAlign w:val="center"/>
          </w:tcPr>
          <w:p w14:paraId="0B1D882A" w14:textId="77777777" w:rsidR="00E16BC4" w:rsidRPr="00064185" w:rsidRDefault="00E16BC4" w:rsidP="00EA61D8">
            <w:pPr>
              <w:autoSpaceDE w:val="0"/>
              <w:autoSpaceDN w:val="0"/>
              <w:adjustRightInd w:val="0"/>
              <w:spacing w:line="260" w:lineRule="atLeast"/>
            </w:pPr>
            <w:r w:rsidRPr="00064185">
              <w:t xml:space="preserve"> 1.82E-5</w:t>
            </w:r>
          </w:p>
        </w:tc>
        <w:tc>
          <w:tcPr>
            <w:tcW w:w="0" w:type="auto"/>
            <w:shd w:val="clear" w:color="auto" w:fill="FFFFFF"/>
            <w:vAlign w:val="center"/>
          </w:tcPr>
          <w:p w14:paraId="06FD6816" w14:textId="77777777" w:rsidR="00E16BC4" w:rsidRPr="00064185" w:rsidRDefault="00E16BC4" w:rsidP="00EA61D8">
            <w:r w:rsidRPr="00064185">
              <w:t xml:space="preserve"> 1.65E-6</w:t>
            </w:r>
          </w:p>
        </w:tc>
        <w:tc>
          <w:tcPr>
            <w:tcW w:w="0" w:type="auto"/>
            <w:shd w:val="clear" w:color="auto" w:fill="FFFFFF"/>
            <w:vAlign w:val="center"/>
          </w:tcPr>
          <w:p w14:paraId="428EC9A4" w14:textId="77777777" w:rsidR="00E16BC4" w:rsidRPr="00064185" w:rsidRDefault="00E16BC4" w:rsidP="00EA61D8">
            <w:r w:rsidRPr="00064185">
              <w:t xml:space="preserve"> 2.52E-3</w:t>
            </w:r>
          </w:p>
        </w:tc>
        <w:tc>
          <w:tcPr>
            <w:tcW w:w="0" w:type="auto"/>
            <w:vAlign w:val="center"/>
          </w:tcPr>
          <w:p w14:paraId="7ADA7483" w14:textId="77777777" w:rsidR="00E16BC4" w:rsidRPr="00064185" w:rsidRDefault="00E16BC4" w:rsidP="00EA61D8">
            <w:r w:rsidRPr="00064185">
              <w:t xml:space="preserve"> 0.60E-3</w:t>
            </w:r>
          </w:p>
        </w:tc>
        <w:tc>
          <w:tcPr>
            <w:tcW w:w="0" w:type="auto"/>
            <w:vAlign w:val="center"/>
          </w:tcPr>
          <w:p w14:paraId="29B4C0EC" w14:textId="77777777" w:rsidR="00E16BC4" w:rsidRPr="00064185" w:rsidRDefault="00E16BC4" w:rsidP="00EA61D8">
            <w:r w:rsidRPr="00064185">
              <w:t xml:space="preserve"> 4.85E-4</w:t>
            </w:r>
          </w:p>
        </w:tc>
      </w:tr>
      <w:tr w:rsidR="00064185" w:rsidRPr="00064185" w14:paraId="4076EB9F" w14:textId="77777777" w:rsidTr="00360D92">
        <w:trPr>
          <w:trHeight w:val="70"/>
        </w:trPr>
        <w:tc>
          <w:tcPr>
            <w:tcW w:w="0" w:type="auto"/>
            <w:shd w:val="clear" w:color="auto" w:fill="FFFFFF"/>
            <w:vAlign w:val="center"/>
          </w:tcPr>
          <w:p w14:paraId="68E44FD3" w14:textId="77777777" w:rsidR="003E64E6" w:rsidRPr="00064185" w:rsidRDefault="003E64E6" w:rsidP="00EA61D8">
            <w:pPr>
              <w:spacing w:before="60" w:after="60"/>
              <w:ind w:right="113"/>
              <w:rPr>
                <w:rFonts w:eastAsia="Calibri" w:cs="Arial"/>
                <w:b/>
                <w:lang w:eastAsia="en-GB"/>
              </w:rPr>
            </w:pPr>
            <w:r w:rsidRPr="00064185">
              <w:rPr>
                <w:rFonts w:eastAsia="Calibri" w:cs="Arial"/>
                <w:b/>
                <w:lang w:eastAsia="en-GB"/>
              </w:rPr>
              <w:t>Cockroaches</w:t>
            </w:r>
            <w:r w:rsidRPr="00064185">
              <w:rPr>
                <w:rFonts w:eastAsia="Calibri" w:cs="Arial"/>
                <w:b/>
                <w:bCs/>
                <w:sz w:val="18"/>
                <w:szCs w:val="18"/>
                <w:lang w:eastAsia="en-GB"/>
              </w:rPr>
              <w:t xml:space="preserve">, direct treatment </w:t>
            </w:r>
            <w:r w:rsidRPr="00064185">
              <w:rPr>
                <w:rFonts w:eastAsia="Calibri" w:cs="Arial"/>
                <w:b/>
                <w:sz w:val="18"/>
                <w:szCs w:val="18"/>
                <w:lang w:eastAsia="en-GB"/>
              </w:rPr>
              <w:t xml:space="preserve"> twice a year</w:t>
            </w:r>
          </w:p>
        </w:tc>
        <w:tc>
          <w:tcPr>
            <w:tcW w:w="0" w:type="auto"/>
            <w:shd w:val="clear" w:color="auto" w:fill="FFFFFF"/>
            <w:vAlign w:val="center"/>
          </w:tcPr>
          <w:p w14:paraId="19D735F2" w14:textId="77777777" w:rsidR="003E64E6" w:rsidRPr="00064185" w:rsidRDefault="003E64E6" w:rsidP="00EA61D8">
            <w:pPr>
              <w:autoSpaceDE w:val="0"/>
              <w:autoSpaceDN w:val="0"/>
              <w:adjustRightInd w:val="0"/>
              <w:spacing w:line="260" w:lineRule="atLeast"/>
            </w:pPr>
            <w:r w:rsidRPr="00064185">
              <w:t>2.26E-5</w:t>
            </w:r>
          </w:p>
        </w:tc>
        <w:tc>
          <w:tcPr>
            <w:tcW w:w="0" w:type="auto"/>
            <w:shd w:val="clear" w:color="auto" w:fill="FFFFFF"/>
            <w:vAlign w:val="center"/>
          </w:tcPr>
          <w:p w14:paraId="703D5070" w14:textId="77777777" w:rsidR="003E64E6" w:rsidRPr="00064185" w:rsidRDefault="003E64E6" w:rsidP="00EA61D8">
            <w:r w:rsidRPr="00064185">
              <w:t>2.04E-6</w:t>
            </w:r>
          </w:p>
        </w:tc>
        <w:tc>
          <w:tcPr>
            <w:tcW w:w="0" w:type="auto"/>
            <w:shd w:val="clear" w:color="auto" w:fill="FFFFFF"/>
            <w:vAlign w:val="center"/>
          </w:tcPr>
          <w:p w14:paraId="7B43DC7C" w14:textId="77777777" w:rsidR="003E64E6" w:rsidRPr="00064185" w:rsidRDefault="003E64E6" w:rsidP="00EA61D8">
            <w:r w:rsidRPr="00064185">
              <w:t>3.11E-3</w:t>
            </w:r>
          </w:p>
        </w:tc>
        <w:tc>
          <w:tcPr>
            <w:tcW w:w="0" w:type="auto"/>
            <w:vAlign w:val="center"/>
          </w:tcPr>
          <w:p w14:paraId="756E6E5D" w14:textId="77777777" w:rsidR="003E64E6" w:rsidRPr="00064185" w:rsidRDefault="003E64E6" w:rsidP="00EA61D8">
            <w:r w:rsidRPr="00064185">
              <w:t>0.74E-3</w:t>
            </w:r>
          </w:p>
        </w:tc>
        <w:tc>
          <w:tcPr>
            <w:tcW w:w="0" w:type="auto"/>
            <w:vAlign w:val="center"/>
          </w:tcPr>
          <w:p w14:paraId="288CE697" w14:textId="77777777" w:rsidR="003E64E6" w:rsidRPr="00064185" w:rsidRDefault="003E64E6" w:rsidP="00EA61D8">
            <w:r w:rsidRPr="00064185">
              <w:t>6.00E-4</w:t>
            </w:r>
          </w:p>
        </w:tc>
      </w:tr>
    </w:tbl>
    <w:p w14:paraId="33C5C420" w14:textId="71FB575F" w:rsidR="006C1FBB" w:rsidRPr="00064185" w:rsidRDefault="006C1FBB" w:rsidP="00EA61D8">
      <w:pPr>
        <w:autoSpaceDE w:val="0"/>
        <w:autoSpaceDN w:val="0"/>
        <w:adjustRightInd w:val="0"/>
        <w:rPr>
          <w:rFonts w:eastAsia="Calibri"/>
          <w:b/>
          <w:i/>
          <w:sz w:val="22"/>
          <w:szCs w:val="22"/>
          <w:lang w:eastAsia="en-US"/>
        </w:rPr>
      </w:pPr>
      <w:r w:rsidRPr="00064185">
        <w:rPr>
          <w:rFonts w:eastAsia="Calibri"/>
          <w:b/>
          <w:i/>
          <w:sz w:val="22"/>
          <w:szCs w:val="22"/>
          <w:lang w:eastAsia="en-US"/>
        </w:rPr>
        <w:br w:type="page"/>
      </w:r>
    </w:p>
    <w:p w14:paraId="181282EA" w14:textId="4416A507" w:rsidR="00A53EE0" w:rsidRPr="00064185" w:rsidRDefault="00A53EE0" w:rsidP="00EA61D8">
      <w:pPr>
        <w:rPr>
          <w:rFonts w:eastAsia="Calibri"/>
          <w:b/>
          <w:i/>
          <w:sz w:val="22"/>
          <w:szCs w:val="22"/>
          <w:lang w:eastAsia="en-US"/>
        </w:rPr>
      </w:pPr>
      <w:r w:rsidRPr="00064185">
        <w:rPr>
          <w:rFonts w:eastAsia="Calibri"/>
          <w:b/>
          <w:i/>
          <w:sz w:val="22"/>
          <w:szCs w:val="22"/>
          <w:lang w:eastAsia="en-US"/>
        </w:rPr>
        <w:lastRenderedPageBreak/>
        <w:t>Primary and secondary poisoning</w:t>
      </w:r>
      <w:bookmarkEnd w:id="1822"/>
      <w:bookmarkEnd w:id="1823"/>
      <w:bookmarkEnd w:id="1824"/>
    </w:p>
    <w:p w14:paraId="193506E1" w14:textId="77777777" w:rsidR="00A53EE0" w:rsidRPr="00064185" w:rsidRDefault="00A53EE0" w:rsidP="00EA61D8">
      <w:pPr>
        <w:spacing w:line="260" w:lineRule="atLeast"/>
        <w:rPr>
          <w:rFonts w:eastAsia="Calibri"/>
          <w:lang w:eastAsia="en-US"/>
        </w:rPr>
      </w:pPr>
    </w:p>
    <w:p w14:paraId="22559E3D" w14:textId="77777777" w:rsidR="00A53EE0" w:rsidRPr="00064185" w:rsidRDefault="00A53EE0" w:rsidP="00EA61D8">
      <w:pPr>
        <w:rPr>
          <w:rFonts w:eastAsia="Calibri"/>
          <w:u w:val="single"/>
          <w:lang w:eastAsia="en-US"/>
        </w:rPr>
      </w:pPr>
      <w:r w:rsidRPr="00064185">
        <w:rPr>
          <w:rFonts w:eastAsia="Calibri"/>
          <w:u w:val="single"/>
          <w:lang w:eastAsia="en-US"/>
        </w:rPr>
        <w:t xml:space="preserve">Primary poisoning </w:t>
      </w:r>
    </w:p>
    <w:p w14:paraId="49A43BFD" w14:textId="77777777" w:rsidR="008F0AEE" w:rsidRPr="00064185" w:rsidRDefault="008F0AEE" w:rsidP="00EA61D8">
      <w:pPr>
        <w:rPr>
          <w:rFonts w:eastAsia="Calibri"/>
          <w:u w:val="single"/>
          <w:lang w:eastAsia="en-US"/>
        </w:rPr>
      </w:pPr>
    </w:p>
    <w:p w14:paraId="01E85050" w14:textId="1AF264F6" w:rsidR="00504435" w:rsidRPr="00064185" w:rsidRDefault="00BF1288" w:rsidP="006A7704">
      <w:pPr>
        <w:jc w:val="both"/>
        <w:rPr>
          <w:b/>
          <w:bCs/>
        </w:rPr>
      </w:pPr>
      <w:r w:rsidRPr="00064185">
        <w:rPr>
          <w:b/>
          <w:bCs/>
        </w:rPr>
        <w:t xml:space="preserve">Primary poisoning </w:t>
      </w:r>
      <w:r w:rsidR="00504435" w:rsidRPr="00064185">
        <w:rPr>
          <w:b/>
          <w:bCs/>
        </w:rPr>
        <w:t>via</w:t>
      </w:r>
      <w:r w:rsidRPr="00064185">
        <w:rPr>
          <w:b/>
          <w:bCs/>
        </w:rPr>
        <w:t xml:space="preserve"> direct consumption of insecticide by birds or mammals</w:t>
      </w:r>
    </w:p>
    <w:p w14:paraId="1E347A64" w14:textId="22D080E6" w:rsidR="00BF1288" w:rsidRPr="00064185" w:rsidRDefault="00BF1288" w:rsidP="006A7704">
      <w:pPr>
        <w:jc w:val="both"/>
      </w:pPr>
      <w:r w:rsidRPr="00064185">
        <w:t>According to the ESD for PT 18 (OECD, 2008</w:t>
      </w:r>
      <w:r w:rsidR="00E1432E" w:rsidRPr="00064185">
        <w:rPr>
          <w:rStyle w:val="Funotenzeichen"/>
        </w:rPr>
        <w:footnoteReference w:id="9"/>
      </w:r>
      <w:r w:rsidRPr="00064185">
        <w:t>), primary poisoning</w:t>
      </w:r>
      <w:r w:rsidR="00504435" w:rsidRPr="00064185">
        <w:rPr>
          <w:i/>
        </w:rPr>
        <w:t xml:space="preserve"> </w:t>
      </w:r>
      <w:r w:rsidR="00504435" w:rsidRPr="00064185">
        <w:t>via direct consumption of insecticide by birds or mammals</w:t>
      </w:r>
      <w:r w:rsidRPr="00064185">
        <w:t xml:space="preserve"> is only a matter of concern if insecticides are applied together with food attractant or the insecticide is applied as granular formulation. </w:t>
      </w:r>
    </w:p>
    <w:p w14:paraId="5E481F40" w14:textId="77777777" w:rsidR="00BF1288" w:rsidRPr="00064185" w:rsidRDefault="00BF1288" w:rsidP="006A7704">
      <w:pPr>
        <w:jc w:val="both"/>
      </w:pPr>
      <w:r w:rsidRPr="00064185">
        <w:t xml:space="preserve">COM 116 02 I AL is typically sprayed outdoors onto confined areas, where ants appear, like entrances of nests, ant trails or loop holes. Therefore, the treatment is limited to a small fraction of the whole surface area. </w:t>
      </w:r>
    </w:p>
    <w:p w14:paraId="0FE3BAB0" w14:textId="77777777" w:rsidR="00BF1288" w:rsidRPr="00064185" w:rsidRDefault="00BF1288" w:rsidP="006A7704">
      <w:pPr>
        <w:jc w:val="both"/>
      </w:pPr>
      <w:r w:rsidRPr="00064185">
        <w:t xml:space="preserve">In the case of COM 116 02 I AL, a primary poisoning of non-target organisms is no matter of concern and a risk assessment for non-target animals primary exposed to </w:t>
      </w:r>
      <w:r w:rsidRPr="00064185">
        <w:rPr>
          <w:i/>
        </w:rPr>
        <w:t>lambda</w:t>
      </w:r>
      <w:r w:rsidRPr="00064185">
        <w:t>-cyhalothrin is not deemed reasonable.</w:t>
      </w:r>
    </w:p>
    <w:p w14:paraId="1ADA2F43" w14:textId="77777777" w:rsidR="008F0AEE" w:rsidRPr="00064185" w:rsidRDefault="008F0AEE" w:rsidP="00EA61D8">
      <w:pPr>
        <w:rPr>
          <w:lang w:eastAsia="en-US"/>
        </w:rPr>
      </w:pPr>
    </w:p>
    <w:p w14:paraId="2ED75D08" w14:textId="4F32F89B" w:rsidR="00504435" w:rsidRPr="00064185" w:rsidRDefault="00504435" w:rsidP="00EA61D8">
      <w:pPr>
        <w:rPr>
          <w:lang w:eastAsia="en-US"/>
        </w:rPr>
      </w:pPr>
    </w:p>
    <w:p w14:paraId="08D6B29A" w14:textId="77777777" w:rsidR="00B30BB3" w:rsidRPr="00064185" w:rsidRDefault="00B30BB3" w:rsidP="006A7704">
      <w:pPr>
        <w:jc w:val="both"/>
        <w:rPr>
          <w:rFonts w:eastAsia="Calibri"/>
          <w:u w:val="single"/>
          <w:lang w:eastAsia="en-US"/>
        </w:rPr>
      </w:pPr>
      <w:r w:rsidRPr="00064185">
        <w:rPr>
          <w:rFonts w:eastAsia="Calibri"/>
          <w:u w:val="single"/>
          <w:lang w:eastAsia="en-US"/>
        </w:rPr>
        <w:t>Secondary poisoning</w:t>
      </w:r>
    </w:p>
    <w:p w14:paraId="0FA08415" w14:textId="77777777" w:rsidR="00B30BB3" w:rsidRPr="00064185" w:rsidRDefault="00B30BB3" w:rsidP="006A7704">
      <w:pPr>
        <w:jc w:val="both"/>
        <w:rPr>
          <w:lang w:eastAsia="en-US"/>
        </w:rPr>
      </w:pPr>
    </w:p>
    <w:p w14:paraId="45B0606D" w14:textId="15AB01B2" w:rsidR="00504435" w:rsidRPr="00064185" w:rsidRDefault="00B30BB3" w:rsidP="006A7704">
      <w:pPr>
        <w:jc w:val="both"/>
        <w:rPr>
          <w:b/>
          <w:bCs/>
        </w:rPr>
      </w:pPr>
      <w:r w:rsidRPr="00064185">
        <w:rPr>
          <w:b/>
          <w:bCs/>
        </w:rPr>
        <w:t>Secondary</w:t>
      </w:r>
      <w:r w:rsidR="00504435" w:rsidRPr="00064185">
        <w:rPr>
          <w:b/>
          <w:bCs/>
        </w:rPr>
        <w:t xml:space="preserve"> poisoning for insectivorous species via the consumption of contaminated ants</w:t>
      </w:r>
    </w:p>
    <w:p w14:paraId="57D66FD1" w14:textId="77777777" w:rsidR="00504435" w:rsidRPr="00064185" w:rsidRDefault="00504435" w:rsidP="006A7704">
      <w:pPr>
        <w:jc w:val="both"/>
      </w:pPr>
      <w:r w:rsidRPr="00064185">
        <w:t>For insectivorous species, the estimated theoretical exposure (ETE) is calculated, representing the estimated daily intake and corresponding to the PEC</w:t>
      </w:r>
      <w:r w:rsidRPr="00064185">
        <w:rPr>
          <w:vertAlign w:val="subscript"/>
        </w:rPr>
        <w:t>oral</w:t>
      </w:r>
      <w:r w:rsidRPr="00064185">
        <w:t xml:space="preserve"> per day. The theoretical exposure of vertebrates is a function of the estimated concentration of the insecticide found in food sources (ants) of insectivorous birds and mammals. Concentrations are derived from the exposure scenario established for plant protection products in the EU (EC, 2002</w:t>
      </w:r>
      <w:r w:rsidRPr="00064185">
        <w:rPr>
          <w:rStyle w:val="Funotenzeichen"/>
        </w:rPr>
        <w:footnoteReference w:id="10"/>
      </w:r>
      <w:r w:rsidRPr="00064185">
        <w:t xml:space="preserve">). </w:t>
      </w:r>
    </w:p>
    <w:p w14:paraId="588C7FE3" w14:textId="77777777" w:rsidR="00504435" w:rsidRPr="00064185" w:rsidRDefault="00504435" w:rsidP="006A7704">
      <w:pPr>
        <w:jc w:val="both"/>
      </w:pPr>
      <w:r w:rsidRPr="00064185">
        <w:t>Insectivorous mammals always are assumed to eat large insects; therefore an assessment for mammals is not indicated in this context. Small birds are assumed to prefer small insects, so the residues for small insects are the default values in the case of birds in order to cover the worst case. According to the guidance document for plant protection products (EC, 2002) typical residues in contaminated small insects are 52 mg/kg wet weight for the acute situation and 29 mg/kg wet weight for the short term toxicity assessment (both values are normalised for an application rate of 1 kg a.s./ha). These figures are defined as RUD values (RUD=Residue per Unit Dose). They have to be multiplied by the actual application rate (T</w:t>
      </w:r>
      <w:r w:rsidRPr="00064185">
        <w:rPr>
          <w:vertAlign w:val="subscript"/>
        </w:rPr>
        <w:t>appl</w:t>
      </w:r>
      <w:r w:rsidRPr="00064185">
        <w:t>) to obtain the concentration per wet weight. The application rate of household insecticides is provided as kg/m². Therefore, an additional factor of 10</w:t>
      </w:r>
      <w:r w:rsidRPr="00064185">
        <w:rPr>
          <w:vertAlign w:val="superscript"/>
        </w:rPr>
        <w:t>-4</w:t>
      </w:r>
      <w:r w:rsidRPr="00064185">
        <w:t xml:space="preserve"> has to be added to convert T</w:t>
      </w:r>
      <w:r w:rsidRPr="00064185">
        <w:rPr>
          <w:vertAlign w:val="subscript"/>
        </w:rPr>
        <w:t>appl</w:t>
      </w:r>
      <w:r w:rsidRPr="00064185">
        <w:t xml:space="preserve"> into kg/ha.</w:t>
      </w:r>
    </w:p>
    <w:p w14:paraId="211314F0" w14:textId="71470CAB" w:rsidR="00504435" w:rsidRPr="00064185" w:rsidRDefault="00504435" w:rsidP="006A7704">
      <w:pPr>
        <w:jc w:val="both"/>
        <w:rPr>
          <w:szCs w:val="22"/>
        </w:rPr>
      </w:pPr>
      <w:r w:rsidRPr="00064185">
        <w:t xml:space="preserve">As a first step, the actual application rate is calculated. </w:t>
      </w:r>
      <w:r w:rsidR="005E0DB9" w:rsidRPr="00064185">
        <w:t>As explained above, a</w:t>
      </w:r>
      <w:r w:rsidR="00A10AB6" w:rsidRPr="00064185">
        <w:t xml:space="preserve"> </w:t>
      </w:r>
      <w:r w:rsidR="005E0DB9" w:rsidRPr="00064185">
        <w:t>spotwise application</w:t>
      </w:r>
      <w:r w:rsidR="00A10AB6" w:rsidRPr="00064185">
        <w:t xml:space="preserve"> </w:t>
      </w:r>
      <w:r w:rsidR="005E0DB9" w:rsidRPr="00064185">
        <w:t>on paved surfaces</w:t>
      </w:r>
      <w:r w:rsidR="00A10AB6" w:rsidRPr="00064185">
        <w:t xml:space="preserve"> close to houses (e.g. terraces) of 1.5 m² </w:t>
      </w:r>
      <w:r w:rsidR="00A10AB6" w:rsidRPr="00064185">
        <w:rPr>
          <w:szCs w:val="22"/>
        </w:rPr>
        <w:t>per house</w:t>
      </w:r>
      <w:r w:rsidR="005E0DB9" w:rsidRPr="00064185">
        <w:t xml:space="preserve"> is assumed</w:t>
      </w:r>
      <w:r w:rsidR="00A10AB6" w:rsidRPr="00064185">
        <w:rPr>
          <w:szCs w:val="22"/>
        </w:rPr>
        <w:t xml:space="preserve">. </w:t>
      </w:r>
      <w:r w:rsidR="005E0DB9" w:rsidRPr="00064185">
        <w:t xml:space="preserve">Considering </w:t>
      </w:r>
      <w:r w:rsidRPr="00064185">
        <w:t xml:space="preserve">that the worst case application against ants for outdoor treatment is </w:t>
      </w:r>
      <w:r w:rsidR="005E0DB9" w:rsidRPr="00064185">
        <w:t>44.5 g/m²</w:t>
      </w:r>
      <w:r w:rsidR="006A7946" w:rsidRPr="00064185">
        <w:t xml:space="preserve"> </w:t>
      </w:r>
      <w:r w:rsidRPr="00064185">
        <w:rPr>
          <w:szCs w:val="22"/>
        </w:rPr>
        <w:t xml:space="preserve">a total of </w:t>
      </w:r>
      <w:r w:rsidR="00F74B9A" w:rsidRPr="00064185">
        <w:rPr>
          <w:szCs w:val="22"/>
        </w:rPr>
        <w:t>66.75</w:t>
      </w:r>
      <w:r w:rsidRPr="00064185">
        <w:rPr>
          <w:szCs w:val="22"/>
        </w:rPr>
        <w:t xml:space="preserve"> g product containing in total 0.005 mg </w:t>
      </w:r>
      <w:r w:rsidRPr="00064185">
        <w:rPr>
          <w:i/>
        </w:rPr>
        <w:t>lambda</w:t>
      </w:r>
      <w:r w:rsidRPr="00064185">
        <w:t>-cyhalothrin are calculated to be potentially applied on this specific area</w:t>
      </w:r>
      <w:r w:rsidRPr="00064185">
        <w:rPr>
          <w:szCs w:val="22"/>
        </w:rPr>
        <w:t>.</w:t>
      </w:r>
      <w:r w:rsidR="003C39B1" w:rsidRPr="00064185">
        <w:rPr>
          <w:lang w:val="en-US"/>
        </w:rPr>
        <w:t xml:space="preserve"> According to the </w:t>
      </w:r>
      <w:r w:rsidR="003C39B1" w:rsidRPr="00064185">
        <w:rPr>
          <w:rFonts w:eastAsia="Calibri"/>
          <w:lang w:val="en-US" w:eastAsia="en-US"/>
        </w:rPr>
        <w:t>ESD</w:t>
      </w:r>
      <w:r w:rsidR="003C39B1" w:rsidRPr="00064185">
        <w:rPr>
          <w:lang w:val="en-US"/>
        </w:rPr>
        <w:t xml:space="preserve">, the typical size of a terrace is about 30 m². </w:t>
      </w:r>
    </w:p>
    <w:p w14:paraId="7416FD1F" w14:textId="77777777" w:rsidR="00504435" w:rsidRPr="00064185" w:rsidRDefault="00504435" w:rsidP="00EA61D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9"/>
        <w:gridCol w:w="3969"/>
        <w:gridCol w:w="1346"/>
      </w:tblGrid>
      <w:tr w:rsidR="00064185" w:rsidRPr="00064185" w14:paraId="6CF67922" w14:textId="77777777" w:rsidTr="00DF0EF1">
        <w:tc>
          <w:tcPr>
            <w:tcW w:w="0" w:type="auto"/>
            <w:gridSpan w:val="3"/>
            <w:shd w:val="clear" w:color="auto" w:fill="FFFFCC"/>
            <w:noWrap/>
            <w:vAlign w:val="center"/>
          </w:tcPr>
          <w:p w14:paraId="499ED24C" w14:textId="77777777" w:rsidR="00504435" w:rsidRPr="00064185" w:rsidRDefault="00504435" w:rsidP="00EA61D8">
            <w:pPr>
              <w:autoSpaceDE w:val="0"/>
              <w:autoSpaceDN w:val="0"/>
              <w:adjustRightInd w:val="0"/>
              <w:spacing w:before="60" w:after="60" w:line="260" w:lineRule="atLeast"/>
              <w:rPr>
                <w:rFonts w:eastAsia="Calibri"/>
                <w:b/>
                <w:sz w:val="18"/>
                <w:szCs w:val="18"/>
                <w:lang w:eastAsia="en-US"/>
              </w:rPr>
            </w:pPr>
            <w:r w:rsidRPr="00064185">
              <w:rPr>
                <w:rFonts w:eastAsia="Calibri"/>
                <w:b/>
                <w:sz w:val="18"/>
                <w:szCs w:val="18"/>
                <w:lang w:eastAsia="en-US"/>
              </w:rPr>
              <w:lastRenderedPageBreak/>
              <w:t>Calculation of the</w:t>
            </w:r>
            <w:r w:rsidRPr="00064185">
              <w:rPr>
                <w:rFonts w:eastAsia="Calibri"/>
                <w:b/>
                <w:i/>
                <w:sz w:val="18"/>
                <w:lang w:eastAsia="en-US"/>
              </w:rPr>
              <w:t xml:space="preserve"> lambda</w:t>
            </w:r>
            <w:r w:rsidRPr="00064185">
              <w:rPr>
                <w:rFonts w:eastAsia="Calibri"/>
                <w:b/>
                <w:sz w:val="18"/>
                <w:szCs w:val="18"/>
                <w:lang w:eastAsia="en-US"/>
              </w:rPr>
              <w:t xml:space="preserve">-cyhalothrin application rate </w:t>
            </w:r>
          </w:p>
        </w:tc>
      </w:tr>
      <w:tr w:rsidR="00064185" w:rsidRPr="00064185" w14:paraId="323DE326" w14:textId="77777777" w:rsidTr="008B6FCB">
        <w:tc>
          <w:tcPr>
            <w:tcW w:w="4039" w:type="dxa"/>
            <w:noWrap/>
            <w:vAlign w:val="center"/>
          </w:tcPr>
          <w:p w14:paraId="46921126" w14:textId="77777777" w:rsidR="00504435" w:rsidRPr="00064185" w:rsidRDefault="00504435" w:rsidP="00EA61D8">
            <w:pPr>
              <w:autoSpaceDE w:val="0"/>
              <w:autoSpaceDN w:val="0"/>
              <w:adjustRightInd w:val="0"/>
              <w:spacing w:before="60" w:after="60" w:line="260" w:lineRule="atLeast"/>
              <w:rPr>
                <w:rFonts w:eastAsia="Calibri" w:cs="Arial"/>
                <w:b/>
                <w:bCs/>
                <w:sz w:val="18"/>
                <w:szCs w:val="18"/>
                <w:lang w:eastAsia="en-GB"/>
              </w:rPr>
            </w:pPr>
          </w:p>
        </w:tc>
        <w:tc>
          <w:tcPr>
            <w:tcW w:w="3969" w:type="dxa"/>
            <w:vAlign w:val="center"/>
          </w:tcPr>
          <w:p w14:paraId="6CA8CC1F" w14:textId="77777777" w:rsidR="00504435" w:rsidRPr="00064185" w:rsidRDefault="00504435" w:rsidP="00EA61D8">
            <w:pPr>
              <w:autoSpaceDE w:val="0"/>
              <w:autoSpaceDN w:val="0"/>
              <w:adjustRightInd w:val="0"/>
              <w:spacing w:before="60" w:after="60" w:line="260" w:lineRule="atLeast"/>
              <w:rPr>
                <w:rFonts w:eastAsia="Calibri" w:cs="Arial"/>
                <w:b/>
                <w:bCs/>
                <w:sz w:val="18"/>
                <w:szCs w:val="18"/>
                <w:lang w:eastAsia="en-GB"/>
              </w:rPr>
            </w:pPr>
            <w:r w:rsidRPr="00064185">
              <w:rPr>
                <w:rFonts w:eastAsia="Calibri" w:cs="Arial"/>
                <w:b/>
                <w:bCs/>
                <w:sz w:val="18"/>
                <w:szCs w:val="18"/>
                <w:lang w:eastAsia="en-GB"/>
              </w:rPr>
              <w:t>Definition</w:t>
            </w:r>
          </w:p>
        </w:tc>
        <w:tc>
          <w:tcPr>
            <w:tcW w:w="1346" w:type="dxa"/>
            <w:vAlign w:val="center"/>
          </w:tcPr>
          <w:p w14:paraId="22ABC1FE" w14:textId="77777777" w:rsidR="00504435" w:rsidRPr="00064185" w:rsidRDefault="00504435" w:rsidP="00EA61D8">
            <w:pPr>
              <w:autoSpaceDE w:val="0"/>
              <w:autoSpaceDN w:val="0"/>
              <w:adjustRightInd w:val="0"/>
              <w:spacing w:before="60" w:after="60" w:line="260" w:lineRule="atLeast"/>
              <w:rPr>
                <w:rFonts w:eastAsia="Calibri" w:cs="Arial"/>
                <w:b/>
                <w:bCs/>
                <w:sz w:val="18"/>
                <w:szCs w:val="18"/>
                <w:lang w:eastAsia="en-GB"/>
              </w:rPr>
            </w:pPr>
            <w:r w:rsidRPr="00064185">
              <w:rPr>
                <w:rFonts w:eastAsia="Calibri" w:cs="Arial"/>
                <w:b/>
                <w:bCs/>
                <w:sz w:val="18"/>
                <w:szCs w:val="18"/>
                <w:lang w:eastAsia="en-GB"/>
              </w:rPr>
              <w:t>Value</w:t>
            </w:r>
          </w:p>
        </w:tc>
      </w:tr>
      <w:tr w:rsidR="00064185" w:rsidRPr="00064185" w14:paraId="5660F741" w14:textId="77777777" w:rsidTr="008B6FCB">
        <w:tc>
          <w:tcPr>
            <w:tcW w:w="4039" w:type="dxa"/>
            <w:vAlign w:val="center"/>
            <w:hideMark/>
          </w:tcPr>
          <w:p w14:paraId="0B3FF349" w14:textId="77777777" w:rsidR="00504435" w:rsidRPr="00064185" w:rsidRDefault="00504435" w:rsidP="00EA61D8">
            <w:pPr>
              <w:keepNext/>
              <w:rPr>
                <w:bCs/>
                <w:sz w:val="18"/>
                <w:szCs w:val="18"/>
              </w:rPr>
            </w:pPr>
            <w:r w:rsidRPr="00064185">
              <w:rPr>
                <w:bCs/>
                <w:sz w:val="18"/>
                <w:szCs w:val="18"/>
              </w:rPr>
              <w:t>Amount of product used [g/terrace]</w:t>
            </w:r>
          </w:p>
        </w:tc>
        <w:tc>
          <w:tcPr>
            <w:tcW w:w="3969" w:type="dxa"/>
            <w:vAlign w:val="center"/>
            <w:hideMark/>
          </w:tcPr>
          <w:p w14:paraId="2F650020" w14:textId="77777777" w:rsidR="00504435" w:rsidRPr="00064185" w:rsidRDefault="00504435" w:rsidP="00EA61D8">
            <w:pPr>
              <w:keepNext/>
              <w:rPr>
                <w:bCs/>
                <w:sz w:val="18"/>
                <w:szCs w:val="18"/>
              </w:rPr>
            </w:pPr>
            <w:r w:rsidRPr="00064185">
              <w:rPr>
                <w:bCs/>
                <w:sz w:val="18"/>
                <w:szCs w:val="18"/>
              </w:rPr>
              <w:t>Q</w:t>
            </w:r>
            <w:r w:rsidRPr="00064185">
              <w:rPr>
                <w:bCs/>
                <w:sz w:val="18"/>
                <w:szCs w:val="18"/>
                <w:vertAlign w:val="subscript"/>
              </w:rPr>
              <w:t>prod</w:t>
            </w:r>
          </w:p>
        </w:tc>
        <w:tc>
          <w:tcPr>
            <w:tcW w:w="1346" w:type="dxa"/>
            <w:vAlign w:val="center"/>
            <w:hideMark/>
          </w:tcPr>
          <w:p w14:paraId="50C2A5D7" w14:textId="52AE7FED" w:rsidR="00504435" w:rsidRPr="00064185" w:rsidRDefault="00F74B9A" w:rsidP="00EA61D8">
            <w:pPr>
              <w:keepNext/>
              <w:tabs>
                <w:tab w:val="right" w:pos="1295"/>
              </w:tabs>
              <w:spacing w:after="40"/>
              <w:rPr>
                <w:sz w:val="18"/>
                <w:szCs w:val="18"/>
              </w:rPr>
            </w:pPr>
            <w:r w:rsidRPr="00064185">
              <w:rPr>
                <w:sz w:val="18"/>
                <w:szCs w:val="18"/>
              </w:rPr>
              <w:t>66.75</w:t>
            </w:r>
          </w:p>
        </w:tc>
      </w:tr>
      <w:tr w:rsidR="00064185" w:rsidRPr="00064185" w14:paraId="2AF3D6B5" w14:textId="77777777" w:rsidTr="008B6FCB">
        <w:tc>
          <w:tcPr>
            <w:tcW w:w="4039" w:type="dxa"/>
            <w:vAlign w:val="center"/>
            <w:hideMark/>
          </w:tcPr>
          <w:p w14:paraId="60FA63C2" w14:textId="77777777" w:rsidR="00504435" w:rsidRPr="00064185" w:rsidRDefault="00504435" w:rsidP="00EA61D8">
            <w:pPr>
              <w:keepNext/>
              <w:rPr>
                <w:bCs/>
                <w:sz w:val="18"/>
                <w:szCs w:val="18"/>
              </w:rPr>
            </w:pPr>
            <w:r w:rsidRPr="00064185">
              <w:rPr>
                <w:bCs/>
                <w:sz w:val="18"/>
                <w:szCs w:val="18"/>
              </w:rPr>
              <w:t>Fraction of active substance in product [-]</w:t>
            </w:r>
          </w:p>
        </w:tc>
        <w:tc>
          <w:tcPr>
            <w:tcW w:w="3969" w:type="dxa"/>
            <w:vAlign w:val="center"/>
            <w:hideMark/>
          </w:tcPr>
          <w:p w14:paraId="00D1FFF1" w14:textId="77777777" w:rsidR="00504435" w:rsidRPr="00064185" w:rsidRDefault="00504435" w:rsidP="00EA61D8">
            <w:pPr>
              <w:keepNext/>
              <w:rPr>
                <w:bCs/>
                <w:sz w:val="18"/>
                <w:szCs w:val="18"/>
              </w:rPr>
            </w:pPr>
            <w:r w:rsidRPr="00064185">
              <w:rPr>
                <w:bCs/>
                <w:sz w:val="18"/>
                <w:szCs w:val="18"/>
              </w:rPr>
              <w:t>F</w:t>
            </w:r>
            <w:r w:rsidRPr="00064185">
              <w:rPr>
                <w:bCs/>
                <w:sz w:val="18"/>
                <w:szCs w:val="18"/>
                <w:vertAlign w:val="subscript"/>
              </w:rPr>
              <w:t>AI</w:t>
            </w:r>
          </w:p>
        </w:tc>
        <w:tc>
          <w:tcPr>
            <w:tcW w:w="1346" w:type="dxa"/>
            <w:vAlign w:val="center"/>
            <w:hideMark/>
          </w:tcPr>
          <w:p w14:paraId="13547AB3" w14:textId="77777777" w:rsidR="00504435" w:rsidRPr="00064185" w:rsidRDefault="00504435" w:rsidP="00EA61D8">
            <w:pPr>
              <w:keepNext/>
              <w:tabs>
                <w:tab w:val="right" w:pos="1295"/>
              </w:tabs>
              <w:spacing w:after="40"/>
              <w:rPr>
                <w:sz w:val="18"/>
                <w:szCs w:val="18"/>
              </w:rPr>
            </w:pPr>
            <w:r w:rsidRPr="00064185">
              <w:rPr>
                <w:sz w:val="18"/>
                <w:szCs w:val="18"/>
              </w:rPr>
              <w:t>0.0005</w:t>
            </w:r>
          </w:p>
        </w:tc>
      </w:tr>
      <w:tr w:rsidR="00064185" w:rsidRPr="00064185" w14:paraId="51534D38" w14:textId="77777777" w:rsidTr="008B6FCB">
        <w:tc>
          <w:tcPr>
            <w:tcW w:w="4039" w:type="dxa"/>
            <w:vAlign w:val="center"/>
            <w:hideMark/>
          </w:tcPr>
          <w:p w14:paraId="6780AD23" w14:textId="77777777" w:rsidR="00504435" w:rsidRPr="00064185" w:rsidRDefault="00504435" w:rsidP="00EA61D8">
            <w:pPr>
              <w:keepNext/>
              <w:rPr>
                <w:bCs/>
                <w:sz w:val="18"/>
                <w:szCs w:val="18"/>
              </w:rPr>
            </w:pPr>
            <w:r w:rsidRPr="00064185">
              <w:rPr>
                <w:bCs/>
                <w:sz w:val="18"/>
                <w:szCs w:val="18"/>
              </w:rPr>
              <w:t>Area of the treated terrace [m²]</w:t>
            </w:r>
          </w:p>
        </w:tc>
        <w:tc>
          <w:tcPr>
            <w:tcW w:w="3969" w:type="dxa"/>
            <w:vAlign w:val="center"/>
            <w:hideMark/>
          </w:tcPr>
          <w:p w14:paraId="4E7F15EE" w14:textId="77777777" w:rsidR="00504435" w:rsidRPr="00064185" w:rsidRDefault="00504435" w:rsidP="00EA61D8">
            <w:pPr>
              <w:keepNext/>
              <w:rPr>
                <w:bCs/>
                <w:sz w:val="18"/>
                <w:szCs w:val="18"/>
              </w:rPr>
            </w:pPr>
            <w:r w:rsidRPr="00064185">
              <w:rPr>
                <w:bCs/>
                <w:sz w:val="18"/>
                <w:szCs w:val="18"/>
              </w:rPr>
              <w:t>AREA</w:t>
            </w:r>
            <w:r w:rsidRPr="00064185">
              <w:rPr>
                <w:bCs/>
                <w:sz w:val="18"/>
                <w:szCs w:val="18"/>
                <w:vertAlign w:val="subscript"/>
              </w:rPr>
              <w:t>terrace</w:t>
            </w:r>
          </w:p>
        </w:tc>
        <w:tc>
          <w:tcPr>
            <w:tcW w:w="1346" w:type="dxa"/>
            <w:vAlign w:val="center"/>
            <w:hideMark/>
          </w:tcPr>
          <w:p w14:paraId="7C793781" w14:textId="77777777" w:rsidR="00504435" w:rsidRPr="00064185" w:rsidRDefault="00504435" w:rsidP="00EA61D8">
            <w:pPr>
              <w:keepNext/>
              <w:tabs>
                <w:tab w:val="right" w:pos="1370"/>
              </w:tabs>
              <w:spacing w:after="40"/>
              <w:rPr>
                <w:sz w:val="18"/>
                <w:szCs w:val="18"/>
              </w:rPr>
            </w:pPr>
            <w:r w:rsidRPr="00064185">
              <w:rPr>
                <w:sz w:val="18"/>
                <w:szCs w:val="18"/>
              </w:rPr>
              <w:t>30</w:t>
            </w:r>
          </w:p>
        </w:tc>
      </w:tr>
      <w:tr w:rsidR="00504435" w:rsidRPr="00064185" w14:paraId="349BDBC2" w14:textId="77777777" w:rsidTr="008B6FCB">
        <w:tc>
          <w:tcPr>
            <w:tcW w:w="4039" w:type="dxa"/>
            <w:vAlign w:val="center"/>
            <w:hideMark/>
          </w:tcPr>
          <w:p w14:paraId="03C632D7" w14:textId="77777777" w:rsidR="00504435" w:rsidRPr="00064185" w:rsidRDefault="00504435" w:rsidP="00EA61D8">
            <w:pPr>
              <w:autoSpaceDE w:val="0"/>
              <w:autoSpaceDN w:val="0"/>
              <w:adjustRightInd w:val="0"/>
              <w:spacing w:before="60" w:after="60" w:line="260" w:lineRule="atLeast"/>
              <w:rPr>
                <w:b/>
                <w:bCs/>
                <w:sz w:val="18"/>
                <w:szCs w:val="18"/>
              </w:rPr>
            </w:pPr>
            <w:r w:rsidRPr="00064185">
              <w:rPr>
                <w:b/>
                <w:bCs/>
                <w:sz w:val="18"/>
                <w:szCs w:val="18"/>
              </w:rPr>
              <w:t>Application rate [kg/</w:t>
            </w:r>
            <w:r w:rsidRPr="00064185">
              <w:rPr>
                <w:rFonts w:eastAsia="Calibri" w:cs="Arial"/>
                <w:b/>
                <w:bCs/>
                <w:sz w:val="18"/>
                <w:szCs w:val="18"/>
                <w:lang w:eastAsia="en-GB"/>
              </w:rPr>
              <w:t>m</w:t>
            </w:r>
            <w:r w:rsidRPr="00064185">
              <w:rPr>
                <w:rFonts w:eastAsia="Calibri" w:cs="Arial"/>
                <w:b/>
                <w:bCs/>
                <w:sz w:val="18"/>
                <w:szCs w:val="18"/>
                <w:vertAlign w:val="superscript"/>
                <w:lang w:eastAsia="en-GB"/>
              </w:rPr>
              <w:t>2</w:t>
            </w:r>
            <w:r w:rsidRPr="00064185">
              <w:rPr>
                <w:b/>
                <w:bCs/>
                <w:sz w:val="18"/>
                <w:szCs w:val="18"/>
              </w:rPr>
              <w:t>]</w:t>
            </w:r>
          </w:p>
        </w:tc>
        <w:tc>
          <w:tcPr>
            <w:tcW w:w="3969" w:type="dxa"/>
            <w:vAlign w:val="center"/>
            <w:hideMark/>
          </w:tcPr>
          <w:p w14:paraId="65991F3F" w14:textId="77777777" w:rsidR="00504435" w:rsidRPr="00064185" w:rsidRDefault="00504435" w:rsidP="00EA61D8">
            <w:pPr>
              <w:keepNext/>
              <w:rPr>
                <w:b/>
                <w:bCs/>
                <w:sz w:val="18"/>
                <w:szCs w:val="18"/>
              </w:rPr>
            </w:pPr>
            <w:r w:rsidRPr="00064185">
              <w:rPr>
                <w:b/>
                <w:bCs/>
                <w:sz w:val="18"/>
                <w:szCs w:val="18"/>
              </w:rPr>
              <w:t>T</w:t>
            </w:r>
            <w:r w:rsidRPr="00064185">
              <w:rPr>
                <w:b/>
                <w:bCs/>
                <w:sz w:val="18"/>
                <w:szCs w:val="18"/>
                <w:vertAlign w:val="subscript"/>
              </w:rPr>
              <w:t>appl</w:t>
            </w:r>
            <w:r w:rsidRPr="00064185">
              <w:rPr>
                <w:b/>
                <w:bCs/>
                <w:sz w:val="18"/>
                <w:szCs w:val="18"/>
              </w:rPr>
              <w:t xml:space="preserve"> = ((Q</w:t>
            </w:r>
            <w:r w:rsidRPr="00064185">
              <w:rPr>
                <w:b/>
                <w:bCs/>
                <w:sz w:val="18"/>
                <w:szCs w:val="18"/>
                <w:vertAlign w:val="subscript"/>
              </w:rPr>
              <w:t>prod</w:t>
            </w:r>
            <w:r w:rsidRPr="00064185">
              <w:rPr>
                <w:b/>
                <w:bCs/>
                <w:sz w:val="18"/>
                <w:szCs w:val="18"/>
              </w:rPr>
              <w:t xml:space="preserve"> x F</w:t>
            </w:r>
            <w:r w:rsidRPr="00064185">
              <w:rPr>
                <w:b/>
                <w:bCs/>
                <w:sz w:val="18"/>
                <w:szCs w:val="18"/>
                <w:vertAlign w:val="subscript"/>
              </w:rPr>
              <w:t>AI</w:t>
            </w:r>
            <w:r w:rsidRPr="00064185">
              <w:rPr>
                <w:b/>
                <w:bCs/>
                <w:sz w:val="18"/>
                <w:szCs w:val="18"/>
              </w:rPr>
              <w:t>) / AREA</w:t>
            </w:r>
            <w:r w:rsidRPr="00064185">
              <w:rPr>
                <w:b/>
                <w:bCs/>
                <w:sz w:val="18"/>
                <w:szCs w:val="18"/>
                <w:vertAlign w:val="subscript"/>
              </w:rPr>
              <w:t>terrace</w:t>
            </w:r>
            <w:r w:rsidRPr="00064185">
              <w:rPr>
                <w:b/>
                <w:bCs/>
                <w:sz w:val="18"/>
                <w:szCs w:val="18"/>
              </w:rPr>
              <w:t>) / 1000)</w:t>
            </w:r>
          </w:p>
        </w:tc>
        <w:tc>
          <w:tcPr>
            <w:tcW w:w="1346" w:type="dxa"/>
            <w:vAlign w:val="center"/>
            <w:hideMark/>
          </w:tcPr>
          <w:p w14:paraId="3E50961E" w14:textId="20504027" w:rsidR="00504435" w:rsidRPr="00064185" w:rsidRDefault="00504435" w:rsidP="00EA61D8">
            <w:pPr>
              <w:keepNext/>
              <w:tabs>
                <w:tab w:val="right" w:pos="1370"/>
              </w:tabs>
              <w:spacing w:after="40"/>
              <w:rPr>
                <w:b/>
                <w:sz w:val="18"/>
                <w:szCs w:val="18"/>
              </w:rPr>
            </w:pPr>
            <w:r w:rsidRPr="00064185">
              <w:rPr>
                <w:b/>
                <w:sz w:val="18"/>
                <w:szCs w:val="18"/>
              </w:rPr>
              <w:t>1.</w:t>
            </w:r>
            <w:r w:rsidR="00F74B9A" w:rsidRPr="00064185">
              <w:rPr>
                <w:b/>
                <w:sz w:val="18"/>
                <w:szCs w:val="18"/>
              </w:rPr>
              <w:t>12</w:t>
            </w:r>
            <w:r w:rsidRPr="00064185">
              <w:rPr>
                <w:b/>
                <w:sz w:val="18"/>
                <w:szCs w:val="18"/>
              </w:rPr>
              <w:t xml:space="preserve"> x 10</w:t>
            </w:r>
            <w:r w:rsidR="00F74B9A" w:rsidRPr="00064185">
              <w:rPr>
                <w:b/>
                <w:sz w:val="18"/>
                <w:szCs w:val="18"/>
                <w:vertAlign w:val="superscript"/>
              </w:rPr>
              <w:t>-6</w:t>
            </w:r>
          </w:p>
        </w:tc>
      </w:tr>
    </w:tbl>
    <w:p w14:paraId="5A4A79AA" w14:textId="77777777" w:rsidR="00504435" w:rsidRPr="00064185" w:rsidRDefault="00504435" w:rsidP="00EA61D8">
      <w:pPr>
        <w:autoSpaceDE w:val="0"/>
        <w:autoSpaceDN w:val="0"/>
        <w:adjustRightInd w:val="0"/>
        <w:spacing w:before="60" w:after="60" w:line="260" w:lineRule="atLeast"/>
        <w:rPr>
          <w:i/>
        </w:rPr>
      </w:pPr>
    </w:p>
    <w:p w14:paraId="762A66F1" w14:textId="77777777" w:rsidR="00504435" w:rsidRPr="00064185" w:rsidRDefault="00504435" w:rsidP="006A7704">
      <w:pPr>
        <w:pStyle w:val="Textkrper2"/>
        <w:jc w:val="both"/>
        <w:rPr>
          <w:i w:val="0"/>
          <w:color w:val="auto"/>
        </w:rPr>
      </w:pPr>
      <w:r w:rsidRPr="00064185">
        <w:rPr>
          <w:i w:val="0"/>
          <w:color w:val="auto"/>
        </w:rPr>
        <w:t xml:space="preserve">In a second step, the </w:t>
      </w:r>
      <w:r w:rsidRPr="00064185">
        <w:rPr>
          <w:color w:val="auto"/>
        </w:rPr>
        <w:t>lambda-</w:t>
      </w:r>
      <w:r w:rsidRPr="00064185">
        <w:rPr>
          <w:i w:val="0"/>
          <w:color w:val="auto"/>
        </w:rPr>
        <w:t xml:space="preserve">cyhalothrin concentration in the fresh diet is assessed for acute and short-term exposure, and the estimated theoretical exposure is calculated for the corresponding indicator species (insectivorous birds). </w:t>
      </w:r>
    </w:p>
    <w:p w14:paraId="53BC12E0" w14:textId="77777777" w:rsidR="00504435" w:rsidRPr="00064185" w:rsidRDefault="00504435" w:rsidP="00EA61D8">
      <w:pPr>
        <w:rPr>
          <w:rFonts w:eastAsia="Calibri"/>
          <w:b/>
          <w: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0"/>
        <w:gridCol w:w="3422"/>
        <w:gridCol w:w="1347"/>
        <w:gridCol w:w="1345"/>
      </w:tblGrid>
      <w:tr w:rsidR="00064185" w:rsidRPr="00064185" w14:paraId="6790F094" w14:textId="77777777" w:rsidTr="00DF0EF1">
        <w:trPr>
          <w:cantSplit/>
          <w:trHeight w:val="472"/>
        </w:trPr>
        <w:tc>
          <w:tcPr>
            <w:tcW w:w="5000" w:type="pct"/>
            <w:gridSpan w:val="4"/>
            <w:shd w:val="clear" w:color="auto" w:fill="FFFFCC"/>
            <w:vAlign w:val="center"/>
          </w:tcPr>
          <w:p w14:paraId="712D07CB" w14:textId="77777777" w:rsidR="00504435" w:rsidRPr="00064185" w:rsidRDefault="00504435" w:rsidP="00EA61D8">
            <w:pPr>
              <w:rPr>
                <w:rFonts w:eastAsia="Calibri"/>
                <w:b/>
                <w:sz w:val="18"/>
                <w:szCs w:val="18"/>
                <w:lang w:eastAsia="en-US"/>
              </w:rPr>
            </w:pPr>
            <w:r w:rsidRPr="00064185">
              <w:rPr>
                <w:rFonts w:eastAsia="Calibri"/>
                <w:b/>
                <w:sz w:val="18"/>
                <w:szCs w:val="18"/>
                <w:lang w:eastAsia="en-US"/>
              </w:rPr>
              <w:t xml:space="preserve">Calculation of the </w:t>
            </w:r>
            <w:r w:rsidRPr="00064185">
              <w:rPr>
                <w:rFonts w:eastAsia="Calibri"/>
                <w:b/>
                <w:i/>
                <w:sz w:val="18"/>
                <w:lang w:eastAsia="en-US"/>
              </w:rPr>
              <w:t>lambda</w:t>
            </w:r>
            <w:r w:rsidRPr="00064185">
              <w:rPr>
                <w:rFonts w:eastAsia="Calibri"/>
                <w:b/>
                <w:sz w:val="18"/>
                <w:szCs w:val="18"/>
                <w:lang w:eastAsia="en-US"/>
              </w:rPr>
              <w:t>-cyhalothrin concentration in the fresh diet</w:t>
            </w:r>
          </w:p>
        </w:tc>
      </w:tr>
      <w:tr w:rsidR="00064185" w:rsidRPr="00064185" w14:paraId="741ACE1F" w14:textId="77777777" w:rsidTr="00DF0EF1">
        <w:trPr>
          <w:cantSplit/>
          <w:trHeight w:val="471"/>
        </w:trPr>
        <w:tc>
          <w:tcPr>
            <w:tcW w:w="1732" w:type="pct"/>
            <w:vMerge w:val="restart"/>
            <w:shd w:val="clear" w:color="auto" w:fill="auto"/>
            <w:noWrap/>
            <w:vAlign w:val="center"/>
            <w:hideMark/>
          </w:tcPr>
          <w:p w14:paraId="3E6A4518" w14:textId="77777777" w:rsidR="00504435" w:rsidRPr="00064185" w:rsidRDefault="00504435" w:rsidP="00EA61D8">
            <w:pPr>
              <w:keepNext/>
              <w:keepLines/>
              <w:spacing w:after="40"/>
              <w:rPr>
                <w:rFonts w:ascii="Arial" w:hAnsi="Arial" w:cs="Arial"/>
                <w:sz w:val="18"/>
                <w:szCs w:val="18"/>
              </w:rPr>
            </w:pPr>
          </w:p>
        </w:tc>
        <w:tc>
          <w:tcPr>
            <w:tcW w:w="1829" w:type="pct"/>
            <w:vMerge w:val="restart"/>
            <w:shd w:val="clear" w:color="auto" w:fill="auto"/>
            <w:vAlign w:val="center"/>
            <w:hideMark/>
          </w:tcPr>
          <w:p w14:paraId="0DE96FB5" w14:textId="77777777" w:rsidR="00504435" w:rsidRPr="00064185" w:rsidRDefault="00504435" w:rsidP="00EA61D8">
            <w:pPr>
              <w:keepNext/>
              <w:keepLines/>
              <w:spacing w:after="40"/>
              <w:rPr>
                <w:b/>
                <w:bCs/>
                <w:sz w:val="18"/>
                <w:szCs w:val="18"/>
              </w:rPr>
            </w:pPr>
            <w:r w:rsidRPr="00064185">
              <w:rPr>
                <w:b/>
                <w:bCs/>
                <w:sz w:val="18"/>
                <w:szCs w:val="18"/>
              </w:rPr>
              <w:t>Definition</w:t>
            </w:r>
          </w:p>
        </w:tc>
        <w:tc>
          <w:tcPr>
            <w:tcW w:w="1439" w:type="pct"/>
            <w:gridSpan w:val="2"/>
            <w:shd w:val="clear" w:color="auto" w:fill="auto"/>
            <w:vAlign w:val="center"/>
            <w:hideMark/>
          </w:tcPr>
          <w:p w14:paraId="4F6F18E4" w14:textId="77777777" w:rsidR="00504435" w:rsidRPr="00064185" w:rsidRDefault="00504435" w:rsidP="00EA61D8">
            <w:pPr>
              <w:keepNext/>
              <w:keepLines/>
              <w:tabs>
                <w:tab w:val="right" w:pos="1370"/>
              </w:tabs>
              <w:spacing w:after="40"/>
              <w:rPr>
                <w:bCs/>
                <w:sz w:val="18"/>
                <w:szCs w:val="18"/>
              </w:rPr>
            </w:pPr>
            <w:r w:rsidRPr="00064185">
              <w:rPr>
                <w:b/>
                <w:bCs/>
                <w:sz w:val="18"/>
                <w:szCs w:val="18"/>
              </w:rPr>
              <w:t>Value</w:t>
            </w:r>
          </w:p>
        </w:tc>
      </w:tr>
      <w:tr w:rsidR="00064185" w:rsidRPr="00064185" w14:paraId="0C4368B8" w14:textId="77777777" w:rsidTr="00DF0EF1">
        <w:trPr>
          <w:cantSplit/>
          <w:trHeight w:val="471"/>
        </w:trPr>
        <w:tc>
          <w:tcPr>
            <w:tcW w:w="1732" w:type="pct"/>
            <w:vMerge/>
            <w:shd w:val="clear" w:color="auto" w:fill="auto"/>
            <w:vAlign w:val="center"/>
            <w:hideMark/>
          </w:tcPr>
          <w:p w14:paraId="43627FA9" w14:textId="77777777" w:rsidR="00504435" w:rsidRPr="00064185" w:rsidRDefault="00504435" w:rsidP="00EA61D8">
            <w:pPr>
              <w:rPr>
                <w:rFonts w:ascii="Arial" w:hAnsi="Arial" w:cs="Arial"/>
                <w:sz w:val="18"/>
                <w:szCs w:val="18"/>
              </w:rPr>
            </w:pPr>
          </w:p>
        </w:tc>
        <w:tc>
          <w:tcPr>
            <w:tcW w:w="1829" w:type="pct"/>
            <w:vMerge/>
            <w:shd w:val="clear" w:color="auto" w:fill="auto"/>
            <w:vAlign w:val="center"/>
            <w:hideMark/>
          </w:tcPr>
          <w:p w14:paraId="34C84EBC" w14:textId="77777777" w:rsidR="00504435" w:rsidRPr="00064185" w:rsidRDefault="00504435" w:rsidP="00EA61D8">
            <w:pPr>
              <w:rPr>
                <w:b/>
                <w:bCs/>
                <w:sz w:val="18"/>
                <w:szCs w:val="18"/>
              </w:rPr>
            </w:pPr>
          </w:p>
        </w:tc>
        <w:tc>
          <w:tcPr>
            <w:tcW w:w="720" w:type="pct"/>
            <w:shd w:val="clear" w:color="auto" w:fill="auto"/>
            <w:vAlign w:val="center"/>
            <w:hideMark/>
          </w:tcPr>
          <w:p w14:paraId="0381620F" w14:textId="5DF5B162" w:rsidR="00504435" w:rsidRPr="00064185" w:rsidRDefault="00504435" w:rsidP="00EA61D8">
            <w:pPr>
              <w:keepNext/>
              <w:keepLines/>
              <w:spacing w:after="40"/>
              <w:rPr>
                <w:b/>
                <w:bCs/>
                <w:sz w:val="18"/>
                <w:szCs w:val="18"/>
              </w:rPr>
            </w:pPr>
            <w:r w:rsidRPr="00064185">
              <w:rPr>
                <w:b/>
                <w:bCs/>
                <w:sz w:val="18"/>
                <w:szCs w:val="18"/>
              </w:rPr>
              <w:t xml:space="preserve">Acute </w:t>
            </w:r>
            <w:r w:rsidR="00034A89" w:rsidRPr="00064185">
              <w:rPr>
                <w:b/>
                <w:bCs/>
                <w:sz w:val="18"/>
                <w:szCs w:val="18"/>
              </w:rPr>
              <w:t>exposure</w:t>
            </w:r>
          </w:p>
        </w:tc>
        <w:tc>
          <w:tcPr>
            <w:tcW w:w="719" w:type="pct"/>
            <w:shd w:val="clear" w:color="auto" w:fill="auto"/>
            <w:vAlign w:val="center"/>
            <w:hideMark/>
          </w:tcPr>
          <w:p w14:paraId="159B922C" w14:textId="07DE62CB" w:rsidR="00504435" w:rsidRPr="00064185" w:rsidRDefault="00504435" w:rsidP="00EA61D8">
            <w:pPr>
              <w:keepNext/>
              <w:keepLines/>
              <w:tabs>
                <w:tab w:val="right" w:pos="1370"/>
              </w:tabs>
              <w:spacing w:after="40"/>
              <w:rPr>
                <w:b/>
                <w:sz w:val="18"/>
                <w:szCs w:val="18"/>
              </w:rPr>
            </w:pPr>
            <w:r w:rsidRPr="00064185">
              <w:rPr>
                <w:b/>
                <w:sz w:val="18"/>
                <w:szCs w:val="18"/>
              </w:rPr>
              <w:t xml:space="preserve">Short-term </w:t>
            </w:r>
            <w:r w:rsidR="00034A89" w:rsidRPr="00064185">
              <w:rPr>
                <w:b/>
                <w:sz w:val="18"/>
                <w:szCs w:val="18"/>
              </w:rPr>
              <w:t>exposure</w:t>
            </w:r>
          </w:p>
        </w:tc>
      </w:tr>
      <w:tr w:rsidR="00064185" w:rsidRPr="00064185" w14:paraId="5BE7C3F0" w14:textId="77777777" w:rsidTr="00DF0EF1">
        <w:trPr>
          <w:cantSplit/>
          <w:trHeight w:val="472"/>
        </w:trPr>
        <w:tc>
          <w:tcPr>
            <w:tcW w:w="1732" w:type="pct"/>
            <w:shd w:val="clear" w:color="auto" w:fill="auto"/>
            <w:vAlign w:val="center"/>
            <w:hideMark/>
          </w:tcPr>
          <w:p w14:paraId="1115204E" w14:textId="77777777" w:rsidR="00504435" w:rsidRPr="00064185" w:rsidRDefault="00504435" w:rsidP="00EA61D8">
            <w:pPr>
              <w:keepNext/>
              <w:keepLines/>
              <w:spacing w:after="40"/>
              <w:rPr>
                <w:sz w:val="18"/>
                <w:szCs w:val="18"/>
              </w:rPr>
            </w:pPr>
            <w:r w:rsidRPr="00064185">
              <w:rPr>
                <w:sz w:val="18"/>
                <w:szCs w:val="18"/>
              </w:rPr>
              <w:t>Application rate [kg x m</w:t>
            </w:r>
            <w:r w:rsidRPr="00064185">
              <w:rPr>
                <w:sz w:val="18"/>
                <w:szCs w:val="18"/>
                <w:vertAlign w:val="superscript"/>
              </w:rPr>
              <w:t>-2</w:t>
            </w:r>
            <w:r w:rsidRPr="00064185">
              <w:rPr>
                <w:sz w:val="18"/>
                <w:szCs w:val="18"/>
              </w:rPr>
              <w:t>]</w:t>
            </w:r>
          </w:p>
        </w:tc>
        <w:tc>
          <w:tcPr>
            <w:tcW w:w="1829" w:type="pct"/>
            <w:shd w:val="clear" w:color="auto" w:fill="auto"/>
            <w:vAlign w:val="center"/>
            <w:hideMark/>
          </w:tcPr>
          <w:p w14:paraId="7285126C" w14:textId="77777777" w:rsidR="00504435" w:rsidRPr="00064185" w:rsidRDefault="00504435" w:rsidP="00EA61D8">
            <w:pPr>
              <w:keepNext/>
              <w:keepLines/>
              <w:spacing w:after="40"/>
              <w:rPr>
                <w:sz w:val="18"/>
                <w:szCs w:val="18"/>
              </w:rPr>
            </w:pPr>
            <w:r w:rsidRPr="00064185">
              <w:rPr>
                <w:sz w:val="18"/>
                <w:szCs w:val="18"/>
              </w:rPr>
              <w:t>T</w:t>
            </w:r>
            <w:r w:rsidRPr="00064185">
              <w:rPr>
                <w:sz w:val="18"/>
                <w:szCs w:val="18"/>
                <w:vertAlign w:val="subscript"/>
              </w:rPr>
              <w:t>appl</w:t>
            </w:r>
            <w:r w:rsidRPr="00064185">
              <w:rPr>
                <w:sz w:val="18"/>
                <w:szCs w:val="18"/>
              </w:rPr>
              <w:t xml:space="preserve"> </w:t>
            </w:r>
          </w:p>
        </w:tc>
        <w:tc>
          <w:tcPr>
            <w:tcW w:w="1439" w:type="pct"/>
            <w:gridSpan w:val="2"/>
            <w:shd w:val="clear" w:color="auto" w:fill="auto"/>
            <w:vAlign w:val="center"/>
            <w:hideMark/>
          </w:tcPr>
          <w:p w14:paraId="76209B03" w14:textId="1BF935DC" w:rsidR="00504435" w:rsidRPr="00064185" w:rsidRDefault="00034A89" w:rsidP="00EA61D8">
            <w:pPr>
              <w:keepNext/>
              <w:keepLines/>
              <w:tabs>
                <w:tab w:val="right" w:pos="1370"/>
              </w:tabs>
              <w:spacing w:after="40"/>
              <w:rPr>
                <w:sz w:val="18"/>
                <w:szCs w:val="18"/>
              </w:rPr>
            </w:pPr>
            <w:r w:rsidRPr="00064185">
              <w:rPr>
                <w:sz w:val="18"/>
                <w:szCs w:val="18"/>
              </w:rPr>
              <w:t>1.12 x 10</w:t>
            </w:r>
            <w:r w:rsidRPr="00064185">
              <w:rPr>
                <w:sz w:val="18"/>
                <w:szCs w:val="18"/>
                <w:vertAlign w:val="superscript"/>
              </w:rPr>
              <w:t>-6</w:t>
            </w:r>
          </w:p>
        </w:tc>
      </w:tr>
      <w:tr w:rsidR="00064185" w:rsidRPr="00064185" w14:paraId="7EFE8E1D" w14:textId="77777777" w:rsidTr="00DF0EF1">
        <w:trPr>
          <w:cantSplit/>
          <w:trHeight w:val="472"/>
        </w:trPr>
        <w:tc>
          <w:tcPr>
            <w:tcW w:w="1732" w:type="pct"/>
            <w:shd w:val="clear" w:color="auto" w:fill="auto"/>
            <w:vAlign w:val="center"/>
            <w:hideMark/>
          </w:tcPr>
          <w:p w14:paraId="6554C625" w14:textId="77777777" w:rsidR="00504435" w:rsidRPr="00064185" w:rsidRDefault="00504435" w:rsidP="00EA61D8">
            <w:pPr>
              <w:keepNext/>
              <w:keepLines/>
              <w:spacing w:after="40"/>
              <w:rPr>
                <w:bCs/>
                <w:sz w:val="18"/>
                <w:szCs w:val="18"/>
                <w:lang w:val="it-IT"/>
              </w:rPr>
            </w:pPr>
            <w:r w:rsidRPr="00064185">
              <w:rPr>
                <w:bCs/>
                <w:sz w:val="18"/>
                <w:szCs w:val="18"/>
                <w:lang w:val="it-IT"/>
              </w:rPr>
              <w:t>Residue per unit dose [mg x kg</w:t>
            </w:r>
            <w:r w:rsidRPr="00064185">
              <w:rPr>
                <w:bCs/>
                <w:sz w:val="18"/>
                <w:szCs w:val="18"/>
                <w:vertAlign w:val="superscript"/>
                <w:lang w:val="it-IT"/>
              </w:rPr>
              <w:t>-1</w:t>
            </w:r>
            <w:r w:rsidRPr="00064185">
              <w:rPr>
                <w:bCs/>
                <w:sz w:val="18"/>
                <w:szCs w:val="18"/>
                <w:lang w:val="it-IT"/>
              </w:rPr>
              <w:t>]</w:t>
            </w:r>
          </w:p>
        </w:tc>
        <w:tc>
          <w:tcPr>
            <w:tcW w:w="1829" w:type="pct"/>
            <w:shd w:val="clear" w:color="auto" w:fill="auto"/>
            <w:vAlign w:val="center"/>
            <w:hideMark/>
          </w:tcPr>
          <w:p w14:paraId="0042723B" w14:textId="77777777" w:rsidR="00504435" w:rsidRPr="00064185" w:rsidRDefault="00504435" w:rsidP="00EA61D8">
            <w:pPr>
              <w:keepNext/>
              <w:keepLines/>
              <w:spacing w:after="40"/>
              <w:rPr>
                <w:bCs/>
                <w:sz w:val="18"/>
                <w:szCs w:val="18"/>
              </w:rPr>
            </w:pPr>
            <w:r w:rsidRPr="00064185">
              <w:rPr>
                <w:bCs/>
                <w:sz w:val="18"/>
                <w:szCs w:val="18"/>
              </w:rPr>
              <w:t>RUD</w:t>
            </w:r>
          </w:p>
        </w:tc>
        <w:tc>
          <w:tcPr>
            <w:tcW w:w="720" w:type="pct"/>
            <w:shd w:val="clear" w:color="auto" w:fill="auto"/>
            <w:vAlign w:val="center"/>
            <w:hideMark/>
          </w:tcPr>
          <w:p w14:paraId="1024ED6B" w14:textId="77777777" w:rsidR="00504435" w:rsidRPr="00064185" w:rsidRDefault="00504435" w:rsidP="00EA61D8">
            <w:pPr>
              <w:keepNext/>
              <w:keepLines/>
              <w:tabs>
                <w:tab w:val="right" w:pos="1370"/>
              </w:tabs>
              <w:spacing w:after="40"/>
              <w:rPr>
                <w:sz w:val="18"/>
                <w:szCs w:val="18"/>
              </w:rPr>
            </w:pPr>
            <w:r w:rsidRPr="00064185">
              <w:rPr>
                <w:sz w:val="18"/>
                <w:szCs w:val="18"/>
              </w:rPr>
              <w:t>52</w:t>
            </w:r>
          </w:p>
        </w:tc>
        <w:tc>
          <w:tcPr>
            <w:tcW w:w="719" w:type="pct"/>
            <w:shd w:val="clear" w:color="auto" w:fill="auto"/>
            <w:vAlign w:val="center"/>
            <w:hideMark/>
          </w:tcPr>
          <w:p w14:paraId="73B4ED3F" w14:textId="77777777" w:rsidR="00504435" w:rsidRPr="00064185" w:rsidRDefault="00504435" w:rsidP="00EA61D8">
            <w:pPr>
              <w:keepNext/>
              <w:keepLines/>
              <w:tabs>
                <w:tab w:val="right" w:pos="1370"/>
              </w:tabs>
              <w:spacing w:after="40"/>
              <w:rPr>
                <w:sz w:val="18"/>
                <w:szCs w:val="18"/>
              </w:rPr>
            </w:pPr>
            <w:r w:rsidRPr="00064185">
              <w:rPr>
                <w:sz w:val="18"/>
                <w:szCs w:val="18"/>
              </w:rPr>
              <w:t>29</w:t>
            </w:r>
          </w:p>
        </w:tc>
      </w:tr>
      <w:tr w:rsidR="00064185" w:rsidRPr="00064185" w14:paraId="4779C290" w14:textId="77777777" w:rsidTr="00DF0EF1">
        <w:trPr>
          <w:cantSplit/>
          <w:trHeight w:val="472"/>
        </w:trPr>
        <w:tc>
          <w:tcPr>
            <w:tcW w:w="1732" w:type="pct"/>
            <w:shd w:val="clear" w:color="auto" w:fill="auto"/>
            <w:vAlign w:val="center"/>
            <w:hideMark/>
          </w:tcPr>
          <w:p w14:paraId="069EE719" w14:textId="77777777" w:rsidR="00504435" w:rsidRPr="00064185" w:rsidRDefault="00504435" w:rsidP="00EA61D8">
            <w:pPr>
              <w:keepNext/>
              <w:keepLines/>
              <w:spacing w:after="40"/>
              <w:rPr>
                <w:bCs/>
                <w:sz w:val="18"/>
                <w:szCs w:val="18"/>
              </w:rPr>
            </w:pPr>
            <w:r w:rsidRPr="00064185">
              <w:rPr>
                <w:sz w:val="18"/>
                <w:szCs w:val="18"/>
              </w:rPr>
              <w:t>Predicted environmental concentration in ants [mg × kg</w:t>
            </w:r>
            <w:r w:rsidRPr="00064185">
              <w:rPr>
                <w:sz w:val="18"/>
                <w:szCs w:val="18"/>
                <w:vertAlign w:val="superscript"/>
              </w:rPr>
              <w:t>-1</w:t>
            </w:r>
            <w:r w:rsidRPr="00064185">
              <w:rPr>
                <w:sz w:val="18"/>
                <w:szCs w:val="18"/>
              </w:rPr>
              <w:t>]**</w:t>
            </w:r>
          </w:p>
        </w:tc>
        <w:tc>
          <w:tcPr>
            <w:tcW w:w="1829" w:type="pct"/>
            <w:shd w:val="clear" w:color="auto" w:fill="auto"/>
            <w:vAlign w:val="center"/>
            <w:hideMark/>
          </w:tcPr>
          <w:p w14:paraId="1914679A" w14:textId="77777777" w:rsidR="00504435" w:rsidRPr="00064185" w:rsidRDefault="00504435" w:rsidP="00EA61D8">
            <w:pPr>
              <w:keepNext/>
              <w:keepLines/>
              <w:spacing w:after="40"/>
              <w:rPr>
                <w:bCs/>
                <w:sz w:val="18"/>
                <w:szCs w:val="18"/>
              </w:rPr>
            </w:pPr>
            <w:r w:rsidRPr="00064185">
              <w:rPr>
                <w:bCs/>
                <w:sz w:val="18"/>
                <w:szCs w:val="18"/>
              </w:rPr>
              <w:t>C</w:t>
            </w:r>
            <w:r w:rsidRPr="00064185">
              <w:rPr>
                <w:bCs/>
                <w:sz w:val="18"/>
                <w:szCs w:val="18"/>
                <w:vertAlign w:val="subscript"/>
              </w:rPr>
              <w:t>ant</w:t>
            </w:r>
            <w:r w:rsidRPr="00064185">
              <w:rPr>
                <w:bCs/>
                <w:sz w:val="18"/>
                <w:szCs w:val="18"/>
              </w:rPr>
              <w:t xml:space="preserve"> = RUD x T</w:t>
            </w:r>
            <w:r w:rsidRPr="00064185">
              <w:rPr>
                <w:bCs/>
                <w:sz w:val="18"/>
                <w:szCs w:val="18"/>
                <w:vertAlign w:val="subscript"/>
              </w:rPr>
              <w:t>appl</w:t>
            </w:r>
            <w:r w:rsidRPr="00064185">
              <w:rPr>
                <w:bCs/>
                <w:sz w:val="18"/>
                <w:szCs w:val="18"/>
              </w:rPr>
              <w:t xml:space="preserve"> x 10</w:t>
            </w:r>
            <w:r w:rsidRPr="00064185">
              <w:rPr>
                <w:bCs/>
                <w:sz w:val="18"/>
                <w:szCs w:val="18"/>
                <w:vertAlign w:val="superscript"/>
              </w:rPr>
              <w:t>-4</w:t>
            </w:r>
          </w:p>
        </w:tc>
        <w:tc>
          <w:tcPr>
            <w:tcW w:w="720" w:type="pct"/>
            <w:shd w:val="clear" w:color="auto" w:fill="auto"/>
            <w:vAlign w:val="center"/>
            <w:hideMark/>
          </w:tcPr>
          <w:p w14:paraId="3ED7374B" w14:textId="649CC500" w:rsidR="00504435" w:rsidRPr="00064185" w:rsidRDefault="00034A89" w:rsidP="00EA61D8">
            <w:pPr>
              <w:keepNext/>
              <w:keepLines/>
              <w:tabs>
                <w:tab w:val="right" w:pos="1370"/>
              </w:tabs>
              <w:spacing w:after="40"/>
              <w:rPr>
                <w:sz w:val="18"/>
                <w:szCs w:val="18"/>
              </w:rPr>
            </w:pPr>
            <w:r w:rsidRPr="00064185">
              <w:rPr>
                <w:sz w:val="18"/>
                <w:szCs w:val="18"/>
              </w:rPr>
              <w:t>5</w:t>
            </w:r>
            <w:r w:rsidR="00504435" w:rsidRPr="00064185">
              <w:rPr>
                <w:sz w:val="18"/>
                <w:szCs w:val="18"/>
              </w:rPr>
              <w:t>.</w:t>
            </w:r>
            <w:r w:rsidRPr="00064185">
              <w:rPr>
                <w:sz w:val="18"/>
                <w:szCs w:val="18"/>
              </w:rPr>
              <w:t>82</w:t>
            </w:r>
            <w:r w:rsidR="00504435" w:rsidRPr="00064185">
              <w:rPr>
                <w:sz w:val="18"/>
                <w:szCs w:val="18"/>
              </w:rPr>
              <w:t xml:space="preserve"> x 10</w:t>
            </w:r>
            <w:r w:rsidR="00504435" w:rsidRPr="00064185">
              <w:rPr>
                <w:sz w:val="18"/>
                <w:szCs w:val="18"/>
                <w:vertAlign w:val="superscript"/>
              </w:rPr>
              <w:t>-</w:t>
            </w:r>
            <w:r w:rsidRPr="00064185">
              <w:rPr>
                <w:sz w:val="18"/>
                <w:szCs w:val="18"/>
                <w:vertAlign w:val="superscript"/>
              </w:rPr>
              <w:t>9</w:t>
            </w:r>
          </w:p>
        </w:tc>
        <w:tc>
          <w:tcPr>
            <w:tcW w:w="719" w:type="pct"/>
            <w:shd w:val="clear" w:color="auto" w:fill="auto"/>
            <w:vAlign w:val="center"/>
            <w:hideMark/>
          </w:tcPr>
          <w:p w14:paraId="61710280" w14:textId="69F5CAE8" w:rsidR="00504435" w:rsidRPr="00064185" w:rsidRDefault="00034A89" w:rsidP="00EA61D8">
            <w:pPr>
              <w:keepNext/>
              <w:keepLines/>
              <w:tabs>
                <w:tab w:val="right" w:pos="1370"/>
              </w:tabs>
              <w:spacing w:after="40"/>
              <w:rPr>
                <w:sz w:val="18"/>
                <w:szCs w:val="18"/>
              </w:rPr>
            </w:pPr>
            <w:r w:rsidRPr="00064185">
              <w:rPr>
                <w:sz w:val="18"/>
                <w:szCs w:val="18"/>
              </w:rPr>
              <w:t>3</w:t>
            </w:r>
            <w:r w:rsidR="00504435" w:rsidRPr="00064185">
              <w:rPr>
                <w:sz w:val="18"/>
                <w:szCs w:val="18"/>
              </w:rPr>
              <w:t>.</w:t>
            </w:r>
            <w:r w:rsidRPr="00064185">
              <w:rPr>
                <w:sz w:val="18"/>
                <w:szCs w:val="18"/>
              </w:rPr>
              <w:t>25</w:t>
            </w:r>
            <w:r w:rsidR="00504435" w:rsidRPr="00064185">
              <w:rPr>
                <w:sz w:val="18"/>
                <w:szCs w:val="18"/>
              </w:rPr>
              <w:t xml:space="preserve"> x 10</w:t>
            </w:r>
            <w:r w:rsidR="00504435" w:rsidRPr="00064185">
              <w:rPr>
                <w:sz w:val="18"/>
                <w:szCs w:val="18"/>
                <w:vertAlign w:val="superscript"/>
              </w:rPr>
              <w:t>-</w:t>
            </w:r>
            <w:r w:rsidRPr="00064185">
              <w:rPr>
                <w:sz w:val="18"/>
                <w:szCs w:val="18"/>
                <w:vertAlign w:val="superscript"/>
              </w:rPr>
              <w:t>9</w:t>
            </w:r>
          </w:p>
        </w:tc>
      </w:tr>
      <w:tr w:rsidR="00064185" w:rsidRPr="00064185" w14:paraId="2A2F7ED5" w14:textId="77777777" w:rsidTr="00DF0EF1">
        <w:trPr>
          <w:cantSplit/>
          <w:trHeight w:val="472"/>
        </w:trPr>
        <w:tc>
          <w:tcPr>
            <w:tcW w:w="1732" w:type="pct"/>
            <w:vAlign w:val="center"/>
            <w:hideMark/>
          </w:tcPr>
          <w:p w14:paraId="2529F4E4" w14:textId="77777777" w:rsidR="00504435" w:rsidRPr="00064185" w:rsidRDefault="00504435" w:rsidP="00EA61D8">
            <w:pPr>
              <w:keepNext/>
              <w:keepLines/>
              <w:spacing w:after="40"/>
              <w:rPr>
                <w:sz w:val="18"/>
                <w:szCs w:val="18"/>
              </w:rPr>
            </w:pPr>
            <w:r w:rsidRPr="00064185">
              <w:rPr>
                <w:sz w:val="18"/>
                <w:szCs w:val="18"/>
              </w:rPr>
              <w:t>Food intake rates per body weight-Small insectivorous bird I [d</w:t>
            </w:r>
            <w:r w:rsidRPr="00064185">
              <w:rPr>
                <w:sz w:val="18"/>
                <w:szCs w:val="18"/>
                <w:vertAlign w:val="superscript"/>
              </w:rPr>
              <w:t>-1</w:t>
            </w:r>
            <w:r w:rsidRPr="00064185">
              <w:rPr>
                <w:sz w:val="18"/>
                <w:szCs w:val="18"/>
              </w:rPr>
              <w:t>]</w:t>
            </w:r>
          </w:p>
        </w:tc>
        <w:tc>
          <w:tcPr>
            <w:tcW w:w="1829" w:type="pct"/>
            <w:vAlign w:val="center"/>
            <w:hideMark/>
          </w:tcPr>
          <w:p w14:paraId="55A49BDA" w14:textId="77777777" w:rsidR="00504435" w:rsidRPr="00064185" w:rsidRDefault="00504435" w:rsidP="00EA61D8">
            <w:pPr>
              <w:keepNext/>
              <w:keepLines/>
              <w:spacing w:after="40"/>
              <w:rPr>
                <w:bCs/>
                <w:sz w:val="18"/>
                <w:szCs w:val="18"/>
              </w:rPr>
            </w:pPr>
            <w:r w:rsidRPr="00064185">
              <w:rPr>
                <w:sz w:val="18"/>
                <w:szCs w:val="18"/>
              </w:rPr>
              <w:t>FIR /bw</w:t>
            </w:r>
          </w:p>
        </w:tc>
        <w:tc>
          <w:tcPr>
            <w:tcW w:w="1439" w:type="pct"/>
            <w:gridSpan w:val="2"/>
            <w:vAlign w:val="center"/>
            <w:hideMark/>
          </w:tcPr>
          <w:p w14:paraId="26FBEFE9" w14:textId="77777777" w:rsidR="00504435" w:rsidRPr="00064185" w:rsidRDefault="00504435" w:rsidP="00EA61D8">
            <w:pPr>
              <w:keepNext/>
              <w:keepLines/>
              <w:tabs>
                <w:tab w:val="right" w:pos="1370"/>
              </w:tabs>
              <w:spacing w:after="40"/>
              <w:rPr>
                <w:sz w:val="18"/>
                <w:szCs w:val="18"/>
              </w:rPr>
            </w:pPr>
            <w:r w:rsidRPr="00064185">
              <w:rPr>
                <w:sz w:val="18"/>
                <w:szCs w:val="18"/>
              </w:rPr>
              <w:t>1.04</w:t>
            </w:r>
          </w:p>
        </w:tc>
      </w:tr>
      <w:tr w:rsidR="00064185" w:rsidRPr="00064185" w14:paraId="7FED1687" w14:textId="77777777" w:rsidTr="00DF0EF1">
        <w:trPr>
          <w:cantSplit/>
          <w:trHeight w:val="472"/>
        </w:trPr>
        <w:tc>
          <w:tcPr>
            <w:tcW w:w="1732" w:type="pct"/>
            <w:vAlign w:val="center"/>
            <w:hideMark/>
          </w:tcPr>
          <w:p w14:paraId="7B218C43" w14:textId="77777777" w:rsidR="00504435" w:rsidRPr="00064185" w:rsidRDefault="00504435" w:rsidP="00EA61D8">
            <w:pPr>
              <w:keepNext/>
              <w:keepLines/>
              <w:spacing w:after="40"/>
              <w:rPr>
                <w:sz w:val="18"/>
                <w:szCs w:val="18"/>
              </w:rPr>
            </w:pPr>
            <w:r w:rsidRPr="00064185">
              <w:rPr>
                <w:sz w:val="18"/>
                <w:szCs w:val="18"/>
              </w:rPr>
              <w:t>Food intake rates per body weight- Small insectivorous bird II [d</w:t>
            </w:r>
            <w:r w:rsidRPr="00064185">
              <w:rPr>
                <w:sz w:val="18"/>
                <w:szCs w:val="18"/>
                <w:vertAlign w:val="superscript"/>
              </w:rPr>
              <w:t>-1</w:t>
            </w:r>
            <w:r w:rsidRPr="00064185">
              <w:rPr>
                <w:sz w:val="18"/>
                <w:szCs w:val="18"/>
              </w:rPr>
              <w:t>]</w:t>
            </w:r>
          </w:p>
        </w:tc>
        <w:tc>
          <w:tcPr>
            <w:tcW w:w="1829" w:type="pct"/>
            <w:vAlign w:val="center"/>
            <w:hideMark/>
          </w:tcPr>
          <w:p w14:paraId="510EF334" w14:textId="77777777" w:rsidR="00504435" w:rsidRPr="00064185" w:rsidRDefault="00504435" w:rsidP="00EA61D8">
            <w:pPr>
              <w:keepNext/>
              <w:keepLines/>
              <w:spacing w:after="40"/>
              <w:rPr>
                <w:bCs/>
                <w:sz w:val="18"/>
                <w:szCs w:val="18"/>
              </w:rPr>
            </w:pPr>
            <w:r w:rsidRPr="00064185">
              <w:rPr>
                <w:sz w:val="18"/>
                <w:szCs w:val="18"/>
              </w:rPr>
              <w:t>FIR /bw</w:t>
            </w:r>
          </w:p>
        </w:tc>
        <w:tc>
          <w:tcPr>
            <w:tcW w:w="1439" w:type="pct"/>
            <w:gridSpan w:val="2"/>
            <w:vAlign w:val="center"/>
            <w:hideMark/>
          </w:tcPr>
          <w:p w14:paraId="4594FE50" w14:textId="77777777" w:rsidR="00504435" w:rsidRPr="00064185" w:rsidRDefault="00504435" w:rsidP="00EA61D8">
            <w:pPr>
              <w:keepNext/>
              <w:keepLines/>
              <w:tabs>
                <w:tab w:val="right" w:pos="1370"/>
              </w:tabs>
              <w:spacing w:after="40"/>
              <w:rPr>
                <w:sz w:val="18"/>
                <w:szCs w:val="18"/>
              </w:rPr>
            </w:pPr>
            <w:r w:rsidRPr="00064185">
              <w:rPr>
                <w:sz w:val="18"/>
                <w:szCs w:val="18"/>
              </w:rPr>
              <w:t>0.2</w:t>
            </w:r>
          </w:p>
        </w:tc>
      </w:tr>
      <w:tr w:rsidR="00064185" w:rsidRPr="00064185" w14:paraId="6AC8BFD0" w14:textId="77777777" w:rsidTr="00DF0EF1">
        <w:trPr>
          <w:cantSplit/>
          <w:trHeight w:val="472"/>
        </w:trPr>
        <w:tc>
          <w:tcPr>
            <w:tcW w:w="1732" w:type="pct"/>
            <w:vAlign w:val="center"/>
            <w:hideMark/>
          </w:tcPr>
          <w:p w14:paraId="45864695" w14:textId="77777777" w:rsidR="00504435" w:rsidRPr="00064185" w:rsidRDefault="00504435" w:rsidP="00EA61D8">
            <w:pPr>
              <w:keepNext/>
              <w:keepLines/>
              <w:tabs>
                <w:tab w:val="left" w:pos="720"/>
                <w:tab w:val="left" w:pos="2127"/>
                <w:tab w:val="left" w:pos="2552"/>
                <w:tab w:val="left" w:pos="7371"/>
                <w:tab w:val="right" w:pos="7921"/>
              </w:tabs>
              <w:spacing w:after="40"/>
              <w:rPr>
                <w:sz w:val="18"/>
                <w:szCs w:val="18"/>
              </w:rPr>
            </w:pPr>
            <w:r w:rsidRPr="00064185">
              <w:rPr>
                <w:sz w:val="18"/>
                <w:szCs w:val="18"/>
              </w:rPr>
              <w:t>Avoidance factor of contaminated food (AV=1, no avoidance) [-]</w:t>
            </w:r>
          </w:p>
        </w:tc>
        <w:tc>
          <w:tcPr>
            <w:tcW w:w="1829" w:type="pct"/>
            <w:vAlign w:val="center"/>
            <w:hideMark/>
          </w:tcPr>
          <w:p w14:paraId="4B4EA09D" w14:textId="77777777" w:rsidR="00504435" w:rsidRPr="00064185" w:rsidRDefault="00504435" w:rsidP="00EA61D8">
            <w:pPr>
              <w:keepNext/>
              <w:keepLines/>
              <w:spacing w:after="40"/>
              <w:rPr>
                <w:sz w:val="18"/>
                <w:szCs w:val="18"/>
              </w:rPr>
            </w:pPr>
            <w:r w:rsidRPr="00064185">
              <w:rPr>
                <w:sz w:val="18"/>
                <w:szCs w:val="18"/>
              </w:rPr>
              <w:t>AV</w:t>
            </w:r>
          </w:p>
        </w:tc>
        <w:tc>
          <w:tcPr>
            <w:tcW w:w="1439" w:type="pct"/>
            <w:gridSpan w:val="2"/>
            <w:vAlign w:val="center"/>
            <w:hideMark/>
          </w:tcPr>
          <w:p w14:paraId="227482C0" w14:textId="77777777" w:rsidR="00504435" w:rsidRPr="00064185" w:rsidRDefault="00504435" w:rsidP="00EA61D8">
            <w:pPr>
              <w:keepNext/>
              <w:keepLines/>
              <w:tabs>
                <w:tab w:val="right" w:pos="1370"/>
              </w:tabs>
              <w:spacing w:after="40"/>
              <w:rPr>
                <w:sz w:val="18"/>
                <w:szCs w:val="18"/>
              </w:rPr>
            </w:pPr>
            <w:r w:rsidRPr="00064185">
              <w:rPr>
                <w:sz w:val="18"/>
                <w:szCs w:val="18"/>
              </w:rPr>
              <w:t>1</w:t>
            </w:r>
          </w:p>
        </w:tc>
      </w:tr>
      <w:tr w:rsidR="00064185" w:rsidRPr="00064185" w14:paraId="38A520D3" w14:textId="77777777" w:rsidTr="00DF0EF1">
        <w:trPr>
          <w:cantSplit/>
          <w:trHeight w:val="472"/>
        </w:trPr>
        <w:tc>
          <w:tcPr>
            <w:tcW w:w="1732" w:type="pct"/>
            <w:vAlign w:val="center"/>
            <w:hideMark/>
          </w:tcPr>
          <w:p w14:paraId="32737404" w14:textId="77777777" w:rsidR="00504435" w:rsidRPr="00064185" w:rsidRDefault="00504435" w:rsidP="00EA61D8">
            <w:pPr>
              <w:keepNext/>
              <w:keepLines/>
              <w:tabs>
                <w:tab w:val="left" w:pos="720"/>
                <w:tab w:val="left" w:pos="2127"/>
                <w:tab w:val="left" w:pos="2552"/>
                <w:tab w:val="left" w:pos="7371"/>
                <w:tab w:val="right" w:pos="7921"/>
              </w:tabs>
              <w:spacing w:after="40"/>
              <w:rPr>
                <w:sz w:val="18"/>
                <w:szCs w:val="18"/>
              </w:rPr>
            </w:pPr>
            <w:r w:rsidRPr="00064185">
              <w:rPr>
                <w:sz w:val="18"/>
                <w:szCs w:val="18"/>
              </w:rPr>
              <w:t>Proportion of diet obtained in treated area [-]</w:t>
            </w:r>
          </w:p>
        </w:tc>
        <w:tc>
          <w:tcPr>
            <w:tcW w:w="1829" w:type="pct"/>
            <w:vAlign w:val="center"/>
            <w:hideMark/>
          </w:tcPr>
          <w:p w14:paraId="12369533" w14:textId="77777777" w:rsidR="00504435" w:rsidRPr="00064185" w:rsidRDefault="00504435" w:rsidP="00EA61D8">
            <w:pPr>
              <w:keepNext/>
              <w:keepLines/>
              <w:spacing w:after="40"/>
              <w:rPr>
                <w:sz w:val="18"/>
                <w:szCs w:val="18"/>
                <w:vertAlign w:val="superscript"/>
              </w:rPr>
            </w:pPr>
            <w:r w:rsidRPr="00064185">
              <w:rPr>
                <w:sz w:val="18"/>
                <w:szCs w:val="18"/>
              </w:rPr>
              <w:t>PT</w:t>
            </w:r>
          </w:p>
        </w:tc>
        <w:tc>
          <w:tcPr>
            <w:tcW w:w="1439" w:type="pct"/>
            <w:gridSpan w:val="2"/>
            <w:vAlign w:val="center"/>
            <w:hideMark/>
          </w:tcPr>
          <w:p w14:paraId="53066D8A" w14:textId="77777777" w:rsidR="00504435" w:rsidRPr="00064185" w:rsidRDefault="00504435" w:rsidP="00EA61D8">
            <w:pPr>
              <w:keepNext/>
              <w:keepLines/>
              <w:tabs>
                <w:tab w:val="right" w:pos="1370"/>
              </w:tabs>
              <w:spacing w:after="40"/>
              <w:rPr>
                <w:sz w:val="18"/>
                <w:szCs w:val="18"/>
              </w:rPr>
            </w:pPr>
            <w:r w:rsidRPr="00064185">
              <w:rPr>
                <w:sz w:val="18"/>
                <w:szCs w:val="18"/>
              </w:rPr>
              <w:t>1</w:t>
            </w:r>
          </w:p>
        </w:tc>
      </w:tr>
      <w:tr w:rsidR="00064185" w:rsidRPr="00064185" w14:paraId="35C6BA3F" w14:textId="77777777" w:rsidTr="00DF0EF1">
        <w:trPr>
          <w:cantSplit/>
          <w:trHeight w:val="472"/>
        </w:trPr>
        <w:tc>
          <w:tcPr>
            <w:tcW w:w="1732" w:type="pct"/>
            <w:vAlign w:val="center"/>
            <w:hideMark/>
          </w:tcPr>
          <w:p w14:paraId="31E90264" w14:textId="77777777" w:rsidR="00504435" w:rsidRPr="00064185" w:rsidRDefault="00504435" w:rsidP="00EA61D8">
            <w:pPr>
              <w:keepNext/>
              <w:keepLines/>
              <w:tabs>
                <w:tab w:val="left" w:pos="720"/>
                <w:tab w:val="left" w:pos="2160"/>
                <w:tab w:val="left" w:pos="2552"/>
                <w:tab w:val="left" w:pos="7371"/>
                <w:tab w:val="right" w:pos="7921"/>
              </w:tabs>
              <w:spacing w:after="40"/>
              <w:rPr>
                <w:sz w:val="18"/>
                <w:szCs w:val="18"/>
              </w:rPr>
            </w:pPr>
            <w:r w:rsidRPr="00064185">
              <w:rPr>
                <w:sz w:val="18"/>
                <w:szCs w:val="18"/>
              </w:rPr>
              <w:t>Proportion of food type (vegetation or insects) in the diet of specie of concern [-]</w:t>
            </w:r>
          </w:p>
        </w:tc>
        <w:tc>
          <w:tcPr>
            <w:tcW w:w="1829" w:type="pct"/>
            <w:vAlign w:val="center"/>
            <w:hideMark/>
          </w:tcPr>
          <w:p w14:paraId="530D7198" w14:textId="77777777" w:rsidR="00504435" w:rsidRPr="00064185" w:rsidRDefault="00504435" w:rsidP="00EA61D8">
            <w:pPr>
              <w:keepNext/>
              <w:keepLines/>
              <w:spacing w:after="40"/>
              <w:rPr>
                <w:sz w:val="18"/>
                <w:szCs w:val="18"/>
              </w:rPr>
            </w:pPr>
            <w:r w:rsidRPr="00064185">
              <w:rPr>
                <w:sz w:val="18"/>
                <w:szCs w:val="18"/>
              </w:rPr>
              <w:t>PD</w:t>
            </w:r>
          </w:p>
        </w:tc>
        <w:tc>
          <w:tcPr>
            <w:tcW w:w="1439" w:type="pct"/>
            <w:gridSpan w:val="2"/>
            <w:vAlign w:val="center"/>
            <w:hideMark/>
          </w:tcPr>
          <w:p w14:paraId="45CBC80F" w14:textId="77777777" w:rsidR="00504435" w:rsidRPr="00064185" w:rsidRDefault="00504435" w:rsidP="00EA61D8">
            <w:pPr>
              <w:keepNext/>
              <w:keepLines/>
              <w:tabs>
                <w:tab w:val="right" w:pos="1370"/>
              </w:tabs>
              <w:spacing w:after="40"/>
              <w:rPr>
                <w:sz w:val="18"/>
                <w:szCs w:val="18"/>
              </w:rPr>
            </w:pPr>
            <w:r w:rsidRPr="00064185">
              <w:rPr>
                <w:sz w:val="18"/>
                <w:szCs w:val="18"/>
              </w:rPr>
              <w:t>1</w:t>
            </w:r>
          </w:p>
        </w:tc>
      </w:tr>
      <w:tr w:rsidR="00064185" w:rsidRPr="00064185" w14:paraId="77A84DBB" w14:textId="77777777" w:rsidTr="00DF0EF1">
        <w:trPr>
          <w:cantSplit/>
          <w:trHeight w:val="472"/>
        </w:trPr>
        <w:tc>
          <w:tcPr>
            <w:tcW w:w="1732" w:type="pct"/>
            <w:vAlign w:val="center"/>
            <w:hideMark/>
          </w:tcPr>
          <w:p w14:paraId="23E3D1B7" w14:textId="77777777" w:rsidR="00504435" w:rsidRPr="00064185" w:rsidRDefault="00504435" w:rsidP="00EA61D8">
            <w:pPr>
              <w:keepNext/>
              <w:keepLines/>
              <w:spacing w:after="40"/>
              <w:rPr>
                <w:b/>
                <w:sz w:val="18"/>
                <w:szCs w:val="18"/>
              </w:rPr>
            </w:pPr>
            <w:r w:rsidRPr="00064185">
              <w:rPr>
                <w:b/>
                <w:sz w:val="18"/>
                <w:szCs w:val="18"/>
              </w:rPr>
              <w:t xml:space="preserve">Estimated theoretical exposure- Small insectivorous bird I </w:t>
            </w:r>
          </w:p>
          <w:p w14:paraId="75F11040" w14:textId="77777777" w:rsidR="00504435" w:rsidRPr="00064185" w:rsidRDefault="00504435" w:rsidP="00EA61D8">
            <w:pPr>
              <w:keepNext/>
              <w:keepLines/>
              <w:spacing w:after="40"/>
              <w:rPr>
                <w:b/>
                <w:sz w:val="18"/>
                <w:szCs w:val="18"/>
              </w:rPr>
            </w:pPr>
            <w:r w:rsidRPr="00064185">
              <w:rPr>
                <w:b/>
                <w:sz w:val="18"/>
                <w:szCs w:val="18"/>
              </w:rPr>
              <w:t>[mg x kg</w:t>
            </w:r>
            <w:r w:rsidRPr="00064185">
              <w:rPr>
                <w:b/>
                <w:sz w:val="18"/>
                <w:szCs w:val="18"/>
                <w:vertAlign w:val="superscript"/>
              </w:rPr>
              <w:t>-1</w:t>
            </w:r>
            <w:r w:rsidRPr="00064185">
              <w:rPr>
                <w:b/>
                <w:sz w:val="18"/>
                <w:szCs w:val="18"/>
              </w:rPr>
              <w:t>x d</w:t>
            </w:r>
            <w:r w:rsidRPr="00064185">
              <w:rPr>
                <w:b/>
                <w:sz w:val="18"/>
                <w:szCs w:val="18"/>
                <w:vertAlign w:val="superscript"/>
              </w:rPr>
              <w:t>-1</w:t>
            </w:r>
            <w:r w:rsidRPr="00064185">
              <w:rPr>
                <w:b/>
                <w:sz w:val="18"/>
                <w:szCs w:val="18"/>
              </w:rPr>
              <w:t>]*</w:t>
            </w:r>
          </w:p>
        </w:tc>
        <w:tc>
          <w:tcPr>
            <w:tcW w:w="1829" w:type="pct"/>
            <w:vMerge w:val="restart"/>
            <w:vAlign w:val="center"/>
            <w:hideMark/>
          </w:tcPr>
          <w:p w14:paraId="3C095EFC" w14:textId="77777777" w:rsidR="00504435" w:rsidRPr="00064185" w:rsidRDefault="00504435" w:rsidP="00EA61D8">
            <w:pPr>
              <w:keepNext/>
              <w:keepLines/>
              <w:spacing w:after="40"/>
              <w:rPr>
                <w:b/>
                <w:bCs/>
                <w:sz w:val="18"/>
                <w:szCs w:val="18"/>
              </w:rPr>
            </w:pPr>
            <w:r w:rsidRPr="00064185">
              <w:rPr>
                <w:b/>
                <w:sz w:val="18"/>
                <w:szCs w:val="18"/>
              </w:rPr>
              <w:t>ETE= C</w:t>
            </w:r>
            <w:r w:rsidRPr="00064185">
              <w:rPr>
                <w:b/>
                <w:sz w:val="18"/>
                <w:szCs w:val="18"/>
                <w:vertAlign w:val="subscript"/>
              </w:rPr>
              <w:t>ant</w:t>
            </w:r>
            <w:r w:rsidRPr="00064185">
              <w:rPr>
                <w:b/>
                <w:sz w:val="18"/>
                <w:szCs w:val="18"/>
              </w:rPr>
              <w:t xml:space="preserve"> x (FIR/bw) x AV x PT x PD</w:t>
            </w:r>
          </w:p>
        </w:tc>
        <w:tc>
          <w:tcPr>
            <w:tcW w:w="720" w:type="pct"/>
            <w:shd w:val="clear" w:color="auto" w:fill="auto"/>
            <w:vAlign w:val="center"/>
            <w:hideMark/>
          </w:tcPr>
          <w:p w14:paraId="4E8DCD93" w14:textId="22C13EB3" w:rsidR="00504435" w:rsidRPr="00064185" w:rsidRDefault="00387703" w:rsidP="00EA61D8">
            <w:pPr>
              <w:keepNext/>
              <w:keepLines/>
              <w:rPr>
                <w:b/>
                <w:bCs/>
                <w:sz w:val="18"/>
                <w:szCs w:val="18"/>
              </w:rPr>
            </w:pPr>
            <w:r w:rsidRPr="00064185">
              <w:rPr>
                <w:b/>
                <w:bCs/>
                <w:sz w:val="18"/>
                <w:szCs w:val="18"/>
              </w:rPr>
              <w:t>6.05</w:t>
            </w:r>
            <w:r w:rsidR="00504435" w:rsidRPr="00064185">
              <w:rPr>
                <w:b/>
                <w:bCs/>
                <w:sz w:val="18"/>
                <w:szCs w:val="18"/>
              </w:rPr>
              <w:t xml:space="preserve"> </w:t>
            </w:r>
            <w:r w:rsidR="00504435" w:rsidRPr="00064185">
              <w:rPr>
                <w:b/>
                <w:sz w:val="18"/>
                <w:szCs w:val="18"/>
              </w:rPr>
              <w:t>x 10</w:t>
            </w:r>
            <w:r w:rsidR="00504435" w:rsidRPr="00064185">
              <w:rPr>
                <w:b/>
                <w:sz w:val="18"/>
                <w:szCs w:val="18"/>
                <w:vertAlign w:val="superscript"/>
              </w:rPr>
              <w:t>-</w:t>
            </w:r>
            <w:r w:rsidRPr="00064185">
              <w:rPr>
                <w:b/>
                <w:sz w:val="18"/>
                <w:szCs w:val="18"/>
                <w:vertAlign w:val="superscript"/>
              </w:rPr>
              <w:t>9</w:t>
            </w:r>
          </w:p>
        </w:tc>
        <w:tc>
          <w:tcPr>
            <w:tcW w:w="719" w:type="pct"/>
            <w:shd w:val="clear" w:color="auto" w:fill="auto"/>
            <w:vAlign w:val="center"/>
            <w:hideMark/>
          </w:tcPr>
          <w:p w14:paraId="31146D0D" w14:textId="3052B301" w:rsidR="00504435" w:rsidRPr="00064185" w:rsidRDefault="00387703" w:rsidP="00EA61D8">
            <w:pPr>
              <w:keepNext/>
              <w:keepLines/>
              <w:rPr>
                <w:b/>
                <w:bCs/>
                <w:sz w:val="18"/>
                <w:szCs w:val="18"/>
              </w:rPr>
            </w:pPr>
            <w:r w:rsidRPr="00064185">
              <w:rPr>
                <w:b/>
                <w:bCs/>
                <w:sz w:val="18"/>
                <w:szCs w:val="18"/>
              </w:rPr>
              <w:t>3.38</w:t>
            </w:r>
            <w:r w:rsidR="00504435" w:rsidRPr="00064185">
              <w:rPr>
                <w:b/>
                <w:bCs/>
                <w:sz w:val="18"/>
                <w:szCs w:val="18"/>
              </w:rPr>
              <w:t xml:space="preserve"> </w:t>
            </w:r>
            <w:r w:rsidR="00504435" w:rsidRPr="00064185">
              <w:rPr>
                <w:b/>
                <w:sz w:val="18"/>
                <w:szCs w:val="18"/>
              </w:rPr>
              <w:t>x 10</w:t>
            </w:r>
            <w:r w:rsidR="00504435" w:rsidRPr="00064185">
              <w:rPr>
                <w:b/>
                <w:sz w:val="18"/>
                <w:szCs w:val="18"/>
                <w:vertAlign w:val="superscript"/>
              </w:rPr>
              <w:t>-</w:t>
            </w:r>
            <w:r w:rsidRPr="00064185">
              <w:rPr>
                <w:b/>
                <w:sz w:val="18"/>
                <w:szCs w:val="18"/>
                <w:vertAlign w:val="superscript"/>
              </w:rPr>
              <w:t>9</w:t>
            </w:r>
          </w:p>
        </w:tc>
      </w:tr>
      <w:tr w:rsidR="00064185" w:rsidRPr="00064185" w14:paraId="4DD34231" w14:textId="77777777" w:rsidTr="00DF0EF1">
        <w:trPr>
          <w:cantSplit/>
          <w:trHeight w:val="472"/>
        </w:trPr>
        <w:tc>
          <w:tcPr>
            <w:tcW w:w="1732" w:type="pct"/>
            <w:vAlign w:val="center"/>
            <w:hideMark/>
          </w:tcPr>
          <w:p w14:paraId="0EBB001D" w14:textId="77777777" w:rsidR="00504435" w:rsidRPr="00064185" w:rsidRDefault="00504435" w:rsidP="00EA61D8">
            <w:pPr>
              <w:keepNext/>
              <w:keepLines/>
              <w:spacing w:after="40"/>
              <w:rPr>
                <w:b/>
                <w:sz w:val="18"/>
                <w:szCs w:val="18"/>
              </w:rPr>
            </w:pPr>
            <w:r w:rsidRPr="00064185">
              <w:rPr>
                <w:b/>
                <w:sz w:val="18"/>
                <w:szCs w:val="18"/>
              </w:rPr>
              <w:t xml:space="preserve">Estimated theoretical exposure- Small insectivorous bird II </w:t>
            </w:r>
          </w:p>
          <w:p w14:paraId="370011B5" w14:textId="129633A7" w:rsidR="00504435" w:rsidRPr="00064185" w:rsidRDefault="00504435" w:rsidP="00EA61D8">
            <w:pPr>
              <w:keepNext/>
              <w:keepLines/>
              <w:spacing w:after="40"/>
              <w:rPr>
                <w:b/>
                <w:sz w:val="18"/>
                <w:szCs w:val="18"/>
              </w:rPr>
            </w:pPr>
            <w:r w:rsidRPr="00064185">
              <w:rPr>
                <w:b/>
                <w:sz w:val="18"/>
                <w:szCs w:val="18"/>
              </w:rPr>
              <w:t>[mg x kg</w:t>
            </w:r>
            <w:r w:rsidR="00B30BB3" w:rsidRPr="00064185">
              <w:rPr>
                <w:b/>
                <w:sz w:val="18"/>
                <w:szCs w:val="18"/>
                <w:vertAlign w:val="subscript"/>
              </w:rPr>
              <w:t>bw</w:t>
            </w:r>
            <w:r w:rsidRPr="00064185">
              <w:rPr>
                <w:b/>
                <w:sz w:val="18"/>
                <w:szCs w:val="18"/>
                <w:vertAlign w:val="superscript"/>
              </w:rPr>
              <w:t>-1</w:t>
            </w:r>
            <w:r w:rsidRPr="00064185">
              <w:rPr>
                <w:b/>
                <w:sz w:val="18"/>
                <w:szCs w:val="18"/>
              </w:rPr>
              <w:t>x d</w:t>
            </w:r>
            <w:r w:rsidRPr="00064185">
              <w:rPr>
                <w:b/>
                <w:sz w:val="18"/>
                <w:szCs w:val="18"/>
                <w:vertAlign w:val="superscript"/>
              </w:rPr>
              <w:t>-1</w:t>
            </w:r>
            <w:r w:rsidRPr="00064185">
              <w:rPr>
                <w:b/>
                <w:sz w:val="18"/>
                <w:szCs w:val="18"/>
              </w:rPr>
              <w:t>]</w:t>
            </w:r>
          </w:p>
        </w:tc>
        <w:tc>
          <w:tcPr>
            <w:tcW w:w="1829" w:type="pct"/>
            <w:vMerge/>
            <w:vAlign w:val="center"/>
            <w:hideMark/>
          </w:tcPr>
          <w:p w14:paraId="18B416F0" w14:textId="77777777" w:rsidR="00504435" w:rsidRPr="00064185" w:rsidRDefault="00504435" w:rsidP="00EA61D8">
            <w:pPr>
              <w:rPr>
                <w:b/>
                <w:bCs/>
                <w:sz w:val="18"/>
                <w:szCs w:val="18"/>
              </w:rPr>
            </w:pPr>
          </w:p>
        </w:tc>
        <w:tc>
          <w:tcPr>
            <w:tcW w:w="720" w:type="pct"/>
            <w:shd w:val="clear" w:color="auto" w:fill="auto"/>
            <w:vAlign w:val="center"/>
            <w:hideMark/>
          </w:tcPr>
          <w:p w14:paraId="4FE0A1EB" w14:textId="14B664A3" w:rsidR="00504435" w:rsidRPr="00064185" w:rsidRDefault="00504435" w:rsidP="00EA61D8">
            <w:pPr>
              <w:keepNext/>
              <w:keepLines/>
              <w:rPr>
                <w:b/>
                <w:bCs/>
                <w:sz w:val="18"/>
                <w:szCs w:val="18"/>
              </w:rPr>
            </w:pPr>
            <w:r w:rsidRPr="00064185">
              <w:rPr>
                <w:b/>
                <w:bCs/>
                <w:sz w:val="18"/>
                <w:szCs w:val="18"/>
              </w:rPr>
              <w:t>1.</w:t>
            </w:r>
            <w:r w:rsidR="00387703" w:rsidRPr="00064185">
              <w:rPr>
                <w:b/>
                <w:bCs/>
                <w:sz w:val="18"/>
                <w:szCs w:val="18"/>
              </w:rPr>
              <w:t>17</w:t>
            </w:r>
            <w:r w:rsidRPr="00064185">
              <w:rPr>
                <w:b/>
                <w:bCs/>
                <w:sz w:val="18"/>
                <w:szCs w:val="18"/>
              </w:rPr>
              <w:t xml:space="preserve"> </w:t>
            </w:r>
            <w:r w:rsidRPr="00064185">
              <w:rPr>
                <w:b/>
                <w:sz w:val="18"/>
                <w:szCs w:val="18"/>
              </w:rPr>
              <w:t>x 10</w:t>
            </w:r>
            <w:r w:rsidRPr="00064185">
              <w:rPr>
                <w:b/>
                <w:sz w:val="18"/>
                <w:szCs w:val="18"/>
                <w:vertAlign w:val="superscript"/>
              </w:rPr>
              <w:t>-</w:t>
            </w:r>
            <w:r w:rsidR="00387703" w:rsidRPr="00064185">
              <w:rPr>
                <w:b/>
                <w:sz w:val="18"/>
                <w:szCs w:val="18"/>
                <w:vertAlign w:val="superscript"/>
              </w:rPr>
              <w:t>9</w:t>
            </w:r>
          </w:p>
        </w:tc>
        <w:tc>
          <w:tcPr>
            <w:tcW w:w="719" w:type="pct"/>
            <w:shd w:val="clear" w:color="auto" w:fill="auto"/>
            <w:vAlign w:val="center"/>
            <w:hideMark/>
          </w:tcPr>
          <w:p w14:paraId="77B09F11" w14:textId="04706B62" w:rsidR="00504435" w:rsidRPr="00064185" w:rsidRDefault="0014412B" w:rsidP="00EA61D8">
            <w:pPr>
              <w:keepNext/>
              <w:keepLines/>
              <w:rPr>
                <w:b/>
                <w:bCs/>
                <w:sz w:val="18"/>
                <w:szCs w:val="18"/>
              </w:rPr>
            </w:pPr>
            <w:r w:rsidRPr="00064185">
              <w:rPr>
                <w:b/>
                <w:bCs/>
                <w:sz w:val="18"/>
                <w:szCs w:val="18"/>
              </w:rPr>
              <w:t>0</w:t>
            </w:r>
            <w:r w:rsidR="00504435" w:rsidRPr="00064185">
              <w:rPr>
                <w:b/>
                <w:bCs/>
                <w:sz w:val="18"/>
                <w:szCs w:val="18"/>
              </w:rPr>
              <w:t>.</w:t>
            </w:r>
            <w:r w:rsidRPr="00064185">
              <w:rPr>
                <w:b/>
                <w:bCs/>
                <w:sz w:val="18"/>
                <w:szCs w:val="18"/>
              </w:rPr>
              <w:t>65</w:t>
            </w:r>
            <w:r w:rsidR="00504435" w:rsidRPr="00064185">
              <w:rPr>
                <w:b/>
                <w:bCs/>
                <w:sz w:val="18"/>
                <w:szCs w:val="18"/>
              </w:rPr>
              <w:t xml:space="preserve"> </w:t>
            </w:r>
            <w:r w:rsidR="00504435" w:rsidRPr="00064185">
              <w:rPr>
                <w:b/>
                <w:sz w:val="18"/>
                <w:szCs w:val="18"/>
              </w:rPr>
              <w:t>x 10</w:t>
            </w:r>
            <w:r w:rsidR="00504435" w:rsidRPr="00064185">
              <w:rPr>
                <w:b/>
                <w:sz w:val="18"/>
                <w:szCs w:val="18"/>
                <w:vertAlign w:val="superscript"/>
              </w:rPr>
              <w:t>-</w:t>
            </w:r>
            <w:r w:rsidR="00387703" w:rsidRPr="00064185">
              <w:rPr>
                <w:b/>
                <w:sz w:val="18"/>
                <w:szCs w:val="18"/>
                <w:vertAlign w:val="superscript"/>
              </w:rPr>
              <w:t>9</w:t>
            </w:r>
          </w:p>
        </w:tc>
      </w:tr>
    </w:tbl>
    <w:p w14:paraId="3C9F24BF" w14:textId="77777777" w:rsidR="00504435" w:rsidRPr="00064185" w:rsidRDefault="00504435" w:rsidP="006A7704">
      <w:pPr>
        <w:pStyle w:val="Textkrper2"/>
        <w:jc w:val="both"/>
        <w:rPr>
          <w:i w:val="0"/>
          <w:color w:val="auto"/>
          <w:sz w:val="16"/>
          <w:szCs w:val="16"/>
        </w:rPr>
      </w:pPr>
      <w:r w:rsidRPr="00064185">
        <w:rPr>
          <w:i w:val="0"/>
          <w:color w:val="auto"/>
          <w:sz w:val="16"/>
          <w:szCs w:val="16"/>
        </w:rPr>
        <w:t xml:space="preserve">*Worst-case value for risk assessment </w:t>
      </w:r>
    </w:p>
    <w:p w14:paraId="40519026" w14:textId="77777777" w:rsidR="00504435" w:rsidRPr="00064185" w:rsidRDefault="00504435" w:rsidP="006A7704">
      <w:pPr>
        <w:pStyle w:val="Textkrper2"/>
        <w:jc w:val="both"/>
        <w:rPr>
          <w:i w:val="0"/>
          <w:color w:val="auto"/>
          <w:sz w:val="16"/>
          <w:szCs w:val="16"/>
        </w:rPr>
      </w:pPr>
      <w:r w:rsidRPr="00064185">
        <w:rPr>
          <w:i w:val="0"/>
          <w:color w:val="auto"/>
          <w:sz w:val="16"/>
          <w:szCs w:val="16"/>
        </w:rPr>
        <w:t>** For household insecticides, the application rate is usually provided as kg/m². Therefore, an additional factor of 10</w:t>
      </w:r>
      <w:r w:rsidRPr="00064185">
        <w:rPr>
          <w:i w:val="0"/>
          <w:color w:val="auto"/>
          <w:sz w:val="16"/>
          <w:szCs w:val="16"/>
          <w:vertAlign w:val="superscript"/>
        </w:rPr>
        <w:t>-4</w:t>
      </w:r>
      <w:r w:rsidRPr="00064185">
        <w:rPr>
          <w:i w:val="0"/>
          <w:color w:val="auto"/>
          <w:sz w:val="16"/>
          <w:szCs w:val="16"/>
        </w:rPr>
        <w:t xml:space="preserve"> has to be added to convert Tappl into kg/ha.</w:t>
      </w:r>
    </w:p>
    <w:p w14:paraId="4B78CBDD" w14:textId="77777777" w:rsidR="00504435" w:rsidRPr="00064185" w:rsidRDefault="00504435" w:rsidP="00EA61D8">
      <w:pPr>
        <w:rPr>
          <w:lang w:eastAsia="en-US"/>
        </w:rPr>
      </w:pPr>
    </w:p>
    <w:p w14:paraId="60CBE097" w14:textId="77777777" w:rsidR="00C2150C" w:rsidRPr="00064185" w:rsidRDefault="00C2150C" w:rsidP="00EA61D8">
      <w:pPr>
        <w:sectPr w:rsidR="00C2150C" w:rsidRPr="00064185" w:rsidSect="00F8285E">
          <w:endnotePr>
            <w:numFmt w:val="decimal"/>
          </w:endnotePr>
          <w:pgSz w:w="11907" w:h="16840" w:code="9"/>
          <w:pgMar w:top="1474" w:right="1247" w:bottom="2013" w:left="1446" w:header="850" w:footer="850" w:gutter="0"/>
          <w:cols w:space="720"/>
          <w:titlePg/>
          <w:docGrid w:linePitch="272"/>
        </w:sectPr>
      </w:pPr>
    </w:p>
    <w:p w14:paraId="73F5E980" w14:textId="77777777" w:rsidR="00BF1288" w:rsidRPr="00064185" w:rsidRDefault="00BF1288" w:rsidP="006A7704">
      <w:pPr>
        <w:jc w:val="both"/>
        <w:rPr>
          <w:b/>
          <w:bCs/>
        </w:rPr>
      </w:pPr>
      <w:r w:rsidRPr="00064185">
        <w:rPr>
          <w:b/>
          <w:bCs/>
        </w:rPr>
        <w:lastRenderedPageBreak/>
        <w:t>Secondary poisoning via the consumption of contaminated worms</w:t>
      </w:r>
    </w:p>
    <w:p w14:paraId="3C0BC458" w14:textId="77777777" w:rsidR="00BF1288" w:rsidRPr="00064185" w:rsidRDefault="00BF1288" w:rsidP="006A7704">
      <w:pPr>
        <w:jc w:val="both"/>
      </w:pPr>
      <w:r w:rsidRPr="00064185">
        <w:t xml:space="preserve">The assessment of secondary poisoning via the consumption of contaminated worms is calculated according to the TGD (2003). </w:t>
      </w:r>
    </w:p>
    <w:p w14:paraId="2A782CBA" w14:textId="6BF9ACF4" w:rsidR="00BF1288" w:rsidRPr="00064185" w:rsidRDefault="00BF1288" w:rsidP="006A7704">
      <w:pPr>
        <w:pStyle w:val="Textkrper2"/>
        <w:jc w:val="both"/>
        <w:rPr>
          <w:i w:val="0"/>
          <w:color w:val="auto"/>
        </w:rPr>
      </w:pPr>
      <w:r w:rsidRPr="00064185">
        <w:rPr>
          <w:i w:val="0"/>
          <w:color w:val="auto"/>
        </w:rPr>
        <w:t xml:space="preserve">As input parameter </w:t>
      </w:r>
      <w:r w:rsidR="00020701" w:rsidRPr="00064185">
        <w:rPr>
          <w:i w:val="0"/>
          <w:color w:val="auto"/>
        </w:rPr>
        <w:t>worst case estimates of</w:t>
      </w:r>
      <w:r w:rsidRPr="00064185">
        <w:rPr>
          <w:i w:val="0"/>
          <w:color w:val="auto"/>
        </w:rPr>
        <w:t xml:space="preserve"> concentrations in the receiving soil compartment </w:t>
      </w:r>
      <w:r w:rsidR="0059219E" w:rsidRPr="00064185">
        <w:rPr>
          <w:i w:val="0"/>
          <w:color w:val="auto"/>
        </w:rPr>
        <w:t>after STP sludge applications</w:t>
      </w:r>
      <w:r w:rsidR="00133189" w:rsidRPr="00064185">
        <w:rPr>
          <w:i w:val="0"/>
          <w:color w:val="auto"/>
        </w:rPr>
        <w:t xml:space="preserve"> </w:t>
      </w:r>
      <w:r w:rsidR="00641775" w:rsidRPr="00064185">
        <w:rPr>
          <w:i w:val="0"/>
          <w:color w:val="auto"/>
        </w:rPr>
        <w:t xml:space="preserve">and after wash-off to soil by rainfall </w:t>
      </w:r>
      <w:r w:rsidRPr="00064185">
        <w:rPr>
          <w:i w:val="0"/>
          <w:color w:val="auto"/>
        </w:rPr>
        <w:t>are included as well as the BCF in earthworms, the concentration in pore water, the fraction of gut loading in worm and the conversion factor for soil concentration wet-dry/weight soil.</w:t>
      </w:r>
      <w:r w:rsidR="005C0325" w:rsidRPr="00064185">
        <w:rPr>
          <w:i w:val="0"/>
          <w:color w:val="auto"/>
        </w:rPr>
        <w:t xml:space="preserve"> A reduction of the concentrations in soil or pore water due to use of the biocide on a limited area was not considered. </w:t>
      </w:r>
      <w:r w:rsidRPr="00064185">
        <w:rPr>
          <w:i w:val="0"/>
          <w:color w:val="auto"/>
        </w:rPr>
        <w:t>For calculating the bioconcentration factor, a</w:t>
      </w:r>
      <w:r w:rsidR="008D023E" w:rsidRPr="00064185">
        <w:rPr>
          <w:i w:val="0"/>
          <w:color w:val="auto"/>
        </w:rPr>
        <w:t>n</w:t>
      </w:r>
      <w:r w:rsidRPr="00064185">
        <w:rPr>
          <w:i w:val="0"/>
          <w:color w:val="auto"/>
        </w:rPr>
        <w:t xml:space="preserve"> octanol/wat</w:t>
      </w:r>
      <w:r w:rsidR="00406157" w:rsidRPr="00064185">
        <w:rPr>
          <w:i w:val="0"/>
          <w:color w:val="auto"/>
        </w:rPr>
        <w:t>er partition coefficient of log</w:t>
      </w:r>
      <w:r w:rsidR="008D023E" w:rsidRPr="00064185">
        <w:rPr>
          <w:i w:val="0"/>
          <w:color w:val="auto"/>
        </w:rPr>
        <w:t xml:space="preserve"> </w:t>
      </w:r>
      <w:r w:rsidR="00406157" w:rsidRPr="00064185">
        <w:rPr>
          <w:i w:val="0"/>
          <w:color w:val="auto"/>
        </w:rPr>
        <w:t>K</w:t>
      </w:r>
      <w:r w:rsidR="000744C6" w:rsidRPr="00064185">
        <w:rPr>
          <w:i w:val="0"/>
          <w:color w:val="auto"/>
          <w:vertAlign w:val="subscript"/>
        </w:rPr>
        <w:t>ow</w:t>
      </w:r>
      <w:r w:rsidRPr="00064185">
        <w:rPr>
          <w:i w:val="0"/>
          <w:color w:val="auto"/>
        </w:rPr>
        <w:t xml:space="preserve">=7 is taken. </w:t>
      </w:r>
    </w:p>
    <w:p w14:paraId="614912C9" w14:textId="77777777" w:rsidR="00C2150C" w:rsidRPr="00064185" w:rsidRDefault="00C2150C" w:rsidP="00EA61D8">
      <w:pPr>
        <w:pStyle w:val="Textkrper2"/>
        <w:rPr>
          <w:i w:val="0"/>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9"/>
        <w:gridCol w:w="2835"/>
        <w:gridCol w:w="1134"/>
        <w:gridCol w:w="142"/>
        <w:gridCol w:w="1276"/>
        <w:gridCol w:w="283"/>
        <w:gridCol w:w="993"/>
        <w:gridCol w:w="141"/>
        <w:gridCol w:w="1276"/>
        <w:gridCol w:w="142"/>
        <w:gridCol w:w="1232"/>
      </w:tblGrid>
      <w:tr w:rsidR="00064185" w:rsidRPr="00064185" w14:paraId="11A48D03" w14:textId="77777777" w:rsidTr="00C2150C">
        <w:trPr>
          <w:cantSplit/>
          <w:trHeight w:val="719"/>
          <w:jc w:val="center"/>
        </w:trPr>
        <w:tc>
          <w:tcPr>
            <w:tcW w:w="0" w:type="auto"/>
            <w:gridSpan w:val="11"/>
            <w:shd w:val="clear" w:color="auto" w:fill="FFFFCC"/>
            <w:noWrap/>
            <w:vAlign w:val="center"/>
          </w:tcPr>
          <w:p w14:paraId="7510694C" w14:textId="435A5804" w:rsidR="00BF1288" w:rsidRPr="00064185" w:rsidRDefault="004C0F08" w:rsidP="00EA61D8">
            <w:pPr>
              <w:keepNext/>
              <w:rPr>
                <w:b/>
                <w:bCs/>
              </w:rPr>
            </w:pPr>
            <w:r w:rsidRPr="00064185">
              <w:rPr>
                <w:b/>
              </w:rPr>
              <w:t xml:space="preserve">Worst case </w:t>
            </w:r>
            <w:r w:rsidR="00020701" w:rsidRPr="00064185">
              <w:rPr>
                <w:b/>
              </w:rPr>
              <w:t>c</w:t>
            </w:r>
            <w:r w:rsidR="00BF1288" w:rsidRPr="00064185">
              <w:rPr>
                <w:b/>
              </w:rPr>
              <w:t>alculation of the predicted environmental concentration in earthworms (</w:t>
            </w:r>
            <w:r w:rsidR="00BF1288" w:rsidRPr="00064185">
              <w:rPr>
                <w:b/>
                <w:i/>
              </w:rPr>
              <w:t>cf</w:t>
            </w:r>
            <w:r w:rsidR="00BF1288" w:rsidRPr="00064185">
              <w:rPr>
                <w:b/>
              </w:rPr>
              <w:t>. TGD,</w:t>
            </w:r>
            <w:r w:rsidR="00C2150C" w:rsidRPr="00064185">
              <w:rPr>
                <w:b/>
              </w:rPr>
              <w:t xml:space="preserve"> </w:t>
            </w:r>
            <w:r w:rsidR="00BF1288" w:rsidRPr="00064185">
              <w:rPr>
                <w:b/>
              </w:rPr>
              <w:t>Equation 82b-d)</w:t>
            </w:r>
          </w:p>
        </w:tc>
      </w:tr>
      <w:tr w:rsidR="00064185" w:rsidRPr="00064185" w14:paraId="75D91E3E" w14:textId="77777777" w:rsidTr="00525427">
        <w:trPr>
          <w:cantSplit/>
          <w:trHeight w:val="301"/>
          <w:jc w:val="center"/>
        </w:trPr>
        <w:tc>
          <w:tcPr>
            <w:tcW w:w="4039" w:type="dxa"/>
            <w:vMerge w:val="restart"/>
            <w:noWrap/>
            <w:vAlign w:val="center"/>
            <w:hideMark/>
          </w:tcPr>
          <w:p w14:paraId="5075BA69" w14:textId="77777777" w:rsidR="00942016" w:rsidRPr="00064185" w:rsidRDefault="00942016" w:rsidP="00EA61D8">
            <w:pPr>
              <w:keepNext/>
              <w:rPr>
                <w:rFonts w:ascii="Arial" w:hAnsi="Arial" w:cs="Arial"/>
                <w:sz w:val="18"/>
                <w:szCs w:val="18"/>
              </w:rPr>
            </w:pPr>
            <w:r w:rsidRPr="00064185">
              <w:rPr>
                <w:b/>
                <w:bCs/>
                <w:sz w:val="18"/>
                <w:szCs w:val="18"/>
              </w:rPr>
              <w:t>Parameter</w:t>
            </w:r>
          </w:p>
        </w:tc>
        <w:tc>
          <w:tcPr>
            <w:tcW w:w="2835" w:type="dxa"/>
            <w:vMerge w:val="restart"/>
            <w:vAlign w:val="center"/>
            <w:hideMark/>
          </w:tcPr>
          <w:p w14:paraId="4F7D3D90" w14:textId="77777777" w:rsidR="00942016" w:rsidRPr="00064185" w:rsidRDefault="00942016" w:rsidP="00EA61D8">
            <w:pPr>
              <w:keepNext/>
              <w:rPr>
                <w:b/>
                <w:bCs/>
                <w:sz w:val="18"/>
                <w:szCs w:val="18"/>
              </w:rPr>
            </w:pPr>
            <w:r w:rsidRPr="00064185">
              <w:rPr>
                <w:b/>
                <w:bCs/>
                <w:sz w:val="18"/>
                <w:szCs w:val="18"/>
              </w:rPr>
              <w:t>Definition</w:t>
            </w:r>
          </w:p>
        </w:tc>
        <w:tc>
          <w:tcPr>
            <w:tcW w:w="3828" w:type="dxa"/>
            <w:gridSpan w:val="5"/>
            <w:vAlign w:val="center"/>
            <w:hideMark/>
          </w:tcPr>
          <w:p w14:paraId="11FC3F93" w14:textId="676594F9" w:rsidR="00942016" w:rsidRPr="00064185" w:rsidRDefault="00942016" w:rsidP="00EA61D8">
            <w:pPr>
              <w:keepNext/>
              <w:rPr>
                <w:bCs/>
                <w:sz w:val="18"/>
                <w:szCs w:val="18"/>
              </w:rPr>
            </w:pPr>
            <w:r w:rsidRPr="00064185">
              <w:rPr>
                <w:b/>
                <w:bCs/>
                <w:sz w:val="18"/>
                <w:szCs w:val="18"/>
              </w:rPr>
              <w:t>Indoor use</w:t>
            </w:r>
            <w:r w:rsidR="002D0D6D" w:rsidRPr="00064185">
              <w:rPr>
                <w:b/>
                <w:bCs/>
                <w:sz w:val="18"/>
                <w:szCs w:val="18"/>
                <w:vertAlign w:val="superscript"/>
              </w:rPr>
              <w:t>*</w:t>
            </w:r>
          </w:p>
        </w:tc>
        <w:tc>
          <w:tcPr>
            <w:tcW w:w="2791" w:type="dxa"/>
            <w:gridSpan w:val="4"/>
            <w:vAlign w:val="center"/>
          </w:tcPr>
          <w:p w14:paraId="12AF9AFA" w14:textId="1A07F881" w:rsidR="00942016" w:rsidRPr="00064185" w:rsidRDefault="00942016" w:rsidP="00EA61D8">
            <w:pPr>
              <w:keepNext/>
              <w:rPr>
                <w:bCs/>
                <w:sz w:val="18"/>
                <w:szCs w:val="18"/>
              </w:rPr>
            </w:pPr>
            <w:r w:rsidRPr="00064185">
              <w:rPr>
                <w:b/>
                <w:bCs/>
                <w:sz w:val="18"/>
                <w:szCs w:val="18"/>
              </w:rPr>
              <w:t>Outdoor use</w:t>
            </w:r>
          </w:p>
        </w:tc>
      </w:tr>
      <w:tr w:rsidR="00064185" w:rsidRPr="00064185" w14:paraId="51E765AB" w14:textId="77777777" w:rsidTr="00525427">
        <w:trPr>
          <w:cantSplit/>
          <w:trHeight w:val="300"/>
          <w:jc w:val="center"/>
        </w:trPr>
        <w:tc>
          <w:tcPr>
            <w:tcW w:w="4039" w:type="dxa"/>
            <w:vMerge/>
            <w:noWrap/>
            <w:vAlign w:val="center"/>
          </w:tcPr>
          <w:p w14:paraId="127EB251" w14:textId="77777777" w:rsidR="00942016" w:rsidRPr="00064185" w:rsidRDefault="00942016" w:rsidP="00EA61D8">
            <w:pPr>
              <w:keepNext/>
              <w:rPr>
                <w:b/>
                <w:bCs/>
                <w:sz w:val="18"/>
                <w:szCs w:val="18"/>
              </w:rPr>
            </w:pPr>
          </w:p>
        </w:tc>
        <w:tc>
          <w:tcPr>
            <w:tcW w:w="2835" w:type="dxa"/>
            <w:vMerge/>
            <w:vAlign w:val="center"/>
          </w:tcPr>
          <w:p w14:paraId="218B84BA" w14:textId="77777777" w:rsidR="00942016" w:rsidRPr="00064185" w:rsidRDefault="00942016" w:rsidP="00EA61D8">
            <w:pPr>
              <w:keepNext/>
              <w:rPr>
                <w:b/>
                <w:bCs/>
                <w:sz w:val="18"/>
                <w:szCs w:val="18"/>
              </w:rPr>
            </w:pPr>
          </w:p>
        </w:tc>
        <w:tc>
          <w:tcPr>
            <w:tcW w:w="1134" w:type="dxa"/>
            <w:vAlign w:val="center"/>
          </w:tcPr>
          <w:p w14:paraId="10379D5B" w14:textId="66AD8C86" w:rsidR="00942016" w:rsidRPr="00064185" w:rsidRDefault="00942016" w:rsidP="00EA61D8">
            <w:pPr>
              <w:keepNext/>
              <w:rPr>
                <w:bCs/>
                <w:sz w:val="18"/>
                <w:szCs w:val="18"/>
              </w:rPr>
            </w:pPr>
            <w:r w:rsidRPr="00064185">
              <w:rPr>
                <w:b/>
                <w:bCs/>
                <w:sz w:val="18"/>
                <w:szCs w:val="18"/>
              </w:rPr>
              <w:t>Ants</w:t>
            </w:r>
            <w:r w:rsidR="004C0F08" w:rsidRPr="00064185">
              <w:rPr>
                <w:bCs/>
                <w:sz w:val="16"/>
                <w:szCs w:val="16"/>
              </w:rPr>
              <w:t xml:space="preserve"> residual treatmant</w:t>
            </w:r>
          </w:p>
        </w:tc>
        <w:tc>
          <w:tcPr>
            <w:tcW w:w="1418" w:type="dxa"/>
            <w:gridSpan w:val="2"/>
            <w:vAlign w:val="center"/>
          </w:tcPr>
          <w:p w14:paraId="409C5306" w14:textId="2A308A99" w:rsidR="00942016" w:rsidRPr="00064185" w:rsidRDefault="00942016" w:rsidP="00EA61D8">
            <w:pPr>
              <w:keepNext/>
              <w:rPr>
                <w:bCs/>
                <w:sz w:val="18"/>
                <w:szCs w:val="18"/>
              </w:rPr>
            </w:pPr>
            <w:r w:rsidRPr="00064185">
              <w:rPr>
                <w:b/>
                <w:bCs/>
                <w:sz w:val="18"/>
                <w:szCs w:val="18"/>
              </w:rPr>
              <w:t>Silverfish &amp; Cockroaches</w:t>
            </w:r>
            <w:r w:rsidR="004C0F08" w:rsidRPr="00064185">
              <w:rPr>
                <w:bCs/>
                <w:sz w:val="18"/>
                <w:szCs w:val="18"/>
              </w:rPr>
              <w:t xml:space="preserve"> </w:t>
            </w:r>
            <w:r w:rsidR="004C0F08" w:rsidRPr="00064185">
              <w:rPr>
                <w:bCs/>
                <w:sz w:val="16"/>
                <w:szCs w:val="16"/>
              </w:rPr>
              <w:t>on target organisms</w:t>
            </w:r>
            <w:r w:rsidR="00DB01A0" w:rsidRPr="00064185">
              <w:rPr>
                <w:bCs/>
                <w:sz w:val="16"/>
                <w:szCs w:val="16"/>
              </w:rPr>
              <w:t>, weekly</w:t>
            </w:r>
          </w:p>
        </w:tc>
        <w:tc>
          <w:tcPr>
            <w:tcW w:w="1276" w:type="dxa"/>
            <w:gridSpan w:val="2"/>
            <w:vAlign w:val="center"/>
          </w:tcPr>
          <w:p w14:paraId="4829D20A" w14:textId="73A2ACF2" w:rsidR="00942016" w:rsidRPr="00064185" w:rsidRDefault="00942016" w:rsidP="00EA61D8">
            <w:pPr>
              <w:keepNext/>
              <w:rPr>
                <w:bCs/>
                <w:sz w:val="18"/>
                <w:szCs w:val="18"/>
              </w:rPr>
            </w:pPr>
            <w:r w:rsidRPr="00064185">
              <w:rPr>
                <w:b/>
                <w:bCs/>
                <w:sz w:val="18"/>
                <w:szCs w:val="18"/>
              </w:rPr>
              <w:t>Wood lice</w:t>
            </w:r>
            <w:r w:rsidR="004C0F08" w:rsidRPr="00064185">
              <w:rPr>
                <w:bCs/>
                <w:sz w:val="18"/>
                <w:szCs w:val="18"/>
              </w:rPr>
              <w:t xml:space="preserve"> </w:t>
            </w:r>
            <w:r w:rsidR="004C0F08" w:rsidRPr="00064185">
              <w:rPr>
                <w:bCs/>
                <w:sz w:val="16"/>
                <w:szCs w:val="16"/>
              </w:rPr>
              <w:t>on target organisms</w:t>
            </w:r>
            <w:r w:rsidR="00DB01A0" w:rsidRPr="00064185">
              <w:rPr>
                <w:bCs/>
                <w:sz w:val="16"/>
                <w:szCs w:val="16"/>
              </w:rPr>
              <w:t>, twice a year</w:t>
            </w:r>
            <w:r w:rsidR="00DB01A0" w:rsidRPr="00064185">
              <w:rPr>
                <w:bCs/>
                <w:sz w:val="18"/>
                <w:szCs w:val="18"/>
              </w:rPr>
              <w:t xml:space="preserve"> </w:t>
            </w:r>
          </w:p>
        </w:tc>
        <w:tc>
          <w:tcPr>
            <w:tcW w:w="1417" w:type="dxa"/>
            <w:gridSpan w:val="2"/>
            <w:vAlign w:val="center"/>
          </w:tcPr>
          <w:p w14:paraId="7535357C" w14:textId="77777777" w:rsidR="00942016" w:rsidRPr="00064185" w:rsidRDefault="00942016" w:rsidP="00EA61D8">
            <w:pPr>
              <w:keepNext/>
              <w:rPr>
                <w:b/>
                <w:bCs/>
                <w:sz w:val="18"/>
                <w:szCs w:val="18"/>
              </w:rPr>
            </w:pPr>
            <w:r w:rsidRPr="00064185">
              <w:rPr>
                <w:b/>
                <w:bCs/>
                <w:sz w:val="18"/>
                <w:szCs w:val="18"/>
              </w:rPr>
              <w:t>Ants</w:t>
            </w:r>
          </w:p>
          <w:p w14:paraId="076BA0B4" w14:textId="23948B69" w:rsidR="00942016" w:rsidRPr="00064185" w:rsidRDefault="00942016" w:rsidP="00EA61D8">
            <w:pPr>
              <w:keepNext/>
              <w:rPr>
                <w:bCs/>
                <w:sz w:val="18"/>
                <w:szCs w:val="18"/>
              </w:rPr>
            </w:pPr>
            <w:r w:rsidRPr="00064185">
              <w:rPr>
                <w:sz w:val="18"/>
                <w:szCs w:val="18"/>
              </w:rPr>
              <w:t>(urban area)</w:t>
            </w:r>
            <w:r w:rsidR="004C0F08" w:rsidRPr="00064185">
              <w:rPr>
                <w:sz w:val="18"/>
                <w:szCs w:val="18"/>
              </w:rPr>
              <w:t xml:space="preserve">, </w:t>
            </w:r>
            <w:r w:rsidR="004C0F08" w:rsidRPr="00064185">
              <w:rPr>
                <w:sz w:val="16"/>
                <w:szCs w:val="16"/>
              </w:rPr>
              <w:t>residual treatment</w:t>
            </w:r>
          </w:p>
        </w:tc>
        <w:tc>
          <w:tcPr>
            <w:tcW w:w="1374" w:type="dxa"/>
            <w:gridSpan w:val="2"/>
            <w:vAlign w:val="center"/>
          </w:tcPr>
          <w:p w14:paraId="328B3C07" w14:textId="77777777" w:rsidR="00942016" w:rsidRPr="00064185" w:rsidRDefault="00942016" w:rsidP="00EA61D8">
            <w:pPr>
              <w:keepNext/>
              <w:rPr>
                <w:b/>
                <w:bCs/>
                <w:sz w:val="18"/>
                <w:szCs w:val="18"/>
              </w:rPr>
            </w:pPr>
            <w:r w:rsidRPr="00064185">
              <w:rPr>
                <w:b/>
                <w:bCs/>
                <w:sz w:val="18"/>
                <w:szCs w:val="18"/>
              </w:rPr>
              <w:t>Ants</w:t>
            </w:r>
          </w:p>
          <w:p w14:paraId="006F8900" w14:textId="02902B72" w:rsidR="00942016" w:rsidRPr="00064185" w:rsidRDefault="00942016" w:rsidP="00EA61D8">
            <w:pPr>
              <w:keepNext/>
              <w:rPr>
                <w:bCs/>
                <w:sz w:val="18"/>
                <w:szCs w:val="18"/>
              </w:rPr>
            </w:pPr>
            <w:r w:rsidRPr="00064185">
              <w:rPr>
                <w:sz w:val="18"/>
                <w:szCs w:val="18"/>
              </w:rPr>
              <w:t>(rural area)</w:t>
            </w:r>
            <w:r w:rsidR="004C0F08" w:rsidRPr="00064185">
              <w:rPr>
                <w:sz w:val="18"/>
                <w:szCs w:val="18"/>
              </w:rPr>
              <w:t>,</w:t>
            </w:r>
            <w:r w:rsidR="0099208E" w:rsidRPr="00064185">
              <w:rPr>
                <w:sz w:val="18"/>
                <w:szCs w:val="18"/>
              </w:rPr>
              <w:t xml:space="preserve"> </w:t>
            </w:r>
            <w:r w:rsidR="004C0F08" w:rsidRPr="00064185">
              <w:rPr>
                <w:sz w:val="16"/>
                <w:szCs w:val="16"/>
              </w:rPr>
              <w:t>residual treatment</w:t>
            </w:r>
          </w:p>
        </w:tc>
      </w:tr>
      <w:tr w:rsidR="00064185" w:rsidRPr="00064185" w14:paraId="2CCCDC7D" w14:textId="77777777" w:rsidTr="00525427">
        <w:trPr>
          <w:trHeight w:val="288"/>
          <w:jc w:val="center"/>
        </w:trPr>
        <w:tc>
          <w:tcPr>
            <w:tcW w:w="4039" w:type="dxa"/>
            <w:vAlign w:val="center"/>
            <w:hideMark/>
          </w:tcPr>
          <w:p w14:paraId="256A1DEC" w14:textId="60B1B228" w:rsidR="00942016" w:rsidRPr="00064185" w:rsidRDefault="00942016" w:rsidP="00EA61D8">
            <w:pPr>
              <w:keepNext/>
              <w:keepLines/>
              <w:tabs>
                <w:tab w:val="left" w:pos="720"/>
                <w:tab w:val="left" w:pos="2127"/>
                <w:tab w:val="left" w:pos="2552"/>
                <w:tab w:val="left" w:pos="7371"/>
                <w:tab w:val="right" w:pos="7921"/>
              </w:tabs>
              <w:rPr>
                <w:sz w:val="18"/>
                <w:szCs w:val="18"/>
              </w:rPr>
            </w:pPr>
            <w:r w:rsidRPr="00064185">
              <w:rPr>
                <w:sz w:val="18"/>
                <w:szCs w:val="18"/>
              </w:rPr>
              <w:t>Local concentration in soil due to sludge application [mg/kg</w:t>
            </w:r>
            <w:r w:rsidRPr="00064185">
              <w:rPr>
                <w:sz w:val="18"/>
                <w:szCs w:val="18"/>
                <w:vertAlign w:val="subscript"/>
              </w:rPr>
              <w:t>wwt</w:t>
            </w:r>
            <w:r w:rsidRPr="00064185">
              <w:rPr>
                <w:sz w:val="18"/>
                <w:szCs w:val="18"/>
              </w:rPr>
              <w:t>]</w:t>
            </w:r>
          </w:p>
        </w:tc>
        <w:tc>
          <w:tcPr>
            <w:tcW w:w="2835" w:type="dxa"/>
            <w:vAlign w:val="center"/>
            <w:hideMark/>
          </w:tcPr>
          <w:p w14:paraId="730AA1B3" w14:textId="1E6DBF6F" w:rsidR="00942016" w:rsidRPr="00064185" w:rsidRDefault="00942016" w:rsidP="00EA61D8">
            <w:pPr>
              <w:keepNext/>
              <w:keepLines/>
              <w:rPr>
                <w:sz w:val="18"/>
                <w:szCs w:val="18"/>
              </w:rPr>
            </w:pPr>
            <w:r w:rsidRPr="00064185">
              <w:rPr>
                <w:sz w:val="18"/>
                <w:szCs w:val="18"/>
              </w:rPr>
              <w:t>PEClocal</w:t>
            </w:r>
            <w:r w:rsidRPr="00064185">
              <w:rPr>
                <w:sz w:val="18"/>
                <w:szCs w:val="18"/>
                <w:vertAlign w:val="subscript"/>
              </w:rPr>
              <w:t>soil</w:t>
            </w:r>
          </w:p>
        </w:tc>
        <w:tc>
          <w:tcPr>
            <w:tcW w:w="1134" w:type="dxa"/>
            <w:vAlign w:val="center"/>
            <w:hideMark/>
          </w:tcPr>
          <w:p w14:paraId="3E27B24E" w14:textId="02C2B3B7" w:rsidR="00942016" w:rsidRPr="00064185" w:rsidRDefault="008C13FE" w:rsidP="00EA61D8">
            <w:pPr>
              <w:keepNext/>
              <w:tabs>
                <w:tab w:val="right" w:pos="1370"/>
              </w:tabs>
              <w:spacing w:after="40"/>
              <w:rPr>
                <w:bCs/>
                <w:sz w:val="18"/>
                <w:szCs w:val="18"/>
              </w:rPr>
            </w:pPr>
            <w:r w:rsidRPr="00064185">
              <w:rPr>
                <w:sz w:val="18"/>
              </w:rPr>
              <w:t>1.08</w:t>
            </w:r>
            <w:r w:rsidR="00942016" w:rsidRPr="00064185">
              <w:rPr>
                <w:sz w:val="18"/>
              </w:rPr>
              <w:t>E-3</w:t>
            </w:r>
          </w:p>
        </w:tc>
        <w:tc>
          <w:tcPr>
            <w:tcW w:w="1418" w:type="dxa"/>
            <w:gridSpan w:val="2"/>
            <w:vAlign w:val="center"/>
          </w:tcPr>
          <w:p w14:paraId="13F03DB2" w14:textId="29166A3D" w:rsidR="00942016" w:rsidRPr="00064185" w:rsidRDefault="00EE24C7" w:rsidP="00EA61D8">
            <w:pPr>
              <w:keepNext/>
              <w:tabs>
                <w:tab w:val="right" w:pos="1370"/>
              </w:tabs>
              <w:spacing w:after="40"/>
              <w:rPr>
                <w:sz w:val="18"/>
              </w:rPr>
            </w:pPr>
            <w:r w:rsidRPr="00064185">
              <w:rPr>
                <w:sz w:val="18"/>
              </w:rPr>
              <w:t>10.00E</w:t>
            </w:r>
            <w:r w:rsidR="00942016" w:rsidRPr="00064185">
              <w:rPr>
                <w:sz w:val="18"/>
              </w:rPr>
              <w:t>-3</w:t>
            </w:r>
          </w:p>
        </w:tc>
        <w:tc>
          <w:tcPr>
            <w:tcW w:w="1276" w:type="dxa"/>
            <w:gridSpan w:val="2"/>
            <w:vAlign w:val="center"/>
          </w:tcPr>
          <w:p w14:paraId="027B8399" w14:textId="0995D8EA" w:rsidR="00942016" w:rsidRPr="00064185" w:rsidRDefault="00EE24C7" w:rsidP="00EA61D8">
            <w:pPr>
              <w:keepNext/>
              <w:tabs>
                <w:tab w:val="right" w:pos="1370"/>
              </w:tabs>
              <w:spacing w:after="40"/>
              <w:rPr>
                <w:sz w:val="18"/>
              </w:rPr>
            </w:pPr>
            <w:r w:rsidRPr="00064185">
              <w:rPr>
                <w:sz w:val="18"/>
              </w:rPr>
              <w:t>1.02</w:t>
            </w:r>
            <w:r w:rsidR="00942016" w:rsidRPr="00064185">
              <w:rPr>
                <w:sz w:val="18"/>
              </w:rPr>
              <w:t>E-3</w:t>
            </w:r>
          </w:p>
        </w:tc>
        <w:tc>
          <w:tcPr>
            <w:tcW w:w="1417" w:type="dxa"/>
            <w:gridSpan w:val="2"/>
            <w:vAlign w:val="center"/>
          </w:tcPr>
          <w:p w14:paraId="57744552" w14:textId="1C1668EA" w:rsidR="00942016" w:rsidRPr="00064185" w:rsidRDefault="008C13FE" w:rsidP="00EA61D8">
            <w:pPr>
              <w:keepNext/>
              <w:tabs>
                <w:tab w:val="right" w:pos="1370"/>
              </w:tabs>
              <w:spacing w:after="40"/>
              <w:rPr>
                <w:sz w:val="18"/>
              </w:rPr>
            </w:pPr>
            <w:r w:rsidRPr="00064185">
              <w:rPr>
                <w:sz w:val="18"/>
              </w:rPr>
              <w:t>0.85</w:t>
            </w:r>
            <w:r w:rsidR="00942016" w:rsidRPr="00064185">
              <w:rPr>
                <w:sz w:val="18"/>
              </w:rPr>
              <w:t>E-3</w:t>
            </w:r>
          </w:p>
        </w:tc>
        <w:tc>
          <w:tcPr>
            <w:tcW w:w="1374" w:type="dxa"/>
            <w:gridSpan w:val="2"/>
            <w:vAlign w:val="center"/>
          </w:tcPr>
          <w:p w14:paraId="79EA4E5A" w14:textId="2775F3E7" w:rsidR="00942016" w:rsidRPr="00064185" w:rsidRDefault="00942016" w:rsidP="00EA61D8">
            <w:pPr>
              <w:keepNext/>
              <w:tabs>
                <w:tab w:val="right" w:pos="1370"/>
              </w:tabs>
              <w:spacing w:after="40"/>
              <w:rPr>
                <w:bCs/>
                <w:sz w:val="18"/>
                <w:szCs w:val="18"/>
              </w:rPr>
            </w:pPr>
            <w:r w:rsidRPr="00064185">
              <w:rPr>
                <w:sz w:val="18"/>
              </w:rPr>
              <w:t>3</w:t>
            </w:r>
            <w:r w:rsidRPr="00064185">
              <w:rPr>
                <w:sz w:val="18"/>
                <w:lang w:val="en-US"/>
              </w:rPr>
              <w:t>.74E-3</w:t>
            </w:r>
          </w:p>
        </w:tc>
      </w:tr>
      <w:tr w:rsidR="00064185" w:rsidRPr="00064185" w14:paraId="4FDF05E8" w14:textId="77777777" w:rsidTr="00C2150C">
        <w:trPr>
          <w:trHeight w:val="449"/>
          <w:jc w:val="center"/>
        </w:trPr>
        <w:tc>
          <w:tcPr>
            <w:tcW w:w="4039" w:type="dxa"/>
            <w:vAlign w:val="center"/>
            <w:hideMark/>
          </w:tcPr>
          <w:p w14:paraId="4A3382BF" w14:textId="1FB43894" w:rsidR="00942016" w:rsidRPr="00064185" w:rsidRDefault="00942016" w:rsidP="00EA61D8">
            <w:pPr>
              <w:tabs>
                <w:tab w:val="left" w:pos="720"/>
                <w:tab w:val="left" w:pos="2127"/>
                <w:tab w:val="left" w:pos="2552"/>
                <w:tab w:val="left" w:pos="7371"/>
                <w:tab w:val="right" w:pos="7921"/>
              </w:tabs>
              <w:rPr>
                <w:sz w:val="18"/>
                <w:szCs w:val="18"/>
              </w:rPr>
            </w:pPr>
            <w:r w:rsidRPr="00064185">
              <w:rPr>
                <w:sz w:val="18"/>
                <w:szCs w:val="18"/>
              </w:rPr>
              <w:t>Octanol/water partition coefficient [-]</w:t>
            </w:r>
          </w:p>
        </w:tc>
        <w:tc>
          <w:tcPr>
            <w:tcW w:w="2835" w:type="dxa"/>
            <w:vAlign w:val="center"/>
            <w:hideMark/>
          </w:tcPr>
          <w:p w14:paraId="352BC356" w14:textId="213C49DB" w:rsidR="00942016" w:rsidRPr="00064185" w:rsidRDefault="00942016" w:rsidP="00EA61D8">
            <w:pPr>
              <w:keepNext/>
              <w:rPr>
                <w:sz w:val="18"/>
                <w:szCs w:val="18"/>
              </w:rPr>
            </w:pPr>
            <w:r w:rsidRPr="00064185">
              <w:rPr>
                <w:sz w:val="18"/>
                <w:szCs w:val="18"/>
              </w:rPr>
              <w:t>K</w:t>
            </w:r>
            <w:r w:rsidRPr="00064185">
              <w:rPr>
                <w:sz w:val="18"/>
                <w:szCs w:val="18"/>
                <w:vertAlign w:val="subscript"/>
              </w:rPr>
              <w:t>ow</w:t>
            </w:r>
          </w:p>
        </w:tc>
        <w:tc>
          <w:tcPr>
            <w:tcW w:w="6619" w:type="dxa"/>
            <w:gridSpan w:val="9"/>
            <w:vAlign w:val="center"/>
            <w:hideMark/>
          </w:tcPr>
          <w:p w14:paraId="6AF18DEF" w14:textId="3B3539BC" w:rsidR="00942016" w:rsidRPr="00064185" w:rsidRDefault="00E32B00" w:rsidP="00EA61D8">
            <w:pPr>
              <w:tabs>
                <w:tab w:val="right" w:pos="1295"/>
              </w:tabs>
              <w:spacing w:before="60" w:after="60"/>
              <w:rPr>
                <w:sz w:val="18"/>
                <w:szCs w:val="18"/>
              </w:rPr>
            </w:pPr>
            <w:r w:rsidRPr="00064185">
              <w:rPr>
                <w:sz w:val="18"/>
                <w:szCs w:val="18"/>
              </w:rPr>
              <w:t>10,000,000</w:t>
            </w:r>
          </w:p>
        </w:tc>
      </w:tr>
      <w:tr w:rsidR="00064185" w:rsidRPr="00064185" w14:paraId="12460A1F" w14:textId="77777777" w:rsidTr="00C2150C">
        <w:trPr>
          <w:trHeight w:val="449"/>
          <w:jc w:val="center"/>
        </w:trPr>
        <w:tc>
          <w:tcPr>
            <w:tcW w:w="4039" w:type="dxa"/>
            <w:vAlign w:val="center"/>
            <w:hideMark/>
          </w:tcPr>
          <w:p w14:paraId="39F26754" w14:textId="7DB319D8" w:rsidR="00942016" w:rsidRPr="00064185" w:rsidRDefault="00942016" w:rsidP="00EA61D8">
            <w:pPr>
              <w:tabs>
                <w:tab w:val="left" w:pos="720"/>
                <w:tab w:val="left" w:pos="2127"/>
                <w:tab w:val="left" w:pos="2552"/>
                <w:tab w:val="left" w:pos="7371"/>
                <w:tab w:val="right" w:pos="7921"/>
              </w:tabs>
              <w:rPr>
                <w:sz w:val="18"/>
                <w:szCs w:val="18"/>
              </w:rPr>
            </w:pPr>
            <w:r w:rsidRPr="00064185">
              <w:rPr>
                <w:sz w:val="18"/>
                <w:szCs w:val="18"/>
              </w:rPr>
              <w:t>Density of earthworm [kg</w:t>
            </w:r>
            <w:r w:rsidRPr="00064185">
              <w:rPr>
                <w:sz w:val="18"/>
                <w:szCs w:val="18"/>
                <w:vertAlign w:val="subscript"/>
              </w:rPr>
              <w:t>wwt</w:t>
            </w:r>
            <w:r w:rsidR="006E10ED" w:rsidRPr="00064185">
              <w:rPr>
                <w:sz w:val="18"/>
                <w:szCs w:val="18"/>
              </w:rPr>
              <w:t>/l</w:t>
            </w:r>
            <w:r w:rsidRPr="00064185">
              <w:rPr>
                <w:sz w:val="18"/>
                <w:szCs w:val="18"/>
              </w:rPr>
              <w:t>]</w:t>
            </w:r>
          </w:p>
        </w:tc>
        <w:tc>
          <w:tcPr>
            <w:tcW w:w="2835" w:type="dxa"/>
            <w:vAlign w:val="center"/>
            <w:hideMark/>
          </w:tcPr>
          <w:p w14:paraId="2372D763" w14:textId="77777777" w:rsidR="00942016" w:rsidRPr="00064185" w:rsidRDefault="00942016" w:rsidP="00EA61D8">
            <w:pPr>
              <w:keepNext/>
              <w:rPr>
                <w:sz w:val="18"/>
                <w:szCs w:val="18"/>
              </w:rPr>
            </w:pPr>
            <w:r w:rsidRPr="00064185">
              <w:rPr>
                <w:sz w:val="18"/>
                <w:szCs w:val="18"/>
              </w:rPr>
              <w:t>RHO</w:t>
            </w:r>
            <w:r w:rsidRPr="00064185">
              <w:rPr>
                <w:sz w:val="18"/>
                <w:szCs w:val="18"/>
                <w:vertAlign w:val="subscript"/>
              </w:rPr>
              <w:t>earthworm</w:t>
            </w:r>
          </w:p>
        </w:tc>
        <w:tc>
          <w:tcPr>
            <w:tcW w:w="6619" w:type="dxa"/>
            <w:gridSpan w:val="9"/>
            <w:vAlign w:val="center"/>
            <w:hideMark/>
          </w:tcPr>
          <w:p w14:paraId="07BDAA97" w14:textId="4D69F619" w:rsidR="00942016" w:rsidRPr="00064185" w:rsidRDefault="00942016" w:rsidP="00EA61D8">
            <w:pPr>
              <w:tabs>
                <w:tab w:val="right" w:pos="1295"/>
              </w:tabs>
              <w:spacing w:before="60" w:after="60"/>
              <w:rPr>
                <w:sz w:val="18"/>
                <w:szCs w:val="18"/>
              </w:rPr>
            </w:pPr>
            <w:r w:rsidRPr="00064185">
              <w:rPr>
                <w:sz w:val="18"/>
                <w:szCs w:val="18"/>
              </w:rPr>
              <w:t>1</w:t>
            </w:r>
          </w:p>
        </w:tc>
      </w:tr>
      <w:tr w:rsidR="00064185" w:rsidRPr="00064185" w14:paraId="733F9BF1" w14:textId="77777777" w:rsidTr="00C2150C">
        <w:trPr>
          <w:trHeight w:val="449"/>
          <w:jc w:val="center"/>
        </w:trPr>
        <w:tc>
          <w:tcPr>
            <w:tcW w:w="4039" w:type="dxa"/>
            <w:vAlign w:val="center"/>
            <w:hideMark/>
          </w:tcPr>
          <w:p w14:paraId="23FF01A2" w14:textId="6FAC0BEC" w:rsidR="00942016" w:rsidRPr="00064185" w:rsidRDefault="00942016" w:rsidP="00EA61D8">
            <w:pPr>
              <w:tabs>
                <w:tab w:val="left" w:pos="720"/>
                <w:tab w:val="left" w:pos="2127"/>
                <w:tab w:val="left" w:pos="2552"/>
                <w:tab w:val="left" w:pos="7371"/>
                <w:tab w:val="right" w:pos="7921"/>
              </w:tabs>
              <w:rPr>
                <w:sz w:val="18"/>
                <w:szCs w:val="18"/>
              </w:rPr>
            </w:pPr>
            <w:r w:rsidRPr="00064185">
              <w:rPr>
                <w:sz w:val="18"/>
                <w:szCs w:val="18"/>
              </w:rPr>
              <w:t>Bioconcentration factor for e</w:t>
            </w:r>
            <w:r w:rsidR="006E10ED" w:rsidRPr="00064185">
              <w:rPr>
                <w:sz w:val="18"/>
                <w:szCs w:val="18"/>
              </w:rPr>
              <w:t xml:space="preserve">arthworm on wet weight basis </w:t>
            </w:r>
            <w:r w:rsidR="006E10ED" w:rsidRPr="00064185">
              <w:rPr>
                <w:sz w:val="18"/>
                <w:szCs w:val="18"/>
              </w:rPr>
              <w:br/>
              <w:t>[l</w:t>
            </w:r>
            <w:r w:rsidRPr="00064185">
              <w:rPr>
                <w:sz w:val="18"/>
                <w:szCs w:val="18"/>
              </w:rPr>
              <w:t>/kg</w:t>
            </w:r>
            <w:r w:rsidRPr="00064185">
              <w:rPr>
                <w:sz w:val="18"/>
                <w:szCs w:val="18"/>
                <w:vertAlign w:val="subscript"/>
              </w:rPr>
              <w:t>wet earthworm</w:t>
            </w:r>
            <w:r w:rsidRPr="00064185">
              <w:rPr>
                <w:sz w:val="18"/>
                <w:szCs w:val="18"/>
              </w:rPr>
              <w:t>]</w:t>
            </w:r>
          </w:p>
        </w:tc>
        <w:tc>
          <w:tcPr>
            <w:tcW w:w="2835" w:type="dxa"/>
            <w:vAlign w:val="center"/>
            <w:hideMark/>
          </w:tcPr>
          <w:p w14:paraId="08EE6A70" w14:textId="77777777" w:rsidR="00942016" w:rsidRPr="00064185" w:rsidRDefault="00942016" w:rsidP="00EA61D8">
            <w:pPr>
              <w:keepNext/>
              <w:rPr>
                <w:sz w:val="18"/>
                <w:szCs w:val="18"/>
                <w:vertAlign w:val="superscript"/>
              </w:rPr>
            </w:pPr>
            <w:r w:rsidRPr="00064185">
              <w:rPr>
                <w:sz w:val="18"/>
                <w:szCs w:val="18"/>
              </w:rPr>
              <w:t>BCF = (0.84 + 0.012 K</w:t>
            </w:r>
            <w:r w:rsidRPr="00064185">
              <w:rPr>
                <w:sz w:val="18"/>
                <w:szCs w:val="18"/>
                <w:vertAlign w:val="subscript"/>
              </w:rPr>
              <w:t>ow</w:t>
            </w:r>
            <w:r w:rsidRPr="00064185">
              <w:rPr>
                <w:sz w:val="18"/>
                <w:szCs w:val="18"/>
              </w:rPr>
              <w:t>)/RHO</w:t>
            </w:r>
            <w:r w:rsidRPr="00064185">
              <w:rPr>
                <w:sz w:val="18"/>
                <w:szCs w:val="18"/>
                <w:vertAlign w:val="subscript"/>
              </w:rPr>
              <w:t>earthworm</w:t>
            </w:r>
          </w:p>
        </w:tc>
        <w:tc>
          <w:tcPr>
            <w:tcW w:w="6619" w:type="dxa"/>
            <w:gridSpan w:val="9"/>
            <w:vAlign w:val="center"/>
            <w:hideMark/>
          </w:tcPr>
          <w:p w14:paraId="3D760236" w14:textId="254BF394" w:rsidR="00942016" w:rsidRPr="00064185" w:rsidRDefault="00942016" w:rsidP="00EA61D8">
            <w:pPr>
              <w:tabs>
                <w:tab w:val="right" w:pos="1295"/>
              </w:tabs>
              <w:spacing w:before="60" w:after="60"/>
              <w:rPr>
                <w:sz w:val="18"/>
                <w:szCs w:val="18"/>
              </w:rPr>
            </w:pPr>
            <w:r w:rsidRPr="00064185">
              <w:rPr>
                <w:sz w:val="18"/>
                <w:szCs w:val="18"/>
              </w:rPr>
              <w:t>120001</w:t>
            </w:r>
          </w:p>
        </w:tc>
      </w:tr>
      <w:tr w:rsidR="00064185" w:rsidRPr="00064185" w14:paraId="26B94483" w14:textId="77777777" w:rsidTr="00C2150C">
        <w:trPr>
          <w:cantSplit/>
          <w:trHeight w:val="493"/>
          <w:jc w:val="center"/>
        </w:trPr>
        <w:tc>
          <w:tcPr>
            <w:tcW w:w="4039" w:type="dxa"/>
            <w:vAlign w:val="center"/>
          </w:tcPr>
          <w:p w14:paraId="623DE658" w14:textId="77777777" w:rsidR="00E32B00" w:rsidRPr="00064185" w:rsidRDefault="00E32B00" w:rsidP="00EA61D8">
            <w:pPr>
              <w:tabs>
                <w:tab w:val="left" w:pos="720"/>
                <w:tab w:val="left" w:pos="2127"/>
                <w:tab w:val="left" w:pos="2552"/>
                <w:tab w:val="left" w:pos="7371"/>
                <w:tab w:val="right" w:pos="7921"/>
              </w:tabs>
              <w:rPr>
                <w:sz w:val="18"/>
                <w:szCs w:val="18"/>
              </w:rPr>
            </w:pPr>
            <w:r w:rsidRPr="00064185">
              <w:rPr>
                <w:sz w:val="18"/>
                <w:szCs w:val="18"/>
              </w:rPr>
              <w:t>Fraction of gut loading in worm [kg</w:t>
            </w:r>
            <w:r w:rsidRPr="00064185">
              <w:rPr>
                <w:sz w:val="18"/>
                <w:szCs w:val="18"/>
                <w:vertAlign w:val="subscript"/>
              </w:rPr>
              <w:t>dwt</w:t>
            </w:r>
            <w:r w:rsidRPr="00064185">
              <w:rPr>
                <w:sz w:val="18"/>
                <w:szCs w:val="18"/>
              </w:rPr>
              <w:t>/kg</w:t>
            </w:r>
            <w:r w:rsidRPr="00064185">
              <w:rPr>
                <w:sz w:val="18"/>
                <w:szCs w:val="18"/>
                <w:vertAlign w:val="subscript"/>
              </w:rPr>
              <w:t>wwt earthworm</w:t>
            </w:r>
            <w:r w:rsidRPr="00064185">
              <w:rPr>
                <w:sz w:val="18"/>
                <w:szCs w:val="18"/>
              </w:rPr>
              <w:t>]</w:t>
            </w:r>
          </w:p>
        </w:tc>
        <w:tc>
          <w:tcPr>
            <w:tcW w:w="2835" w:type="dxa"/>
            <w:vAlign w:val="center"/>
          </w:tcPr>
          <w:p w14:paraId="7BBAB3D4" w14:textId="77777777" w:rsidR="00E32B00" w:rsidRPr="00064185" w:rsidRDefault="00E32B00" w:rsidP="00EA61D8">
            <w:pPr>
              <w:keepNext/>
              <w:spacing w:beforeLines="60" w:before="144" w:afterLines="60" w:after="144"/>
              <w:rPr>
                <w:sz w:val="18"/>
                <w:szCs w:val="18"/>
              </w:rPr>
            </w:pPr>
            <w:r w:rsidRPr="00064185">
              <w:rPr>
                <w:sz w:val="18"/>
                <w:szCs w:val="18"/>
              </w:rPr>
              <w:t>Fgut</w:t>
            </w:r>
          </w:p>
        </w:tc>
        <w:tc>
          <w:tcPr>
            <w:tcW w:w="6619" w:type="dxa"/>
            <w:gridSpan w:val="9"/>
            <w:vAlign w:val="center"/>
          </w:tcPr>
          <w:p w14:paraId="4491C181" w14:textId="77777777" w:rsidR="00E32B00" w:rsidRPr="00064185" w:rsidRDefault="00E32B00" w:rsidP="00EA61D8">
            <w:pPr>
              <w:spacing w:beforeLines="60" w:before="144" w:afterLines="60" w:after="144"/>
              <w:rPr>
                <w:sz w:val="18"/>
                <w:szCs w:val="18"/>
              </w:rPr>
            </w:pPr>
            <w:r w:rsidRPr="00064185">
              <w:rPr>
                <w:sz w:val="18"/>
                <w:szCs w:val="18"/>
              </w:rPr>
              <w:t>0.1</w:t>
            </w:r>
          </w:p>
        </w:tc>
      </w:tr>
      <w:tr w:rsidR="00064185" w:rsidRPr="00064185" w14:paraId="08A3A0BB" w14:textId="77777777" w:rsidTr="00C2150C">
        <w:trPr>
          <w:cantSplit/>
          <w:trHeight w:val="493"/>
          <w:jc w:val="center"/>
        </w:trPr>
        <w:tc>
          <w:tcPr>
            <w:tcW w:w="4039" w:type="dxa"/>
            <w:vAlign w:val="center"/>
            <w:hideMark/>
          </w:tcPr>
          <w:p w14:paraId="6A4E73F2" w14:textId="4B8E186D" w:rsidR="00942016" w:rsidRPr="00064185" w:rsidRDefault="00942016" w:rsidP="00EA61D8">
            <w:pPr>
              <w:tabs>
                <w:tab w:val="left" w:pos="720"/>
                <w:tab w:val="left" w:pos="2160"/>
                <w:tab w:val="left" w:pos="2552"/>
                <w:tab w:val="left" w:pos="7371"/>
                <w:tab w:val="right" w:pos="7921"/>
              </w:tabs>
              <w:spacing w:before="100" w:beforeAutospacing="1" w:after="100" w:afterAutospacing="1"/>
              <w:rPr>
                <w:sz w:val="18"/>
                <w:szCs w:val="18"/>
              </w:rPr>
            </w:pPr>
            <w:r w:rsidRPr="00064185">
              <w:rPr>
                <w:sz w:val="18"/>
                <w:szCs w:val="18"/>
              </w:rPr>
              <w:t xml:space="preserve">Conversion factor for soil concentration wet-dry weight soil </w:t>
            </w:r>
            <w:r w:rsidRPr="00064185">
              <w:rPr>
                <w:sz w:val="18"/>
                <w:szCs w:val="18"/>
              </w:rPr>
              <w:br/>
              <w:t>[kg</w:t>
            </w:r>
            <w:r w:rsidRPr="00064185">
              <w:rPr>
                <w:sz w:val="18"/>
                <w:szCs w:val="18"/>
                <w:vertAlign w:val="subscript"/>
              </w:rPr>
              <w:t>wwt</w:t>
            </w:r>
            <w:r w:rsidRPr="00064185">
              <w:rPr>
                <w:sz w:val="18"/>
                <w:szCs w:val="18"/>
              </w:rPr>
              <w:t>/kg</w:t>
            </w:r>
            <w:r w:rsidRPr="00064185">
              <w:rPr>
                <w:sz w:val="18"/>
                <w:szCs w:val="18"/>
                <w:vertAlign w:val="subscript"/>
              </w:rPr>
              <w:t>dwt</w:t>
            </w:r>
            <w:r w:rsidRPr="00064185">
              <w:rPr>
                <w:sz w:val="18"/>
                <w:szCs w:val="18"/>
              </w:rPr>
              <w:t>]</w:t>
            </w:r>
          </w:p>
        </w:tc>
        <w:tc>
          <w:tcPr>
            <w:tcW w:w="2835" w:type="dxa"/>
            <w:vAlign w:val="center"/>
            <w:hideMark/>
          </w:tcPr>
          <w:p w14:paraId="5EC2ED71" w14:textId="77777777" w:rsidR="00942016" w:rsidRPr="00064185" w:rsidRDefault="00942016" w:rsidP="00EA61D8">
            <w:pPr>
              <w:keepNext/>
              <w:spacing w:beforeLines="60" w:before="144" w:afterLines="60" w:after="144"/>
              <w:rPr>
                <w:sz w:val="18"/>
                <w:szCs w:val="18"/>
              </w:rPr>
            </w:pPr>
            <w:r w:rsidRPr="00064185">
              <w:rPr>
                <w:sz w:val="18"/>
                <w:szCs w:val="18"/>
              </w:rPr>
              <w:t>CONV</w:t>
            </w:r>
            <w:r w:rsidRPr="00064185">
              <w:rPr>
                <w:sz w:val="18"/>
                <w:szCs w:val="18"/>
                <w:vertAlign w:val="subscript"/>
              </w:rPr>
              <w:t>soil</w:t>
            </w:r>
          </w:p>
        </w:tc>
        <w:tc>
          <w:tcPr>
            <w:tcW w:w="6619" w:type="dxa"/>
            <w:gridSpan w:val="9"/>
            <w:vAlign w:val="center"/>
            <w:hideMark/>
          </w:tcPr>
          <w:p w14:paraId="771C02C8" w14:textId="5BF47089" w:rsidR="00942016" w:rsidRPr="00064185" w:rsidRDefault="00942016" w:rsidP="00EA61D8">
            <w:pPr>
              <w:spacing w:beforeLines="60" w:before="144" w:afterLines="60" w:after="144"/>
              <w:rPr>
                <w:sz w:val="18"/>
                <w:szCs w:val="18"/>
              </w:rPr>
            </w:pPr>
            <w:r w:rsidRPr="00064185">
              <w:rPr>
                <w:sz w:val="18"/>
                <w:szCs w:val="18"/>
              </w:rPr>
              <w:t>1.133333</w:t>
            </w:r>
          </w:p>
        </w:tc>
      </w:tr>
      <w:tr w:rsidR="00064185" w:rsidRPr="00064185" w14:paraId="33B0914A" w14:textId="77777777" w:rsidTr="00C2150C">
        <w:trPr>
          <w:trHeight w:val="493"/>
          <w:jc w:val="center"/>
        </w:trPr>
        <w:tc>
          <w:tcPr>
            <w:tcW w:w="4039" w:type="dxa"/>
            <w:vAlign w:val="center"/>
            <w:hideMark/>
          </w:tcPr>
          <w:p w14:paraId="0859D2F8" w14:textId="4B540235" w:rsidR="00942016" w:rsidRPr="00064185" w:rsidRDefault="00942016" w:rsidP="00EA61D8">
            <w:pPr>
              <w:tabs>
                <w:tab w:val="left" w:pos="720"/>
                <w:tab w:val="left" w:pos="2160"/>
                <w:tab w:val="left" w:pos="2552"/>
                <w:tab w:val="left" w:pos="7371"/>
                <w:tab w:val="right" w:pos="7921"/>
              </w:tabs>
              <w:spacing w:before="100" w:beforeAutospacing="1" w:after="100" w:afterAutospacing="1"/>
              <w:rPr>
                <w:bCs/>
                <w:sz w:val="18"/>
                <w:szCs w:val="18"/>
              </w:rPr>
            </w:pPr>
            <w:r w:rsidRPr="00064185">
              <w:rPr>
                <w:bCs/>
                <w:sz w:val="18"/>
                <w:szCs w:val="18"/>
              </w:rPr>
              <w:t>Predicted Environmental C</w:t>
            </w:r>
            <w:r w:rsidR="006E10ED" w:rsidRPr="00064185">
              <w:rPr>
                <w:bCs/>
                <w:sz w:val="18"/>
                <w:szCs w:val="18"/>
              </w:rPr>
              <w:t>oncentration in pore water [mg/l</w:t>
            </w:r>
            <w:r w:rsidRPr="00064185">
              <w:rPr>
                <w:bCs/>
                <w:sz w:val="18"/>
                <w:szCs w:val="18"/>
              </w:rPr>
              <w:t>]</w:t>
            </w:r>
          </w:p>
        </w:tc>
        <w:tc>
          <w:tcPr>
            <w:tcW w:w="2835" w:type="dxa"/>
            <w:vAlign w:val="center"/>
            <w:hideMark/>
          </w:tcPr>
          <w:p w14:paraId="78FF2DEF" w14:textId="77777777" w:rsidR="00942016" w:rsidRPr="00064185" w:rsidRDefault="00942016" w:rsidP="00EA61D8">
            <w:pPr>
              <w:keepNext/>
              <w:spacing w:beforeLines="60" w:before="144" w:afterLines="60" w:after="144"/>
              <w:rPr>
                <w:sz w:val="18"/>
                <w:szCs w:val="18"/>
              </w:rPr>
            </w:pPr>
            <w:r w:rsidRPr="00064185">
              <w:rPr>
                <w:sz w:val="18"/>
                <w:szCs w:val="18"/>
              </w:rPr>
              <w:t>PEClocal</w:t>
            </w:r>
            <w:r w:rsidRPr="00064185">
              <w:rPr>
                <w:sz w:val="18"/>
                <w:szCs w:val="18"/>
                <w:vertAlign w:val="subscript"/>
              </w:rPr>
              <w:t>soil,porewater</w:t>
            </w:r>
          </w:p>
        </w:tc>
        <w:tc>
          <w:tcPr>
            <w:tcW w:w="1276" w:type="dxa"/>
            <w:gridSpan w:val="2"/>
            <w:vAlign w:val="center"/>
            <w:hideMark/>
          </w:tcPr>
          <w:p w14:paraId="7CD05B89" w14:textId="3CD516D5" w:rsidR="00942016" w:rsidRPr="00064185" w:rsidRDefault="00BC6397" w:rsidP="00EA61D8">
            <w:pPr>
              <w:keepNext/>
              <w:keepLines/>
              <w:rPr>
                <w:sz w:val="18"/>
              </w:rPr>
            </w:pPr>
            <w:r w:rsidRPr="00064185">
              <w:rPr>
                <w:sz w:val="18"/>
              </w:rPr>
              <w:t>8.72E-7</w:t>
            </w:r>
          </w:p>
        </w:tc>
        <w:tc>
          <w:tcPr>
            <w:tcW w:w="1559" w:type="dxa"/>
            <w:gridSpan w:val="2"/>
            <w:vAlign w:val="center"/>
          </w:tcPr>
          <w:p w14:paraId="6054A402" w14:textId="425348CA" w:rsidR="00942016" w:rsidRPr="00064185" w:rsidRDefault="00EE24C7" w:rsidP="00EA61D8">
            <w:pPr>
              <w:keepNext/>
              <w:keepLines/>
              <w:rPr>
                <w:sz w:val="18"/>
              </w:rPr>
            </w:pPr>
            <w:r w:rsidRPr="00064185">
              <w:rPr>
                <w:sz w:val="18"/>
              </w:rPr>
              <w:t>8.08</w:t>
            </w:r>
            <w:r w:rsidR="00BC6397" w:rsidRPr="00064185">
              <w:rPr>
                <w:sz w:val="18"/>
              </w:rPr>
              <w:t>E-</w:t>
            </w:r>
            <w:r w:rsidR="00AF08D1" w:rsidRPr="00064185">
              <w:rPr>
                <w:sz w:val="18"/>
              </w:rPr>
              <w:t>6</w:t>
            </w:r>
          </w:p>
        </w:tc>
        <w:tc>
          <w:tcPr>
            <w:tcW w:w="1134" w:type="dxa"/>
            <w:gridSpan w:val="2"/>
            <w:vAlign w:val="center"/>
          </w:tcPr>
          <w:p w14:paraId="2A24C9B4" w14:textId="222AECB3" w:rsidR="00942016" w:rsidRPr="00064185" w:rsidRDefault="0032389D" w:rsidP="00EA61D8">
            <w:pPr>
              <w:keepNext/>
              <w:keepLines/>
              <w:rPr>
                <w:sz w:val="18"/>
              </w:rPr>
            </w:pPr>
            <w:r w:rsidRPr="00064185">
              <w:rPr>
                <w:sz w:val="18"/>
              </w:rPr>
              <w:t>8.24</w:t>
            </w:r>
            <w:r w:rsidR="00BC6397" w:rsidRPr="00064185">
              <w:rPr>
                <w:sz w:val="18"/>
              </w:rPr>
              <w:t>E-</w:t>
            </w:r>
            <w:r w:rsidR="00AF08D1" w:rsidRPr="00064185">
              <w:rPr>
                <w:sz w:val="18"/>
              </w:rPr>
              <w:t>7</w:t>
            </w:r>
          </w:p>
        </w:tc>
        <w:tc>
          <w:tcPr>
            <w:tcW w:w="1418" w:type="dxa"/>
            <w:gridSpan w:val="2"/>
            <w:vAlign w:val="center"/>
          </w:tcPr>
          <w:p w14:paraId="605AC439" w14:textId="19F5052C" w:rsidR="00942016" w:rsidRPr="00064185" w:rsidRDefault="00BC6397" w:rsidP="00EA61D8">
            <w:pPr>
              <w:keepNext/>
              <w:keepLines/>
              <w:rPr>
                <w:sz w:val="18"/>
              </w:rPr>
            </w:pPr>
            <w:r w:rsidRPr="00064185">
              <w:rPr>
                <w:sz w:val="18"/>
              </w:rPr>
              <w:t>6.91E-7</w:t>
            </w:r>
          </w:p>
        </w:tc>
        <w:tc>
          <w:tcPr>
            <w:tcW w:w="1232" w:type="dxa"/>
            <w:vAlign w:val="center"/>
          </w:tcPr>
          <w:p w14:paraId="709232B7" w14:textId="6E1CFD4B" w:rsidR="00942016" w:rsidRPr="00064185" w:rsidRDefault="00942016" w:rsidP="00EA61D8">
            <w:pPr>
              <w:keepNext/>
              <w:keepLines/>
              <w:rPr>
                <w:bCs/>
                <w:sz w:val="18"/>
                <w:szCs w:val="18"/>
              </w:rPr>
            </w:pPr>
            <w:r w:rsidRPr="00064185">
              <w:rPr>
                <w:sz w:val="18"/>
                <w:szCs w:val="18"/>
              </w:rPr>
              <w:t>3.03E</w:t>
            </w:r>
            <w:r w:rsidR="00AF08D1" w:rsidRPr="00064185">
              <w:rPr>
                <w:sz w:val="18"/>
                <w:szCs w:val="18"/>
              </w:rPr>
              <w:t>-6</w:t>
            </w:r>
          </w:p>
        </w:tc>
      </w:tr>
      <w:tr w:rsidR="00C2150C" w:rsidRPr="00064185" w14:paraId="5318A874" w14:textId="77777777" w:rsidTr="00C2150C">
        <w:trPr>
          <w:trHeight w:val="932"/>
          <w:jc w:val="center"/>
        </w:trPr>
        <w:tc>
          <w:tcPr>
            <w:tcW w:w="4039" w:type="dxa"/>
            <w:vAlign w:val="center"/>
            <w:hideMark/>
          </w:tcPr>
          <w:p w14:paraId="17C292A3" w14:textId="659ABCF7" w:rsidR="00D34AE5" w:rsidRPr="00064185" w:rsidRDefault="00C35ECD" w:rsidP="00EA61D8">
            <w:pPr>
              <w:keepNext/>
              <w:spacing w:before="60" w:after="60"/>
              <w:rPr>
                <w:bCs/>
                <w:sz w:val="18"/>
                <w:szCs w:val="18"/>
              </w:rPr>
            </w:pPr>
            <w:r w:rsidRPr="00064185">
              <w:rPr>
                <w:b/>
                <w:sz w:val="18"/>
                <w:szCs w:val="18"/>
              </w:rPr>
              <w:lastRenderedPageBreak/>
              <w:t>Predicted Environmen</w:t>
            </w:r>
            <w:r w:rsidR="00D34AE5" w:rsidRPr="00064185">
              <w:rPr>
                <w:b/>
                <w:sz w:val="18"/>
                <w:szCs w:val="18"/>
              </w:rPr>
              <w:t xml:space="preserve">tal </w:t>
            </w:r>
            <w:r w:rsidRPr="00064185">
              <w:rPr>
                <w:b/>
                <w:sz w:val="18"/>
                <w:szCs w:val="18"/>
              </w:rPr>
              <w:t>Concentration</w:t>
            </w:r>
            <w:r w:rsidR="00D34AE5" w:rsidRPr="00064185">
              <w:rPr>
                <w:b/>
                <w:sz w:val="18"/>
                <w:szCs w:val="18"/>
              </w:rPr>
              <w:t xml:space="preserve"> in earthworms</w:t>
            </w:r>
            <w:r w:rsidR="00D34AE5" w:rsidRPr="00064185">
              <w:rPr>
                <w:b/>
                <w:sz w:val="18"/>
                <w:szCs w:val="18"/>
              </w:rPr>
              <w:br/>
              <w:t>[mg/kg</w:t>
            </w:r>
            <w:r w:rsidR="00D34AE5" w:rsidRPr="00064185">
              <w:rPr>
                <w:b/>
                <w:sz w:val="18"/>
                <w:szCs w:val="18"/>
                <w:vertAlign w:val="subscript"/>
              </w:rPr>
              <w:t>wet earthworm</w:t>
            </w:r>
            <w:r w:rsidR="00D34AE5" w:rsidRPr="00064185">
              <w:rPr>
                <w:b/>
                <w:sz w:val="18"/>
                <w:szCs w:val="18"/>
              </w:rPr>
              <w:t>]</w:t>
            </w:r>
          </w:p>
        </w:tc>
        <w:tc>
          <w:tcPr>
            <w:tcW w:w="2835" w:type="dxa"/>
            <w:vAlign w:val="center"/>
          </w:tcPr>
          <w:p w14:paraId="1E802705" w14:textId="59CCA9D1" w:rsidR="00D34AE5" w:rsidRPr="00064185" w:rsidRDefault="00D34AE5" w:rsidP="00EA61D8">
            <w:pPr>
              <w:pStyle w:val="Textkrper"/>
              <w:rPr>
                <w:i/>
                <w:sz w:val="18"/>
                <w:szCs w:val="18"/>
              </w:rPr>
            </w:pPr>
          </w:p>
          <w:p w14:paraId="3565C050" w14:textId="1B9BA5F9" w:rsidR="00D34AE5" w:rsidRPr="00064185" w:rsidRDefault="00002033" w:rsidP="00EA61D8">
            <w:pPr>
              <w:pStyle w:val="Textkrper"/>
              <w:rPr>
                <w:i/>
                <w:sz w:val="18"/>
                <w:szCs w:val="18"/>
              </w:rPr>
            </w:pPr>
            <w:r>
              <w:rPr>
                <w:sz w:val="18"/>
                <w:szCs w:val="18"/>
              </w:rPr>
              <w:pict w14:anchorId="7EFD4475">
                <v:shape id="_x0000_s1041" type="#_x0000_t75" style="position:absolute;margin-left:.85pt;margin-top:3.2pt;width:131.95pt;height:17.5pt;z-index:251658241;mso-position-horizontal-relative:text;mso-position-vertical-relative:text" filled="t">
                  <v:imagedata r:id="rId35" o:title=""/>
                </v:shape>
                <o:OLEObject Type="Embed" ProgID="Equation.3" ShapeID="_x0000_s1041" DrawAspect="Content" ObjectID="_1614069666" r:id="rId36"/>
              </w:pict>
            </w:r>
          </w:p>
          <w:p w14:paraId="1B8F7A35" w14:textId="77777777" w:rsidR="00D34AE5" w:rsidRPr="00064185" w:rsidRDefault="00D34AE5" w:rsidP="00EA61D8">
            <w:pPr>
              <w:pStyle w:val="Textkrper"/>
              <w:rPr>
                <w:i/>
                <w:sz w:val="18"/>
                <w:szCs w:val="18"/>
              </w:rPr>
            </w:pPr>
          </w:p>
          <w:p w14:paraId="6A4FFF1F" w14:textId="77777777" w:rsidR="00D34AE5" w:rsidRPr="00064185" w:rsidRDefault="00D34AE5" w:rsidP="00EA61D8">
            <w:pPr>
              <w:pStyle w:val="Textkrper"/>
              <w:rPr>
                <w:i/>
                <w:sz w:val="18"/>
                <w:szCs w:val="18"/>
                <w:vertAlign w:val="subscript"/>
              </w:rPr>
            </w:pPr>
          </w:p>
        </w:tc>
        <w:tc>
          <w:tcPr>
            <w:tcW w:w="1276" w:type="dxa"/>
            <w:gridSpan w:val="2"/>
            <w:vAlign w:val="center"/>
          </w:tcPr>
          <w:p w14:paraId="4AA02765" w14:textId="67D41E42" w:rsidR="00D34AE5" w:rsidRPr="00064185" w:rsidRDefault="00E05CBD" w:rsidP="00EA61D8">
            <w:pPr>
              <w:rPr>
                <w:b/>
                <w:sz w:val="18"/>
              </w:rPr>
            </w:pPr>
            <w:r w:rsidRPr="00064185">
              <w:rPr>
                <w:b/>
                <w:sz w:val="18"/>
              </w:rPr>
              <w:t>1.08E-3</w:t>
            </w:r>
          </w:p>
        </w:tc>
        <w:tc>
          <w:tcPr>
            <w:tcW w:w="1559" w:type="dxa"/>
            <w:gridSpan w:val="2"/>
            <w:vAlign w:val="center"/>
          </w:tcPr>
          <w:p w14:paraId="7D14352A" w14:textId="09719A7A" w:rsidR="004C0F08" w:rsidRPr="00064185" w:rsidRDefault="00F104BC" w:rsidP="00EA61D8">
            <w:pPr>
              <w:rPr>
                <w:b/>
                <w:sz w:val="18"/>
              </w:rPr>
            </w:pPr>
            <w:r w:rsidRPr="00064185">
              <w:rPr>
                <w:b/>
                <w:sz w:val="18"/>
              </w:rPr>
              <w:t>10.00</w:t>
            </w:r>
            <w:r w:rsidR="00E05CBD" w:rsidRPr="00064185">
              <w:rPr>
                <w:b/>
                <w:sz w:val="18"/>
              </w:rPr>
              <w:t>E-3</w:t>
            </w:r>
          </w:p>
        </w:tc>
        <w:tc>
          <w:tcPr>
            <w:tcW w:w="1134" w:type="dxa"/>
            <w:gridSpan w:val="2"/>
            <w:vAlign w:val="center"/>
          </w:tcPr>
          <w:p w14:paraId="0B48868B" w14:textId="2565BDB1" w:rsidR="004C0F08" w:rsidRPr="00064185" w:rsidRDefault="00F104BC" w:rsidP="00EA61D8">
            <w:pPr>
              <w:rPr>
                <w:b/>
                <w:sz w:val="18"/>
              </w:rPr>
            </w:pPr>
            <w:r w:rsidRPr="00064185">
              <w:rPr>
                <w:b/>
                <w:sz w:val="18"/>
              </w:rPr>
              <w:t>1.02</w:t>
            </w:r>
            <w:r w:rsidR="00E05CBD" w:rsidRPr="00064185">
              <w:rPr>
                <w:b/>
                <w:sz w:val="18"/>
              </w:rPr>
              <w:t>E-</w:t>
            </w:r>
            <w:r w:rsidRPr="00064185">
              <w:rPr>
                <w:b/>
                <w:sz w:val="18"/>
              </w:rPr>
              <w:t>3</w:t>
            </w:r>
          </w:p>
        </w:tc>
        <w:tc>
          <w:tcPr>
            <w:tcW w:w="1418" w:type="dxa"/>
            <w:gridSpan w:val="2"/>
            <w:vAlign w:val="center"/>
          </w:tcPr>
          <w:p w14:paraId="785E46C1" w14:textId="05C38CB6" w:rsidR="00D34AE5" w:rsidRPr="00064185" w:rsidRDefault="00E05CBD" w:rsidP="00EA61D8">
            <w:pPr>
              <w:rPr>
                <w:b/>
                <w:sz w:val="18"/>
              </w:rPr>
            </w:pPr>
            <w:r w:rsidRPr="00064185">
              <w:rPr>
                <w:b/>
                <w:sz w:val="18"/>
              </w:rPr>
              <w:t>8.51E-4</w:t>
            </w:r>
          </w:p>
        </w:tc>
        <w:tc>
          <w:tcPr>
            <w:tcW w:w="1232" w:type="dxa"/>
            <w:vAlign w:val="center"/>
          </w:tcPr>
          <w:p w14:paraId="19FB2720" w14:textId="4CA68BEF" w:rsidR="00D34AE5" w:rsidRPr="00064185" w:rsidRDefault="00D34AE5" w:rsidP="00EA61D8">
            <w:pPr>
              <w:rPr>
                <w:b/>
                <w:sz w:val="18"/>
                <w:szCs w:val="18"/>
              </w:rPr>
            </w:pPr>
            <w:r w:rsidRPr="00064185">
              <w:rPr>
                <w:b/>
                <w:bCs/>
                <w:sz w:val="18"/>
                <w:szCs w:val="18"/>
              </w:rPr>
              <w:t>3.74E-03</w:t>
            </w:r>
          </w:p>
        </w:tc>
      </w:tr>
    </w:tbl>
    <w:p w14:paraId="30E2DB49" w14:textId="5F553623" w:rsidR="00C2150C" w:rsidRPr="00064185" w:rsidRDefault="00C2150C" w:rsidP="00EA61D8">
      <w:pPr>
        <w:tabs>
          <w:tab w:val="left" w:pos="5395"/>
        </w:tabs>
        <w:rPr>
          <w:szCs w:val="22"/>
        </w:rPr>
      </w:pPr>
    </w:p>
    <w:p w14:paraId="0A609890" w14:textId="7446ADAA" w:rsidR="002D0D6D" w:rsidRPr="00064185" w:rsidRDefault="002D0D6D" w:rsidP="006A7704">
      <w:pPr>
        <w:jc w:val="both"/>
        <w:rPr>
          <w:sz w:val="16"/>
          <w:szCs w:val="16"/>
        </w:rPr>
      </w:pPr>
      <w:r w:rsidRPr="00064185">
        <w:rPr>
          <w:sz w:val="16"/>
          <w:szCs w:val="16"/>
          <w:vertAlign w:val="superscript"/>
        </w:rPr>
        <w:t>*</w:t>
      </w:r>
      <w:r w:rsidRPr="00064185">
        <w:rPr>
          <w:sz w:val="16"/>
          <w:szCs w:val="16"/>
        </w:rPr>
        <w:t>According to guidance the local concentrations in soil or pore water of agricultural soil after an averaging time of 180 days should be used as an indication for potential groundwater levels. However, the approach to use the concentrations of the terrestrial ecosystem represents the worst case and an adaption would not change the outcome of the environmental risk assessment in this report.</w:t>
      </w:r>
    </w:p>
    <w:p w14:paraId="3A5794D3" w14:textId="77777777" w:rsidR="00C2150C" w:rsidRPr="00064185" w:rsidRDefault="00C2150C" w:rsidP="00EA61D8">
      <w:pPr>
        <w:rPr>
          <w:szCs w:val="22"/>
        </w:rPr>
        <w:sectPr w:rsidR="00C2150C" w:rsidRPr="00064185" w:rsidSect="009C6529">
          <w:headerReference w:type="first" r:id="rId37"/>
          <w:endnotePr>
            <w:numFmt w:val="decimal"/>
          </w:endnotePr>
          <w:pgSz w:w="16840" w:h="11907" w:orient="landscape" w:code="9"/>
          <w:pgMar w:top="1446" w:right="1474" w:bottom="1247" w:left="2013" w:header="850" w:footer="850" w:gutter="0"/>
          <w:cols w:space="720"/>
          <w:docGrid w:linePitch="272"/>
        </w:sectPr>
      </w:pPr>
    </w:p>
    <w:p w14:paraId="3B2033B2" w14:textId="0A6E6C7E" w:rsidR="00BF1288" w:rsidRPr="00064185" w:rsidRDefault="00BF1288" w:rsidP="006A7704">
      <w:pPr>
        <w:jc w:val="both"/>
        <w:rPr>
          <w:szCs w:val="22"/>
        </w:rPr>
      </w:pPr>
      <w:r w:rsidRPr="00064185">
        <w:rPr>
          <w:szCs w:val="22"/>
        </w:rPr>
        <w:lastRenderedPageBreak/>
        <w:t xml:space="preserve">According to the ESD for PT 18 (OECD, 2008), </w:t>
      </w:r>
      <w:r w:rsidR="001E3B9A" w:rsidRPr="00064185">
        <w:t>direct emissions to soil</w:t>
      </w:r>
      <w:r w:rsidR="001E3B9A" w:rsidRPr="00064185">
        <w:rPr>
          <w:szCs w:val="22"/>
        </w:rPr>
        <w:t xml:space="preserve"> </w:t>
      </w:r>
      <w:r w:rsidRPr="00064185">
        <w:rPr>
          <w:szCs w:val="22"/>
        </w:rPr>
        <w:t>the C</w:t>
      </w:r>
      <w:r w:rsidRPr="00064185">
        <w:rPr>
          <w:szCs w:val="22"/>
          <w:vertAlign w:val="subscript"/>
        </w:rPr>
        <w:t>earthworm</w:t>
      </w:r>
      <w:r w:rsidRPr="00064185">
        <w:rPr>
          <w:szCs w:val="22"/>
        </w:rPr>
        <w:t xml:space="preserve"> have to be replaced by the estimated theoretical exposure (ETE). For the food chain from earthworm to earthworm-eating mammals and birds, the estimated residues in earthworm is converted to daily dose by multiplying a factor that relates the food intake rates and the body weight (FIR/bw). This factor corresponds to 1.4 for mammals and 1.1 for birds and it is derived from the exposure scenario established for plant protection products in the EU (European Commission, 2002). </w:t>
      </w:r>
    </w:p>
    <w:p w14:paraId="5D6BF9B8" w14:textId="77777777" w:rsidR="00BF1288" w:rsidRPr="00064185" w:rsidRDefault="00BF1288" w:rsidP="006A7704">
      <w:pPr>
        <w:jc w:val="both"/>
      </w:pPr>
      <w:r w:rsidRPr="00064185">
        <w:rPr>
          <w:szCs w:val="22"/>
        </w:rPr>
        <w:t xml:space="preserve">The ETE values are calculated as a function of the content of the active substance </w:t>
      </w:r>
      <w:r w:rsidRPr="00064185">
        <w:rPr>
          <w:i/>
          <w:szCs w:val="22"/>
        </w:rPr>
        <w:t>lambda-</w:t>
      </w:r>
      <w:r w:rsidRPr="00064185">
        <w:rPr>
          <w:szCs w:val="22"/>
        </w:rPr>
        <w:t>cyhalothrin in worms and assuming the standardised worst-case scenario for the rest of the parameters.</w:t>
      </w:r>
    </w:p>
    <w:p w14:paraId="6B0952A2" w14:textId="1C1B96D1" w:rsidR="00527AE5" w:rsidRPr="00064185" w:rsidRDefault="00527AE5" w:rsidP="00EA61D8">
      <w:pPr>
        <w:pStyle w:val="Absatz"/>
        <w:ind w:left="0"/>
      </w:pPr>
    </w:p>
    <w:p w14:paraId="54996745" w14:textId="77777777" w:rsidR="00527AE5" w:rsidRPr="00064185" w:rsidRDefault="00527AE5" w:rsidP="00EA61D8">
      <w:pPr>
        <w:pStyle w:val="Absatz"/>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6"/>
        <w:gridCol w:w="1857"/>
        <w:gridCol w:w="1304"/>
        <w:gridCol w:w="1027"/>
      </w:tblGrid>
      <w:tr w:rsidR="00064185" w:rsidRPr="00064185" w14:paraId="53F122E7" w14:textId="77777777" w:rsidTr="00B53975">
        <w:trPr>
          <w:cantSplit/>
          <w:trHeight w:val="288"/>
          <w:jc w:val="center"/>
        </w:trPr>
        <w:tc>
          <w:tcPr>
            <w:tcW w:w="0" w:type="auto"/>
            <w:gridSpan w:val="4"/>
            <w:shd w:val="clear" w:color="auto" w:fill="FFFFCC"/>
            <w:noWrap/>
            <w:vAlign w:val="center"/>
          </w:tcPr>
          <w:p w14:paraId="49155F2D" w14:textId="77777777" w:rsidR="00CA2852" w:rsidRPr="00064185" w:rsidRDefault="00CA2852" w:rsidP="00EA61D8">
            <w:pPr>
              <w:keepNext/>
              <w:keepLines/>
              <w:widowControl w:val="0"/>
              <w:spacing w:after="40"/>
              <w:rPr>
                <w:b/>
                <w:bCs/>
              </w:rPr>
            </w:pPr>
            <w:r w:rsidRPr="00064185">
              <w:rPr>
                <w:b/>
              </w:rPr>
              <w:t xml:space="preserve">Calculation of the estimated theoretical exposure (ETE) for earthworm-eating </w:t>
            </w:r>
            <w:r w:rsidRPr="00064185">
              <w:rPr>
                <w:b/>
              </w:rPr>
              <w:tab/>
              <w:t>mammals and birds</w:t>
            </w:r>
          </w:p>
        </w:tc>
      </w:tr>
      <w:tr w:rsidR="00064185" w:rsidRPr="00064185" w14:paraId="79883220" w14:textId="77777777" w:rsidTr="00B819C2">
        <w:trPr>
          <w:cantSplit/>
          <w:trHeight w:val="288"/>
          <w:jc w:val="center"/>
        </w:trPr>
        <w:tc>
          <w:tcPr>
            <w:tcW w:w="4890" w:type="dxa"/>
            <w:vMerge w:val="restart"/>
            <w:noWrap/>
            <w:vAlign w:val="center"/>
            <w:hideMark/>
          </w:tcPr>
          <w:p w14:paraId="55453106" w14:textId="77777777" w:rsidR="00BF1288" w:rsidRPr="00064185" w:rsidRDefault="00BF1288" w:rsidP="00EA61D8">
            <w:pPr>
              <w:keepNext/>
              <w:keepLines/>
              <w:widowControl w:val="0"/>
              <w:spacing w:after="40"/>
              <w:rPr>
                <w:rFonts w:ascii="Arial" w:hAnsi="Arial" w:cs="Arial"/>
              </w:rPr>
            </w:pPr>
            <w:r w:rsidRPr="00064185">
              <w:rPr>
                <w:b/>
                <w:bCs/>
              </w:rPr>
              <w:t>Parameter</w:t>
            </w:r>
          </w:p>
        </w:tc>
        <w:tc>
          <w:tcPr>
            <w:tcW w:w="2227" w:type="dxa"/>
            <w:vMerge w:val="restart"/>
            <w:vAlign w:val="center"/>
            <w:hideMark/>
          </w:tcPr>
          <w:p w14:paraId="5A769197" w14:textId="77777777" w:rsidR="00BF1288" w:rsidRPr="00064185" w:rsidRDefault="00BF1288" w:rsidP="00EA61D8">
            <w:pPr>
              <w:keepNext/>
              <w:keepLines/>
              <w:widowControl w:val="0"/>
              <w:spacing w:after="40"/>
              <w:rPr>
                <w:b/>
                <w:bCs/>
              </w:rPr>
            </w:pPr>
            <w:r w:rsidRPr="00064185">
              <w:rPr>
                <w:b/>
                <w:bCs/>
              </w:rPr>
              <w:t>Definition</w:t>
            </w:r>
          </w:p>
        </w:tc>
        <w:tc>
          <w:tcPr>
            <w:tcW w:w="0" w:type="auto"/>
            <w:gridSpan w:val="2"/>
            <w:vAlign w:val="center"/>
            <w:hideMark/>
          </w:tcPr>
          <w:p w14:paraId="067F4199" w14:textId="77777777" w:rsidR="00B819C2" w:rsidRPr="00064185" w:rsidRDefault="00B819C2" w:rsidP="00EA61D8">
            <w:pPr>
              <w:keepNext/>
              <w:rPr>
                <w:b/>
                <w:bCs/>
              </w:rPr>
            </w:pPr>
            <w:r w:rsidRPr="00064185">
              <w:rPr>
                <w:b/>
                <w:bCs/>
              </w:rPr>
              <w:t xml:space="preserve">Outdoor use </w:t>
            </w:r>
          </w:p>
          <w:p w14:paraId="4FF2FB30" w14:textId="5B043571" w:rsidR="00B819C2" w:rsidRPr="00064185" w:rsidRDefault="00B819C2" w:rsidP="00EA61D8">
            <w:pPr>
              <w:keepNext/>
              <w:rPr>
                <w:b/>
                <w:bCs/>
              </w:rPr>
            </w:pPr>
            <w:r w:rsidRPr="00064185">
              <w:rPr>
                <w:b/>
                <w:bCs/>
              </w:rPr>
              <w:t>Ants</w:t>
            </w:r>
          </w:p>
          <w:p w14:paraId="11BC229A" w14:textId="379B5194" w:rsidR="00BF1288" w:rsidRPr="00064185" w:rsidRDefault="00B819C2" w:rsidP="00EA61D8">
            <w:pPr>
              <w:keepNext/>
              <w:keepLines/>
              <w:widowControl w:val="0"/>
              <w:spacing w:after="40"/>
              <w:rPr>
                <w:bCs/>
              </w:rPr>
            </w:pPr>
            <w:r w:rsidRPr="00064185">
              <w:rPr>
                <w:sz w:val="16"/>
                <w:szCs w:val="16"/>
              </w:rPr>
              <w:t>(rural area)</w:t>
            </w:r>
          </w:p>
        </w:tc>
      </w:tr>
      <w:tr w:rsidR="00064185" w:rsidRPr="00064185" w14:paraId="7EFD3837" w14:textId="77777777" w:rsidTr="00B819C2">
        <w:trPr>
          <w:cantSplit/>
          <w:trHeight w:val="288"/>
          <w:jc w:val="center"/>
        </w:trPr>
        <w:tc>
          <w:tcPr>
            <w:tcW w:w="4890" w:type="dxa"/>
            <w:vMerge/>
            <w:vAlign w:val="center"/>
            <w:hideMark/>
          </w:tcPr>
          <w:p w14:paraId="78F80110" w14:textId="77777777" w:rsidR="00BF1288" w:rsidRPr="00064185" w:rsidRDefault="00BF1288" w:rsidP="00EA61D8">
            <w:pPr>
              <w:keepNext/>
              <w:keepLines/>
              <w:widowControl w:val="0"/>
              <w:rPr>
                <w:rFonts w:ascii="Arial" w:hAnsi="Arial" w:cs="Arial"/>
              </w:rPr>
            </w:pPr>
          </w:p>
        </w:tc>
        <w:tc>
          <w:tcPr>
            <w:tcW w:w="2227" w:type="dxa"/>
            <w:vMerge/>
            <w:vAlign w:val="center"/>
            <w:hideMark/>
          </w:tcPr>
          <w:p w14:paraId="5D4DC45D" w14:textId="77777777" w:rsidR="00BF1288" w:rsidRPr="00064185" w:rsidRDefault="00BF1288" w:rsidP="00EA61D8">
            <w:pPr>
              <w:keepNext/>
              <w:keepLines/>
              <w:widowControl w:val="0"/>
              <w:rPr>
                <w:b/>
                <w:bCs/>
              </w:rPr>
            </w:pPr>
          </w:p>
        </w:tc>
        <w:tc>
          <w:tcPr>
            <w:tcW w:w="0" w:type="auto"/>
            <w:vAlign w:val="center"/>
            <w:hideMark/>
          </w:tcPr>
          <w:p w14:paraId="0B72FFE0" w14:textId="77777777" w:rsidR="00BF1288" w:rsidRPr="00064185" w:rsidRDefault="00BF1288" w:rsidP="00EA61D8">
            <w:pPr>
              <w:keepNext/>
              <w:keepLines/>
              <w:widowControl w:val="0"/>
              <w:spacing w:after="40"/>
              <w:rPr>
                <w:b/>
                <w:bCs/>
              </w:rPr>
            </w:pPr>
            <w:r w:rsidRPr="00064185">
              <w:rPr>
                <w:b/>
                <w:bCs/>
              </w:rPr>
              <w:t>Mammals</w:t>
            </w:r>
          </w:p>
        </w:tc>
        <w:tc>
          <w:tcPr>
            <w:tcW w:w="0" w:type="auto"/>
            <w:vAlign w:val="center"/>
            <w:hideMark/>
          </w:tcPr>
          <w:p w14:paraId="55CEF0EB" w14:textId="77777777" w:rsidR="00BF1288" w:rsidRPr="00064185" w:rsidRDefault="00BF1288" w:rsidP="00EA61D8">
            <w:pPr>
              <w:keepNext/>
              <w:keepLines/>
              <w:widowControl w:val="0"/>
              <w:spacing w:after="40"/>
              <w:rPr>
                <w:b/>
                <w:bCs/>
              </w:rPr>
            </w:pPr>
            <w:r w:rsidRPr="00064185">
              <w:rPr>
                <w:b/>
                <w:bCs/>
              </w:rPr>
              <w:t>Birds</w:t>
            </w:r>
          </w:p>
        </w:tc>
      </w:tr>
      <w:tr w:rsidR="00064185" w:rsidRPr="00064185" w14:paraId="453B2549" w14:textId="77777777" w:rsidTr="00B819C2">
        <w:trPr>
          <w:cantSplit/>
          <w:trHeight w:val="288"/>
          <w:jc w:val="center"/>
        </w:trPr>
        <w:tc>
          <w:tcPr>
            <w:tcW w:w="4890" w:type="dxa"/>
            <w:vAlign w:val="center"/>
            <w:hideMark/>
          </w:tcPr>
          <w:p w14:paraId="536295CF" w14:textId="2286ADD2" w:rsidR="00BF1288" w:rsidRPr="00064185" w:rsidRDefault="00BF1288" w:rsidP="00EA61D8">
            <w:pPr>
              <w:keepNext/>
              <w:keepLines/>
              <w:widowControl w:val="0"/>
              <w:tabs>
                <w:tab w:val="left" w:pos="720"/>
                <w:tab w:val="left" w:pos="2127"/>
                <w:tab w:val="left" w:pos="2552"/>
                <w:tab w:val="left" w:pos="7371"/>
                <w:tab w:val="right" w:pos="7921"/>
              </w:tabs>
              <w:spacing w:after="40"/>
              <w:rPr>
                <w:b/>
              </w:rPr>
            </w:pPr>
            <w:r w:rsidRPr="00064185">
              <w:rPr>
                <w:b/>
              </w:rPr>
              <w:t>Predicted Environmental Concentration in earthworms [mg x kg</w:t>
            </w:r>
            <w:r w:rsidRPr="00064185">
              <w:rPr>
                <w:b/>
                <w:vertAlign w:val="superscript"/>
              </w:rPr>
              <w:t>-1</w:t>
            </w:r>
            <w:r w:rsidRPr="00064185">
              <w:rPr>
                <w:b/>
              </w:rPr>
              <w:t>]</w:t>
            </w:r>
          </w:p>
        </w:tc>
        <w:tc>
          <w:tcPr>
            <w:tcW w:w="2227" w:type="dxa"/>
            <w:vAlign w:val="center"/>
            <w:hideMark/>
          </w:tcPr>
          <w:p w14:paraId="0819FB8C" w14:textId="77777777" w:rsidR="00BF1288" w:rsidRPr="00064185" w:rsidRDefault="00BF1288" w:rsidP="00EA61D8">
            <w:pPr>
              <w:keepNext/>
              <w:keepLines/>
              <w:widowControl w:val="0"/>
              <w:spacing w:after="40"/>
            </w:pPr>
            <w:r w:rsidRPr="00064185">
              <w:t>C</w:t>
            </w:r>
            <w:r w:rsidRPr="00064185">
              <w:rPr>
                <w:vertAlign w:val="subscript"/>
              </w:rPr>
              <w:t>earthworm</w:t>
            </w:r>
          </w:p>
        </w:tc>
        <w:tc>
          <w:tcPr>
            <w:tcW w:w="0" w:type="auto"/>
            <w:gridSpan w:val="2"/>
            <w:vAlign w:val="center"/>
            <w:hideMark/>
          </w:tcPr>
          <w:p w14:paraId="67D3D910" w14:textId="0503CAC6" w:rsidR="00B33E83" w:rsidRPr="00064185" w:rsidRDefault="00B33E83" w:rsidP="00EA61D8">
            <w:pPr>
              <w:keepNext/>
              <w:keepLines/>
              <w:widowControl w:val="0"/>
              <w:tabs>
                <w:tab w:val="right" w:pos="1370"/>
              </w:tabs>
              <w:spacing w:after="40"/>
            </w:pPr>
            <w:r w:rsidRPr="00064185">
              <w:rPr>
                <w:lang w:val="de-AT"/>
              </w:rPr>
              <w:t>3.74E-3</w:t>
            </w:r>
          </w:p>
        </w:tc>
      </w:tr>
      <w:tr w:rsidR="00064185" w:rsidRPr="00064185" w14:paraId="1168BCD8" w14:textId="77777777" w:rsidTr="00B819C2">
        <w:trPr>
          <w:trHeight w:val="449"/>
          <w:jc w:val="center"/>
        </w:trPr>
        <w:tc>
          <w:tcPr>
            <w:tcW w:w="4890" w:type="dxa"/>
            <w:vAlign w:val="center"/>
            <w:hideMark/>
          </w:tcPr>
          <w:p w14:paraId="09123FA2" w14:textId="77777777" w:rsidR="00BF1288" w:rsidRPr="00064185" w:rsidRDefault="00BF1288" w:rsidP="00EA61D8">
            <w:pPr>
              <w:keepNext/>
              <w:keepLines/>
              <w:widowControl w:val="0"/>
              <w:tabs>
                <w:tab w:val="left" w:pos="720"/>
                <w:tab w:val="left" w:pos="2127"/>
                <w:tab w:val="left" w:pos="2552"/>
                <w:tab w:val="left" w:pos="7371"/>
                <w:tab w:val="right" w:pos="7921"/>
              </w:tabs>
              <w:spacing w:after="40"/>
              <w:rPr>
                <w:b/>
              </w:rPr>
            </w:pPr>
            <w:r w:rsidRPr="00064185">
              <w:rPr>
                <w:b/>
              </w:rPr>
              <w:t>Food intake rates per body weight [d</w:t>
            </w:r>
            <w:r w:rsidRPr="00064185">
              <w:rPr>
                <w:b/>
                <w:vertAlign w:val="superscript"/>
              </w:rPr>
              <w:t>-1</w:t>
            </w:r>
            <w:r w:rsidRPr="00064185">
              <w:rPr>
                <w:b/>
              </w:rPr>
              <w:t>] [-]</w:t>
            </w:r>
          </w:p>
        </w:tc>
        <w:tc>
          <w:tcPr>
            <w:tcW w:w="2227" w:type="dxa"/>
            <w:vAlign w:val="center"/>
            <w:hideMark/>
          </w:tcPr>
          <w:p w14:paraId="1C1FE2BA" w14:textId="77777777" w:rsidR="00BF1288" w:rsidRPr="00064185" w:rsidRDefault="00BF1288" w:rsidP="00EA61D8">
            <w:pPr>
              <w:keepNext/>
              <w:keepLines/>
              <w:widowControl w:val="0"/>
            </w:pPr>
            <w:r w:rsidRPr="00064185">
              <w:t>FIR /bw</w:t>
            </w:r>
          </w:p>
        </w:tc>
        <w:tc>
          <w:tcPr>
            <w:tcW w:w="0" w:type="auto"/>
            <w:vAlign w:val="center"/>
            <w:hideMark/>
          </w:tcPr>
          <w:p w14:paraId="0E49A7E1" w14:textId="77777777" w:rsidR="00BF1288" w:rsidRPr="00064185" w:rsidRDefault="00BF1288" w:rsidP="00EA61D8">
            <w:pPr>
              <w:keepNext/>
              <w:keepLines/>
              <w:widowControl w:val="0"/>
              <w:tabs>
                <w:tab w:val="right" w:pos="1295"/>
              </w:tabs>
              <w:spacing w:after="40"/>
            </w:pPr>
            <w:r w:rsidRPr="00064185">
              <w:t>1.44</w:t>
            </w:r>
          </w:p>
        </w:tc>
        <w:tc>
          <w:tcPr>
            <w:tcW w:w="0" w:type="auto"/>
            <w:vAlign w:val="center"/>
            <w:hideMark/>
          </w:tcPr>
          <w:p w14:paraId="3ABA1FF5" w14:textId="77777777" w:rsidR="00BF1288" w:rsidRPr="00064185" w:rsidRDefault="00BF1288" w:rsidP="00EA61D8">
            <w:pPr>
              <w:keepNext/>
              <w:keepLines/>
              <w:widowControl w:val="0"/>
              <w:tabs>
                <w:tab w:val="right" w:pos="1295"/>
              </w:tabs>
              <w:spacing w:after="40"/>
            </w:pPr>
            <w:r w:rsidRPr="00064185">
              <w:t>1.1</w:t>
            </w:r>
          </w:p>
        </w:tc>
      </w:tr>
      <w:tr w:rsidR="00064185" w:rsidRPr="00064185" w14:paraId="3848A394" w14:textId="77777777" w:rsidTr="00B819C2">
        <w:trPr>
          <w:trHeight w:val="449"/>
          <w:jc w:val="center"/>
        </w:trPr>
        <w:tc>
          <w:tcPr>
            <w:tcW w:w="4890" w:type="dxa"/>
            <w:vAlign w:val="center"/>
            <w:hideMark/>
          </w:tcPr>
          <w:p w14:paraId="7A215ED7" w14:textId="77777777" w:rsidR="00BF1288" w:rsidRPr="00064185" w:rsidRDefault="00BF1288" w:rsidP="00EA61D8">
            <w:pPr>
              <w:keepNext/>
              <w:keepLines/>
              <w:widowControl w:val="0"/>
              <w:tabs>
                <w:tab w:val="left" w:pos="720"/>
                <w:tab w:val="left" w:pos="2127"/>
                <w:tab w:val="left" w:pos="2552"/>
                <w:tab w:val="left" w:pos="7371"/>
                <w:tab w:val="right" w:pos="7921"/>
              </w:tabs>
              <w:spacing w:after="40"/>
              <w:rPr>
                <w:b/>
              </w:rPr>
            </w:pPr>
            <w:r w:rsidRPr="00064185">
              <w:rPr>
                <w:b/>
              </w:rPr>
              <w:t>Avoidance factor of contaminated food (AV=1, no avoidance)</w:t>
            </w:r>
          </w:p>
        </w:tc>
        <w:tc>
          <w:tcPr>
            <w:tcW w:w="2227" w:type="dxa"/>
            <w:vAlign w:val="center"/>
            <w:hideMark/>
          </w:tcPr>
          <w:p w14:paraId="6D405D08" w14:textId="77777777" w:rsidR="00BF1288" w:rsidRPr="00064185" w:rsidRDefault="00BF1288" w:rsidP="00EA61D8">
            <w:pPr>
              <w:keepNext/>
              <w:keepLines/>
              <w:widowControl w:val="0"/>
              <w:spacing w:after="40"/>
            </w:pPr>
            <w:r w:rsidRPr="00064185">
              <w:t>AV</w:t>
            </w:r>
          </w:p>
        </w:tc>
        <w:tc>
          <w:tcPr>
            <w:tcW w:w="0" w:type="auto"/>
            <w:gridSpan w:val="2"/>
            <w:vAlign w:val="center"/>
            <w:hideMark/>
          </w:tcPr>
          <w:p w14:paraId="593DF0B8" w14:textId="77777777" w:rsidR="00BF1288" w:rsidRPr="00064185" w:rsidRDefault="00BF1288" w:rsidP="00EA61D8">
            <w:pPr>
              <w:keepNext/>
              <w:keepLines/>
              <w:widowControl w:val="0"/>
              <w:tabs>
                <w:tab w:val="right" w:pos="1295"/>
              </w:tabs>
              <w:spacing w:after="40"/>
            </w:pPr>
            <w:r w:rsidRPr="00064185">
              <w:t>1</w:t>
            </w:r>
          </w:p>
        </w:tc>
      </w:tr>
      <w:tr w:rsidR="00064185" w:rsidRPr="00064185" w14:paraId="01D40885" w14:textId="77777777" w:rsidTr="00B819C2">
        <w:trPr>
          <w:trHeight w:val="449"/>
          <w:jc w:val="center"/>
        </w:trPr>
        <w:tc>
          <w:tcPr>
            <w:tcW w:w="4890" w:type="dxa"/>
            <w:vAlign w:val="center"/>
            <w:hideMark/>
          </w:tcPr>
          <w:p w14:paraId="55B82B59" w14:textId="77777777" w:rsidR="00BF1288" w:rsidRPr="00064185" w:rsidRDefault="00BF1288" w:rsidP="00EA61D8">
            <w:pPr>
              <w:keepNext/>
              <w:keepLines/>
              <w:widowControl w:val="0"/>
              <w:tabs>
                <w:tab w:val="left" w:pos="720"/>
                <w:tab w:val="left" w:pos="2127"/>
                <w:tab w:val="left" w:pos="2552"/>
                <w:tab w:val="left" w:pos="7371"/>
                <w:tab w:val="right" w:pos="7921"/>
              </w:tabs>
              <w:spacing w:after="40"/>
              <w:rPr>
                <w:b/>
              </w:rPr>
            </w:pPr>
            <w:r w:rsidRPr="00064185">
              <w:rPr>
                <w:b/>
              </w:rPr>
              <w:t>Proportion of diet obtained in treated area [-]</w:t>
            </w:r>
          </w:p>
        </w:tc>
        <w:tc>
          <w:tcPr>
            <w:tcW w:w="2227" w:type="dxa"/>
            <w:vAlign w:val="center"/>
            <w:hideMark/>
          </w:tcPr>
          <w:p w14:paraId="1563D338" w14:textId="77777777" w:rsidR="00BF1288" w:rsidRPr="00064185" w:rsidRDefault="00BF1288" w:rsidP="00EA61D8">
            <w:pPr>
              <w:keepNext/>
              <w:keepLines/>
              <w:widowControl w:val="0"/>
              <w:spacing w:after="40"/>
              <w:rPr>
                <w:vertAlign w:val="superscript"/>
              </w:rPr>
            </w:pPr>
            <w:r w:rsidRPr="00064185">
              <w:t>PT</w:t>
            </w:r>
          </w:p>
        </w:tc>
        <w:tc>
          <w:tcPr>
            <w:tcW w:w="0" w:type="auto"/>
            <w:gridSpan w:val="2"/>
            <w:vAlign w:val="center"/>
            <w:hideMark/>
          </w:tcPr>
          <w:p w14:paraId="31AAD5AC" w14:textId="77777777" w:rsidR="00BF1288" w:rsidRPr="00064185" w:rsidRDefault="00BF1288" w:rsidP="00EA61D8">
            <w:pPr>
              <w:keepNext/>
              <w:keepLines/>
              <w:widowControl w:val="0"/>
              <w:tabs>
                <w:tab w:val="right" w:pos="1295"/>
              </w:tabs>
              <w:spacing w:after="40"/>
            </w:pPr>
            <w:r w:rsidRPr="00064185">
              <w:t>1</w:t>
            </w:r>
          </w:p>
        </w:tc>
      </w:tr>
      <w:tr w:rsidR="00064185" w:rsidRPr="00064185" w14:paraId="0695042F" w14:textId="77777777" w:rsidTr="00B819C2">
        <w:trPr>
          <w:cantSplit/>
          <w:trHeight w:val="493"/>
          <w:jc w:val="center"/>
        </w:trPr>
        <w:tc>
          <w:tcPr>
            <w:tcW w:w="4890" w:type="dxa"/>
            <w:vAlign w:val="center"/>
            <w:hideMark/>
          </w:tcPr>
          <w:p w14:paraId="3E579269" w14:textId="77777777" w:rsidR="00BF1288" w:rsidRPr="00064185" w:rsidRDefault="00BF1288" w:rsidP="00EA61D8">
            <w:pPr>
              <w:keepNext/>
              <w:keepLines/>
              <w:widowControl w:val="0"/>
              <w:tabs>
                <w:tab w:val="left" w:pos="720"/>
                <w:tab w:val="left" w:pos="2160"/>
                <w:tab w:val="left" w:pos="2552"/>
                <w:tab w:val="left" w:pos="7371"/>
                <w:tab w:val="right" w:pos="7921"/>
              </w:tabs>
              <w:spacing w:after="40"/>
              <w:rPr>
                <w:b/>
              </w:rPr>
            </w:pPr>
            <w:r w:rsidRPr="00064185">
              <w:rPr>
                <w:b/>
              </w:rPr>
              <w:t>Proportion of food type (vegetation or insects) in the diet of specie of concern [-]</w:t>
            </w:r>
          </w:p>
        </w:tc>
        <w:tc>
          <w:tcPr>
            <w:tcW w:w="2227" w:type="dxa"/>
            <w:vAlign w:val="center"/>
            <w:hideMark/>
          </w:tcPr>
          <w:p w14:paraId="4098938C" w14:textId="77777777" w:rsidR="00BF1288" w:rsidRPr="00064185" w:rsidRDefault="00BF1288" w:rsidP="00EA61D8">
            <w:pPr>
              <w:keepNext/>
              <w:keepLines/>
              <w:widowControl w:val="0"/>
              <w:spacing w:after="40"/>
            </w:pPr>
            <w:r w:rsidRPr="00064185">
              <w:t>PD</w:t>
            </w:r>
          </w:p>
        </w:tc>
        <w:tc>
          <w:tcPr>
            <w:tcW w:w="0" w:type="auto"/>
            <w:gridSpan w:val="2"/>
            <w:vAlign w:val="center"/>
            <w:hideMark/>
          </w:tcPr>
          <w:p w14:paraId="386144B1" w14:textId="77777777" w:rsidR="00BF1288" w:rsidRPr="00064185" w:rsidRDefault="00BF1288" w:rsidP="00EA61D8">
            <w:pPr>
              <w:keepNext/>
              <w:keepLines/>
              <w:widowControl w:val="0"/>
              <w:spacing w:after="40"/>
            </w:pPr>
            <w:r w:rsidRPr="00064185">
              <w:t>1</w:t>
            </w:r>
          </w:p>
        </w:tc>
      </w:tr>
      <w:tr w:rsidR="00CA2852" w:rsidRPr="00064185" w14:paraId="078C5F6A" w14:textId="77777777" w:rsidTr="00B819C2">
        <w:trPr>
          <w:cantSplit/>
          <w:trHeight w:val="493"/>
          <w:jc w:val="center"/>
        </w:trPr>
        <w:tc>
          <w:tcPr>
            <w:tcW w:w="4890" w:type="dxa"/>
            <w:vAlign w:val="center"/>
            <w:hideMark/>
          </w:tcPr>
          <w:p w14:paraId="1DCE364C" w14:textId="77777777" w:rsidR="00BF1288" w:rsidRPr="00064185" w:rsidRDefault="00BF1288" w:rsidP="00EA61D8">
            <w:pPr>
              <w:keepNext/>
              <w:keepLines/>
              <w:widowControl w:val="0"/>
              <w:tabs>
                <w:tab w:val="left" w:pos="720"/>
                <w:tab w:val="left" w:pos="2160"/>
                <w:tab w:val="left" w:pos="2552"/>
                <w:tab w:val="left" w:pos="7371"/>
                <w:tab w:val="right" w:pos="7921"/>
              </w:tabs>
              <w:spacing w:after="40"/>
              <w:rPr>
                <w:b/>
              </w:rPr>
            </w:pPr>
            <w:r w:rsidRPr="00064185">
              <w:rPr>
                <w:b/>
              </w:rPr>
              <w:t>Estimated theoretical exposure [mg x kg</w:t>
            </w:r>
            <w:r w:rsidRPr="00064185">
              <w:rPr>
                <w:b/>
                <w:vertAlign w:val="superscript"/>
              </w:rPr>
              <w:t>-1</w:t>
            </w:r>
            <w:r w:rsidRPr="00064185">
              <w:rPr>
                <w:b/>
              </w:rPr>
              <w:t>x d</w:t>
            </w:r>
            <w:r w:rsidRPr="00064185">
              <w:rPr>
                <w:b/>
                <w:vertAlign w:val="superscript"/>
              </w:rPr>
              <w:t>-1</w:t>
            </w:r>
            <w:r w:rsidRPr="00064185">
              <w:rPr>
                <w:b/>
              </w:rPr>
              <w:t>]</w:t>
            </w:r>
          </w:p>
        </w:tc>
        <w:tc>
          <w:tcPr>
            <w:tcW w:w="2227" w:type="dxa"/>
            <w:vAlign w:val="center"/>
            <w:hideMark/>
          </w:tcPr>
          <w:p w14:paraId="0B05D66F" w14:textId="77777777" w:rsidR="00BF1288" w:rsidRPr="00064185" w:rsidRDefault="00BF1288" w:rsidP="00EA61D8">
            <w:pPr>
              <w:keepNext/>
              <w:keepLines/>
              <w:widowControl w:val="0"/>
              <w:spacing w:after="40"/>
              <w:rPr>
                <w:b/>
              </w:rPr>
            </w:pPr>
            <w:r w:rsidRPr="00064185">
              <w:rPr>
                <w:b/>
              </w:rPr>
              <w:t>ETE= C</w:t>
            </w:r>
            <w:r w:rsidRPr="00064185">
              <w:rPr>
                <w:b/>
                <w:vertAlign w:val="subscript"/>
              </w:rPr>
              <w:t>earthworm</w:t>
            </w:r>
            <w:r w:rsidRPr="00064185">
              <w:rPr>
                <w:b/>
              </w:rPr>
              <w:t xml:space="preserve"> x (FIR/bw) x AVx PT x PD</w:t>
            </w:r>
          </w:p>
        </w:tc>
        <w:tc>
          <w:tcPr>
            <w:tcW w:w="0" w:type="auto"/>
            <w:vAlign w:val="center"/>
          </w:tcPr>
          <w:p w14:paraId="7A00051C" w14:textId="5F1CCC58" w:rsidR="00B33E83" w:rsidRPr="00064185" w:rsidRDefault="00B33E83" w:rsidP="00EA61D8">
            <w:pPr>
              <w:keepNext/>
              <w:keepLines/>
              <w:widowControl w:val="0"/>
              <w:tabs>
                <w:tab w:val="right" w:pos="1295"/>
              </w:tabs>
              <w:spacing w:after="40"/>
              <w:rPr>
                <w:b/>
              </w:rPr>
            </w:pPr>
            <w:r w:rsidRPr="00064185">
              <w:rPr>
                <w:b/>
              </w:rPr>
              <w:t>5.39E-3</w:t>
            </w:r>
          </w:p>
        </w:tc>
        <w:tc>
          <w:tcPr>
            <w:tcW w:w="0" w:type="auto"/>
            <w:vAlign w:val="center"/>
          </w:tcPr>
          <w:p w14:paraId="6DD10A7D" w14:textId="2E2A3E9A" w:rsidR="00B33E83" w:rsidRPr="00064185" w:rsidRDefault="00B33E83" w:rsidP="00EA61D8">
            <w:pPr>
              <w:keepNext/>
              <w:keepLines/>
              <w:widowControl w:val="0"/>
              <w:tabs>
                <w:tab w:val="right" w:pos="1295"/>
              </w:tabs>
              <w:spacing w:after="40"/>
              <w:rPr>
                <w:b/>
              </w:rPr>
            </w:pPr>
            <w:r w:rsidRPr="00064185">
              <w:rPr>
                <w:b/>
              </w:rPr>
              <w:t>4.11E-3</w:t>
            </w:r>
          </w:p>
        </w:tc>
      </w:tr>
    </w:tbl>
    <w:p w14:paraId="2F351EAE" w14:textId="77777777" w:rsidR="00BF1288" w:rsidRPr="00064185" w:rsidRDefault="00BF1288" w:rsidP="00EA61D8"/>
    <w:p w14:paraId="3ADD0818" w14:textId="77777777" w:rsidR="00C2150C" w:rsidRPr="00064185" w:rsidRDefault="00C2150C" w:rsidP="00EA61D8">
      <w:pPr>
        <w:rPr>
          <w:b/>
          <w:bCs/>
        </w:rPr>
      </w:pPr>
    </w:p>
    <w:p w14:paraId="32256303" w14:textId="4686F7D5" w:rsidR="00192EB8" w:rsidRPr="00064185" w:rsidRDefault="00192EB8" w:rsidP="00EA61D8">
      <w:pPr>
        <w:rPr>
          <w:szCs w:val="22"/>
        </w:rPr>
        <w:sectPr w:rsidR="00192EB8" w:rsidRPr="00064185" w:rsidSect="009C6529">
          <w:endnotePr>
            <w:numFmt w:val="decimal"/>
          </w:endnotePr>
          <w:pgSz w:w="11907" w:h="16840" w:code="9"/>
          <w:pgMar w:top="1474" w:right="1247" w:bottom="2013" w:left="1446" w:header="850" w:footer="850" w:gutter="0"/>
          <w:cols w:space="720"/>
          <w:docGrid w:linePitch="272"/>
        </w:sectPr>
      </w:pPr>
    </w:p>
    <w:tbl>
      <w:tblPr>
        <w:tblpPr w:leftFromText="141" w:rightFromText="141" w:vertAnchor="page" w:horzAnchor="margin" w:tblpY="3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2"/>
        <w:gridCol w:w="3630"/>
        <w:gridCol w:w="1239"/>
        <w:gridCol w:w="2126"/>
        <w:gridCol w:w="1700"/>
        <w:gridCol w:w="1376"/>
      </w:tblGrid>
      <w:tr w:rsidR="00064185" w:rsidRPr="00064185" w14:paraId="237F4217" w14:textId="77777777" w:rsidTr="00ED08C9">
        <w:trPr>
          <w:cantSplit/>
          <w:trHeight w:val="719"/>
        </w:trPr>
        <w:tc>
          <w:tcPr>
            <w:tcW w:w="5000" w:type="pct"/>
            <w:gridSpan w:val="6"/>
            <w:shd w:val="clear" w:color="auto" w:fill="FFFFCC"/>
            <w:noWrap/>
            <w:vAlign w:val="center"/>
          </w:tcPr>
          <w:p w14:paraId="54DC5394" w14:textId="02EA2EB1" w:rsidR="00D93B52" w:rsidRPr="00064185" w:rsidRDefault="001979BC" w:rsidP="00EA61D8">
            <w:pPr>
              <w:keepNext/>
              <w:rPr>
                <w:b/>
                <w:bCs/>
              </w:rPr>
            </w:pPr>
            <w:r w:rsidRPr="00064185">
              <w:rPr>
                <w:b/>
              </w:rPr>
              <w:lastRenderedPageBreak/>
              <w:t xml:space="preserve">Worst case </w:t>
            </w:r>
            <w:r w:rsidR="00E33580" w:rsidRPr="00064185">
              <w:rPr>
                <w:b/>
              </w:rPr>
              <w:t>c</w:t>
            </w:r>
            <w:r w:rsidR="00D93B52" w:rsidRPr="00064185">
              <w:rPr>
                <w:b/>
              </w:rPr>
              <w:t>alculation of the predicted environmental concentration in fish</w:t>
            </w:r>
            <w:r w:rsidR="006E10ED" w:rsidRPr="00064185">
              <w:rPr>
                <w:b/>
              </w:rPr>
              <w:t xml:space="preserve"> </w:t>
            </w:r>
            <w:r w:rsidR="00D93B52" w:rsidRPr="00064185">
              <w:rPr>
                <w:b/>
              </w:rPr>
              <w:t>(</w:t>
            </w:r>
            <w:r w:rsidR="00D93B52" w:rsidRPr="00064185">
              <w:rPr>
                <w:b/>
                <w:i/>
              </w:rPr>
              <w:t>cf</w:t>
            </w:r>
            <w:r w:rsidR="00E33580" w:rsidRPr="00064185">
              <w:rPr>
                <w:b/>
              </w:rPr>
              <w:t xml:space="preserve">. TGD, </w:t>
            </w:r>
            <w:r w:rsidR="00D93B52" w:rsidRPr="00064185">
              <w:rPr>
                <w:b/>
              </w:rPr>
              <w:t>Equation 76)</w:t>
            </w:r>
          </w:p>
        </w:tc>
      </w:tr>
      <w:tr w:rsidR="00064185" w:rsidRPr="00064185" w14:paraId="2B24742E" w14:textId="77777777" w:rsidTr="00ED08C9">
        <w:trPr>
          <w:cantSplit/>
          <w:trHeight w:val="301"/>
        </w:trPr>
        <w:tc>
          <w:tcPr>
            <w:tcW w:w="1268" w:type="pct"/>
            <w:vMerge w:val="restart"/>
            <w:noWrap/>
            <w:vAlign w:val="center"/>
            <w:hideMark/>
          </w:tcPr>
          <w:p w14:paraId="6417205B" w14:textId="77777777" w:rsidR="00F5470A" w:rsidRPr="00064185" w:rsidRDefault="00F5470A" w:rsidP="00EA61D8">
            <w:pPr>
              <w:keepNext/>
              <w:rPr>
                <w:rFonts w:ascii="Arial" w:hAnsi="Arial" w:cs="Arial"/>
              </w:rPr>
            </w:pPr>
            <w:r w:rsidRPr="00064185">
              <w:rPr>
                <w:b/>
                <w:bCs/>
              </w:rPr>
              <w:t>Parameter</w:t>
            </w:r>
          </w:p>
        </w:tc>
        <w:tc>
          <w:tcPr>
            <w:tcW w:w="1345" w:type="pct"/>
            <w:vMerge w:val="restart"/>
            <w:vAlign w:val="center"/>
            <w:hideMark/>
          </w:tcPr>
          <w:p w14:paraId="66411F25" w14:textId="77777777" w:rsidR="00F5470A" w:rsidRPr="00064185" w:rsidRDefault="00F5470A" w:rsidP="00EA61D8">
            <w:pPr>
              <w:keepNext/>
              <w:rPr>
                <w:b/>
                <w:bCs/>
              </w:rPr>
            </w:pPr>
            <w:r w:rsidRPr="00064185">
              <w:rPr>
                <w:b/>
                <w:bCs/>
              </w:rPr>
              <w:t>Definition</w:t>
            </w:r>
          </w:p>
        </w:tc>
        <w:tc>
          <w:tcPr>
            <w:tcW w:w="1877" w:type="pct"/>
            <w:gridSpan w:val="3"/>
            <w:vAlign w:val="center"/>
            <w:hideMark/>
          </w:tcPr>
          <w:p w14:paraId="5EC90B31" w14:textId="4B3FA695" w:rsidR="00F5470A" w:rsidRPr="00064185" w:rsidRDefault="00F5470A" w:rsidP="00EA61D8">
            <w:pPr>
              <w:keepNext/>
              <w:rPr>
                <w:bCs/>
              </w:rPr>
            </w:pPr>
            <w:r w:rsidRPr="00064185">
              <w:rPr>
                <w:b/>
                <w:bCs/>
              </w:rPr>
              <w:t>Indoor use</w:t>
            </w:r>
          </w:p>
        </w:tc>
        <w:tc>
          <w:tcPr>
            <w:tcW w:w="510" w:type="pct"/>
            <w:vAlign w:val="center"/>
          </w:tcPr>
          <w:p w14:paraId="6B54B158" w14:textId="55EE1E0D" w:rsidR="00F5470A" w:rsidRPr="00064185" w:rsidRDefault="00F5470A" w:rsidP="00EA61D8">
            <w:pPr>
              <w:keepNext/>
              <w:rPr>
                <w:bCs/>
              </w:rPr>
            </w:pPr>
            <w:r w:rsidRPr="00064185">
              <w:rPr>
                <w:b/>
                <w:bCs/>
              </w:rPr>
              <w:t>Outdoor use</w:t>
            </w:r>
          </w:p>
        </w:tc>
      </w:tr>
      <w:tr w:rsidR="00064185" w:rsidRPr="00064185" w14:paraId="7DDEAFAA" w14:textId="77777777" w:rsidTr="001A33AE">
        <w:trPr>
          <w:cantSplit/>
          <w:trHeight w:val="300"/>
        </w:trPr>
        <w:tc>
          <w:tcPr>
            <w:tcW w:w="1268" w:type="pct"/>
            <w:vMerge/>
            <w:noWrap/>
            <w:vAlign w:val="center"/>
          </w:tcPr>
          <w:p w14:paraId="40C52BAB" w14:textId="77777777" w:rsidR="00874F5C" w:rsidRPr="00064185" w:rsidRDefault="00874F5C" w:rsidP="00EA61D8">
            <w:pPr>
              <w:keepNext/>
              <w:rPr>
                <w:b/>
                <w:bCs/>
              </w:rPr>
            </w:pPr>
          </w:p>
        </w:tc>
        <w:tc>
          <w:tcPr>
            <w:tcW w:w="1345" w:type="pct"/>
            <w:vMerge/>
            <w:vAlign w:val="center"/>
          </w:tcPr>
          <w:p w14:paraId="67290FD1" w14:textId="77777777" w:rsidR="00874F5C" w:rsidRPr="00064185" w:rsidRDefault="00874F5C" w:rsidP="00EA61D8">
            <w:pPr>
              <w:keepNext/>
              <w:rPr>
                <w:b/>
                <w:bCs/>
              </w:rPr>
            </w:pPr>
          </w:p>
        </w:tc>
        <w:tc>
          <w:tcPr>
            <w:tcW w:w="459" w:type="pct"/>
            <w:vAlign w:val="center"/>
          </w:tcPr>
          <w:p w14:paraId="1853B7C8" w14:textId="77777777" w:rsidR="00E33580" w:rsidRPr="00064185" w:rsidRDefault="00874F5C" w:rsidP="00EA61D8">
            <w:pPr>
              <w:keepNext/>
              <w:rPr>
                <w:bCs/>
              </w:rPr>
            </w:pPr>
            <w:r w:rsidRPr="00064185">
              <w:rPr>
                <w:b/>
                <w:bCs/>
              </w:rPr>
              <w:t>Ants</w:t>
            </w:r>
            <w:r w:rsidR="00DB01A0" w:rsidRPr="00064185">
              <w:rPr>
                <w:bCs/>
              </w:rPr>
              <w:t xml:space="preserve"> </w:t>
            </w:r>
          </w:p>
          <w:p w14:paraId="03703397" w14:textId="5EBE439A" w:rsidR="00874F5C" w:rsidRPr="00064185" w:rsidRDefault="00DB01A0" w:rsidP="00EA61D8">
            <w:pPr>
              <w:keepNext/>
              <w:rPr>
                <w:bCs/>
              </w:rPr>
            </w:pPr>
            <w:r w:rsidRPr="00064185">
              <w:rPr>
                <w:bCs/>
                <w:sz w:val="18"/>
                <w:szCs w:val="18"/>
              </w:rPr>
              <w:t>residual treatment</w:t>
            </w:r>
          </w:p>
        </w:tc>
        <w:tc>
          <w:tcPr>
            <w:tcW w:w="788" w:type="pct"/>
            <w:vAlign w:val="center"/>
          </w:tcPr>
          <w:p w14:paraId="3D7B53F4" w14:textId="77777777" w:rsidR="00E33580" w:rsidRPr="00064185" w:rsidRDefault="00874F5C" w:rsidP="00EA61D8">
            <w:pPr>
              <w:keepNext/>
              <w:rPr>
                <w:bCs/>
                <w:sz w:val="18"/>
                <w:szCs w:val="18"/>
              </w:rPr>
            </w:pPr>
            <w:r w:rsidRPr="00064185">
              <w:rPr>
                <w:b/>
                <w:bCs/>
              </w:rPr>
              <w:t>Silverfish &amp; Cockroaches</w:t>
            </w:r>
            <w:r w:rsidR="00DB01A0" w:rsidRPr="00064185">
              <w:rPr>
                <w:bCs/>
                <w:sz w:val="18"/>
                <w:szCs w:val="18"/>
              </w:rPr>
              <w:t xml:space="preserve"> </w:t>
            </w:r>
          </w:p>
          <w:p w14:paraId="0277E90C" w14:textId="3F509155" w:rsidR="00874F5C" w:rsidRPr="00064185" w:rsidRDefault="00DB01A0" w:rsidP="00EA61D8">
            <w:pPr>
              <w:keepNext/>
              <w:rPr>
                <w:bCs/>
              </w:rPr>
            </w:pPr>
            <w:r w:rsidRPr="00064185">
              <w:rPr>
                <w:bCs/>
                <w:sz w:val="18"/>
                <w:szCs w:val="18"/>
              </w:rPr>
              <w:t xml:space="preserve">on target organisms, </w:t>
            </w:r>
            <w:r w:rsidR="001979BC" w:rsidRPr="00064185">
              <w:rPr>
                <w:bCs/>
                <w:sz w:val="18"/>
                <w:szCs w:val="18"/>
              </w:rPr>
              <w:t>weekly</w:t>
            </w:r>
          </w:p>
        </w:tc>
        <w:tc>
          <w:tcPr>
            <w:tcW w:w="630" w:type="pct"/>
            <w:vAlign w:val="center"/>
          </w:tcPr>
          <w:p w14:paraId="2D50B6D1" w14:textId="4864AFC2" w:rsidR="00874F5C" w:rsidRPr="00064185" w:rsidRDefault="00874F5C" w:rsidP="00EA61D8">
            <w:pPr>
              <w:keepNext/>
              <w:rPr>
                <w:bCs/>
              </w:rPr>
            </w:pPr>
            <w:r w:rsidRPr="00064185">
              <w:rPr>
                <w:b/>
                <w:bCs/>
              </w:rPr>
              <w:t>Wood lice</w:t>
            </w:r>
            <w:r w:rsidR="00DB01A0" w:rsidRPr="00064185">
              <w:rPr>
                <w:bCs/>
                <w:sz w:val="18"/>
                <w:szCs w:val="18"/>
              </w:rPr>
              <w:t xml:space="preserve"> on target organisms,</w:t>
            </w:r>
            <w:r w:rsidR="001979BC" w:rsidRPr="00064185">
              <w:rPr>
                <w:bCs/>
                <w:sz w:val="18"/>
                <w:szCs w:val="18"/>
              </w:rPr>
              <w:t xml:space="preserve"> twice a year</w:t>
            </w:r>
            <w:r w:rsidR="00DB01A0" w:rsidRPr="00064185">
              <w:rPr>
                <w:bCs/>
                <w:sz w:val="18"/>
                <w:szCs w:val="18"/>
              </w:rPr>
              <w:t xml:space="preserve"> </w:t>
            </w:r>
          </w:p>
        </w:tc>
        <w:tc>
          <w:tcPr>
            <w:tcW w:w="510" w:type="pct"/>
            <w:vAlign w:val="center"/>
          </w:tcPr>
          <w:p w14:paraId="0BAA9535" w14:textId="77777777" w:rsidR="00E33580" w:rsidRPr="00064185" w:rsidRDefault="00874F5C" w:rsidP="00EA61D8">
            <w:pPr>
              <w:keepNext/>
              <w:rPr>
                <w:sz w:val="18"/>
                <w:szCs w:val="18"/>
              </w:rPr>
            </w:pPr>
            <w:r w:rsidRPr="00064185">
              <w:rPr>
                <w:b/>
                <w:bCs/>
              </w:rPr>
              <w:t>Ants</w:t>
            </w:r>
            <w:r w:rsidR="00DB01A0" w:rsidRPr="00064185">
              <w:rPr>
                <w:sz w:val="18"/>
                <w:szCs w:val="18"/>
              </w:rPr>
              <w:t xml:space="preserve"> </w:t>
            </w:r>
          </w:p>
          <w:p w14:paraId="0C824D5D" w14:textId="48F2C5F2" w:rsidR="00874F5C" w:rsidRPr="00064185" w:rsidRDefault="00E33580" w:rsidP="00EA61D8">
            <w:pPr>
              <w:keepNext/>
              <w:rPr>
                <w:bCs/>
              </w:rPr>
            </w:pPr>
            <w:r w:rsidRPr="00064185">
              <w:rPr>
                <w:sz w:val="18"/>
                <w:szCs w:val="18"/>
              </w:rPr>
              <w:t xml:space="preserve">(urban area), </w:t>
            </w:r>
            <w:r w:rsidR="00DB01A0" w:rsidRPr="00064185">
              <w:rPr>
                <w:sz w:val="18"/>
                <w:szCs w:val="18"/>
              </w:rPr>
              <w:t>residual treatment</w:t>
            </w:r>
          </w:p>
        </w:tc>
      </w:tr>
      <w:tr w:rsidR="00064185" w:rsidRPr="00064185" w14:paraId="4AE28F8B" w14:textId="171E7F28" w:rsidTr="001A33AE">
        <w:trPr>
          <w:trHeight w:val="288"/>
        </w:trPr>
        <w:tc>
          <w:tcPr>
            <w:tcW w:w="1268" w:type="pct"/>
            <w:vAlign w:val="center"/>
            <w:hideMark/>
          </w:tcPr>
          <w:p w14:paraId="3089E240" w14:textId="53EAEF2C" w:rsidR="00874F5C" w:rsidRPr="00064185" w:rsidRDefault="00874F5C" w:rsidP="00EA61D8">
            <w:pPr>
              <w:keepNext/>
              <w:keepLines/>
              <w:tabs>
                <w:tab w:val="left" w:pos="720"/>
                <w:tab w:val="left" w:pos="2127"/>
                <w:tab w:val="left" w:pos="2552"/>
                <w:tab w:val="left" w:pos="7371"/>
                <w:tab w:val="right" w:pos="7921"/>
              </w:tabs>
            </w:pPr>
            <w:r w:rsidRPr="00064185">
              <w:t>Predicted environmental  concentration in surface water [mg/</w:t>
            </w:r>
            <w:r w:rsidR="00415696" w:rsidRPr="00064185">
              <w:t>l</w:t>
            </w:r>
            <w:r w:rsidRPr="00064185">
              <w:t>]</w:t>
            </w:r>
          </w:p>
        </w:tc>
        <w:tc>
          <w:tcPr>
            <w:tcW w:w="1345" w:type="pct"/>
            <w:vAlign w:val="center"/>
            <w:hideMark/>
          </w:tcPr>
          <w:p w14:paraId="34B98D6A" w14:textId="1FD1C341" w:rsidR="00874F5C" w:rsidRPr="00064185" w:rsidRDefault="00874F5C" w:rsidP="00EA61D8">
            <w:pPr>
              <w:keepNext/>
              <w:keepLines/>
            </w:pPr>
            <w:r w:rsidRPr="00064185">
              <w:t>PEC</w:t>
            </w:r>
            <w:r w:rsidRPr="00064185">
              <w:rPr>
                <w:vertAlign w:val="subscript"/>
              </w:rPr>
              <w:t>water</w:t>
            </w:r>
          </w:p>
        </w:tc>
        <w:tc>
          <w:tcPr>
            <w:tcW w:w="459" w:type="pct"/>
            <w:vAlign w:val="center"/>
            <w:hideMark/>
          </w:tcPr>
          <w:p w14:paraId="41F49FCE" w14:textId="6F7C7C1E" w:rsidR="00874F5C" w:rsidRPr="00064185" w:rsidRDefault="000768A8" w:rsidP="00EA61D8">
            <w:pPr>
              <w:keepNext/>
              <w:tabs>
                <w:tab w:val="right" w:pos="1370"/>
              </w:tabs>
            </w:pPr>
            <w:r w:rsidRPr="00064185">
              <w:t>2.97E-6</w:t>
            </w:r>
          </w:p>
        </w:tc>
        <w:tc>
          <w:tcPr>
            <w:tcW w:w="788" w:type="pct"/>
            <w:vAlign w:val="center"/>
          </w:tcPr>
          <w:p w14:paraId="60A372E8" w14:textId="64905CB4" w:rsidR="00874F5C" w:rsidRPr="00064185" w:rsidRDefault="004E59FD" w:rsidP="00EA61D8">
            <w:pPr>
              <w:keepNext/>
              <w:tabs>
                <w:tab w:val="right" w:pos="1370"/>
              </w:tabs>
            </w:pPr>
            <w:r w:rsidRPr="00064185">
              <w:t>2.75E-5</w:t>
            </w:r>
          </w:p>
        </w:tc>
        <w:tc>
          <w:tcPr>
            <w:tcW w:w="630" w:type="pct"/>
            <w:vAlign w:val="center"/>
          </w:tcPr>
          <w:p w14:paraId="4D72DF05" w14:textId="7E452F40" w:rsidR="00874F5C" w:rsidRPr="00064185" w:rsidRDefault="004E59FD" w:rsidP="00EA61D8">
            <w:r w:rsidRPr="00064185">
              <w:t>2.81</w:t>
            </w:r>
            <w:r w:rsidR="00306DB1" w:rsidRPr="00064185">
              <w:t>E</w:t>
            </w:r>
            <w:r w:rsidRPr="00064185">
              <w:t>-6</w:t>
            </w:r>
          </w:p>
        </w:tc>
        <w:tc>
          <w:tcPr>
            <w:tcW w:w="510" w:type="pct"/>
            <w:vAlign w:val="center"/>
          </w:tcPr>
          <w:p w14:paraId="0800DD67" w14:textId="5F440AE1" w:rsidR="00874F5C" w:rsidRPr="00064185" w:rsidRDefault="000768A8" w:rsidP="00EA61D8">
            <w:pPr>
              <w:keepNext/>
              <w:tabs>
                <w:tab w:val="right" w:pos="1370"/>
              </w:tabs>
            </w:pPr>
            <w:r w:rsidRPr="00064185">
              <w:t>2.35E</w:t>
            </w:r>
            <w:r w:rsidR="00874F5C" w:rsidRPr="00064185">
              <w:t>-6</w:t>
            </w:r>
          </w:p>
        </w:tc>
      </w:tr>
      <w:tr w:rsidR="00064185" w:rsidRPr="00064185" w14:paraId="6CAD299F" w14:textId="77777777" w:rsidTr="00ED08C9">
        <w:trPr>
          <w:trHeight w:val="449"/>
        </w:trPr>
        <w:tc>
          <w:tcPr>
            <w:tcW w:w="1268" w:type="pct"/>
            <w:vAlign w:val="center"/>
            <w:hideMark/>
          </w:tcPr>
          <w:p w14:paraId="5CECECAC" w14:textId="77777777" w:rsidR="00E13E24" w:rsidRPr="00064185" w:rsidRDefault="00874F5C" w:rsidP="00EA61D8">
            <w:pPr>
              <w:tabs>
                <w:tab w:val="left" w:pos="720"/>
                <w:tab w:val="left" w:pos="2127"/>
                <w:tab w:val="left" w:pos="2552"/>
                <w:tab w:val="left" w:pos="7371"/>
                <w:tab w:val="right" w:pos="7921"/>
              </w:tabs>
            </w:pPr>
            <w:r w:rsidRPr="00064185">
              <w:t xml:space="preserve">Bioconcentration factor for fish on wet weight basis </w:t>
            </w:r>
          </w:p>
          <w:p w14:paraId="5FE94BD1" w14:textId="6BD58FF5" w:rsidR="00874F5C" w:rsidRPr="00064185" w:rsidRDefault="00874F5C" w:rsidP="00EA61D8">
            <w:pPr>
              <w:tabs>
                <w:tab w:val="left" w:pos="720"/>
                <w:tab w:val="left" w:pos="2127"/>
                <w:tab w:val="left" w:pos="2552"/>
                <w:tab w:val="left" w:pos="7371"/>
                <w:tab w:val="right" w:pos="7921"/>
              </w:tabs>
            </w:pPr>
            <w:r w:rsidRPr="00064185">
              <w:t>[</w:t>
            </w:r>
            <w:r w:rsidR="00415696" w:rsidRPr="00064185">
              <w:t>l</w:t>
            </w:r>
            <w:r w:rsidRPr="00064185">
              <w:t>/kg</w:t>
            </w:r>
            <w:r w:rsidRPr="00064185">
              <w:rPr>
                <w:vertAlign w:val="subscript"/>
              </w:rPr>
              <w:t>wet fish</w:t>
            </w:r>
            <w:r w:rsidRPr="00064185">
              <w:t>]</w:t>
            </w:r>
          </w:p>
        </w:tc>
        <w:tc>
          <w:tcPr>
            <w:tcW w:w="1345" w:type="pct"/>
            <w:vAlign w:val="center"/>
            <w:hideMark/>
          </w:tcPr>
          <w:p w14:paraId="140E8598" w14:textId="1E66AAE7" w:rsidR="00874F5C" w:rsidRPr="00064185" w:rsidRDefault="00874F5C" w:rsidP="00EA61D8">
            <w:pPr>
              <w:keepNext/>
              <w:rPr>
                <w:vertAlign w:val="superscript"/>
              </w:rPr>
            </w:pPr>
            <w:r w:rsidRPr="00064185">
              <w:t>BCF</w:t>
            </w:r>
            <w:r w:rsidRPr="00064185">
              <w:rPr>
                <w:vertAlign w:val="subscript"/>
              </w:rPr>
              <w:t>fish</w:t>
            </w:r>
          </w:p>
        </w:tc>
        <w:tc>
          <w:tcPr>
            <w:tcW w:w="2387" w:type="pct"/>
            <w:gridSpan w:val="4"/>
            <w:vAlign w:val="center"/>
            <w:hideMark/>
          </w:tcPr>
          <w:p w14:paraId="0C27C494" w14:textId="244252A4" w:rsidR="00874F5C" w:rsidRPr="00064185" w:rsidRDefault="00874F5C" w:rsidP="00EA61D8">
            <w:pPr>
              <w:tabs>
                <w:tab w:val="right" w:pos="1295"/>
              </w:tabs>
            </w:pPr>
            <w:r w:rsidRPr="00064185">
              <w:t>4982</w:t>
            </w:r>
          </w:p>
        </w:tc>
      </w:tr>
      <w:tr w:rsidR="00064185" w:rsidRPr="00064185" w14:paraId="7B604076" w14:textId="77777777" w:rsidTr="00ED08C9">
        <w:trPr>
          <w:cantSplit/>
          <w:trHeight w:val="493"/>
        </w:trPr>
        <w:tc>
          <w:tcPr>
            <w:tcW w:w="1268" w:type="pct"/>
            <w:vAlign w:val="center"/>
            <w:hideMark/>
          </w:tcPr>
          <w:p w14:paraId="4A229A05" w14:textId="40184330" w:rsidR="00874F5C" w:rsidRPr="00064185" w:rsidRDefault="00874F5C" w:rsidP="00EA61D8">
            <w:pPr>
              <w:tabs>
                <w:tab w:val="left" w:pos="720"/>
                <w:tab w:val="left" w:pos="2160"/>
                <w:tab w:val="left" w:pos="2552"/>
                <w:tab w:val="left" w:pos="7371"/>
                <w:tab w:val="right" w:pos="7921"/>
              </w:tabs>
            </w:pPr>
            <w:r w:rsidRPr="00064185">
              <w:t>biomagnification factor in fish</w:t>
            </w:r>
            <w:r w:rsidR="00E13E24" w:rsidRPr="00064185">
              <w:t xml:space="preserve"> </w:t>
            </w:r>
            <w:r w:rsidRPr="00064185">
              <w:t>[-]</w:t>
            </w:r>
          </w:p>
        </w:tc>
        <w:tc>
          <w:tcPr>
            <w:tcW w:w="1345" w:type="pct"/>
            <w:vAlign w:val="center"/>
            <w:hideMark/>
          </w:tcPr>
          <w:p w14:paraId="2C7B82F7" w14:textId="3D290719" w:rsidR="00874F5C" w:rsidRPr="00064185" w:rsidRDefault="00874F5C" w:rsidP="00EA61D8">
            <w:pPr>
              <w:keepNext/>
              <w:spacing w:beforeLines="60" w:before="144" w:afterLines="60" w:after="144"/>
            </w:pPr>
            <w:r w:rsidRPr="00064185">
              <w:t>BMF</w:t>
            </w:r>
          </w:p>
        </w:tc>
        <w:tc>
          <w:tcPr>
            <w:tcW w:w="2387" w:type="pct"/>
            <w:gridSpan w:val="4"/>
            <w:vAlign w:val="center"/>
            <w:hideMark/>
          </w:tcPr>
          <w:p w14:paraId="195C0CB5" w14:textId="6D1DBDF1" w:rsidR="00874F5C" w:rsidRPr="00064185" w:rsidRDefault="00874F5C" w:rsidP="00EA61D8">
            <w:pPr>
              <w:spacing w:beforeLines="60" w:before="144" w:afterLines="60" w:after="144"/>
            </w:pPr>
            <w:r w:rsidRPr="00064185">
              <w:t>2</w:t>
            </w:r>
          </w:p>
        </w:tc>
      </w:tr>
      <w:tr w:rsidR="00064185" w:rsidRPr="00064185" w14:paraId="5C3E651A" w14:textId="77777777" w:rsidTr="001A33AE">
        <w:trPr>
          <w:trHeight w:val="790"/>
        </w:trPr>
        <w:tc>
          <w:tcPr>
            <w:tcW w:w="1268" w:type="pct"/>
            <w:vAlign w:val="center"/>
            <w:hideMark/>
          </w:tcPr>
          <w:p w14:paraId="59111F1B" w14:textId="3F72481D" w:rsidR="00874F5C" w:rsidRPr="00064185" w:rsidRDefault="00874F5C" w:rsidP="00EA61D8">
            <w:pPr>
              <w:keepNext/>
              <w:rPr>
                <w:bCs/>
              </w:rPr>
            </w:pPr>
            <w:r w:rsidRPr="00064185">
              <w:rPr>
                <w:b/>
              </w:rPr>
              <w:t xml:space="preserve">Predicted Environmental </w:t>
            </w:r>
            <w:r w:rsidR="00EA68C3" w:rsidRPr="00064185">
              <w:rPr>
                <w:b/>
              </w:rPr>
              <w:t>Concentration</w:t>
            </w:r>
            <w:r w:rsidRPr="00064185">
              <w:rPr>
                <w:b/>
              </w:rPr>
              <w:t xml:space="preserve"> in fish</w:t>
            </w:r>
            <w:r w:rsidR="00E13E24" w:rsidRPr="00064185">
              <w:rPr>
                <w:b/>
              </w:rPr>
              <w:t xml:space="preserve"> </w:t>
            </w:r>
            <w:r w:rsidRPr="00064185">
              <w:rPr>
                <w:b/>
              </w:rPr>
              <w:t>[mg/kg</w:t>
            </w:r>
            <w:r w:rsidRPr="00064185">
              <w:rPr>
                <w:b/>
                <w:vertAlign w:val="subscript"/>
              </w:rPr>
              <w:t>wet fish</w:t>
            </w:r>
            <w:r w:rsidRPr="00064185">
              <w:rPr>
                <w:b/>
              </w:rPr>
              <w:t>]</w:t>
            </w:r>
          </w:p>
        </w:tc>
        <w:tc>
          <w:tcPr>
            <w:tcW w:w="1345" w:type="pct"/>
            <w:vAlign w:val="center"/>
          </w:tcPr>
          <w:p w14:paraId="215BB609" w14:textId="50C2070A" w:rsidR="00874F5C" w:rsidRPr="00064185" w:rsidRDefault="00874F5C" w:rsidP="00EA61D8">
            <w:pPr>
              <w:pStyle w:val="Textkrper"/>
              <w:rPr>
                <w:i/>
              </w:rPr>
            </w:pPr>
          </w:p>
          <w:p w14:paraId="56632D54" w14:textId="5EBCC00F" w:rsidR="00874F5C" w:rsidRPr="00064185" w:rsidRDefault="00192EB8" w:rsidP="00EA61D8">
            <w:pPr>
              <w:pStyle w:val="Textkrper"/>
              <w:rPr>
                <w:i/>
                <w:vertAlign w:val="subscript"/>
              </w:rPr>
            </w:pPr>
            <w:r w:rsidRPr="00064185">
              <w:rPr>
                <w:i/>
                <w:noProof/>
                <w:lang w:val="de-AT" w:eastAsia="de-AT"/>
              </w:rPr>
              <w:drawing>
                <wp:inline distT="0" distB="0" distL="0" distR="0" wp14:anchorId="0A20DF70" wp14:editId="2A2872F4">
                  <wp:extent cx="2246244" cy="317688"/>
                  <wp:effectExtent l="0" t="0" r="1905"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17610" cy="341924"/>
                          </a:xfrm>
                          <a:prstGeom prst="rect">
                            <a:avLst/>
                          </a:prstGeom>
                          <a:noFill/>
                          <a:ln>
                            <a:noFill/>
                          </a:ln>
                        </pic:spPr>
                      </pic:pic>
                    </a:graphicData>
                  </a:graphic>
                </wp:inline>
              </w:drawing>
            </w:r>
          </w:p>
        </w:tc>
        <w:tc>
          <w:tcPr>
            <w:tcW w:w="459" w:type="pct"/>
            <w:vAlign w:val="center"/>
            <w:hideMark/>
          </w:tcPr>
          <w:p w14:paraId="6E2313F6" w14:textId="0216DBE9" w:rsidR="00874F5C" w:rsidRPr="00064185" w:rsidRDefault="00A40835" w:rsidP="00EA61D8">
            <w:pPr>
              <w:rPr>
                <w:b/>
              </w:rPr>
            </w:pPr>
            <w:r w:rsidRPr="00064185">
              <w:rPr>
                <w:b/>
              </w:rPr>
              <w:t>2</w:t>
            </w:r>
            <w:r w:rsidR="002923B2" w:rsidRPr="00064185">
              <w:rPr>
                <w:b/>
              </w:rPr>
              <w:t>.</w:t>
            </w:r>
            <w:r w:rsidRPr="00064185">
              <w:rPr>
                <w:b/>
              </w:rPr>
              <w:t>96E-2</w:t>
            </w:r>
          </w:p>
        </w:tc>
        <w:tc>
          <w:tcPr>
            <w:tcW w:w="788" w:type="pct"/>
            <w:vAlign w:val="center"/>
          </w:tcPr>
          <w:p w14:paraId="52C1B06A" w14:textId="228870E7" w:rsidR="00874F5C" w:rsidRPr="00064185" w:rsidRDefault="001C1455" w:rsidP="00EA61D8">
            <w:pPr>
              <w:rPr>
                <w:b/>
              </w:rPr>
            </w:pPr>
            <w:r w:rsidRPr="00064185">
              <w:rPr>
                <w:b/>
              </w:rPr>
              <w:t>0.274</w:t>
            </w:r>
          </w:p>
        </w:tc>
        <w:tc>
          <w:tcPr>
            <w:tcW w:w="630" w:type="pct"/>
            <w:vAlign w:val="center"/>
          </w:tcPr>
          <w:p w14:paraId="32BE9747" w14:textId="77264E6B" w:rsidR="00DB01A0" w:rsidRPr="00064185" w:rsidRDefault="00647BB0" w:rsidP="00EA61D8">
            <w:pPr>
              <w:rPr>
                <w:b/>
              </w:rPr>
            </w:pPr>
            <w:r w:rsidRPr="00064185">
              <w:rPr>
                <w:b/>
              </w:rPr>
              <w:t>2.80</w:t>
            </w:r>
            <w:r w:rsidR="002923B2" w:rsidRPr="00064185">
              <w:rPr>
                <w:b/>
              </w:rPr>
              <w:t>E-2</w:t>
            </w:r>
          </w:p>
        </w:tc>
        <w:tc>
          <w:tcPr>
            <w:tcW w:w="510" w:type="pct"/>
            <w:vAlign w:val="center"/>
          </w:tcPr>
          <w:p w14:paraId="35CEDE99" w14:textId="6752E8CE" w:rsidR="00874F5C" w:rsidRPr="00064185" w:rsidRDefault="00A40835" w:rsidP="00EA61D8">
            <w:pPr>
              <w:rPr>
                <w:b/>
              </w:rPr>
            </w:pPr>
            <w:r w:rsidRPr="00064185">
              <w:rPr>
                <w:b/>
              </w:rPr>
              <w:t>2.34E-2</w:t>
            </w:r>
          </w:p>
        </w:tc>
      </w:tr>
    </w:tbl>
    <w:p w14:paraId="0397596C" w14:textId="15F61AA1" w:rsidR="00192EB8" w:rsidRPr="00064185" w:rsidRDefault="00192EB8" w:rsidP="006A7704">
      <w:pPr>
        <w:jc w:val="both"/>
        <w:rPr>
          <w:b/>
          <w:bCs/>
        </w:rPr>
      </w:pPr>
      <w:r w:rsidRPr="00064185">
        <w:rPr>
          <w:b/>
          <w:bCs/>
        </w:rPr>
        <w:t>Secondary poisoning via the consumption of contaminated fish</w:t>
      </w:r>
    </w:p>
    <w:p w14:paraId="604E2F04" w14:textId="77777777" w:rsidR="00192EB8" w:rsidRPr="00064185" w:rsidRDefault="00192EB8" w:rsidP="006A7704">
      <w:pPr>
        <w:spacing w:line="260" w:lineRule="atLeast"/>
        <w:jc w:val="both"/>
      </w:pPr>
      <w:r w:rsidRPr="00064185">
        <w:t xml:space="preserve">The assessment of secondary poisoning via the consumption of contaminated fish is calculated according to the TGD (2003). </w:t>
      </w:r>
    </w:p>
    <w:p w14:paraId="5941AD74" w14:textId="22FDFC91" w:rsidR="00192EB8" w:rsidRPr="00064185" w:rsidRDefault="00192EB8" w:rsidP="006A7704">
      <w:pPr>
        <w:pStyle w:val="Textkrper2"/>
        <w:spacing w:before="0" w:after="0" w:line="260" w:lineRule="atLeast"/>
        <w:jc w:val="both"/>
        <w:rPr>
          <w:i w:val="0"/>
          <w:color w:val="auto"/>
        </w:rPr>
      </w:pPr>
      <w:r w:rsidRPr="00064185">
        <w:rPr>
          <w:i w:val="0"/>
          <w:color w:val="auto"/>
        </w:rPr>
        <w:t>The concentration of contaminant in food (fish of fish-eating predators (PECoral</w:t>
      </w:r>
      <w:r w:rsidRPr="00064185">
        <w:rPr>
          <w:i w:val="0"/>
          <w:color w:val="auto"/>
          <w:vertAlign w:val="subscript"/>
        </w:rPr>
        <w:t>predator</w:t>
      </w:r>
      <w:r w:rsidRPr="00064185">
        <w:rPr>
          <w:i w:val="0"/>
          <w:color w:val="auto"/>
        </w:rPr>
        <w:t xml:space="preserve">) is calculated from </w:t>
      </w:r>
      <w:r w:rsidR="0062454F" w:rsidRPr="00064185">
        <w:rPr>
          <w:i w:val="0"/>
          <w:color w:val="auto"/>
        </w:rPr>
        <w:t xml:space="preserve">worst case exposure estimates </w:t>
      </w:r>
      <w:r w:rsidRPr="00064185">
        <w:rPr>
          <w:i w:val="0"/>
          <w:color w:val="auto"/>
        </w:rPr>
        <w:t xml:space="preserve">for surface water, the BCF for fish and the biomagnification factor (BMF) proposed in the CAR on </w:t>
      </w:r>
      <w:r w:rsidRPr="00064185">
        <w:rPr>
          <w:color w:val="auto"/>
        </w:rPr>
        <w:t>lambda</w:t>
      </w:r>
      <w:r w:rsidRPr="00064185">
        <w:rPr>
          <w:i w:val="0"/>
          <w:color w:val="auto"/>
        </w:rPr>
        <w:t>-cyhalothrin (Sweden, 2011).</w:t>
      </w:r>
      <w:r w:rsidR="005C0325" w:rsidRPr="00064185">
        <w:rPr>
          <w:i w:val="0"/>
          <w:color w:val="auto"/>
        </w:rPr>
        <w:t xml:space="preserve"> A reduction of the concentration in water due to </w:t>
      </w:r>
      <w:r w:rsidR="00A77A32" w:rsidRPr="00064185">
        <w:rPr>
          <w:i w:val="0"/>
          <w:color w:val="auto"/>
        </w:rPr>
        <w:t>the assumption that 50 % of the diet comes</w:t>
      </w:r>
      <w:r w:rsidR="00D50B3C" w:rsidRPr="00064185">
        <w:rPr>
          <w:i w:val="0"/>
          <w:color w:val="auto"/>
        </w:rPr>
        <w:t xml:space="preserve"> </w:t>
      </w:r>
      <w:r w:rsidR="00A77A32" w:rsidRPr="00064185">
        <w:rPr>
          <w:i w:val="0"/>
          <w:color w:val="auto"/>
        </w:rPr>
        <w:t xml:space="preserve">from a local area and 50 % of the diet comes from a regional area </w:t>
      </w:r>
      <w:r w:rsidR="005C0325" w:rsidRPr="00064185">
        <w:rPr>
          <w:i w:val="0"/>
          <w:color w:val="auto"/>
        </w:rPr>
        <w:t>was not considered</w:t>
      </w:r>
      <w:r w:rsidR="00A77A32" w:rsidRPr="00064185">
        <w:rPr>
          <w:i w:val="0"/>
          <w:color w:val="auto"/>
        </w:rPr>
        <w:t xml:space="preserve"> in this report</w:t>
      </w:r>
      <w:r w:rsidR="005C0325" w:rsidRPr="00064185">
        <w:rPr>
          <w:i w:val="0"/>
          <w:color w:val="auto"/>
        </w:rPr>
        <w:t>.</w:t>
      </w:r>
    </w:p>
    <w:p w14:paraId="1E5C7C29" w14:textId="77777777" w:rsidR="00ED08C9" w:rsidRPr="00064185" w:rsidRDefault="00ED08C9" w:rsidP="00EA61D8">
      <w:pPr>
        <w:pStyle w:val="Textkrper2"/>
        <w:spacing w:before="0" w:after="0" w:line="260" w:lineRule="atLeast"/>
        <w:rPr>
          <w:i w:val="0"/>
          <w:color w:val="auto"/>
        </w:rPr>
      </w:pPr>
    </w:p>
    <w:p w14:paraId="4256B905" w14:textId="77777777" w:rsidR="00192EB8" w:rsidRPr="00064185" w:rsidRDefault="00192EB8" w:rsidP="00EA61D8">
      <w:pPr>
        <w:spacing w:line="260" w:lineRule="atLeast"/>
        <w:rPr>
          <w:rFonts w:eastAsia="Calibri"/>
          <w:lang w:eastAsia="en-US"/>
        </w:rPr>
      </w:pPr>
    </w:p>
    <w:p w14:paraId="7F44E37A" w14:textId="77777777" w:rsidR="00192EB8" w:rsidRPr="00064185" w:rsidRDefault="00192EB8" w:rsidP="00EA61D8">
      <w:pPr>
        <w:rPr>
          <w:rFonts w:eastAsia="Calibri"/>
          <w:lang w:eastAsia="en-US"/>
        </w:rPr>
        <w:sectPr w:rsidR="00192EB8" w:rsidRPr="00064185" w:rsidSect="00192EB8">
          <w:endnotePr>
            <w:numFmt w:val="decimal"/>
          </w:endnotePr>
          <w:pgSz w:w="16840" w:h="11907" w:orient="landscape" w:code="9"/>
          <w:pgMar w:top="1446" w:right="1474" w:bottom="1247" w:left="2013" w:header="850" w:footer="850" w:gutter="0"/>
          <w:cols w:space="720"/>
          <w:docGrid w:linePitch="272"/>
        </w:sectPr>
      </w:pPr>
    </w:p>
    <w:p w14:paraId="4EABC619" w14:textId="749A2FA7" w:rsidR="00FB71B9" w:rsidRPr="00064185" w:rsidRDefault="00A53EE0" w:rsidP="00EA61D8">
      <w:pPr>
        <w:pStyle w:val="berschrift4"/>
        <w:jc w:val="left"/>
      </w:pPr>
      <w:bookmarkStart w:id="1825" w:name="_Toc377651049"/>
      <w:bookmarkStart w:id="1826" w:name="_Toc389729118"/>
      <w:bookmarkStart w:id="1827" w:name="_Toc440879669"/>
      <w:bookmarkStart w:id="1828" w:name="_Toc440889982"/>
      <w:bookmarkStart w:id="1829" w:name="_Toc530563687"/>
      <w:r w:rsidRPr="00064185">
        <w:lastRenderedPageBreak/>
        <w:t>Risk characterisation</w:t>
      </w:r>
      <w:bookmarkEnd w:id="1825"/>
      <w:bookmarkEnd w:id="1826"/>
      <w:bookmarkEnd w:id="1827"/>
      <w:bookmarkEnd w:id="1828"/>
      <w:bookmarkEnd w:id="1829"/>
    </w:p>
    <w:p w14:paraId="7E24DAC3" w14:textId="77777777" w:rsidR="00894BE2" w:rsidRPr="00064185" w:rsidRDefault="00894BE2" w:rsidP="00EA61D8">
      <w:pPr>
        <w:rPr>
          <w:rFonts w:eastAsia="Calibri"/>
          <w:b/>
          <w:i/>
          <w:sz w:val="22"/>
          <w:szCs w:val="22"/>
          <w:lang w:eastAsia="en-US"/>
        </w:rPr>
      </w:pPr>
      <w:bookmarkStart w:id="1830" w:name="_Toc377651050"/>
      <w:bookmarkStart w:id="1831" w:name="_Toc389729119"/>
      <w:bookmarkStart w:id="1832" w:name="_Toc403472803"/>
    </w:p>
    <w:p w14:paraId="31B56B9E" w14:textId="77777777" w:rsidR="00A53EE0" w:rsidRPr="00064185" w:rsidRDefault="00A53EE0" w:rsidP="00EA61D8">
      <w:pPr>
        <w:rPr>
          <w:rFonts w:eastAsia="Calibri"/>
          <w:b/>
          <w:i/>
          <w:sz w:val="22"/>
          <w:szCs w:val="22"/>
          <w:lang w:eastAsia="en-US"/>
        </w:rPr>
      </w:pPr>
      <w:r w:rsidRPr="00064185">
        <w:rPr>
          <w:rFonts w:eastAsia="Calibri"/>
          <w:b/>
          <w:i/>
          <w:sz w:val="22"/>
          <w:szCs w:val="22"/>
          <w:lang w:eastAsia="en-US"/>
        </w:rPr>
        <w:t>Atmosphere</w:t>
      </w:r>
      <w:bookmarkEnd w:id="1830"/>
      <w:bookmarkEnd w:id="1831"/>
      <w:bookmarkEnd w:id="1832"/>
    </w:p>
    <w:p w14:paraId="17EE5010" w14:textId="77777777" w:rsidR="00A53EE0" w:rsidRPr="00064185" w:rsidRDefault="00A53EE0" w:rsidP="00EA61D8">
      <w:pPr>
        <w:spacing w:line="260" w:lineRule="atLeast"/>
        <w:rPr>
          <w:rFonts w:eastAsia="Calibri"/>
          <w:lang w:eastAsia="en-US"/>
        </w:rPr>
      </w:pPr>
    </w:p>
    <w:p w14:paraId="158D0799" w14:textId="18EB9261" w:rsidR="005D72F4" w:rsidRPr="00064185" w:rsidRDefault="00740B64" w:rsidP="00F200AC">
      <w:pPr>
        <w:jc w:val="both"/>
      </w:pPr>
      <w:r w:rsidRPr="00064185">
        <w:t>The active substance</w:t>
      </w:r>
      <w:r w:rsidR="00B52897" w:rsidRPr="00064185">
        <w:t xml:space="preserve"> is virtually not volatile and even when entering the atmosphere, the compound is rapidly degraded by photochemical processes and neither accumulation in the air nor transpor</w:t>
      </w:r>
      <w:r w:rsidR="00C725C0" w:rsidRPr="00064185">
        <w:t>t over longer distances is</w:t>
      </w:r>
      <w:r w:rsidR="00B52897" w:rsidRPr="00064185">
        <w:t xml:space="preserve"> to be expected.</w:t>
      </w:r>
      <w:r w:rsidR="00911813" w:rsidRPr="00064185">
        <w:t xml:space="preserve"> </w:t>
      </w:r>
    </w:p>
    <w:p w14:paraId="1C356E33" w14:textId="77777777" w:rsidR="00EC0375" w:rsidRPr="00064185" w:rsidRDefault="00EC0375" w:rsidP="00EA61D8">
      <w:pPr>
        <w:rPr>
          <w:rFonts w:eastAsia="Calibri"/>
          <w:b/>
          <w:i/>
          <w:sz w:val="22"/>
          <w:szCs w:val="22"/>
          <w:lang w:eastAsia="en-US"/>
        </w:rPr>
      </w:pPr>
      <w:bookmarkStart w:id="1833" w:name="_Toc377651051"/>
      <w:bookmarkStart w:id="1834" w:name="_Toc389729120"/>
      <w:bookmarkStart w:id="1835" w:name="_Toc403472804"/>
    </w:p>
    <w:p w14:paraId="47BBA11D" w14:textId="77777777" w:rsidR="002A7E5D" w:rsidRPr="00064185" w:rsidRDefault="002A7E5D" w:rsidP="00EA61D8">
      <w:pPr>
        <w:rPr>
          <w:rFonts w:eastAsia="Calibri"/>
          <w:b/>
          <w:i/>
          <w:sz w:val="22"/>
          <w:szCs w:val="22"/>
          <w:lang w:eastAsia="en-US"/>
        </w:rPr>
      </w:pPr>
    </w:p>
    <w:p w14:paraId="5DBF26C5" w14:textId="77777777" w:rsidR="00A53EE0" w:rsidRPr="00064185" w:rsidRDefault="00A53EE0" w:rsidP="00EA61D8">
      <w:pPr>
        <w:rPr>
          <w:rFonts w:eastAsia="Calibri"/>
          <w:b/>
          <w:i/>
          <w:sz w:val="22"/>
          <w:szCs w:val="22"/>
          <w:lang w:eastAsia="en-US"/>
        </w:rPr>
      </w:pPr>
      <w:r w:rsidRPr="00064185">
        <w:rPr>
          <w:rFonts w:eastAsia="Calibri"/>
          <w:b/>
          <w:i/>
          <w:sz w:val="22"/>
          <w:szCs w:val="22"/>
          <w:lang w:eastAsia="en-US"/>
        </w:rPr>
        <w:t>Sewage treatment plant (STP</w:t>
      </w:r>
      <w:bookmarkEnd w:id="1833"/>
      <w:r w:rsidRPr="00064185">
        <w:rPr>
          <w:rFonts w:eastAsia="Calibri"/>
          <w:b/>
          <w:i/>
          <w:sz w:val="22"/>
          <w:szCs w:val="22"/>
          <w:lang w:eastAsia="en-US"/>
        </w:rPr>
        <w:t>)</w:t>
      </w:r>
      <w:bookmarkEnd w:id="1834"/>
      <w:bookmarkEnd w:id="1835"/>
      <w:r w:rsidRPr="00064185">
        <w:rPr>
          <w:rFonts w:eastAsia="Calibri"/>
          <w:b/>
          <w:i/>
          <w:sz w:val="22"/>
          <w:szCs w:val="22"/>
          <w:lang w:eastAsia="en-US"/>
        </w:rPr>
        <w:t xml:space="preserve"> </w:t>
      </w:r>
    </w:p>
    <w:p w14:paraId="31AE325B" w14:textId="720EFBA0" w:rsidR="00E02607" w:rsidRPr="00064185" w:rsidRDefault="00E02607" w:rsidP="00EA61D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3125"/>
        <w:gridCol w:w="3216"/>
      </w:tblGrid>
      <w:tr w:rsidR="00064185" w:rsidRPr="00064185" w14:paraId="48EEE4E1" w14:textId="77777777" w:rsidTr="001B4ACA">
        <w:trPr>
          <w:trHeight w:val="249"/>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02CE8C74" w14:textId="77777777" w:rsidR="00E02607" w:rsidRPr="00064185" w:rsidRDefault="00E02607" w:rsidP="00EA61D8">
            <w:pPr>
              <w:spacing w:before="60" w:after="60" w:line="260" w:lineRule="atLeast"/>
              <w:rPr>
                <w:rFonts w:eastAsia="Calibri" w:cs="Arial"/>
                <w:b/>
                <w:bCs/>
                <w:sz w:val="18"/>
                <w:szCs w:val="18"/>
                <w:lang w:eastAsia="en-GB"/>
              </w:rPr>
            </w:pPr>
            <w:r w:rsidRPr="00064185">
              <w:rPr>
                <w:rFonts w:eastAsia="Calibri" w:cs="Arial"/>
                <w:b/>
                <w:bCs/>
                <w:sz w:val="18"/>
                <w:szCs w:val="18"/>
                <w:lang w:eastAsia="en-GB"/>
              </w:rPr>
              <w:t>Summary table on calculated PEC/PNEC values</w:t>
            </w:r>
          </w:p>
        </w:tc>
      </w:tr>
      <w:tr w:rsidR="00064185" w:rsidRPr="00064185" w14:paraId="79001A64" w14:textId="77777777" w:rsidTr="00BB7DBB">
        <w:trPr>
          <w:trHeight w:val="471"/>
        </w:trPr>
        <w:tc>
          <w:tcPr>
            <w:tcW w:w="1636" w:type="pct"/>
            <w:shd w:val="clear" w:color="auto" w:fill="FFFFFF"/>
            <w:vAlign w:val="center"/>
          </w:tcPr>
          <w:p w14:paraId="0FCF6210" w14:textId="77777777" w:rsidR="00E02607" w:rsidRPr="00064185" w:rsidRDefault="00E02607" w:rsidP="00EA61D8">
            <w:pPr>
              <w:spacing w:before="60" w:after="60" w:line="260" w:lineRule="atLeast"/>
              <w:rPr>
                <w:rFonts w:eastAsia="Calibri" w:cs="Arial"/>
                <w:b/>
                <w:sz w:val="18"/>
                <w:szCs w:val="18"/>
                <w:lang w:eastAsia="en-GB"/>
              </w:rPr>
            </w:pPr>
            <w:r w:rsidRPr="00064185">
              <w:rPr>
                <w:rFonts w:eastAsia="Calibri" w:cs="Arial"/>
                <w:b/>
                <w:sz w:val="18"/>
                <w:szCs w:val="18"/>
                <w:lang w:eastAsia="en-GB"/>
              </w:rPr>
              <w:t>Scenarios</w:t>
            </w:r>
          </w:p>
        </w:tc>
        <w:tc>
          <w:tcPr>
            <w:tcW w:w="1657" w:type="pct"/>
            <w:shd w:val="clear" w:color="auto" w:fill="FFFFFF"/>
            <w:vAlign w:val="center"/>
          </w:tcPr>
          <w:p w14:paraId="21F1AD85" w14:textId="1DE01261" w:rsidR="00E02607" w:rsidRPr="00064185" w:rsidRDefault="00E02607" w:rsidP="00EA61D8">
            <w:pPr>
              <w:spacing w:before="60" w:after="60" w:line="260" w:lineRule="atLeast"/>
              <w:rPr>
                <w:rFonts w:eastAsia="Calibri"/>
                <w:b/>
                <w:sz w:val="18"/>
                <w:szCs w:val="18"/>
                <w:lang w:eastAsia="en-GB"/>
              </w:rPr>
            </w:pPr>
            <w:r w:rsidRPr="00064185">
              <w:rPr>
                <w:rFonts w:eastAsia="Calibri"/>
                <w:b/>
                <w:sz w:val="18"/>
                <w:lang w:eastAsia="en-GB"/>
              </w:rPr>
              <w:t>PEC</w:t>
            </w:r>
            <w:r w:rsidRPr="00064185">
              <w:rPr>
                <w:rFonts w:eastAsia="Calibri"/>
                <w:b/>
                <w:sz w:val="18"/>
                <w:vertAlign w:val="subscript"/>
                <w:lang w:eastAsia="en-GB"/>
              </w:rPr>
              <w:t>STP</w:t>
            </w:r>
            <w:r w:rsidR="00FC2389" w:rsidRPr="00064185">
              <w:rPr>
                <w:rFonts w:eastAsia="Calibri" w:cs="Arial"/>
                <w:lang w:eastAsia="en-GB"/>
              </w:rPr>
              <w:t xml:space="preserve"> </w:t>
            </w:r>
            <w:r w:rsidR="00596213" w:rsidRPr="00064185">
              <w:rPr>
                <w:rFonts w:eastAsia="Calibri" w:cs="Arial"/>
                <w:lang w:eastAsia="en-GB"/>
              </w:rPr>
              <w:t>[</w:t>
            </w:r>
            <w:r w:rsidR="00FC2389" w:rsidRPr="00064185">
              <w:rPr>
                <w:rFonts w:eastAsia="Calibri" w:cs="Arial"/>
                <w:b/>
                <w:lang w:eastAsia="en-GB"/>
              </w:rPr>
              <w:t>mg/l</w:t>
            </w:r>
            <w:r w:rsidR="00596213" w:rsidRPr="00064185">
              <w:rPr>
                <w:rFonts w:eastAsia="Calibri" w:cs="Arial"/>
                <w:b/>
                <w:lang w:eastAsia="en-GB"/>
              </w:rPr>
              <w:t>]</w:t>
            </w:r>
          </w:p>
        </w:tc>
        <w:tc>
          <w:tcPr>
            <w:tcW w:w="1707" w:type="pct"/>
            <w:shd w:val="clear" w:color="auto" w:fill="FFFFFF"/>
            <w:vAlign w:val="center"/>
          </w:tcPr>
          <w:p w14:paraId="4F9A9983" w14:textId="77777777" w:rsidR="00E02607" w:rsidRPr="00064185" w:rsidRDefault="00E02607" w:rsidP="00EA61D8">
            <w:pPr>
              <w:spacing w:before="60" w:after="60" w:line="260" w:lineRule="atLeast"/>
              <w:rPr>
                <w:rFonts w:eastAsia="Calibri" w:cs="Arial"/>
                <w:b/>
                <w:bCs/>
                <w:sz w:val="18"/>
                <w:szCs w:val="18"/>
                <w:lang w:eastAsia="en-GB"/>
              </w:rPr>
            </w:pPr>
            <w:r w:rsidRPr="00064185">
              <w:rPr>
                <w:rFonts w:eastAsia="Calibri" w:cs="Arial"/>
                <w:b/>
                <w:bCs/>
                <w:sz w:val="18"/>
                <w:szCs w:val="18"/>
                <w:lang w:eastAsia="en-GB"/>
              </w:rPr>
              <w:t>PEC/PNEC</w:t>
            </w:r>
            <w:r w:rsidRPr="00064185">
              <w:rPr>
                <w:rFonts w:eastAsia="Calibri" w:cs="Arial"/>
                <w:b/>
                <w:bCs/>
                <w:sz w:val="18"/>
                <w:szCs w:val="18"/>
                <w:vertAlign w:val="subscript"/>
                <w:lang w:eastAsia="en-GB"/>
              </w:rPr>
              <w:t>STP</w:t>
            </w:r>
          </w:p>
        </w:tc>
      </w:tr>
      <w:tr w:rsidR="00064185" w:rsidRPr="00064185" w14:paraId="29560897" w14:textId="77777777" w:rsidTr="00BB7DBB">
        <w:trPr>
          <w:trHeight w:val="75"/>
        </w:trPr>
        <w:tc>
          <w:tcPr>
            <w:tcW w:w="1636" w:type="pct"/>
            <w:shd w:val="clear" w:color="auto" w:fill="FFFFFF"/>
          </w:tcPr>
          <w:p w14:paraId="14016C6F" w14:textId="77777777" w:rsidR="00E02607" w:rsidRPr="00064185" w:rsidRDefault="00E02607" w:rsidP="00EA61D8">
            <w:pPr>
              <w:spacing w:before="60" w:after="60" w:line="260" w:lineRule="atLeast"/>
              <w:rPr>
                <w:rFonts w:eastAsia="Calibri" w:cs="Arial"/>
                <w:lang w:eastAsia="en-GB"/>
              </w:rPr>
            </w:pPr>
          </w:p>
        </w:tc>
        <w:tc>
          <w:tcPr>
            <w:tcW w:w="3364" w:type="pct"/>
            <w:gridSpan w:val="2"/>
            <w:shd w:val="clear" w:color="auto" w:fill="FFFFFF"/>
          </w:tcPr>
          <w:p w14:paraId="15A9ACC7" w14:textId="3EA54448" w:rsidR="00E02607" w:rsidRPr="00064185" w:rsidRDefault="00E02607" w:rsidP="00EA61D8">
            <w:pPr>
              <w:spacing w:before="60" w:after="60" w:line="260" w:lineRule="atLeast"/>
              <w:rPr>
                <w:rFonts w:eastAsia="Calibri" w:cs="Arial"/>
                <w:b/>
                <w:lang w:eastAsia="en-GB"/>
              </w:rPr>
            </w:pPr>
            <w:r w:rsidRPr="00064185">
              <w:rPr>
                <w:rFonts w:eastAsia="Calibri" w:cs="Arial"/>
                <w:b/>
                <w:lang w:eastAsia="en-GB"/>
              </w:rPr>
              <w:t>PNEC</w:t>
            </w:r>
            <w:r w:rsidRPr="00064185">
              <w:rPr>
                <w:rFonts w:eastAsia="Calibri" w:cs="Arial"/>
                <w:b/>
                <w:vertAlign w:val="subscript"/>
                <w:lang w:eastAsia="en-GB"/>
              </w:rPr>
              <w:t>STP</w:t>
            </w:r>
            <w:r w:rsidRPr="00064185">
              <w:rPr>
                <w:rFonts w:eastAsia="Calibri" w:cs="Arial"/>
                <w:b/>
                <w:lang w:eastAsia="en-GB"/>
              </w:rPr>
              <w:t xml:space="preserve"> = </w:t>
            </w:r>
            <w:r w:rsidR="00D454A4" w:rsidRPr="00064185">
              <w:rPr>
                <w:rFonts w:eastAsia="Calibri" w:cs="Arial"/>
                <w:b/>
                <w:lang w:eastAsia="en-GB"/>
              </w:rPr>
              <w:t>5.0</w:t>
            </w:r>
            <w:r w:rsidR="00F14C97" w:rsidRPr="00064185">
              <w:rPr>
                <w:rFonts w:eastAsia="Calibri" w:cs="Arial"/>
                <w:b/>
                <w:lang w:eastAsia="en-GB"/>
              </w:rPr>
              <w:t>E-3</w:t>
            </w:r>
            <w:r w:rsidRPr="00064185">
              <w:rPr>
                <w:rFonts w:eastAsia="Calibri" w:cs="Arial"/>
                <w:b/>
                <w:lang w:eastAsia="en-GB"/>
              </w:rPr>
              <w:t xml:space="preserve"> </w:t>
            </w:r>
            <w:r w:rsidR="00F14C97" w:rsidRPr="00064185">
              <w:rPr>
                <w:rFonts w:eastAsia="Calibri" w:cs="Arial"/>
                <w:b/>
                <w:lang w:eastAsia="en-GB"/>
              </w:rPr>
              <w:t>m</w:t>
            </w:r>
            <w:r w:rsidRPr="00064185">
              <w:rPr>
                <w:rFonts w:eastAsia="Calibri" w:cs="Arial"/>
                <w:b/>
                <w:lang w:eastAsia="en-GB"/>
              </w:rPr>
              <w:t>g/l</w:t>
            </w:r>
          </w:p>
        </w:tc>
      </w:tr>
      <w:tr w:rsidR="00064185" w:rsidRPr="00064185" w14:paraId="27AD059A" w14:textId="77777777" w:rsidTr="001B4ACA">
        <w:trPr>
          <w:trHeight w:val="75"/>
        </w:trPr>
        <w:tc>
          <w:tcPr>
            <w:tcW w:w="5000" w:type="pct"/>
            <w:gridSpan w:val="3"/>
            <w:shd w:val="clear" w:color="auto" w:fill="FFFFFF"/>
          </w:tcPr>
          <w:p w14:paraId="64944878" w14:textId="68CABF76" w:rsidR="00E02607" w:rsidRPr="00064185" w:rsidRDefault="00BB7DBB" w:rsidP="00EA61D8">
            <w:pPr>
              <w:spacing w:before="60" w:after="60" w:line="260" w:lineRule="atLeast"/>
              <w:rPr>
                <w:rFonts w:eastAsia="Calibri" w:cs="Arial"/>
                <w:b/>
                <w:lang w:eastAsia="en-GB"/>
              </w:rPr>
            </w:pPr>
            <w:r w:rsidRPr="00064185">
              <w:rPr>
                <w:rFonts w:eastAsia="Calibri" w:cs="Arial"/>
                <w:b/>
                <w:lang w:eastAsia="en-GB"/>
              </w:rPr>
              <w:t>Spraying</w:t>
            </w:r>
            <w:r w:rsidR="00E02607" w:rsidRPr="00064185">
              <w:rPr>
                <w:rFonts w:eastAsia="Calibri" w:cs="Arial"/>
                <w:b/>
                <w:lang w:eastAsia="en-GB"/>
              </w:rPr>
              <w:t xml:space="preserve"> indoor</w:t>
            </w:r>
            <w:r w:rsidRPr="00064185">
              <w:rPr>
                <w:rFonts w:eastAsia="Calibri" w:cs="Arial"/>
                <w:b/>
                <w:lang w:eastAsia="en-GB"/>
              </w:rPr>
              <w:t>s, residual treatment</w:t>
            </w:r>
          </w:p>
        </w:tc>
      </w:tr>
      <w:tr w:rsidR="00064185" w:rsidRPr="00064185" w14:paraId="3E62928A" w14:textId="77777777" w:rsidTr="00BB7DBB">
        <w:trPr>
          <w:trHeight w:val="75"/>
        </w:trPr>
        <w:tc>
          <w:tcPr>
            <w:tcW w:w="1636" w:type="pct"/>
            <w:shd w:val="clear" w:color="auto" w:fill="FFFFFF"/>
          </w:tcPr>
          <w:p w14:paraId="33BCAEE7" w14:textId="115E8F6B" w:rsidR="00E02607" w:rsidRPr="00064185" w:rsidRDefault="00E02607" w:rsidP="00EA61D8">
            <w:pPr>
              <w:spacing w:before="60" w:after="60" w:line="260" w:lineRule="atLeast"/>
              <w:rPr>
                <w:rFonts w:eastAsia="Calibri" w:cs="Arial"/>
                <w:lang w:eastAsia="en-GB"/>
              </w:rPr>
            </w:pPr>
            <w:proofErr w:type="gramStart"/>
            <w:r w:rsidRPr="00064185">
              <w:rPr>
                <w:rFonts w:eastAsia="Calibri" w:cs="Arial"/>
                <w:lang w:eastAsia="en-GB"/>
              </w:rPr>
              <w:t>Ants</w:t>
            </w:r>
            <w:r w:rsidR="0079488C" w:rsidRPr="00064185">
              <w:rPr>
                <w:rFonts w:eastAsia="Calibri" w:cs="Arial"/>
                <w:lang w:eastAsia="en-GB"/>
              </w:rPr>
              <w:t>,</w:t>
            </w:r>
            <w:proofErr w:type="gramEnd"/>
            <w:r w:rsidR="0079488C" w:rsidRPr="00064185">
              <w:rPr>
                <w:rFonts w:eastAsia="Calibri" w:cs="Arial"/>
                <w:lang w:eastAsia="en-GB"/>
              </w:rPr>
              <w:t xml:space="preserve"> max. 11 appl./year</w:t>
            </w:r>
          </w:p>
        </w:tc>
        <w:tc>
          <w:tcPr>
            <w:tcW w:w="1657" w:type="pct"/>
            <w:shd w:val="clear" w:color="auto" w:fill="FFFFFF"/>
          </w:tcPr>
          <w:p w14:paraId="688E921B" w14:textId="10B12E73" w:rsidR="00E02607" w:rsidRPr="00064185" w:rsidRDefault="00F14C97" w:rsidP="00EA61D8">
            <w:pPr>
              <w:spacing w:before="60" w:after="60" w:line="260" w:lineRule="atLeast"/>
              <w:rPr>
                <w:rFonts w:eastAsia="Calibri"/>
                <w:lang w:eastAsia="en-GB"/>
              </w:rPr>
            </w:pPr>
            <w:r w:rsidRPr="00064185">
              <w:rPr>
                <w:rFonts w:eastAsia="Calibri"/>
                <w:lang w:eastAsia="en-GB"/>
              </w:rPr>
              <w:t>3.28E-5</w:t>
            </w:r>
            <w:r w:rsidR="00A16BA7" w:rsidRPr="00064185">
              <w:rPr>
                <w:rFonts w:eastAsia="Calibri"/>
                <w:lang w:eastAsia="en-GB"/>
              </w:rPr>
              <w:t xml:space="preserve"> </w:t>
            </w:r>
          </w:p>
        </w:tc>
        <w:tc>
          <w:tcPr>
            <w:tcW w:w="1707" w:type="pct"/>
            <w:shd w:val="clear" w:color="auto" w:fill="FFFFFF"/>
          </w:tcPr>
          <w:p w14:paraId="40880CDF" w14:textId="2AD3E49F" w:rsidR="00E02607" w:rsidRPr="00064185" w:rsidRDefault="00A943AF" w:rsidP="00EA61D8">
            <w:pPr>
              <w:spacing w:before="60" w:after="60" w:line="260" w:lineRule="atLeast"/>
            </w:pPr>
            <w:r w:rsidRPr="00064185">
              <w:rPr>
                <w:rFonts w:eastAsia="Calibri"/>
                <w:lang w:eastAsia="en-GB"/>
              </w:rPr>
              <w:t>6</w:t>
            </w:r>
            <w:r w:rsidR="00D454A4" w:rsidRPr="00064185">
              <w:rPr>
                <w:rFonts w:eastAsia="Calibri"/>
                <w:lang w:eastAsia="en-GB"/>
              </w:rPr>
              <w:t>.</w:t>
            </w:r>
            <w:r w:rsidRPr="00064185">
              <w:rPr>
                <w:rFonts w:eastAsia="Calibri"/>
                <w:lang w:eastAsia="en-GB"/>
              </w:rPr>
              <w:t>56</w:t>
            </w:r>
            <w:r w:rsidR="00D454A4" w:rsidRPr="00064185">
              <w:rPr>
                <w:rFonts w:eastAsia="Calibri"/>
                <w:lang w:eastAsia="en-GB"/>
              </w:rPr>
              <w:t>E-</w:t>
            </w:r>
            <w:r w:rsidRPr="00064185">
              <w:rPr>
                <w:rFonts w:eastAsia="Calibri"/>
                <w:lang w:eastAsia="en-GB"/>
              </w:rPr>
              <w:t>3</w:t>
            </w:r>
          </w:p>
        </w:tc>
      </w:tr>
      <w:tr w:rsidR="00064185" w:rsidRPr="00064185" w14:paraId="43D0A732" w14:textId="77777777" w:rsidTr="00BB7DBB">
        <w:trPr>
          <w:trHeight w:val="75"/>
        </w:trPr>
        <w:tc>
          <w:tcPr>
            <w:tcW w:w="1636" w:type="pct"/>
            <w:shd w:val="clear" w:color="auto" w:fill="FFFFFF"/>
          </w:tcPr>
          <w:p w14:paraId="669C9591" w14:textId="2CB705D5" w:rsidR="00E02607" w:rsidRPr="00064185" w:rsidRDefault="00E02607" w:rsidP="00EA61D8">
            <w:pPr>
              <w:spacing w:before="60" w:after="60" w:line="260" w:lineRule="atLeast"/>
              <w:rPr>
                <w:rFonts w:eastAsia="Calibri" w:cs="Arial"/>
                <w:lang w:eastAsia="en-GB"/>
              </w:rPr>
            </w:pPr>
            <w:r w:rsidRPr="00064185">
              <w:rPr>
                <w:rFonts w:eastAsia="Calibri" w:cs="Arial"/>
                <w:lang w:eastAsia="en-GB"/>
              </w:rPr>
              <w:t>Silverfish</w:t>
            </w:r>
            <w:r w:rsidR="00A01136" w:rsidRPr="00064185">
              <w:rPr>
                <w:rFonts w:eastAsia="Calibri" w:cs="Arial"/>
                <w:lang w:eastAsia="en-GB"/>
              </w:rPr>
              <w:t>es</w:t>
            </w:r>
            <w:r w:rsidRPr="00064185">
              <w:rPr>
                <w:rFonts w:eastAsia="Calibri" w:cs="Arial"/>
                <w:lang w:eastAsia="en-GB"/>
              </w:rPr>
              <w:t xml:space="preserve"> &amp; Cockroaches</w:t>
            </w:r>
            <w:r w:rsidR="00BB7DBB" w:rsidRPr="00064185">
              <w:rPr>
                <w:rFonts w:eastAsia="Calibri" w:cs="Arial"/>
                <w:lang w:eastAsia="en-GB"/>
              </w:rPr>
              <w:t>, weekly</w:t>
            </w:r>
          </w:p>
        </w:tc>
        <w:tc>
          <w:tcPr>
            <w:tcW w:w="1657" w:type="pct"/>
            <w:shd w:val="clear" w:color="auto" w:fill="FFFFFF"/>
            <w:vAlign w:val="center"/>
          </w:tcPr>
          <w:p w14:paraId="2022C8EC" w14:textId="693E5C69" w:rsidR="00E02607" w:rsidRPr="00064185" w:rsidRDefault="00C44B2D" w:rsidP="00EA61D8">
            <w:pPr>
              <w:spacing w:before="60" w:after="60" w:line="260" w:lineRule="atLeast"/>
              <w:rPr>
                <w:rFonts w:eastAsia="Calibri"/>
                <w:lang w:eastAsia="en-GB"/>
              </w:rPr>
            </w:pPr>
            <w:r w:rsidRPr="00064185">
              <w:rPr>
                <w:rFonts w:eastAsia="Calibri"/>
                <w:lang w:eastAsia="en-GB"/>
              </w:rPr>
              <w:t>0.25</w:t>
            </w:r>
            <w:r w:rsidR="00F14C97" w:rsidRPr="00064185">
              <w:rPr>
                <w:rFonts w:eastAsia="Calibri"/>
                <w:lang w:eastAsia="en-GB"/>
              </w:rPr>
              <w:t>E-3</w:t>
            </w:r>
            <w:r w:rsidR="00A943AF" w:rsidRPr="00064185">
              <w:rPr>
                <w:rFonts w:eastAsia="Calibri"/>
                <w:lang w:eastAsia="en-GB"/>
              </w:rPr>
              <w:t xml:space="preserve"> </w:t>
            </w:r>
          </w:p>
        </w:tc>
        <w:tc>
          <w:tcPr>
            <w:tcW w:w="1707" w:type="pct"/>
            <w:shd w:val="clear" w:color="auto" w:fill="FFFFFF"/>
            <w:vAlign w:val="center"/>
          </w:tcPr>
          <w:p w14:paraId="7182D920" w14:textId="2C97D86B" w:rsidR="00E02607" w:rsidRPr="00064185" w:rsidRDefault="00C44B2D" w:rsidP="00EA61D8">
            <w:pPr>
              <w:spacing w:before="60" w:after="60" w:line="260" w:lineRule="atLeast"/>
              <w:rPr>
                <w:rFonts w:eastAsia="Calibri" w:cs="Arial"/>
                <w:lang w:eastAsia="en-GB"/>
              </w:rPr>
            </w:pPr>
            <w:r w:rsidRPr="00064185">
              <w:rPr>
                <w:rFonts w:eastAsia="Calibri"/>
                <w:lang w:eastAsia="en-GB"/>
              </w:rPr>
              <w:t>5</w:t>
            </w:r>
            <w:r w:rsidR="00A16BA7" w:rsidRPr="00064185">
              <w:rPr>
                <w:rFonts w:eastAsia="Calibri"/>
                <w:lang w:eastAsia="en-GB"/>
              </w:rPr>
              <w:t>.0</w:t>
            </w:r>
            <w:r w:rsidR="00D513B1" w:rsidRPr="00064185">
              <w:rPr>
                <w:rFonts w:eastAsia="Calibri"/>
                <w:lang w:eastAsia="en-GB"/>
              </w:rPr>
              <w:t>0</w:t>
            </w:r>
            <w:r w:rsidR="00A16BA7" w:rsidRPr="00064185">
              <w:rPr>
                <w:rFonts w:eastAsia="Calibri"/>
                <w:lang w:eastAsia="en-GB"/>
              </w:rPr>
              <w:t>E-2</w:t>
            </w:r>
          </w:p>
        </w:tc>
      </w:tr>
      <w:tr w:rsidR="00064185" w:rsidRPr="00064185" w14:paraId="2091D509" w14:textId="77777777" w:rsidTr="00BB7DBB">
        <w:trPr>
          <w:trHeight w:val="75"/>
        </w:trPr>
        <w:tc>
          <w:tcPr>
            <w:tcW w:w="1636" w:type="pct"/>
            <w:shd w:val="clear" w:color="auto" w:fill="FFFFFF"/>
          </w:tcPr>
          <w:p w14:paraId="2487F282" w14:textId="2FA6E170" w:rsidR="00E02607" w:rsidRPr="00064185" w:rsidRDefault="00E02607" w:rsidP="00EA61D8">
            <w:pPr>
              <w:spacing w:before="60" w:after="60" w:line="260" w:lineRule="atLeast"/>
              <w:rPr>
                <w:rFonts w:eastAsia="Calibri" w:cs="Arial"/>
                <w:lang w:eastAsia="en-GB"/>
              </w:rPr>
            </w:pPr>
            <w:r w:rsidRPr="00064185">
              <w:rPr>
                <w:rFonts w:eastAsia="Calibri" w:cs="Arial"/>
                <w:lang w:eastAsia="en-GB"/>
              </w:rPr>
              <w:t>Woodlice</w:t>
            </w:r>
            <w:r w:rsidR="00BB7DBB" w:rsidRPr="00064185">
              <w:rPr>
                <w:rFonts w:eastAsia="Calibri" w:cs="Arial"/>
                <w:lang w:eastAsia="en-GB"/>
              </w:rPr>
              <w:t xml:space="preserve"> &amp; Cockroaches, twice a year</w:t>
            </w:r>
          </w:p>
        </w:tc>
        <w:tc>
          <w:tcPr>
            <w:tcW w:w="1657" w:type="pct"/>
            <w:shd w:val="clear" w:color="auto" w:fill="FFFFFF"/>
          </w:tcPr>
          <w:p w14:paraId="0E6F1AE1" w14:textId="4BBC6D0E" w:rsidR="00E02607" w:rsidRPr="00064185" w:rsidRDefault="00C44B2D" w:rsidP="00EA61D8">
            <w:pPr>
              <w:spacing w:before="60" w:after="60" w:line="260" w:lineRule="atLeast"/>
              <w:rPr>
                <w:rFonts w:eastAsia="Calibri"/>
                <w:lang w:eastAsia="en-GB"/>
              </w:rPr>
            </w:pPr>
            <w:r w:rsidRPr="00064185">
              <w:rPr>
                <w:rFonts w:eastAsia="Calibri"/>
                <w:lang w:eastAsia="en-GB"/>
              </w:rPr>
              <w:t>1</w:t>
            </w:r>
            <w:r w:rsidR="00F14C97" w:rsidRPr="00064185">
              <w:rPr>
                <w:rFonts w:eastAsia="Calibri"/>
                <w:lang w:eastAsia="en-GB"/>
              </w:rPr>
              <w:t>.</w:t>
            </w:r>
            <w:r w:rsidRPr="00064185">
              <w:rPr>
                <w:rFonts w:eastAsia="Calibri"/>
                <w:lang w:eastAsia="en-GB"/>
              </w:rPr>
              <w:t>8</w:t>
            </w:r>
            <w:r w:rsidR="00F14C97" w:rsidRPr="00064185">
              <w:rPr>
                <w:rFonts w:eastAsia="Calibri"/>
                <w:lang w:eastAsia="en-GB"/>
              </w:rPr>
              <w:t>2E-</w:t>
            </w:r>
            <w:r w:rsidRPr="00064185">
              <w:rPr>
                <w:rFonts w:eastAsia="Calibri"/>
                <w:lang w:eastAsia="en-GB"/>
              </w:rPr>
              <w:t>5</w:t>
            </w:r>
            <w:r w:rsidR="00A943AF" w:rsidRPr="00064185">
              <w:rPr>
                <w:rFonts w:eastAsia="Calibri"/>
                <w:lang w:eastAsia="en-GB"/>
              </w:rPr>
              <w:t xml:space="preserve"> </w:t>
            </w:r>
          </w:p>
        </w:tc>
        <w:tc>
          <w:tcPr>
            <w:tcW w:w="1707" w:type="pct"/>
            <w:shd w:val="clear" w:color="auto" w:fill="FFFFFF"/>
          </w:tcPr>
          <w:p w14:paraId="5766DF50" w14:textId="064DCE34" w:rsidR="00E02607" w:rsidRPr="00064185" w:rsidRDefault="00C44B2D" w:rsidP="00EA61D8">
            <w:pPr>
              <w:spacing w:before="60" w:after="60" w:line="260" w:lineRule="atLeast"/>
              <w:rPr>
                <w:rFonts w:eastAsia="Calibri" w:cs="Arial"/>
                <w:lang w:eastAsia="en-GB"/>
              </w:rPr>
            </w:pPr>
            <w:r w:rsidRPr="00064185">
              <w:rPr>
                <w:rFonts w:eastAsia="Calibri"/>
                <w:lang w:eastAsia="en-GB"/>
              </w:rPr>
              <w:t>3</w:t>
            </w:r>
            <w:r w:rsidR="00A16BA7" w:rsidRPr="00064185">
              <w:rPr>
                <w:rFonts w:eastAsia="Calibri"/>
                <w:lang w:eastAsia="en-GB"/>
              </w:rPr>
              <w:t>.64E-3</w:t>
            </w:r>
          </w:p>
        </w:tc>
      </w:tr>
      <w:tr w:rsidR="00064185" w:rsidRPr="00064185" w14:paraId="3CC6D6E4" w14:textId="77777777" w:rsidTr="001B4ACA">
        <w:trPr>
          <w:trHeight w:val="75"/>
        </w:trPr>
        <w:tc>
          <w:tcPr>
            <w:tcW w:w="5000" w:type="pct"/>
            <w:gridSpan w:val="3"/>
            <w:shd w:val="clear" w:color="auto" w:fill="FFFFFF"/>
          </w:tcPr>
          <w:p w14:paraId="405CA230" w14:textId="0774D156" w:rsidR="00BB7DBB" w:rsidRPr="00064185" w:rsidRDefault="00BB7DBB" w:rsidP="00EA61D8">
            <w:pPr>
              <w:spacing w:before="60" w:after="60" w:line="260" w:lineRule="atLeast"/>
              <w:rPr>
                <w:rFonts w:eastAsia="Calibri" w:cs="Arial"/>
                <w:lang w:eastAsia="en-GB"/>
              </w:rPr>
            </w:pPr>
            <w:r w:rsidRPr="00064185">
              <w:rPr>
                <w:rFonts w:eastAsia="Calibri" w:cs="Arial"/>
                <w:b/>
                <w:lang w:eastAsia="en-GB"/>
              </w:rPr>
              <w:t>Spraying indoors, direct treatment of target organisms</w:t>
            </w:r>
          </w:p>
        </w:tc>
      </w:tr>
      <w:tr w:rsidR="00064185" w:rsidRPr="00064185" w14:paraId="57757AA8" w14:textId="4F3A280C" w:rsidTr="00D513B1">
        <w:trPr>
          <w:trHeight w:val="75"/>
        </w:trPr>
        <w:tc>
          <w:tcPr>
            <w:tcW w:w="1638" w:type="pct"/>
            <w:shd w:val="clear" w:color="auto" w:fill="FFFFFF"/>
          </w:tcPr>
          <w:p w14:paraId="3950450B" w14:textId="1D96683F" w:rsidR="00BB7DBB" w:rsidRPr="00064185" w:rsidRDefault="00BB7DBB" w:rsidP="00EA61D8">
            <w:pPr>
              <w:spacing w:before="60" w:after="60" w:line="260" w:lineRule="atLeast"/>
              <w:rPr>
                <w:rFonts w:eastAsia="Calibri" w:cs="Arial"/>
                <w:lang w:eastAsia="en-GB"/>
              </w:rPr>
            </w:pPr>
            <w:r w:rsidRPr="00064185">
              <w:rPr>
                <w:rFonts w:eastAsia="Calibri" w:cs="Arial"/>
                <w:lang w:eastAsia="en-GB"/>
              </w:rPr>
              <w:t>Silverfish</w:t>
            </w:r>
            <w:r w:rsidR="00A01136" w:rsidRPr="00064185">
              <w:rPr>
                <w:rFonts w:eastAsia="Calibri" w:cs="Arial"/>
                <w:lang w:eastAsia="en-GB"/>
              </w:rPr>
              <w:t>es</w:t>
            </w:r>
            <w:r w:rsidRPr="00064185">
              <w:rPr>
                <w:rFonts w:eastAsia="Calibri" w:cs="Arial"/>
                <w:lang w:eastAsia="en-GB"/>
              </w:rPr>
              <w:t xml:space="preserve"> &amp; Cockroaches, weekly</w:t>
            </w:r>
          </w:p>
        </w:tc>
        <w:tc>
          <w:tcPr>
            <w:tcW w:w="1655" w:type="pct"/>
            <w:shd w:val="clear" w:color="auto" w:fill="FFFFFF"/>
            <w:vAlign w:val="center"/>
          </w:tcPr>
          <w:p w14:paraId="359250B4" w14:textId="6F3637B1" w:rsidR="00BB7DBB" w:rsidRPr="00064185" w:rsidRDefault="00C44B2D" w:rsidP="00EA61D8">
            <w:pPr>
              <w:spacing w:before="60" w:after="60" w:line="260" w:lineRule="atLeast"/>
              <w:rPr>
                <w:rFonts w:eastAsia="Calibri" w:cs="Arial"/>
                <w:lang w:eastAsia="en-GB"/>
              </w:rPr>
            </w:pPr>
            <w:r w:rsidRPr="00064185">
              <w:rPr>
                <w:rFonts w:eastAsia="Calibri" w:cs="Arial"/>
                <w:lang w:eastAsia="en-GB"/>
              </w:rPr>
              <w:t>0.30E-3</w:t>
            </w:r>
          </w:p>
        </w:tc>
        <w:tc>
          <w:tcPr>
            <w:tcW w:w="1707" w:type="pct"/>
            <w:shd w:val="clear" w:color="auto" w:fill="FFFFFF"/>
            <w:vAlign w:val="center"/>
          </w:tcPr>
          <w:p w14:paraId="051F3000" w14:textId="58564BCC" w:rsidR="00BB7DBB" w:rsidRPr="00064185" w:rsidRDefault="00C44B2D" w:rsidP="00EA61D8">
            <w:pPr>
              <w:spacing w:before="60" w:after="60" w:line="260" w:lineRule="atLeast"/>
              <w:rPr>
                <w:rFonts w:eastAsia="Calibri" w:cs="Arial"/>
                <w:lang w:eastAsia="en-GB"/>
              </w:rPr>
            </w:pPr>
            <w:r w:rsidRPr="00064185">
              <w:rPr>
                <w:rFonts w:eastAsia="Calibri" w:cs="Arial"/>
                <w:lang w:eastAsia="en-GB"/>
              </w:rPr>
              <w:t>6.0</w:t>
            </w:r>
            <w:r w:rsidR="00D513B1" w:rsidRPr="00064185">
              <w:rPr>
                <w:rFonts w:eastAsia="Calibri" w:cs="Arial"/>
                <w:lang w:eastAsia="en-GB"/>
              </w:rPr>
              <w:t>0</w:t>
            </w:r>
            <w:r w:rsidRPr="00064185">
              <w:rPr>
                <w:rFonts w:eastAsia="Calibri" w:cs="Arial"/>
                <w:lang w:eastAsia="en-GB"/>
              </w:rPr>
              <w:t>E-2</w:t>
            </w:r>
          </w:p>
        </w:tc>
      </w:tr>
      <w:tr w:rsidR="00064185" w:rsidRPr="00064185" w14:paraId="74EE4858" w14:textId="7B1265A5" w:rsidTr="00BB7DBB">
        <w:trPr>
          <w:trHeight w:val="75"/>
        </w:trPr>
        <w:tc>
          <w:tcPr>
            <w:tcW w:w="1638" w:type="pct"/>
            <w:shd w:val="clear" w:color="auto" w:fill="FFFFFF"/>
          </w:tcPr>
          <w:p w14:paraId="240F2AEB" w14:textId="0654DB0C" w:rsidR="00BB7DBB" w:rsidRPr="00064185" w:rsidRDefault="00BB7DBB" w:rsidP="00EA61D8">
            <w:pPr>
              <w:spacing w:before="60" w:after="60" w:line="260" w:lineRule="atLeast"/>
              <w:rPr>
                <w:rFonts w:eastAsia="Calibri" w:cs="Arial"/>
                <w:lang w:eastAsia="en-GB"/>
              </w:rPr>
            </w:pPr>
            <w:r w:rsidRPr="00064185">
              <w:rPr>
                <w:rFonts w:eastAsia="Calibri" w:cs="Arial"/>
                <w:lang w:eastAsia="en-GB"/>
              </w:rPr>
              <w:t>Cockroaches, twice a year</w:t>
            </w:r>
          </w:p>
        </w:tc>
        <w:tc>
          <w:tcPr>
            <w:tcW w:w="1655" w:type="pct"/>
            <w:shd w:val="clear" w:color="auto" w:fill="FFFFFF"/>
          </w:tcPr>
          <w:p w14:paraId="5311388F" w14:textId="5E0268AD" w:rsidR="00BB7DBB" w:rsidRPr="00064185" w:rsidRDefault="00C44B2D" w:rsidP="00EA61D8">
            <w:pPr>
              <w:spacing w:before="60" w:after="60" w:line="260" w:lineRule="atLeast"/>
              <w:rPr>
                <w:rFonts w:eastAsia="Calibri" w:cs="Arial"/>
                <w:lang w:eastAsia="en-GB"/>
              </w:rPr>
            </w:pPr>
            <w:r w:rsidRPr="00064185">
              <w:rPr>
                <w:rFonts w:eastAsia="Calibri" w:cs="Arial"/>
                <w:lang w:eastAsia="en-GB"/>
              </w:rPr>
              <w:t>2.26E-5</w:t>
            </w:r>
          </w:p>
        </w:tc>
        <w:tc>
          <w:tcPr>
            <w:tcW w:w="1707" w:type="pct"/>
            <w:shd w:val="clear" w:color="auto" w:fill="FFFFFF"/>
          </w:tcPr>
          <w:p w14:paraId="0BD256FE" w14:textId="101786B9" w:rsidR="00BB7DBB" w:rsidRPr="00064185" w:rsidRDefault="00C44B2D" w:rsidP="00EA61D8">
            <w:pPr>
              <w:spacing w:before="60" w:after="60" w:line="260" w:lineRule="atLeast"/>
              <w:rPr>
                <w:rFonts w:eastAsia="Calibri" w:cs="Arial"/>
                <w:lang w:eastAsia="en-GB"/>
              </w:rPr>
            </w:pPr>
            <w:r w:rsidRPr="00064185">
              <w:rPr>
                <w:rFonts w:eastAsia="Calibri" w:cs="Arial"/>
                <w:lang w:eastAsia="en-GB"/>
              </w:rPr>
              <w:t>4.52E-3</w:t>
            </w:r>
          </w:p>
        </w:tc>
      </w:tr>
      <w:tr w:rsidR="00064185" w:rsidRPr="00064185" w14:paraId="5EA5287A" w14:textId="0D6CAAD1" w:rsidTr="00BB7DBB">
        <w:trPr>
          <w:trHeight w:val="75"/>
        </w:trPr>
        <w:tc>
          <w:tcPr>
            <w:tcW w:w="1638" w:type="pct"/>
            <w:shd w:val="clear" w:color="auto" w:fill="FFFFFF"/>
          </w:tcPr>
          <w:p w14:paraId="68B0B88F" w14:textId="730ACDDC" w:rsidR="00BB7DBB" w:rsidRPr="00064185" w:rsidRDefault="00BB7DBB" w:rsidP="00EA61D8">
            <w:pPr>
              <w:spacing w:before="60" w:after="60" w:line="260" w:lineRule="atLeast"/>
              <w:rPr>
                <w:rFonts w:eastAsia="Calibri" w:cs="Arial"/>
                <w:lang w:eastAsia="en-GB"/>
              </w:rPr>
            </w:pPr>
            <w:r w:rsidRPr="00064185">
              <w:rPr>
                <w:rFonts w:eastAsia="Calibri" w:cs="Arial"/>
                <w:lang w:eastAsia="en-GB"/>
              </w:rPr>
              <w:t>Woodlice, twice a year</w:t>
            </w:r>
          </w:p>
        </w:tc>
        <w:tc>
          <w:tcPr>
            <w:tcW w:w="1655" w:type="pct"/>
            <w:shd w:val="clear" w:color="auto" w:fill="FFFFFF"/>
          </w:tcPr>
          <w:p w14:paraId="0C3A8523" w14:textId="6ED432F1" w:rsidR="00BB7DBB" w:rsidRPr="00064185" w:rsidRDefault="00C44B2D" w:rsidP="00EA61D8">
            <w:pPr>
              <w:spacing w:before="60" w:after="60" w:line="260" w:lineRule="atLeast"/>
              <w:rPr>
                <w:rFonts w:eastAsia="Calibri" w:cs="Arial"/>
                <w:lang w:eastAsia="en-GB"/>
              </w:rPr>
            </w:pPr>
            <w:r w:rsidRPr="00064185">
              <w:rPr>
                <w:rFonts w:eastAsia="Calibri" w:cs="Arial"/>
                <w:lang w:eastAsia="en-GB"/>
              </w:rPr>
              <w:t>3.10E-5</w:t>
            </w:r>
          </w:p>
        </w:tc>
        <w:tc>
          <w:tcPr>
            <w:tcW w:w="1707" w:type="pct"/>
            <w:shd w:val="clear" w:color="auto" w:fill="FFFFFF"/>
          </w:tcPr>
          <w:p w14:paraId="1CE1DDA8" w14:textId="75A7D387" w:rsidR="00BB7DBB" w:rsidRPr="00064185" w:rsidRDefault="00D513B1" w:rsidP="00EA61D8">
            <w:pPr>
              <w:spacing w:before="60" w:after="60" w:line="260" w:lineRule="atLeast"/>
              <w:rPr>
                <w:rFonts w:eastAsia="Calibri" w:cs="Arial"/>
                <w:lang w:eastAsia="en-GB"/>
              </w:rPr>
            </w:pPr>
            <w:r w:rsidRPr="00064185">
              <w:rPr>
                <w:rFonts w:eastAsia="Calibri" w:cs="Arial"/>
                <w:lang w:eastAsia="en-GB"/>
              </w:rPr>
              <w:t>6.20</w:t>
            </w:r>
            <w:r w:rsidR="00C44B2D" w:rsidRPr="00064185">
              <w:rPr>
                <w:rFonts w:eastAsia="Calibri" w:cs="Arial"/>
                <w:lang w:eastAsia="en-GB"/>
              </w:rPr>
              <w:t>E-3</w:t>
            </w:r>
          </w:p>
        </w:tc>
      </w:tr>
      <w:tr w:rsidR="00064185" w:rsidRPr="00064185" w14:paraId="5AEC8008" w14:textId="77777777" w:rsidTr="001B4ACA">
        <w:trPr>
          <w:trHeight w:val="75"/>
        </w:trPr>
        <w:tc>
          <w:tcPr>
            <w:tcW w:w="5000" w:type="pct"/>
            <w:gridSpan w:val="3"/>
            <w:shd w:val="clear" w:color="auto" w:fill="FFFFFF"/>
          </w:tcPr>
          <w:p w14:paraId="36AB0BB2" w14:textId="766106D3" w:rsidR="00E02607" w:rsidRPr="00064185" w:rsidRDefault="00BB7DBB" w:rsidP="00EA61D8">
            <w:pPr>
              <w:spacing w:before="60" w:after="60" w:line="260" w:lineRule="atLeast"/>
              <w:rPr>
                <w:rFonts w:eastAsia="Calibri" w:cs="Arial"/>
                <w:b/>
                <w:lang w:eastAsia="en-GB"/>
              </w:rPr>
            </w:pPr>
            <w:r w:rsidRPr="00064185">
              <w:rPr>
                <w:rFonts w:eastAsia="Calibri" w:cs="Arial"/>
                <w:b/>
                <w:lang w:eastAsia="en-GB"/>
              </w:rPr>
              <w:t>Spraying</w:t>
            </w:r>
            <w:r w:rsidR="00E02607" w:rsidRPr="00064185">
              <w:rPr>
                <w:rFonts w:eastAsia="Calibri" w:cs="Arial"/>
                <w:b/>
                <w:lang w:eastAsia="en-GB"/>
              </w:rPr>
              <w:t xml:space="preserve"> outdoor</w:t>
            </w:r>
            <w:r w:rsidRPr="00064185">
              <w:rPr>
                <w:rFonts w:eastAsia="Calibri" w:cs="Arial"/>
                <w:b/>
                <w:lang w:eastAsia="en-GB"/>
              </w:rPr>
              <w:t>s, residual treatment</w:t>
            </w:r>
          </w:p>
        </w:tc>
      </w:tr>
      <w:tr w:rsidR="00064185" w:rsidRPr="00064185" w14:paraId="29E6CA14" w14:textId="77777777" w:rsidTr="00BB7DBB">
        <w:trPr>
          <w:trHeight w:val="75"/>
        </w:trPr>
        <w:tc>
          <w:tcPr>
            <w:tcW w:w="1636" w:type="pct"/>
            <w:shd w:val="clear" w:color="auto" w:fill="FFFFFF"/>
          </w:tcPr>
          <w:p w14:paraId="3DF8A0FA" w14:textId="42A565F0" w:rsidR="00E02607" w:rsidRPr="00064185" w:rsidRDefault="000E5130" w:rsidP="00EA61D8">
            <w:pPr>
              <w:spacing w:before="60" w:after="60" w:line="260" w:lineRule="atLeast"/>
              <w:rPr>
                <w:rFonts w:eastAsia="Calibri" w:cs="Arial"/>
                <w:lang w:eastAsia="en-GB"/>
              </w:rPr>
            </w:pPr>
            <w:r w:rsidRPr="00064185">
              <w:rPr>
                <w:rFonts w:eastAsia="Calibri" w:cs="Arial"/>
                <w:lang w:eastAsia="en-GB"/>
              </w:rPr>
              <w:t>Ants, urban area</w:t>
            </w:r>
          </w:p>
        </w:tc>
        <w:tc>
          <w:tcPr>
            <w:tcW w:w="1657" w:type="pct"/>
            <w:shd w:val="clear" w:color="auto" w:fill="FFFFFF"/>
          </w:tcPr>
          <w:p w14:paraId="06446A25" w14:textId="6C354566" w:rsidR="00E02607" w:rsidRPr="00064185" w:rsidRDefault="00A16BA7" w:rsidP="00EA61D8">
            <w:pPr>
              <w:spacing w:before="60" w:after="60" w:line="260" w:lineRule="atLeast"/>
              <w:rPr>
                <w:rFonts w:eastAsia="Calibri" w:cs="Arial"/>
                <w:lang w:eastAsia="en-GB"/>
              </w:rPr>
            </w:pPr>
            <w:r w:rsidRPr="00064185">
              <w:rPr>
                <w:rFonts w:eastAsia="Calibri"/>
                <w:lang w:eastAsia="en-GB"/>
              </w:rPr>
              <w:t>2.6</w:t>
            </w:r>
            <w:r w:rsidR="00D513B1" w:rsidRPr="00064185">
              <w:rPr>
                <w:rFonts w:eastAsia="Calibri"/>
                <w:lang w:eastAsia="en-GB"/>
              </w:rPr>
              <w:t>0</w:t>
            </w:r>
            <w:r w:rsidRPr="00064185">
              <w:rPr>
                <w:rFonts w:eastAsia="Calibri"/>
                <w:lang w:eastAsia="en-GB"/>
              </w:rPr>
              <w:t>E-</w:t>
            </w:r>
            <w:r w:rsidR="00F14C97" w:rsidRPr="00064185">
              <w:rPr>
                <w:rFonts w:eastAsia="Calibri"/>
                <w:lang w:eastAsia="en-GB"/>
              </w:rPr>
              <w:t>5</w:t>
            </w:r>
          </w:p>
        </w:tc>
        <w:tc>
          <w:tcPr>
            <w:tcW w:w="1707" w:type="pct"/>
            <w:shd w:val="clear" w:color="auto" w:fill="FFFFFF"/>
          </w:tcPr>
          <w:p w14:paraId="09A8C052" w14:textId="01A6C387" w:rsidR="00E02607" w:rsidRPr="00064185" w:rsidRDefault="00D513B1" w:rsidP="00EA61D8">
            <w:pPr>
              <w:spacing w:before="60" w:after="60" w:line="260" w:lineRule="atLeast"/>
              <w:rPr>
                <w:rFonts w:eastAsia="Calibri" w:cs="Arial"/>
                <w:lang w:eastAsia="en-GB"/>
              </w:rPr>
            </w:pPr>
            <w:r w:rsidRPr="00064185">
              <w:rPr>
                <w:rFonts w:eastAsia="Calibri"/>
                <w:lang w:eastAsia="en-GB"/>
              </w:rPr>
              <w:t>5.20</w:t>
            </w:r>
            <w:r w:rsidR="00A16BA7" w:rsidRPr="00064185">
              <w:rPr>
                <w:rFonts w:eastAsia="Calibri"/>
                <w:lang w:eastAsia="en-GB"/>
              </w:rPr>
              <w:t>E-3</w:t>
            </w:r>
          </w:p>
        </w:tc>
      </w:tr>
      <w:tr w:rsidR="00064185" w:rsidRPr="00064185" w14:paraId="1C42E475" w14:textId="77777777" w:rsidTr="00BB7DBB">
        <w:trPr>
          <w:trHeight w:val="75"/>
        </w:trPr>
        <w:tc>
          <w:tcPr>
            <w:tcW w:w="1636" w:type="pct"/>
            <w:shd w:val="clear" w:color="auto" w:fill="FFFFFF"/>
          </w:tcPr>
          <w:p w14:paraId="751BFD93" w14:textId="5F3CCC5A" w:rsidR="00C44B2D" w:rsidRPr="00064185" w:rsidRDefault="00C44B2D" w:rsidP="00EA61D8">
            <w:pPr>
              <w:spacing w:before="60" w:after="60" w:line="260" w:lineRule="atLeast"/>
              <w:rPr>
                <w:rFonts w:eastAsia="Calibri" w:cs="Arial"/>
                <w:lang w:eastAsia="en-GB"/>
              </w:rPr>
            </w:pPr>
            <w:r w:rsidRPr="00064185">
              <w:rPr>
                <w:rFonts w:eastAsia="Calibri" w:cs="Arial"/>
                <w:lang w:eastAsia="en-GB"/>
              </w:rPr>
              <w:t>Ants, rural area</w:t>
            </w:r>
          </w:p>
        </w:tc>
        <w:tc>
          <w:tcPr>
            <w:tcW w:w="1657" w:type="pct"/>
            <w:shd w:val="clear" w:color="auto" w:fill="FFFFFF"/>
          </w:tcPr>
          <w:p w14:paraId="4DDBE24B" w14:textId="4433E14B" w:rsidR="00C44B2D" w:rsidRPr="00064185" w:rsidRDefault="00FC2389" w:rsidP="00EA61D8">
            <w:pPr>
              <w:spacing w:before="60" w:after="60" w:line="260" w:lineRule="atLeast"/>
              <w:rPr>
                <w:rFonts w:eastAsia="Calibri"/>
                <w:lang w:eastAsia="en-GB"/>
              </w:rPr>
            </w:pPr>
            <w:r w:rsidRPr="00064185">
              <w:rPr>
                <w:rFonts w:eastAsia="Calibri"/>
                <w:lang w:eastAsia="en-GB"/>
              </w:rPr>
              <w:t>-</w:t>
            </w:r>
          </w:p>
        </w:tc>
        <w:tc>
          <w:tcPr>
            <w:tcW w:w="1707" w:type="pct"/>
            <w:shd w:val="clear" w:color="auto" w:fill="FFFFFF"/>
          </w:tcPr>
          <w:p w14:paraId="078534AF" w14:textId="1556D1D7" w:rsidR="00C44B2D" w:rsidRPr="00064185" w:rsidRDefault="00FC2389" w:rsidP="00EA61D8">
            <w:pPr>
              <w:spacing w:before="60" w:after="60" w:line="260" w:lineRule="atLeast"/>
              <w:rPr>
                <w:rFonts w:eastAsia="Calibri"/>
                <w:lang w:eastAsia="en-GB"/>
              </w:rPr>
            </w:pPr>
            <w:r w:rsidRPr="00064185">
              <w:rPr>
                <w:rFonts w:eastAsia="Calibri"/>
                <w:lang w:eastAsia="en-GB"/>
              </w:rPr>
              <w:t>-</w:t>
            </w:r>
          </w:p>
        </w:tc>
      </w:tr>
    </w:tbl>
    <w:p w14:paraId="15E33543" w14:textId="77777777" w:rsidR="00E02607" w:rsidRPr="00064185" w:rsidRDefault="00E02607" w:rsidP="00EA61D8">
      <w:pPr>
        <w:spacing w:before="60" w:line="276" w:lineRule="auto"/>
        <w:rPr>
          <w:rFonts w:eastAsia="Calibri"/>
          <w:lang w:eastAsia="en-US"/>
        </w:rPr>
      </w:pPr>
    </w:p>
    <w:p w14:paraId="73980ABF" w14:textId="77777777" w:rsidR="005E3BB2" w:rsidRPr="00064185" w:rsidRDefault="00E02607" w:rsidP="00F200AC">
      <w:pPr>
        <w:pStyle w:val="Textkrper2"/>
        <w:jc w:val="both"/>
        <w:rPr>
          <w:rFonts w:eastAsia="Calibri"/>
          <w:b/>
          <w:color w:val="auto"/>
          <w:lang w:eastAsia="en-US"/>
        </w:rPr>
      </w:pPr>
      <w:r w:rsidRPr="00064185">
        <w:rPr>
          <w:rFonts w:eastAsia="Calibri"/>
          <w:b/>
          <w:i w:val="0"/>
          <w:color w:val="auto"/>
          <w:lang w:eastAsia="en-US"/>
        </w:rPr>
        <w:t>Conclusion:</w:t>
      </w:r>
      <w:r w:rsidRPr="00064185">
        <w:rPr>
          <w:rFonts w:eastAsia="Calibri"/>
          <w:b/>
          <w:color w:val="auto"/>
          <w:lang w:eastAsia="en-US"/>
        </w:rPr>
        <w:t xml:space="preserve"> </w:t>
      </w:r>
    </w:p>
    <w:p w14:paraId="487F1691" w14:textId="7318898B" w:rsidR="00E02607" w:rsidRPr="00064185" w:rsidRDefault="00E02607" w:rsidP="00F200AC">
      <w:pPr>
        <w:pStyle w:val="Textkrper2"/>
        <w:jc w:val="both"/>
        <w:rPr>
          <w:rFonts w:eastAsia="Calibri"/>
          <w:i w:val="0"/>
          <w:color w:val="auto"/>
          <w:lang w:eastAsia="en-US"/>
        </w:rPr>
      </w:pPr>
      <w:r w:rsidRPr="00064185">
        <w:rPr>
          <w:rFonts w:eastAsia="Calibri"/>
          <w:i w:val="0"/>
          <w:color w:val="auto"/>
          <w:lang w:eastAsia="en-US"/>
        </w:rPr>
        <w:t>All calculated PEC/PNEC ratios are &lt;1, show</w:t>
      </w:r>
      <w:r w:rsidR="00F7305F" w:rsidRPr="00064185">
        <w:rPr>
          <w:rFonts w:eastAsia="Calibri"/>
          <w:i w:val="0"/>
          <w:color w:val="auto"/>
          <w:lang w:eastAsia="en-US"/>
        </w:rPr>
        <w:t>ing</w:t>
      </w:r>
      <w:r w:rsidR="005E3BB2" w:rsidRPr="00064185">
        <w:rPr>
          <w:rFonts w:eastAsia="Calibri"/>
          <w:i w:val="0"/>
          <w:color w:val="auto"/>
          <w:lang w:eastAsia="en-US"/>
        </w:rPr>
        <w:t xml:space="preserve"> that the intended uses </w:t>
      </w:r>
      <w:r w:rsidR="009C4917" w:rsidRPr="00064185">
        <w:rPr>
          <w:rFonts w:eastAsia="Calibri"/>
          <w:i w:val="0"/>
          <w:color w:val="auto"/>
          <w:lang w:eastAsia="en-US"/>
        </w:rPr>
        <w:t>o</w:t>
      </w:r>
      <w:r w:rsidRPr="00064185">
        <w:rPr>
          <w:rFonts w:eastAsia="Calibri"/>
          <w:i w:val="0"/>
          <w:color w:val="auto"/>
          <w:lang w:eastAsia="en-US"/>
        </w:rPr>
        <w:t>f</w:t>
      </w:r>
      <w:r w:rsidR="00F7305F" w:rsidRPr="00064185">
        <w:rPr>
          <w:rFonts w:eastAsia="Calibri"/>
          <w:i w:val="0"/>
          <w:color w:val="auto"/>
          <w:lang w:eastAsia="en-US"/>
        </w:rPr>
        <w:t xml:space="preserve"> the biocidal product COM 116 02</w:t>
      </w:r>
      <w:r w:rsidRPr="00064185">
        <w:rPr>
          <w:rFonts w:eastAsia="Calibri"/>
          <w:i w:val="0"/>
          <w:color w:val="auto"/>
          <w:lang w:eastAsia="en-US"/>
        </w:rPr>
        <w:t xml:space="preserve"> I </w:t>
      </w:r>
      <w:r w:rsidR="00F7305F" w:rsidRPr="00064185">
        <w:rPr>
          <w:rFonts w:eastAsia="Calibri"/>
          <w:i w:val="0"/>
          <w:color w:val="auto"/>
          <w:lang w:eastAsia="en-US"/>
        </w:rPr>
        <w:t>AL</w:t>
      </w:r>
      <w:r w:rsidRPr="00064185">
        <w:rPr>
          <w:rFonts w:eastAsia="Calibri"/>
          <w:i w:val="0"/>
          <w:color w:val="auto"/>
          <w:lang w:eastAsia="en-US"/>
        </w:rPr>
        <w:t xml:space="preserve"> lead to acceptable risk for </w:t>
      </w:r>
      <w:r w:rsidR="00A01136" w:rsidRPr="00064185">
        <w:rPr>
          <w:rFonts w:eastAsia="Calibri"/>
          <w:i w:val="0"/>
          <w:color w:val="auto"/>
          <w:lang w:eastAsia="en-US"/>
        </w:rPr>
        <w:t>STP micro-organisms</w:t>
      </w:r>
      <w:r w:rsidRPr="00064185">
        <w:rPr>
          <w:rFonts w:eastAsia="Calibri"/>
          <w:i w:val="0"/>
          <w:color w:val="auto"/>
          <w:lang w:eastAsia="en-US"/>
        </w:rPr>
        <w:t>.</w:t>
      </w:r>
    </w:p>
    <w:p w14:paraId="5AD90B75" w14:textId="212E808F" w:rsidR="005D72F4" w:rsidRPr="00064185" w:rsidRDefault="005D72F4" w:rsidP="00EA61D8">
      <w:pPr>
        <w:pStyle w:val="Textkrper2"/>
        <w:rPr>
          <w:rFonts w:eastAsia="Calibri"/>
          <w:color w:val="auto"/>
          <w:lang w:eastAsia="en-US"/>
        </w:rPr>
      </w:pPr>
      <w:bookmarkStart w:id="1836" w:name="_Toc377651052"/>
      <w:bookmarkStart w:id="1837" w:name="_Toc389729121"/>
      <w:bookmarkStart w:id="1838" w:name="_Toc403472805"/>
    </w:p>
    <w:p w14:paraId="4C908C40" w14:textId="77777777" w:rsidR="002A7E5D" w:rsidRPr="00064185" w:rsidRDefault="002A7E5D" w:rsidP="00EA61D8">
      <w:pPr>
        <w:spacing w:line="260" w:lineRule="atLeast"/>
        <w:rPr>
          <w:rFonts w:eastAsia="Calibri"/>
          <w:lang w:eastAsia="en-US"/>
        </w:rPr>
      </w:pPr>
    </w:p>
    <w:p w14:paraId="16139952" w14:textId="77777777" w:rsidR="00A53EE0" w:rsidRPr="00064185" w:rsidRDefault="00A53EE0" w:rsidP="00EA61D8">
      <w:pPr>
        <w:rPr>
          <w:rFonts w:eastAsia="Calibri"/>
          <w:b/>
          <w:i/>
          <w:sz w:val="22"/>
          <w:szCs w:val="22"/>
          <w:lang w:eastAsia="en-US"/>
        </w:rPr>
      </w:pPr>
      <w:r w:rsidRPr="00064185">
        <w:rPr>
          <w:rFonts w:eastAsia="Calibri"/>
          <w:b/>
          <w:i/>
          <w:sz w:val="22"/>
          <w:szCs w:val="22"/>
          <w:lang w:eastAsia="en-US"/>
        </w:rPr>
        <w:t>Aquatic compartment</w:t>
      </w:r>
      <w:bookmarkEnd w:id="1836"/>
      <w:bookmarkEnd w:id="1837"/>
      <w:bookmarkEnd w:id="1838"/>
    </w:p>
    <w:p w14:paraId="5FDD6D79" w14:textId="3D99B5A9" w:rsidR="00951F42" w:rsidRPr="00064185" w:rsidRDefault="00951F42" w:rsidP="00EA61D8">
      <w:pPr>
        <w:spacing w:before="60" w:line="276" w:lineRule="auto"/>
        <w:rPr>
          <w:rFonts w:ascii="Times New Roman" w:eastAsia="Calibri" w:hAnsi="Times New Roman"/>
          <w:i/>
          <w:lang w:eastAsia="en-US"/>
        </w:rPr>
      </w:pPr>
      <w:bookmarkStart w:id="1839" w:name="_Toc3776510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3"/>
        <w:gridCol w:w="1846"/>
        <w:gridCol w:w="1703"/>
        <w:gridCol w:w="1846"/>
        <w:gridCol w:w="1662"/>
      </w:tblGrid>
      <w:tr w:rsidR="00064185" w:rsidRPr="00064185" w14:paraId="7947B050" w14:textId="77777777" w:rsidTr="00A16BA7">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4512B21C" w14:textId="77777777" w:rsidR="00F7305F" w:rsidRPr="00064185" w:rsidRDefault="00F7305F" w:rsidP="00EA61D8">
            <w:pPr>
              <w:spacing w:before="60" w:after="60" w:line="260" w:lineRule="atLeast"/>
              <w:rPr>
                <w:rFonts w:eastAsia="Calibri" w:cs="Arial"/>
                <w:b/>
                <w:bCs/>
                <w:sz w:val="18"/>
                <w:szCs w:val="18"/>
                <w:lang w:eastAsia="en-GB"/>
              </w:rPr>
            </w:pPr>
            <w:r w:rsidRPr="00064185">
              <w:rPr>
                <w:rFonts w:eastAsia="Calibri" w:cs="Arial"/>
                <w:b/>
                <w:bCs/>
                <w:sz w:val="18"/>
                <w:szCs w:val="18"/>
                <w:lang w:eastAsia="en-GB"/>
              </w:rPr>
              <w:t>Summary table on calculated PEC/PNEC values</w:t>
            </w:r>
          </w:p>
        </w:tc>
      </w:tr>
      <w:tr w:rsidR="00064185" w:rsidRPr="00064185" w14:paraId="6CC7FFE2" w14:textId="276CEB27" w:rsidTr="00FC2389">
        <w:trPr>
          <w:trHeight w:val="471"/>
        </w:trPr>
        <w:tc>
          <w:tcPr>
            <w:tcW w:w="1258" w:type="pct"/>
            <w:shd w:val="clear" w:color="auto" w:fill="FFFFFF"/>
            <w:vAlign w:val="center"/>
          </w:tcPr>
          <w:p w14:paraId="4E43EC97" w14:textId="77777777" w:rsidR="00DC0584" w:rsidRPr="00064185" w:rsidRDefault="00DC0584" w:rsidP="00EA61D8">
            <w:pPr>
              <w:spacing w:before="60" w:after="60" w:line="260" w:lineRule="atLeast"/>
              <w:rPr>
                <w:rFonts w:eastAsia="Calibri" w:cs="Arial"/>
                <w:b/>
                <w:sz w:val="18"/>
                <w:szCs w:val="18"/>
                <w:lang w:eastAsia="en-GB"/>
              </w:rPr>
            </w:pPr>
            <w:r w:rsidRPr="00064185">
              <w:rPr>
                <w:rFonts w:eastAsia="Calibri" w:cs="Arial"/>
                <w:b/>
                <w:sz w:val="18"/>
                <w:szCs w:val="18"/>
                <w:lang w:eastAsia="en-GB"/>
              </w:rPr>
              <w:t>Scenarios</w:t>
            </w:r>
          </w:p>
        </w:tc>
        <w:tc>
          <w:tcPr>
            <w:tcW w:w="979" w:type="pct"/>
            <w:shd w:val="clear" w:color="auto" w:fill="FFFFFF"/>
            <w:vAlign w:val="center"/>
          </w:tcPr>
          <w:p w14:paraId="1ED83CB1" w14:textId="0F5D2C61" w:rsidR="00DC0584" w:rsidRPr="00064185" w:rsidRDefault="00DC0584" w:rsidP="00EA61D8">
            <w:pPr>
              <w:spacing w:before="60" w:after="60" w:line="260" w:lineRule="atLeast"/>
              <w:rPr>
                <w:rFonts w:eastAsia="Calibri"/>
                <w:b/>
                <w:sz w:val="18"/>
                <w:szCs w:val="18"/>
                <w:lang w:eastAsia="en-GB"/>
              </w:rPr>
            </w:pPr>
            <w:r w:rsidRPr="00064185">
              <w:rPr>
                <w:rFonts w:eastAsia="Calibri"/>
                <w:b/>
                <w:sz w:val="18"/>
                <w:lang w:eastAsia="en-GB"/>
              </w:rPr>
              <w:t>PEC</w:t>
            </w:r>
            <w:r w:rsidRPr="00064185">
              <w:rPr>
                <w:rFonts w:eastAsia="Calibri"/>
                <w:b/>
                <w:sz w:val="18"/>
                <w:vertAlign w:val="subscript"/>
                <w:lang w:eastAsia="en-GB"/>
              </w:rPr>
              <w:t>water</w:t>
            </w:r>
            <w:r w:rsidR="00FC2389" w:rsidRPr="00064185">
              <w:rPr>
                <w:sz w:val="18"/>
              </w:rPr>
              <w:t xml:space="preserve"> [</w:t>
            </w:r>
            <w:r w:rsidR="00FC2389" w:rsidRPr="00064185">
              <w:rPr>
                <w:b/>
                <w:sz w:val="18"/>
              </w:rPr>
              <w:t>mg/l]</w:t>
            </w:r>
          </w:p>
        </w:tc>
        <w:tc>
          <w:tcPr>
            <w:tcW w:w="903" w:type="pct"/>
            <w:shd w:val="clear" w:color="auto" w:fill="FFFFFF"/>
            <w:vAlign w:val="center"/>
          </w:tcPr>
          <w:p w14:paraId="689D11FD" w14:textId="6D1BB823" w:rsidR="00DC0584" w:rsidRPr="00064185" w:rsidRDefault="00DC0584" w:rsidP="00EA61D8">
            <w:pPr>
              <w:spacing w:before="60" w:after="60" w:line="260" w:lineRule="atLeast"/>
              <w:rPr>
                <w:rFonts w:eastAsia="Calibri" w:cs="Arial"/>
                <w:b/>
                <w:bCs/>
                <w:sz w:val="18"/>
                <w:szCs w:val="18"/>
                <w:lang w:eastAsia="en-GB"/>
              </w:rPr>
            </w:pPr>
            <w:r w:rsidRPr="00064185">
              <w:rPr>
                <w:rFonts w:eastAsia="Calibri" w:cs="Arial"/>
                <w:b/>
                <w:bCs/>
                <w:sz w:val="18"/>
                <w:szCs w:val="18"/>
                <w:lang w:eastAsia="en-GB"/>
              </w:rPr>
              <w:t>PEC/PNEC</w:t>
            </w:r>
            <w:r w:rsidRPr="00064185">
              <w:rPr>
                <w:rFonts w:eastAsia="Calibri" w:cs="Arial"/>
                <w:b/>
                <w:bCs/>
                <w:sz w:val="18"/>
                <w:szCs w:val="18"/>
                <w:vertAlign w:val="subscript"/>
                <w:lang w:eastAsia="en-GB"/>
              </w:rPr>
              <w:t>water</w:t>
            </w:r>
          </w:p>
        </w:tc>
        <w:tc>
          <w:tcPr>
            <w:tcW w:w="978" w:type="pct"/>
            <w:shd w:val="clear" w:color="auto" w:fill="FFFFFF"/>
            <w:vAlign w:val="center"/>
          </w:tcPr>
          <w:p w14:paraId="1CF239C0" w14:textId="2B0BE800" w:rsidR="00DC0584" w:rsidRPr="00064185" w:rsidRDefault="00DC0584" w:rsidP="00EA61D8">
            <w:pPr>
              <w:spacing w:before="60" w:after="60" w:line="260" w:lineRule="atLeast"/>
              <w:rPr>
                <w:rFonts w:eastAsia="Calibri" w:cs="Arial"/>
                <w:b/>
                <w:bCs/>
                <w:sz w:val="18"/>
                <w:szCs w:val="18"/>
                <w:lang w:eastAsia="en-GB"/>
              </w:rPr>
            </w:pPr>
            <w:r w:rsidRPr="00064185">
              <w:rPr>
                <w:rFonts w:eastAsia="Calibri"/>
                <w:b/>
                <w:sz w:val="18"/>
                <w:lang w:eastAsia="en-GB"/>
              </w:rPr>
              <w:t>PEC</w:t>
            </w:r>
            <w:r w:rsidRPr="00064185">
              <w:rPr>
                <w:rFonts w:eastAsia="Calibri"/>
                <w:b/>
                <w:sz w:val="18"/>
                <w:vertAlign w:val="subscript"/>
                <w:lang w:eastAsia="en-GB"/>
              </w:rPr>
              <w:t>sed</w:t>
            </w:r>
            <w:r w:rsidR="00FC2389" w:rsidRPr="00064185">
              <w:rPr>
                <w:sz w:val="18"/>
                <w:lang w:val="de-AT"/>
              </w:rPr>
              <w:t xml:space="preserve"> [</w:t>
            </w:r>
            <w:r w:rsidR="00FC2389" w:rsidRPr="00064185">
              <w:rPr>
                <w:b/>
                <w:sz w:val="18"/>
                <w:lang w:val="de-AT"/>
              </w:rPr>
              <w:t>mg/kg</w:t>
            </w:r>
            <w:r w:rsidR="00FC2389" w:rsidRPr="00064185">
              <w:rPr>
                <w:b/>
                <w:sz w:val="18"/>
                <w:vertAlign w:val="subscript"/>
                <w:lang w:val="de-AT"/>
              </w:rPr>
              <w:t>wwt</w:t>
            </w:r>
            <w:r w:rsidR="00FC2389" w:rsidRPr="00064185">
              <w:rPr>
                <w:b/>
                <w:sz w:val="18"/>
                <w:lang w:val="de-AT"/>
              </w:rPr>
              <w:t>]</w:t>
            </w:r>
          </w:p>
        </w:tc>
        <w:tc>
          <w:tcPr>
            <w:tcW w:w="882" w:type="pct"/>
            <w:shd w:val="clear" w:color="auto" w:fill="FFFFFF"/>
            <w:vAlign w:val="center"/>
          </w:tcPr>
          <w:p w14:paraId="1885F68F" w14:textId="0A554D4E" w:rsidR="00DC0584" w:rsidRPr="00064185" w:rsidRDefault="00DC0584" w:rsidP="00EA61D8">
            <w:pPr>
              <w:spacing w:before="60" w:after="60" w:line="260" w:lineRule="atLeast"/>
              <w:rPr>
                <w:rFonts w:eastAsia="Calibri" w:cs="Arial"/>
                <w:b/>
                <w:bCs/>
                <w:sz w:val="18"/>
                <w:szCs w:val="18"/>
                <w:vertAlign w:val="subscript"/>
                <w:lang w:eastAsia="en-GB"/>
              </w:rPr>
            </w:pPr>
            <w:r w:rsidRPr="00064185">
              <w:rPr>
                <w:rFonts w:eastAsia="Calibri" w:cs="Arial"/>
                <w:b/>
                <w:bCs/>
                <w:sz w:val="18"/>
                <w:szCs w:val="18"/>
                <w:lang w:eastAsia="en-GB"/>
              </w:rPr>
              <w:t>PEC/PNEC</w:t>
            </w:r>
            <w:r w:rsidRPr="00064185">
              <w:rPr>
                <w:rFonts w:eastAsia="Calibri" w:cs="Arial"/>
                <w:b/>
                <w:bCs/>
                <w:sz w:val="18"/>
                <w:szCs w:val="18"/>
                <w:vertAlign w:val="subscript"/>
                <w:lang w:eastAsia="en-GB"/>
              </w:rPr>
              <w:t>sed</w:t>
            </w:r>
          </w:p>
        </w:tc>
      </w:tr>
      <w:tr w:rsidR="00064185" w:rsidRPr="00064185" w14:paraId="32A2384F" w14:textId="4250E9E2" w:rsidTr="00FC2389">
        <w:trPr>
          <w:trHeight w:val="75"/>
        </w:trPr>
        <w:tc>
          <w:tcPr>
            <w:tcW w:w="1258" w:type="pct"/>
            <w:shd w:val="clear" w:color="auto" w:fill="FFFFFF"/>
          </w:tcPr>
          <w:p w14:paraId="4FB06D4C" w14:textId="77777777" w:rsidR="00DC0584" w:rsidRPr="00064185" w:rsidRDefault="00DC0584" w:rsidP="00EA61D8">
            <w:pPr>
              <w:spacing w:before="60" w:after="60" w:line="260" w:lineRule="atLeast"/>
              <w:rPr>
                <w:rFonts w:eastAsia="Calibri" w:cs="Arial"/>
                <w:lang w:eastAsia="en-GB"/>
              </w:rPr>
            </w:pPr>
          </w:p>
        </w:tc>
        <w:tc>
          <w:tcPr>
            <w:tcW w:w="1882" w:type="pct"/>
            <w:gridSpan w:val="2"/>
            <w:shd w:val="clear" w:color="auto" w:fill="FFFFFF"/>
          </w:tcPr>
          <w:p w14:paraId="3E5DE18A" w14:textId="3310B789" w:rsidR="00DC0584" w:rsidRPr="00064185" w:rsidRDefault="00DC0584" w:rsidP="00EA61D8">
            <w:pPr>
              <w:spacing w:before="60" w:after="60" w:line="260" w:lineRule="atLeast"/>
              <w:rPr>
                <w:rFonts w:eastAsia="Calibri" w:cs="Arial"/>
                <w:b/>
                <w:sz w:val="18"/>
                <w:szCs w:val="18"/>
                <w:lang w:eastAsia="en-GB"/>
              </w:rPr>
            </w:pPr>
            <w:r w:rsidRPr="00064185">
              <w:rPr>
                <w:rFonts w:eastAsia="Calibri" w:cs="Arial"/>
                <w:b/>
                <w:sz w:val="18"/>
                <w:szCs w:val="18"/>
                <w:lang w:eastAsia="en-GB"/>
              </w:rPr>
              <w:t>PNEC</w:t>
            </w:r>
            <w:r w:rsidRPr="00064185">
              <w:rPr>
                <w:rFonts w:eastAsia="Calibri" w:cs="Arial"/>
                <w:b/>
                <w:sz w:val="18"/>
                <w:szCs w:val="18"/>
                <w:vertAlign w:val="subscript"/>
                <w:lang w:eastAsia="en-GB"/>
              </w:rPr>
              <w:t>water</w:t>
            </w:r>
            <w:r w:rsidRPr="00064185">
              <w:rPr>
                <w:rFonts w:eastAsia="Calibri" w:cs="Arial"/>
                <w:b/>
                <w:sz w:val="18"/>
                <w:szCs w:val="18"/>
                <w:lang w:eastAsia="en-GB"/>
              </w:rPr>
              <w:t xml:space="preserve"> = </w:t>
            </w:r>
            <w:r w:rsidRPr="00064185">
              <w:rPr>
                <w:b/>
                <w:sz w:val="18"/>
                <w:szCs w:val="18"/>
              </w:rPr>
              <w:t>2</w:t>
            </w:r>
            <w:r w:rsidR="001B4ACA" w:rsidRPr="00064185">
              <w:rPr>
                <w:b/>
                <w:sz w:val="18"/>
                <w:szCs w:val="18"/>
              </w:rPr>
              <w:t>.0</w:t>
            </w:r>
            <w:r w:rsidRPr="00064185">
              <w:rPr>
                <w:b/>
                <w:sz w:val="18"/>
                <w:szCs w:val="18"/>
              </w:rPr>
              <w:t>E-7 mg/l</w:t>
            </w:r>
            <w:r w:rsidRPr="00064185">
              <w:rPr>
                <w:rFonts w:eastAsia="Calibri" w:cs="Arial"/>
                <w:b/>
                <w:sz w:val="18"/>
                <w:szCs w:val="18"/>
                <w:lang w:eastAsia="en-GB"/>
              </w:rPr>
              <w:t xml:space="preserve"> </w:t>
            </w:r>
          </w:p>
        </w:tc>
        <w:tc>
          <w:tcPr>
            <w:tcW w:w="1860" w:type="pct"/>
            <w:gridSpan w:val="2"/>
            <w:shd w:val="clear" w:color="auto" w:fill="FFFFFF"/>
          </w:tcPr>
          <w:p w14:paraId="35295AEB" w14:textId="61B1ADDF" w:rsidR="00DC0584" w:rsidRPr="00064185" w:rsidRDefault="00DC0584" w:rsidP="00EA61D8">
            <w:pPr>
              <w:spacing w:before="60" w:after="60" w:line="260" w:lineRule="atLeast"/>
              <w:rPr>
                <w:rFonts w:eastAsia="Calibri" w:cs="Arial"/>
                <w:b/>
                <w:sz w:val="18"/>
                <w:szCs w:val="18"/>
                <w:lang w:eastAsia="en-GB"/>
              </w:rPr>
            </w:pPr>
            <w:r w:rsidRPr="00064185">
              <w:rPr>
                <w:rFonts w:eastAsia="Calibri" w:cs="Arial"/>
                <w:b/>
                <w:sz w:val="18"/>
                <w:szCs w:val="18"/>
                <w:lang w:eastAsia="en-GB"/>
              </w:rPr>
              <w:t>PNEC</w:t>
            </w:r>
            <w:r w:rsidRPr="00064185">
              <w:rPr>
                <w:rFonts w:eastAsia="Calibri" w:cs="Arial"/>
                <w:b/>
                <w:sz w:val="18"/>
                <w:szCs w:val="18"/>
                <w:vertAlign w:val="subscript"/>
                <w:lang w:eastAsia="en-GB"/>
              </w:rPr>
              <w:t>sed</w:t>
            </w:r>
            <w:r w:rsidRPr="00064185">
              <w:rPr>
                <w:rFonts w:eastAsia="Calibri" w:cs="Arial"/>
                <w:b/>
                <w:sz w:val="18"/>
                <w:szCs w:val="18"/>
                <w:lang w:eastAsia="en-GB"/>
              </w:rPr>
              <w:t xml:space="preserve"> = </w:t>
            </w:r>
            <w:r w:rsidRPr="00064185">
              <w:rPr>
                <w:b/>
                <w:sz w:val="18"/>
                <w:szCs w:val="18"/>
              </w:rPr>
              <w:t>9.3</w:t>
            </w:r>
            <w:r w:rsidR="005A14D8" w:rsidRPr="00064185">
              <w:rPr>
                <w:b/>
                <w:sz w:val="18"/>
                <w:szCs w:val="18"/>
              </w:rPr>
              <w:t>E</w:t>
            </w:r>
            <w:r w:rsidRPr="00064185">
              <w:rPr>
                <w:b/>
                <w:sz w:val="18"/>
                <w:szCs w:val="18"/>
              </w:rPr>
              <w:t>-4 mg/kg</w:t>
            </w:r>
            <w:r w:rsidRPr="00064185">
              <w:rPr>
                <w:b/>
                <w:sz w:val="18"/>
                <w:szCs w:val="18"/>
                <w:vertAlign w:val="subscript"/>
              </w:rPr>
              <w:t>wwt</w:t>
            </w:r>
          </w:p>
        </w:tc>
      </w:tr>
      <w:tr w:rsidR="00064185" w:rsidRPr="00064185" w14:paraId="6A73A1DA" w14:textId="2EECEDA5" w:rsidTr="00A16BA7">
        <w:trPr>
          <w:trHeight w:val="75"/>
        </w:trPr>
        <w:tc>
          <w:tcPr>
            <w:tcW w:w="5000" w:type="pct"/>
            <w:gridSpan w:val="5"/>
            <w:shd w:val="clear" w:color="auto" w:fill="FFFFFF"/>
          </w:tcPr>
          <w:p w14:paraId="5265A79C" w14:textId="2EEC15A2" w:rsidR="00DC0584" w:rsidRPr="00064185" w:rsidRDefault="00D513B1" w:rsidP="00EA61D8">
            <w:pPr>
              <w:spacing w:before="60" w:after="60" w:line="260" w:lineRule="atLeast"/>
              <w:rPr>
                <w:rFonts w:eastAsia="Calibri" w:cs="Arial"/>
                <w:b/>
                <w:lang w:eastAsia="en-GB"/>
              </w:rPr>
            </w:pPr>
            <w:r w:rsidRPr="00064185">
              <w:rPr>
                <w:rFonts w:eastAsia="Calibri" w:cs="Arial"/>
                <w:b/>
                <w:lang w:eastAsia="en-GB"/>
              </w:rPr>
              <w:lastRenderedPageBreak/>
              <w:t>Spraying</w:t>
            </w:r>
            <w:r w:rsidR="00DC0584" w:rsidRPr="00064185">
              <w:rPr>
                <w:rFonts w:eastAsia="Calibri" w:cs="Arial"/>
                <w:b/>
                <w:lang w:eastAsia="en-GB"/>
              </w:rPr>
              <w:t xml:space="preserve"> indoor</w:t>
            </w:r>
            <w:r w:rsidRPr="00064185">
              <w:rPr>
                <w:rFonts w:eastAsia="Calibri" w:cs="Arial"/>
                <w:b/>
                <w:lang w:eastAsia="en-GB"/>
              </w:rPr>
              <w:t>s, residual treatment</w:t>
            </w:r>
          </w:p>
        </w:tc>
      </w:tr>
      <w:tr w:rsidR="00064185" w:rsidRPr="00064185" w14:paraId="7665FA32" w14:textId="04BFC19F" w:rsidTr="00FC2389">
        <w:trPr>
          <w:trHeight w:val="75"/>
        </w:trPr>
        <w:tc>
          <w:tcPr>
            <w:tcW w:w="1258" w:type="pct"/>
            <w:shd w:val="clear" w:color="auto" w:fill="FFFFFF"/>
          </w:tcPr>
          <w:p w14:paraId="71152A31" w14:textId="5F06DB30" w:rsidR="00DC0584" w:rsidRPr="00064185" w:rsidRDefault="00DC0584" w:rsidP="00EA61D8">
            <w:pPr>
              <w:spacing w:before="60" w:after="60" w:line="260" w:lineRule="atLeast"/>
              <w:rPr>
                <w:rFonts w:eastAsia="Calibri" w:cs="Arial"/>
                <w:lang w:eastAsia="en-GB"/>
              </w:rPr>
            </w:pPr>
            <w:proofErr w:type="gramStart"/>
            <w:r w:rsidRPr="00064185">
              <w:rPr>
                <w:rFonts w:eastAsia="Calibri" w:cs="Arial"/>
                <w:lang w:eastAsia="en-GB"/>
              </w:rPr>
              <w:t>Ants</w:t>
            </w:r>
            <w:r w:rsidR="0079488C" w:rsidRPr="00064185">
              <w:rPr>
                <w:rFonts w:eastAsia="Calibri" w:cs="Arial"/>
                <w:lang w:eastAsia="en-GB"/>
              </w:rPr>
              <w:t>,</w:t>
            </w:r>
            <w:proofErr w:type="gramEnd"/>
            <w:r w:rsidR="0079488C" w:rsidRPr="00064185">
              <w:rPr>
                <w:rFonts w:eastAsia="Calibri" w:cs="Arial"/>
                <w:lang w:eastAsia="en-GB"/>
              </w:rPr>
              <w:t xml:space="preserve"> max. 11 appl./year</w:t>
            </w:r>
          </w:p>
        </w:tc>
        <w:tc>
          <w:tcPr>
            <w:tcW w:w="979" w:type="pct"/>
            <w:shd w:val="clear" w:color="auto" w:fill="FFFFFF"/>
          </w:tcPr>
          <w:p w14:paraId="54009F9F" w14:textId="47387303" w:rsidR="00DC0584" w:rsidRPr="00064185" w:rsidRDefault="00A16BA7" w:rsidP="00EA61D8">
            <w:pPr>
              <w:spacing w:before="60" w:after="60" w:line="260" w:lineRule="atLeast"/>
              <w:rPr>
                <w:rFonts w:eastAsia="Calibri"/>
                <w:lang w:eastAsia="en-GB"/>
              </w:rPr>
            </w:pPr>
            <w:r w:rsidRPr="00064185">
              <w:rPr>
                <w:rFonts w:eastAsia="Calibri"/>
                <w:lang w:eastAsia="en-GB"/>
              </w:rPr>
              <w:t xml:space="preserve"> 2.97E-6</w:t>
            </w:r>
            <w:r w:rsidR="00A943AF" w:rsidRPr="00064185">
              <w:rPr>
                <w:rFonts w:eastAsia="Calibri"/>
                <w:lang w:eastAsia="en-GB"/>
              </w:rPr>
              <w:t xml:space="preserve"> </w:t>
            </w:r>
          </w:p>
        </w:tc>
        <w:tc>
          <w:tcPr>
            <w:tcW w:w="903" w:type="pct"/>
            <w:shd w:val="clear" w:color="auto" w:fill="FFFFFF"/>
          </w:tcPr>
          <w:p w14:paraId="36F8807D" w14:textId="07C92DAF" w:rsidR="00DC0584" w:rsidRPr="00064185" w:rsidRDefault="00A16BA7" w:rsidP="00EA61D8">
            <w:pPr>
              <w:spacing w:before="60" w:after="60" w:line="260" w:lineRule="atLeast"/>
              <w:rPr>
                <w:b/>
              </w:rPr>
            </w:pPr>
            <w:r w:rsidRPr="00064185">
              <w:rPr>
                <w:b/>
              </w:rPr>
              <w:t>14.85</w:t>
            </w:r>
          </w:p>
        </w:tc>
        <w:tc>
          <w:tcPr>
            <w:tcW w:w="978" w:type="pct"/>
            <w:shd w:val="clear" w:color="auto" w:fill="FFFFFF"/>
          </w:tcPr>
          <w:p w14:paraId="2FF18AF1" w14:textId="0E202E46" w:rsidR="00DC0584" w:rsidRPr="00064185" w:rsidRDefault="00A943AF" w:rsidP="00EA61D8">
            <w:pPr>
              <w:spacing w:before="60" w:after="60" w:line="260" w:lineRule="atLeast"/>
              <w:rPr>
                <w:lang w:val="de-AT"/>
              </w:rPr>
            </w:pPr>
            <w:r w:rsidRPr="00064185">
              <w:rPr>
                <w:rFonts w:eastAsia="Calibri"/>
                <w:lang w:val="de-AT" w:eastAsia="en-GB"/>
              </w:rPr>
              <w:t xml:space="preserve"> 4.53E-3</w:t>
            </w:r>
            <w:r w:rsidR="00A16BA7" w:rsidRPr="00064185">
              <w:rPr>
                <w:rFonts w:eastAsia="Calibri"/>
                <w:lang w:val="de-AT" w:eastAsia="en-GB"/>
              </w:rPr>
              <w:t xml:space="preserve"> </w:t>
            </w:r>
          </w:p>
        </w:tc>
        <w:tc>
          <w:tcPr>
            <w:tcW w:w="882" w:type="pct"/>
            <w:shd w:val="clear" w:color="auto" w:fill="FFFFFF"/>
          </w:tcPr>
          <w:p w14:paraId="4B739D1E" w14:textId="3D501C49" w:rsidR="00DC0584" w:rsidRPr="00064185" w:rsidRDefault="00A16BA7" w:rsidP="00EA61D8">
            <w:pPr>
              <w:spacing w:before="60" w:after="60" w:line="260" w:lineRule="atLeast"/>
              <w:rPr>
                <w:b/>
              </w:rPr>
            </w:pPr>
            <w:r w:rsidRPr="00064185">
              <w:rPr>
                <w:b/>
              </w:rPr>
              <w:t>4.87</w:t>
            </w:r>
          </w:p>
        </w:tc>
      </w:tr>
      <w:tr w:rsidR="00064185" w:rsidRPr="00064185" w14:paraId="0E10983C" w14:textId="648AF95D" w:rsidTr="00FC2389">
        <w:trPr>
          <w:trHeight w:val="75"/>
        </w:trPr>
        <w:tc>
          <w:tcPr>
            <w:tcW w:w="1258" w:type="pct"/>
            <w:shd w:val="clear" w:color="auto" w:fill="FFFFFF"/>
          </w:tcPr>
          <w:p w14:paraId="432029AB" w14:textId="13385000" w:rsidR="00DC0584" w:rsidRPr="00064185" w:rsidRDefault="00DC0584" w:rsidP="00EA61D8">
            <w:pPr>
              <w:spacing w:before="60" w:after="60" w:line="260" w:lineRule="atLeast"/>
              <w:rPr>
                <w:rFonts w:eastAsia="Calibri" w:cs="Arial"/>
                <w:lang w:eastAsia="en-GB"/>
              </w:rPr>
            </w:pPr>
            <w:r w:rsidRPr="00064185">
              <w:rPr>
                <w:rFonts w:eastAsia="Calibri" w:cs="Arial"/>
                <w:lang w:eastAsia="en-GB"/>
              </w:rPr>
              <w:t>Silverfish</w:t>
            </w:r>
            <w:r w:rsidR="00A01136" w:rsidRPr="00064185">
              <w:rPr>
                <w:rFonts w:eastAsia="Calibri" w:cs="Arial"/>
                <w:lang w:eastAsia="en-GB"/>
              </w:rPr>
              <w:t>es</w:t>
            </w:r>
            <w:r w:rsidRPr="00064185">
              <w:rPr>
                <w:rFonts w:eastAsia="Calibri" w:cs="Arial"/>
                <w:lang w:eastAsia="en-GB"/>
              </w:rPr>
              <w:t xml:space="preserve"> &amp; Cockroaches</w:t>
            </w:r>
            <w:r w:rsidR="00D513B1" w:rsidRPr="00064185">
              <w:rPr>
                <w:rFonts w:eastAsia="Calibri" w:cs="Arial"/>
                <w:lang w:eastAsia="en-GB"/>
              </w:rPr>
              <w:t>, weekly</w:t>
            </w:r>
          </w:p>
        </w:tc>
        <w:tc>
          <w:tcPr>
            <w:tcW w:w="979" w:type="pct"/>
            <w:shd w:val="clear" w:color="auto" w:fill="FFFFFF"/>
            <w:vAlign w:val="center"/>
          </w:tcPr>
          <w:p w14:paraId="43EB6C86" w14:textId="64E02BA9" w:rsidR="00DC0584" w:rsidRPr="00064185" w:rsidRDefault="00FC2389" w:rsidP="00EA61D8">
            <w:pPr>
              <w:spacing w:before="60" w:after="60" w:line="260" w:lineRule="atLeast"/>
              <w:rPr>
                <w:rFonts w:eastAsia="Calibri"/>
                <w:lang w:eastAsia="en-GB"/>
              </w:rPr>
            </w:pPr>
            <w:r w:rsidRPr="00064185">
              <w:rPr>
                <w:rFonts w:eastAsia="Calibri"/>
                <w:lang w:eastAsia="en-GB"/>
              </w:rPr>
              <w:t xml:space="preserve"> 2.2</w:t>
            </w:r>
            <w:r w:rsidR="00A943AF" w:rsidRPr="00064185">
              <w:rPr>
                <w:rFonts w:eastAsia="Calibri"/>
                <w:lang w:eastAsia="en-GB"/>
              </w:rPr>
              <w:t>4E-</w:t>
            </w:r>
            <w:r w:rsidRPr="00064185">
              <w:rPr>
                <w:rFonts w:eastAsia="Calibri"/>
                <w:lang w:eastAsia="en-GB"/>
              </w:rPr>
              <w:t>5</w:t>
            </w:r>
          </w:p>
        </w:tc>
        <w:tc>
          <w:tcPr>
            <w:tcW w:w="903" w:type="pct"/>
            <w:shd w:val="clear" w:color="auto" w:fill="FFFFFF"/>
            <w:vAlign w:val="center"/>
          </w:tcPr>
          <w:p w14:paraId="39AF1DA2" w14:textId="3FE6CA33" w:rsidR="00DC0584" w:rsidRPr="00064185" w:rsidRDefault="00596213" w:rsidP="00EA61D8">
            <w:pPr>
              <w:spacing w:before="60" w:after="60" w:line="260" w:lineRule="atLeast"/>
              <w:rPr>
                <w:rFonts w:eastAsia="Calibri" w:cs="Arial"/>
                <w:b/>
                <w:lang w:eastAsia="en-GB"/>
              </w:rPr>
            </w:pPr>
            <w:r w:rsidRPr="00064185">
              <w:rPr>
                <w:rFonts w:eastAsia="Calibri" w:cs="Arial"/>
                <w:b/>
                <w:lang w:eastAsia="en-GB"/>
              </w:rPr>
              <w:t>112</w:t>
            </w:r>
          </w:p>
        </w:tc>
        <w:tc>
          <w:tcPr>
            <w:tcW w:w="978" w:type="pct"/>
            <w:shd w:val="clear" w:color="auto" w:fill="FFFFFF"/>
            <w:vAlign w:val="center"/>
          </w:tcPr>
          <w:p w14:paraId="795137FE" w14:textId="01EFD3F5" w:rsidR="00DC0584" w:rsidRPr="00064185" w:rsidRDefault="00596213" w:rsidP="00EA61D8">
            <w:pPr>
              <w:spacing w:before="60" w:after="60" w:line="260" w:lineRule="atLeast"/>
              <w:rPr>
                <w:rFonts w:eastAsia="Calibri"/>
                <w:lang w:val="de-AT" w:eastAsia="en-GB"/>
              </w:rPr>
            </w:pPr>
            <w:r w:rsidRPr="00064185">
              <w:rPr>
                <w:rFonts w:eastAsia="Calibri"/>
                <w:lang w:val="de-AT" w:eastAsia="en-GB"/>
              </w:rPr>
              <w:t xml:space="preserve"> 34</w:t>
            </w:r>
            <w:r w:rsidR="00A943AF" w:rsidRPr="00064185">
              <w:rPr>
                <w:rFonts w:eastAsia="Calibri"/>
                <w:lang w:val="de-AT" w:eastAsia="en-GB"/>
              </w:rPr>
              <w:t>.</w:t>
            </w:r>
            <w:r w:rsidRPr="00064185">
              <w:rPr>
                <w:rFonts w:eastAsia="Calibri"/>
                <w:lang w:val="de-AT" w:eastAsia="en-GB"/>
              </w:rPr>
              <w:t>09</w:t>
            </w:r>
            <w:r w:rsidR="00A16BA7" w:rsidRPr="00064185">
              <w:rPr>
                <w:rFonts w:eastAsia="Calibri"/>
                <w:lang w:val="de-AT" w:eastAsia="en-GB"/>
              </w:rPr>
              <w:t>E-</w:t>
            </w:r>
            <w:r w:rsidR="00A943AF" w:rsidRPr="00064185">
              <w:rPr>
                <w:rFonts w:eastAsia="Calibri"/>
                <w:lang w:val="de-AT" w:eastAsia="en-GB"/>
              </w:rPr>
              <w:t>3</w:t>
            </w:r>
          </w:p>
        </w:tc>
        <w:tc>
          <w:tcPr>
            <w:tcW w:w="882" w:type="pct"/>
            <w:shd w:val="clear" w:color="auto" w:fill="FFFFFF"/>
            <w:vAlign w:val="center"/>
          </w:tcPr>
          <w:p w14:paraId="428D5388" w14:textId="364FFB4A" w:rsidR="00DC0584" w:rsidRPr="00064185" w:rsidRDefault="00596213" w:rsidP="00EA61D8">
            <w:pPr>
              <w:spacing w:before="60" w:after="60" w:line="260" w:lineRule="atLeast"/>
              <w:rPr>
                <w:rFonts w:eastAsia="Calibri" w:cs="Arial"/>
                <w:b/>
                <w:lang w:eastAsia="en-GB"/>
              </w:rPr>
            </w:pPr>
            <w:r w:rsidRPr="00064185">
              <w:rPr>
                <w:rFonts w:eastAsia="Calibri" w:cs="Arial"/>
                <w:b/>
                <w:lang w:eastAsia="en-GB"/>
              </w:rPr>
              <w:t>36.66</w:t>
            </w:r>
          </w:p>
        </w:tc>
      </w:tr>
      <w:tr w:rsidR="00064185" w:rsidRPr="00064185" w14:paraId="6E710A39" w14:textId="4C4F5A07" w:rsidTr="00596213">
        <w:trPr>
          <w:trHeight w:val="75"/>
        </w:trPr>
        <w:tc>
          <w:tcPr>
            <w:tcW w:w="1258" w:type="pct"/>
            <w:shd w:val="clear" w:color="auto" w:fill="FFFFFF"/>
          </w:tcPr>
          <w:p w14:paraId="2DACFB1B" w14:textId="50525AF3" w:rsidR="00DC0584" w:rsidRPr="00064185" w:rsidRDefault="00DC0584" w:rsidP="00EA61D8">
            <w:pPr>
              <w:spacing w:before="60" w:after="60" w:line="260" w:lineRule="atLeast"/>
              <w:rPr>
                <w:rFonts w:eastAsia="Calibri" w:cs="Arial"/>
                <w:lang w:eastAsia="en-GB"/>
              </w:rPr>
            </w:pPr>
            <w:r w:rsidRPr="00064185">
              <w:rPr>
                <w:rFonts w:eastAsia="Calibri" w:cs="Arial"/>
                <w:lang w:eastAsia="en-GB"/>
              </w:rPr>
              <w:t>Woodlice</w:t>
            </w:r>
            <w:r w:rsidR="00D513B1" w:rsidRPr="00064185">
              <w:rPr>
                <w:rFonts w:eastAsia="Calibri" w:cs="Arial"/>
                <w:lang w:eastAsia="en-GB"/>
              </w:rPr>
              <w:t xml:space="preserve"> &amp; Cockroaches, twice a year</w:t>
            </w:r>
          </w:p>
        </w:tc>
        <w:tc>
          <w:tcPr>
            <w:tcW w:w="979" w:type="pct"/>
            <w:shd w:val="clear" w:color="auto" w:fill="FFFFFF"/>
            <w:vAlign w:val="center"/>
          </w:tcPr>
          <w:p w14:paraId="602A1552" w14:textId="122F975F" w:rsidR="00DC0584" w:rsidRPr="00064185" w:rsidRDefault="00FC2389" w:rsidP="00EA61D8">
            <w:pPr>
              <w:spacing w:before="60" w:after="60" w:line="260" w:lineRule="atLeast"/>
              <w:rPr>
                <w:rFonts w:eastAsia="Calibri"/>
                <w:lang w:eastAsia="en-GB"/>
              </w:rPr>
            </w:pPr>
            <w:r w:rsidRPr="00064185">
              <w:rPr>
                <w:rFonts w:eastAsia="Calibri"/>
                <w:lang w:eastAsia="en-GB"/>
              </w:rPr>
              <w:t xml:space="preserve"> 1</w:t>
            </w:r>
            <w:r w:rsidR="00A943AF" w:rsidRPr="00064185">
              <w:rPr>
                <w:rFonts w:eastAsia="Calibri"/>
                <w:lang w:eastAsia="en-GB"/>
              </w:rPr>
              <w:t>.</w:t>
            </w:r>
            <w:r w:rsidRPr="00064185">
              <w:rPr>
                <w:rFonts w:eastAsia="Calibri"/>
                <w:lang w:eastAsia="en-GB"/>
              </w:rPr>
              <w:t>65</w:t>
            </w:r>
            <w:r w:rsidR="00A943AF" w:rsidRPr="00064185">
              <w:rPr>
                <w:rFonts w:eastAsia="Calibri"/>
                <w:lang w:eastAsia="en-GB"/>
              </w:rPr>
              <w:t>E-</w:t>
            </w:r>
            <w:r w:rsidRPr="00064185">
              <w:rPr>
                <w:rFonts w:eastAsia="Calibri"/>
                <w:lang w:eastAsia="en-GB"/>
              </w:rPr>
              <w:t>6</w:t>
            </w:r>
          </w:p>
        </w:tc>
        <w:tc>
          <w:tcPr>
            <w:tcW w:w="903" w:type="pct"/>
            <w:shd w:val="clear" w:color="auto" w:fill="FFFFFF"/>
            <w:vAlign w:val="center"/>
          </w:tcPr>
          <w:p w14:paraId="4980D4D0" w14:textId="3B9D3EBF" w:rsidR="00DC0584" w:rsidRPr="00064185" w:rsidRDefault="00596213" w:rsidP="00EA61D8">
            <w:pPr>
              <w:spacing w:before="60" w:after="60" w:line="260" w:lineRule="atLeast"/>
              <w:rPr>
                <w:rFonts w:eastAsia="Calibri" w:cs="Arial"/>
                <w:b/>
                <w:lang w:eastAsia="en-GB"/>
              </w:rPr>
            </w:pPr>
            <w:r w:rsidRPr="00064185">
              <w:rPr>
                <w:rFonts w:eastAsia="Calibri" w:cs="Arial"/>
                <w:b/>
                <w:lang w:eastAsia="en-GB"/>
              </w:rPr>
              <w:t>8</w:t>
            </w:r>
            <w:r w:rsidR="00A16BA7" w:rsidRPr="00064185">
              <w:rPr>
                <w:rFonts w:eastAsia="Calibri" w:cs="Arial"/>
                <w:b/>
                <w:lang w:eastAsia="en-GB"/>
              </w:rPr>
              <w:t>.</w:t>
            </w:r>
            <w:r w:rsidRPr="00064185">
              <w:rPr>
                <w:rFonts w:eastAsia="Calibri" w:cs="Arial"/>
                <w:b/>
                <w:lang w:eastAsia="en-GB"/>
              </w:rPr>
              <w:t>25</w:t>
            </w:r>
          </w:p>
        </w:tc>
        <w:tc>
          <w:tcPr>
            <w:tcW w:w="978" w:type="pct"/>
            <w:shd w:val="clear" w:color="auto" w:fill="FFFFFF"/>
            <w:vAlign w:val="center"/>
          </w:tcPr>
          <w:p w14:paraId="2182D5D1" w14:textId="432F0EB7" w:rsidR="00DC0584" w:rsidRPr="00064185" w:rsidRDefault="00DC0584" w:rsidP="00EA61D8">
            <w:pPr>
              <w:spacing w:before="60" w:after="60" w:line="260" w:lineRule="atLeast"/>
              <w:rPr>
                <w:rFonts w:eastAsia="Calibri"/>
                <w:lang w:val="de-AT" w:eastAsia="en-GB"/>
              </w:rPr>
            </w:pPr>
            <w:r w:rsidRPr="00064185">
              <w:rPr>
                <w:rFonts w:eastAsia="Calibri"/>
                <w:lang w:val="de-AT" w:eastAsia="en-GB"/>
              </w:rPr>
              <w:t>2</w:t>
            </w:r>
            <w:r w:rsidR="00A943AF" w:rsidRPr="00064185">
              <w:rPr>
                <w:rFonts w:eastAsia="Calibri"/>
                <w:lang w:val="de-AT" w:eastAsia="en-GB"/>
              </w:rPr>
              <w:t>.</w:t>
            </w:r>
            <w:r w:rsidR="00596213" w:rsidRPr="00064185">
              <w:rPr>
                <w:rFonts w:eastAsia="Calibri"/>
                <w:lang w:val="de-AT" w:eastAsia="en-GB"/>
              </w:rPr>
              <w:t>52</w:t>
            </w:r>
            <w:r w:rsidR="00A943AF" w:rsidRPr="00064185">
              <w:rPr>
                <w:rFonts w:eastAsia="Calibri"/>
                <w:lang w:val="de-AT" w:eastAsia="en-GB"/>
              </w:rPr>
              <w:t>E-3</w:t>
            </w:r>
          </w:p>
        </w:tc>
        <w:tc>
          <w:tcPr>
            <w:tcW w:w="882" w:type="pct"/>
            <w:shd w:val="clear" w:color="auto" w:fill="FFFFFF"/>
            <w:vAlign w:val="center"/>
          </w:tcPr>
          <w:p w14:paraId="1B3D90F7" w14:textId="32291AB8" w:rsidR="00DC0584" w:rsidRPr="00064185" w:rsidRDefault="00A16BA7" w:rsidP="00EA61D8">
            <w:pPr>
              <w:spacing w:before="60" w:after="60" w:line="260" w:lineRule="atLeast"/>
              <w:rPr>
                <w:rFonts w:eastAsia="Calibri" w:cs="Arial"/>
                <w:b/>
                <w:lang w:eastAsia="en-GB"/>
              </w:rPr>
            </w:pPr>
            <w:r w:rsidRPr="00064185">
              <w:rPr>
                <w:rFonts w:eastAsia="Calibri" w:cs="Arial"/>
                <w:b/>
                <w:lang w:eastAsia="en-GB"/>
              </w:rPr>
              <w:t>2</w:t>
            </w:r>
            <w:r w:rsidR="00596213" w:rsidRPr="00064185">
              <w:rPr>
                <w:rFonts w:eastAsia="Calibri" w:cs="Arial"/>
                <w:b/>
                <w:lang w:eastAsia="en-GB"/>
              </w:rPr>
              <w:t>.71</w:t>
            </w:r>
          </w:p>
        </w:tc>
      </w:tr>
      <w:tr w:rsidR="00064185" w:rsidRPr="00064185" w14:paraId="0175A26B" w14:textId="77777777" w:rsidTr="00D513B1">
        <w:trPr>
          <w:trHeight w:val="75"/>
        </w:trPr>
        <w:tc>
          <w:tcPr>
            <w:tcW w:w="5000" w:type="pct"/>
            <w:gridSpan w:val="5"/>
            <w:shd w:val="clear" w:color="auto" w:fill="FFFFFF"/>
          </w:tcPr>
          <w:p w14:paraId="0FC7DCFD" w14:textId="4D2C886B" w:rsidR="00D513B1" w:rsidRPr="00064185" w:rsidRDefault="00D513B1" w:rsidP="00EA61D8">
            <w:pPr>
              <w:spacing w:before="60" w:after="60" w:line="260" w:lineRule="atLeast"/>
              <w:rPr>
                <w:rFonts w:eastAsia="Calibri"/>
                <w:lang w:eastAsia="en-GB"/>
              </w:rPr>
            </w:pPr>
            <w:r w:rsidRPr="00064185">
              <w:rPr>
                <w:rFonts w:eastAsia="Calibri" w:cs="Arial"/>
                <w:b/>
                <w:lang w:eastAsia="en-GB"/>
              </w:rPr>
              <w:t>Spraying indoors, direct treatment of target organisms</w:t>
            </w:r>
          </w:p>
        </w:tc>
      </w:tr>
      <w:tr w:rsidR="00064185" w:rsidRPr="00064185" w14:paraId="15A388CA" w14:textId="77777777" w:rsidTr="00FC2389">
        <w:trPr>
          <w:trHeight w:val="75"/>
        </w:trPr>
        <w:tc>
          <w:tcPr>
            <w:tcW w:w="1258" w:type="pct"/>
            <w:shd w:val="clear" w:color="auto" w:fill="FFFFFF"/>
          </w:tcPr>
          <w:p w14:paraId="24DF0269" w14:textId="19666972" w:rsidR="00D513B1" w:rsidRPr="00064185" w:rsidRDefault="00D513B1" w:rsidP="00EA61D8">
            <w:pPr>
              <w:spacing w:before="60" w:after="60" w:line="260" w:lineRule="atLeast"/>
              <w:rPr>
                <w:rFonts w:eastAsia="Calibri"/>
                <w:lang w:eastAsia="en-GB"/>
              </w:rPr>
            </w:pPr>
            <w:r w:rsidRPr="00064185">
              <w:rPr>
                <w:rFonts w:eastAsia="Calibri" w:cs="Arial"/>
                <w:lang w:eastAsia="en-GB"/>
              </w:rPr>
              <w:t>Silverfish</w:t>
            </w:r>
            <w:r w:rsidR="00A01136" w:rsidRPr="00064185">
              <w:rPr>
                <w:rFonts w:eastAsia="Calibri" w:cs="Arial"/>
                <w:lang w:eastAsia="en-GB"/>
              </w:rPr>
              <w:t>es</w:t>
            </w:r>
            <w:r w:rsidRPr="00064185">
              <w:rPr>
                <w:rFonts w:eastAsia="Calibri" w:cs="Arial"/>
                <w:lang w:eastAsia="en-GB"/>
              </w:rPr>
              <w:t xml:space="preserve"> &amp; Cockroaches, weekly</w:t>
            </w:r>
          </w:p>
        </w:tc>
        <w:tc>
          <w:tcPr>
            <w:tcW w:w="979" w:type="pct"/>
            <w:shd w:val="clear" w:color="auto" w:fill="FFFFFF"/>
          </w:tcPr>
          <w:p w14:paraId="1A6C40A0" w14:textId="4A419CFC" w:rsidR="00D513B1" w:rsidRPr="00064185" w:rsidRDefault="00596213" w:rsidP="00EA61D8">
            <w:pPr>
              <w:spacing w:before="60" w:after="60" w:line="260" w:lineRule="atLeast"/>
              <w:rPr>
                <w:rFonts w:eastAsia="Calibri"/>
                <w:lang w:eastAsia="en-GB"/>
              </w:rPr>
            </w:pPr>
            <w:r w:rsidRPr="00064185">
              <w:rPr>
                <w:rFonts w:eastAsia="Calibri"/>
                <w:lang w:eastAsia="en-GB"/>
              </w:rPr>
              <w:t>2.75E-5</w:t>
            </w:r>
          </w:p>
        </w:tc>
        <w:tc>
          <w:tcPr>
            <w:tcW w:w="903" w:type="pct"/>
            <w:shd w:val="clear" w:color="auto" w:fill="FFFFFF"/>
          </w:tcPr>
          <w:p w14:paraId="45F802BB" w14:textId="1A7D072C" w:rsidR="00D513B1" w:rsidRPr="00064185" w:rsidRDefault="00596213" w:rsidP="00EA61D8">
            <w:pPr>
              <w:spacing w:before="60" w:after="60" w:line="260" w:lineRule="atLeast"/>
              <w:rPr>
                <w:rFonts w:eastAsia="Calibri" w:cs="Arial"/>
                <w:b/>
                <w:lang w:eastAsia="en-GB"/>
              </w:rPr>
            </w:pPr>
            <w:r w:rsidRPr="00064185">
              <w:rPr>
                <w:rFonts w:eastAsia="Calibri" w:cs="Arial"/>
                <w:b/>
                <w:lang w:eastAsia="en-GB"/>
              </w:rPr>
              <w:t>137.5</w:t>
            </w:r>
          </w:p>
        </w:tc>
        <w:tc>
          <w:tcPr>
            <w:tcW w:w="978" w:type="pct"/>
            <w:shd w:val="clear" w:color="auto" w:fill="FFFFFF"/>
          </w:tcPr>
          <w:p w14:paraId="568D9A25" w14:textId="7F5456B2" w:rsidR="00D513B1" w:rsidRPr="00064185" w:rsidRDefault="00596213" w:rsidP="00EA61D8">
            <w:pPr>
              <w:spacing w:before="60" w:after="60" w:line="260" w:lineRule="atLeast"/>
              <w:rPr>
                <w:rFonts w:eastAsia="Calibri"/>
                <w:lang w:val="de-AT" w:eastAsia="en-GB"/>
              </w:rPr>
            </w:pPr>
            <w:r w:rsidRPr="00064185">
              <w:rPr>
                <w:rFonts w:eastAsia="Calibri"/>
                <w:lang w:val="de-AT" w:eastAsia="en-GB"/>
              </w:rPr>
              <w:t>41.96E-3</w:t>
            </w:r>
          </w:p>
        </w:tc>
        <w:tc>
          <w:tcPr>
            <w:tcW w:w="882" w:type="pct"/>
            <w:shd w:val="clear" w:color="auto" w:fill="FFFFFF"/>
          </w:tcPr>
          <w:p w14:paraId="115F71F5" w14:textId="6DF2DC48" w:rsidR="00D513B1" w:rsidRPr="00064185" w:rsidRDefault="00596213" w:rsidP="00EA61D8">
            <w:pPr>
              <w:spacing w:before="60" w:after="60" w:line="260" w:lineRule="atLeast"/>
              <w:rPr>
                <w:rFonts w:eastAsia="Calibri" w:cs="Arial"/>
                <w:b/>
                <w:lang w:eastAsia="en-GB"/>
              </w:rPr>
            </w:pPr>
            <w:r w:rsidRPr="00064185">
              <w:rPr>
                <w:rFonts w:eastAsia="Calibri" w:cs="Arial"/>
                <w:b/>
                <w:lang w:eastAsia="en-GB"/>
              </w:rPr>
              <w:t>45.12</w:t>
            </w:r>
          </w:p>
        </w:tc>
      </w:tr>
      <w:tr w:rsidR="00064185" w:rsidRPr="00064185" w14:paraId="7571931A" w14:textId="77777777" w:rsidTr="00FC2389">
        <w:trPr>
          <w:trHeight w:val="75"/>
        </w:trPr>
        <w:tc>
          <w:tcPr>
            <w:tcW w:w="1258" w:type="pct"/>
            <w:shd w:val="clear" w:color="auto" w:fill="FFFFFF"/>
          </w:tcPr>
          <w:p w14:paraId="613F0C14" w14:textId="43EF88F5" w:rsidR="00D513B1" w:rsidRPr="00064185" w:rsidRDefault="00FC2389" w:rsidP="00EA61D8">
            <w:pPr>
              <w:spacing w:before="60" w:after="60" w:line="260" w:lineRule="atLeast"/>
              <w:rPr>
                <w:rFonts w:eastAsia="Calibri"/>
                <w:lang w:eastAsia="en-GB"/>
              </w:rPr>
            </w:pPr>
            <w:r w:rsidRPr="00064185">
              <w:rPr>
                <w:rFonts w:eastAsia="Calibri" w:cs="Arial"/>
                <w:lang w:eastAsia="en-GB"/>
              </w:rPr>
              <w:t>Cockroaches, twice a year</w:t>
            </w:r>
          </w:p>
        </w:tc>
        <w:tc>
          <w:tcPr>
            <w:tcW w:w="979" w:type="pct"/>
            <w:shd w:val="clear" w:color="auto" w:fill="FFFFFF"/>
          </w:tcPr>
          <w:p w14:paraId="4ABF358E" w14:textId="45A31FB5" w:rsidR="00D513B1" w:rsidRPr="00064185" w:rsidRDefault="00596213" w:rsidP="00EA61D8">
            <w:pPr>
              <w:spacing w:before="60" w:after="60" w:line="260" w:lineRule="atLeast"/>
              <w:rPr>
                <w:rFonts w:eastAsia="Calibri"/>
                <w:lang w:eastAsia="en-GB"/>
              </w:rPr>
            </w:pPr>
            <w:r w:rsidRPr="00064185">
              <w:rPr>
                <w:rFonts w:eastAsia="Calibri"/>
                <w:lang w:eastAsia="en-GB"/>
              </w:rPr>
              <w:t>2.04E-6</w:t>
            </w:r>
          </w:p>
        </w:tc>
        <w:tc>
          <w:tcPr>
            <w:tcW w:w="903" w:type="pct"/>
            <w:shd w:val="clear" w:color="auto" w:fill="FFFFFF"/>
          </w:tcPr>
          <w:p w14:paraId="24765DB5" w14:textId="4988D809" w:rsidR="00D513B1" w:rsidRPr="00064185" w:rsidRDefault="00596213" w:rsidP="00EA61D8">
            <w:pPr>
              <w:spacing w:before="60" w:after="60" w:line="260" w:lineRule="atLeast"/>
              <w:rPr>
                <w:rFonts w:eastAsia="Calibri" w:cs="Arial"/>
                <w:b/>
                <w:lang w:eastAsia="en-GB"/>
              </w:rPr>
            </w:pPr>
            <w:r w:rsidRPr="00064185">
              <w:rPr>
                <w:rFonts w:eastAsia="Calibri" w:cs="Arial"/>
                <w:b/>
                <w:lang w:eastAsia="en-GB"/>
              </w:rPr>
              <w:t>10.2</w:t>
            </w:r>
          </w:p>
        </w:tc>
        <w:tc>
          <w:tcPr>
            <w:tcW w:w="978" w:type="pct"/>
            <w:shd w:val="clear" w:color="auto" w:fill="FFFFFF"/>
          </w:tcPr>
          <w:p w14:paraId="6BF5A96A" w14:textId="618EF129" w:rsidR="00D513B1" w:rsidRPr="00064185" w:rsidRDefault="00596213" w:rsidP="00EA61D8">
            <w:pPr>
              <w:spacing w:before="60" w:after="60" w:line="260" w:lineRule="atLeast"/>
              <w:rPr>
                <w:rFonts w:eastAsia="Calibri"/>
                <w:lang w:val="de-AT" w:eastAsia="en-GB"/>
              </w:rPr>
            </w:pPr>
            <w:r w:rsidRPr="00064185">
              <w:rPr>
                <w:rFonts w:eastAsia="Calibri"/>
                <w:lang w:val="de-AT" w:eastAsia="en-GB"/>
              </w:rPr>
              <w:t>3.11E-3</w:t>
            </w:r>
          </w:p>
        </w:tc>
        <w:tc>
          <w:tcPr>
            <w:tcW w:w="882" w:type="pct"/>
            <w:shd w:val="clear" w:color="auto" w:fill="FFFFFF"/>
          </w:tcPr>
          <w:p w14:paraId="4A713E58" w14:textId="18F9B563" w:rsidR="00D513B1" w:rsidRPr="00064185" w:rsidRDefault="00596213" w:rsidP="00EA61D8">
            <w:pPr>
              <w:spacing w:before="60" w:after="60" w:line="260" w:lineRule="atLeast"/>
              <w:rPr>
                <w:rFonts w:eastAsia="Calibri" w:cs="Arial"/>
                <w:b/>
                <w:lang w:eastAsia="en-GB"/>
              </w:rPr>
            </w:pPr>
            <w:r w:rsidRPr="00064185">
              <w:rPr>
                <w:rFonts w:eastAsia="Calibri" w:cs="Arial"/>
                <w:b/>
                <w:lang w:eastAsia="en-GB"/>
              </w:rPr>
              <w:t>3.34</w:t>
            </w:r>
          </w:p>
        </w:tc>
      </w:tr>
      <w:tr w:rsidR="00064185" w:rsidRPr="00064185" w14:paraId="64CB3BE1" w14:textId="77777777" w:rsidTr="00FC2389">
        <w:trPr>
          <w:trHeight w:val="75"/>
        </w:trPr>
        <w:tc>
          <w:tcPr>
            <w:tcW w:w="1258" w:type="pct"/>
            <w:shd w:val="clear" w:color="auto" w:fill="FFFFFF"/>
          </w:tcPr>
          <w:p w14:paraId="51E4DD05" w14:textId="7560554C" w:rsidR="00D513B1" w:rsidRPr="00064185" w:rsidRDefault="00FC2389" w:rsidP="00EA61D8">
            <w:pPr>
              <w:spacing w:before="60" w:after="60" w:line="260" w:lineRule="atLeast"/>
              <w:rPr>
                <w:rFonts w:eastAsia="Calibri"/>
                <w:lang w:eastAsia="en-GB"/>
              </w:rPr>
            </w:pPr>
            <w:r w:rsidRPr="00064185">
              <w:rPr>
                <w:rFonts w:eastAsia="Calibri" w:cs="Arial"/>
                <w:lang w:eastAsia="en-GB"/>
              </w:rPr>
              <w:t>Woodlice</w:t>
            </w:r>
            <w:r w:rsidR="001979BC" w:rsidRPr="00064185">
              <w:rPr>
                <w:rFonts w:eastAsia="Calibri" w:cs="Arial"/>
                <w:lang w:eastAsia="en-GB"/>
              </w:rPr>
              <w:t>,</w:t>
            </w:r>
            <w:r w:rsidRPr="00064185">
              <w:rPr>
                <w:rFonts w:eastAsia="Calibri" w:cs="Arial"/>
                <w:lang w:eastAsia="en-GB"/>
              </w:rPr>
              <w:t xml:space="preserve"> twice a year</w:t>
            </w:r>
          </w:p>
        </w:tc>
        <w:tc>
          <w:tcPr>
            <w:tcW w:w="979" w:type="pct"/>
            <w:shd w:val="clear" w:color="auto" w:fill="FFFFFF"/>
          </w:tcPr>
          <w:p w14:paraId="53FFF383" w14:textId="1C2EC335" w:rsidR="00D513B1" w:rsidRPr="00064185" w:rsidRDefault="00596213" w:rsidP="00EA61D8">
            <w:pPr>
              <w:spacing w:before="60" w:after="60" w:line="260" w:lineRule="atLeast"/>
              <w:rPr>
                <w:rFonts w:eastAsia="Calibri"/>
                <w:lang w:eastAsia="en-GB"/>
              </w:rPr>
            </w:pPr>
            <w:r w:rsidRPr="00064185">
              <w:rPr>
                <w:rFonts w:eastAsia="Calibri"/>
                <w:lang w:eastAsia="en-GB"/>
              </w:rPr>
              <w:t>2.81E-6</w:t>
            </w:r>
          </w:p>
        </w:tc>
        <w:tc>
          <w:tcPr>
            <w:tcW w:w="903" w:type="pct"/>
            <w:shd w:val="clear" w:color="auto" w:fill="FFFFFF"/>
          </w:tcPr>
          <w:p w14:paraId="1D2DDB9B" w14:textId="21D49BD3" w:rsidR="00D513B1" w:rsidRPr="00064185" w:rsidRDefault="00596213" w:rsidP="00EA61D8">
            <w:pPr>
              <w:spacing w:before="60" w:after="60" w:line="260" w:lineRule="atLeast"/>
              <w:rPr>
                <w:rFonts w:eastAsia="Calibri" w:cs="Arial"/>
                <w:b/>
                <w:lang w:eastAsia="en-GB"/>
              </w:rPr>
            </w:pPr>
            <w:r w:rsidRPr="00064185">
              <w:rPr>
                <w:rFonts w:eastAsia="Calibri" w:cs="Arial"/>
                <w:b/>
                <w:lang w:eastAsia="en-GB"/>
              </w:rPr>
              <w:t>14.05</w:t>
            </w:r>
          </w:p>
        </w:tc>
        <w:tc>
          <w:tcPr>
            <w:tcW w:w="978" w:type="pct"/>
            <w:shd w:val="clear" w:color="auto" w:fill="FFFFFF"/>
          </w:tcPr>
          <w:p w14:paraId="034E9C2F" w14:textId="43C68D88" w:rsidR="00D513B1" w:rsidRPr="00064185" w:rsidRDefault="00596213" w:rsidP="00EA61D8">
            <w:pPr>
              <w:spacing w:before="60" w:after="60" w:line="260" w:lineRule="atLeast"/>
              <w:rPr>
                <w:rFonts w:eastAsia="Calibri"/>
                <w:lang w:val="de-AT" w:eastAsia="en-GB"/>
              </w:rPr>
            </w:pPr>
            <w:r w:rsidRPr="00064185">
              <w:rPr>
                <w:rFonts w:eastAsia="Calibri"/>
                <w:lang w:val="de-AT" w:eastAsia="en-GB"/>
              </w:rPr>
              <w:t>4.28E-3</w:t>
            </w:r>
          </w:p>
        </w:tc>
        <w:tc>
          <w:tcPr>
            <w:tcW w:w="882" w:type="pct"/>
            <w:shd w:val="clear" w:color="auto" w:fill="FFFFFF"/>
          </w:tcPr>
          <w:p w14:paraId="79CA6680" w14:textId="3EB05AED" w:rsidR="00D513B1" w:rsidRPr="00064185" w:rsidRDefault="00596213" w:rsidP="00EA61D8">
            <w:pPr>
              <w:spacing w:before="60" w:after="60" w:line="260" w:lineRule="atLeast"/>
              <w:rPr>
                <w:rFonts w:eastAsia="Calibri" w:cs="Arial"/>
                <w:b/>
                <w:lang w:eastAsia="en-GB"/>
              </w:rPr>
            </w:pPr>
            <w:r w:rsidRPr="00064185">
              <w:rPr>
                <w:rFonts w:eastAsia="Calibri" w:cs="Arial"/>
                <w:b/>
                <w:lang w:eastAsia="en-GB"/>
              </w:rPr>
              <w:t>4.60</w:t>
            </w:r>
          </w:p>
        </w:tc>
      </w:tr>
      <w:tr w:rsidR="00064185" w:rsidRPr="00064185" w14:paraId="4465869E" w14:textId="465A1FFE" w:rsidTr="00A16BA7">
        <w:trPr>
          <w:trHeight w:val="75"/>
        </w:trPr>
        <w:tc>
          <w:tcPr>
            <w:tcW w:w="5000" w:type="pct"/>
            <w:gridSpan w:val="5"/>
            <w:shd w:val="clear" w:color="auto" w:fill="FFFFFF"/>
          </w:tcPr>
          <w:p w14:paraId="0A8A3A88" w14:textId="752BED8A" w:rsidR="00DC0584" w:rsidRPr="00064185" w:rsidRDefault="00FC2389" w:rsidP="00EA61D8">
            <w:pPr>
              <w:spacing w:before="60" w:after="60" w:line="260" w:lineRule="atLeast"/>
              <w:rPr>
                <w:rFonts w:eastAsia="Calibri" w:cs="Arial"/>
                <w:lang w:eastAsia="en-GB"/>
              </w:rPr>
            </w:pPr>
            <w:r w:rsidRPr="00064185">
              <w:rPr>
                <w:rFonts w:eastAsia="Calibri" w:cs="Arial"/>
                <w:b/>
                <w:lang w:eastAsia="en-GB"/>
              </w:rPr>
              <w:t>Spraying</w:t>
            </w:r>
            <w:r w:rsidR="00DC0584" w:rsidRPr="00064185">
              <w:rPr>
                <w:rFonts w:eastAsia="Calibri" w:cs="Arial"/>
                <w:b/>
                <w:lang w:eastAsia="en-GB"/>
              </w:rPr>
              <w:t xml:space="preserve"> outdoor</w:t>
            </w:r>
            <w:r w:rsidRPr="00064185">
              <w:rPr>
                <w:rFonts w:eastAsia="Calibri" w:cs="Arial"/>
                <w:b/>
                <w:lang w:eastAsia="en-GB"/>
              </w:rPr>
              <w:t>s, residual treatment</w:t>
            </w:r>
          </w:p>
        </w:tc>
      </w:tr>
      <w:tr w:rsidR="00064185" w:rsidRPr="00064185" w14:paraId="7B9E05A4" w14:textId="1FCB5D27" w:rsidTr="00FC2389">
        <w:trPr>
          <w:trHeight w:val="75"/>
        </w:trPr>
        <w:tc>
          <w:tcPr>
            <w:tcW w:w="1258" w:type="pct"/>
            <w:shd w:val="clear" w:color="auto" w:fill="FFFFFF"/>
          </w:tcPr>
          <w:p w14:paraId="05EA34B8" w14:textId="77777777" w:rsidR="00DC0584" w:rsidRPr="00064185" w:rsidRDefault="00DC0584" w:rsidP="00EA61D8">
            <w:pPr>
              <w:spacing w:before="60" w:after="60" w:line="260" w:lineRule="atLeast"/>
              <w:rPr>
                <w:rFonts w:eastAsia="Calibri" w:cs="Arial"/>
                <w:lang w:eastAsia="en-GB"/>
              </w:rPr>
            </w:pPr>
            <w:r w:rsidRPr="00064185">
              <w:rPr>
                <w:rFonts w:eastAsia="Calibri" w:cs="Arial"/>
                <w:lang w:eastAsia="en-GB"/>
              </w:rPr>
              <w:t>Ants, urban area</w:t>
            </w:r>
          </w:p>
        </w:tc>
        <w:tc>
          <w:tcPr>
            <w:tcW w:w="979" w:type="pct"/>
            <w:shd w:val="clear" w:color="auto" w:fill="FFFFFF"/>
          </w:tcPr>
          <w:p w14:paraId="04F52335" w14:textId="64AEC0E0" w:rsidR="00DC0584" w:rsidRPr="00064185" w:rsidRDefault="00A943AF" w:rsidP="00EA61D8">
            <w:pPr>
              <w:spacing w:before="60" w:after="60" w:line="260" w:lineRule="atLeast"/>
              <w:rPr>
                <w:rFonts w:eastAsia="Calibri" w:cs="Arial"/>
                <w:lang w:eastAsia="en-GB"/>
              </w:rPr>
            </w:pPr>
            <w:r w:rsidRPr="00064185">
              <w:rPr>
                <w:rFonts w:eastAsia="Calibri"/>
                <w:lang w:eastAsia="en-GB"/>
              </w:rPr>
              <w:t>2.35E-6</w:t>
            </w:r>
          </w:p>
        </w:tc>
        <w:tc>
          <w:tcPr>
            <w:tcW w:w="902" w:type="pct"/>
            <w:shd w:val="clear" w:color="auto" w:fill="FFFFFF"/>
          </w:tcPr>
          <w:p w14:paraId="4B5449BF" w14:textId="1273CADC" w:rsidR="00DC0584" w:rsidRPr="00064185" w:rsidRDefault="00A16BA7" w:rsidP="00EA61D8">
            <w:pPr>
              <w:spacing w:before="60" w:after="60" w:line="260" w:lineRule="atLeast"/>
              <w:rPr>
                <w:rFonts w:eastAsia="Calibri" w:cs="Arial"/>
                <w:b/>
                <w:lang w:eastAsia="en-GB"/>
              </w:rPr>
            </w:pPr>
            <w:r w:rsidRPr="00064185">
              <w:rPr>
                <w:rFonts w:eastAsia="Calibri" w:cs="Arial"/>
                <w:b/>
                <w:lang w:eastAsia="en-GB"/>
              </w:rPr>
              <w:t>11.75</w:t>
            </w:r>
          </w:p>
        </w:tc>
        <w:tc>
          <w:tcPr>
            <w:tcW w:w="979" w:type="pct"/>
            <w:shd w:val="clear" w:color="auto" w:fill="FFFFFF"/>
          </w:tcPr>
          <w:p w14:paraId="1A89F9B7" w14:textId="5230F263" w:rsidR="00DC0584" w:rsidRPr="00064185" w:rsidRDefault="00A943AF" w:rsidP="00EA61D8">
            <w:pPr>
              <w:spacing w:before="60" w:after="60" w:line="260" w:lineRule="atLeast"/>
              <w:rPr>
                <w:rFonts w:eastAsia="Calibri" w:cs="Arial"/>
                <w:lang w:val="de-AT" w:eastAsia="en-GB"/>
              </w:rPr>
            </w:pPr>
            <w:r w:rsidRPr="00064185">
              <w:rPr>
                <w:rFonts w:eastAsia="Calibri"/>
                <w:lang w:val="de-AT" w:eastAsia="en-GB"/>
              </w:rPr>
              <w:t>3.95E-3</w:t>
            </w:r>
            <w:r w:rsidR="00A16BA7" w:rsidRPr="00064185">
              <w:rPr>
                <w:rFonts w:eastAsia="Calibri"/>
                <w:lang w:val="de-AT" w:eastAsia="en-GB"/>
              </w:rPr>
              <w:t xml:space="preserve"> </w:t>
            </w:r>
          </w:p>
        </w:tc>
        <w:tc>
          <w:tcPr>
            <w:tcW w:w="882" w:type="pct"/>
            <w:shd w:val="clear" w:color="auto" w:fill="FFFFFF"/>
          </w:tcPr>
          <w:p w14:paraId="57C15218" w14:textId="0A2C94E6" w:rsidR="00DC0584" w:rsidRPr="00064185" w:rsidRDefault="000E25CB" w:rsidP="00EA61D8">
            <w:pPr>
              <w:spacing w:before="60" w:after="60" w:line="260" w:lineRule="atLeast"/>
              <w:rPr>
                <w:rFonts w:eastAsia="Calibri" w:cs="Arial"/>
                <w:b/>
                <w:lang w:eastAsia="en-GB"/>
              </w:rPr>
            </w:pPr>
            <w:r w:rsidRPr="00064185">
              <w:rPr>
                <w:rFonts w:eastAsia="Calibri" w:cs="Arial"/>
                <w:b/>
                <w:lang w:eastAsia="en-GB"/>
              </w:rPr>
              <w:t>4.25</w:t>
            </w:r>
          </w:p>
        </w:tc>
      </w:tr>
      <w:tr w:rsidR="00064185" w:rsidRPr="00064185" w14:paraId="0B696459" w14:textId="77777777" w:rsidTr="00FC2389">
        <w:trPr>
          <w:trHeight w:val="75"/>
        </w:trPr>
        <w:tc>
          <w:tcPr>
            <w:tcW w:w="1258" w:type="pct"/>
            <w:shd w:val="clear" w:color="auto" w:fill="FFFFFF"/>
          </w:tcPr>
          <w:p w14:paraId="158C92F0" w14:textId="16AE9FC4" w:rsidR="00FC2389" w:rsidRPr="00064185" w:rsidRDefault="00FC2389" w:rsidP="00EA61D8">
            <w:pPr>
              <w:spacing w:before="60" w:after="60" w:line="260" w:lineRule="atLeast"/>
              <w:rPr>
                <w:rFonts w:eastAsia="Calibri"/>
                <w:lang w:eastAsia="en-GB"/>
              </w:rPr>
            </w:pPr>
            <w:r w:rsidRPr="00064185">
              <w:rPr>
                <w:rFonts w:eastAsia="Calibri" w:cs="Arial"/>
                <w:lang w:eastAsia="en-GB"/>
              </w:rPr>
              <w:t>Ants, rural area</w:t>
            </w:r>
          </w:p>
        </w:tc>
        <w:tc>
          <w:tcPr>
            <w:tcW w:w="979" w:type="pct"/>
            <w:shd w:val="clear" w:color="auto" w:fill="FFFFFF"/>
          </w:tcPr>
          <w:p w14:paraId="4CEDB676" w14:textId="3EBCE58B" w:rsidR="00FC2389" w:rsidRPr="00064185" w:rsidRDefault="00FC2389" w:rsidP="00EA61D8">
            <w:pPr>
              <w:spacing w:before="60" w:after="60" w:line="260" w:lineRule="atLeast"/>
              <w:rPr>
                <w:rFonts w:eastAsia="Calibri"/>
                <w:lang w:eastAsia="en-GB"/>
              </w:rPr>
            </w:pPr>
            <w:r w:rsidRPr="00064185">
              <w:rPr>
                <w:rFonts w:eastAsia="Calibri"/>
                <w:lang w:eastAsia="en-GB"/>
              </w:rPr>
              <w:t>-</w:t>
            </w:r>
          </w:p>
        </w:tc>
        <w:tc>
          <w:tcPr>
            <w:tcW w:w="902" w:type="pct"/>
            <w:shd w:val="clear" w:color="auto" w:fill="FFFFFF"/>
          </w:tcPr>
          <w:p w14:paraId="567DAC53" w14:textId="6FBEE76D" w:rsidR="00FC2389" w:rsidRPr="00064185" w:rsidRDefault="00FC2389" w:rsidP="00EA61D8">
            <w:pPr>
              <w:spacing w:before="60" w:after="60" w:line="260" w:lineRule="atLeast"/>
              <w:rPr>
                <w:rFonts w:eastAsia="Calibri" w:cs="Arial"/>
                <w:b/>
                <w:lang w:eastAsia="en-GB"/>
              </w:rPr>
            </w:pPr>
            <w:r w:rsidRPr="00064185">
              <w:rPr>
                <w:rFonts w:eastAsia="Calibri" w:cs="Arial"/>
                <w:b/>
                <w:lang w:eastAsia="en-GB"/>
              </w:rPr>
              <w:t>-</w:t>
            </w:r>
          </w:p>
        </w:tc>
        <w:tc>
          <w:tcPr>
            <w:tcW w:w="979" w:type="pct"/>
            <w:shd w:val="clear" w:color="auto" w:fill="FFFFFF"/>
          </w:tcPr>
          <w:p w14:paraId="2E48D5BA" w14:textId="09C129F3" w:rsidR="00FC2389" w:rsidRPr="00064185" w:rsidRDefault="00FC2389" w:rsidP="00EA61D8">
            <w:pPr>
              <w:spacing w:before="60" w:after="60" w:line="260" w:lineRule="atLeast"/>
              <w:rPr>
                <w:rFonts w:eastAsia="Calibri"/>
                <w:lang w:val="de-AT" w:eastAsia="en-GB"/>
              </w:rPr>
            </w:pPr>
            <w:r w:rsidRPr="00064185">
              <w:rPr>
                <w:rFonts w:eastAsia="Calibri"/>
                <w:lang w:val="de-AT" w:eastAsia="en-GB"/>
              </w:rPr>
              <w:t>-</w:t>
            </w:r>
          </w:p>
        </w:tc>
        <w:tc>
          <w:tcPr>
            <w:tcW w:w="882" w:type="pct"/>
            <w:shd w:val="clear" w:color="auto" w:fill="FFFFFF"/>
          </w:tcPr>
          <w:p w14:paraId="3B3C17CA" w14:textId="527311BD" w:rsidR="00FC2389" w:rsidRPr="00064185" w:rsidRDefault="00FC2389" w:rsidP="00EA61D8">
            <w:pPr>
              <w:spacing w:before="60" w:after="60" w:line="260" w:lineRule="atLeast"/>
              <w:rPr>
                <w:rFonts w:eastAsia="Calibri" w:cs="Arial"/>
                <w:b/>
                <w:lang w:eastAsia="en-GB"/>
              </w:rPr>
            </w:pPr>
            <w:r w:rsidRPr="00064185">
              <w:rPr>
                <w:rFonts w:eastAsia="Calibri" w:cs="Arial"/>
                <w:b/>
                <w:lang w:eastAsia="en-GB"/>
              </w:rPr>
              <w:t>-</w:t>
            </w:r>
          </w:p>
        </w:tc>
      </w:tr>
    </w:tbl>
    <w:p w14:paraId="611A8A18" w14:textId="77777777" w:rsidR="00596213" w:rsidRPr="00064185" w:rsidRDefault="00596213" w:rsidP="00EA61D8">
      <w:pPr>
        <w:pStyle w:val="Textkrper2"/>
        <w:rPr>
          <w:rFonts w:eastAsia="Calibri"/>
          <w:i w:val="0"/>
          <w:color w:val="auto"/>
          <w:u w:val="single"/>
          <w:lang w:eastAsia="en-US"/>
        </w:rPr>
      </w:pPr>
    </w:p>
    <w:p w14:paraId="6D4D0C32" w14:textId="77777777" w:rsidR="0027331D" w:rsidRPr="00064185" w:rsidRDefault="005A14D8" w:rsidP="00F200AC">
      <w:pPr>
        <w:pStyle w:val="Textkrper2"/>
        <w:jc w:val="both"/>
        <w:rPr>
          <w:rFonts w:eastAsia="Calibri"/>
          <w:b/>
          <w:i w:val="0"/>
          <w:color w:val="auto"/>
          <w:lang w:eastAsia="en-US"/>
        </w:rPr>
      </w:pPr>
      <w:r w:rsidRPr="00064185">
        <w:rPr>
          <w:rFonts w:eastAsia="Calibri"/>
          <w:b/>
          <w:i w:val="0"/>
          <w:color w:val="auto"/>
          <w:lang w:eastAsia="en-US"/>
        </w:rPr>
        <w:t>Conclusion:</w:t>
      </w:r>
      <w:r w:rsidRPr="00064185">
        <w:rPr>
          <w:rFonts w:eastAsia="Calibri"/>
          <w:b/>
          <w:color w:val="auto"/>
          <w:lang w:eastAsia="en-US"/>
        </w:rPr>
        <w:t xml:space="preserve"> </w:t>
      </w:r>
    </w:p>
    <w:p w14:paraId="1A7F059F" w14:textId="71D7050F" w:rsidR="005A14D8" w:rsidRPr="00064185" w:rsidRDefault="005A14D8" w:rsidP="00F200AC">
      <w:pPr>
        <w:pStyle w:val="Textkrper2"/>
        <w:jc w:val="both"/>
        <w:rPr>
          <w:rFonts w:eastAsia="Calibri"/>
          <w:i w:val="0"/>
          <w:color w:val="auto"/>
          <w:lang w:eastAsia="en-US"/>
        </w:rPr>
      </w:pPr>
      <w:r w:rsidRPr="00064185">
        <w:rPr>
          <w:rFonts w:eastAsia="Calibri"/>
          <w:i w:val="0"/>
          <w:color w:val="auto"/>
          <w:lang w:eastAsia="en-US"/>
        </w:rPr>
        <w:t xml:space="preserve">All calculated PEC/PNEC ratios </w:t>
      </w:r>
      <w:r w:rsidR="004C28F3" w:rsidRPr="00064185">
        <w:rPr>
          <w:rFonts w:eastAsia="Calibri"/>
          <w:i w:val="0"/>
          <w:color w:val="auto"/>
          <w:lang w:eastAsia="en-US"/>
        </w:rPr>
        <w:t xml:space="preserve">for </w:t>
      </w:r>
      <w:r w:rsidR="00C26B0A" w:rsidRPr="00064185">
        <w:rPr>
          <w:rFonts w:eastAsia="Calibri"/>
          <w:i w:val="0"/>
          <w:color w:val="auto"/>
          <w:lang w:eastAsia="en-US"/>
        </w:rPr>
        <w:t>i</w:t>
      </w:r>
      <w:r w:rsidRPr="00064185">
        <w:rPr>
          <w:rFonts w:eastAsia="Calibri"/>
          <w:i w:val="0"/>
          <w:color w:val="auto"/>
          <w:lang w:eastAsia="en-US"/>
        </w:rPr>
        <w:t>ndirect exposure of surface water and sediment via STP are &gt;1, indicating unacceptable risk for aquatic and sediment dwelling organisms.</w:t>
      </w:r>
    </w:p>
    <w:p w14:paraId="4379DEA3" w14:textId="267976E3" w:rsidR="00115B53" w:rsidRPr="00064185" w:rsidRDefault="00115B53" w:rsidP="00F200AC">
      <w:pPr>
        <w:pStyle w:val="Textkrper2"/>
        <w:jc w:val="both"/>
        <w:rPr>
          <w:rFonts w:eastAsia="Calibri"/>
          <w:i w:val="0"/>
          <w:color w:val="auto"/>
          <w:lang w:eastAsia="en-US"/>
        </w:rPr>
      </w:pPr>
      <w:r w:rsidRPr="00064185">
        <w:rPr>
          <w:rFonts w:eastAsia="Calibri"/>
          <w:i w:val="0"/>
          <w:color w:val="auto"/>
          <w:lang w:eastAsia="en-US"/>
        </w:rPr>
        <w:t>The highest risk ratios</w:t>
      </w:r>
      <w:r w:rsidR="00206088" w:rsidRPr="00064185">
        <w:rPr>
          <w:rFonts w:eastAsia="Calibri"/>
          <w:i w:val="0"/>
          <w:color w:val="auto"/>
          <w:lang w:eastAsia="en-US"/>
        </w:rPr>
        <w:t xml:space="preserve"> </w:t>
      </w:r>
      <w:r w:rsidR="00F906CD" w:rsidRPr="00064185">
        <w:rPr>
          <w:rFonts w:eastAsia="Calibri"/>
          <w:i w:val="0"/>
          <w:color w:val="auto"/>
          <w:lang w:eastAsia="en-US"/>
        </w:rPr>
        <w:t xml:space="preserve">for surface water </w:t>
      </w:r>
      <w:r w:rsidR="00206088" w:rsidRPr="00064185">
        <w:rPr>
          <w:rFonts w:eastAsia="Calibri"/>
          <w:i w:val="0"/>
          <w:color w:val="auto"/>
          <w:lang w:eastAsia="en-US"/>
        </w:rPr>
        <w:t xml:space="preserve">(112 and 137.5) </w:t>
      </w:r>
      <w:r w:rsidRPr="00064185">
        <w:rPr>
          <w:rFonts w:eastAsia="Calibri"/>
          <w:i w:val="0"/>
          <w:color w:val="auto"/>
          <w:lang w:eastAsia="en-US"/>
        </w:rPr>
        <w:t>were calculated for silverfish</w:t>
      </w:r>
      <w:r w:rsidR="00A01136" w:rsidRPr="00064185">
        <w:rPr>
          <w:rFonts w:eastAsia="Calibri"/>
          <w:i w:val="0"/>
          <w:color w:val="auto"/>
          <w:lang w:eastAsia="en-US"/>
        </w:rPr>
        <w:t>es</w:t>
      </w:r>
      <w:r w:rsidRPr="00064185">
        <w:rPr>
          <w:rFonts w:eastAsia="Calibri"/>
          <w:i w:val="0"/>
          <w:color w:val="auto"/>
          <w:lang w:eastAsia="en-US"/>
        </w:rPr>
        <w:t xml:space="preserve"> and cockroaches</w:t>
      </w:r>
      <w:r w:rsidR="001069CA" w:rsidRPr="00064185">
        <w:rPr>
          <w:rFonts w:eastAsia="Calibri"/>
          <w:i w:val="0"/>
          <w:color w:val="auto"/>
          <w:lang w:eastAsia="en-US"/>
        </w:rPr>
        <w:t xml:space="preserve"> after weekly </w:t>
      </w:r>
      <w:r w:rsidR="00206088" w:rsidRPr="00064185">
        <w:rPr>
          <w:rFonts w:eastAsia="Calibri"/>
          <w:i w:val="0"/>
          <w:color w:val="auto"/>
          <w:lang w:eastAsia="en-US"/>
        </w:rPr>
        <w:t xml:space="preserve">residual or direct </w:t>
      </w:r>
      <w:r w:rsidR="001069CA" w:rsidRPr="00064185">
        <w:rPr>
          <w:rFonts w:eastAsia="Calibri"/>
          <w:i w:val="0"/>
          <w:color w:val="auto"/>
          <w:lang w:eastAsia="en-US"/>
        </w:rPr>
        <w:t>treatment</w:t>
      </w:r>
      <w:r w:rsidR="00F906CD" w:rsidRPr="00064185">
        <w:rPr>
          <w:rFonts w:eastAsia="Calibri"/>
          <w:i w:val="0"/>
          <w:color w:val="auto"/>
          <w:lang w:eastAsia="en-US"/>
        </w:rPr>
        <w:t xml:space="preserve"> of target organisms</w:t>
      </w:r>
      <w:r w:rsidRPr="00064185">
        <w:rPr>
          <w:rFonts w:eastAsia="Calibri"/>
          <w:i w:val="0"/>
          <w:color w:val="auto"/>
          <w:lang w:eastAsia="en-US"/>
        </w:rPr>
        <w:t xml:space="preserve">. </w:t>
      </w:r>
    </w:p>
    <w:p w14:paraId="58A241C3" w14:textId="3954736C" w:rsidR="00C813E8" w:rsidRPr="00064185" w:rsidRDefault="00115B53" w:rsidP="00F200AC">
      <w:pPr>
        <w:pStyle w:val="Textkrper2"/>
        <w:jc w:val="both"/>
        <w:rPr>
          <w:rFonts w:eastAsia="Calibri"/>
          <w:i w:val="0"/>
          <w:color w:val="auto"/>
          <w:lang w:eastAsia="en-US"/>
        </w:rPr>
      </w:pPr>
      <w:r w:rsidRPr="00064185">
        <w:rPr>
          <w:rFonts w:eastAsia="Calibri"/>
          <w:i w:val="0"/>
          <w:color w:val="auto"/>
          <w:lang w:eastAsia="en-US"/>
        </w:rPr>
        <w:t xml:space="preserve">In sediment </w:t>
      </w:r>
      <w:r w:rsidR="00721DF3" w:rsidRPr="00064185">
        <w:rPr>
          <w:rFonts w:eastAsia="Calibri"/>
          <w:i w:val="0"/>
          <w:color w:val="auto"/>
          <w:lang w:eastAsia="en-US"/>
        </w:rPr>
        <w:t xml:space="preserve">PEC/PNEC ratios </w:t>
      </w:r>
      <w:r w:rsidR="00206088" w:rsidRPr="00064185">
        <w:rPr>
          <w:rFonts w:eastAsia="Calibri"/>
          <w:i w:val="0"/>
          <w:color w:val="auto"/>
          <w:lang w:eastAsia="en-US"/>
        </w:rPr>
        <w:t>for silverfish</w:t>
      </w:r>
      <w:r w:rsidR="00A01136" w:rsidRPr="00064185">
        <w:rPr>
          <w:rFonts w:eastAsia="Calibri"/>
          <w:i w:val="0"/>
          <w:color w:val="auto"/>
          <w:lang w:eastAsia="en-US"/>
        </w:rPr>
        <w:t>es</w:t>
      </w:r>
      <w:r w:rsidR="00206088" w:rsidRPr="00064185">
        <w:rPr>
          <w:rFonts w:eastAsia="Calibri"/>
          <w:i w:val="0"/>
          <w:color w:val="auto"/>
          <w:lang w:eastAsia="en-US"/>
        </w:rPr>
        <w:t xml:space="preserve"> and cockroaches after weekly residual or direct treatment </w:t>
      </w:r>
      <w:r w:rsidR="00F906CD" w:rsidRPr="00064185">
        <w:rPr>
          <w:rFonts w:eastAsia="Calibri"/>
          <w:i w:val="0"/>
          <w:color w:val="auto"/>
          <w:lang w:eastAsia="en-US"/>
        </w:rPr>
        <w:t xml:space="preserve">of target organisms </w:t>
      </w:r>
      <w:r w:rsidRPr="00064185">
        <w:rPr>
          <w:rFonts w:eastAsia="Calibri"/>
          <w:i w:val="0"/>
          <w:color w:val="auto"/>
          <w:lang w:eastAsia="en-US"/>
        </w:rPr>
        <w:t>a</w:t>
      </w:r>
      <w:r w:rsidR="00721DF3" w:rsidRPr="00064185">
        <w:rPr>
          <w:rFonts w:eastAsia="Calibri"/>
          <w:i w:val="0"/>
          <w:color w:val="auto"/>
          <w:lang w:eastAsia="en-US"/>
        </w:rPr>
        <w:t xml:space="preserve">re </w:t>
      </w:r>
      <w:r w:rsidR="00A01136" w:rsidRPr="00064185">
        <w:rPr>
          <w:rFonts w:eastAsia="Calibri"/>
          <w:i w:val="0"/>
          <w:color w:val="auto"/>
          <w:lang w:eastAsia="en-US"/>
        </w:rPr>
        <w:t>36.66 and 45.12</w:t>
      </w:r>
      <w:r w:rsidRPr="00064185">
        <w:rPr>
          <w:rFonts w:eastAsia="Calibri"/>
          <w:i w:val="0"/>
          <w:color w:val="auto"/>
          <w:lang w:eastAsia="en-US"/>
        </w:rPr>
        <w:t>.</w:t>
      </w:r>
      <w:r w:rsidR="00C813E8" w:rsidRPr="00064185">
        <w:rPr>
          <w:rFonts w:eastAsia="Calibri"/>
          <w:i w:val="0"/>
          <w:color w:val="auto"/>
          <w:lang w:eastAsia="en-US"/>
        </w:rPr>
        <w:t xml:space="preserve"> </w:t>
      </w:r>
    </w:p>
    <w:p w14:paraId="2B90626F" w14:textId="2C62300D" w:rsidR="00115B53" w:rsidRPr="00064185" w:rsidRDefault="00A01136" w:rsidP="00F200AC">
      <w:pPr>
        <w:pStyle w:val="Textkrper2"/>
        <w:jc w:val="both"/>
        <w:rPr>
          <w:rFonts w:eastAsia="Calibri"/>
          <w:i w:val="0"/>
          <w:color w:val="auto"/>
          <w:lang w:eastAsia="en-US"/>
        </w:rPr>
      </w:pPr>
      <w:r w:rsidRPr="00064185">
        <w:rPr>
          <w:rFonts w:eastAsia="Calibri"/>
          <w:i w:val="0"/>
          <w:color w:val="auto"/>
          <w:lang w:eastAsia="en-US"/>
        </w:rPr>
        <w:t xml:space="preserve">Direct </w:t>
      </w:r>
      <w:r w:rsidR="00115B53" w:rsidRPr="00064185">
        <w:rPr>
          <w:rFonts w:eastAsia="Calibri"/>
          <w:i w:val="0"/>
          <w:color w:val="auto"/>
          <w:lang w:eastAsia="en-US"/>
        </w:rPr>
        <w:t>treatment of target organisms</w:t>
      </w:r>
      <w:r w:rsidRPr="00064185">
        <w:rPr>
          <w:rFonts w:eastAsia="Calibri"/>
          <w:i w:val="0"/>
          <w:color w:val="auto"/>
          <w:lang w:eastAsia="en-US"/>
        </w:rPr>
        <w:t xml:space="preserve"> indoors and weekly residual and direct treatment of silverfishes &amp; cockroaches turn</w:t>
      </w:r>
      <w:r w:rsidR="00115B53" w:rsidRPr="00064185">
        <w:rPr>
          <w:rFonts w:eastAsia="Calibri"/>
          <w:i w:val="0"/>
          <w:color w:val="auto"/>
          <w:lang w:eastAsia="en-US"/>
        </w:rPr>
        <w:t xml:space="preserve"> out to be the worst case scenario</w:t>
      </w:r>
      <w:r w:rsidRPr="00064185">
        <w:rPr>
          <w:rFonts w:eastAsia="Calibri"/>
          <w:i w:val="0"/>
          <w:color w:val="auto"/>
          <w:lang w:eastAsia="en-US"/>
        </w:rPr>
        <w:t>s</w:t>
      </w:r>
      <w:r w:rsidR="001069CA" w:rsidRPr="00064185">
        <w:rPr>
          <w:rFonts w:eastAsia="Calibri"/>
          <w:i w:val="0"/>
          <w:color w:val="auto"/>
          <w:lang w:eastAsia="en-US"/>
        </w:rPr>
        <w:t>.</w:t>
      </w:r>
    </w:p>
    <w:p w14:paraId="1607692D" w14:textId="5CA878F8" w:rsidR="005A14D8" w:rsidRPr="00064185" w:rsidRDefault="001069CA" w:rsidP="00F200AC">
      <w:pPr>
        <w:pStyle w:val="Textkrper2"/>
        <w:jc w:val="both"/>
        <w:rPr>
          <w:rFonts w:eastAsia="Calibri"/>
          <w:i w:val="0"/>
          <w:color w:val="auto"/>
          <w:lang w:eastAsia="en-US"/>
        </w:rPr>
      </w:pPr>
      <w:r w:rsidRPr="00064185">
        <w:rPr>
          <w:rFonts w:eastAsia="Calibri"/>
          <w:i w:val="0"/>
          <w:color w:val="auto"/>
          <w:lang w:eastAsia="en-US"/>
        </w:rPr>
        <w:t>All t</w:t>
      </w:r>
      <w:r w:rsidR="005A14D8" w:rsidRPr="00064185">
        <w:rPr>
          <w:rFonts w:eastAsia="Calibri"/>
          <w:i w:val="0"/>
          <w:color w:val="auto"/>
          <w:lang w:eastAsia="en-US"/>
        </w:rPr>
        <w:t>hese results are based on very conservative assumption</w:t>
      </w:r>
      <w:r w:rsidR="00206088" w:rsidRPr="00064185">
        <w:rPr>
          <w:rFonts w:eastAsia="Calibri"/>
          <w:i w:val="0"/>
          <w:color w:val="auto"/>
          <w:lang w:eastAsia="en-US"/>
        </w:rPr>
        <w:t>s</w:t>
      </w:r>
      <w:r w:rsidR="005A14D8" w:rsidRPr="00064185">
        <w:rPr>
          <w:rFonts w:eastAsia="Calibri"/>
          <w:i w:val="0"/>
          <w:color w:val="auto"/>
          <w:lang w:eastAsia="en-US"/>
        </w:rPr>
        <w:t xml:space="preserve"> for the intended small scale application of the product. According to the ESD for PT</w:t>
      </w:r>
      <w:r w:rsidR="00115D30" w:rsidRPr="00064185">
        <w:rPr>
          <w:rFonts w:eastAsia="Calibri"/>
          <w:i w:val="0"/>
          <w:color w:val="auto"/>
          <w:lang w:eastAsia="en-US"/>
        </w:rPr>
        <w:t xml:space="preserve"> </w:t>
      </w:r>
      <w:r w:rsidR="005A14D8" w:rsidRPr="00064185">
        <w:rPr>
          <w:rFonts w:eastAsia="Calibri"/>
          <w:i w:val="0"/>
          <w:color w:val="auto"/>
          <w:lang w:eastAsia="en-US"/>
        </w:rPr>
        <w:t>1</w:t>
      </w:r>
      <w:r w:rsidR="00734995" w:rsidRPr="00064185">
        <w:rPr>
          <w:rFonts w:eastAsia="Calibri"/>
          <w:i w:val="0"/>
          <w:color w:val="auto"/>
          <w:lang w:eastAsia="en-US"/>
        </w:rPr>
        <w:t>8</w:t>
      </w:r>
      <w:r w:rsidR="005A14D8" w:rsidRPr="00064185">
        <w:rPr>
          <w:rFonts w:eastAsia="Calibri"/>
          <w:i w:val="0"/>
          <w:color w:val="auto"/>
          <w:lang w:eastAsia="en-US"/>
        </w:rPr>
        <w:t xml:space="preserve"> </w:t>
      </w:r>
      <w:r w:rsidR="001F67A4" w:rsidRPr="00064185">
        <w:rPr>
          <w:rFonts w:eastAsia="Calibri"/>
          <w:i w:val="0"/>
          <w:color w:val="auto"/>
          <w:lang w:eastAsia="en-US"/>
        </w:rPr>
        <w:t xml:space="preserve">for indoor </w:t>
      </w:r>
      <w:r w:rsidR="00437E77" w:rsidRPr="00064185">
        <w:rPr>
          <w:rFonts w:eastAsia="Calibri"/>
          <w:i w:val="0"/>
          <w:color w:val="auto"/>
          <w:lang w:eastAsia="en-US"/>
        </w:rPr>
        <w:t>spraying</w:t>
      </w:r>
      <w:r w:rsidR="00D0131E" w:rsidRPr="00064185">
        <w:rPr>
          <w:rFonts w:eastAsia="Calibri"/>
          <w:i w:val="0"/>
          <w:color w:val="auto"/>
          <w:lang w:eastAsia="en-US"/>
        </w:rPr>
        <w:t xml:space="preserve"> </w:t>
      </w:r>
      <w:r w:rsidR="00115D30" w:rsidRPr="00064185">
        <w:rPr>
          <w:rFonts w:eastAsia="Calibri"/>
          <w:i w:val="0"/>
          <w:color w:val="auto"/>
          <w:lang w:eastAsia="en-US"/>
        </w:rPr>
        <w:t xml:space="preserve">it is assumed that </w:t>
      </w:r>
      <w:r w:rsidR="001F67A4" w:rsidRPr="00064185">
        <w:rPr>
          <w:rFonts w:eastAsia="Calibri"/>
          <w:i w:val="0"/>
          <w:color w:val="auto"/>
          <w:lang w:eastAsia="en-US"/>
        </w:rPr>
        <w:t xml:space="preserve">through wet cleaning of </w:t>
      </w:r>
      <w:r w:rsidR="00437E77" w:rsidRPr="00064185">
        <w:rPr>
          <w:rFonts w:eastAsia="Calibri"/>
          <w:i w:val="0"/>
          <w:color w:val="auto"/>
          <w:lang w:eastAsia="en-US"/>
        </w:rPr>
        <w:t xml:space="preserve">floors 50% </w:t>
      </w:r>
      <w:r w:rsidR="00115D30" w:rsidRPr="00064185">
        <w:rPr>
          <w:rFonts w:eastAsia="Calibri"/>
          <w:i w:val="0"/>
          <w:color w:val="auto"/>
          <w:lang w:eastAsia="en-US"/>
        </w:rPr>
        <w:t>of the sprayed product is emitted to the STP</w:t>
      </w:r>
      <w:r w:rsidR="001F67A4" w:rsidRPr="00064185">
        <w:rPr>
          <w:rFonts w:eastAsia="Calibri"/>
          <w:i w:val="0"/>
          <w:color w:val="auto"/>
          <w:lang w:eastAsia="en-US"/>
        </w:rPr>
        <w:t>.</w:t>
      </w:r>
      <w:r w:rsidR="005A14D8" w:rsidRPr="00064185">
        <w:rPr>
          <w:rFonts w:eastAsia="Calibri"/>
          <w:i w:val="0"/>
          <w:color w:val="auto"/>
          <w:lang w:eastAsia="en-US"/>
        </w:rPr>
        <w:t xml:space="preserve"> For outdoor </w:t>
      </w:r>
      <w:r w:rsidR="006C6B8F" w:rsidRPr="00064185">
        <w:rPr>
          <w:rFonts w:eastAsia="Calibri"/>
          <w:i w:val="0"/>
          <w:color w:val="auto"/>
          <w:lang w:eastAsia="en-US"/>
        </w:rPr>
        <w:t xml:space="preserve">spraying </w:t>
      </w:r>
      <w:r w:rsidR="00721DF3" w:rsidRPr="00064185">
        <w:rPr>
          <w:rFonts w:eastAsia="Calibri"/>
          <w:i w:val="0"/>
          <w:color w:val="auto"/>
          <w:lang w:eastAsia="en-US"/>
        </w:rPr>
        <w:t xml:space="preserve">in urban areas </w:t>
      </w:r>
      <w:r w:rsidR="009A3C1E" w:rsidRPr="00064185">
        <w:rPr>
          <w:rFonts w:eastAsia="Calibri"/>
          <w:i w:val="0"/>
          <w:color w:val="auto"/>
          <w:lang w:eastAsia="en-US"/>
        </w:rPr>
        <w:t>it is assumed that 8</w:t>
      </w:r>
      <w:r w:rsidR="005A14D8" w:rsidRPr="00064185">
        <w:rPr>
          <w:rFonts w:eastAsia="Calibri"/>
          <w:i w:val="0"/>
          <w:color w:val="auto"/>
          <w:lang w:eastAsia="en-US"/>
        </w:rPr>
        <w:t xml:space="preserve">0% of the applied product will end up in STP during a rain event. </w:t>
      </w:r>
    </w:p>
    <w:p w14:paraId="62FCF85E" w14:textId="77777777" w:rsidR="001348AB" w:rsidRPr="00064185" w:rsidRDefault="001348AB" w:rsidP="00F200AC">
      <w:pPr>
        <w:pStyle w:val="Textkrper2"/>
        <w:jc w:val="both"/>
        <w:rPr>
          <w:rFonts w:eastAsia="Calibri"/>
          <w:i w:val="0"/>
          <w:color w:val="auto"/>
          <w:lang w:eastAsia="en-US"/>
        </w:rPr>
      </w:pPr>
    </w:p>
    <w:p w14:paraId="66EB99D0" w14:textId="77777777" w:rsidR="001348AB" w:rsidRPr="00064185" w:rsidRDefault="000654B7" w:rsidP="00F200AC">
      <w:pPr>
        <w:pStyle w:val="Textkrper2"/>
        <w:jc w:val="both"/>
        <w:rPr>
          <w:rFonts w:eastAsia="Calibri"/>
          <w:i w:val="0"/>
          <w:color w:val="auto"/>
          <w:lang w:eastAsia="en-US"/>
        </w:rPr>
      </w:pPr>
      <w:r w:rsidRPr="00064185">
        <w:rPr>
          <w:rFonts w:eastAsia="Calibri"/>
          <w:i w:val="0"/>
          <w:color w:val="auto"/>
          <w:lang w:eastAsia="en-US"/>
        </w:rPr>
        <w:t xml:space="preserve">The calculated risk </w:t>
      </w:r>
      <w:r w:rsidR="001348AB" w:rsidRPr="00064185">
        <w:rPr>
          <w:rFonts w:eastAsia="Calibri"/>
          <w:i w:val="0"/>
          <w:color w:val="auto"/>
          <w:lang w:eastAsia="en-US"/>
        </w:rPr>
        <w:t>may</w:t>
      </w:r>
      <w:r w:rsidRPr="00064185">
        <w:rPr>
          <w:rFonts w:eastAsia="Calibri"/>
          <w:i w:val="0"/>
          <w:color w:val="auto"/>
          <w:lang w:eastAsia="en-US"/>
        </w:rPr>
        <w:t xml:space="preserve"> therefore </w:t>
      </w:r>
      <w:r w:rsidR="001348AB" w:rsidRPr="00064185">
        <w:rPr>
          <w:rFonts w:eastAsia="Calibri"/>
          <w:i w:val="0"/>
          <w:color w:val="auto"/>
          <w:lang w:eastAsia="en-US"/>
        </w:rPr>
        <w:t>be</w:t>
      </w:r>
      <w:r w:rsidR="00A01136" w:rsidRPr="00064185">
        <w:rPr>
          <w:rFonts w:eastAsia="Calibri"/>
          <w:i w:val="0"/>
          <w:color w:val="auto"/>
          <w:lang w:eastAsia="en-US"/>
        </w:rPr>
        <w:t xml:space="preserve"> </w:t>
      </w:r>
      <w:r w:rsidRPr="00064185">
        <w:rPr>
          <w:rFonts w:eastAsia="Calibri"/>
          <w:i w:val="0"/>
          <w:color w:val="auto"/>
          <w:lang w:eastAsia="en-US"/>
        </w:rPr>
        <w:t xml:space="preserve">overestimated. </w:t>
      </w:r>
    </w:p>
    <w:p w14:paraId="512C900A" w14:textId="77777777" w:rsidR="00BE6E7B" w:rsidRPr="00064185" w:rsidRDefault="00BE6E7B" w:rsidP="00F200AC">
      <w:pPr>
        <w:pStyle w:val="Textkrper2"/>
        <w:jc w:val="both"/>
        <w:rPr>
          <w:rFonts w:eastAsia="Calibri"/>
          <w:i w:val="0"/>
          <w:color w:val="auto"/>
          <w:lang w:eastAsia="en-US"/>
        </w:rPr>
      </w:pPr>
    </w:p>
    <w:p w14:paraId="34A94188" w14:textId="605073E3" w:rsidR="001348AB" w:rsidRPr="00064185" w:rsidRDefault="00483E8B" w:rsidP="00F200AC">
      <w:pPr>
        <w:spacing w:line="260" w:lineRule="atLeast"/>
        <w:jc w:val="both"/>
      </w:pPr>
      <w:r w:rsidRPr="00064185">
        <w:rPr>
          <w:rFonts w:eastAsia="Calibri"/>
          <w:i/>
          <w:lang w:eastAsia="en-US"/>
        </w:rPr>
        <w:t xml:space="preserve">However, </w:t>
      </w:r>
      <w:r w:rsidR="001348AB" w:rsidRPr="00064185">
        <w:t xml:space="preserve">risk mitigation measures are proposed in order to reduce the calculated risk </w:t>
      </w:r>
      <w:r w:rsidR="00F96D7E" w:rsidRPr="00064185">
        <w:t>to</w:t>
      </w:r>
      <w:r w:rsidR="00BE6E7B" w:rsidRPr="00064185">
        <w:t xml:space="preserve"> acceptable level</w:t>
      </w:r>
      <w:r w:rsidR="00F96D7E" w:rsidRPr="00064185">
        <w:t>s</w:t>
      </w:r>
      <w:r w:rsidR="00BE6E7B" w:rsidRPr="00064185">
        <w:t xml:space="preserve"> </w:t>
      </w:r>
      <w:r w:rsidR="001348AB" w:rsidRPr="00064185">
        <w:t>in the aquatic compartment:</w:t>
      </w:r>
    </w:p>
    <w:p w14:paraId="0ED88B24" w14:textId="77777777" w:rsidR="00CB2ACC" w:rsidRPr="00064185" w:rsidRDefault="00CB2ACC" w:rsidP="00F200AC">
      <w:pPr>
        <w:pStyle w:val="Textkrper2"/>
        <w:jc w:val="both"/>
        <w:rPr>
          <w:rFonts w:eastAsia="Calibri"/>
          <w:i w:val="0"/>
          <w:color w:val="auto"/>
          <w:lang w:eastAsia="en-US"/>
        </w:rPr>
      </w:pPr>
    </w:p>
    <w:p w14:paraId="442C1361" w14:textId="75232CA5" w:rsidR="00F72DF3" w:rsidRPr="00064185" w:rsidRDefault="00F72DF3" w:rsidP="00F200AC">
      <w:pPr>
        <w:pStyle w:val="Textkrper2"/>
        <w:numPr>
          <w:ilvl w:val="0"/>
          <w:numId w:val="23"/>
        </w:numPr>
        <w:jc w:val="both"/>
        <w:rPr>
          <w:rFonts w:eastAsia="Calibri"/>
          <w:i w:val="0"/>
          <w:color w:val="auto"/>
          <w:lang w:eastAsia="en-US"/>
        </w:rPr>
      </w:pPr>
      <w:r w:rsidRPr="00064185">
        <w:rPr>
          <w:rFonts w:eastAsia="Calibri"/>
          <w:i w:val="0"/>
          <w:color w:val="auto"/>
        </w:rPr>
        <w:t>Apply only in areas that are not liable to submersion or becoming wet, i.e. protected from rain floods</w:t>
      </w:r>
      <w:r w:rsidR="00696731" w:rsidRPr="00064185">
        <w:rPr>
          <w:i w:val="0"/>
          <w:color w:val="auto"/>
        </w:rPr>
        <w:t xml:space="preserve"> and cleaning water</w:t>
      </w:r>
      <w:r w:rsidRPr="00064185">
        <w:rPr>
          <w:rFonts w:eastAsia="Calibri"/>
          <w:i w:val="0"/>
          <w:color w:val="auto"/>
        </w:rPr>
        <w:t>.</w:t>
      </w:r>
      <w:r w:rsidRPr="00064185">
        <w:rPr>
          <w:rFonts w:eastAsia="Calibri"/>
          <w:i w:val="0"/>
          <w:color w:val="auto"/>
          <w:lang w:eastAsia="en-US"/>
        </w:rPr>
        <w:t xml:space="preserve"> </w:t>
      </w:r>
    </w:p>
    <w:p w14:paraId="4239F43B" w14:textId="43F312AD" w:rsidR="00F72DF3" w:rsidRPr="00515B5D" w:rsidRDefault="0055331D" w:rsidP="00F200AC">
      <w:pPr>
        <w:widowControl w:val="0"/>
        <w:numPr>
          <w:ilvl w:val="0"/>
          <w:numId w:val="23"/>
        </w:numPr>
        <w:autoSpaceDE w:val="0"/>
        <w:autoSpaceDN w:val="0"/>
        <w:adjustRightInd w:val="0"/>
        <w:spacing w:before="60" w:after="60"/>
        <w:contextualSpacing/>
        <w:jc w:val="both"/>
        <w:rPr>
          <w:rFonts w:cs="Times"/>
          <w:bCs/>
          <w:szCs w:val="29"/>
        </w:rPr>
      </w:pPr>
      <w:r w:rsidRPr="00064185">
        <w:rPr>
          <w:rFonts w:cs="Arial"/>
          <w:lang w:val="en-US"/>
        </w:rPr>
        <w:t>The application is restricted to areas that are not wet cleaned</w:t>
      </w:r>
      <w:r w:rsidR="00BE6E7B" w:rsidRPr="00064185">
        <w:rPr>
          <w:rFonts w:cs="Arial"/>
          <w:lang w:val="en-US"/>
        </w:rPr>
        <w:t>,</w:t>
      </w:r>
      <w:r w:rsidR="00515B5D">
        <w:rPr>
          <w:rFonts w:cs="Arial"/>
          <w:lang w:val="en-US"/>
        </w:rPr>
        <w:t xml:space="preserve"> </w:t>
      </w:r>
      <w:r w:rsidR="00BE6E7B" w:rsidRPr="00515B5D">
        <w:rPr>
          <w:rFonts w:cs="Arial"/>
        </w:rPr>
        <w:t>e.g. in cracks and crevices, closed bath tubes, areas next to, behind and under furniture.</w:t>
      </w:r>
    </w:p>
    <w:p w14:paraId="445B57AC" w14:textId="4D24802D" w:rsidR="00F72DF3" w:rsidRPr="00064185" w:rsidRDefault="00F72DF3" w:rsidP="00F200AC">
      <w:pPr>
        <w:pStyle w:val="Textkrper2"/>
        <w:numPr>
          <w:ilvl w:val="0"/>
          <w:numId w:val="23"/>
        </w:numPr>
        <w:jc w:val="both"/>
        <w:rPr>
          <w:i w:val="0"/>
          <w:color w:val="auto"/>
          <w:lang w:val="en-US"/>
        </w:rPr>
      </w:pPr>
      <w:r w:rsidRPr="00064185">
        <w:rPr>
          <w:i w:val="0"/>
          <w:color w:val="auto"/>
          <w:lang w:val="en-US"/>
        </w:rPr>
        <w:lastRenderedPageBreak/>
        <w:t xml:space="preserve">Do not use, where release to drains (sewers) </w:t>
      </w:r>
      <w:r w:rsidR="00296996" w:rsidRPr="00064185">
        <w:rPr>
          <w:i w:val="0"/>
          <w:color w:val="auto"/>
          <w:lang w:val="en-US"/>
        </w:rPr>
        <w:t>c</w:t>
      </w:r>
      <w:r w:rsidR="00CB2ACC" w:rsidRPr="00064185">
        <w:rPr>
          <w:i w:val="0"/>
          <w:color w:val="auto"/>
          <w:lang w:val="en-US"/>
        </w:rPr>
        <w:t>annot be prevented.</w:t>
      </w:r>
    </w:p>
    <w:p w14:paraId="1E1FF2C7" w14:textId="77777777" w:rsidR="002A7E5D" w:rsidRPr="00064185" w:rsidRDefault="002A7E5D" w:rsidP="00EA61D8">
      <w:pPr>
        <w:spacing w:before="60" w:line="276" w:lineRule="auto"/>
        <w:rPr>
          <w:rFonts w:ascii="Times New Roman" w:eastAsia="Calibri" w:hAnsi="Times New Roman"/>
          <w:lang w:eastAsia="en-US"/>
        </w:rPr>
      </w:pPr>
    </w:p>
    <w:p w14:paraId="4448B2FB" w14:textId="11FBBA2A" w:rsidR="00CB2ACC" w:rsidRDefault="00FC6429" w:rsidP="00EA61D8">
      <w:pPr>
        <w:spacing w:before="60" w:line="276" w:lineRule="auto"/>
        <w:rPr>
          <w:rFonts w:eastAsia="Calibri"/>
          <w:lang w:eastAsia="en-US"/>
        </w:rPr>
      </w:pPr>
      <w:r w:rsidRPr="00064185">
        <w:rPr>
          <w:rFonts w:eastAsia="Calibri"/>
          <w:lang w:eastAsia="en-US"/>
        </w:rPr>
        <w:t>Direct treatment of target organisms is not authorised as the proposed restriction to areas that are not wet cleaned is not feasible for the mobile species and the non-professional user</w:t>
      </w:r>
      <w:r w:rsidR="00956357" w:rsidRPr="00064185">
        <w:rPr>
          <w:rFonts w:eastAsia="Calibri"/>
          <w:lang w:eastAsia="en-US"/>
        </w:rPr>
        <w:t>.</w:t>
      </w:r>
    </w:p>
    <w:p w14:paraId="748F10FB" w14:textId="77777777" w:rsidR="00BF223B" w:rsidRDefault="00BF223B" w:rsidP="00EA61D8">
      <w:pPr>
        <w:spacing w:before="60" w:line="276" w:lineRule="auto"/>
        <w:rPr>
          <w:rFonts w:eastAsia="Calibri"/>
          <w:lang w:eastAsia="en-US"/>
        </w:rPr>
      </w:pPr>
    </w:p>
    <w:p w14:paraId="2F8B704F" w14:textId="77777777" w:rsidR="00BF223B" w:rsidRPr="00064185" w:rsidRDefault="00BF223B" w:rsidP="00EA61D8">
      <w:pPr>
        <w:spacing w:before="60" w:line="276" w:lineRule="auto"/>
        <w:rPr>
          <w:rFonts w:ascii="Times New Roman" w:eastAsia="Calibri" w:hAnsi="Times New Roman"/>
          <w:lang w:eastAsia="en-US"/>
        </w:rPr>
      </w:pPr>
    </w:p>
    <w:p w14:paraId="67EED4C5" w14:textId="77777777" w:rsidR="00A53EE0" w:rsidRPr="00064185" w:rsidRDefault="00A53EE0" w:rsidP="00EA61D8">
      <w:pPr>
        <w:rPr>
          <w:rFonts w:eastAsia="Calibri"/>
          <w:b/>
          <w:i/>
          <w:sz w:val="22"/>
          <w:szCs w:val="22"/>
          <w:lang w:eastAsia="en-US"/>
        </w:rPr>
      </w:pPr>
      <w:bookmarkStart w:id="1840" w:name="_Toc389729122"/>
      <w:bookmarkStart w:id="1841" w:name="_Toc403472806"/>
      <w:r w:rsidRPr="00064185">
        <w:rPr>
          <w:rFonts w:eastAsia="Calibri"/>
          <w:b/>
          <w:i/>
          <w:sz w:val="22"/>
          <w:szCs w:val="22"/>
          <w:lang w:eastAsia="en-US"/>
        </w:rPr>
        <w:t>Terrestrial compartment</w:t>
      </w:r>
      <w:bookmarkEnd w:id="1840"/>
      <w:bookmarkEnd w:id="1841"/>
      <w:r w:rsidRPr="00064185">
        <w:rPr>
          <w:rFonts w:eastAsia="Calibri"/>
          <w:b/>
          <w:i/>
          <w:sz w:val="22"/>
          <w:szCs w:val="22"/>
          <w:lang w:eastAsia="en-US"/>
        </w:rPr>
        <w:t xml:space="preserve"> </w:t>
      </w:r>
      <w:bookmarkEnd w:id="1839"/>
    </w:p>
    <w:p w14:paraId="609C7900" w14:textId="77777777" w:rsidR="00ED4A97" w:rsidRPr="00064185" w:rsidRDefault="00ED4A97" w:rsidP="00EA61D8">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6"/>
        <w:gridCol w:w="3119"/>
        <w:gridCol w:w="3225"/>
      </w:tblGrid>
      <w:tr w:rsidR="00064185" w:rsidRPr="00064185" w14:paraId="7FAAEF59" w14:textId="77777777" w:rsidTr="00642F82">
        <w:trPr>
          <w:trHeight w:val="249"/>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DDAD85A" w14:textId="77777777" w:rsidR="00ED4A97" w:rsidRPr="00064185" w:rsidRDefault="00ED4A97" w:rsidP="00EA61D8">
            <w:pPr>
              <w:autoSpaceDE w:val="0"/>
              <w:autoSpaceDN w:val="0"/>
              <w:adjustRightInd w:val="0"/>
              <w:spacing w:before="60" w:after="60" w:line="260" w:lineRule="atLeast"/>
              <w:rPr>
                <w:rFonts w:eastAsia="Calibri" w:cs="Arial"/>
                <w:b/>
                <w:bCs/>
                <w:sz w:val="18"/>
                <w:szCs w:val="18"/>
                <w:lang w:eastAsia="en-GB"/>
              </w:rPr>
            </w:pPr>
            <w:r w:rsidRPr="00064185">
              <w:rPr>
                <w:rFonts w:eastAsia="Calibri" w:cs="Arial"/>
                <w:b/>
                <w:bCs/>
                <w:sz w:val="18"/>
                <w:szCs w:val="18"/>
                <w:lang w:eastAsia="en-GB"/>
              </w:rPr>
              <w:t>Calculated PEC/PNEC values</w:t>
            </w:r>
          </w:p>
        </w:tc>
      </w:tr>
      <w:tr w:rsidR="00064185" w:rsidRPr="00064185" w14:paraId="4A434142" w14:textId="77777777" w:rsidTr="00016422">
        <w:trPr>
          <w:trHeight w:val="467"/>
        </w:trPr>
        <w:tc>
          <w:tcPr>
            <w:tcW w:w="1636" w:type="pct"/>
            <w:shd w:val="clear" w:color="auto" w:fill="FFFFFF"/>
            <w:vAlign w:val="center"/>
          </w:tcPr>
          <w:p w14:paraId="5BAD36DF" w14:textId="77777777" w:rsidR="00ED4A97" w:rsidRPr="00064185" w:rsidRDefault="00ED4A97"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b/>
                <w:sz w:val="18"/>
                <w:szCs w:val="18"/>
                <w:lang w:eastAsia="en-GB"/>
              </w:rPr>
              <w:t>Scenarios</w:t>
            </w:r>
          </w:p>
        </w:tc>
        <w:tc>
          <w:tcPr>
            <w:tcW w:w="1654" w:type="pct"/>
            <w:shd w:val="clear" w:color="auto" w:fill="FFFFFF"/>
            <w:vAlign w:val="center"/>
          </w:tcPr>
          <w:p w14:paraId="1F1EE780" w14:textId="38B1278A" w:rsidR="00ED4A97" w:rsidRPr="00064185" w:rsidRDefault="00ED4A97" w:rsidP="00EA61D8">
            <w:pPr>
              <w:autoSpaceDE w:val="0"/>
              <w:autoSpaceDN w:val="0"/>
              <w:adjustRightInd w:val="0"/>
              <w:spacing w:before="60" w:after="60" w:line="260" w:lineRule="atLeast"/>
              <w:rPr>
                <w:rFonts w:eastAsia="Calibri" w:cs="Arial"/>
                <w:sz w:val="18"/>
                <w:szCs w:val="18"/>
                <w:lang w:eastAsia="en-GB"/>
              </w:rPr>
            </w:pPr>
            <w:r w:rsidRPr="00064185">
              <w:rPr>
                <w:rFonts w:eastAsia="Calibri"/>
                <w:b/>
                <w:sz w:val="18"/>
                <w:lang w:eastAsia="en-GB"/>
              </w:rPr>
              <w:t>PEC</w:t>
            </w:r>
            <w:r w:rsidRPr="00064185">
              <w:rPr>
                <w:rFonts w:eastAsia="Calibri"/>
                <w:b/>
                <w:sz w:val="18"/>
                <w:vertAlign w:val="subscript"/>
                <w:lang w:eastAsia="en-GB"/>
              </w:rPr>
              <w:t>soil</w:t>
            </w:r>
            <w:r w:rsidR="00016422" w:rsidRPr="00064185">
              <w:rPr>
                <w:lang w:val="it-IT"/>
              </w:rPr>
              <w:t xml:space="preserve"> </w:t>
            </w:r>
            <w:r w:rsidR="00016422" w:rsidRPr="00064185">
              <w:rPr>
                <w:b/>
                <w:lang w:val="it-IT"/>
              </w:rPr>
              <w:t>[mg/kg</w:t>
            </w:r>
            <w:r w:rsidR="00016422" w:rsidRPr="00064185">
              <w:rPr>
                <w:b/>
                <w:vertAlign w:val="subscript"/>
                <w:lang w:val="it-IT"/>
              </w:rPr>
              <w:t>wwt</w:t>
            </w:r>
            <w:r w:rsidR="00016422" w:rsidRPr="00064185">
              <w:rPr>
                <w:b/>
                <w:lang w:val="it-IT"/>
              </w:rPr>
              <w:t>]</w:t>
            </w:r>
          </w:p>
        </w:tc>
        <w:tc>
          <w:tcPr>
            <w:tcW w:w="1710" w:type="pct"/>
            <w:shd w:val="clear" w:color="auto" w:fill="FFFFFF"/>
            <w:vAlign w:val="center"/>
          </w:tcPr>
          <w:p w14:paraId="7FA3CED8" w14:textId="77777777" w:rsidR="00ED4A97" w:rsidRPr="00064185" w:rsidRDefault="00ED4A97" w:rsidP="00EA61D8">
            <w:pPr>
              <w:autoSpaceDE w:val="0"/>
              <w:autoSpaceDN w:val="0"/>
              <w:adjustRightInd w:val="0"/>
              <w:spacing w:before="60" w:after="60" w:line="260" w:lineRule="atLeast"/>
              <w:rPr>
                <w:rFonts w:eastAsia="Calibri" w:cs="Arial"/>
                <w:b/>
                <w:bCs/>
                <w:sz w:val="18"/>
                <w:szCs w:val="18"/>
                <w:lang w:eastAsia="en-GB"/>
              </w:rPr>
            </w:pPr>
            <w:r w:rsidRPr="00064185">
              <w:rPr>
                <w:rFonts w:eastAsia="Calibri" w:cs="Arial"/>
                <w:b/>
                <w:bCs/>
                <w:sz w:val="18"/>
                <w:szCs w:val="18"/>
                <w:lang w:eastAsia="en-GB"/>
              </w:rPr>
              <w:t>PEC/PNEC</w:t>
            </w:r>
            <w:r w:rsidRPr="00064185">
              <w:rPr>
                <w:rFonts w:eastAsia="Calibri" w:cs="Arial"/>
                <w:b/>
                <w:bCs/>
                <w:sz w:val="18"/>
                <w:szCs w:val="18"/>
                <w:vertAlign w:val="subscript"/>
                <w:lang w:eastAsia="en-GB"/>
              </w:rPr>
              <w:t>soil</w:t>
            </w:r>
          </w:p>
        </w:tc>
      </w:tr>
      <w:tr w:rsidR="00064185" w:rsidRPr="00064185" w14:paraId="5CC2AEEA" w14:textId="77777777" w:rsidTr="00016422">
        <w:trPr>
          <w:trHeight w:val="75"/>
        </w:trPr>
        <w:tc>
          <w:tcPr>
            <w:tcW w:w="1636" w:type="pct"/>
            <w:shd w:val="clear" w:color="auto" w:fill="FFFFFF"/>
          </w:tcPr>
          <w:p w14:paraId="112B6682" w14:textId="77777777" w:rsidR="00ED4A97" w:rsidRPr="00064185" w:rsidRDefault="00ED4A97" w:rsidP="00EA61D8">
            <w:pPr>
              <w:spacing w:before="60" w:after="60" w:line="260" w:lineRule="atLeast"/>
              <w:rPr>
                <w:rFonts w:eastAsia="Calibri" w:cs="Arial"/>
                <w:lang w:eastAsia="en-GB"/>
              </w:rPr>
            </w:pPr>
          </w:p>
        </w:tc>
        <w:tc>
          <w:tcPr>
            <w:tcW w:w="3364" w:type="pct"/>
            <w:gridSpan w:val="2"/>
            <w:shd w:val="clear" w:color="auto" w:fill="FFFFFF"/>
          </w:tcPr>
          <w:p w14:paraId="4908416C" w14:textId="77777777" w:rsidR="00ED4A97" w:rsidRPr="00064185" w:rsidRDefault="00ED4A97" w:rsidP="00EA61D8">
            <w:pPr>
              <w:spacing w:before="60" w:after="60" w:line="260" w:lineRule="atLeast"/>
              <w:rPr>
                <w:rFonts w:eastAsia="Calibri" w:cs="Arial"/>
                <w:lang w:eastAsia="en-GB"/>
              </w:rPr>
            </w:pPr>
            <w:r w:rsidRPr="00064185">
              <w:rPr>
                <w:rFonts w:eastAsia="Calibri" w:cs="Arial"/>
                <w:b/>
                <w:lang w:eastAsia="en-GB"/>
              </w:rPr>
              <w:t>PNEC</w:t>
            </w:r>
            <w:r w:rsidRPr="00064185">
              <w:rPr>
                <w:rFonts w:eastAsia="Calibri" w:cs="Arial"/>
                <w:b/>
                <w:vertAlign w:val="subscript"/>
                <w:lang w:eastAsia="en-GB"/>
              </w:rPr>
              <w:t xml:space="preserve">soil  </w:t>
            </w:r>
            <w:r w:rsidRPr="00064185">
              <w:rPr>
                <w:rFonts w:eastAsia="Calibri" w:cs="Arial"/>
                <w:b/>
                <w:lang w:eastAsia="en-GB"/>
              </w:rPr>
              <w:t>= 2.9E-3 mg/kg</w:t>
            </w:r>
            <w:r w:rsidRPr="00064185">
              <w:rPr>
                <w:rFonts w:eastAsia="Calibri" w:cs="Arial"/>
                <w:b/>
                <w:vertAlign w:val="subscript"/>
                <w:lang w:eastAsia="en-GB"/>
              </w:rPr>
              <w:t>wwt</w:t>
            </w:r>
          </w:p>
        </w:tc>
      </w:tr>
      <w:tr w:rsidR="00064185" w:rsidRPr="00064185" w14:paraId="7AE6C7E3" w14:textId="77777777" w:rsidTr="00642F82">
        <w:trPr>
          <w:trHeight w:val="75"/>
        </w:trPr>
        <w:tc>
          <w:tcPr>
            <w:tcW w:w="5000" w:type="pct"/>
            <w:gridSpan w:val="3"/>
            <w:shd w:val="clear" w:color="auto" w:fill="FFFFFF"/>
          </w:tcPr>
          <w:p w14:paraId="33BD2951" w14:textId="33E35977" w:rsidR="00ED4A97" w:rsidRPr="00064185" w:rsidRDefault="00016422" w:rsidP="00EA61D8">
            <w:pPr>
              <w:spacing w:before="60" w:after="60" w:line="260" w:lineRule="atLeast"/>
              <w:rPr>
                <w:rFonts w:eastAsia="Calibri" w:cs="Arial"/>
                <w:lang w:eastAsia="en-GB"/>
              </w:rPr>
            </w:pPr>
            <w:r w:rsidRPr="00064185">
              <w:rPr>
                <w:rFonts w:eastAsia="Calibri" w:cs="Arial"/>
                <w:b/>
                <w:lang w:eastAsia="en-GB"/>
              </w:rPr>
              <w:t>Spraying</w:t>
            </w:r>
            <w:r w:rsidR="00ED4A97" w:rsidRPr="00064185">
              <w:rPr>
                <w:rFonts w:eastAsia="Calibri" w:cs="Arial"/>
                <w:b/>
                <w:lang w:eastAsia="en-GB"/>
              </w:rPr>
              <w:t xml:space="preserve"> indoor</w:t>
            </w:r>
            <w:r w:rsidRPr="00064185">
              <w:rPr>
                <w:rFonts w:eastAsia="Calibri" w:cs="Arial"/>
                <w:b/>
                <w:lang w:eastAsia="en-GB"/>
              </w:rPr>
              <w:t>s, residual treatment</w:t>
            </w:r>
          </w:p>
        </w:tc>
      </w:tr>
      <w:tr w:rsidR="00064185" w:rsidRPr="00064185" w14:paraId="65C12D1C" w14:textId="77777777" w:rsidTr="00016422">
        <w:trPr>
          <w:trHeight w:val="75"/>
        </w:trPr>
        <w:tc>
          <w:tcPr>
            <w:tcW w:w="1636" w:type="pct"/>
            <w:shd w:val="clear" w:color="auto" w:fill="FFFFFF"/>
          </w:tcPr>
          <w:p w14:paraId="028F49E7" w14:textId="784F3A21" w:rsidR="00ED4A97" w:rsidRPr="00064185" w:rsidRDefault="00ED4A97" w:rsidP="00EA61D8">
            <w:pPr>
              <w:spacing w:before="60" w:after="60" w:line="260" w:lineRule="atLeast"/>
              <w:rPr>
                <w:rFonts w:eastAsia="Calibri" w:cs="Arial"/>
                <w:lang w:eastAsia="en-GB"/>
              </w:rPr>
            </w:pPr>
            <w:proofErr w:type="gramStart"/>
            <w:r w:rsidRPr="00064185">
              <w:rPr>
                <w:rFonts w:eastAsia="Calibri" w:cs="Arial"/>
                <w:lang w:eastAsia="en-GB"/>
              </w:rPr>
              <w:t>Ants</w:t>
            </w:r>
            <w:r w:rsidR="0079488C" w:rsidRPr="00064185">
              <w:rPr>
                <w:rFonts w:eastAsia="Calibri" w:cs="Arial"/>
                <w:lang w:eastAsia="en-GB"/>
              </w:rPr>
              <w:t>,</w:t>
            </w:r>
            <w:proofErr w:type="gramEnd"/>
            <w:r w:rsidR="0079488C" w:rsidRPr="00064185">
              <w:rPr>
                <w:rFonts w:eastAsia="Calibri" w:cs="Arial"/>
                <w:lang w:eastAsia="en-GB"/>
              </w:rPr>
              <w:t xml:space="preserve"> max. 11 appl./year</w:t>
            </w:r>
          </w:p>
        </w:tc>
        <w:tc>
          <w:tcPr>
            <w:tcW w:w="1654" w:type="pct"/>
            <w:shd w:val="clear" w:color="auto" w:fill="FFFFFF"/>
            <w:vAlign w:val="center"/>
          </w:tcPr>
          <w:p w14:paraId="4E12CEE6" w14:textId="15C79A4D" w:rsidR="00ED4A97" w:rsidRPr="00064185" w:rsidRDefault="000B299B" w:rsidP="00EA61D8">
            <w:pPr>
              <w:rPr>
                <w:lang w:val="it-IT"/>
              </w:rPr>
            </w:pPr>
            <w:proofErr w:type="gramStart"/>
            <w:r w:rsidRPr="00064185">
              <w:rPr>
                <w:lang w:val="it-IT"/>
              </w:rPr>
              <w:t>1</w:t>
            </w:r>
            <w:r w:rsidR="002D4810" w:rsidRPr="00064185">
              <w:rPr>
                <w:lang w:val="it-IT"/>
              </w:rPr>
              <w:t>.08</w:t>
            </w:r>
            <w:r w:rsidR="00ED4A97" w:rsidRPr="00064185">
              <w:rPr>
                <w:lang w:val="it-IT"/>
              </w:rPr>
              <w:t>E-</w:t>
            </w:r>
            <w:r w:rsidRPr="00064185">
              <w:rPr>
                <w:lang w:val="it-IT"/>
              </w:rPr>
              <w:t>3</w:t>
            </w:r>
            <w:proofErr w:type="gramEnd"/>
            <w:r w:rsidR="00ED4A97" w:rsidRPr="00064185">
              <w:rPr>
                <w:lang w:val="it-IT"/>
              </w:rPr>
              <w:t xml:space="preserve"> </w:t>
            </w:r>
          </w:p>
        </w:tc>
        <w:tc>
          <w:tcPr>
            <w:tcW w:w="1710" w:type="pct"/>
            <w:shd w:val="clear" w:color="auto" w:fill="FFFFFF"/>
            <w:vAlign w:val="center"/>
          </w:tcPr>
          <w:p w14:paraId="42983F4C" w14:textId="75E6603A" w:rsidR="00ED4A97" w:rsidRPr="00064185" w:rsidRDefault="002D4810" w:rsidP="00EA61D8">
            <w:pPr>
              <w:rPr>
                <w:lang w:val="it-IT"/>
              </w:rPr>
            </w:pPr>
            <w:r w:rsidRPr="00064185">
              <w:rPr>
                <w:lang w:val="it-IT"/>
              </w:rPr>
              <w:t>0</w:t>
            </w:r>
            <w:r w:rsidR="00ED4A97" w:rsidRPr="00064185">
              <w:rPr>
                <w:lang w:val="it-IT"/>
              </w:rPr>
              <w:t>.</w:t>
            </w:r>
            <w:r w:rsidRPr="00064185">
              <w:rPr>
                <w:lang w:val="it-IT"/>
              </w:rPr>
              <w:t>37</w:t>
            </w:r>
          </w:p>
        </w:tc>
      </w:tr>
      <w:tr w:rsidR="00064185" w:rsidRPr="00064185" w14:paraId="571C3EF2" w14:textId="77777777" w:rsidTr="00016422">
        <w:trPr>
          <w:trHeight w:val="75"/>
        </w:trPr>
        <w:tc>
          <w:tcPr>
            <w:tcW w:w="1636" w:type="pct"/>
            <w:shd w:val="clear" w:color="auto" w:fill="FFFFFF"/>
          </w:tcPr>
          <w:p w14:paraId="3EEC7798" w14:textId="348746A1" w:rsidR="00ED4A97" w:rsidRPr="00064185" w:rsidRDefault="00ED4A97" w:rsidP="00EA61D8">
            <w:pPr>
              <w:spacing w:before="60" w:after="60" w:line="260" w:lineRule="atLeast"/>
              <w:rPr>
                <w:rFonts w:eastAsia="Calibri" w:cs="Arial"/>
                <w:lang w:eastAsia="en-GB"/>
              </w:rPr>
            </w:pPr>
            <w:r w:rsidRPr="00064185">
              <w:rPr>
                <w:rFonts w:eastAsia="Calibri" w:cs="Arial"/>
                <w:lang w:eastAsia="en-GB"/>
              </w:rPr>
              <w:t>Silverfish</w:t>
            </w:r>
            <w:r w:rsidR="009752E2" w:rsidRPr="00064185">
              <w:rPr>
                <w:rFonts w:eastAsia="Calibri" w:cs="Arial"/>
                <w:lang w:eastAsia="en-GB"/>
              </w:rPr>
              <w:t>es</w:t>
            </w:r>
            <w:r w:rsidRPr="00064185">
              <w:rPr>
                <w:rFonts w:eastAsia="Calibri" w:cs="Arial"/>
                <w:lang w:eastAsia="en-GB"/>
              </w:rPr>
              <w:t xml:space="preserve"> &amp; Cockroaches</w:t>
            </w:r>
            <w:r w:rsidR="00016422" w:rsidRPr="00064185">
              <w:rPr>
                <w:rFonts w:eastAsia="Calibri" w:cs="Arial"/>
                <w:lang w:eastAsia="en-GB"/>
              </w:rPr>
              <w:t>, weekly</w:t>
            </w:r>
          </w:p>
        </w:tc>
        <w:tc>
          <w:tcPr>
            <w:tcW w:w="1654" w:type="pct"/>
            <w:shd w:val="clear" w:color="auto" w:fill="FFFFFF"/>
            <w:vAlign w:val="center"/>
          </w:tcPr>
          <w:p w14:paraId="10B4D5B1" w14:textId="5E733678" w:rsidR="00ED4A97" w:rsidRPr="00064185" w:rsidRDefault="00016422" w:rsidP="00EA61D8">
            <w:pPr>
              <w:rPr>
                <w:lang w:val="it-IT"/>
              </w:rPr>
            </w:pPr>
            <w:proofErr w:type="gramStart"/>
            <w:r w:rsidRPr="00064185">
              <w:rPr>
                <w:lang w:val="it-IT"/>
              </w:rPr>
              <w:t>8</w:t>
            </w:r>
            <w:r w:rsidR="00ED4A97" w:rsidRPr="00064185">
              <w:rPr>
                <w:lang w:val="it-IT"/>
              </w:rPr>
              <w:t>.</w:t>
            </w:r>
            <w:r w:rsidR="000B299B" w:rsidRPr="00064185">
              <w:rPr>
                <w:lang w:val="it-IT"/>
              </w:rPr>
              <w:t>1</w:t>
            </w:r>
            <w:r w:rsidRPr="00064185">
              <w:rPr>
                <w:lang w:val="it-IT"/>
              </w:rPr>
              <w:t>3</w:t>
            </w:r>
            <w:r w:rsidR="00ED4A97" w:rsidRPr="00064185">
              <w:rPr>
                <w:lang w:val="it-IT"/>
              </w:rPr>
              <w:t>E-</w:t>
            </w:r>
            <w:r w:rsidR="000B299B" w:rsidRPr="00064185">
              <w:rPr>
                <w:lang w:val="it-IT"/>
              </w:rPr>
              <w:t>3</w:t>
            </w:r>
            <w:proofErr w:type="gramEnd"/>
            <w:r w:rsidR="00ED4A97" w:rsidRPr="00064185">
              <w:rPr>
                <w:lang w:val="it-IT"/>
              </w:rPr>
              <w:t xml:space="preserve"> </w:t>
            </w:r>
            <w:r w:rsidR="00ED4A97" w:rsidRPr="00064185">
              <w:rPr>
                <w:vertAlign w:val="superscript"/>
                <w:lang w:val="it-IT"/>
              </w:rPr>
              <w:t xml:space="preserve"> </w:t>
            </w:r>
          </w:p>
        </w:tc>
        <w:tc>
          <w:tcPr>
            <w:tcW w:w="1710" w:type="pct"/>
            <w:shd w:val="clear" w:color="auto" w:fill="FFFFFF"/>
            <w:vAlign w:val="center"/>
          </w:tcPr>
          <w:p w14:paraId="0476A81E" w14:textId="1947F7D9" w:rsidR="00ED4A97" w:rsidRPr="00064185" w:rsidRDefault="000B299B" w:rsidP="00EA61D8">
            <w:pPr>
              <w:rPr>
                <w:b/>
                <w:lang w:val="it-IT"/>
              </w:rPr>
            </w:pPr>
            <w:r w:rsidRPr="00064185">
              <w:rPr>
                <w:b/>
                <w:lang w:val="it-IT"/>
              </w:rPr>
              <w:t>2</w:t>
            </w:r>
            <w:r w:rsidR="00705A08" w:rsidRPr="00064185">
              <w:rPr>
                <w:b/>
                <w:lang w:val="it-IT"/>
              </w:rPr>
              <w:t>.80</w:t>
            </w:r>
          </w:p>
        </w:tc>
      </w:tr>
      <w:tr w:rsidR="00064185" w:rsidRPr="00064185" w14:paraId="2A35A853" w14:textId="77777777" w:rsidTr="00016422">
        <w:trPr>
          <w:trHeight w:val="75"/>
        </w:trPr>
        <w:tc>
          <w:tcPr>
            <w:tcW w:w="1636" w:type="pct"/>
            <w:shd w:val="clear" w:color="auto" w:fill="FFFFFF"/>
          </w:tcPr>
          <w:p w14:paraId="479BAB19" w14:textId="3C23054E" w:rsidR="00016422" w:rsidRPr="00064185" w:rsidRDefault="00ED4A97" w:rsidP="00EA61D8">
            <w:pPr>
              <w:spacing w:before="60" w:after="60" w:line="260" w:lineRule="atLeast"/>
              <w:rPr>
                <w:rFonts w:eastAsia="Calibri" w:cs="Arial"/>
                <w:lang w:eastAsia="en-GB"/>
              </w:rPr>
            </w:pPr>
            <w:r w:rsidRPr="00064185">
              <w:rPr>
                <w:rFonts w:eastAsia="Calibri" w:cs="Arial"/>
                <w:lang w:eastAsia="en-GB"/>
              </w:rPr>
              <w:t xml:space="preserve">Woodlice </w:t>
            </w:r>
            <w:r w:rsidR="00016422" w:rsidRPr="00064185">
              <w:rPr>
                <w:rFonts w:eastAsia="Calibri" w:cs="Arial"/>
                <w:lang w:eastAsia="en-GB"/>
              </w:rPr>
              <w:t>&amp; Cockroaches,</w:t>
            </w:r>
          </w:p>
          <w:p w14:paraId="71A79EA8" w14:textId="0B9AE70B" w:rsidR="00ED4A97" w:rsidRPr="00064185" w:rsidRDefault="00016422" w:rsidP="00EA61D8">
            <w:pPr>
              <w:spacing w:before="60" w:after="60" w:line="260" w:lineRule="atLeast"/>
              <w:rPr>
                <w:rFonts w:eastAsia="Calibri" w:cs="Arial"/>
                <w:lang w:eastAsia="en-GB"/>
              </w:rPr>
            </w:pPr>
            <w:r w:rsidRPr="00064185">
              <w:rPr>
                <w:rFonts w:eastAsia="Calibri" w:cs="Arial"/>
                <w:lang w:eastAsia="en-GB"/>
              </w:rPr>
              <w:t>twice a year</w:t>
            </w:r>
          </w:p>
        </w:tc>
        <w:tc>
          <w:tcPr>
            <w:tcW w:w="1654" w:type="pct"/>
            <w:shd w:val="clear" w:color="auto" w:fill="FFFFFF"/>
            <w:vAlign w:val="center"/>
          </w:tcPr>
          <w:p w14:paraId="467E7D94" w14:textId="6EB3DEE7" w:rsidR="00ED4A97" w:rsidRPr="00064185" w:rsidRDefault="000B299B" w:rsidP="00EA61D8">
            <w:pPr>
              <w:rPr>
                <w:lang w:val="it-IT"/>
              </w:rPr>
            </w:pPr>
            <w:proofErr w:type="gramStart"/>
            <w:r w:rsidRPr="00064185">
              <w:rPr>
                <w:lang w:val="it-IT"/>
              </w:rPr>
              <w:t>0</w:t>
            </w:r>
            <w:r w:rsidR="00ED4A97" w:rsidRPr="00064185">
              <w:rPr>
                <w:lang w:val="it-IT"/>
              </w:rPr>
              <w:t>.</w:t>
            </w:r>
            <w:r w:rsidR="00016422" w:rsidRPr="00064185">
              <w:rPr>
                <w:lang w:val="it-IT"/>
              </w:rPr>
              <w:t>60</w:t>
            </w:r>
            <w:r w:rsidR="00ED4A97" w:rsidRPr="00064185">
              <w:rPr>
                <w:lang w:val="it-IT"/>
              </w:rPr>
              <w:t>E-3</w:t>
            </w:r>
            <w:proofErr w:type="gramEnd"/>
            <w:r w:rsidR="00ED4A97" w:rsidRPr="00064185">
              <w:rPr>
                <w:lang w:val="it-IT"/>
              </w:rPr>
              <w:t xml:space="preserve"> </w:t>
            </w:r>
            <w:r w:rsidR="00ED4A97" w:rsidRPr="00064185">
              <w:rPr>
                <w:vertAlign w:val="superscript"/>
                <w:lang w:val="it-IT"/>
              </w:rPr>
              <w:t xml:space="preserve"> </w:t>
            </w:r>
            <w:r w:rsidR="00ED4A97" w:rsidRPr="00064185">
              <w:rPr>
                <w:lang w:val="it-IT"/>
              </w:rPr>
              <w:t xml:space="preserve"> </w:t>
            </w:r>
          </w:p>
        </w:tc>
        <w:tc>
          <w:tcPr>
            <w:tcW w:w="1710" w:type="pct"/>
            <w:shd w:val="clear" w:color="auto" w:fill="FFFFFF"/>
            <w:vAlign w:val="center"/>
          </w:tcPr>
          <w:p w14:paraId="7DA47BFE" w14:textId="5E2EC9EF" w:rsidR="00ED4A97" w:rsidRPr="00064185" w:rsidRDefault="000B299B" w:rsidP="00EA61D8">
            <w:pPr>
              <w:rPr>
                <w:lang w:val="it-IT"/>
              </w:rPr>
            </w:pPr>
            <w:r w:rsidRPr="00064185">
              <w:rPr>
                <w:lang w:val="it-IT"/>
              </w:rPr>
              <w:t>0.</w:t>
            </w:r>
            <w:r w:rsidR="00705A08" w:rsidRPr="00064185">
              <w:rPr>
                <w:lang w:val="it-IT"/>
              </w:rPr>
              <w:t>21</w:t>
            </w:r>
          </w:p>
        </w:tc>
      </w:tr>
      <w:tr w:rsidR="00064185" w:rsidRPr="00064185" w14:paraId="3C98CEF8" w14:textId="77777777" w:rsidTr="00016422">
        <w:trPr>
          <w:trHeight w:val="75"/>
        </w:trPr>
        <w:tc>
          <w:tcPr>
            <w:tcW w:w="5000" w:type="pct"/>
            <w:gridSpan w:val="3"/>
            <w:shd w:val="clear" w:color="auto" w:fill="FFFFFF"/>
          </w:tcPr>
          <w:p w14:paraId="4106CAA4" w14:textId="5CBD7F28" w:rsidR="00016422" w:rsidRPr="00064185" w:rsidRDefault="00016422" w:rsidP="00EA61D8">
            <w:pPr>
              <w:spacing w:before="60" w:after="60" w:line="260" w:lineRule="atLeast"/>
              <w:rPr>
                <w:rFonts w:eastAsia="Calibri"/>
                <w:lang w:eastAsia="en-GB"/>
              </w:rPr>
            </w:pPr>
            <w:r w:rsidRPr="00064185">
              <w:rPr>
                <w:rFonts w:eastAsia="Calibri" w:cs="Arial"/>
                <w:b/>
                <w:lang w:eastAsia="en-GB"/>
              </w:rPr>
              <w:t>Spraying indoors, direct treatment of target organisms</w:t>
            </w:r>
          </w:p>
        </w:tc>
      </w:tr>
      <w:tr w:rsidR="00064185" w:rsidRPr="00064185" w14:paraId="0661DEE3" w14:textId="77777777" w:rsidTr="00016422">
        <w:trPr>
          <w:trHeight w:val="75"/>
        </w:trPr>
        <w:tc>
          <w:tcPr>
            <w:tcW w:w="1636" w:type="pct"/>
            <w:shd w:val="clear" w:color="auto" w:fill="FFFFFF"/>
          </w:tcPr>
          <w:p w14:paraId="3FED8C8D" w14:textId="30E77FEA" w:rsidR="00016422" w:rsidRPr="00064185" w:rsidRDefault="00016422" w:rsidP="00EA61D8">
            <w:pPr>
              <w:spacing w:before="60" w:after="60" w:line="260" w:lineRule="atLeast"/>
              <w:rPr>
                <w:rFonts w:eastAsia="Calibri"/>
                <w:lang w:eastAsia="en-GB"/>
              </w:rPr>
            </w:pPr>
            <w:r w:rsidRPr="00064185">
              <w:rPr>
                <w:rFonts w:eastAsia="Calibri" w:cs="Arial"/>
                <w:lang w:eastAsia="en-GB"/>
              </w:rPr>
              <w:t>Silverfish</w:t>
            </w:r>
            <w:r w:rsidR="009752E2" w:rsidRPr="00064185">
              <w:rPr>
                <w:rFonts w:eastAsia="Calibri" w:cs="Arial"/>
                <w:lang w:eastAsia="en-GB"/>
              </w:rPr>
              <w:t>es</w:t>
            </w:r>
            <w:r w:rsidRPr="00064185">
              <w:rPr>
                <w:rFonts w:eastAsia="Calibri" w:cs="Arial"/>
                <w:lang w:eastAsia="en-GB"/>
              </w:rPr>
              <w:t xml:space="preserve"> &amp; Cockroaches, weekly</w:t>
            </w:r>
          </w:p>
        </w:tc>
        <w:tc>
          <w:tcPr>
            <w:tcW w:w="1654" w:type="pct"/>
            <w:shd w:val="clear" w:color="auto" w:fill="FFFFFF"/>
            <w:vAlign w:val="center"/>
          </w:tcPr>
          <w:p w14:paraId="1735C90E" w14:textId="057B45C6" w:rsidR="00016422" w:rsidRPr="00064185" w:rsidRDefault="00016422" w:rsidP="00EA61D8">
            <w:pPr>
              <w:rPr>
                <w:lang w:val="it-IT"/>
              </w:rPr>
            </w:pPr>
            <w:proofErr w:type="gramStart"/>
            <w:r w:rsidRPr="00064185">
              <w:rPr>
                <w:lang w:val="it-IT"/>
              </w:rPr>
              <w:t>10.00E-3</w:t>
            </w:r>
            <w:proofErr w:type="gramEnd"/>
          </w:p>
        </w:tc>
        <w:tc>
          <w:tcPr>
            <w:tcW w:w="1710" w:type="pct"/>
            <w:shd w:val="clear" w:color="auto" w:fill="FFFFFF"/>
            <w:vAlign w:val="center"/>
          </w:tcPr>
          <w:p w14:paraId="056ECAAC" w14:textId="207B65B4" w:rsidR="00016422" w:rsidRPr="00064185" w:rsidRDefault="00705A08" w:rsidP="00EA61D8">
            <w:pPr>
              <w:rPr>
                <w:b/>
                <w:lang w:val="it-IT"/>
              </w:rPr>
            </w:pPr>
            <w:r w:rsidRPr="00064185">
              <w:rPr>
                <w:b/>
                <w:lang w:val="it-IT"/>
              </w:rPr>
              <w:t>3.45</w:t>
            </w:r>
          </w:p>
        </w:tc>
      </w:tr>
      <w:tr w:rsidR="00064185" w:rsidRPr="00064185" w14:paraId="0F0EF256" w14:textId="77777777" w:rsidTr="00016422">
        <w:trPr>
          <w:trHeight w:val="75"/>
        </w:trPr>
        <w:tc>
          <w:tcPr>
            <w:tcW w:w="1636" w:type="pct"/>
            <w:shd w:val="clear" w:color="auto" w:fill="FFFFFF"/>
          </w:tcPr>
          <w:p w14:paraId="5D10A94B" w14:textId="26CDBE04" w:rsidR="00016422" w:rsidRPr="00064185" w:rsidRDefault="00016422" w:rsidP="00EA61D8">
            <w:pPr>
              <w:spacing w:before="60" w:after="60" w:line="260" w:lineRule="atLeast"/>
              <w:rPr>
                <w:rFonts w:eastAsia="Calibri" w:cs="Arial"/>
                <w:lang w:eastAsia="en-GB"/>
              </w:rPr>
            </w:pPr>
            <w:r w:rsidRPr="00064185">
              <w:rPr>
                <w:rFonts w:eastAsia="Calibri" w:cs="Arial"/>
                <w:lang w:eastAsia="en-GB"/>
              </w:rPr>
              <w:t>Cockroaches, twice a year</w:t>
            </w:r>
          </w:p>
        </w:tc>
        <w:tc>
          <w:tcPr>
            <w:tcW w:w="1654" w:type="pct"/>
            <w:shd w:val="clear" w:color="auto" w:fill="FFFFFF"/>
            <w:vAlign w:val="center"/>
          </w:tcPr>
          <w:p w14:paraId="633B7A96" w14:textId="1A60FEB6" w:rsidR="00016422" w:rsidRPr="00064185" w:rsidRDefault="00016422" w:rsidP="00EA61D8">
            <w:pPr>
              <w:rPr>
                <w:lang w:val="it-IT"/>
              </w:rPr>
            </w:pPr>
            <w:proofErr w:type="gramStart"/>
            <w:r w:rsidRPr="00064185">
              <w:rPr>
                <w:lang w:val="it-IT"/>
              </w:rPr>
              <w:t>0.</w:t>
            </w:r>
            <w:r w:rsidR="00451971" w:rsidRPr="00064185">
              <w:rPr>
                <w:lang w:val="it-IT"/>
              </w:rPr>
              <w:t>74</w:t>
            </w:r>
            <w:r w:rsidRPr="00064185">
              <w:rPr>
                <w:lang w:val="it-IT"/>
              </w:rPr>
              <w:t>E-3</w:t>
            </w:r>
            <w:proofErr w:type="gramEnd"/>
          </w:p>
        </w:tc>
        <w:tc>
          <w:tcPr>
            <w:tcW w:w="1710" w:type="pct"/>
            <w:shd w:val="clear" w:color="auto" w:fill="FFFFFF"/>
            <w:vAlign w:val="center"/>
          </w:tcPr>
          <w:p w14:paraId="7BDAAC3F" w14:textId="6A0096D0" w:rsidR="00016422" w:rsidRPr="00064185" w:rsidRDefault="00705A08" w:rsidP="00EA61D8">
            <w:pPr>
              <w:rPr>
                <w:lang w:val="it-IT"/>
              </w:rPr>
            </w:pPr>
            <w:r w:rsidRPr="00064185">
              <w:rPr>
                <w:lang w:val="it-IT"/>
              </w:rPr>
              <w:t>0.26</w:t>
            </w:r>
          </w:p>
        </w:tc>
      </w:tr>
      <w:tr w:rsidR="00064185" w:rsidRPr="00064185" w14:paraId="6BE19021" w14:textId="77777777" w:rsidTr="00016422">
        <w:trPr>
          <w:trHeight w:val="75"/>
        </w:trPr>
        <w:tc>
          <w:tcPr>
            <w:tcW w:w="1636" w:type="pct"/>
            <w:shd w:val="clear" w:color="auto" w:fill="FFFFFF"/>
          </w:tcPr>
          <w:p w14:paraId="35F0AD36" w14:textId="038D51BA" w:rsidR="00016422" w:rsidRPr="00064185" w:rsidRDefault="00016422" w:rsidP="00EA61D8">
            <w:pPr>
              <w:spacing w:before="60" w:after="60" w:line="260" w:lineRule="atLeast"/>
              <w:rPr>
                <w:rFonts w:eastAsia="Calibri"/>
                <w:lang w:eastAsia="en-GB"/>
              </w:rPr>
            </w:pPr>
            <w:r w:rsidRPr="00064185">
              <w:rPr>
                <w:rFonts w:eastAsia="Calibri" w:cs="Arial"/>
                <w:lang w:eastAsia="en-GB"/>
              </w:rPr>
              <w:t>Woodlice, twice a year</w:t>
            </w:r>
          </w:p>
        </w:tc>
        <w:tc>
          <w:tcPr>
            <w:tcW w:w="1654" w:type="pct"/>
            <w:shd w:val="clear" w:color="auto" w:fill="FFFFFF"/>
            <w:vAlign w:val="center"/>
          </w:tcPr>
          <w:p w14:paraId="6D31C210" w14:textId="1CEF76F9" w:rsidR="00016422" w:rsidRPr="00064185" w:rsidRDefault="00451971" w:rsidP="00EA61D8">
            <w:pPr>
              <w:rPr>
                <w:lang w:val="it-IT"/>
              </w:rPr>
            </w:pPr>
            <w:proofErr w:type="gramStart"/>
            <w:r w:rsidRPr="00064185">
              <w:rPr>
                <w:lang w:val="it-IT"/>
              </w:rPr>
              <w:t>1.02</w:t>
            </w:r>
            <w:r w:rsidR="00016422" w:rsidRPr="00064185">
              <w:rPr>
                <w:lang w:val="it-IT"/>
              </w:rPr>
              <w:t>E-3</w:t>
            </w:r>
            <w:proofErr w:type="gramEnd"/>
          </w:p>
        </w:tc>
        <w:tc>
          <w:tcPr>
            <w:tcW w:w="1710" w:type="pct"/>
            <w:shd w:val="clear" w:color="auto" w:fill="FFFFFF"/>
            <w:vAlign w:val="center"/>
          </w:tcPr>
          <w:p w14:paraId="28EECAA9" w14:textId="7822F962" w:rsidR="00016422" w:rsidRPr="00064185" w:rsidRDefault="00705A08" w:rsidP="00EA61D8">
            <w:pPr>
              <w:rPr>
                <w:lang w:val="it-IT"/>
              </w:rPr>
            </w:pPr>
            <w:r w:rsidRPr="00064185">
              <w:rPr>
                <w:lang w:val="it-IT"/>
              </w:rPr>
              <w:t>0.35</w:t>
            </w:r>
          </w:p>
        </w:tc>
      </w:tr>
      <w:tr w:rsidR="00064185" w:rsidRPr="00064185" w14:paraId="4B72E530" w14:textId="77777777" w:rsidTr="00642F82">
        <w:trPr>
          <w:trHeight w:val="75"/>
        </w:trPr>
        <w:tc>
          <w:tcPr>
            <w:tcW w:w="5000" w:type="pct"/>
            <w:gridSpan w:val="3"/>
            <w:shd w:val="clear" w:color="auto" w:fill="FFFFFF"/>
          </w:tcPr>
          <w:p w14:paraId="6787451A" w14:textId="4F354AB3" w:rsidR="00ED4A97" w:rsidRPr="00064185" w:rsidRDefault="00016422" w:rsidP="00EA61D8">
            <w:pPr>
              <w:spacing w:before="60" w:after="60" w:line="260" w:lineRule="atLeast"/>
              <w:rPr>
                <w:rFonts w:eastAsia="Calibri" w:cs="Arial"/>
                <w:lang w:eastAsia="en-GB"/>
              </w:rPr>
            </w:pPr>
            <w:r w:rsidRPr="00064185">
              <w:rPr>
                <w:rFonts w:eastAsia="Calibri" w:cs="Arial"/>
                <w:lang w:eastAsia="en-GB"/>
              </w:rPr>
              <w:t xml:space="preserve"> </w:t>
            </w:r>
            <w:r w:rsidRPr="00064185">
              <w:rPr>
                <w:rFonts w:eastAsia="Calibri" w:cs="Arial"/>
                <w:b/>
                <w:lang w:eastAsia="en-GB"/>
              </w:rPr>
              <w:t>Spraying</w:t>
            </w:r>
            <w:r w:rsidR="00ED4A97" w:rsidRPr="00064185">
              <w:rPr>
                <w:rFonts w:eastAsia="Calibri" w:cs="Arial"/>
                <w:b/>
                <w:lang w:eastAsia="en-GB"/>
              </w:rPr>
              <w:t xml:space="preserve"> outdoor</w:t>
            </w:r>
            <w:r w:rsidRPr="00064185">
              <w:rPr>
                <w:rFonts w:eastAsia="Calibri" w:cs="Arial"/>
                <w:b/>
                <w:lang w:eastAsia="en-GB"/>
              </w:rPr>
              <w:t>s, residual treatment</w:t>
            </w:r>
          </w:p>
        </w:tc>
      </w:tr>
      <w:tr w:rsidR="00064185" w:rsidRPr="00064185" w14:paraId="29C8713F" w14:textId="77777777" w:rsidTr="00016422">
        <w:trPr>
          <w:trHeight w:val="75"/>
        </w:trPr>
        <w:tc>
          <w:tcPr>
            <w:tcW w:w="1636" w:type="pct"/>
            <w:shd w:val="clear" w:color="auto" w:fill="FFFFFF"/>
          </w:tcPr>
          <w:p w14:paraId="11CF4E1D" w14:textId="6CE4E65F" w:rsidR="00ED4A97" w:rsidRPr="00064185" w:rsidRDefault="00ED4A97" w:rsidP="00EA61D8">
            <w:pPr>
              <w:spacing w:before="60" w:after="60" w:line="260" w:lineRule="atLeast"/>
              <w:rPr>
                <w:rFonts w:eastAsia="Calibri" w:cs="Arial"/>
                <w:lang w:eastAsia="en-GB"/>
              </w:rPr>
            </w:pPr>
            <w:r w:rsidRPr="00064185">
              <w:rPr>
                <w:rFonts w:eastAsia="Calibri" w:cs="Arial"/>
                <w:lang w:eastAsia="en-GB"/>
              </w:rPr>
              <w:t xml:space="preserve">Ants, urban </w:t>
            </w:r>
            <w:r w:rsidR="000878D8" w:rsidRPr="00064185">
              <w:rPr>
                <w:rFonts w:eastAsia="Calibri" w:cs="Arial"/>
                <w:lang w:eastAsia="en-GB"/>
              </w:rPr>
              <w:t>area</w:t>
            </w:r>
          </w:p>
        </w:tc>
        <w:tc>
          <w:tcPr>
            <w:tcW w:w="1654" w:type="pct"/>
            <w:shd w:val="clear" w:color="auto" w:fill="FFFFFF"/>
            <w:vAlign w:val="center"/>
          </w:tcPr>
          <w:p w14:paraId="58F462AF" w14:textId="365688B4" w:rsidR="00ED4A97" w:rsidRPr="00064185" w:rsidRDefault="002D4810" w:rsidP="00EA61D8">
            <w:pPr>
              <w:rPr>
                <w:lang w:val="it-IT"/>
              </w:rPr>
            </w:pPr>
            <w:proofErr w:type="gramStart"/>
            <w:r w:rsidRPr="00064185">
              <w:rPr>
                <w:lang w:val="it-IT"/>
              </w:rPr>
              <w:t>0</w:t>
            </w:r>
            <w:r w:rsidR="00ED4A97" w:rsidRPr="00064185">
              <w:rPr>
                <w:lang w:val="it-IT"/>
              </w:rPr>
              <w:t>.</w:t>
            </w:r>
            <w:r w:rsidRPr="00064185">
              <w:rPr>
                <w:lang w:val="it-IT"/>
              </w:rPr>
              <w:t>8</w:t>
            </w:r>
            <w:r w:rsidR="000B299B" w:rsidRPr="00064185">
              <w:rPr>
                <w:lang w:val="it-IT"/>
              </w:rPr>
              <w:t>5E-3</w:t>
            </w:r>
            <w:proofErr w:type="gramEnd"/>
            <w:r w:rsidR="00ED4A97" w:rsidRPr="00064185">
              <w:rPr>
                <w:lang w:val="it-IT"/>
              </w:rPr>
              <w:t xml:space="preserve"> </w:t>
            </w:r>
          </w:p>
        </w:tc>
        <w:tc>
          <w:tcPr>
            <w:tcW w:w="1710" w:type="pct"/>
            <w:shd w:val="clear" w:color="auto" w:fill="FFFFFF"/>
            <w:vAlign w:val="center"/>
          </w:tcPr>
          <w:p w14:paraId="327ABD99" w14:textId="721AE7C4" w:rsidR="00ED4A97" w:rsidRPr="00064185" w:rsidRDefault="002D4810" w:rsidP="00EA61D8">
            <w:pPr>
              <w:rPr>
                <w:lang w:val="it-IT"/>
              </w:rPr>
            </w:pPr>
            <w:r w:rsidRPr="00064185">
              <w:rPr>
                <w:lang w:val="it-IT"/>
              </w:rPr>
              <w:t>0.29</w:t>
            </w:r>
          </w:p>
        </w:tc>
      </w:tr>
      <w:tr w:rsidR="00064185" w:rsidRPr="00064185" w14:paraId="0E9CCBEF" w14:textId="77777777" w:rsidTr="00016422">
        <w:trPr>
          <w:trHeight w:val="75"/>
        </w:trPr>
        <w:tc>
          <w:tcPr>
            <w:tcW w:w="1636" w:type="pct"/>
            <w:shd w:val="clear" w:color="auto" w:fill="FFFFFF"/>
          </w:tcPr>
          <w:p w14:paraId="09AD4F7D" w14:textId="54996E59" w:rsidR="00ED4A97" w:rsidRPr="00064185" w:rsidRDefault="000878D8" w:rsidP="00EA61D8">
            <w:pPr>
              <w:spacing w:before="60" w:after="60" w:line="260" w:lineRule="atLeast"/>
              <w:rPr>
                <w:rFonts w:eastAsia="Calibri" w:cs="Arial"/>
                <w:lang w:eastAsia="en-GB"/>
              </w:rPr>
            </w:pPr>
            <w:r w:rsidRPr="00064185">
              <w:rPr>
                <w:rFonts w:eastAsia="Calibri" w:cs="Arial"/>
                <w:lang w:eastAsia="en-GB"/>
              </w:rPr>
              <w:t>Ants, rural area</w:t>
            </w:r>
          </w:p>
        </w:tc>
        <w:tc>
          <w:tcPr>
            <w:tcW w:w="1654" w:type="pct"/>
            <w:shd w:val="clear" w:color="auto" w:fill="FFFFFF"/>
            <w:vAlign w:val="center"/>
          </w:tcPr>
          <w:p w14:paraId="58CF1A78" w14:textId="3B60B8BB" w:rsidR="00ED4A97" w:rsidRPr="00064185" w:rsidRDefault="000B299B" w:rsidP="00EA61D8">
            <w:pPr>
              <w:rPr>
                <w:lang w:val="it-IT"/>
              </w:rPr>
            </w:pPr>
            <w:proofErr w:type="gramStart"/>
            <w:r w:rsidRPr="00064185">
              <w:rPr>
                <w:lang w:val="it-IT"/>
              </w:rPr>
              <w:t>3</w:t>
            </w:r>
            <w:r w:rsidR="00ED4A97" w:rsidRPr="00064185">
              <w:rPr>
                <w:lang w:val="it-IT"/>
              </w:rPr>
              <w:t>.</w:t>
            </w:r>
            <w:r w:rsidRPr="00064185">
              <w:rPr>
                <w:lang w:val="it-IT"/>
              </w:rPr>
              <w:t>74E-3</w:t>
            </w:r>
            <w:proofErr w:type="gramEnd"/>
          </w:p>
        </w:tc>
        <w:tc>
          <w:tcPr>
            <w:tcW w:w="1710" w:type="pct"/>
            <w:shd w:val="clear" w:color="auto" w:fill="FFFFFF"/>
            <w:vAlign w:val="center"/>
          </w:tcPr>
          <w:p w14:paraId="1C373FF1" w14:textId="04705FE2" w:rsidR="00ED4A97" w:rsidRPr="00064185" w:rsidRDefault="000B299B" w:rsidP="00EA61D8">
            <w:pPr>
              <w:rPr>
                <w:b/>
                <w:lang w:val="it-IT"/>
              </w:rPr>
            </w:pPr>
            <w:r w:rsidRPr="00064185">
              <w:rPr>
                <w:b/>
                <w:lang w:val="it-IT"/>
              </w:rPr>
              <w:t>1</w:t>
            </w:r>
            <w:r w:rsidR="00ED4A97" w:rsidRPr="00064185">
              <w:rPr>
                <w:b/>
                <w:lang w:val="it-IT"/>
              </w:rPr>
              <w:t>.2</w:t>
            </w:r>
            <w:r w:rsidRPr="00064185">
              <w:rPr>
                <w:b/>
                <w:lang w:val="it-IT"/>
              </w:rPr>
              <w:t>9</w:t>
            </w:r>
          </w:p>
        </w:tc>
      </w:tr>
    </w:tbl>
    <w:p w14:paraId="38ECCAF1" w14:textId="77777777" w:rsidR="00C93C22" w:rsidRPr="00064185" w:rsidRDefault="00C93C22" w:rsidP="00EA61D8">
      <w:pPr>
        <w:spacing w:line="260" w:lineRule="atLeast"/>
        <w:rPr>
          <w:rFonts w:eastAsia="Calibri"/>
          <w:b/>
          <w:i/>
          <w:sz w:val="22"/>
          <w:szCs w:val="22"/>
          <w:lang w:val="en-US" w:eastAsia="en-US"/>
        </w:rPr>
      </w:pPr>
    </w:p>
    <w:p w14:paraId="08C104CD" w14:textId="77777777" w:rsidR="00C93C22" w:rsidRPr="00064185" w:rsidRDefault="00C93C22" w:rsidP="00F200AC">
      <w:pPr>
        <w:pStyle w:val="Textkrper2"/>
        <w:jc w:val="both"/>
        <w:rPr>
          <w:rFonts w:eastAsia="Calibri"/>
          <w:b/>
          <w:i w:val="0"/>
          <w:color w:val="auto"/>
          <w:lang w:eastAsia="en-US"/>
        </w:rPr>
      </w:pPr>
      <w:r w:rsidRPr="00064185">
        <w:rPr>
          <w:rFonts w:eastAsia="Calibri"/>
          <w:b/>
          <w:i w:val="0"/>
          <w:color w:val="auto"/>
          <w:lang w:eastAsia="en-US"/>
        </w:rPr>
        <w:t xml:space="preserve">Conclusion: </w:t>
      </w:r>
    </w:p>
    <w:p w14:paraId="387FE2D5" w14:textId="5D15D357" w:rsidR="00EA2D9D" w:rsidRPr="00064185" w:rsidRDefault="00C93C22" w:rsidP="00F200AC">
      <w:pPr>
        <w:pStyle w:val="Textkrper2"/>
        <w:jc w:val="both"/>
        <w:rPr>
          <w:rFonts w:eastAsia="Calibri"/>
          <w:i w:val="0"/>
          <w:color w:val="auto"/>
          <w:lang w:eastAsia="en-US"/>
        </w:rPr>
      </w:pPr>
      <w:r w:rsidRPr="00064185">
        <w:rPr>
          <w:rFonts w:eastAsia="Calibri"/>
          <w:i w:val="0"/>
          <w:color w:val="auto"/>
          <w:lang w:eastAsia="en-US"/>
        </w:rPr>
        <w:t>PEC/PNEC ratios are &lt;1 for soil organisms, when indirectly exposed via sludge application</w:t>
      </w:r>
      <w:r w:rsidR="00EA2D9D" w:rsidRPr="00064185">
        <w:rPr>
          <w:rFonts w:eastAsia="Calibri"/>
          <w:i w:val="0"/>
          <w:color w:val="auto"/>
          <w:lang w:eastAsia="en-US"/>
        </w:rPr>
        <w:t>,</w:t>
      </w:r>
      <w:r w:rsidRPr="00064185">
        <w:rPr>
          <w:rFonts w:eastAsia="Calibri"/>
          <w:i w:val="0"/>
          <w:color w:val="auto"/>
          <w:lang w:eastAsia="en-US"/>
        </w:rPr>
        <w:t xml:space="preserve"> after indoor </w:t>
      </w:r>
      <w:r w:rsidR="00EA2D9D" w:rsidRPr="00064185">
        <w:rPr>
          <w:rFonts w:eastAsia="Calibri"/>
          <w:i w:val="0"/>
          <w:color w:val="auto"/>
          <w:lang w:eastAsia="en-US"/>
        </w:rPr>
        <w:t xml:space="preserve">residual </w:t>
      </w:r>
      <w:r w:rsidRPr="00064185">
        <w:rPr>
          <w:rFonts w:eastAsia="Calibri"/>
          <w:i w:val="0"/>
          <w:color w:val="auto"/>
          <w:lang w:eastAsia="en-US"/>
        </w:rPr>
        <w:t>treatmen</w:t>
      </w:r>
      <w:r w:rsidR="00EA2D9D" w:rsidRPr="00064185">
        <w:rPr>
          <w:rFonts w:eastAsia="Calibri"/>
          <w:i w:val="0"/>
          <w:color w:val="auto"/>
          <w:lang w:eastAsia="en-US"/>
        </w:rPr>
        <w:t>t against ants</w:t>
      </w:r>
      <w:r w:rsidR="00483E8B" w:rsidRPr="00064185">
        <w:rPr>
          <w:rFonts w:eastAsia="Calibri"/>
          <w:i w:val="0"/>
          <w:color w:val="auto"/>
          <w:lang w:eastAsia="en-US"/>
        </w:rPr>
        <w:t>,</w:t>
      </w:r>
      <w:r w:rsidR="00EA2D9D" w:rsidRPr="00064185">
        <w:rPr>
          <w:rFonts w:eastAsia="Calibri"/>
          <w:i w:val="0"/>
          <w:color w:val="auto"/>
          <w:lang w:eastAsia="en-US"/>
        </w:rPr>
        <w:t xml:space="preserve"> woodlice </w:t>
      </w:r>
      <w:r w:rsidR="00483E8B" w:rsidRPr="00064185">
        <w:rPr>
          <w:rFonts w:eastAsia="Calibri"/>
          <w:i w:val="0"/>
          <w:color w:val="auto"/>
          <w:lang w:eastAsia="en-US"/>
        </w:rPr>
        <w:t>and</w:t>
      </w:r>
      <w:r w:rsidR="00EA2D9D" w:rsidRPr="00064185">
        <w:rPr>
          <w:rFonts w:eastAsia="Calibri"/>
          <w:i w:val="0"/>
          <w:color w:val="auto"/>
          <w:lang w:eastAsia="en-US"/>
        </w:rPr>
        <w:t xml:space="preserve"> cockroaches</w:t>
      </w:r>
      <w:r w:rsidRPr="00064185">
        <w:rPr>
          <w:rFonts w:eastAsia="Calibri"/>
          <w:i w:val="0"/>
          <w:color w:val="auto"/>
          <w:lang w:eastAsia="en-US"/>
        </w:rPr>
        <w:t xml:space="preserve"> </w:t>
      </w:r>
      <w:r w:rsidR="00EA2D9D" w:rsidRPr="00064185">
        <w:rPr>
          <w:rFonts w:eastAsia="Calibri"/>
          <w:i w:val="0"/>
          <w:color w:val="auto"/>
          <w:lang w:eastAsia="en-US"/>
        </w:rPr>
        <w:t xml:space="preserve">(treatment twice a year) and after indoor </w:t>
      </w:r>
      <w:r w:rsidR="00D0131E" w:rsidRPr="00064185">
        <w:rPr>
          <w:rFonts w:eastAsia="Calibri"/>
          <w:i w:val="0"/>
          <w:color w:val="auto"/>
          <w:lang w:eastAsia="en-US"/>
        </w:rPr>
        <w:t xml:space="preserve">direct </w:t>
      </w:r>
      <w:r w:rsidR="00EA2D9D" w:rsidRPr="00064185">
        <w:rPr>
          <w:rFonts w:eastAsia="Calibri"/>
          <w:i w:val="0"/>
          <w:color w:val="auto"/>
          <w:lang w:eastAsia="en-US"/>
        </w:rPr>
        <w:t xml:space="preserve">treatment of target organisms </w:t>
      </w:r>
      <w:r w:rsidR="0049628C" w:rsidRPr="00064185">
        <w:rPr>
          <w:rFonts w:eastAsia="Calibri"/>
          <w:i w:val="0"/>
          <w:color w:val="auto"/>
          <w:lang w:eastAsia="en-US"/>
        </w:rPr>
        <w:t xml:space="preserve">against </w:t>
      </w:r>
      <w:r w:rsidR="00EA2D9D" w:rsidRPr="00064185">
        <w:rPr>
          <w:rFonts w:eastAsia="Calibri"/>
          <w:i w:val="0"/>
          <w:color w:val="auto"/>
          <w:lang w:eastAsia="en-US"/>
        </w:rPr>
        <w:t>cockroaches and woodlice</w:t>
      </w:r>
      <w:r w:rsidR="009752E2" w:rsidRPr="00064185">
        <w:rPr>
          <w:rFonts w:eastAsia="Calibri"/>
          <w:i w:val="0"/>
          <w:color w:val="auto"/>
          <w:lang w:eastAsia="en-US"/>
        </w:rPr>
        <w:t>,</w:t>
      </w:r>
      <w:r w:rsidR="00EA2D9D" w:rsidRPr="00064185">
        <w:rPr>
          <w:rFonts w:eastAsia="Calibri"/>
          <w:i w:val="0"/>
          <w:color w:val="auto"/>
          <w:lang w:eastAsia="en-US"/>
        </w:rPr>
        <w:t xml:space="preserve"> when treated twice a year only.</w:t>
      </w:r>
    </w:p>
    <w:p w14:paraId="299AA93F" w14:textId="002C23E1" w:rsidR="00C44DF4" w:rsidRPr="00064185" w:rsidRDefault="009752E2" w:rsidP="00F200AC">
      <w:pPr>
        <w:pStyle w:val="Textkrper2"/>
        <w:jc w:val="both"/>
        <w:rPr>
          <w:rFonts w:eastAsia="Calibri"/>
          <w:i w:val="0"/>
          <w:color w:val="auto"/>
          <w:lang w:eastAsia="en-US"/>
        </w:rPr>
      </w:pPr>
      <w:r w:rsidRPr="00064185">
        <w:rPr>
          <w:rFonts w:eastAsia="Calibri"/>
          <w:i w:val="0"/>
          <w:color w:val="auto"/>
          <w:lang w:eastAsia="en-US"/>
        </w:rPr>
        <w:t>O</w:t>
      </w:r>
      <w:r w:rsidR="00C93C22" w:rsidRPr="00064185">
        <w:rPr>
          <w:rFonts w:eastAsia="Calibri"/>
          <w:i w:val="0"/>
          <w:color w:val="auto"/>
          <w:lang w:eastAsia="en-US"/>
        </w:rPr>
        <w:t>utdoor treatment against an</w:t>
      </w:r>
      <w:r w:rsidR="00C44DF4" w:rsidRPr="00064185">
        <w:rPr>
          <w:rFonts w:eastAsia="Calibri"/>
          <w:i w:val="0"/>
          <w:color w:val="auto"/>
          <w:lang w:eastAsia="en-US"/>
        </w:rPr>
        <w:t>ts in urban areas</w:t>
      </w:r>
      <w:r w:rsidR="00C93C22" w:rsidRPr="00064185">
        <w:rPr>
          <w:rFonts w:eastAsia="Calibri"/>
          <w:i w:val="0"/>
          <w:color w:val="auto"/>
          <w:lang w:eastAsia="en-US"/>
        </w:rPr>
        <w:t xml:space="preserve"> </w:t>
      </w:r>
      <w:r w:rsidR="00C44DF4" w:rsidRPr="00064185">
        <w:rPr>
          <w:rFonts w:eastAsia="Calibri"/>
          <w:i w:val="0"/>
          <w:color w:val="auto"/>
          <w:lang w:eastAsia="en-US"/>
        </w:rPr>
        <w:t>leads to PEC/PNEC ratios &lt;1</w:t>
      </w:r>
      <w:r w:rsidRPr="00064185">
        <w:rPr>
          <w:rFonts w:eastAsia="Calibri"/>
          <w:i w:val="0"/>
          <w:color w:val="auto"/>
          <w:lang w:eastAsia="en-US"/>
        </w:rPr>
        <w:t>, too</w:t>
      </w:r>
      <w:r w:rsidR="00C44DF4" w:rsidRPr="00064185">
        <w:rPr>
          <w:rFonts w:eastAsia="Calibri"/>
          <w:i w:val="0"/>
          <w:color w:val="auto"/>
          <w:lang w:eastAsia="en-US"/>
        </w:rPr>
        <w:t xml:space="preserve">. </w:t>
      </w:r>
    </w:p>
    <w:p w14:paraId="6FE1E15F" w14:textId="01B7DC41" w:rsidR="00C93C22" w:rsidRPr="00064185" w:rsidRDefault="00C93C22" w:rsidP="00F200AC">
      <w:pPr>
        <w:pStyle w:val="Textkrper2"/>
        <w:jc w:val="both"/>
        <w:rPr>
          <w:rFonts w:eastAsia="Calibri"/>
          <w:i w:val="0"/>
          <w:color w:val="auto"/>
          <w:lang w:eastAsia="en-US"/>
        </w:rPr>
      </w:pPr>
      <w:r w:rsidRPr="00064185">
        <w:rPr>
          <w:rFonts w:eastAsia="Calibri"/>
          <w:i w:val="0"/>
          <w:color w:val="auto"/>
          <w:lang w:eastAsia="en-US"/>
        </w:rPr>
        <w:t>For</w:t>
      </w:r>
      <w:r w:rsidR="00C44DF4" w:rsidRPr="00064185">
        <w:rPr>
          <w:rFonts w:eastAsia="Calibri"/>
          <w:i w:val="0"/>
          <w:color w:val="auto"/>
          <w:lang w:eastAsia="en-US"/>
        </w:rPr>
        <w:t xml:space="preserve"> all</w:t>
      </w:r>
      <w:r w:rsidRPr="00064185">
        <w:rPr>
          <w:rFonts w:eastAsia="Calibri"/>
          <w:i w:val="0"/>
          <w:color w:val="auto"/>
          <w:lang w:eastAsia="en-US"/>
        </w:rPr>
        <w:t xml:space="preserve"> these scenarios the biocidal product COM 116 02 I AL </w:t>
      </w:r>
      <w:r w:rsidR="0049628C" w:rsidRPr="00064185">
        <w:rPr>
          <w:rFonts w:eastAsia="Calibri"/>
          <w:i w:val="0"/>
          <w:color w:val="auto"/>
          <w:lang w:eastAsia="en-US"/>
        </w:rPr>
        <w:t>pose</w:t>
      </w:r>
      <w:r w:rsidR="009752E2" w:rsidRPr="00064185">
        <w:rPr>
          <w:rFonts w:eastAsia="Calibri"/>
          <w:i w:val="0"/>
          <w:color w:val="auto"/>
          <w:lang w:eastAsia="en-US"/>
        </w:rPr>
        <w:t>s</w:t>
      </w:r>
      <w:r w:rsidR="00C44DF4" w:rsidRPr="00064185">
        <w:rPr>
          <w:rFonts w:eastAsia="Calibri"/>
          <w:i w:val="0"/>
          <w:color w:val="auto"/>
          <w:lang w:eastAsia="en-US"/>
        </w:rPr>
        <w:t xml:space="preserve"> </w:t>
      </w:r>
      <w:r w:rsidRPr="00064185">
        <w:rPr>
          <w:rFonts w:eastAsia="Calibri"/>
          <w:i w:val="0"/>
          <w:color w:val="auto"/>
          <w:lang w:eastAsia="en-US"/>
        </w:rPr>
        <w:t xml:space="preserve">acceptable risk for </w:t>
      </w:r>
      <w:r w:rsidR="00C44DF4" w:rsidRPr="00064185">
        <w:rPr>
          <w:rFonts w:eastAsia="Calibri"/>
          <w:i w:val="0"/>
          <w:color w:val="auto"/>
          <w:lang w:eastAsia="en-US"/>
        </w:rPr>
        <w:t xml:space="preserve">non-target </w:t>
      </w:r>
      <w:r w:rsidRPr="00064185">
        <w:rPr>
          <w:rFonts w:eastAsia="Calibri"/>
          <w:i w:val="0"/>
          <w:color w:val="auto"/>
          <w:lang w:eastAsia="en-US"/>
        </w:rPr>
        <w:t>soil organisms.</w:t>
      </w:r>
    </w:p>
    <w:p w14:paraId="31B0669D" w14:textId="77777777" w:rsidR="00C44DF4" w:rsidRPr="00064185" w:rsidRDefault="00C44DF4" w:rsidP="00F200AC">
      <w:pPr>
        <w:pStyle w:val="Textkrper2"/>
        <w:jc w:val="both"/>
        <w:rPr>
          <w:rFonts w:eastAsia="Calibri"/>
          <w:i w:val="0"/>
          <w:color w:val="auto"/>
          <w:lang w:eastAsia="en-US"/>
        </w:rPr>
      </w:pPr>
    </w:p>
    <w:p w14:paraId="5265D76A" w14:textId="12BCB18D" w:rsidR="00C44DF4" w:rsidRPr="00064185" w:rsidRDefault="00C93C22" w:rsidP="00F200AC">
      <w:pPr>
        <w:pStyle w:val="Textkrper2"/>
        <w:jc w:val="both"/>
        <w:rPr>
          <w:rFonts w:eastAsia="Calibri"/>
          <w:i w:val="0"/>
          <w:color w:val="auto"/>
          <w:lang w:eastAsia="en-US"/>
        </w:rPr>
      </w:pPr>
      <w:r w:rsidRPr="00064185">
        <w:rPr>
          <w:rFonts w:eastAsia="Calibri"/>
          <w:i w:val="0"/>
          <w:color w:val="auto"/>
          <w:lang w:eastAsia="en-US"/>
        </w:rPr>
        <w:t>PEC/PNEC</w:t>
      </w:r>
      <w:r w:rsidRPr="00064185">
        <w:rPr>
          <w:rFonts w:eastAsia="Calibri"/>
          <w:i w:val="0"/>
          <w:color w:val="auto"/>
          <w:vertAlign w:val="subscript"/>
          <w:lang w:eastAsia="en-US"/>
        </w:rPr>
        <w:t>soil</w:t>
      </w:r>
      <w:r w:rsidRPr="00064185">
        <w:rPr>
          <w:rFonts w:eastAsia="Calibri"/>
          <w:i w:val="0"/>
          <w:color w:val="auto"/>
          <w:lang w:eastAsia="en-US"/>
        </w:rPr>
        <w:t xml:space="preserve"> ratios slightly &gt;1 were calculated for indirect exposure via sludge application</w:t>
      </w:r>
      <w:r w:rsidR="00C44DF4" w:rsidRPr="00064185">
        <w:rPr>
          <w:rFonts w:eastAsia="Calibri"/>
          <w:i w:val="0"/>
          <w:color w:val="auto"/>
          <w:lang w:eastAsia="en-US"/>
        </w:rPr>
        <w:t>,</w:t>
      </w:r>
      <w:r w:rsidRPr="00064185">
        <w:rPr>
          <w:rFonts w:eastAsia="Calibri"/>
          <w:i w:val="0"/>
          <w:color w:val="auto"/>
          <w:lang w:eastAsia="en-US"/>
        </w:rPr>
        <w:t xml:space="preserve"> after </w:t>
      </w:r>
      <w:r w:rsidR="00C44DF4" w:rsidRPr="00064185">
        <w:rPr>
          <w:rFonts w:eastAsia="Calibri"/>
          <w:i w:val="0"/>
          <w:color w:val="auto"/>
          <w:lang w:eastAsia="en-US"/>
        </w:rPr>
        <w:t xml:space="preserve">weekly </w:t>
      </w:r>
      <w:r w:rsidRPr="00064185">
        <w:rPr>
          <w:rFonts w:eastAsia="Calibri"/>
          <w:i w:val="0"/>
          <w:color w:val="auto"/>
          <w:lang w:eastAsia="en-US"/>
        </w:rPr>
        <w:t xml:space="preserve">indoor </w:t>
      </w:r>
      <w:r w:rsidR="00C44DF4" w:rsidRPr="00064185">
        <w:rPr>
          <w:rFonts w:eastAsia="Calibri"/>
          <w:i w:val="0"/>
          <w:color w:val="auto"/>
          <w:lang w:eastAsia="en-US"/>
        </w:rPr>
        <w:t xml:space="preserve">residual and </w:t>
      </w:r>
      <w:r w:rsidR="0060115E" w:rsidRPr="00064185">
        <w:rPr>
          <w:rFonts w:eastAsia="Calibri"/>
          <w:i w:val="0"/>
          <w:color w:val="auto"/>
          <w:lang w:eastAsia="en-US"/>
        </w:rPr>
        <w:t xml:space="preserve">direct </w:t>
      </w:r>
      <w:r w:rsidR="00C44DF4" w:rsidRPr="00064185">
        <w:rPr>
          <w:rFonts w:eastAsia="Calibri"/>
          <w:i w:val="0"/>
          <w:color w:val="auto"/>
          <w:lang w:eastAsia="en-US"/>
        </w:rPr>
        <w:t xml:space="preserve">treatment </w:t>
      </w:r>
      <w:r w:rsidRPr="00064185">
        <w:rPr>
          <w:rFonts w:eastAsia="Calibri"/>
          <w:i w:val="0"/>
          <w:color w:val="auto"/>
          <w:lang w:eastAsia="en-US"/>
        </w:rPr>
        <w:t>a</w:t>
      </w:r>
      <w:r w:rsidR="00C44DF4" w:rsidRPr="00064185">
        <w:rPr>
          <w:rFonts w:eastAsia="Calibri"/>
          <w:i w:val="0"/>
          <w:color w:val="auto"/>
          <w:lang w:eastAsia="en-US"/>
        </w:rPr>
        <w:t>gainst silverfish</w:t>
      </w:r>
      <w:r w:rsidR="009752E2" w:rsidRPr="00064185">
        <w:rPr>
          <w:rFonts w:eastAsia="Calibri"/>
          <w:i w:val="0"/>
          <w:color w:val="auto"/>
          <w:lang w:eastAsia="en-US"/>
        </w:rPr>
        <w:t>es</w:t>
      </w:r>
      <w:r w:rsidR="00C44DF4" w:rsidRPr="00064185">
        <w:rPr>
          <w:rFonts w:eastAsia="Calibri"/>
          <w:i w:val="0"/>
          <w:color w:val="auto"/>
          <w:lang w:eastAsia="en-US"/>
        </w:rPr>
        <w:t xml:space="preserve"> &amp; cockroaches.</w:t>
      </w:r>
    </w:p>
    <w:p w14:paraId="478FDC7E" w14:textId="780C4021" w:rsidR="00C93C22" w:rsidRPr="00064185" w:rsidRDefault="000654B7" w:rsidP="00F200AC">
      <w:pPr>
        <w:pStyle w:val="Textkrper2"/>
        <w:jc w:val="both"/>
        <w:rPr>
          <w:rFonts w:eastAsia="Calibri"/>
          <w:i w:val="0"/>
          <w:color w:val="auto"/>
          <w:lang w:eastAsia="en-US"/>
        </w:rPr>
      </w:pPr>
      <w:r w:rsidRPr="00064185">
        <w:rPr>
          <w:rFonts w:eastAsia="Calibri"/>
          <w:i w:val="0"/>
          <w:color w:val="auto"/>
          <w:lang w:eastAsia="en-US"/>
        </w:rPr>
        <w:t>D</w:t>
      </w:r>
      <w:r w:rsidR="00C44DF4" w:rsidRPr="00064185">
        <w:rPr>
          <w:rFonts w:eastAsia="Calibri"/>
          <w:i w:val="0"/>
          <w:color w:val="auto"/>
          <w:lang w:eastAsia="en-US"/>
        </w:rPr>
        <w:t xml:space="preserve">irect </w:t>
      </w:r>
      <w:r w:rsidR="00C93C22" w:rsidRPr="00064185">
        <w:rPr>
          <w:rFonts w:eastAsia="Calibri"/>
          <w:i w:val="0"/>
          <w:color w:val="auto"/>
          <w:lang w:eastAsia="en-US"/>
        </w:rPr>
        <w:t xml:space="preserve">exposure </w:t>
      </w:r>
      <w:r w:rsidRPr="00064185">
        <w:rPr>
          <w:rFonts w:eastAsia="Calibri"/>
          <w:i w:val="0"/>
          <w:color w:val="auto"/>
          <w:lang w:eastAsia="en-US"/>
        </w:rPr>
        <w:t xml:space="preserve">of soil </w:t>
      </w:r>
      <w:r w:rsidR="00C93C22" w:rsidRPr="00064185">
        <w:rPr>
          <w:rFonts w:eastAsia="Calibri"/>
          <w:i w:val="0"/>
          <w:color w:val="auto"/>
          <w:lang w:eastAsia="en-US"/>
        </w:rPr>
        <w:t xml:space="preserve">after outdoor treatment against ants </w:t>
      </w:r>
      <w:r w:rsidRPr="00064185">
        <w:rPr>
          <w:rFonts w:eastAsia="Calibri"/>
          <w:i w:val="0"/>
          <w:color w:val="auto"/>
          <w:lang w:eastAsia="en-US"/>
        </w:rPr>
        <w:t xml:space="preserve">in </w:t>
      </w:r>
      <w:r w:rsidR="00C93C22" w:rsidRPr="00064185">
        <w:rPr>
          <w:rFonts w:eastAsia="Calibri"/>
          <w:i w:val="0"/>
          <w:color w:val="auto"/>
          <w:lang w:eastAsia="en-US"/>
        </w:rPr>
        <w:t>rural area</w:t>
      </w:r>
      <w:r w:rsidRPr="00064185">
        <w:rPr>
          <w:rFonts w:eastAsia="Calibri"/>
          <w:i w:val="0"/>
          <w:color w:val="auto"/>
          <w:lang w:eastAsia="en-US"/>
        </w:rPr>
        <w:t>s also leads to risk ratios slightly &gt;1</w:t>
      </w:r>
      <w:r w:rsidR="00C93C22" w:rsidRPr="00064185">
        <w:rPr>
          <w:rFonts w:eastAsia="Calibri"/>
          <w:i w:val="0"/>
          <w:color w:val="auto"/>
          <w:lang w:eastAsia="en-US"/>
        </w:rPr>
        <w:t xml:space="preserve">. </w:t>
      </w:r>
    </w:p>
    <w:p w14:paraId="34824712" w14:textId="0FD12DAC" w:rsidR="00C93C22" w:rsidRPr="00064185" w:rsidRDefault="00C93C22" w:rsidP="00F200AC">
      <w:pPr>
        <w:pStyle w:val="Textkrper2"/>
        <w:jc w:val="both"/>
        <w:rPr>
          <w:rFonts w:eastAsia="Calibri"/>
          <w:i w:val="0"/>
          <w:color w:val="auto"/>
          <w:lang w:eastAsia="en-US"/>
        </w:rPr>
      </w:pPr>
      <w:r w:rsidRPr="00064185">
        <w:rPr>
          <w:rFonts w:eastAsia="Calibri"/>
          <w:i w:val="0"/>
          <w:color w:val="auto"/>
          <w:lang w:eastAsia="en-US"/>
        </w:rPr>
        <w:lastRenderedPageBreak/>
        <w:t xml:space="preserve">Again these results are based on worst case assumption for the intended small scale application of the product. According to the ESD for PT 18 for indoor spraying of the product it is assumed that through wet cleaning of floors 50% </w:t>
      </w:r>
      <w:r w:rsidR="00D0131E" w:rsidRPr="00064185">
        <w:rPr>
          <w:rFonts w:eastAsia="Calibri"/>
          <w:i w:val="0"/>
          <w:color w:val="auto"/>
          <w:lang w:eastAsia="en-US"/>
        </w:rPr>
        <w:t>o</w:t>
      </w:r>
      <w:r w:rsidRPr="00064185">
        <w:rPr>
          <w:rFonts w:eastAsia="Calibri"/>
          <w:i w:val="0"/>
          <w:color w:val="auto"/>
          <w:lang w:eastAsia="en-US"/>
        </w:rPr>
        <w:t xml:space="preserve">f the sprayed product is </w:t>
      </w:r>
      <w:r w:rsidR="0060115E" w:rsidRPr="00064185">
        <w:rPr>
          <w:rFonts w:eastAsia="Calibri"/>
          <w:i w:val="0"/>
          <w:color w:val="auto"/>
          <w:lang w:eastAsia="en-US"/>
        </w:rPr>
        <w:t>emitted to the STP</w:t>
      </w:r>
      <w:r w:rsidRPr="00064185">
        <w:rPr>
          <w:rFonts w:eastAsia="Calibri"/>
          <w:i w:val="0"/>
          <w:color w:val="auto"/>
          <w:lang w:eastAsia="en-US"/>
        </w:rPr>
        <w:t xml:space="preserve">. For outdoor spraying it is assumed that 80% of the applied product will end up in soil through wash off in a rain event. </w:t>
      </w:r>
    </w:p>
    <w:p w14:paraId="04ED4EFD" w14:textId="01219B4D" w:rsidR="00C93C22" w:rsidRPr="00064185" w:rsidRDefault="00C93C22" w:rsidP="00F200AC">
      <w:pPr>
        <w:pStyle w:val="Textkrper2"/>
        <w:jc w:val="both"/>
        <w:rPr>
          <w:rFonts w:eastAsia="Calibri"/>
          <w:i w:val="0"/>
          <w:color w:val="auto"/>
          <w:lang w:eastAsia="en-US"/>
        </w:rPr>
      </w:pPr>
      <w:r w:rsidRPr="00064185">
        <w:rPr>
          <w:rFonts w:eastAsia="Calibri"/>
          <w:i w:val="0"/>
          <w:color w:val="auto"/>
          <w:lang w:eastAsia="en-US"/>
        </w:rPr>
        <w:t xml:space="preserve">The calculated risk may therefore be </w:t>
      </w:r>
      <w:r w:rsidR="00B87D9C" w:rsidRPr="00064185">
        <w:rPr>
          <w:rFonts w:eastAsia="Calibri"/>
          <w:i w:val="0"/>
          <w:color w:val="auto"/>
          <w:lang w:eastAsia="en-US"/>
        </w:rPr>
        <w:t>overestimated;</w:t>
      </w:r>
      <w:r w:rsidRPr="00064185">
        <w:rPr>
          <w:rFonts w:eastAsia="Calibri"/>
          <w:i w:val="0"/>
          <w:color w:val="auto"/>
          <w:lang w:eastAsia="en-US"/>
        </w:rPr>
        <w:t xml:space="preserve"> however</w:t>
      </w:r>
      <w:r w:rsidR="001348AB" w:rsidRPr="00064185">
        <w:rPr>
          <w:rFonts w:eastAsia="Calibri"/>
          <w:i w:val="0"/>
          <w:color w:val="auto"/>
          <w:lang w:eastAsia="en-US"/>
        </w:rPr>
        <w:t xml:space="preserve">, risk mitigation measures are proposed in order to reduce the calculated risk in </w:t>
      </w:r>
      <w:r w:rsidR="008B3203" w:rsidRPr="00064185">
        <w:rPr>
          <w:rFonts w:eastAsia="Calibri"/>
          <w:i w:val="0"/>
          <w:color w:val="auto"/>
          <w:lang w:eastAsia="en-US"/>
        </w:rPr>
        <w:t xml:space="preserve">the </w:t>
      </w:r>
      <w:r w:rsidR="001348AB" w:rsidRPr="00064185">
        <w:rPr>
          <w:rFonts w:eastAsia="Calibri"/>
          <w:i w:val="0"/>
          <w:color w:val="auto"/>
          <w:lang w:eastAsia="en-US"/>
        </w:rPr>
        <w:t>terrestrial compartment</w:t>
      </w:r>
      <w:r w:rsidR="00FC6429" w:rsidRPr="00064185">
        <w:rPr>
          <w:rFonts w:eastAsia="Calibri"/>
          <w:i w:val="0"/>
          <w:color w:val="auto"/>
          <w:lang w:eastAsia="en-US"/>
        </w:rPr>
        <w:t xml:space="preserve"> </w:t>
      </w:r>
      <w:r w:rsidR="00F96D7E" w:rsidRPr="00064185">
        <w:rPr>
          <w:i w:val="0"/>
          <w:color w:val="auto"/>
        </w:rPr>
        <w:t>to acceptable levels</w:t>
      </w:r>
      <w:r w:rsidR="001348AB" w:rsidRPr="00064185">
        <w:rPr>
          <w:rFonts w:eastAsia="Calibri"/>
          <w:i w:val="0"/>
          <w:color w:val="auto"/>
          <w:lang w:eastAsia="en-US"/>
        </w:rPr>
        <w:t>:</w:t>
      </w:r>
    </w:p>
    <w:p w14:paraId="467EF375" w14:textId="77777777" w:rsidR="007D6BB5" w:rsidRPr="00064185" w:rsidRDefault="007D6BB5" w:rsidP="00EA61D8">
      <w:pPr>
        <w:pStyle w:val="Textkrper2"/>
        <w:rPr>
          <w:rFonts w:eastAsia="Calibri"/>
          <w:i w:val="0"/>
          <w:color w:val="auto"/>
          <w:lang w:eastAsia="en-US"/>
        </w:rPr>
      </w:pPr>
    </w:p>
    <w:p w14:paraId="246661B1" w14:textId="6BD1F33F" w:rsidR="00E379EF" w:rsidRPr="00064185" w:rsidRDefault="00E379EF" w:rsidP="00F200AC">
      <w:pPr>
        <w:pStyle w:val="Textkrper2"/>
        <w:numPr>
          <w:ilvl w:val="0"/>
          <w:numId w:val="23"/>
        </w:numPr>
        <w:jc w:val="both"/>
        <w:rPr>
          <w:rFonts w:eastAsia="Calibri"/>
          <w:i w:val="0"/>
          <w:color w:val="auto"/>
          <w:lang w:eastAsia="en-US"/>
        </w:rPr>
      </w:pPr>
      <w:r w:rsidRPr="00064185">
        <w:rPr>
          <w:i w:val="0"/>
          <w:color w:val="auto"/>
        </w:rPr>
        <w:t xml:space="preserve">Apply only in areas that are not liable to submersion or becoming wet, i.e. protected </w:t>
      </w:r>
      <w:r w:rsidRPr="00064185">
        <w:rPr>
          <w:bCs/>
          <w:i w:val="0"/>
          <w:color w:val="auto"/>
        </w:rPr>
        <w:t>from rain</w:t>
      </w:r>
      <w:r w:rsidRPr="00064185">
        <w:rPr>
          <w:i w:val="0"/>
          <w:color w:val="auto"/>
        </w:rPr>
        <w:t xml:space="preserve"> floods and cleaning water</w:t>
      </w:r>
      <w:r w:rsidR="007D6BB5" w:rsidRPr="00064185">
        <w:rPr>
          <w:i w:val="0"/>
          <w:color w:val="auto"/>
        </w:rPr>
        <w:t>.</w:t>
      </w:r>
    </w:p>
    <w:p w14:paraId="52F9143B" w14:textId="10D17375" w:rsidR="00D459C3" w:rsidRPr="00064185" w:rsidRDefault="00E379EF" w:rsidP="00D459C3">
      <w:pPr>
        <w:widowControl w:val="0"/>
        <w:numPr>
          <w:ilvl w:val="0"/>
          <w:numId w:val="23"/>
        </w:numPr>
        <w:autoSpaceDE w:val="0"/>
        <w:autoSpaceDN w:val="0"/>
        <w:adjustRightInd w:val="0"/>
        <w:spacing w:before="60" w:after="60"/>
        <w:contextualSpacing/>
        <w:jc w:val="both"/>
        <w:rPr>
          <w:rFonts w:cs="Times"/>
          <w:bCs/>
          <w:szCs w:val="29"/>
        </w:rPr>
      </w:pPr>
      <w:r w:rsidRPr="00064185">
        <w:rPr>
          <w:rFonts w:cs="Arial"/>
          <w:lang w:val="en-US"/>
        </w:rPr>
        <w:t>The application is restricted to areas that are not wet cleaned</w:t>
      </w:r>
      <w:r w:rsidR="006811E1" w:rsidRPr="00064185">
        <w:rPr>
          <w:rFonts w:cs="Arial"/>
          <w:lang w:val="en-US"/>
        </w:rPr>
        <w:t>.</w:t>
      </w:r>
    </w:p>
    <w:p w14:paraId="62D5272F" w14:textId="7C5D0A07" w:rsidR="006624E0" w:rsidRPr="00064185" w:rsidRDefault="006624E0" w:rsidP="00F200AC">
      <w:pPr>
        <w:pStyle w:val="Textkrper2"/>
        <w:ind w:left="720"/>
        <w:jc w:val="both"/>
        <w:rPr>
          <w:i w:val="0"/>
          <w:color w:val="auto"/>
        </w:rPr>
      </w:pPr>
      <w:bookmarkStart w:id="1842" w:name="_Toc387245239"/>
      <w:bookmarkStart w:id="1843" w:name="_Toc387245240"/>
      <w:bookmarkStart w:id="1844" w:name="_Toc387245241"/>
      <w:bookmarkStart w:id="1845" w:name="_Toc387245244"/>
      <w:bookmarkStart w:id="1846" w:name="_Toc387245253"/>
      <w:bookmarkStart w:id="1847" w:name="_Toc389729123"/>
      <w:bookmarkStart w:id="1848" w:name="_Toc403472807"/>
      <w:bookmarkEnd w:id="1842"/>
      <w:bookmarkEnd w:id="1843"/>
      <w:bookmarkEnd w:id="1844"/>
      <w:bookmarkEnd w:id="1845"/>
      <w:bookmarkEnd w:id="1846"/>
    </w:p>
    <w:p w14:paraId="6BFB3001" w14:textId="77777777" w:rsidR="002A7E5D" w:rsidRPr="00064185" w:rsidRDefault="002A7E5D" w:rsidP="00EA61D8">
      <w:pPr>
        <w:rPr>
          <w:rFonts w:eastAsia="Calibri"/>
          <w:b/>
          <w:i/>
          <w:sz w:val="22"/>
          <w:szCs w:val="22"/>
          <w:lang w:eastAsia="en-US"/>
        </w:rPr>
      </w:pPr>
    </w:p>
    <w:p w14:paraId="49CF5DDE" w14:textId="77777777" w:rsidR="00A53EE0" w:rsidRPr="00064185" w:rsidRDefault="00A53EE0" w:rsidP="00EA61D8">
      <w:pPr>
        <w:rPr>
          <w:rFonts w:eastAsia="Calibri"/>
          <w:b/>
          <w:i/>
          <w:sz w:val="22"/>
          <w:szCs w:val="22"/>
          <w:lang w:eastAsia="en-US"/>
        </w:rPr>
      </w:pPr>
      <w:r w:rsidRPr="00064185">
        <w:rPr>
          <w:rFonts w:eastAsia="Calibri"/>
          <w:b/>
          <w:i/>
          <w:sz w:val="22"/>
          <w:szCs w:val="22"/>
          <w:lang w:eastAsia="en-US"/>
        </w:rPr>
        <w:t>Groundwater</w:t>
      </w:r>
      <w:bookmarkEnd w:id="1847"/>
      <w:bookmarkEnd w:id="1848"/>
    </w:p>
    <w:p w14:paraId="214B6EC9" w14:textId="77777777" w:rsidR="003838C2" w:rsidRPr="00064185" w:rsidRDefault="003838C2" w:rsidP="00EA61D8">
      <w:pPr>
        <w:rPr>
          <w:rFonts w:eastAsia="Calibri"/>
          <w:b/>
          <w:i/>
          <w:sz w:val="22"/>
          <w:szCs w:val="22"/>
          <w:lang w:eastAsia="en-US"/>
        </w:rPr>
      </w:pPr>
    </w:p>
    <w:p w14:paraId="0C148EEE" w14:textId="01E1A673" w:rsidR="00B22E03" w:rsidRPr="00064185" w:rsidRDefault="00B22E03" w:rsidP="00F200AC">
      <w:pPr>
        <w:spacing w:line="260" w:lineRule="atLeast"/>
        <w:jc w:val="both"/>
        <w:rPr>
          <w:szCs w:val="22"/>
        </w:rPr>
      </w:pPr>
      <w:r w:rsidRPr="00064185">
        <w:rPr>
          <w:szCs w:val="22"/>
        </w:rPr>
        <w:t xml:space="preserve">No specific reference value for </w:t>
      </w:r>
      <w:r w:rsidRPr="00064185">
        <w:rPr>
          <w:i/>
          <w:szCs w:val="22"/>
        </w:rPr>
        <w:t>lambda</w:t>
      </w:r>
      <w:r w:rsidRPr="00064185">
        <w:rPr>
          <w:i/>
        </w:rPr>
        <w:t>-</w:t>
      </w:r>
      <w:r w:rsidRPr="00064185">
        <w:t>cyhalothrin</w:t>
      </w:r>
      <w:r w:rsidRPr="00064185">
        <w:rPr>
          <w:i/>
          <w:szCs w:val="22"/>
        </w:rPr>
        <w:t xml:space="preserve"> </w:t>
      </w:r>
      <w:r w:rsidRPr="00064185">
        <w:rPr>
          <w:szCs w:val="22"/>
        </w:rPr>
        <w:t>for groundwater was established. Thu</w:t>
      </w:r>
      <w:r w:rsidR="00BC476F" w:rsidRPr="00064185">
        <w:rPr>
          <w:szCs w:val="22"/>
        </w:rPr>
        <w:t>s, the European standard value of 0.1 µg/l</w:t>
      </w:r>
      <w:r w:rsidRPr="00064185">
        <w:rPr>
          <w:szCs w:val="22"/>
        </w:rPr>
        <w:t xml:space="preserve"> for the maximum admissible concentr</w:t>
      </w:r>
      <w:r w:rsidR="007A7A63" w:rsidRPr="00064185">
        <w:rPr>
          <w:szCs w:val="22"/>
        </w:rPr>
        <w:t>ation of pesticides in drinking</w:t>
      </w:r>
      <w:r w:rsidR="003838C2" w:rsidRPr="00064185">
        <w:rPr>
          <w:szCs w:val="22"/>
        </w:rPr>
        <w:t>-</w:t>
      </w:r>
      <w:r w:rsidRPr="00064185">
        <w:rPr>
          <w:szCs w:val="22"/>
        </w:rPr>
        <w:t>water (Council Directive 98/83/EC)</w:t>
      </w:r>
      <w:r w:rsidR="007A7A63" w:rsidRPr="00064185">
        <w:rPr>
          <w:szCs w:val="22"/>
        </w:rPr>
        <w:t>,</w:t>
      </w:r>
      <w:r w:rsidR="00705A08" w:rsidRPr="00064185">
        <w:rPr>
          <w:szCs w:val="22"/>
        </w:rPr>
        <w:t xml:space="preserve"> applies</w:t>
      </w:r>
      <w:r w:rsidRPr="00064185">
        <w:rPr>
          <w:szCs w:val="22"/>
        </w:rPr>
        <w:t xml:space="preserve">. </w:t>
      </w:r>
    </w:p>
    <w:p w14:paraId="01EAC948" w14:textId="77777777" w:rsidR="0080060C" w:rsidRPr="00064185" w:rsidRDefault="0080060C" w:rsidP="00F200AC">
      <w:pPr>
        <w:spacing w:line="260" w:lineRule="atLeast"/>
        <w:jc w:val="both"/>
      </w:pPr>
    </w:p>
    <w:p w14:paraId="6580194C" w14:textId="0C19D974" w:rsidR="00B52AAB" w:rsidRPr="00064185" w:rsidRDefault="00290ABE" w:rsidP="00F200AC">
      <w:pPr>
        <w:spacing w:line="260" w:lineRule="atLeast"/>
        <w:jc w:val="both"/>
      </w:pPr>
      <w:r w:rsidRPr="00064185">
        <w:t>PEC</w:t>
      </w:r>
      <w:r w:rsidRPr="00064185">
        <w:rPr>
          <w:vertAlign w:val="subscript"/>
        </w:rPr>
        <w:t xml:space="preserve">groundwater </w:t>
      </w:r>
      <w:r w:rsidRPr="00064185">
        <w:t xml:space="preserve">values for indirect exposure of soil via sewage sludge application </w:t>
      </w:r>
      <w:r w:rsidR="00B52AAB" w:rsidRPr="00064185">
        <w:t xml:space="preserve">after </w:t>
      </w:r>
      <w:r w:rsidR="00013203" w:rsidRPr="00064185">
        <w:t xml:space="preserve">indoor </w:t>
      </w:r>
      <w:r w:rsidR="00705A08" w:rsidRPr="00064185">
        <w:t xml:space="preserve">residual </w:t>
      </w:r>
      <w:r w:rsidR="00B52AAB" w:rsidRPr="00064185">
        <w:t>treatment against ants, silverfish</w:t>
      </w:r>
      <w:r w:rsidR="008F1315" w:rsidRPr="00064185">
        <w:t>es</w:t>
      </w:r>
      <w:r w:rsidR="00B52AAB" w:rsidRPr="00064185">
        <w:t xml:space="preserve"> &amp; cockroaches</w:t>
      </w:r>
      <w:r w:rsidR="00705A08" w:rsidRPr="00064185">
        <w:t xml:space="preserve"> (weekly)</w:t>
      </w:r>
      <w:r w:rsidR="00B52AAB" w:rsidRPr="00064185">
        <w:t xml:space="preserve"> and woodlice </w:t>
      </w:r>
      <w:r w:rsidR="00705A08" w:rsidRPr="00064185">
        <w:t xml:space="preserve">&amp; cockroaches (twice a year) </w:t>
      </w:r>
      <w:r w:rsidRPr="00064185">
        <w:t xml:space="preserve">were </w:t>
      </w:r>
      <w:r w:rsidR="00F344FF" w:rsidRPr="00064185">
        <w:t>8</w:t>
      </w:r>
      <w:r w:rsidRPr="00064185">
        <w:t>.</w:t>
      </w:r>
      <w:r w:rsidR="00F344FF" w:rsidRPr="00064185">
        <w:t>72E-4</w:t>
      </w:r>
      <w:r w:rsidR="00B52AAB" w:rsidRPr="00064185">
        <w:t xml:space="preserve"> µg/l, </w:t>
      </w:r>
      <w:r w:rsidR="00705A08" w:rsidRPr="00064185">
        <w:t>6</w:t>
      </w:r>
      <w:r w:rsidR="00B52AAB" w:rsidRPr="00064185">
        <w:t>.</w:t>
      </w:r>
      <w:r w:rsidR="00705A08" w:rsidRPr="00064185">
        <w:t>57</w:t>
      </w:r>
      <w:r w:rsidR="00B52AAB" w:rsidRPr="00064185">
        <w:t xml:space="preserve">E-3 µg/l and </w:t>
      </w:r>
      <w:r w:rsidR="00705A08" w:rsidRPr="00064185">
        <w:t>4</w:t>
      </w:r>
      <w:r w:rsidR="00B52AAB" w:rsidRPr="00064185">
        <w:t>.</w:t>
      </w:r>
      <w:r w:rsidR="00F344FF" w:rsidRPr="00064185">
        <w:t>8</w:t>
      </w:r>
      <w:r w:rsidR="00705A08" w:rsidRPr="00064185">
        <w:t>5</w:t>
      </w:r>
      <w:r w:rsidR="00B52AAB" w:rsidRPr="00064185">
        <w:t>E-4 µg/l, respectively.</w:t>
      </w:r>
      <w:r w:rsidR="00C813E8" w:rsidRPr="00064185">
        <w:t xml:space="preserve"> </w:t>
      </w:r>
    </w:p>
    <w:p w14:paraId="10358D79" w14:textId="77777777" w:rsidR="0080060C" w:rsidRPr="00064185" w:rsidRDefault="0080060C" w:rsidP="00F200AC">
      <w:pPr>
        <w:spacing w:line="260" w:lineRule="atLeast"/>
        <w:jc w:val="both"/>
      </w:pPr>
    </w:p>
    <w:p w14:paraId="1F571439" w14:textId="0BD7E218" w:rsidR="00705A08" w:rsidRPr="00064185" w:rsidRDefault="00705A08" w:rsidP="00F200AC">
      <w:pPr>
        <w:spacing w:line="260" w:lineRule="atLeast"/>
        <w:jc w:val="both"/>
      </w:pPr>
      <w:r w:rsidRPr="00064185">
        <w:t xml:space="preserve">For indirect exposure of soil via sludge application after indoor direct treatment of target organisms </w:t>
      </w:r>
      <w:r w:rsidR="002F4FDA" w:rsidRPr="00064185">
        <w:t>PEC</w:t>
      </w:r>
      <w:r w:rsidR="002F4FDA" w:rsidRPr="00064185">
        <w:rPr>
          <w:vertAlign w:val="subscript"/>
        </w:rPr>
        <w:t xml:space="preserve">groundwater </w:t>
      </w:r>
      <w:r w:rsidR="002F4FDA" w:rsidRPr="00064185">
        <w:t>values were 8.08E-3 µg/l for silverfish</w:t>
      </w:r>
      <w:r w:rsidR="008F1315" w:rsidRPr="00064185">
        <w:t>es</w:t>
      </w:r>
      <w:r w:rsidR="002F4FDA" w:rsidRPr="00064185">
        <w:t xml:space="preserve"> &amp; cockroaches (weekly), 6.00E-4 µg/l for cockroaches (twice a year) and </w:t>
      </w:r>
      <w:r w:rsidR="0080060C" w:rsidRPr="00064185">
        <w:t>8.24E-4 µg/l for woodlice (twice a year).</w:t>
      </w:r>
    </w:p>
    <w:p w14:paraId="201B1992" w14:textId="77777777" w:rsidR="0080060C" w:rsidRPr="00064185" w:rsidRDefault="0080060C" w:rsidP="00F200AC">
      <w:pPr>
        <w:spacing w:line="260" w:lineRule="atLeast"/>
        <w:jc w:val="both"/>
      </w:pPr>
    </w:p>
    <w:p w14:paraId="400753BA" w14:textId="4AB0BD98" w:rsidR="003838C2" w:rsidRPr="00064185" w:rsidRDefault="00B52AAB" w:rsidP="00F200AC">
      <w:pPr>
        <w:spacing w:line="260" w:lineRule="atLeast"/>
        <w:jc w:val="both"/>
      </w:pPr>
      <w:r w:rsidRPr="00064185">
        <w:t>The PEC</w:t>
      </w:r>
      <w:r w:rsidRPr="00064185">
        <w:rPr>
          <w:vertAlign w:val="subscript"/>
        </w:rPr>
        <w:t xml:space="preserve">groundwater </w:t>
      </w:r>
      <w:r w:rsidRPr="00064185">
        <w:t xml:space="preserve">value for indirect exposure of soil via sludge application after </w:t>
      </w:r>
      <w:r w:rsidR="00013203" w:rsidRPr="00064185">
        <w:t xml:space="preserve">outdoor </w:t>
      </w:r>
      <w:r w:rsidRPr="00064185">
        <w:t xml:space="preserve">treatment against ants (urban area) was </w:t>
      </w:r>
      <w:r w:rsidR="00F344FF" w:rsidRPr="00064185">
        <w:t>6</w:t>
      </w:r>
      <w:r w:rsidRPr="00064185">
        <w:t>.</w:t>
      </w:r>
      <w:r w:rsidR="00F344FF" w:rsidRPr="00064185">
        <w:t>91E-4</w:t>
      </w:r>
      <w:r w:rsidRPr="00064185">
        <w:t xml:space="preserve"> µg/l.</w:t>
      </w:r>
      <w:r w:rsidRPr="00064185">
        <w:rPr>
          <w:szCs w:val="22"/>
        </w:rPr>
        <w:t xml:space="preserve"> For direct exposure of soil after treatment of ants</w:t>
      </w:r>
      <w:r w:rsidR="003838C2" w:rsidRPr="00064185">
        <w:rPr>
          <w:szCs w:val="22"/>
        </w:rPr>
        <w:t xml:space="preserve"> (rural area) the</w:t>
      </w:r>
      <w:r w:rsidR="003838C2" w:rsidRPr="00064185">
        <w:t xml:space="preserve"> PEC</w:t>
      </w:r>
      <w:r w:rsidR="003838C2" w:rsidRPr="00064185">
        <w:rPr>
          <w:vertAlign w:val="subscript"/>
        </w:rPr>
        <w:t xml:space="preserve">groundwater </w:t>
      </w:r>
      <w:r w:rsidR="003838C2" w:rsidRPr="00064185">
        <w:t>value</w:t>
      </w:r>
      <w:r w:rsidR="0080060C" w:rsidRPr="00064185">
        <w:t xml:space="preserve"> </w:t>
      </w:r>
      <w:r w:rsidR="003838C2" w:rsidRPr="00064185">
        <w:t>was 3.03E-3 µg/l.</w:t>
      </w:r>
      <w:r w:rsidR="003838C2" w:rsidRPr="00064185">
        <w:rPr>
          <w:szCs w:val="22"/>
        </w:rPr>
        <w:t xml:space="preserve">  </w:t>
      </w:r>
      <w:r w:rsidRPr="00064185">
        <w:t xml:space="preserve"> </w:t>
      </w:r>
    </w:p>
    <w:p w14:paraId="79665BF6" w14:textId="77777777" w:rsidR="0080060C" w:rsidRPr="00064185" w:rsidRDefault="0080060C" w:rsidP="00F200AC">
      <w:pPr>
        <w:spacing w:line="260" w:lineRule="atLeast"/>
        <w:jc w:val="both"/>
        <w:rPr>
          <w:szCs w:val="22"/>
        </w:rPr>
      </w:pPr>
    </w:p>
    <w:p w14:paraId="71A72639" w14:textId="7FCA8FDD" w:rsidR="0080060C" w:rsidRPr="00064185" w:rsidRDefault="0080060C" w:rsidP="00F200AC">
      <w:pPr>
        <w:spacing w:line="260" w:lineRule="atLeast"/>
        <w:jc w:val="both"/>
        <w:rPr>
          <w:b/>
          <w:szCs w:val="22"/>
        </w:rPr>
      </w:pPr>
      <w:r w:rsidRPr="00064185">
        <w:rPr>
          <w:b/>
          <w:szCs w:val="22"/>
        </w:rPr>
        <w:t>Conclusion:</w:t>
      </w:r>
    </w:p>
    <w:p w14:paraId="28E0122B" w14:textId="1DEB0B76" w:rsidR="00C93C22" w:rsidRPr="00064185" w:rsidRDefault="003838C2" w:rsidP="00F200AC">
      <w:pPr>
        <w:spacing w:line="260" w:lineRule="atLeast"/>
        <w:jc w:val="both"/>
      </w:pPr>
      <w:r w:rsidRPr="00064185">
        <w:rPr>
          <w:szCs w:val="22"/>
        </w:rPr>
        <w:t xml:space="preserve">All </w:t>
      </w:r>
      <w:r w:rsidR="0080060C" w:rsidRPr="00064185">
        <w:rPr>
          <w:szCs w:val="22"/>
        </w:rPr>
        <w:t xml:space="preserve">calculated </w:t>
      </w:r>
      <w:r w:rsidR="0080060C" w:rsidRPr="00064185">
        <w:t>PEC</w:t>
      </w:r>
      <w:r w:rsidR="0080060C" w:rsidRPr="00064185">
        <w:rPr>
          <w:vertAlign w:val="subscript"/>
        </w:rPr>
        <w:t xml:space="preserve">groundwater </w:t>
      </w:r>
      <w:r w:rsidR="0080060C" w:rsidRPr="00064185">
        <w:t xml:space="preserve">values </w:t>
      </w:r>
      <w:r w:rsidRPr="00064185">
        <w:rPr>
          <w:szCs w:val="22"/>
        </w:rPr>
        <w:t xml:space="preserve">are </w:t>
      </w:r>
      <w:r w:rsidR="00290ABE" w:rsidRPr="00064185">
        <w:rPr>
          <w:szCs w:val="22"/>
        </w:rPr>
        <w:t>&lt;</w:t>
      </w:r>
      <w:r w:rsidR="006624E0" w:rsidRPr="00064185">
        <w:rPr>
          <w:szCs w:val="22"/>
        </w:rPr>
        <w:t>0.1 µg/l</w:t>
      </w:r>
      <w:r w:rsidR="008D5091" w:rsidRPr="00064185">
        <w:rPr>
          <w:szCs w:val="22"/>
        </w:rPr>
        <w:t>,</w:t>
      </w:r>
      <w:r w:rsidR="00E95410" w:rsidRPr="00064185">
        <w:rPr>
          <w:szCs w:val="22"/>
        </w:rPr>
        <w:t xml:space="preserve"> indicating </w:t>
      </w:r>
      <w:r w:rsidR="00B22E03" w:rsidRPr="00064185">
        <w:rPr>
          <w:szCs w:val="22"/>
        </w:rPr>
        <w:t xml:space="preserve">acceptable </w:t>
      </w:r>
      <w:r w:rsidR="00B22E03" w:rsidRPr="00064185">
        <w:t>risk for groundwater.</w:t>
      </w:r>
    </w:p>
    <w:p w14:paraId="35C7285B" w14:textId="77777777" w:rsidR="002A7E5D" w:rsidRPr="00064185" w:rsidRDefault="002A7E5D" w:rsidP="00EA61D8">
      <w:pPr>
        <w:spacing w:line="260" w:lineRule="atLeast"/>
      </w:pPr>
    </w:p>
    <w:p w14:paraId="032C9595" w14:textId="77777777" w:rsidR="002A7E5D" w:rsidRPr="00064185" w:rsidRDefault="002A7E5D" w:rsidP="00EA61D8">
      <w:pPr>
        <w:spacing w:line="260" w:lineRule="atLeast"/>
      </w:pPr>
    </w:p>
    <w:p w14:paraId="4F709324" w14:textId="77777777" w:rsidR="00A53EE0" w:rsidRPr="00064185" w:rsidRDefault="00A53EE0" w:rsidP="00EA61D8">
      <w:pPr>
        <w:rPr>
          <w:rFonts w:eastAsia="Calibri"/>
          <w:b/>
          <w:i/>
          <w:sz w:val="22"/>
          <w:szCs w:val="22"/>
          <w:lang w:eastAsia="en-US"/>
        </w:rPr>
      </w:pPr>
      <w:bookmarkStart w:id="1849" w:name="_Toc377651054"/>
      <w:bookmarkStart w:id="1850" w:name="_Toc389729124"/>
      <w:bookmarkStart w:id="1851" w:name="_Toc403472808"/>
      <w:r w:rsidRPr="00064185">
        <w:rPr>
          <w:rFonts w:eastAsia="Calibri"/>
          <w:b/>
          <w:i/>
          <w:sz w:val="22"/>
          <w:szCs w:val="22"/>
          <w:lang w:eastAsia="en-US"/>
        </w:rPr>
        <w:t>Primary and secondary poisoning</w:t>
      </w:r>
      <w:bookmarkEnd w:id="1849"/>
      <w:bookmarkEnd w:id="1850"/>
      <w:bookmarkEnd w:id="1851"/>
    </w:p>
    <w:p w14:paraId="7F94C78B" w14:textId="77777777" w:rsidR="00894BE2" w:rsidRPr="00064185" w:rsidRDefault="00894BE2" w:rsidP="00EA61D8">
      <w:pPr>
        <w:rPr>
          <w:rFonts w:eastAsia="Calibri"/>
          <w:u w:val="single"/>
          <w:lang w:eastAsia="en-US"/>
        </w:rPr>
      </w:pPr>
    </w:p>
    <w:p w14:paraId="5213D5D5" w14:textId="77777777" w:rsidR="00A53EE0" w:rsidRPr="00064185" w:rsidRDefault="00A53EE0" w:rsidP="00F200AC">
      <w:pPr>
        <w:jc w:val="both"/>
        <w:rPr>
          <w:rFonts w:eastAsia="Calibri"/>
          <w:u w:val="single"/>
          <w:lang w:eastAsia="en-US"/>
        </w:rPr>
      </w:pPr>
      <w:r w:rsidRPr="00064185">
        <w:rPr>
          <w:rFonts w:eastAsia="Calibri"/>
          <w:u w:val="single"/>
          <w:lang w:eastAsia="en-US"/>
        </w:rPr>
        <w:t>Primary poisoning</w:t>
      </w:r>
    </w:p>
    <w:p w14:paraId="5DFF22C5" w14:textId="77777777" w:rsidR="00A53EE0" w:rsidRPr="00064185" w:rsidRDefault="00A53EE0" w:rsidP="00F200AC">
      <w:pPr>
        <w:jc w:val="both"/>
        <w:rPr>
          <w:lang w:eastAsia="en-US"/>
        </w:rPr>
      </w:pPr>
    </w:p>
    <w:p w14:paraId="4D81DFDF" w14:textId="09047704" w:rsidR="00A53EE0" w:rsidRPr="00064185" w:rsidRDefault="007F1E07" w:rsidP="00F200AC">
      <w:pPr>
        <w:spacing w:before="60" w:line="276" w:lineRule="auto"/>
        <w:jc w:val="both"/>
      </w:pPr>
      <w:r w:rsidRPr="00064185">
        <w:t>Due to</w:t>
      </w:r>
      <w:r w:rsidR="00B52897" w:rsidRPr="00064185">
        <w:t xml:space="preserve"> spray application, primary poisoning of birds</w:t>
      </w:r>
      <w:r w:rsidR="005646A0" w:rsidRPr="00064185">
        <w:t xml:space="preserve"> or mammals</w:t>
      </w:r>
      <w:r w:rsidR="004F213A" w:rsidRPr="00064185">
        <w:t xml:space="preserve"> </w:t>
      </w:r>
      <w:r w:rsidR="00B52897" w:rsidRPr="00064185">
        <w:t>is not relevant.</w:t>
      </w:r>
    </w:p>
    <w:p w14:paraId="376B33C3" w14:textId="77777777" w:rsidR="00894BE2" w:rsidRPr="00064185" w:rsidRDefault="00894BE2" w:rsidP="00F200AC">
      <w:pPr>
        <w:jc w:val="both"/>
        <w:rPr>
          <w:rFonts w:eastAsia="Calibri"/>
          <w:u w:val="single"/>
          <w:lang w:eastAsia="en-US"/>
        </w:rPr>
      </w:pPr>
    </w:p>
    <w:p w14:paraId="0A76515F" w14:textId="77777777" w:rsidR="00963AE7" w:rsidRPr="00064185" w:rsidRDefault="00A53EE0" w:rsidP="00F200AC">
      <w:pPr>
        <w:jc w:val="both"/>
        <w:rPr>
          <w:rFonts w:eastAsia="Calibri"/>
          <w:u w:val="single"/>
          <w:lang w:eastAsia="en-US"/>
        </w:rPr>
      </w:pPr>
      <w:r w:rsidRPr="00064185">
        <w:rPr>
          <w:rFonts w:eastAsia="Calibri"/>
          <w:u w:val="single"/>
          <w:lang w:eastAsia="en-US"/>
        </w:rPr>
        <w:t>Secondary poisoning</w:t>
      </w:r>
    </w:p>
    <w:p w14:paraId="057FC4A2" w14:textId="77777777" w:rsidR="00CE2510" w:rsidRPr="00064185" w:rsidRDefault="00CE2510" w:rsidP="00F200AC">
      <w:pPr>
        <w:jc w:val="both"/>
        <w:rPr>
          <w:rFonts w:eastAsia="Calibri"/>
          <w:u w:val="single"/>
          <w:lang w:eastAsia="en-US"/>
        </w:rPr>
      </w:pPr>
    </w:p>
    <w:p w14:paraId="553C2340" w14:textId="20A49919" w:rsidR="004C0B61" w:rsidRPr="00064185" w:rsidRDefault="004C0B61" w:rsidP="00F200AC">
      <w:pPr>
        <w:spacing w:line="260" w:lineRule="atLeast"/>
        <w:jc w:val="both"/>
      </w:pPr>
      <w:r w:rsidRPr="00064185">
        <w:t>According to the ESD for PT 18, secondary poisoning is also defined as an “indirect</w:t>
      </w:r>
      <w:r w:rsidR="007F1E07" w:rsidRPr="00064185">
        <w:t xml:space="preserve"> </w:t>
      </w:r>
      <w:r w:rsidRPr="00064185">
        <w:t xml:space="preserve">exposure scenario” whereas a “direct exposure” corresponds to primary poisoning. </w:t>
      </w:r>
    </w:p>
    <w:p w14:paraId="45A2D7A2" w14:textId="77777777" w:rsidR="00AC73BD" w:rsidRPr="00064185" w:rsidRDefault="004C0B61" w:rsidP="00F200AC">
      <w:pPr>
        <w:spacing w:line="260" w:lineRule="atLeast"/>
        <w:jc w:val="both"/>
      </w:pPr>
      <w:r w:rsidRPr="00064185">
        <w:t xml:space="preserve">Thus, birds and mammals may be poisoned secondarily through the ingestion of contaminated ants. </w:t>
      </w:r>
    </w:p>
    <w:p w14:paraId="0F523FED" w14:textId="30B12E2C" w:rsidR="00A27721" w:rsidRPr="00064185" w:rsidRDefault="001476F6" w:rsidP="00F200AC">
      <w:pPr>
        <w:jc w:val="both"/>
        <w:rPr>
          <w:rFonts w:eastAsia="Calibri"/>
          <w:lang w:eastAsia="en-US"/>
        </w:rPr>
      </w:pPr>
      <w:r w:rsidRPr="00064185">
        <w:rPr>
          <w:rFonts w:eastAsia="Calibri"/>
          <w:lang w:eastAsia="en-US"/>
        </w:rPr>
        <w:t>Insectivorous mammals always a</w:t>
      </w:r>
      <w:r w:rsidR="007F1E07" w:rsidRPr="00064185">
        <w:rPr>
          <w:rFonts w:eastAsia="Calibri"/>
          <w:lang w:eastAsia="en-US"/>
        </w:rPr>
        <w:t>re assumed to eat large insects</w:t>
      </w:r>
      <w:r w:rsidRPr="00064185">
        <w:rPr>
          <w:rFonts w:eastAsia="Calibri"/>
          <w:lang w:eastAsia="en-US"/>
        </w:rPr>
        <w:t xml:space="preserve"> therefore an assessment for mammals is not indicated in this context. </w:t>
      </w:r>
    </w:p>
    <w:p w14:paraId="015890D8" w14:textId="257AF239" w:rsidR="007330A0" w:rsidRPr="00064185" w:rsidRDefault="001476F6" w:rsidP="00F200AC">
      <w:pPr>
        <w:jc w:val="both"/>
        <w:rPr>
          <w:rFonts w:eastAsia="Calibri"/>
          <w:lang w:eastAsia="en-US"/>
        </w:rPr>
      </w:pPr>
      <w:r w:rsidRPr="00064185">
        <w:rPr>
          <w:rFonts w:eastAsia="Calibri"/>
          <w:lang w:eastAsia="en-US"/>
        </w:rPr>
        <w:lastRenderedPageBreak/>
        <w:t>Small birds are ass</w:t>
      </w:r>
      <w:r w:rsidR="00AC73BD" w:rsidRPr="00064185">
        <w:rPr>
          <w:rFonts w:eastAsia="Calibri"/>
          <w:lang w:eastAsia="en-US"/>
        </w:rPr>
        <w:t>umed to prefer small insects, thus</w:t>
      </w:r>
      <w:r w:rsidRPr="00064185">
        <w:rPr>
          <w:rFonts w:eastAsia="Calibri"/>
          <w:lang w:eastAsia="en-US"/>
        </w:rPr>
        <w:t xml:space="preserve"> the residues for small insects are the default values f</w:t>
      </w:r>
      <w:r w:rsidR="008F1315" w:rsidRPr="00064185">
        <w:rPr>
          <w:rFonts w:eastAsia="Calibri"/>
          <w:lang w:eastAsia="en-US"/>
        </w:rPr>
        <w:t>or</w:t>
      </w:r>
      <w:r w:rsidRPr="00064185">
        <w:rPr>
          <w:rFonts w:eastAsia="Calibri"/>
          <w:lang w:eastAsia="en-US"/>
        </w:rPr>
        <w:t xml:space="preserve"> birds in order to cover the worst case.</w:t>
      </w:r>
      <w:r w:rsidR="00AC73BD" w:rsidRPr="00064185">
        <w:rPr>
          <w:rFonts w:eastAsia="Calibri"/>
          <w:lang w:eastAsia="en-US"/>
        </w:rPr>
        <w:t xml:space="preserve"> Thus, acute and short term poisoning of birds through ingestion of contaminated ants from treated surfaces were assessed. </w:t>
      </w:r>
    </w:p>
    <w:p w14:paraId="6C1071B0" w14:textId="7E41F971" w:rsidR="00CC5788" w:rsidRPr="00064185" w:rsidRDefault="00CC5788" w:rsidP="00F200AC">
      <w:pPr>
        <w:jc w:val="both"/>
      </w:pPr>
      <w:r w:rsidRPr="00064185">
        <w:rPr>
          <w:rFonts w:eastAsia="Calibri"/>
          <w:lang w:eastAsia="en-US"/>
        </w:rPr>
        <w:t>Additionally poisoning of birds and mammals</w:t>
      </w:r>
      <w:r w:rsidR="008F1315" w:rsidRPr="00064185">
        <w:rPr>
          <w:rFonts w:eastAsia="Calibri"/>
          <w:lang w:eastAsia="en-US"/>
        </w:rPr>
        <w:t>,</w:t>
      </w:r>
      <w:r w:rsidRPr="00064185">
        <w:rPr>
          <w:rFonts w:eastAsia="Calibri"/>
          <w:lang w:eastAsia="en-US"/>
        </w:rPr>
        <w:t xml:space="preserve"> through consumption of </w:t>
      </w:r>
      <w:r w:rsidR="008F1315" w:rsidRPr="00064185">
        <w:rPr>
          <w:rFonts w:eastAsia="Calibri"/>
          <w:lang w:eastAsia="en-US"/>
        </w:rPr>
        <w:t xml:space="preserve">fish or </w:t>
      </w:r>
      <w:r w:rsidRPr="00064185">
        <w:rPr>
          <w:rFonts w:eastAsia="Calibri"/>
          <w:lang w:eastAsia="en-US"/>
        </w:rPr>
        <w:t xml:space="preserve">earthworms, which were </w:t>
      </w:r>
      <w:r w:rsidR="008F1315" w:rsidRPr="00064185">
        <w:rPr>
          <w:rFonts w:eastAsia="Calibri"/>
          <w:lang w:eastAsia="en-US"/>
        </w:rPr>
        <w:t xml:space="preserve">contaminated by poisoned </w:t>
      </w:r>
      <w:r w:rsidR="00B0458A" w:rsidRPr="00064185">
        <w:rPr>
          <w:rFonts w:eastAsia="Calibri"/>
          <w:lang w:eastAsia="en-US"/>
        </w:rPr>
        <w:t xml:space="preserve">surface </w:t>
      </w:r>
      <w:r w:rsidR="008F1315" w:rsidRPr="00064185">
        <w:rPr>
          <w:rFonts w:eastAsia="Calibri"/>
          <w:lang w:eastAsia="en-US"/>
        </w:rPr>
        <w:t xml:space="preserve">water or soil, </w:t>
      </w:r>
      <w:r w:rsidR="007330A0" w:rsidRPr="00064185">
        <w:rPr>
          <w:rFonts w:eastAsia="Calibri"/>
          <w:lang w:eastAsia="en-US"/>
        </w:rPr>
        <w:t>was calculated</w:t>
      </w:r>
      <w:r w:rsidR="00280DA0" w:rsidRPr="00064185">
        <w:rPr>
          <w:rFonts w:eastAsia="Calibri"/>
          <w:lang w:eastAsia="en-US"/>
        </w:rPr>
        <w:t>.</w:t>
      </w:r>
    </w:p>
    <w:p w14:paraId="3B114AF8" w14:textId="77777777" w:rsidR="004C0B61" w:rsidRPr="00064185" w:rsidRDefault="004C0B61" w:rsidP="00F200AC">
      <w:pPr>
        <w:spacing w:line="260" w:lineRule="atLeast"/>
        <w:jc w:val="both"/>
        <w:rPr>
          <w:i/>
        </w:rPr>
      </w:pPr>
    </w:p>
    <w:p w14:paraId="2175E496" w14:textId="4EC9AC37" w:rsidR="004C0B61" w:rsidRPr="00064185" w:rsidRDefault="004C0B61" w:rsidP="00F200AC">
      <w:pPr>
        <w:spacing w:line="260" w:lineRule="atLeast"/>
        <w:jc w:val="both"/>
      </w:pPr>
      <w:r w:rsidRPr="00064185">
        <w:t>The calculated chronic Predicted No Effect Concentrations (PNEC</w:t>
      </w:r>
      <w:r w:rsidRPr="00064185">
        <w:rPr>
          <w:vertAlign w:val="subscript"/>
        </w:rPr>
        <w:t>oral</w:t>
      </w:r>
      <w:r w:rsidRPr="00064185">
        <w:t>) for birds and mamma</w:t>
      </w:r>
      <w:r w:rsidR="00FA06B6" w:rsidRPr="00064185">
        <w:t>l</w:t>
      </w:r>
      <w:r w:rsidR="008F1315" w:rsidRPr="00064185">
        <w:t>s</w:t>
      </w:r>
      <w:r w:rsidRPr="00064185">
        <w:t xml:space="preserve"> </w:t>
      </w:r>
      <w:r w:rsidR="00A71DD0" w:rsidRPr="00064185">
        <w:t>we</w:t>
      </w:r>
      <w:r w:rsidRPr="00064185">
        <w:t xml:space="preserve">re taken from </w:t>
      </w:r>
      <w:r w:rsidR="00280DA0" w:rsidRPr="00064185">
        <w:t xml:space="preserve">Doc II-C of </w:t>
      </w:r>
      <w:r w:rsidRPr="00064185">
        <w:t xml:space="preserve">the </w:t>
      </w:r>
      <w:r w:rsidR="00280DA0" w:rsidRPr="00064185">
        <w:t xml:space="preserve">CAR </w:t>
      </w:r>
      <w:r w:rsidRPr="00064185">
        <w:t xml:space="preserve">of </w:t>
      </w:r>
      <w:r w:rsidRPr="00064185">
        <w:rPr>
          <w:i/>
        </w:rPr>
        <w:t>lambda</w:t>
      </w:r>
      <w:r w:rsidRPr="00064185">
        <w:t>-cyhalothrin (</w:t>
      </w:r>
      <w:r w:rsidR="00EF3308" w:rsidRPr="00064185">
        <w:t xml:space="preserve">SE, </w:t>
      </w:r>
      <w:r w:rsidRPr="00064185">
        <w:t>2011):</w:t>
      </w:r>
      <w:r w:rsidR="00EF3308" w:rsidRPr="00064185">
        <w:t xml:space="preserve"> </w:t>
      </w:r>
    </w:p>
    <w:p w14:paraId="790AB3A2" w14:textId="267107C8" w:rsidR="00EF3308" w:rsidRPr="00064185" w:rsidRDefault="00EF3308" w:rsidP="00F200AC">
      <w:pPr>
        <w:jc w:val="both"/>
      </w:pPr>
      <w:r w:rsidRPr="00064185">
        <w:t>PNEC</w:t>
      </w:r>
      <w:r w:rsidRPr="00064185">
        <w:rPr>
          <w:vertAlign w:val="subscript"/>
        </w:rPr>
        <w:t>oral</w:t>
      </w:r>
      <w:r w:rsidR="00B204B0" w:rsidRPr="00064185">
        <w:t xml:space="preserve"> </w:t>
      </w:r>
      <w:r w:rsidR="00A71DD0" w:rsidRPr="00064185">
        <w:t>b</w:t>
      </w:r>
      <w:r w:rsidR="00B204B0" w:rsidRPr="00064185">
        <w:t>irds</w:t>
      </w:r>
      <w:r w:rsidR="00A71DD0" w:rsidRPr="00064185">
        <w:t>:</w:t>
      </w:r>
      <w:r w:rsidR="00B204B0" w:rsidRPr="00064185">
        <w:t xml:space="preserve"> </w:t>
      </w:r>
      <w:r w:rsidR="00280DA0" w:rsidRPr="00064185">
        <w:t>0</w:t>
      </w:r>
      <w:r w:rsidR="00A16BC0" w:rsidRPr="00064185">
        <w:t>.</w:t>
      </w:r>
      <w:r w:rsidR="00280DA0" w:rsidRPr="00064185">
        <w:t>6 mg ai/kg bw/d</w:t>
      </w:r>
      <w:r w:rsidR="00B204B0" w:rsidRPr="00064185">
        <w:t xml:space="preserve">, </w:t>
      </w:r>
      <w:r w:rsidR="00A71DD0" w:rsidRPr="00064185">
        <w:t>PNEC</w:t>
      </w:r>
      <w:r w:rsidR="00A71DD0" w:rsidRPr="00064185">
        <w:rPr>
          <w:vertAlign w:val="subscript"/>
        </w:rPr>
        <w:t>oral</w:t>
      </w:r>
      <w:r w:rsidR="00A71DD0" w:rsidRPr="00064185">
        <w:t xml:space="preserve"> </w:t>
      </w:r>
      <w:r w:rsidR="00B204B0" w:rsidRPr="00064185">
        <w:t>mammals</w:t>
      </w:r>
      <w:r w:rsidR="00A71DD0" w:rsidRPr="00064185">
        <w:t>:</w:t>
      </w:r>
      <w:r w:rsidRPr="00064185">
        <w:t xml:space="preserve"> </w:t>
      </w:r>
      <w:r w:rsidR="00280DA0" w:rsidRPr="00064185">
        <w:t>0.12</w:t>
      </w:r>
      <w:r w:rsidR="00000510" w:rsidRPr="00064185">
        <w:t xml:space="preserve"> </w:t>
      </w:r>
      <w:r w:rsidRPr="00064185">
        <w:t>mg/</w:t>
      </w:r>
      <w:r w:rsidR="00280DA0" w:rsidRPr="00064185">
        <w:t>mg ai/kg bw/d</w:t>
      </w:r>
      <w:r w:rsidRPr="00064185">
        <w:t xml:space="preserve"> </w:t>
      </w:r>
    </w:p>
    <w:p w14:paraId="202344DB" w14:textId="099B1196" w:rsidR="00CC5788" w:rsidRPr="00064185" w:rsidRDefault="00CC5788" w:rsidP="00F200AC">
      <w:pPr>
        <w:jc w:val="both"/>
      </w:pPr>
    </w:p>
    <w:p w14:paraId="32B9FC1E" w14:textId="07F45F17" w:rsidR="00CC5788" w:rsidRPr="00064185" w:rsidRDefault="00A71DD0" w:rsidP="00F200AC">
      <w:pPr>
        <w:jc w:val="both"/>
      </w:pPr>
      <w:r w:rsidRPr="00064185">
        <w:t>R</w:t>
      </w:r>
      <w:r w:rsidR="00CC5788" w:rsidRPr="00064185">
        <w:t xml:space="preserve">isk ratios for consumption of directly exposed diet (ants and earthworms) </w:t>
      </w:r>
      <w:r w:rsidR="00125C6A" w:rsidRPr="00064185">
        <w:t>w</w:t>
      </w:r>
      <w:r w:rsidRPr="00064185">
        <w:t>ere</w:t>
      </w:r>
      <w:r w:rsidR="00125C6A" w:rsidRPr="00064185">
        <w:t xml:space="preserve"> </w:t>
      </w:r>
      <w:r w:rsidRPr="00064185">
        <w:t>calculated</w:t>
      </w:r>
      <w:r w:rsidR="00125C6A" w:rsidRPr="00064185">
        <w:t xml:space="preserve"> using </w:t>
      </w:r>
      <w:r w:rsidR="00CC5788" w:rsidRPr="00064185">
        <w:t>ETE values, in order to avoid conversion of the PNEC values to mg/kg</w:t>
      </w:r>
      <w:r w:rsidR="00CC5788" w:rsidRPr="00064185">
        <w:rPr>
          <w:vertAlign w:val="subscript"/>
        </w:rPr>
        <w:t>bw</w:t>
      </w:r>
      <w:r w:rsidR="00CC5788" w:rsidRPr="00064185">
        <w:t xml:space="preserve">/d. The risk ratios are therefore expressed as </w:t>
      </w:r>
      <w:r w:rsidR="00000510" w:rsidRPr="00064185">
        <w:t>ETE/PNEC</w:t>
      </w:r>
      <w:r w:rsidR="00CC5788" w:rsidRPr="00064185">
        <w:t xml:space="preserve"> values.</w:t>
      </w:r>
    </w:p>
    <w:tbl>
      <w:tblPr>
        <w:tblW w:w="9430" w:type="dxa"/>
        <w:tblBorders>
          <w:top w:val="nil"/>
          <w:left w:val="nil"/>
          <w:bottom w:val="nil"/>
          <w:right w:val="nil"/>
        </w:tblBorders>
        <w:tblLayout w:type="fixed"/>
        <w:tblLook w:val="0000" w:firstRow="0" w:lastRow="0" w:firstColumn="0" w:lastColumn="0" w:noHBand="0" w:noVBand="0"/>
      </w:tblPr>
      <w:tblGrid>
        <w:gridCol w:w="250"/>
        <w:gridCol w:w="1400"/>
        <w:gridCol w:w="1650"/>
        <w:gridCol w:w="777"/>
        <w:gridCol w:w="873"/>
        <w:gridCol w:w="1650"/>
        <w:gridCol w:w="171"/>
        <w:gridCol w:w="1479"/>
        <w:gridCol w:w="1180"/>
      </w:tblGrid>
      <w:tr w:rsidR="00064185" w:rsidRPr="00064185" w14:paraId="42C47B17" w14:textId="77777777" w:rsidTr="003509ED">
        <w:trPr>
          <w:gridAfter w:val="1"/>
          <w:wAfter w:w="1180" w:type="dxa"/>
          <w:trHeight w:val="320"/>
        </w:trPr>
        <w:tc>
          <w:tcPr>
            <w:tcW w:w="1650" w:type="dxa"/>
            <w:gridSpan w:val="2"/>
          </w:tcPr>
          <w:p w14:paraId="19AE0E54" w14:textId="77777777" w:rsidR="005F7EB1" w:rsidRPr="00064185" w:rsidRDefault="005F7EB1" w:rsidP="00EA61D8">
            <w:pPr>
              <w:pStyle w:val="Default"/>
              <w:rPr>
                <w:rFonts w:ascii="Verdana" w:hAnsi="Verdana"/>
                <w:color w:val="auto"/>
                <w:sz w:val="20"/>
                <w:szCs w:val="20"/>
                <w:lang w:eastAsia="de-DE"/>
              </w:rPr>
            </w:pPr>
          </w:p>
        </w:tc>
        <w:tc>
          <w:tcPr>
            <w:tcW w:w="1650" w:type="dxa"/>
          </w:tcPr>
          <w:p w14:paraId="45687EDD" w14:textId="77777777" w:rsidR="005F7EB1" w:rsidRPr="00064185" w:rsidRDefault="005F7EB1" w:rsidP="00EA61D8">
            <w:pPr>
              <w:pStyle w:val="Default"/>
              <w:rPr>
                <w:rFonts w:ascii="Verdana" w:hAnsi="Verdana"/>
                <w:color w:val="auto"/>
                <w:sz w:val="20"/>
                <w:szCs w:val="20"/>
                <w:lang w:eastAsia="de-DE"/>
              </w:rPr>
            </w:pPr>
          </w:p>
        </w:tc>
        <w:tc>
          <w:tcPr>
            <w:tcW w:w="1650" w:type="dxa"/>
            <w:gridSpan w:val="2"/>
          </w:tcPr>
          <w:p w14:paraId="54D7AFA9" w14:textId="77777777" w:rsidR="005F7EB1" w:rsidRPr="00064185" w:rsidRDefault="005F7EB1" w:rsidP="00EA61D8">
            <w:pPr>
              <w:pStyle w:val="Default"/>
              <w:rPr>
                <w:rFonts w:ascii="Verdana" w:hAnsi="Verdana"/>
                <w:color w:val="auto"/>
                <w:sz w:val="20"/>
                <w:szCs w:val="20"/>
                <w:lang w:eastAsia="de-DE"/>
              </w:rPr>
            </w:pPr>
          </w:p>
        </w:tc>
        <w:tc>
          <w:tcPr>
            <w:tcW w:w="1650" w:type="dxa"/>
          </w:tcPr>
          <w:p w14:paraId="717ADC41" w14:textId="77777777" w:rsidR="005F7EB1" w:rsidRPr="00064185" w:rsidRDefault="005F7EB1" w:rsidP="00EA61D8">
            <w:pPr>
              <w:pStyle w:val="Default"/>
              <w:rPr>
                <w:rFonts w:ascii="Verdana" w:hAnsi="Verdana"/>
                <w:color w:val="auto"/>
                <w:sz w:val="20"/>
                <w:szCs w:val="20"/>
                <w:lang w:eastAsia="de-DE"/>
              </w:rPr>
            </w:pPr>
          </w:p>
        </w:tc>
        <w:tc>
          <w:tcPr>
            <w:tcW w:w="1650" w:type="dxa"/>
            <w:gridSpan w:val="2"/>
          </w:tcPr>
          <w:p w14:paraId="11609F1B" w14:textId="77777777" w:rsidR="005F7EB1" w:rsidRPr="00064185" w:rsidRDefault="005F7EB1" w:rsidP="00EA61D8">
            <w:pPr>
              <w:pStyle w:val="Default"/>
              <w:rPr>
                <w:rFonts w:ascii="Verdana" w:hAnsi="Verdana"/>
                <w:color w:val="auto"/>
                <w:sz w:val="20"/>
                <w:szCs w:val="20"/>
                <w:lang w:eastAsia="de-DE"/>
              </w:rPr>
            </w:pPr>
          </w:p>
        </w:tc>
      </w:tr>
      <w:tr w:rsidR="00064185" w:rsidRPr="00064185" w14:paraId="1D5E07B0" w14:textId="77777777" w:rsidTr="00350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Height w:val="249"/>
        </w:trPr>
        <w:tc>
          <w:tcPr>
            <w:tcW w:w="9180" w:type="dxa"/>
            <w:gridSpan w:val="8"/>
            <w:shd w:val="clear" w:color="auto" w:fill="FFFFCC"/>
            <w:vAlign w:val="center"/>
          </w:tcPr>
          <w:p w14:paraId="06B3089C" w14:textId="77777777" w:rsidR="005F7EB1" w:rsidRPr="00064185" w:rsidRDefault="005F7EB1" w:rsidP="00EA61D8">
            <w:pPr>
              <w:keepNext/>
              <w:keepLines/>
              <w:widowControl w:val="0"/>
              <w:autoSpaceDE w:val="0"/>
              <w:autoSpaceDN w:val="0"/>
              <w:adjustRightInd w:val="0"/>
              <w:spacing w:before="60" w:after="60" w:line="260" w:lineRule="atLeast"/>
              <w:rPr>
                <w:rFonts w:eastAsia="Calibri"/>
                <w:b/>
                <w:sz w:val="18"/>
                <w:szCs w:val="18"/>
                <w:lang w:eastAsia="en-US"/>
              </w:rPr>
            </w:pPr>
            <w:r w:rsidRPr="00064185">
              <w:rPr>
                <w:rFonts w:eastAsia="Calibri"/>
                <w:b/>
                <w:sz w:val="18"/>
                <w:szCs w:val="18"/>
                <w:lang w:eastAsia="en-US"/>
              </w:rPr>
              <w:t>Summary table on secondary poisoning, consumption of directly exposed diet</w:t>
            </w:r>
          </w:p>
        </w:tc>
      </w:tr>
      <w:tr w:rsidR="00064185" w:rsidRPr="00064185" w14:paraId="0F0402B3" w14:textId="77777777" w:rsidTr="00350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Height w:val="249"/>
        </w:trPr>
        <w:tc>
          <w:tcPr>
            <w:tcW w:w="3827" w:type="dxa"/>
            <w:gridSpan w:val="3"/>
            <w:shd w:val="clear" w:color="auto" w:fill="FFFFFF"/>
            <w:vAlign w:val="center"/>
          </w:tcPr>
          <w:p w14:paraId="3B59BB90" w14:textId="77777777" w:rsidR="005F7EB1" w:rsidRPr="00064185" w:rsidRDefault="005F7EB1" w:rsidP="00EA61D8">
            <w:pPr>
              <w:autoSpaceDE w:val="0"/>
              <w:autoSpaceDN w:val="0"/>
              <w:adjustRightInd w:val="0"/>
              <w:spacing w:before="60" w:after="60" w:line="260" w:lineRule="atLeast"/>
              <w:rPr>
                <w:rFonts w:eastAsia="Calibri" w:cs="Arial"/>
                <w:b/>
                <w:lang w:eastAsia="en-GB"/>
              </w:rPr>
            </w:pPr>
            <w:r w:rsidRPr="00064185">
              <w:rPr>
                <w:rFonts w:eastAsia="Calibri" w:cs="Arial"/>
                <w:b/>
                <w:lang w:eastAsia="en-GB"/>
              </w:rPr>
              <w:t>Scenario</w:t>
            </w:r>
          </w:p>
        </w:tc>
        <w:tc>
          <w:tcPr>
            <w:tcW w:w="2694" w:type="dxa"/>
            <w:gridSpan w:val="3"/>
            <w:shd w:val="clear" w:color="auto" w:fill="FFFFFF"/>
            <w:vAlign w:val="center"/>
          </w:tcPr>
          <w:p w14:paraId="7C7D47DE" w14:textId="41EE931A" w:rsidR="005F7EB1" w:rsidRPr="00064185" w:rsidRDefault="005F7EB1" w:rsidP="00EA61D8">
            <w:pPr>
              <w:autoSpaceDE w:val="0"/>
              <w:autoSpaceDN w:val="0"/>
              <w:adjustRightInd w:val="0"/>
              <w:spacing w:before="60" w:after="60" w:line="260" w:lineRule="atLeast"/>
              <w:rPr>
                <w:rFonts w:eastAsia="Calibri" w:cs="Arial"/>
                <w:b/>
                <w:lang w:eastAsia="en-GB"/>
              </w:rPr>
            </w:pPr>
            <w:r w:rsidRPr="00064185">
              <w:rPr>
                <w:rFonts w:eastAsia="Calibri"/>
                <w:b/>
                <w:lang w:eastAsia="en-GB"/>
              </w:rPr>
              <w:t>E</w:t>
            </w:r>
            <w:r w:rsidR="00A16BC0" w:rsidRPr="00064185">
              <w:rPr>
                <w:rFonts w:eastAsia="Calibri"/>
                <w:b/>
                <w:lang w:eastAsia="en-GB"/>
              </w:rPr>
              <w:t>TE</w:t>
            </w:r>
            <w:r w:rsidR="003C4FB8" w:rsidRPr="00064185">
              <w:rPr>
                <w:rFonts w:eastAsia="Calibri"/>
                <w:b/>
                <w:lang w:eastAsia="en-GB"/>
              </w:rPr>
              <w:t xml:space="preserve"> </w:t>
            </w:r>
            <w:r w:rsidRPr="00064185">
              <w:rPr>
                <w:rFonts w:eastAsia="Calibri"/>
                <w:b/>
                <w:vertAlign w:val="subscript"/>
                <w:lang w:eastAsia="en-GB"/>
              </w:rPr>
              <w:t>oral predator</w:t>
            </w:r>
            <w:r w:rsidRPr="00064185">
              <w:rPr>
                <w:rFonts w:eastAsia="Calibri" w:cs="Arial"/>
                <w:b/>
                <w:bCs/>
                <w:lang w:eastAsia="en-GB"/>
              </w:rPr>
              <w:t xml:space="preserve"> </w:t>
            </w:r>
          </w:p>
        </w:tc>
        <w:tc>
          <w:tcPr>
            <w:tcW w:w="2659" w:type="dxa"/>
            <w:gridSpan w:val="2"/>
            <w:shd w:val="clear" w:color="auto" w:fill="FFFFFF"/>
            <w:vAlign w:val="center"/>
          </w:tcPr>
          <w:p w14:paraId="6D3B1791" w14:textId="690DE0C6" w:rsidR="005F7EB1" w:rsidRPr="00064185" w:rsidRDefault="00A16BC0" w:rsidP="00EA61D8">
            <w:pPr>
              <w:autoSpaceDE w:val="0"/>
              <w:autoSpaceDN w:val="0"/>
              <w:adjustRightInd w:val="0"/>
              <w:spacing w:before="60" w:after="60" w:line="260" w:lineRule="atLeast"/>
              <w:rPr>
                <w:rFonts w:eastAsia="Calibri" w:cs="Arial"/>
                <w:b/>
                <w:lang w:eastAsia="en-GB"/>
              </w:rPr>
            </w:pPr>
            <w:r w:rsidRPr="00064185">
              <w:rPr>
                <w:rFonts w:eastAsia="Calibri" w:cs="Arial"/>
                <w:b/>
                <w:lang w:eastAsia="en-GB"/>
              </w:rPr>
              <w:t>ETE</w:t>
            </w:r>
            <w:r w:rsidR="005F7EB1" w:rsidRPr="00064185">
              <w:rPr>
                <w:rFonts w:eastAsia="Calibri" w:cs="Arial"/>
                <w:b/>
                <w:lang w:eastAsia="en-GB"/>
              </w:rPr>
              <w:t>/PNEC</w:t>
            </w:r>
          </w:p>
        </w:tc>
      </w:tr>
      <w:tr w:rsidR="00064185" w:rsidRPr="00064185" w14:paraId="08C2A6FB" w14:textId="77777777" w:rsidTr="00350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Height w:val="366"/>
        </w:trPr>
        <w:tc>
          <w:tcPr>
            <w:tcW w:w="3827" w:type="dxa"/>
            <w:gridSpan w:val="3"/>
            <w:shd w:val="clear" w:color="auto" w:fill="FFFFFF"/>
            <w:vAlign w:val="center"/>
          </w:tcPr>
          <w:p w14:paraId="27E84B98" w14:textId="77777777" w:rsidR="005F7EB1" w:rsidRPr="00064185" w:rsidRDefault="005F7EB1" w:rsidP="00EA61D8">
            <w:pPr>
              <w:autoSpaceDE w:val="0"/>
              <w:autoSpaceDN w:val="0"/>
              <w:adjustRightInd w:val="0"/>
              <w:spacing w:before="60" w:after="60" w:line="260" w:lineRule="atLeast"/>
              <w:rPr>
                <w:rFonts w:eastAsia="Calibri" w:cs="Arial"/>
                <w:b/>
                <w:lang w:eastAsia="en-GB"/>
              </w:rPr>
            </w:pPr>
          </w:p>
        </w:tc>
        <w:tc>
          <w:tcPr>
            <w:tcW w:w="5353" w:type="dxa"/>
            <w:gridSpan w:val="5"/>
            <w:shd w:val="clear" w:color="auto" w:fill="FFFFFF"/>
            <w:vAlign w:val="center"/>
          </w:tcPr>
          <w:p w14:paraId="15A8D366" w14:textId="1446D54C" w:rsidR="005F7EB1" w:rsidRPr="00064185" w:rsidRDefault="005F7EB1" w:rsidP="00EA61D8">
            <w:pPr>
              <w:autoSpaceDE w:val="0"/>
              <w:autoSpaceDN w:val="0"/>
              <w:adjustRightInd w:val="0"/>
              <w:spacing w:before="60" w:after="60" w:line="260" w:lineRule="atLeast"/>
              <w:rPr>
                <w:rFonts w:eastAsia="Calibri" w:cs="Arial"/>
                <w:b/>
                <w:lang w:eastAsia="en-GB"/>
              </w:rPr>
            </w:pPr>
            <w:r w:rsidRPr="00064185">
              <w:rPr>
                <w:rFonts w:eastAsia="Calibri"/>
                <w:b/>
                <w:lang w:eastAsia="en-GB"/>
              </w:rPr>
              <w:t>PNEC</w:t>
            </w:r>
            <w:r w:rsidRPr="00064185">
              <w:rPr>
                <w:rFonts w:eastAsia="Calibri"/>
                <w:b/>
                <w:vertAlign w:val="subscript"/>
                <w:lang w:eastAsia="en-GB"/>
              </w:rPr>
              <w:t xml:space="preserve"> birds </w:t>
            </w:r>
            <w:r w:rsidRPr="00064185">
              <w:rPr>
                <w:rFonts w:eastAsia="Calibri"/>
                <w:b/>
                <w:lang w:eastAsia="en-GB"/>
              </w:rPr>
              <w:t>=</w:t>
            </w:r>
            <w:r w:rsidRPr="00064185">
              <w:rPr>
                <w:rFonts w:eastAsia="Calibri" w:cs="Arial"/>
                <w:b/>
                <w:bCs/>
                <w:lang w:eastAsia="en-GB"/>
              </w:rPr>
              <w:t xml:space="preserve"> </w:t>
            </w:r>
            <w:r w:rsidR="00280DA0" w:rsidRPr="00064185">
              <w:rPr>
                <w:rFonts w:eastAsia="Calibri"/>
                <w:b/>
                <w:lang w:eastAsia="en-GB"/>
              </w:rPr>
              <w:t>0.6</w:t>
            </w:r>
            <w:r w:rsidR="00A16BC0" w:rsidRPr="00064185">
              <w:rPr>
                <w:rFonts w:eastAsia="Calibri"/>
                <w:b/>
                <w:lang w:eastAsia="en-GB"/>
              </w:rPr>
              <w:t xml:space="preserve"> </w:t>
            </w:r>
            <w:r w:rsidR="00280DA0" w:rsidRPr="00064185">
              <w:rPr>
                <w:b/>
              </w:rPr>
              <w:t>mg ai/kg bw/d</w:t>
            </w:r>
          </w:p>
        </w:tc>
      </w:tr>
      <w:tr w:rsidR="00064185" w:rsidRPr="00064185" w14:paraId="648161A0" w14:textId="77777777" w:rsidTr="00350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Height w:val="414"/>
        </w:trPr>
        <w:tc>
          <w:tcPr>
            <w:tcW w:w="9180" w:type="dxa"/>
            <w:gridSpan w:val="8"/>
            <w:shd w:val="clear" w:color="auto" w:fill="FFFFFF"/>
            <w:vAlign w:val="center"/>
          </w:tcPr>
          <w:p w14:paraId="2E8CA421" w14:textId="7C71929B" w:rsidR="005F7EB1" w:rsidRPr="00064185" w:rsidRDefault="00E92A03" w:rsidP="00EA61D8">
            <w:pPr>
              <w:autoSpaceDE w:val="0"/>
              <w:autoSpaceDN w:val="0"/>
              <w:adjustRightInd w:val="0"/>
              <w:spacing w:before="60" w:after="60" w:line="260" w:lineRule="atLeast"/>
              <w:rPr>
                <w:rFonts w:eastAsia="Calibri" w:cs="Arial"/>
                <w:b/>
                <w:lang w:eastAsia="en-GB"/>
              </w:rPr>
            </w:pPr>
            <w:r w:rsidRPr="00064185">
              <w:t>Small insectivorous</w:t>
            </w:r>
            <w:r w:rsidR="00573C9C" w:rsidRPr="00064185">
              <w:t xml:space="preserve"> bird I (</w:t>
            </w:r>
            <w:r w:rsidRPr="00064185">
              <w:t>worst case</w:t>
            </w:r>
            <w:r w:rsidR="00573C9C" w:rsidRPr="00064185">
              <w:t>)</w:t>
            </w:r>
            <w:r w:rsidRPr="00064185">
              <w:t xml:space="preserve"> </w:t>
            </w:r>
            <w:r w:rsidR="005F7EB1" w:rsidRPr="00064185">
              <w:t>(f</w:t>
            </w:r>
            <w:r w:rsidR="005F7EB1" w:rsidRPr="00064185">
              <w:rPr>
                <w:rFonts w:eastAsia="Calibri" w:cs="Arial"/>
                <w:lang w:eastAsia="en-GB"/>
              </w:rPr>
              <w:t>resh diet: ants)</w:t>
            </w:r>
          </w:p>
        </w:tc>
      </w:tr>
      <w:tr w:rsidR="00064185" w:rsidRPr="00064185" w14:paraId="1F1607A2" w14:textId="77777777" w:rsidTr="00350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Height w:val="393"/>
        </w:trPr>
        <w:tc>
          <w:tcPr>
            <w:tcW w:w="3827" w:type="dxa"/>
            <w:gridSpan w:val="3"/>
            <w:shd w:val="clear" w:color="auto" w:fill="FFFFFF"/>
          </w:tcPr>
          <w:p w14:paraId="528B1695" w14:textId="77777777" w:rsidR="005F7EB1" w:rsidRPr="00064185" w:rsidRDefault="005F7EB1" w:rsidP="00EA61D8">
            <w:pPr>
              <w:pStyle w:val="Listenabsatz"/>
              <w:numPr>
                <w:ilvl w:val="0"/>
                <w:numId w:val="18"/>
              </w:numPr>
              <w:autoSpaceDE w:val="0"/>
              <w:autoSpaceDN w:val="0"/>
              <w:adjustRightInd w:val="0"/>
              <w:spacing w:before="60" w:after="60" w:line="260" w:lineRule="atLeast"/>
              <w:rPr>
                <w:rFonts w:eastAsia="Calibri" w:cs="Arial"/>
                <w:lang w:eastAsia="en-GB"/>
              </w:rPr>
            </w:pPr>
            <w:r w:rsidRPr="00064185">
              <w:rPr>
                <w:rFonts w:eastAsia="Calibri" w:cs="Arial"/>
                <w:lang w:eastAsia="en-GB"/>
              </w:rPr>
              <w:t xml:space="preserve">Acute toxicity </w:t>
            </w:r>
          </w:p>
        </w:tc>
        <w:tc>
          <w:tcPr>
            <w:tcW w:w="2694" w:type="dxa"/>
            <w:gridSpan w:val="3"/>
            <w:shd w:val="clear" w:color="auto" w:fill="FFFFFF"/>
            <w:vAlign w:val="center"/>
          </w:tcPr>
          <w:p w14:paraId="3CEE3BB4" w14:textId="790D22FF" w:rsidR="005F7EB1" w:rsidRPr="00064185" w:rsidRDefault="00E92A03" w:rsidP="00EA61D8">
            <w:pPr>
              <w:rPr>
                <w:highlight w:val="yellow"/>
              </w:rPr>
            </w:pPr>
            <w:r w:rsidRPr="00064185">
              <w:t>6</w:t>
            </w:r>
            <w:r w:rsidR="00A16BC0" w:rsidRPr="00064185">
              <w:t>.</w:t>
            </w:r>
            <w:r w:rsidRPr="00064185">
              <w:t>05</w:t>
            </w:r>
            <w:r w:rsidR="005F7EB1" w:rsidRPr="00064185">
              <w:t>E-9</w:t>
            </w:r>
          </w:p>
        </w:tc>
        <w:tc>
          <w:tcPr>
            <w:tcW w:w="2659" w:type="dxa"/>
            <w:gridSpan w:val="2"/>
            <w:shd w:val="clear" w:color="auto" w:fill="FFFFFF"/>
          </w:tcPr>
          <w:p w14:paraId="1A753F9C" w14:textId="740BD432" w:rsidR="005F7EB1" w:rsidRPr="00064185" w:rsidRDefault="001062A5" w:rsidP="00EA61D8">
            <w:pPr>
              <w:autoSpaceDE w:val="0"/>
              <w:autoSpaceDN w:val="0"/>
              <w:adjustRightInd w:val="0"/>
              <w:spacing w:before="60" w:after="60" w:line="260" w:lineRule="atLeast"/>
              <w:rPr>
                <w:rFonts w:eastAsia="Calibri" w:cs="Arial"/>
                <w:highlight w:val="yellow"/>
                <w:lang w:eastAsia="en-GB"/>
              </w:rPr>
            </w:pPr>
            <w:r w:rsidRPr="00064185">
              <w:rPr>
                <w:rFonts w:eastAsia="Calibri" w:cs="Arial"/>
                <w:lang w:eastAsia="en-GB"/>
              </w:rPr>
              <w:t>1.01E-8</w:t>
            </w:r>
          </w:p>
        </w:tc>
      </w:tr>
      <w:tr w:rsidR="00064185" w:rsidRPr="00064185" w14:paraId="11AC73E7" w14:textId="77777777" w:rsidTr="00350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Height w:val="301"/>
        </w:trPr>
        <w:tc>
          <w:tcPr>
            <w:tcW w:w="3827" w:type="dxa"/>
            <w:gridSpan w:val="3"/>
            <w:shd w:val="clear" w:color="auto" w:fill="FFFFFF"/>
          </w:tcPr>
          <w:p w14:paraId="2B2FA207" w14:textId="77777777" w:rsidR="005F7EB1" w:rsidRPr="00064185" w:rsidRDefault="005F7EB1" w:rsidP="00EA61D8">
            <w:pPr>
              <w:pStyle w:val="Listenabsatz"/>
              <w:numPr>
                <w:ilvl w:val="0"/>
                <w:numId w:val="18"/>
              </w:numPr>
              <w:autoSpaceDE w:val="0"/>
              <w:autoSpaceDN w:val="0"/>
              <w:adjustRightInd w:val="0"/>
              <w:spacing w:before="60" w:after="60" w:line="260" w:lineRule="atLeast"/>
              <w:rPr>
                <w:rFonts w:eastAsia="Calibri" w:cs="Arial"/>
                <w:lang w:eastAsia="en-GB"/>
              </w:rPr>
            </w:pPr>
            <w:r w:rsidRPr="00064185">
              <w:rPr>
                <w:rFonts w:eastAsia="Calibri" w:cs="Arial"/>
                <w:lang w:eastAsia="en-GB"/>
              </w:rPr>
              <w:t xml:space="preserve">Short term toxicity </w:t>
            </w:r>
          </w:p>
        </w:tc>
        <w:tc>
          <w:tcPr>
            <w:tcW w:w="2694" w:type="dxa"/>
            <w:gridSpan w:val="3"/>
            <w:shd w:val="clear" w:color="auto" w:fill="FFFFFF"/>
          </w:tcPr>
          <w:p w14:paraId="5D67A7A7" w14:textId="08047B7D" w:rsidR="005F7EB1" w:rsidRPr="00064185" w:rsidRDefault="00E92A03" w:rsidP="00EA61D8">
            <w:pPr>
              <w:autoSpaceDE w:val="0"/>
              <w:autoSpaceDN w:val="0"/>
              <w:adjustRightInd w:val="0"/>
              <w:spacing w:before="60" w:after="60" w:line="260" w:lineRule="atLeast"/>
              <w:rPr>
                <w:rFonts w:eastAsia="Calibri"/>
                <w:highlight w:val="yellow"/>
                <w:lang w:eastAsia="en-GB"/>
              </w:rPr>
            </w:pPr>
            <w:r w:rsidRPr="00064185">
              <w:rPr>
                <w:rFonts w:eastAsia="Calibri"/>
                <w:lang w:eastAsia="en-GB"/>
              </w:rPr>
              <w:t>3</w:t>
            </w:r>
            <w:r w:rsidR="00A16BC0" w:rsidRPr="00064185">
              <w:rPr>
                <w:rFonts w:eastAsia="Calibri"/>
                <w:lang w:eastAsia="en-GB"/>
              </w:rPr>
              <w:t>.</w:t>
            </w:r>
            <w:r w:rsidRPr="00064185">
              <w:rPr>
                <w:rFonts w:eastAsia="Calibri"/>
                <w:lang w:eastAsia="en-GB"/>
              </w:rPr>
              <w:t>38</w:t>
            </w:r>
            <w:r w:rsidR="005F7EB1" w:rsidRPr="00064185">
              <w:rPr>
                <w:rFonts w:eastAsia="Calibri"/>
                <w:lang w:eastAsia="en-GB"/>
              </w:rPr>
              <w:t>E-9</w:t>
            </w:r>
          </w:p>
        </w:tc>
        <w:tc>
          <w:tcPr>
            <w:tcW w:w="2659" w:type="dxa"/>
            <w:gridSpan w:val="2"/>
            <w:shd w:val="clear" w:color="auto" w:fill="FFFFFF"/>
          </w:tcPr>
          <w:p w14:paraId="6C97ABF3" w14:textId="7F2C66E2" w:rsidR="005F7EB1" w:rsidRPr="00064185" w:rsidRDefault="001062A5" w:rsidP="00EA61D8">
            <w:pPr>
              <w:autoSpaceDE w:val="0"/>
              <w:autoSpaceDN w:val="0"/>
              <w:adjustRightInd w:val="0"/>
              <w:spacing w:before="60" w:after="60" w:line="260" w:lineRule="atLeast"/>
              <w:rPr>
                <w:rFonts w:eastAsia="Calibri" w:cs="Arial"/>
                <w:highlight w:val="yellow"/>
                <w:lang w:eastAsia="en-GB"/>
              </w:rPr>
            </w:pPr>
            <w:r w:rsidRPr="00064185">
              <w:rPr>
                <w:rFonts w:eastAsia="Calibri" w:cs="Arial"/>
                <w:lang w:eastAsia="en-GB"/>
              </w:rPr>
              <w:t>5.63E-9</w:t>
            </w:r>
          </w:p>
        </w:tc>
      </w:tr>
      <w:tr w:rsidR="00064185" w:rsidRPr="00CD287F" w14:paraId="03EE2BF6" w14:textId="77777777" w:rsidTr="00350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Height w:val="249"/>
        </w:trPr>
        <w:tc>
          <w:tcPr>
            <w:tcW w:w="3827" w:type="dxa"/>
            <w:gridSpan w:val="3"/>
            <w:shd w:val="clear" w:color="auto" w:fill="FFFFFF"/>
            <w:vAlign w:val="center"/>
          </w:tcPr>
          <w:p w14:paraId="2F3D3932" w14:textId="77777777" w:rsidR="005F7EB1" w:rsidRPr="00064185" w:rsidRDefault="005F7EB1" w:rsidP="00EA61D8">
            <w:pPr>
              <w:autoSpaceDE w:val="0"/>
              <w:autoSpaceDN w:val="0"/>
              <w:adjustRightInd w:val="0"/>
              <w:spacing w:before="60" w:after="60" w:line="260" w:lineRule="atLeast"/>
              <w:rPr>
                <w:rFonts w:eastAsia="Calibri" w:cs="Arial"/>
                <w:b/>
                <w:lang w:eastAsia="en-GB"/>
              </w:rPr>
            </w:pPr>
          </w:p>
        </w:tc>
        <w:tc>
          <w:tcPr>
            <w:tcW w:w="5353" w:type="dxa"/>
            <w:gridSpan w:val="5"/>
            <w:shd w:val="clear" w:color="auto" w:fill="FFFFFF"/>
            <w:vAlign w:val="center"/>
          </w:tcPr>
          <w:p w14:paraId="5AC7F420" w14:textId="7EA98107" w:rsidR="003A5C03" w:rsidRPr="00064185" w:rsidRDefault="005F7EB1" w:rsidP="00EA61D8">
            <w:pPr>
              <w:autoSpaceDE w:val="0"/>
              <w:autoSpaceDN w:val="0"/>
              <w:adjustRightInd w:val="0"/>
              <w:spacing w:before="60" w:after="60" w:line="260" w:lineRule="atLeast"/>
              <w:rPr>
                <w:rFonts w:eastAsia="Calibri" w:cs="Arial"/>
                <w:b/>
                <w:bCs/>
                <w:lang w:eastAsia="en-GB"/>
              </w:rPr>
            </w:pPr>
            <w:r w:rsidRPr="00064185">
              <w:rPr>
                <w:rFonts w:eastAsia="Calibri" w:cs="Arial"/>
                <w:b/>
                <w:bCs/>
                <w:lang w:eastAsia="en-GB"/>
              </w:rPr>
              <w:t>PNEC</w:t>
            </w:r>
            <w:r w:rsidR="003C4FB8" w:rsidRPr="00064185">
              <w:rPr>
                <w:rFonts w:eastAsia="Calibri" w:cs="Arial"/>
                <w:b/>
                <w:bCs/>
                <w:lang w:eastAsia="en-GB"/>
              </w:rPr>
              <w:t xml:space="preserve"> </w:t>
            </w:r>
            <w:r w:rsidRPr="00064185">
              <w:rPr>
                <w:rFonts w:eastAsia="Calibri" w:cs="Arial"/>
                <w:b/>
                <w:bCs/>
                <w:vertAlign w:val="subscript"/>
                <w:lang w:eastAsia="en-GB"/>
              </w:rPr>
              <w:t xml:space="preserve">birds </w:t>
            </w:r>
            <w:r w:rsidRPr="00064185">
              <w:rPr>
                <w:rFonts w:eastAsia="Calibri" w:cs="Arial"/>
                <w:b/>
                <w:bCs/>
                <w:lang w:eastAsia="en-GB"/>
              </w:rPr>
              <w:t xml:space="preserve">= </w:t>
            </w:r>
            <w:r w:rsidR="00280DA0" w:rsidRPr="00064185">
              <w:rPr>
                <w:rFonts w:eastAsia="Calibri" w:cs="Arial"/>
                <w:b/>
                <w:bCs/>
                <w:lang w:eastAsia="en-GB"/>
              </w:rPr>
              <w:t>0.6</w:t>
            </w:r>
            <w:r w:rsidRPr="00064185">
              <w:rPr>
                <w:rFonts w:eastAsia="Calibri" w:cs="Arial"/>
                <w:b/>
                <w:bCs/>
                <w:lang w:eastAsia="en-GB"/>
              </w:rPr>
              <w:t xml:space="preserve"> mg</w:t>
            </w:r>
            <w:r w:rsidR="00A16BC0" w:rsidRPr="00064185">
              <w:rPr>
                <w:rFonts w:eastAsia="Calibri" w:cs="Arial"/>
                <w:b/>
                <w:bCs/>
                <w:lang w:eastAsia="en-GB"/>
              </w:rPr>
              <w:t xml:space="preserve"> </w:t>
            </w:r>
            <w:r w:rsidR="00280DA0" w:rsidRPr="00064185">
              <w:rPr>
                <w:b/>
              </w:rPr>
              <w:t>ai/kg bw/d</w:t>
            </w:r>
            <w:r w:rsidR="00280DA0" w:rsidRPr="00064185" w:rsidDel="00280DA0">
              <w:rPr>
                <w:rFonts w:eastAsia="Calibri" w:cs="Arial"/>
                <w:b/>
                <w:bCs/>
                <w:lang w:eastAsia="en-GB"/>
              </w:rPr>
              <w:t xml:space="preserve"> </w:t>
            </w:r>
          </w:p>
          <w:p w14:paraId="43ED5BF9" w14:textId="73BDE27A" w:rsidR="005F7EB1" w:rsidRPr="00064185" w:rsidRDefault="005F7EB1" w:rsidP="00EA61D8">
            <w:pPr>
              <w:autoSpaceDE w:val="0"/>
              <w:autoSpaceDN w:val="0"/>
              <w:adjustRightInd w:val="0"/>
              <w:spacing w:before="60" w:after="60" w:line="260" w:lineRule="atLeast"/>
              <w:rPr>
                <w:rFonts w:eastAsia="Calibri"/>
                <w:b/>
                <w:lang w:val="de-AT" w:eastAsia="en-GB"/>
              </w:rPr>
            </w:pPr>
            <w:r w:rsidRPr="00064185">
              <w:rPr>
                <w:rFonts w:eastAsia="Calibri"/>
                <w:b/>
                <w:lang w:val="de-AT" w:eastAsia="en-GB"/>
              </w:rPr>
              <w:t>PNEC</w:t>
            </w:r>
            <w:r w:rsidR="003C4FB8" w:rsidRPr="00064185">
              <w:rPr>
                <w:rFonts w:eastAsia="Calibri"/>
                <w:b/>
                <w:lang w:val="de-AT" w:eastAsia="en-GB"/>
              </w:rPr>
              <w:t xml:space="preserve"> </w:t>
            </w:r>
            <w:r w:rsidRPr="00064185">
              <w:rPr>
                <w:rFonts w:eastAsia="Calibri"/>
                <w:b/>
                <w:vertAlign w:val="subscript"/>
                <w:lang w:val="de-AT" w:eastAsia="en-GB"/>
              </w:rPr>
              <w:t xml:space="preserve">mammals </w:t>
            </w:r>
            <w:r w:rsidRPr="00064185">
              <w:rPr>
                <w:rFonts w:eastAsia="Calibri"/>
                <w:b/>
                <w:lang w:val="de-AT" w:eastAsia="en-GB"/>
              </w:rPr>
              <w:t xml:space="preserve">= </w:t>
            </w:r>
            <w:r w:rsidR="00E92A03" w:rsidRPr="00064185">
              <w:rPr>
                <w:rFonts w:eastAsia="Calibri"/>
                <w:b/>
                <w:lang w:val="de-AT" w:eastAsia="en-GB"/>
              </w:rPr>
              <w:t>0.12</w:t>
            </w:r>
            <w:r w:rsidR="00A16BC0" w:rsidRPr="00064185">
              <w:rPr>
                <w:rFonts w:eastAsia="Calibri"/>
                <w:b/>
                <w:lang w:val="de-AT" w:eastAsia="en-GB"/>
              </w:rPr>
              <w:t xml:space="preserve"> </w:t>
            </w:r>
            <w:r w:rsidRPr="00064185">
              <w:rPr>
                <w:rFonts w:eastAsia="Calibri"/>
                <w:b/>
                <w:lang w:val="de-AT" w:eastAsia="en-GB"/>
              </w:rPr>
              <w:t>mg</w:t>
            </w:r>
            <w:r w:rsidR="00E92A03" w:rsidRPr="00064185">
              <w:rPr>
                <w:rFonts w:eastAsia="Calibri"/>
                <w:b/>
                <w:lang w:val="de-AT" w:eastAsia="en-GB"/>
              </w:rPr>
              <w:t xml:space="preserve"> ai</w:t>
            </w:r>
            <w:r w:rsidRPr="00064185">
              <w:rPr>
                <w:rFonts w:eastAsia="Calibri"/>
                <w:b/>
                <w:lang w:val="de-AT" w:eastAsia="en-GB"/>
              </w:rPr>
              <w:t>/kg</w:t>
            </w:r>
            <w:r w:rsidR="00E92A03" w:rsidRPr="00064185">
              <w:rPr>
                <w:rFonts w:eastAsia="Calibri"/>
                <w:b/>
                <w:lang w:val="de-AT" w:eastAsia="en-GB"/>
              </w:rPr>
              <w:t xml:space="preserve"> bw/d</w:t>
            </w:r>
            <w:r w:rsidRPr="00064185">
              <w:rPr>
                <w:rFonts w:eastAsia="Calibri"/>
                <w:b/>
                <w:lang w:val="de-AT" w:eastAsia="en-GB"/>
              </w:rPr>
              <w:t xml:space="preserve"> </w:t>
            </w:r>
          </w:p>
        </w:tc>
      </w:tr>
      <w:tr w:rsidR="00064185" w:rsidRPr="00064185" w14:paraId="5AEB0502" w14:textId="77777777" w:rsidTr="00350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Height w:val="249"/>
        </w:trPr>
        <w:tc>
          <w:tcPr>
            <w:tcW w:w="9180" w:type="dxa"/>
            <w:gridSpan w:val="8"/>
            <w:shd w:val="clear" w:color="auto" w:fill="FFFFFF"/>
            <w:vAlign w:val="center"/>
          </w:tcPr>
          <w:p w14:paraId="6319414D" w14:textId="12A5A47B" w:rsidR="005F7EB1" w:rsidRPr="00064185" w:rsidRDefault="005F7EB1" w:rsidP="00EA61D8">
            <w:pPr>
              <w:autoSpaceDE w:val="0"/>
              <w:autoSpaceDN w:val="0"/>
              <w:adjustRightInd w:val="0"/>
              <w:spacing w:before="60" w:after="60" w:line="260" w:lineRule="atLeast"/>
              <w:rPr>
                <w:rFonts w:eastAsia="Calibri" w:cs="Arial"/>
                <w:lang w:eastAsia="en-GB"/>
              </w:rPr>
            </w:pPr>
            <w:r w:rsidRPr="00064185">
              <w:rPr>
                <w:rFonts w:eastAsia="Calibri" w:cs="Arial"/>
                <w:lang w:eastAsia="en-GB"/>
              </w:rPr>
              <w:t>Predators (fresh diet: earthworms</w:t>
            </w:r>
            <w:r w:rsidR="008606D8" w:rsidRPr="00064185">
              <w:rPr>
                <w:rFonts w:eastAsia="Calibri" w:cs="Arial"/>
                <w:lang w:eastAsia="en-GB"/>
              </w:rPr>
              <w:t>, rural area</w:t>
            </w:r>
            <w:r w:rsidRPr="00064185">
              <w:rPr>
                <w:rFonts w:eastAsia="Calibri" w:cs="Arial"/>
                <w:lang w:eastAsia="en-GB"/>
              </w:rPr>
              <w:t>)</w:t>
            </w:r>
          </w:p>
        </w:tc>
      </w:tr>
      <w:tr w:rsidR="00064185" w:rsidRPr="00064185" w14:paraId="5CB2C52D" w14:textId="77777777" w:rsidTr="00350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Height w:val="249"/>
        </w:trPr>
        <w:tc>
          <w:tcPr>
            <w:tcW w:w="3827" w:type="dxa"/>
            <w:gridSpan w:val="3"/>
            <w:shd w:val="clear" w:color="auto" w:fill="FFFFFF"/>
            <w:vAlign w:val="center"/>
          </w:tcPr>
          <w:p w14:paraId="052BF5FF" w14:textId="77777777" w:rsidR="005F7EB1" w:rsidRPr="00064185" w:rsidRDefault="005F7EB1" w:rsidP="00EA61D8">
            <w:pPr>
              <w:pStyle w:val="Listenabsatz"/>
              <w:numPr>
                <w:ilvl w:val="0"/>
                <w:numId w:val="18"/>
              </w:numPr>
              <w:autoSpaceDE w:val="0"/>
              <w:autoSpaceDN w:val="0"/>
              <w:adjustRightInd w:val="0"/>
              <w:spacing w:before="60" w:after="60" w:line="260" w:lineRule="atLeast"/>
              <w:rPr>
                <w:rFonts w:eastAsia="Calibri" w:cs="Arial"/>
                <w:bCs/>
                <w:lang w:eastAsia="en-GB"/>
              </w:rPr>
            </w:pPr>
            <w:r w:rsidRPr="00064185">
              <w:rPr>
                <w:rFonts w:eastAsia="Calibri"/>
                <w:lang w:eastAsia="en-GB"/>
              </w:rPr>
              <w:t>Birds</w:t>
            </w:r>
          </w:p>
        </w:tc>
        <w:tc>
          <w:tcPr>
            <w:tcW w:w="2694" w:type="dxa"/>
            <w:gridSpan w:val="3"/>
            <w:shd w:val="clear" w:color="auto" w:fill="FFFFFF"/>
            <w:vAlign w:val="center"/>
          </w:tcPr>
          <w:p w14:paraId="0288EA11" w14:textId="79F6F22F" w:rsidR="005F7EB1" w:rsidRPr="00064185" w:rsidRDefault="00A16BC0" w:rsidP="00EA61D8">
            <w:pPr>
              <w:autoSpaceDE w:val="0"/>
              <w:autoSpaceDN w:val="0"/>
              <w:adjustRightInd w:val="0"/>
              <w:spacing w:before="60" w:after="60" w:line="260" w:lineRule="atLeast"/>
              <w:rPr>
                <w:rFonts w:eastAsia="Calibri"/>
                <w:highlight w:val="yellow"/>
                <w:lang w:eastAsia="en-GB"/>
              </w:rPr>
            </w:pPr>
            <w:r w:rsidRPr="00064185">
              <w:rPr>
                <w:rFonts w:eastAsia="Calibri"/>
                <w:lang w:eastAsia="en-GB"/>
              </w:rPr>
              <w:t>4.</w:t>
            </w:r>
            <w:r w:rsidR="00E92A03" w:rsidRPr="00064185">
              <w:rPr>
                <w:rFonts w:eastAsia="Calibri"/>
                <w:lang w:eastAsia="en-GB"/>
              </w:rPr>
              <w:t>11</w:t>
            </w:r>
            <w:r w:rsidR="005F7EB1" w:rsidRPr="00064185">
              <w:rPr>
                <w:rFonts w:eastAsia="Calibri"/>
                <w:lang w:eastAsia="en-GB"/>
              </w:rPr>
              <w:t>E-3</w:t>
            </w:r>
          </w:p>
        </w:tc>
        <w:tc>
          <w:tcPr>
            <w:tcW w:w="2659" w:type="dxa"/>
            <w:gridSpan w:val="2"/>
            <w:shd w:val="clear" w:color="auto" w:fill="FFFFFF"/>
            <w:vAlign w:val="center"/>
          </w:tcPr>
          <w:p w14:paraId="59884B04" w14:textId="3D944E19" w:rsidR="005F7EB1" w:rsidRPr="00064185" w:rsidRDefault="003C4FB8" w:rsidP="00EA61D8">
            <w:pPr>
              <w:autoSpaceDE w:val="0"/>
              <w:autoSpaceDN w:val="0"/>
              <w:adjustRightInd w:val="0"/>
              <w:spacing w:before="60" w:after="60" w:line="260" w:lineRule="atLeast"/>
              <w:rPr>
                <w:rFonts w:eastAsia="Calibri"/>
              </w:rPr>
            </w:pPr>
            <w:r w:rsidRPr="00064185">
              <w:rPr>
                <w:rFonts w:eastAsia="Calibri"/>
              </w:rPr>
              <w:t>6.85E-3</w:t>
            </w:r>
          </w:p>
        </w:tc>
      </w:tr>
      <w:tr w:rsidR="00064185" w:rsidRPr="00064185" w14:paraId="25AC3A2B" w14:textId="77777777" w:rsidTr="00350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Height w:val="75"/>
        </w:trPr>
        <w:tc>
          <w:tcPr>
            <w:tcW w:w="3827" w:type="dxa"/>
            <w:gridSpan w:val="3"/>
            <w:shd w:val="clear" w:color="auto" w:fill="FFFFFF"/>
          </w:tcPr>
          <w:p w14:paraId="51432F54" w14:textId="77777777" w:rsidR="005F7EB1" w:rsidRPr="00064185" w:rsidRDefault="005F7EB1" w:rsidP="00EA61D8">
            <w:pPr>
              <w:pStyle w:val="Listenabsatz"/>
              <w:numPr>
                <w:ilvl w:val="0"/>
                <w:numId w:val="18"/>
              </w:numPr>
              <w:autoSpaceDE w:val="0"/>
              <w:autoSpaceDN w:val="0"/>
              <w:adjustRightInd w:val="0"/>
              <w:spacing w:before="60" w:after="60" w:line="260" w:lineRule="atLeast"/>
              <w:rPr>
                <w:rFonts w:eastAsia="Calibri" w:cs="Arial"/>
                <w:lang w:eastAsia="en-GB"/>
              </w:rPr>
            </w:pPr>
            <w:r w:rsidRPr="00064185">
              <w:rPr>
                <w:rFonts w:eastAsia="Calibri"/>
                <w:lang w:eastAsia="en-GB"/>
              </w:rPr>
              <w:t>Mammals</w:t>
            </w:r>
          </w:p>
        </w:tc>
        <w:tc>
          <w:tcPr>
            <w:tcW w:w="2694" w:type="dxa"/>
            <w:gridSpan w:val="3"/>
            <w:shd w:val="clear" w:color="auto" w:fill="FFFFFF"/>
          </w:tcPr>
          <w:p w14:paraId="197B9D82" w14:textId="2AA3C33B" w:rsidR="005F7EB1" w:rsidRPr="00064185" w:rsidRDefault="00E92A03" w:rsidP="00EA61D8">
            <w:pPr>
              <w:autoSpaceDE w:val="0"/>
              <w:autoSpaceDN w:val="0"/>
              <w:adjustRightInd w:val="0"/>
              <w:spacing w:before="60" w:after="60" w:line="260" w:lineRule="atLeast"/>
              <w:rPr>
                <w:rFonts w:eastAsia="Calibri"/>
                <w:highlight w:val="yellow"/>
                <w:lang w:eastAsia="en-GB"/>
              </w:rPr>
            </w:pPr>
            <w:r w:rsidRPr="00064185">
              <w:rPr>
                <w:rFonts w:eastAsia="Calibri"/>
                <w:lang w:eastAsia="en-GB"/>
              </w:rPr>
              <w:t>5.39</w:t>
            </w:r>
            <w:r w:rsidR="005F7EB1" w:rsidRPr="00064185">
              <w:rPr>
                <w:rFonts w:eastAsia="Calibri"/>
                <w:lang w:eastAsia="en-GB"/>
              </w:rPr>
              <w:t>E-3</w:t>
            </w:r>
          </w:p>
        </w:tc>
        <w:tc>
          <w:tcPr>
            <w:tcW w:w="2659" w:type="dxa"/>
            <w:gridSpan w:val="2"/>
            <w:shd w:val="clear" w:color="auto" w:fill="FFFFFF"/>
          </w:tcPr>
          <w:p w14:paraId="36563E99" w14:textId="1514A68F" w:rsidR="005F7EB1" w:rsidRPr="00064185" w:rsidRDefault="003C4FB8" w:rsidP="00EA61D8">
            <w:pPr>
              <w:autoSpaceDE w:val="0"/>
              <w:autoSpaceDN w:val="0"/>
              <w:adjustRightInd w:val="0"/>
              <w:spacing w:before="60" w:after="60" w:line="260" w:lineRule="atLeast"/>
              <w:rPr>
                <w:rFonts w:eastAsia="Calibri" w:cs="Arial"/>
                <w:lang w:eastAsia="en-GB"/>
              </w:rPr>
            </w:pPr>
            <w:r w:rsidRPr="00064185">
              <w:rPr>
                <w:rFonts w:eastAsia="Calibri" w:cs="Arial"/>
                <w:lang w:eastAsia="en-GB"/>
              </w:rPr>
              <w:t>4.49E-2</w:t>
            </w:r>
          </w:p>
        </w:tc>
      </w:tr>
    </w:tbl>
    <w:p w14:paraId="49231096" w14:textId="77777777" w:rsidR="003509ED" w:rsidRPr="00064185" w:rsidRDefault="003509ED" w:rsidP="00EA61D8">
      <w:pPr>
        <w:spacing w:line="260" w:lineRule="atLeast"/>
      </w:pPr>
    </w:p>
    <w:p w14:paraId="76766EC3" w14:textId="77777777" w:rsidR="003509ED" w:rsidRPr="00064185" w:rsidRDefault="003509ED" w:rsidP="00EA61D8">
      <w:pPr>
        <w:spacing w:line="260" w:lineRule="atLeast"/>
      </w:pPr>
    </w:p>
    <w:p w14:paraId="1A8EBCC1" w14:textId="440B5724" w:rsidR="003509ED" w:rsidRPr="00064185" w:rsidRDefault="003509ED" w:rsidP="00F200AC">
      <w:pPr>
        <w:spacing w:line="260" w:lineRule="atLeast"/>
        <w:jc w:val="both"/>
      </w:pPr>
      <w:r w:rsidRPr="00064185">
        <w:t xml:space="preserve">Birds and mammals may also be poisoned by </w:t>
      </w:r>
      <w:r w:rsidRPr="00064185">
        <w:rPr>
          <w:i/>
        </w:rPr>
        <w:t>lambda-</w:t>
      </w:r>
      <w:r w:rsidRPr="00064185">
        <w:t>cyhalothrin through the consumption of fish or earthworms exposed to indirectly contaminated surface water or soil. For these cases the potential for bioaccumulation via the aquatic and terrestrial food chain was assessed for the worst case scenarios from the aquatic and terrestrial compartment</w:t>
      </w:r>
      <w:r w:rsidR="00B0458A" w:rsidRPr="00064185">
        <w:t>s</w:t>
      </w:r>
      <w:r w:rsidRPr="00064185">
        <w:t>. Hence, concentrations in the food of earthworm- and fish-eating predators were calculated and a risk assessment was performed.</w:t>
      </w:r>
    </w:p>
    <w:p w14:paraId="7395B501" w14:textId="0631E74A" w:rsidR="003509ED" w:rsidRPr="00064185" w:rsidRDefault="003509ED" w:rsidP="00F200AC">
      <w:pPr>
        <w:jc w:val="both"/>
      </w:pPr>
    </w:p>
    <w:p w14:paraId="2EFB90FE" w14:textId="77777777" w:rsidR="006B1841" w:rsidRPr="00064185" w:rsidRDefault="002E643B" w:rsidP="00F200AC">
      <w:pPr>
        <w:jc w:val="both"/>
      </w:pPr>
      <w:r w:rsidRPr="00064185">
        <w:t xml:space="preserve">To be comparable with the daily dose value, the exposure </w:t>
      </w:r>
      <w:r w:rsidR="00E0297B" w:rsidRPr="00064185">
        <w:t xml:space="preserve">also needs </w:t>
      </w:r>
      <w:r w:rsidRPr="00064185">
        <w:t>t</w:t>
      </w:r>
      <w:r w:rsidR="00E0297B" w:rsidRPr="00064185">
        <w:t>o</w:t>
      </w:r>
      <w:r w:rsidRPr="00064185">
        <w:t xml:space="preserve"> be based on daily intake of contaminated food. Therefore, the PEC</w:t>
      </w:r>
      <w:r w:rsidRPr="00064185">
        <w:rPr>
          <w:vertAlign w:val="subscript"/>
        </w:rPr>
        <w:t>oral</w:t>
      </w:r>
      <w:r w:rsidRPr="00064185">
        <w:t xml:space="preserve">, predator </w:t>
      </w:r>
      <w:r w:rsidR="00E0297B" w:rsidRPr="00064185">
        <w:t>wa</w:t>
      </w:r>
      <w:r w:rsidRPr="00064185">
        <w:t>s</w:t>
      </w:r>
      <w:r w:rsidR="00E0297B" w:rsidRPr="00064185">
        <w:t xml:space="preserve"> used to</w:t>
      </w:r>
      <w:r w:rsidRPr="00064185">
        <w:t xml:space="preserve"> </w:t>
      </w:r>
      <w:r w:rsidR="006B1841" w:rsidRPr="00064185">
        <w:t>calculate the</w:t>
      </w:r>
      <w:r w:rsidRPr="00064185">
        <w:t xml:space="preserve"> ETE (estimated theoretical exposure, expressed as mg ai/</w:t>
      </w:r>
      <w:r w:rsidR="00296996" w:rsidRPr="00064185">
        <w:t xml:space="preserve">kg </w:t>
      </w:r>
      <w:proofErr w:type="gramStart"/>
      <w:r w:rsidR="00296996" w:rsidRPr="00064185">
        <w:t>bw</w:t>
      </w:r>
      <w:proofErr w:type="gramEnd"/>
      <w:r w:rsidR="00296996" w:rsidRPr="00064185">
        <w:t xml:space="preserve"> per day). </w:t>
      </w:r>
    </w:p>
    <w:p w14:paraId="124E71EC" w14:textId="4379501B" w:rsidR="002E643B" w:rsidRPr="00064185" w:rsidRDefault="006B1841" w:rsidP="00F200AC">
      <w:pPr>
        <w:jc w:val="both"/>
      </w:pPr>
      <w:r w:rsidRPr="00064185">
        <w:t xml:space="preserve">Thereof in order to calculate </w:t>
      </w:r>
      <w:r w:rsidR="002E643B" w:rsidRPr="00064185">
        <w:t>the risk in the aquatic food chain, the estimated residues in fish are converted to daily dose by multiplying with FIR</w:t>
      </w:r>
      <w:r w:rsidRPr="00064185">
        <w:t>/bw</w:t>
      </w:r>
      <w:r w:rsidRPr="00064185">
        <w:rPr>
          <w:rFonts w:eastAsia="Calibri" w:cs="Arial"/>
          <w:bCs/>
          <w:lang w:eastAsia="en-GB"/>
        </w:rPr>
        <w:t xml:space="preserve"> (feed intake rate per body weight)</w:t>
      </w:r>
      <w:r w:rsidR="002E643B" w:rsidRPr="00064185">
        <w:t xml:space="preserve"> of 0.13 and 0.21 for mammals and birds, respectively.</w:t>
      </w:r>
    </w:p>
    <w:p w14:paraId="1553CE33" w14:textId="56E7AD9E" w:rsidR="002E643B" w:rsidRPr="00064185" w:rsidRDefault="006B1841" w:rsidP="00F200AC">
      <w:pPr>
        <w:jc w:val="both"/>
      </w:pPr>
      <w:r w:rsidRPr="00064185">
        <w:t xml:space="preserve">In order to calculate </w:t>
      </w:r>
      <w:r w:rsidR="002E643B" w:rsidRPr="00064185">
        <w:t>the risk in the terrestrial food chain, the estimated residues in ea</w:t>
      </w:r>
      <w:r w:rsidR="00BF223B">
        <w:t>r</w:t>
      </w:r>
      <w:r w:rsidR="002E643B" w:rsidRPr="00064185">
        <w:t>thworms are converted to daily dose by multiplying with FIR/bw of 1.4 and 1.1 for mammals and birds, respectively (</w:t>
      </w:r>
      <w:r w:rsidR="00991540" w:rsidRPr="00064185">
        <w:t xml:space="preserve">Doc II-C of </w:t>
      </w:r>
      <w:r w:rsidR="002E643B" w:rsidRPr="00064185">
        <w:t>CAR SE, 2011, SANCO/4145).</w:t>
      </w:r>
    </w:p>
    <w:p w14:paraId="4B1A3D96" w14:textId="77777777" w:rsidR="002E643B" w:rsidRPr="00064185" w:rsidRDefault="002E643B" w:rsidP="00F200AC">
      <w:pPr>
        <w:jc w:val="both"/>
      </w:pPr>
    </w:p>
    <w:p w14:paraId="798CD7A4" w14:textId="77777777" w:rsidR="00FC6429" w:rsidRPr="00064185" w:rsidRDefault="00FC6429" w:rsidP="00F200AC">
      <w:pPr>
        <w:jc w:val="both"/>
      </w:pPr>
    </w:p>
    <w:p w14:paraId="70F97ABD" w14:textId="77777777" w:rsidR="005853D8" w:rsidRPr="00064185" w:rsidRDefault="005853D8" w:rsidP="00EA61D8">
      <w:pPr>
        <w:rPr>
          <w:vertAlign w:val="subscript"/>
          <w:lang w:eastAsia="de-AT"/>
        </w:rPr>
      </w:pPr>
      <w:r w:rsidRPr="00064185">
        <w:rPr>
          <w:lang w:eastAsia="de-AT"/>
        </w:rPr>
        <w:lastRenderedPageBreak/>
        <w:t>PEC</w:t>
      </w:r>
      <w:r w:rsidRPr="00064185">
        <w:rPr>
          <w:vertAlign w:val="subscript"/>
          <w:lang w:eastAsia="de-AT"/>
        </w:rPr>
        <w:t xml:space="preserve">oral, predator </w:t>
      </w:r>
      <w:r w:rsidRPr="00064185">
        <w:rPr>
          <w:lang w:eastAsia="de-AT"/>
        </w:rPr>
        <w:t>= C</w:t>
      </w:r>
      <w:r w:rsidRPr="00064185">
        <w:rPr>
          <w:vertAlign w:val="subscript"/>
          <w:lang w:eastAsia="de-AT"/>
        </w:rPr>
        <w:t>fish</w:t>
      </w:r>
    </w:p>
    <w:p w14:paraId="2DE6938E" w14:textId="77777777" w:rsidR="005853D8" w:rsidRPr="00064185" w:rsidRDefault="005853D8" w:rsidP="00EA61D8">
      <w:pPr>
        <w:rPr>
          <w:i/>
          <w:iCs/>
          <w:vertAlign w:val="subscript"/>
          <w:lang w:eastAsia="de-AT"/>
        </w:rPr>
      </w:pPr>
      <w:r w:rsidRPr="00064185">
        <w:rPr>
          <w:lang w:eastAsia="de-AT"/>
        </w:rPr>
        <w:t>ETE = FIR/bw × PEC</w:t>
      </w:r>
      <w:r w:rsidRPr="00064185">
        <w:rPr>
          <w:i/>
          <w:iCs/>
          <w:vertAlign w:val="subscript"/>
          <w:lang w:eastAsia="de-AT"/>
        </w:rPr>
        <w:t xml:space="preserve"> oral, predator</w:t>
      </w:r>
    </w:p>
    <w:p w14:paraId="579B0B8C" w14:textId="77777777" w:rsidR="005853D8" w:rsidRPr="00064185" w:rsidRDefault="005853D8" w:rsidP="00EA61D8">
      <w:pPr>
        <w:rPr>
          <w:i/>
          <w:iCs/>
          <w:lang w:eastAsia="de-AT"/>
        </w:rPr>
      </w:pPr>
    </w:p>
    <w:p w14:paraId="7216D665" w14:textId="377FCFA2" w:rsidR="005853D8" w:rsidRPr="00064185" w:rsidRDefault="005853D8" w:rsidP="00EA61D8">
      <w:pPr>
        <w:rPr>
          <w:iCs/>
          <w:lang w:eastAsia="de-AT"/>
        </w:rPr>
      </w:pPr>
      <w:r w:rsidRPr="00064185">
        <w:rPr>
          <w:iCs/>
          <w:lang w:eastAsia="de-AT"/>
        </w:rPr>
        <w:t>FIR/bw</w:t>
      </w:r>
    </w:p>
    <w:p w14:paraId="712BC70A" w14:textId="573225C5" w:rsidR="005853D8" w:rsidRPr="00064185" w:rsidRDefault="005853D8" w:rsidP="00EA61D8">
      <w:pPr>
        <w:rPr>
          <w:iCs/>
          <w:lang w:eastAsia="de-AT"/>
        </w:rPr>
      </w:pPr>
      <w:r w:rsidRPr="00064185">
        <w:rPr>
          <w:iCs/>
          <w:lang w:eastAsia="de-AT"/>
        </w:rPr>
        <w:t xml:space="preserve">0.13 </w:t>
      </w:r>
      <w:proofErr w:type="gramStart"/>
      <w:r w:rsidRPr="00064185">
        <w:rPr>
          <w:iCs/>
          <w:lang w:eastAsia="de-AT"/>
        </w:rPr>
        <w:t>for</w:t>
      </w:r>
      <w:proofErr w:type="gramEnd"/>
      <w:r w:rsidRPr="00064185">
        <w:rPr>
          <w:iCs/>
          <w:lang w:eastAsia="de-AT"/>
        </w:rPr>
        <w:t xml:space="preserve"> fish-eating mammals</w:t>
      </w:r>
    </w:p>
    <w:p w14:paraId="3D4D3D36" w14:textId="6B457680" w:rsidR="005853D8" w:rsidRPr="00064185" w:rsidRDefault="005853D8" w:rsidP="00EA61D8">
      <w:pPr>
        <w:rPr>
          <w:iCs/>
          <w:lang w:eastAsia="de-AT"/>
        </w:rPr>
      </w:pPr>
      <w:r w:rsidRPr="00064185">
        <w:rPr>
          <w:iCs/>
          <w:lang w:eastAsia="de-AT"/>
        </w:rPr>
        <w:t xml:space="preserve">0.21 </w:t>
      </w:r>
      <w:proofErr w:type="gramStart"/>
      <w:r w:rsidRPr="00064185">
        <w:rPr>
          <w:iCs/>
          <w:lang w:eastAsia="de-AT"/>
        </w:rPr>
        <w:t>for</w:t>
      </w:r>
      <w:proofErr w:type="gramEnd"/>
      <w:r w:rsidRPr="00064185">
        <w:rPr>
          <w:iCs/>
          <w:lang w:eastAsia="de-AT"/>
        </w:rPr>
        <w:t xml:space="preserve"> fish-eating birds</w:t>
      </w:r>
    </w:p>
    <w:p w14:paraId="7ED54A94" w14:textId="77777777" w:rsidR="005853D8" w:rsidRPr="00064185" w:rsidRDefault="005853D8" w:rsidP="00EA61D8">
      <w:pPr>
        <w:rPr>
          <w:vertAlign w:val="subscript"/>
        </w:rPr>
      </w:pPr>
    </w:p>
    <w:p w14:paraId="45686539" w14:textId="77777777" w:rsidR="005853D8" w:rsidRPr="00064185" w:rsidRDefault="005853D8" w:rsidP="00EA61D8">
      <w:r w:rsidRPr="00064185">
        <w:t>PEC</w:t>
      </w:r>
      <w:r w:rsidRPr="00064185">
        <w:rPr>
          <w:vertAlign w:val="subscript"/>
        </w:rPr>
        <w:t>oral, predator</w:t>
      </w:r>
      <w:r w:rsidRPr="00064185">
        <w:t xml:space="preserve"> = C</w:t>
      </w:r>
      <w:r w:rsidRPr="00064185">
        <w:rPr>
          <w:vertAlign w:val="subscript"/>
        </w:rPr>
        <w:t>earthworm</w:t>
      </w:r>
    </w:p>
    <w:p w14:paraId="510006DC" w14:textId="77777777" w:rsidR="005853D8" w:rsidRPr="00064185" w:rsidRDefault="005853D8" w:rsidP="00EA61D8">
      <w:pPr>
        <w:rPr>
          <w:vertAlign w:val="subscript"/>
        </w:rPr>
      </w:pPr>
      <w:r w:rsidRPr="00064185">
        <w:t>ETE = FIR/bw × C</w:t>
      </w:r>
      <w:r w:rsidRPr="00064185">
        <w:rPr>
          <w:vertAlign w:val="subscript"/>
        </w:rPr>
        <w:t>earthworm</w:t>
      </w:r>
    </w:p>
    <w:p w14:paraId="15AF6CDC" w14:textId="77777777" w:rsidR="005853D8" w:rsidRPr="00064185" w:rsidRDefault="005853D8" w:rsidP="00EA61D8"/>
    <w:p w14:paraId="47F99F98" w14:textId="2266BDB9" w:rsidR="005853D8" w:rsidRPr="00064185" w:rsidRDefault="005853D8" w:rsidP="00EA61D8">
      <w:r w:rsidRPr="00064185">
        <w:t>FIR/bw</w:t>
      </w:r>
    </w:p>
    <w:p w14:paraId="4E6C55AC" w14:textId="77777777" w:rsidR="005853D8" w:rsidRPr="00064185" w:rsidRDefault="005853D8" w:rsidP="00EA61D8">
      <w:r w:rsidRPr="00064185">
        <w:t xml:space="preserve">1.4 </w:t>
      </w:r>
      <w:proofErr w:type="gramStart"/>
      <w:r w:rsidRPr="00064185">
        <w:t>for</w:t>
      </w:r>
      <w:proofErr w:type="gramEnd"/>
      <w:r w:rsidRPr="00064185">
        <w:t xml:space="preserve"> earthworm-eating mammals</w:t>
      </w:r>
    </w:p>
    <w:p w14:paraId="2C2FC4A5" w14:textId="45EDE05A" w:rsidR="005853D8" w:rsidRPr="00064185" w:rsidRDefault="005853D8" w:rsidP="00EA61D8">
      <w:r w:rsidRPr="00064185">
        <w:t xml:space="preserve">1.1 </w:t>
      </w:r>
      <w:proofErr w:type="gramStart"/>
      <w:r w:rsidRPr="00064185">
        <w:t>for</w:t>
      </w:r>
      <w:proofErr w:type="gramEnd"/>
      <w:r w:rsidRPr="00064185">
        <w:t xml:space="preserve"> earthworm-eating birds</w:t>
      </w:r>
    </w:p>
    <w:p w14:paraId="7E80A590" w14:textId="77777777" w:rsidR="002E643B" w:rsidRPr="00064185" w:rsidRDefault="002E643B" w:rsidP="00EA61D8"/>
    <w:p w14:paraId="5B0F45F0" w14:textId="77777777" w:rsidR="00D31DBB" w:rsidRPr="00064185" w:rsidRDefault="00D31DBB" w:rsidP="00EA61D8"/>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1134"/>
        <w:gridCol w:w="1559"/>
        <w:gridCol w:w="1276"/>
        <w:gridCol w:w="1276"/>
      </w:tblGrid>
      <w:tr w:rsidR="00064185" w:rsidRPr="00064185" w14:paraId="3C8C2489" w14:textId="0C05F5C7" w:rsidTr="0079488C">
        <w:trPr>
          <w:trHeight w:val="546"/>
        </w:trPr>
        <w:tc>
          <w:tcPr>
            <w:tcW w:w="9356" w:type="dxa"/>
            <w:gridSpan w:val="6"/>
            <w:shd w:val="clear" w:color="auto" w:fill="FFFFCC"/>
            <w:vAlign w:val="center"/>
          </w:tcPr>
          <w:p w14:paraId="5BB279F4" w14:textId="57146260" w:rsidR="001F0C50" w:rsidRPr="00064185" w:rsidRDefault="005D44C1" w:rsidP="00EA61D8">
            <w:pPr>
              <w:autoSpaceDE w:val="0"/>
              <w:autoSpaceDN w:val="0"/>
              <w:adjustRightInd w:val="0"/>
              <w:spacing w:before="60" w:after="60" w:line="260" w:lineRule="atLeast"/>
              <w:rPr>
                <w:rFonts w:eastAsia="Calibri" w:cs="Arial"/>
                <w:b/>
                <w:bCs/>
                <w:sz w:val="18"/>
                <w:szCs w:val="18"/>
                <w:lang w:eastAsia="en-GB"/>
              </w:rPr>
            </w:pPr>
            <w:r w:rsidRPr="00064185">
              <w:rPr>
                <w:rFonts w:eastAsia="Calibri" w:cs="Arial"/>
                <w:b/>
                <w:bCs/>
                <w:sz w:val="18"/>
                <w:szCs w:val="18"/>
                <w:lang w:eastAsia="en-GB"/>
              </w:rPr>
              <w:t xml:space="preserve">Calculation of </w:t>
            </w:r>
            <w:r w:rsidR="00D31DBB" w:rsidRPr="00064185">
              <w:rPr>
                <w:rFonts w:eastAsia="Calibri" w:cs="Arial"/>
                <w:b/>
                <w:bCs/>
                <w:sz w:val="18"/>
                <w:szCs w:val="18"/>
                <w:lang w:eastAsia="en-GB"/>
              </w:rPr>
              <w:t>ETE</w:t>
            </w:r>
            <w:r w:rsidR="00D31DBB" w:rsidRPr="00064185">
              <w:rPr>
                <w:rFonts w:eastAsia="Calibri" w:cs="Arial"/>
                <w:b/>
                <w:sz w:val="18"/>
                <w:szCs w:val="18"/>
                <w:lang w:eastAsia="en-GB"/>
              </w:rPr>
              <w:t xml:space="preserve"> (e</w:t>
            </w:r>
            <w:r w:rsidR="007B29C6" w:rsidRPr="00064185">
              <w:rPr>
                <w:rFonts w:eastAsia="Calibri" w:cs="Arial"/>
                <w:b/>
                <w:sz w:val="18"/>
                <w:szCs w:val="18"/>
                <w:lang w:eastAsia="en-GB"/>
              </w:rPr>
              <w:t>stimated theoretical exposure</w:t>
            </w:r>
            <w:r w:rsidR="00D31DBB" w:rsidRPr="00064185">
              <w:rPr>
                <w:rFonts w:eastAsia="Calibri" w:cs="Arial"/>
                <w:b/>
                <w:sz w:val="18"/>
                <w:szCs w:val="18"/>
                <w:lang w:eastAsia="en-GB"/>
              </w:rPr>
              <w:t>)</w:t>
            </w:r>
            <w:r w:rsidR="007B29C6" w:rsidRPr="00064185">
              <w:rPr>
                <w:rFonts w:eastAsia="Calibri" w:cs="Arial"/>
                <w:sz w:val="18"/>
                <w:szCs w:val="18"/>
                <w:lang w:eastAsia="en-GB"/>
              </w:rPr>
              <w:t xml:space="preserve"> </w:t>
            </w:r>
            <w:r w:rsidR="007B29C6" w:rsidRPr="00064185">
              <w:rPr>
                <w:rFonts w:eastAsia="Calibri" w:cs="Arial"/>
                <w:b/>
                <w:bCs/>
                <w:sz w:val="18"/>
                <w:szCs w:val="18"/>
                <w:lang w:eastAsia="en-GB"/>
              </w:rPr>
              <w:t xml:space="preserve">from </w:t>
            </w:r>
            <w:r w:rsidR="00D31DBB" w:rsidRPr="00064185">
              <w:rPr>
                <w:rFonts w:eastAsia="Calibri" w:cs="Arial"/>
                <w:b/>
                <w:sz w:val="18"/>
                <w:szCs w:val="18"/>
                <w:lang w:eastAsia="en-GB"/>
              </w:rPr>
              <w:t>PEC</w:t>
            </w:r>
            <w:r w:rsidR="00D31DBB" w:rsidRPr="00064185">
              <w:rPr>
                <w:rFonts w:eastAsia="Calibri" w:cs="Arial"/>
                <w:b/>
                <w:bCs/>
                <w:sz w:val="18"/>
                <w:szCs w:val="18"/>
                <w:lang w:eastAsia="en-GB"/>
              </w:rPr>
              <w:t xml:space="preserve"> (p</w:t>
            </w:r>
            <w:r w:rsidR="00573C9C" w:rsidRPr="00064185">
              <w:rPr>
                <w:rFonts w:eastAsia="Calibri" w:cs="Arial"/>
                <w:b/>
                <w:bCs/>
                <w:sz w:val="18"/>
                <w:szCs w:val="18"/>
                <w:lang w:eastAsia="en-GB"/>
              </w:rPr>
              <w:t>redicted environmental concentration</w:t>
            </w:r>
            <w:r w:rsidR="00D31DBB" w:rsidRPr="00064185">
              <w:rPr>
                <w:rFonts w:eastAsia="Calibri" w:cs="Arial"/>
                <w:b/>
                <w:bCs/>
                <w:sz w:val="18"/>
                <w:szCs w:val="18"/>
                <w:lang w:eastAsia="en-GB"/>
              </w:rPr>
              <w:t>)</w:t>
            </w:r>
            <w:r w:rsidR="00573C9C" w:rsidRPr="00064185">
              <w:rPr>
                <w:rFonts w:eastAsia="Calibri" w:cs="Arial"/>
                <w:b/>
                <w:bCs/>
                <w:sz w:val="18"/>
                <w:szCs w:val="18"/>
                <w:lang w:eastAsia="en-GB"/>
              </w:rPr>
              <w:t xml:space="preserve"> </w:t>
            </w:r>
          </w:p>
        </w:tc>
      </w:tr>
      <w:tr w:rsidR="00064185" w:rsidRPr="00064185" w14:paraId="1C9061EB" w14:textId="365932C7" w:rsidTr="00840D4F">
        <w:trPr>
          <w:trHeight w:val="208"/>
        </w:trPr>
        <w:tc>
          <w:tcPr>
            <w:tcW w:w="2268" w:type="dxa"/>
            <w:vMerge w:val="restart"/>
            <w:shd w:val="clear" w:color="auto" w:fill="FFFFFF"/>
            <w:vAlign w:val="center"/>
          </w:tcPr>
          <w:p w14:paraId="676261C0" w14:textId="73161EF8" w:rsidR="00840D4F" w:rsidRPr="00064185" w:rsidRDefault="00840D4F" w:rsidP="00EA61D8">
            <w:pPr>
              <w:autoSpaceDE w:val="0"/>
              <w:autoSpaceDN w:val="0"/>
              <w:adjustRightInd w:val="0"/>
              <w:spacing w:before="60" w:after="60" w:line="260" w:lineRule="atLeast"/>
              <w:rPr>
                <w:rFonts w:eastAsia="Calibri" w:cs="Arial"/>
                <w:sz w:val="18"/>
                <w:szCs w:val="18"/>
                <w:lang w:eastAsia="en-GB"/>
              </w:rPr>
            </w:pPr>
            <w:r w:rsidRPr="00064185">
              <w:rPr>
                <w:b/>
                <w:bCs/>
                <w:sz w:val="18"/>
                <w:szCs w:val="18"/>
              </w:rPr>
              <w:t>Parameter</w:t>
            </w:r>
          </w:p>
        </w:tc>
        <w:tc>
          <w:tcPr>
            <w:tcW w:w="1843" w:type="dxa"/>
            <w:vMerge w:val="restart"/>
            <w:shd w:val="clear" w:color="auto" w:fill="FFFFFF"/>
            <w:vAlign w:val="center"/>
          </w:tcPr>
          <w:p w14:paraId="444CF59D" w14:textId="32AEF5FF" w:rsidR="00840D4F" w:rsidRPr="00064185" w:rsidRDefault="00840D4F" w:rsidP="00EA61D8">
            <w:pPr>
              <w:autoSpaceDE w:val="0"/>
              <w:autoSpaceDN w:val="0"/>
              <w:adjustRightInd w:val="0"/>
              <w:spacing w:before="60" w:after="60" w:line="260" w:lineRule="atLeast"/>
              <w:rPr>
                <w:rFonts w:eastAsia="Calibri"/>
                <w:sz w:val="18"/>
                <w:szCs w:val="18"/>
                <w:highlight w:val="yellow"/>
                <w:lang w:eastAsia="en-GB"/>
              </w:rPr>
            </w:pPr>
            <w:r w:rsidRPr="00064185">
              <w:rPr>
                <w:b/>
                <w:bCs/>
                <w:sz w:val="18"/>
                <w:szCs w:val="18"/>
              </w:rPr>
              <w:t>Definition</w:t>
            </w:r>
          </w:p>
        </w:tc>
        <w:tc>
          <w:tcPr>
            <w:tcW w:w="3969" w:type="dxa"/>
            <w:gridSpan w:val="3"/>
            <w:tcBorders>
              <w:bottom w:val="single" w:sz="4" w:space="0" w:color="auto"/>
            </w:tcBorders>
            <w:shd w:val="clear" w:color="auto" w:fill="FFFFFF"/>
            <w:vAlign w:val="center"/>
          </w:tcPr>
          <w:p w14:paraId="79F8CCF6" w14:textId="043EA680" w:rsidR="00840D4F" w:rsidRPr="00064185" w:rsidRDefault="00840D4F" w:rsidP="00EA61D8">
            <w:pPr>
              <w:keepNext/>
              <w:rPr>
                <w:rFonts w:eastAsia="Calibri" w:cs="Arial"/>
                <w:b/>
                <w:sz w:val="18"/>
                <w:szCs w:val="18"/>
                <w:lang w:eastAsia="en-GB"/>
              </w:rPr>
            </w:pPr>
            <w:r w:rsidRPr="00064185">
              <w:rPr>
                <w:rFonts w:eastAsia="Calibri" w:cs="Arial"/>
                <w:b/>
                <w:sz w:val="18"/>
                <w:szCs w:val="18"/>
                <w:lang w:eastAsia="en-GB"/>
              </w:rPr>
              <w:t xml:space="preserve">Indoor </w:t>
            </w:r>
          </w:p>
        </w:tc>
        <w:tc>
          <w:tcPr>
            <w:tcW w:w="1276" w:type="dxa"/>
            <w:shd w:val="clear" w:color="auto" w:fill="FFFFFF"/>
            <w:vAlign w:val="center"/>
          </w:tcPr>
          <w:p w14:paraId="16FDBC6F" w14:textId="3C3BED43" w:rsidR="00840D4F" w:rsidRPr="00064185" w:rsidRDefault="00840D4F" w:rsidP="00EA61D8">
            <w:pPr>
              <w:autoSpaceDE w:val="0"/>
              <w:autoSpaceDN w:val="0"/>
              <w:adjustRightInd w:val="0"/>
              <w:spacing w:before="60" w:after="60" w:line="260" w:lineRule="atLeast"/>
              <w:rPr>
                <w:rFonts w:eastAsia="Calibri" w:cs="Arial"/>
                <w:b/>
                <w:lang w:eastAsia="en-GB"/>
              </w:rPr>
            </w:pPr>
            <w:r w:rsidRPr="00064185">
              <w:rPr>
                <w:rFonts w:eastAsia="Calibri" w:cs="Arial"/>
                <w:b/>
                <w:lang w:eastAsia="en-GB"/>
              </w:rPr>
              <w:t xml:space="preserve">Outdoor </w:t>
            </w:r>
          </w:p>
        </w:tc>
      </w:tr>
      <w:tr w:rsidR="00064185" w:rsidRPr="00064185" w14:paraId="22A8FD12" w14:textId="77777777" w:rsidTr="00840D4F">
        <w:trPr>
          <w:trHeight w:val="1440"/>
        </w:trPr>
        <w:tc>
          <w:tcPr>
            <w:tcW w:w="2268" w:type="dxa"/>
            <w:vMerge/>
            <w:tcBorders>
              <w:bottom w:val="single" w:sz="18" w:space="0" w:color="auto"/>
            </w:tcBorders>
            <w:shd w:val="clear" w:color="auto" w:fill="FFFFFF"/>
            <w:vAlign w:val="center"/>
          </w:tcPr>
          <w:p w14:paraId="30563F19" w14:textId="77777777" w:rsidR="00A4072E" w:rsidRPr="00064185" w:rsidRDefault="00A4072E" w:rsidP="00EA61D8">
            <w:pPr>
              <w:autoSpaceDE w:val="0"/>
              <w:autoSpaceDN w:val="0"/>
              <w:adjustRightInd w:val="0"/>
              <w:spacing w:before="60" w:after="60" w:line="260" w:lineRule="atLeast"/>
              <w:rPr>
                <w:b/>
                <w:bCs/>
                <w:sz w:val="18"/>
                <w:szCs w:val="18"/>
              </w:rPr>
            </w:pPr>
          </w:p>
        </w:tc>
        <w:tc>
          <w:tcPr>
            <w:tcW w:w="1843" w:type="dxa"/>
            <w:vMerge/>
            <w:tcBorders>
              <w:bottom w:val="single" w:sz="18" w:space="0" w:color="auto"/>
            </w:tcBorders>
            <w:shd w:val="clear" w:color="auto" w:fill="FFFFFF"/>
            <w:vAlign w:val="center"/>
          </w:tcPr>
          <w:p w14:paraId="77BF5D59" w14:textId="77777777" w:rsidR="00A4072E" w:rsidRPr="00064185" w:rsidRDefault="00A4072E" w:rsidP="00EA61D8">
            <w:pPr>
              <w:autoSpaceDE w:val="0"/>
              <w:autoSpaceDN w:val="0"/>
              <w:adjustRightInd w:val="0"/>
              <w:spacing w:before="60" w:after="60" w:line="260" w:lineRule="atLeast"/>
              <w:rPr>
                <w:b/>
                <w:bCs/>
                <w:sz w:val="18"/>
                <w:szCs w:val="18"/>
              </w:rPr>
            </w:pPr>
          </w:p>
        </w:tc>
        <w:tc>
          <w:tcPr>
            <w:tcW w:w="1134" w:type="dxa"/>
            <w:tcBorders>
              <w:bottom w:val="single" w:sz="18" w:space="0" w:color="auto"/>
            </w:tcBorders>
            <w:shd w:val="clear" w:color="auto" w:fill="FFFFFF"/>
            <w:vAlign w:val="center"/>
          </w:tcPr>
          <w:p w14:paraId="036D132D" w14:textId="1A51F1AF" w:rsidR="00A4072E" w:rsidRPr="00064185" w:rsidRDefault="00A4072E" w:rsidP="00EA61D8">
            <w:pPr>
              <w:autoSpaceDE w:val="0"/>
              <w:autoSpaceDN w:val="0"/>
              <w:adjustRightInd w:val="0"/>
              <w:spacing w:before="60" w:after="60" w:line="260" w:lineRule="atLeast"/>
              <w:rPr>
                <w:b/>
                <w:bCs/>
                <w:sz w:val="18"/>
                <w:szCs w:val="18"/>
              </w:rPr>
            </w:pPr>
            <w:r w:rsidRPr="00064185">
              <w:rPr>
                <w:b/>
                <w:bCs/>
                <w:sz w:val="18"/>
                <w:szCs w:val="18"/>
              </w:rPr>
              <w:t>Ants</w:t>
            </w:r>
            <w:r w:rsidRPr="00064185">
              <w:rPr>
                <w:bCs/>
                <w:sz w:val="18"/>
                <w:szCs w:val="18"/>
              </w:rPr>
              <w:t xml:space="preserve"> residual treatment </w:t>
            </w:r>
          </w:p>
        </w:tc>
        <w:tc>
          <w:tcPr>
            <w:tcW w:w="1559" w:type="dxa"/>
            <w:tcBorders>
              <w:bottom w:val="single" w:sz="18" w:space="0" w:color="auto"/>
            </w:tcBorders>
            <w:shd w:val="clear" w:color="auto" w:fill="FFFFFF"/>
            <w:vAlign w:val="center"/>
          </w:tcPr>
          <w:p w14:paraId="3D0BC8FF" w14:textId="519C2895" w:rsidR="00A4072E" w:rsidRPr="00064185" w:rsidRDefault="00A4072E" w:rsidP="00EA61D8">
            <w:pPr>
              <w:keepNext/>
              <w:rPr>
                <w:bCs/>
                <w:sz w:val="18"/>
                <w:szCs w:val="18"/>
              </w:rPr>
            </w:pPr>
            <w:r w:rsidRPr="00064185">
              <w:rPr>
                <w:b/>
                <w:bCs/>
                <w:sz w:val="18"/>
                <w:szCs w:val="18"/>
              </w:rPr>
              <w:t>Silverfish &amp;</w:t>
            </w:r>
            <w:r w:rsidR="00840D4F" w:rsidRPr="00064185">
              <w:rPr>
                <w:b/>
                <w:bCs/>
                <w:sz w:val="18"/>
                <w:szCs w:val="18"/>
              </w:rPr>
              <w:t xml:space="preserve"> </w:t>
            </w:r>
            <w:r w:rsidRPr="00064185">
              <w:rPr>
                <w:b/>
                <w:bCs/>
                <w:sz w:val="18"/>
                <w:szCs w:val="18"/>
              </w:rPr>
              <w:t>Cockroaches</w:t>
            </w:r>
            <w:r w:rsidRPr="00064185">
              <w:rPr>
                <w:bCs/>
                <w:sz w:val="18"/>
                <w:szCs w:val="18"/>
              </w:rPr>
              <w:t xml:space="preserve"> </w:t>
            </w:r>
          </w:p>
          <w:p w14:paraId="0A8551EF" w14:textId="09E2422A" w:rsidR="00A4072E" w:rsidRPr="00064185" w:rsidRDefault="00A4072E" w:rsidP="00EA61D8">
            <w:pPr>
              <w:autoSpaceDE w:val="0"/>
              <w:autoSpaceDN w:val="0"/>
              <w:adjustRightInd w:val="0"/>
              <w:spacing w:before="60" w:after="60" w:line="260" w:lineRule="atLeast"/>
              <w:rPr>
                <w:b/>
                <w:bCs/>
                <w:sz w:val="18"/>
                <w:szCs w:val="18"/>
              </w:rPr>
            </w:pPr>
            <w:r w:rsidRPr="00064185">
              <w:rPr>
                <w:bCs/>
                <w:sz w:val="18"/>
                <w:szCs w:val="18"/>
              </w:rPr>
              <w:t>on target organisms, weekly</w:t>
            </w:r>
          </w:p>
        </w:tc>
        <w:tc>
          <w:tcPr>
            <w:tcW w:w="1276" w:type="dxa"/>
            <w:tcBorders>
              <w:bottom w:val="single" w:sz="18" w:space="0" w:color="auto"/>
            </w:tcBorders>
            <w:shd w:val="clear" w:color="auto" w:fill="FFFFFF"/>
            <w:vAlign w:val="center"/>
          </w:tcPr>
          <w:p w14:paraId="37A4F439" w14:textId="00BE0EE0" w:rsidR="00A4072E" w:rsidRPr="00064185" w:rsidRDefault="00A4072E" w:rsidP="00EA61D8">
            <w:pPr>
              <w:autoSpaceDE w:val="0"/>
              <w:autoSpaceDN w:val="0"/>
              <w:adjustRightInd w:val="0"/>
              <w:spacing w:before="60" w:after="60" w:line="260" w:lineRule="atLeast"/>
              <w:rPr>
                <w:b/>
                <w:bCs/>
                <w:sz w:val="18"/>
                <w:szCs w:val="18"/>
              </w:rPr>
            </w:pPr>
            <w:r w:rsidRPr="00064185">
              <w:rPr>
                <w:b/>
                <w:bCs/>
                <w:sz w:val="18"/>
                <w:szCs w:val="18"/>
              </w:rPr>
              <w:t>Wood lice</w:t>
            </w:r>
            <w:r w:rsidRPr="00064185">
              <w:rPr>
                <w:bCs/>
                <w:sz w:val="18"/>
                <w:szCs w:val="18"/>
              </w:rPr>
              <w:t xml:space="preserve"> on target organisms, twice a year </w:t>
            </w:r>
          </w:p>
        </w:tc>
        <w:tc>
          <w:tcPr>
            <w:tcW w:w="1276" w:type="dxa"/>
            <w:tcBorders>
              <w:bottom w:val="single" w:sz="18" w:space="0" w:color="auto"/>
            </w:tcBorders>
            <w:shd w:val="clear" w:color="auto" w:fill="FFFFFF"/>
            <w:vAlign w:val="center"/>
          </w:tcPr>
          <w:p w14:paraId="4E3A039A" w14:textId="40DB397D" w:rsidR="00A4072E" w:rsidRPr="00064185" w:rsidRDefault="00840D4F" w:rsidP="00EA61D8">
            <w:pPr>
              <w:keepNext/>
              <w:rPr>
                <w:sz w:val="18"/>
                <w:szCs w:val="18"/>
              </w:rPr>
            </w:pPr>
            <w:r w:rsidRPr="00064185">
              <w:rPr>
                <w:b/>
                <w:bCs/>
              </w:rPr>
              <w:t>Ants</w:t>
            </w:r>
            <w:r w:rsidRPr="00064185">
              <w:rPr>
                <w:sz w:val="18"/>
                <w:szCs w:val="18"/>
              </w:rPr>
              <w:t xml:space="preserve"> (urban </w:t>
            </w:r>
            <w:r w:rsidR="00A4072E" w:rsidRPr="00064185">
              <w:rPr>
                <w:sz w:val="18"/>
                <w:szCs w:val="18"/>
              </w:rPr>
              <w:t>area), residual treatment</w:t>
            </w:r>
            <w:r w:rsidRPr="00064185">
              <w:rPr>
                <w:sz w:val="18"/>
                <w:szCs w:val="18"/>
              </w:rPr>
              <w:t xml:space="preserve"> </w:t>
            </w:r>
          </w:p>
        </w:tc>
      </w:tr>
      <w:tr w:rsidR="00064185" w:rsidRPr="00064185" w14:paraId="1EC4086D" w14:textId="433384B7" w:rsidTr="00852411">
        <w:trPr>
          <w:trHeight w:val="75"/>
        </w:trPr>
        <w:tc>
          <w:tcPr>
            <w:tcW w:w="2268" w:type="dxa"/>
            <w:tcBorders>
              <w:top w:val="single" w:sz="18" w:space="0" w:color="auto"/>
            </w:tcBorders>
            <w:shd w:val="clear" w:color="auto" w:fill="FFFFFF"/>
          </w:tcPr>
          <w:p w14:paraId="2D20223C" w14:textId="4F6181E1" w:rsidR="001F0C50" w:rsidRPr="00064185" w:rsidRDefault="007B29C6" w:rsidP="00EA61D8">
            <w:pPr>
              <w:autoSpaceDE w:val="0"/>
              <w:autoSpaceDN w:val="0"/>
              <w:adjustRightInd w:val="0"/>
              <w:spacing w:before="60" w:after="60" w:line="260" w:lineRule="atLeast"/>
              <w:rPr>
                <w:rFonts w:eastAsia="Calibri" w:cs="Arial"/>
                <w:sz w:val="18"/>
                <w:szCs w:val="18"/>
                <w:lang w:eastAsia="en-GB"/>
              </w:rPr>
            </w:pPr>
            <w:r w:rsidRPr="00064185">
              <w:rPr>
                <w:b/>
                <w:sz w:val="18"/>
                <w:szCs w:val="18"/>
              </w:rPr>
              <w:t xml:space="preserve">PEC </w:t>
            </w:r>
            <w:r w:rsidR="001F0C50" w:rsidRPr="00064185">
              <w:rPr>
                <w:b/>
                <w:sz w:val="18"/>
                <w:szCs w:val="18"/>
              </w:rPr>
              <w:t xml:space="preserve"> [mg/kg</w:t>
            </w:r>
            <w:r w:rsidR="001F0C50" w:rsidRPr="00064185">
              <w:rPr>
                <w:b/>
                <w:sz w:val="18"/>
                <w:szCs w:val="18"/>
                <w:vertAlign w:val="subscript"/>
              </w:rPr>
              <w:t>wet fish</w:t>
            </w:r>
            <w:r w:rsidR="001F0C50" w:rsidRPr="00064185">
              <w:rPr>
                <w:b/>
                <w:sz w:val="18"/>
                <w:szCs w:val="18"/>
              </w:rPr>
              <w:t>]</w:t>
            </w:r>
          </w:p>
        </w:tc>
        <w:tc>
          <w:tcPr>
            <w:tcW w:w="1843" w:type="dxa"/>
            <w:tcBorders>
              <w:top w:val="single" w:sz="18" w:space="0" w:color="auto"/>
            </w:tcBorders>
            <w:shd w:val="clear" w:color="auto" w:fill="FFFFFF"/>
            <w:vAlign w:val="center"/>
          </w:tcPr>
          <w:p w14:paraId="44CE1C35" w14:textId="7047C01E" w:rsidR="001F0C50" w:rsidRPr="00064185" w:rsidRDefault="00F36851" w:rsidP="00EA61D8">
            <w:pPr>
              <w:autoSpaceDE w:val="0"/>
              <w:autoSpaceDN w:val="0"/>
              <w:adjustRightInd w:val="0"/>
              <w:spacing w:before="60" w:after="60" w:line="260" w:lineRule="atLeast"/>
              <w:rPr>
                <w:rFonts w:eastAsia="Calibri"/>
                <w:sz w:val="18"/>
                <w:szCs w:val="18"/>
                <w:highlight w:val="yellow"/>
                <w:lang w:eastAsia="en-GB"/>
              </w:rPr>
            </w:pPr>
            <w:r w:rsidRPr="00064185">
              <w:rPr>
                <w:i/>
                <w:iCs/>
                <w:sz w:val="18"/>
                <w:szCs w:val="18"/>
                <w:lang w:eastAsia="de-AT"/>
              </w:rPr>
              <w:t xml:space="preserve">PEC </w:t>
            </w:r>
            <w:r w:rsidRPr="00064185">
              <w:rPr>
                <w:i/>
                <w:iCs/>
                <w:sz w:val="18"/>
                <w:szCs w:val="18"/>
                <w:vertAlign w:val="subscript"/>
                <w:lang w:eastAsia="de-AT"/>
              </w:rPr>
              <w:t>oral, predator</w:t>
            </w:r>
            <w:r w:rsidRPr="00064185">
              <w:rPr>
                <w:i/>
                <w:iCs/>
                <w:sz w:val="18"/>
                <w:szCs w:val="18"/>
                <w:lang w:eastAsia="de-AT"/>
              </w:rPr>
              <w:t xml:space="preserve"> = </w:t>
            </w:r>
            <w:r w:rsidR="00852411" w:rsidRPr="00064185">
              <w:rPr>
                <w:i/>
                <w:iCs/>
                <w:sz w:val="18"/>
                <w:szCs w:val="18"/>
                <w:lang w:eastAsia="de-AT"/>
              </w:rPr>
              <w:t>C</w:t>
            </w:r>
            <w:r w:rsidR="00852411" w:rsidRPr="00064185">
              <w:rPr>
                <w:i/>
                <w:iCs/>
                <w:sz w:val="18"/>
                <w:szCs w:val="18"/>
                <w:vertAlign w:val="subscript"/>
                <w:lang w:eastAsia="de-AT"/>
              </w:rPr>
              <w:t>fish</w:t>
            </w:r>
          </w:p>
        </w:tc>
        <w:tc>
          <w:tcPr>
            <w:tcW w:w="1134" w:type="dxa"/>
            <w:tcBorders>
              <w:top w:val="single" w:sz="18" w:space="0" w:color="auto"/>
            </w:tcBorders>
            <w:shd w:val="clear" w:color="auto" w:fill="FFFFFF"/>
            <w:vAlign w:val="center"/>
          </w:tcPr>
          <w:p w14:paraId="321D07E1" w14:textId="30DA1C3A" w:rsidR="001F0C50" w:rsidRPr="00064185" w:rsidRDefault="001F0C50" w:rsidP="00EA61D8">
            <w:pPr>
              <w:autoSpaceDE w:val="0"/>
              <w:autoSpaceDN w:val="0"/>
              <w:adjustRightInd w:val="0"/>
              <w:spacing w:before="60" w:after="60" w:line="260" w:lineRule="atLeast"/>
              <w:rPr>
                <w:rFonts w:eastAsia="Calibri" w:cs="Arial"/>
                <w:b/>
                <w:sz w:val="18"/>
                <w:szCs w:val="18"/>
                <w:lang w:eastAsia="en-GB"/>
              </w:rPr>
            </w:pPr>
            <w:r w:rsidRPr="00064185">
              <w:rPr>
                <w:b/>
                <w:sz w:val="18"/>
                <w:szCs w:val="18"/>
              </w:rPr>
              <w:t>2.96E-2</w:t>
            </w:r>
          </w:p>
        </w:tc>
        <w:tc>
          <w:tcPr>
            <w:tcW w:w="1559" w:type="dxa"/>
            <w:tcBorders>
              <w:top w:val="single" w:sz="18" w:space="0" w:color="auto"/>
            </w:tcBorders>
            <w:shd w:val="clear" w:color="auto" w:fill="FFFFFF"/>
            <w:vAlign w:val="center"/>
          </w:tcPr>
          <w:p w14:paraId="21832C8C" w14:textId="3A799BDC" w:rsidR="001F0C50" w:rsidRPr="00064185" w:rsidRDefault="001F0C50" w:rsidP="00EA61D8">
            <w:pPr>
              <w:autoSpaceDE w:val="0"/>
              <w:autoSpaceDN w:val="0"/>
              <w:adjustRightInd w:val="0"/>
              <w:spacing w:before="60" w:after="60" w:line="260" w:lineRule="atLeast"/>
              <w:rPr>
                <w:rFonts w:eastAsia="Calibri" w:cs="Arial"/>
                <w:b/>
                <w:sz w:val="18"/>
                <w:szCs w:val="18"/>
                <w:lang w:eastAsia="en-GB"/>
              </w:rPr>
            </w:pPr>
            <w:r w:rsidRPr="00064185">
              <w:rPr>
                <w:b/>
                <w:sz w:val="18"/>
                <w:szCs w:val="18"/>
              </w:rPr>
              <w:t>0.274</w:t>
            </w:r>
          </w:p>
        </w:tc>
        <w:tc>
          <w:tcPr>
            <w:tcW w:w="1276" w:type="dxa"/>
            <w:tcBorders>
              <w:top w:val="single" w:sz="18" w:space="0" w:color="auto"/>
            </w:tcBorders>
            <w:shd w:val="clear" w:color="auto" w:fill="FFFFFF"/>
            <w:vAlign w:val="center"/>
          </w:tcPr>
          <w:p w14:paraId="094B2731" w14:textId="665D2900" w:rsidR="001F0C50" w:rsidRPr="00064185" w:rsidRDefault="001F0C50" w:rsidP="00EA61D8">
            <w:pPr>
              <w:autoSpaceDE w:val="0"/>
              <w:autoSpaceDN w:val="0"/>
              <w:adjustRightInd w:val="0"/>
              <w:spacing w:before="60" w:after="60" w:line="260" w:lineRule="atLeast"/>
              <w:rPr>
                <w:rFonts w:eastAsia="Calibri" w:cs="Arial"/>
                <w:b/>
                <w:sz w:val="18"/>
                <w:szCs w:val="18"/>
                <w:lang w:eastAsia="en-GB"/>
              </w:rPr>
            </w:pPr>
            <w:r w:rsidRPr="00064185">
              <w:rPr>
                <w:b/>
                <w:sz w:val="18"/>
                <w:szCs w:val="18"/>
              </w:rPr>
              <w:t>2.80E-2</w:t>
            </w:r>
          </w:p>
        </w:tc>
        <w:tc>
          <w:tcPr>
            <w:tcW w:w="1276" w:type="dxa"/>
            <w:tcBorders>
              <w:top w:val="single" w:sz="18" w:space="0" w:color="auto"/>
            </w:tcBorders>
            <w:shd w:val="clear" w:color="auto" w:fill="FFFFFF"/>
            <w:vAlign w:val="center"/>
          </w:tcPr>
          <w:p w14:paraId="2A773EF7" w14:textId="1EFADC4A" w:rsidR="001F0C50" w:rsidRPr="00064185" w:rsidRDefault="001F0C50" w:rsidP="00EA61D8">
            <w:pPr>
              <w:autoSpaceDE w:val="0"/>
              <w:autoSpaceDN w:val="0"/>
              <w:adjustRightInd w:val="0"/>
              <w:spacing w:before="60" w:after="60" w:line="260" w:lineRule="atLeast"/>
              <w:rPr>
                <w:rFonts w:eastAsia="Calibri" w:cs="Arial"/>
                <w:b/>
                <w:sz w:val="18"/>
                <w:szCs w:val="18"/>
                <w:lang w:eastAsia="en-GB"/>
              </w:rPr>
            </w:pPr>
            <w:r w:rsidRPr="00064185">
              <w:rPr>
                <w:b/>
                <w:sz w:val="18"/>
                <w:szCs w:val="18"/>
              </w:rPr>
              <w:t>2.34E-2</w:t>
            </w:r>
          </w:p>
        </w:tc>
      </w:tr>
      <w:tr w:rsidR="00064185" w:rsidRPr="00064185" w14:paraId="6AA1F30C" w14:textId="77777777" w:rsidTr="00852411">
        <w:trPr>
          <w:trHeight w:val="556"/>
        </w:trPr>
        <w:tc>
          <w:tcPr>
            <w:tcW w:w="4111" w:type="dxa"/>
            <w:gridSpan w:val="2"/>
            <w:shd w:val="clear" w:color="auto" w:fill="FFFFFF"/>
            <w:vAlign w:val="center"/>
          </w:tcPr>
          <w:p w14:paraId="626146B7" w14:textId="4416B420" w:rsidR="00902515" w:rsidRPr="00064185" w:rsidRDefault="00902515" w:rsidP="00EA61D8">
            <w:pPr>
              <w:autoSpaceDE w:val="0"/>
              <w:autoSpaceDN w:val="0"/>
              <w:adjustRightInd w:val="0"/>
              <w:rPr>
                <w:iCs/>
                <w:sz w:val="18"/>
                <w:szCs w:val="18"/>
                <w:lang w:eastAsia="de-AT"/>
              </w:rPr>
            </w:pPr>
            <w:r w:rsidRPr="00064185">
              <w:rPr>
                <w:iCs/>
                <w:sz w:val="18"/>
                <w:szCs w:val="18"/>
                <w:lang w:eastAsia="de-AT"/>
              </w:rPr>
              <w:t>FIR/bw</w:t>
            </w:r>
            <w:r w:rsidR="00852411" w:rsidRPr="00064185">
              <w:rPr>
                <w:iCs/>
                <w:sz w:val="18"/>
                <w:szCs w:val="18"/>
                <w:lang w:eastAsia="de-AT"/>
              </w:rPr>
              <w:t>*</w:t>
            </w:r>
            <w:r w:rsidRPr="00064185">
              <w:rPr>
                <w:iCs/>
                <w:sz w:val="18"/>
                <w:szCs w:val="18"/>
                <w:lang w:eastAsia="de-AT"/>
              </w:rPr>
              <w:t xml:space="preserve"> </w:t>
            </w:r>
          </w:p>
        </w:tc>
        <w:tc>
          <w:tcPr>
            <w:tcW w:w="5245" w:type="dxa"/>
            <w:gridSpan w:val="4"/>
            <w:shd w:val="clear" w:color="auto" w:fill="FFFFFF"/>
            <w:vAlign w:val="center"/>
          </w:tcPr>
          <w:p w14:paraId="67D828CB" w14:textId="48F98734" w:rsidR="00902515" w:rsidRPr="00064185" w:rsidRDefault="00902515" w:rsidP="00EA61D8">
            <w:pPr>
              <w:autoSpaceDE w:val="0"/>
              <w:autoSpaceDN w:val="0"/>
              <w:adjustRightInd w:val="0"/>
              <w:rPr>
                <w:sz w:val="18"/>
                <w:szCs w:val="18"/>
              </w:rPr>
            </w:pPr>
            <w:r w:rsidRPr="00064185">
              <w:rPr>
                <w:sz w:val="18"/>
                <w:szCs w:val="18"/>
              </w:rPr>
              <w:t xml:space="preserve">     0.21 for fish-eating birds</w:t>
            </w:r>
            <w:r w:rsidRPr="00064185">
              <w:rPr>
                <w:sz w:val="18"/>
                <w:szCs w:val="18"/>
              </w:rPr>
              <w:tab/>
            </w:r>
          </w:p>
        </w:tc>
      </w:tr>
      <w:tr w:rsidR="00064185" w:rsidRPr="00064185" w14:paraId="73451242" w14:textId="77777777" w:rsidTr="00852411">
        <w:trPr>
          <w:trHeight w:val="75"/>
        </w:trPr>
        <w:tc>
          <w:tcPr>
            <w:tcW w:w="4111" w:type="dxa"/>
            <w:gridSpan w:val="2"/>
            <w:shd w:val="clear" w:color="auto" w:fill="FFFFFF"/>
            <w:vAlign w:val="center"/>
          </w:tcPr>
          <w:p w14:paraId="74325994" w14:textId="3608F862" w:rsidR="00902515" w:rsidRPr="00064185" w:rsidRDefault="00902515" w:rsidP="00EA61D8">
            <w:pPr>
              <w:autoSpaceDE w:val="0"/>
              <w:autoSpaceDN w:val="0"/>
              <w:adjustRightInd w:val="0"/>
              <w:rPr>
                <w:iCs/>
                <w:sz w:val="18"/>
                <w:szCs w:val="18"/>
                <w:lang w:eastAsia="de-AT"/>
              </w:rPr>
            </w:pPr>
            <w:r w:rsidRPr="00064185">
              <w:rPr>
                <w:iCs/>
                <w:sz w:val="18"/>
                <w:szCs w:val="18"/>
                <w:lang w:eastAsia="de-AT"/>
              </w:rPr>
              <w:t>FIR/bw</w:t>
            </w:r>
            <w:r w:rsidR="00852411" w:rsidRPr="00064185">
              <w:rPr>
                <w:iCs/>
                <w:sz w:val="18"/>
                <w:szCs w:val="18"/>
                <w:lang w:eastAsia="de-AT"/>
              </w:rPr>
              <w:t>*</w:t>
            </w:r>
            <w:r w:rsidRPr="00064185">
              <w:rPr>
                <w:iCs/>
                <w:sz w:val="18"/>
                <w:szCs w:val="18"/>
                <w:lang w:eastAsia="de-AT"/>
              </w:rPr>
              <w:t xml:space="preserve"> </w:t>
            </w:r>
          </w:p>
          <w:p w14:paraId="361786FB" w14:textId="590CF7ED" w:rsidR="00902515" w:rsidRPr="00064185" w:rsidRDefault="00902515" w:rsidP="00EA61D8">
            <w:pPr>
              <w:autoSpaceDE w:val="0"/>
              <w:autoSpaceDN w:val="0"/>
              <w:adjustRightInd w:val="0"/>
              <w:rPr>
                <w:rFonts w:eastAsia="Calibri"/>
                <w:sz w:val="18"/>
                <w:szCs w:val="18"/>
                <w:highlight w:val="yellow"/>
                <w:lang w:eastAsia="en-GB"/>
              </w:rPr>
            </w:pPr>
          </w:p>
        </w:tc>
        <w:tc>
          <w:tcPr>
            <w:tcW w:w="5245" w:type="dxa"/>
            <w:gridSpan w:val="4"/>
            <w:shd w:val="clear" w:color="auto" w:fill="FFFFFF"/>
            <w:vAlign w:val="center"/>
          </w:tcPr>
          <w:p w14:paraId="481F491F" w14:textId="227FEEB9" w:rsidR="00902515" w:rsidRPr="00064185" w:rsidRDefault="00902515" w:rsidP="00EA61D8">
            <w:pPr>
              <w:autoSpaceDE w:val="0"/>
              <w:autoSpaceDN w:val="0"/>
              <w:adjustRightInd w:val="0"/>
              <w:spacing w:before="60" w:after="60" w:line="260" w:lineRule="atLeast"/>
              <w:rPr>
                <w:sz w:val="18"/>
                <w:szCs w:val="18"/>
              </w:rPr>
            </w:pPr>
            <w:r w:rsidRPr="00064185">
              <w:rPr>
                <w:sz w:val="18"/>
                <w:szCs w:val="18"/>
              </w:rPr>
              <w:t xml:space="preserve">     0.13 for fish-eating mammals</w:t>
            </w:r>
          </w:p>
        </w:tc>
      </w:tr>
      <w:tr w:rsidR="00064185" w:rsidRPr="00064185" w14:paraId="03625D1B" w14:textId="0622DBC7" w:rsidTr="00840D4F">
        <w:trPr>
          <w:trHeight w:val="75"/>
        </w:trPr>
        <w:tc>
          <w:tcPr>
            <w:tcW w:w="2268" w:type="dxa"/>
            <w:shd w:val="clear" w:color="auto" w:fill="FFFFFF"/>
          </w:tcPr>
          <w:p w14:paraId="42CB314B" w14:textId="77777777" w:rsidR="00FB77C4" w:rsidRPr="00064185" w:rsidRDefault="007B29C6" w:rsidP="00EA61D8">
            <w:pPr>
              <w:autoSpaceDE w:val="0"/>
              <w:autoSpaceDN w:val="0"/>
              <w:adjustRightInd w:val="0"/>
              <w:spacing w:before="60" w:after="60" w:line="260" w:lineRule="atLeast"/>
              <w:rPr>
                <w:b/>
                <w:sz w:val="18"/>
                <w:szCs w:val="18"/>
              </w:rPr>
            </w:pPr>
            <w:r w:rsidRPr="00064185">
              <w:rPr>
                <w:b/>
                <w:sz w:val="18"/>
                <w:szCs w:val="18"/>
              </w:rPr>
              <w:t>ETE</w:t>
            </w:r>
            <w:r w:rsidR="00FB77C4" w:rsidRPr="00064185">
              <w:rPr>
                <w:b/>
                <w:sz w:val="18"/>
                <w:szCs w:val="18"/>
              </w:rPr>
              <w:t xml:space="preserve"> </w:t>
            </w:r>
            <w:r w:rsidR="00F36851" w:rsidRPr="00064185">
              <w:rPr>
                <w:b/>
                <w:sz w:val="18"/>
                <w:szCs w:val="18"/>
              </w:rPr>
              <w:t>in birds</w:t>
            </w:r>
            <w:r w:rsidR="001F0C50" w:rsidRPr="00064185">
              <w:rPr>
                <w:b/>
                <w:sz w:val="18"/>
                <w:szCs w:val="18"/>
              </w:rPr>
              <w:t xml:space="preserve"> </w:t>
            </w:r>
          </w:p>
          <w:p w14:paraId="6B6CE144" w14:textId="082EF399" w:rsidR="001F0C50" w:rsidRPr="00064185" w:rsidRDefault="001F0C50" w:rsidP="00EA61D8">
            <w:pPr>
              <w:autoSpaceDE w:val="0"/>
              <w:autoSpaceDN w:val="0"/>
              <w:adjustRightInd w:val="0"/>
              <w:spacing w:before="60" w:after="60" w:line="260" w:lineRule="atLeast"/>
              <w:rPr>
                <w:rFonts w:eastAsia="Calibri" w:cs="Arial"/>
                <w:sz w:val="18"/>
                <w:szCs w:val="18"/>
                <w:lang w:eastAsia="en-GB"/>
              </w:rPr>
            </w:pPr>
            <w:r w:rsidRPr="00064185">
              <w:rPr>
                <w:b/>
                <w:sz w:val="18"/>
                <w:szCs w:val="18"/>
              </w:rPr>
              <w:t>[mg</w:t>
            </w:r>
            <w:r w:rsidR="0006046F" w:rsidRPr="00064185">
              <w:rPr>
                <w:b/>
                <w:sz w:val="18"/>
                <w:szCs w:val="18"/>
              </w:rPr>
              <w:t xml:space="preserve"> ai</w:t>
            </w:r>
            <w:r w:rsidRPr="00064185">
              <w:rPr>
                <w:b/>
                <w:sz w:val="18"/>
                <w:szCs w:val="18"/>
              </w:rPr>
              <w:t>/k</w:t>
            </w:r>
            <w:r w:rsidR="0006046F" w:rsidRPr="00064185">
              <w:rPr>
                <w:b/>
                <w:sz w:val="18"/>
                <w:szCs w:val="18"/>
              </w:rPr>
              <w:t>g bw/d</w:t>
            </w:r>
            <w:r w:rsidRPr="00064185">
              <w:rPr>
                <w:b/>
                <w:sz w:val="18"/>
                <w:szCs w:val="18"/>
              </w:rPr>
              <w:t>]</w:t>
            </w:r>
          </w:p>
        </w:tc>
        <w:tc>
          <w:tcPr>
            <w:tcW w:w="1843" w:type="dxa"/>
            <w:shd w:val="clear" w:color="auto" w:fill="FFFFFF"/>
          </w:tcPr>
          <w:p w14:paraId="4B0ACC30" w14:textId="4825513B" w:rsidR="00F36851" w:rsidRPr="00064185" w:rsidRDefault="00F36851" w:rsidP="00EA61D8">
            <w:pPr>
              <w:autoSpaceDE w:val="0"/>
              <w:autoSpaceDN w:val="0"/>
              <w:adjustRightInd w:val="0"/>
              <w:spacing w:before="60" w:after="60" w:line="260" w:lineRule="atLeast"/>
              <w:rPr>
                <w:rFonts w:eastAsia="Calibri"/>
                <w:sz w:val="18"/>
                <w:szCs w:val="18"/>
                <w:highlight w:val="yellow"/>
                <w:lang w:eastAsia="en-GB"/>
              </w:rPr>
            </w:pPr>
            <w:r w:rsidRPr="00064185">
              <w:rPr>
                <w:sz w:val="18"/>
                <w:szCs w:val="18"/>
                <w:lang w:eastAsia="de-AT"/>
              </w:rPr>
              <w:t>ETE = FIR/bw × PEC</w:t>
            </w:r>
            <w:r w:rsidR="00573C9C" w:rsidRPr="00064185">
              <w:rPr>
                <w:i/>
                <w:iCs/>
                <w:sz w:val="18"/>
                <w:szCs w:val="18"/>
                <w:vertAlign w:val="subscript"/>
                <w:lang w:eastAsia="de-AT"/>
              </w:rPr>
              <w:t xml:space="preserve"> oral, predator</w:t>
            </w:r>
          </w:p>
        </w:tc>
        <w:tc>
          <w:tcPr>
            <w:tcW w:w="1134" w:type="dxa"/>
            <w:shd w:val="clear" w:color="auto" w:fill="FFFFFF"/>
            <w:vAlign w:val="center"/>
          </w:tcPr>
          <w:p w14:paraId="78482939" w14:textId="7A237678" w:rsidR="001F0C50" w:rsidRPr="00064185" w:rsidRDefault="005B3972"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6</w:t>
            </w:r>
            <w:r w:rsidR="002E643B" w:rsidRPr="00064185">
              <w:rPr>
                <w:rFonts w:eastAsia="Calibri" w:cs="Arial"/>
                <w:sz w:val="18"/>
                <w:szCs w:val="18"/>
                <w:lang w:eastAsia="en-GB"/>
              </w:rPr>
              <w:t>.</w:t>
            </w:r>
            <w:r w:rsidRPr="00064185">
              <w:rPr>
                <w:rFonts w:eastAsia="Calibri" w:cs="Arial"/>
                <w:sz w:val="18"/>
                <w:szCs w:val="18"/>
                <w:lang w:eastAsia="en-GB"/>
              </w:rPr>
              <w:t>21E-3</w:t>
            </w:r>
          </w:p>
        </w:tc>
        <w:tc>
          <w:tcPr>
            <w:tcW w:w="1559" w:type="dxa"/>
            <w:shd w:val="clear" w:color="auto" w:fill="FFFFFF"/>
            <w:vAlign w:val="center"/>
          </w:tcPr>
          <w:p w14:paraId="5886D2E5" w14:textId="56EE279E" w:rsidR="001F0C50" w:rsidRPr="00064185" w:rsidRDefault="005B3972"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5</w:t>
            </w:r>
            <w:r w:rsidR="002E643B" w:rsidRPr="00064185">
              <w:rPr>
                <w:rFonts w:eastAsia="Calibri" w:cs="Arial"/>
                <w:sz w:val="18"/>
                <w:szCs w:val="18"/>
                <w:lang w:eastAsia="en-GB"/>
              </w:rPr>
              <w:t>.</w:t>
            </w:r>
            <w:r w:rsidRPr="00064185">
              <w:rPr>
                <w:rFonts w:eastAsia="Calibri" w:cs="Arial"/>
                <w:sz w:val="18"/>
                <w:szCs w:val="18"/>
                <w:lang w:eastAsia="en-GB"/>
              </w:rPr>
              <w:t>75E-2</w:t>
            </w:r>
          </w:p>
        </w:tc>
        <w:tc>
          <w:tcPr>
            <w:tcW w:w="1276" w:type="dxa"/>
            <w:shd w:val="clear" w:color="auto" w:fill="FFFFFF"/>
            <w:vAlign w:val="center"/>
          </w:tcPr>
          <w:p w14:paraId="7CC435F8" w14:textId="664517B4" w:rsidR="001F0C50" w:rsidRPr="00064185" w:rsidRDefault="007210BF"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5.88E-3</w:t>
            </w:r>
          </w:p>
        </w:tc>
        <w:tc>
          <w:tcPr>
            <w:tcW w:w="1276" w:type="dxa"/>
            <w:shd w:val="clear" w:color="auto" w:fill="FFFFFF"/>
            <w:vAlign w:val="center"/>
          </w:tcPr>
          <w:p w14:paraId="02561286" w14:textId="054FA0A8" w:rsidR="001F0C50" w:rsidRPr="00064185" w:rsidRDefault="007210BF"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4</w:t>
            </w:r>
            <w:r w:rsidR="00A723F2" w:rsidRPr="00064185">
              <w:rPr>
                <w:rFonts w:eastAsia="Calibri" w:cs="Arial"/>
                <w:sz w:val="18"/>
                <w:szCs w:val="18"/>
                <w:lang w:eastAsia="en-GB"/>
              </w:rPr>
              <w:t>.91</w:t>
            </w:r>
            <w:r w:rsidRPr="00064185">
              <w:rPr>
                <w:rFonts w:eastAsia="Calibri" w:cs="Arial"/>
                <w:sz w:val="18"/>
                <w:szCs w:val="18"/>
                <w:lang w:eastAsia="en-GB"/>
              </w:rPr>
              <w:t>E-3</w:t>
            </w:r>
          </w:p>
        </w:tc>
      </w:tr>
      <w:tr w:rsidR="00064185" w:rsidRPr="00064185" w14:paraId="25B9E983" w14:textId="77777777" w:rsidTr="00840D4F">
        <w:trPr>
          <w:trHeight w:val="75"/>
        </w:trPr>
        <w:tc>
          <w:tcPr>
            <w:tcW w:w="2268" w:type="dxa"/>
            <w:tcBorders>
              <w:bottom w:val="single" w:sz="18" w:space="0" w:color="auto"/>
            </w:tcBorders>
            <w:shd w:val="clear" w:color="auto" w:fill="FFFFFF"/>
          </w:tcPr>
          <w:p w14:paraId="1D2857EB" w14:textId="40EBD108" w:rsidR="007B29C6" w:rsidRPr="00064185" w:rsidRDefault="007B29C6" w:rsidP="00EA61D8">
            <w:pPr>
              <w:autoSpaceDE w:val="0"/>
              <w:autoSpaceDN w:val="0"/>
              <w:adjustRightInd w:val="0"/>
              <w:spacing w:before="60" w:after="60" w:line="260" w:lineRule="atLeast"/>
              <w:rPr>
                <w:rFonts w:eastAsia="Calibri" w:cs="Arial"/>
                <w:sz w:val="18"/>
                <w:szCs w:val="18"/>
                <w:lang w:val="de-AT" w:eastAsia="en-GB"/>
              </w:rPr>
            </w:pPr>
            <w:r w:rsidRPr="00064185">
              <w:rPr>
                <w:rFonts w:eastAsia="Calibri" w:cs="Arial"/>
                <w:b/>
                <w:sz w:val="18"/>
                <w:szCs w:val="18"/>
                <w:lang w:val="de-AT" w:eastAsia="en-GB"/>
              </w:rPr>
              <w:t>ETE</w:t>
            </w:r>
            <w:r w:rsidRPr="00064185">
              <w:rPr>
                <w:rFonts w:eastAsia="Calibri" w:cs="Arial"/>
                <w:sz w:val="18"/>
                <w:szCs w:val="18"/>
                <w:lang w:val="de-AT" w:eastAsia="en-GB"/>
              </w:rPr>
              <w:t xml:space="preserve"> </w:t>
            </w:r>
            <w:r w:rsidRPr="00064185">
              <w:rPr>
                <w:b/>
                <w:sz w:val="18"/>
                <w:szCs w:val="18"/>
                <w:lang w:val="de-AT"/>
              </w:rPr>
              <w:t>in mammals [mg ai/kg bw/d]</w:t>
            </w:r>
          </w:p>
        </w:tc>
        <w:tc>
          <w:tcPr>
            <w:tcW w:w="1843" w:type="dxa"/>
            <w:tcBorders>
              <w:bottom w:val="single" w:sz="18" w:space="0" w:color="auto"/>
            </w:tcBorders>
            <w:shd w:val="clear" w:color="auto" w:fill="FFFFFF"/>
          </w:tcPr>
          <w:p w14:paraId="2E276848" w14:textId="3869288B" w:rsidR="007B29C6" w:rsidRPr="00064185" w:rsidRDefault="00644942" w:rsidP="00EA61D8">
            <w:pPr>
              <w:autoSpaceDE w:val="0"/>
              <w:autoSpaceDN w:val="0"/>
              <w:adjustRightInd w:val="0"/>
              <w:spacing w:before="60" w:after="60" w:line="260" w:lineRule="atLeast"/>
              <w:rPr>
                <w:rFonts w:eastAsia="Calibri"/>
                <w:sz w:val="18"/>
                <w:szCs w:val="18"/>
                <w:highlight w:val="yellow"/>
                <w:lang w:eastAsia="en-GB"/>
              </w:rPr>
            </w:pPr>
            <w:r w:rsidRPr="00064185">
              <w:rPr>
                <w:sz w:val="18"/>
                <w:szCs w:val="18"/>
                <w:lang w:eastAsia="de-AT"/>
              </w:rPr>
              <w:t xml:space="preserve">ETE </w:t>
            </w:r>
            <w:r w:rsidR="007B29C6" w:rsidRPr="00064185">
              <w:rPr>
                <w:sz w:val="18"/>
                <w:szCs w:val="18"/>
                <w:lang w:eastAsia="de-AT"/>
              </w:rPr>
              <w:t>= FIR/bw × PEC</w:t>
            </w:r>
            <w:r w:rsidR="00573C9C" w:rsidRPr="00064185">
              <w:rPr>
                <w:i/>
                <w:iCs/>
                <w:sz w:val="18"/>
                <w:szCs w:val="18"/>
                <w:vertAlign w:val="subscript"/>
                <w:lang w:eastAsia="de-AT"/>
              </w:rPr>
              <w:t xml:space="preserve"> oral, predator</w:t>
            </w:r>
          </w:p>
        </w:tc>
        <w:tc>
          <w:tcPr>
            <w:tcW w:w="1134" w:type="dxa"/>
            <w:tcBorders>
              <w:bottom w:val="single" w:sz="18" w:space="0" w:color="auto"/>
            </w:tcBorders>
            <w:shd w:val="clear" w:color="auto" w:fill="FFFFFF"/>
            <w:vAlign w:val="center"/>
          </w:tcPr>
          <w:p w14:paraId="38D85DE9" w14:textId="3627A629" w:rsidR="007B29C6" w:rsidRPr="00064185" w:rsidRDefault="00A723F2"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6.22E-3</w:t>
            </w:r>
          </w:p>
        </w:tc>
        <w:tc>
          <w:tcPr>
            <w:tcW w:w="1559" w:type="dxa"/>
            <w:tcBorders>
              <w:bottom w:val="single" w:sz="18" w:space="0" w:color="auto"/>
            </w:tcBorders>
            <w:shd w:val="clear" w:color="auto" w:fill="FFFFFF"/>
            <w:vAlign w:val="center"/>
          </w:tcPr>
          <w:p w14:paraId="5F977F9F" w14:textId="47D0AC63" w:rsidR="007B29C6" w:rsidRPr="00064185" w:rsidRDefault="00840D4F"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3.</w:t>
            </w:r>
            <w:r w:rsidR="00A723F2" w:rsidRPr="00064185">
              <w:rPr>
                <w:rFonts w:eastAsia="Calibri" w:cs="Arial"/>
                <w:sz w:val="18"/>
                <w:szCs w:val="18"/>
                <w:lang w:eastAsia="en-GB"/>
              </w:rPr>
              <w:t>56E-2</w:t>
            </w:r>
          </w:p>
        </w:tc>
        <w:tc>
          <w:tcPr>
            <w:tcW w:w="1276" w:type="dxa"/>
            <w:tcBorders>
              <w:bottom w:val="single" w:sz="18" w:space="0" w:color="auto"/>
            </w:tcBorders>
            <w:shd w:val="clear" w:color="auto" w:fill="FFFFFF"/>
            <w:vAlign w:val="center"/>
          </w:tcPr>
          <w:p w14:paraId="5207D7A5" w14:textId="62BF0414" w:rsidR="007B29C6" w:rsidRPr="00064185" w:rsidRDefault="00840D4F"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3.</w:t>
            </w:r>
            <w:r w:rsidR="00A723F2" w:rsidRPr="00064185">
              <w:rPr>
                <w:rFonts w:eastAsia="Calibri" w:cs="Arial"/>
                <w:sz w:val="18"/>
                <w:szCs w:val="18"/>
                <w:lang w:eastAsia="en-GB"/>
              </w:rPr>
              <w:t>64E-3</w:t>
            </w:r>
          </w:p>
        </w:tc>
        <w:tc>
          <w:tcPr>
            <w:tcW w:w="1276" w:type="dxa"/>
            <w:tcBorders>
              <w:bottom w:val="single" w:sz="18" w:space="0" w:color="auto"/>
            </w:tcBorders>
            <w:shd w:val="clear" w:color="auto" w:fill="FFFFFF"/>
            <w:vAlign w:val="center"/>
          </w:tcPr>
          <w:p w14:paraId="11E8A977" w14:textId="75FB1667" w:rsidR="007B29C6" w:rsidRPr="00064185" w:rsidRDefault="00A723F2"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3.04E-3</w:t>
            </w:r>
          </w:p>
        </w:tc>
      </w:tr>
      <w:tr w:rsidR="00064185" w:rsidRPr="00064185" w14:paraId="0F6DE870" w14:textId="77777777" w:rsidTr="00840D4F">
        <w:trPr>
          <w:trHeight w:val="75"/>
        </w:trPr>
        <w:tc>
          <w:tcPr>
            <w:tcW w:w="2268" w:type="dxa"/>
            <w:tcBorders>
              <w:top w:val="single" w:sz="18" w:space="0" w:color="auto"/>
              <w:left w:val="single" w:sz="2" w:space="0" w:color="auto"/>
              <w:bottom w:val="single" w:sz="2" w:space="0" w:color="auto"/>
              <w:right w:val="single" w:sz="2" w:space="0" w:color="auto"/>
            </w:tcBorders>
            <w:shd w:val="clear" w:color="auto" w:fill="FFFFFF"/>
          </w:tcPr>
          <w:p w14:paraId="6B175D3C" w14:textId="3B623D01" w:rsidR="00D809A2" w:rsidRPr="00064185" w:rsidRDefault="00D809A2"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b/>
                <w:sz w:val="18"/>
                <w:szCs w:val="18"/>
                <w:lang w:eastAsia="en-GB"/>
              </w:rPr>
              <w:t xml:space="preserve">PEC </w:t>
            </w:r>
            <w:r w:rsidRPr="00064185">
              <w:rPr>
                <w:b/>
                <w:sz w:val="18"/>
                <w:szCs w:val="18"/>
              </w:rPr>
              <w:t>in earth-worm</w:t>
            </w:r>
            <w:r w:rsidR="00FB77C4" w:rsidRPr="00064185">
              <w:rPr>
                <w:b/>
                <w:sz w:val="18"/>
                <w:szCs w:val="18"/>
              </w:rPr>
              <w:t xml:space="preserve"> </w:t>
            </w:r>
            <w:r w:rsidRPr="00064185">
              <w:rPr>
                <w:b/>
                <w:sz w:val="18"/>
                <w:szCs w:val="18"/>
              </w:rPr>
              <w:t>[mg/kg</w:t>
            </w:r>
            <w:r w:rsidRPr="00064185">
              <w:rPr>
                <w:b/>
                <w:sz w:val="18"/>
                <w:szCs w:val="18"/>
                <w:vertAlign w:val="subscript"/>
              </w:rPr>
              <w:t>wet</w:t>
            </w:r>
            <w:r w:rsidRPr="00064185">
              <w:rPr>
                <w:b/>
                <w:sz w:val="18"/>
                <w:szCs w:val="18"/>
              </w:rPr>
              <w:t xml:space="preserve"> </w:t>
            </w:r>
            <w:r w:rsidRPr="00064185">
              <w:rPr>
                <w:b/>
                <w:sz w:val="18"/>
                <w:szCs w:val="18"/>
                <w:vertAlign w:val="subscript"/>
              </w:rPr>
              <w:t>earthworm</w:t>
            </w:r>
            <w:r w:rsidRPr="00064185">
              <w:rPr>
                <w:b/>
                <w:sz w:val="18"/>
                <w:szCs w:val="18"/>
              </w:rPr>
              <w:t>]</w:t>
            </w:r>
          </w:p>
        </w:tc>
        <w:tc>
          <w:tcPr>
            <w:tcW w:w="1843" w:type="dxa"/>
            <w:tcBorders>
              <w:top w:val="single" w:sz="18" w:space="0" w:color="auto"/>
              <w:left w:val="single" w:sz="2" w:space="0" w:color="auto"/>
              <w:bottom w:val="single" w:sz="2" w:space="0" w:color="auto"/>
              <w:right w:val="single" w:sz="2" w:space="0" w:color="auto"/>
            </w:tcBorders>
            <w:shd w:val="clear" w:color="auto" w:fill="FFFFFF"/>
          </w:tcPr>
          <w:p w14:paraId="6AC27F25" w14:textId="001AAF3D" w:rsidR="00D809A2" w:rsidRPr="00064185" w:rsidRDefault="00852411" w:rsidP="00EA61D8">
            <w:pPr>
              <w:autoSpaceDE w:val="0"/>
              <w:autoSpaceDN w:val="0"/>
              <w:adjustRightInd w:val="0"/>
              <w:spacing w:before="60" w:after="60" w:line="260" w:lineRule="atLeast"/>
              <w:rPr>
                <w:rFonts w:eastAsia="Calibri"/>
                <w:sz w:val="18"/>
                <w:szCs w:val="18"/>
                <w:highlight w:val="yellow"/>
                <w:lang w:eastAsia="en-GB"/>
              </w:rPr>
            </w:pPr>
            <w:r w:rsidRPr="00064185">
              <w:rPr>
                <w:i/>
                <w:iCs/>
                <w:sz w:val="18"/>
                <w:szCs w:val="18"/>
                <w:lang w:eastAsia="de-AT"/>
              </w:rPr>
              <w:t xml:space="preserve">PEC </w:t>
            </w:r>
            <w:r w:rsidRPr="00064185">
              <w:rPr>
                <w:i/>
                <w:iCs/>
                <w:sz w:val="18"/>
                <w:szCs w:val="18"/>
                <w:vertAlign w:val="subscript"/>
                <w:lang w:eastAsia="de-AT"/>
              </w:rPr>
              <w:t>oral, predator</w:t>
            </w:r>
            <w:r w:rsidRPr="00064185">
              <w:rPr>
                <w:i/>
                <w:iCs/>
                <w:sz w:val="18"/>
                <w:szCs w:val="18"/>
                <w:lang w:eastAsia="de-AT"/>
              </w:rPr>
              <w:t xml:space="preserve"> = C</w:t>
            </w:r>
            <w:r w:rsidRPr="00064185">
              <w:rPr>
                <w:i/>
                <w:iCs/>
                <w:sz w:val="18"/>
                <w:szCs w:val="18"/>
                <w:vertAlign w:val="subscript"/>
                <w:lang w:eastAsia="de-AT"/>
              </w:rPr>
              <w:t>earthworm</w:t>
            </w:r>
          </w:p>
        </w:tc>
        <w:tc>
          <w:tcPr>
            <w:tcW w:w="1134" w:type="dxa"/>
            <w:tcBorders>
              <w:top w:val="single" w:sz="18" w:space="0" w:color="auto"/>
              <w:left w:val="single" w:sz="2" w:space="0" w:color="auto"/>
              <w:bottom w:val="single" w:sz="2" w:space="0" w:color="auto"/>
              <w:right w:val="single" w:sz="2" w:space="0" w:color="auto"/>
            </w:tcBorders>
            <w:shd w:val="clear" w:color="auto" w:fill="FFFFFF"/>
            <w:vAlign w:val="center"/>
          </w:tcPr>
          <w:p w14:paraId="4294A4E7" w14:textId="305E2966" w:rsidR="00D809A2" w:rsidRPr="00064185" w:rsidRDefault="00D809A2" w:rsidP="00EA61D8">
            <w:pPr>
              <w:autoSpaceDE w:val="0"/>
              <w:autoSpaceDN w:val="0"/>
              <w:adjustRightInd w:val="0"/>
              <w:spacing w:before="60" w:after="60" w:line="260" w:lineRule="atLeast"/>
              <w:rPr>
                <w:rFonts w:eastAsia="Calibri" w:cs="Arial"/>
                <w:sz w:val="18"/>
                <w:szCs w:val="18"/>
                <w:lang w:eastAsia="en-GB"/>
              </w:rPr>
            </w:pPr>
            <w:r w:rsidRPr="00064185">
              <w:rPr>
                <w:b/>
                <w:sz w:val="18"/>
                <w:szCs w:val="18"/>
              </w:rPr>
              <w:t>1.08E-3</w:t>
            </w:r>
          </w:p>
        </w:tc>
        <w:tc>
          <w:tcPr>
            <w:tcW w:w="1559" w:type="dxa"/>
            <w:tcBorders>
              <w:top w:val="single" w:sz="18" w:space="0" w:color="auto"/>
              <w:left w:val="single" w:sz="2" w:space="0" w:color="auto"/>
              <w:bottom w:val="single" w:sz="2" w:space="0" w:color="auto"/>
              <w:right w:val="single" w:sz="2" w:space="0" w:color="auto"/>
            </w:tcBorders>
            <w:shd w:val="clear" w:color="auto" w:fill="FFFFFF"/>
            <w:vAlign w:val="center"/>
          </w:tcPr>
          <w:p w14:paraId="5B87126D" w14:textId="2766FC48" w:rsidR="00D809A2" w:rsidRPr="00064185" w:rsidRDefault="00D809A2" w:rsidP="00EA61D8">
            <w:pPr>
              <w:autoSpaceDE w:val="0"/>
              <w:autoSpaceDN w:val="0"/>
              <w:adjustRightInd w:val="0"/>
              <w:spacing w:before="60" w:after="60" w:line="260" w:lineRule="atLeast"/>
              <w:rPr>
                <w:rFonts w:eastAsia="Calibri" w:cs="Arial"/>
                <w:sz w:val="18"/>
                <w:szCs w:val="18"/>
                <w:lang w:eastAsia="en-GB"/>
              </w:rPr>
            </w:pPr>
            <w:r w:rsidRPr="00064185">
              <w:rPr>
                <w:b/>
                <w:sz w:val="18"/>
                <w:szCs w:val="18"/>
              </w:rPr>
              <w:t>10.00E-3</w:t>
            </w:r>
          </w:p>
        </w:tc>
        <w:tc>
          <w:tcPr>
            <w:tcW w:w="1276" w:type="dxa"/>
            <w:tcBorders>
              <w:top w:val="single" w:sz="18" w:space="0" w:color="auto"/>
              <w:left w:val="single" w:sz="2" w:space="0" w:color="auto"/>
              <w:bottom w:val="single" w:sz="2" w:space="0" w:color="auto"/>
              <w:right w:val="single" w:sz="2" w:space="0" w:color="auto"/>
            </w:tcBorders>
            <w:shd w:val="clear" w:color="auto" w:fill="FFFFFF"/>
            <w:vAlign w:val="center"/>
          </w:tcPr>
          <w:p w14:paraId="67DAB7A3" w14:textId="34E921E9" w:rsidR="00D809A2" w:rsidRPr="00064185" w:rsidRDefault="00D809A2" w:rsidP="00EA61D8">
            <w:pPr>
              <w:autoSpaceDE w:val="0"/>
              <w:autoSpaceDN w:val="0"/>
              <w:adjustRightInd w:val="0"/>
              <w:spacing w:before="60" w:after="60" w:line="260" w:lineRule="atLeast"/>
              <w:rPr>
                <w:rFonts w:eastAsia="Calibri" w:cs="Arial"/>
                <w:sz w:val="18"/>
                <w:szCs w:val="18"/>
                <w:lang w:eastAsia="en-GB"/>
              </w:rPr>
            </w:pPr>
            <w:r w:rsidRPr="00064185">
              <w:rPr>
                <w:b/>
                <w:sz w:val="18"/>
                <w:szCs w:val="18"/>
              </w:rPr>
              <w:t>1.02E-3</w:t>
            </w:r>
          </w:p>
        </w:tc>
        <w:tc>
          <w:tcPr>
            <w:tcW w:w="1276" w:type="dxa"/>
            <w:tcBorders>
              <w:top w:val="single" w:sz="18" w:space="0" w:color="auto"/>
              <w:left w:val="single" w:sz="2" w:space="0" w:color="auto"/>
              <w:bottom w:val="single" w:sz="2" w:space="0" w:color="auto"/>
              <w:right w:val="single" w:sz="2" w:space="0" w:color="auto"/>
            </w:tcBorders>
            <w:shd w:val="clear" w:color="auto" w:fill="FFFFFF"/>
            <w:vAlign w:val="center"/>
          </w:tcPr>
          <w:p w14:paraId="4CC3D276" w14:textId="6EC6B39F" w:rsidR="00D809A2" w:rsidRPr="00064185" w:rsidRDefault="00D809A2" w:rsidP="00EA61D8">
            <w:pPr>
              <w:autoSpaceDE w:val="0"/>
              <w:autoSpaceDN w:val="0"/>
              <w:adjustRightInd w:val="0"/>
              <w:spacing w:before="60" w:after="60" w:line="260" w:lineRule="atLeast"/>
              <w:rPr>
                <w:rFonts w:eastAsia="Calibri" w:cs="Arial"/>
                <w:lang w:eastAsia="en-GB"/>
              </w:rPr>
            </w:pPr>
            <w:r w:rsidRPr="00064185">
              <w:rPr>
                <w:b/>
                <w:sz w:val="18"/>
              </w:rPr>
              <w:t>8.51E-4</w:t>
            </w:r>
          </w:p>
        </w:tc>
      </w:tr>
      <w:tr w:rsidR="00064185" w:rsidRPr="00064185" w14:paraId="7B2B9FC1" w14:textId="77777777" w:rsidTr="00852411">
        <w:trPr>
          <w:trHeight w:val="556"/>
        </w:trPr>
        <w:tc>
          <w:tcPr>
            <w:tcW w:w="4111" w:type="dxa"/>
            <w:gridSpan w:val="2"/>
            <w:tcBorders>
              <w:top w:val="single" w:sz="2" w:space="0" w:color="auto"/>
            </w:tcBorders>
            <w:shd w:val="clear" w:color="auto" w:fill="FFFFFF"/>
            <w:vAlign w:val="center"/>
          </w:tcPr>
          <w:p w14:paraId="2859E0DE" w14:textId="1A999EA5" w:rsidR="007B29C6" w:rsidRPr="00064185" w:rsidRDefault="007B29C6" w:rsidP="00EA61D8">
            <w:pPr>
              <w:autoSpaceDE w:val="0"/>
              <w:autoSpaceDN w:val="0"/>
              <w:adjustRightInd w:val="0"/>
              <w:rPr>
                <w:iCs/>
                <w:sz w:val="18"/>
                <w:szCs w:val="18"/>
                <w:lang w:eastAsia="de-AT"/>
              </w:rPr>
            </w:pPr>
            <w:r w:rsidRPr="00064185">
              <w:rPr>
                <w:iCs/>
                <w:sz w:val="18"/>
                <w:szCs w:val="18"/>
                <w:lang w:eastAsia="de-AT"/>
              </w:rPr>
              <w:t>FIR/bw</w:t>
            </w:r>
            <w:r w:rsidR="00852411" w:rsidRPr="00064185">
              <w:rPr>
                <w:iCs/>
                <w:sz w:val="18"/>
                <w:szCs w:val="18"/>
                <w:lang w:eastAsia="de-AT"/>
              </w:rPr>
              <w:t>*</w:t>
            </w:r>
            <w:r w:rsidRPr="00064185">
              <w:rPr>
                <w:iCs/>
                <w:sz w:val="18"/>
                <w:szCs w:val="18"/>
                <w:lang w:eastAsia="de-AT"/>
              </w:rPr>
              <w:t xml:space="preserve"> </w:t>
            </w:r>
          </w:p>
        </w:tc>
        <w:tc>
          <w:tcPr>
            <w:tcW w:w="5245" w:type="dxa"/>
            <w:gridSpan w:val="4"/>
            <w:tcBorders>
              <w:top w:val="single" w:sz="2" w:space="0" w:color="auto"/>
            </w:tcBorders>
            <w:shd w:val="clear" w:color="auto" w:fill="FFFFFF"/>
            <w:vAlign w:val="center"/>
          </w:tcPr>
          <w:p w14:paraId="1B147726" w14:textId="0195B15C" w:rsidR="007B29C6" w:rsidRPr="00064185" w:rsidRDefault="007B29C6" w:rsidP="00EA61D8">
            <w:pPr>
              <w:autoSpaceDE w:val="0"/>
              <w:autoSpaceDN w:val="0"/>
              <w:adjustRightInd w:val="0"/>
              <w:rPr>
                <w:sz w:val="18"/>
                <w:szCs w:val="18"/>
              </w:rPr>
            </w:pPr>
            <w:r w:rsidRPr="00064185">
              <w:rPr>
                <w:sz w:val="18"/>
                <w:szCs w:val="18"/>
              </w:rPr>
              <w:t xml:space="preserve">     1.1 for earthwor</w:t>
            </w:r>
            <w:r w:rsidR="00D809A2" w:rsidRPr="00064185">
              <w:rPr>
                <w:sz w:val="18"/>
                <w:szCs w:val="18"/>
              </w:rPr>
              <w:t>m</w:t>
            </w:r>
            <w:r w:rsidRPr="00064185">
              <w:rPr>
                <w:sz w:val="18"/>
                <w:szCs w:val="18"/>
              </w:rPr>
              <w:t>-eating birds</w:t>
            </w:r>
            <w:r w:rsidRPr="00064185">
              <w:rPr>
                <w:sz w:val="18"/>
                <w:szCs w:val="18"/>
              </w:rPr>
              <w:tab/>
            </w:r>
          </w:p>
        </w:tc>
      </w:tr>
      <w:tr w:rsidR="00064185" w:rsidRPr="00064185" w14:paraId="694FA7C9" w14:textId="77777777" w:rsidTr="00852411">
        <w:trPr>
          <w:trHeight w:val="75"/>
        </w:trPr>
        <w:tc>
          <w:tcPr>
            <w:tcW w:w="4111" w:type="dxa"/>
            <w:gridSpan w:val="2"/>
            <w:shd w:val="clear" w:color="auto" w:fill="FFFFFF"/>
            <w:vAlign w:val="center"/>
          </w:tcPr>
          <w:p w14:paraId="3A35A83F" w14:textId="0C1F51E4" w:rsidR="007B29C6" w:rsidRPr="00064185" w:rsidRDefault="007B29C6" w:rsidP="00EA61D8">
            <w:pPr>
              <w:autoSpaceDE w:val="0"/>
              <w:autoSpaceDN w:val="0"/>
              <w:adjustRightInd w:val="0"/>
              <w:rPr>
                <w:iCs/>
                <w:sz w:val="18"/>
                <w:szCs w:val="18"/>
                <w:lang w:eastAsia="de-AT"/>
              </w:rPr>
            </w:pPr>
            <w:r w:rsidRPr="00064185">
              <w:rPr>
                <w:iCs/>
                <w:sz w:val="18"/>
                <w:szCs w:val="18"/>
                <w:lang w:eastAsia="de-AT"/>
              </w:rPr>
              <w:t>FIR/bw</w:t>
            </w:r>
            <w:r w:rsidR="00852411" w:rsidRPr="00064185">
              <w:rPr>
                <w:iCs/>
                <w:sz w:val="18"/>
                <w:szCs w:val="18"/>
                <w:lang w:eastAsia="de-AT"/>
              </w:rPr>
              <w:t>*</w:t>
            </w:r>
            <w:r w:rsidRPr="00064185">
              <w:rPr>
                <w:iCs/>
                <w:sz w:val="18"/>
                <w:szCs w:val="18"/>
                <w:lang w:eastAsia="de-AT"/>
              </w:rPr>
              <w:t xml:space="preserve"> </w:t>
            </w:r>
          </w:p>
        </w:tc>
        <w:tc>
          <w:tcPr>
            <w:tcW w:w="5245" w:type="dxa"/>
            <w:gridSpan w:val="4"/>
            <w:shd w:val="clear" w:color="auto" w:fill="FFFFFF"/>
            <w:vAlign w:val="center"/>
          </w:tcPr>
          <w:p w14:paraId="37844B75" w14:textId="1B1C8197" w:rsidR="007B29C6" w:rsidRPr="00064185" w:rsidRDefault="007B29C6" w:rsidP="00EA61D8">
            <w:pPr>
              <w:autoSpaceDE w:val="0"/>
              <w:autoSpaceDN w:val="0"/>
              <w:adjustRightInd w:val="0"/>
              <w:spacing w:before="60" w:after="60" w:line="260" w:lineRule="atLeast"/>
              <w:rPr>
                <w:sz w:val="18"/>
                <w:szCs w:val="18"/>
              </w:rPr>
            </w:pPr>
            <w:r w:rsidRPr="00064185">
              <w:rPr>
                <w:sz w:val="18"/>
                <w:szCs w:val="18"/>
              </w:rPr>
              <w:t xml:space="preserve">     1.4 for earthworm-eating mammals</w:t>
            </w:r>
          </w:p>
        </w:tc>
      </w:tr>
      <w:tr w:rsidR="00064185" w:rsidRPr="00064185" w14:paraId="27D364ED" w14:textId="77777777" w:rsidTr="00840D4F">
        <w:trPr>
          <w:trHeight w:val="75"/>
        </w:trPr>
        <w:tc>
          <w:tcPr>
            <w:tcW w:w="2268" w:type="dxa"/>
            <w:shd w:val="clear" w:color="auto" w:fill="FFFFFF"/>
          </w:tcPr>
          <w:p w14:paraId="0C43F6E6" w14:textId="77777777" w:rsidR="00FB77C4" w:rsidRPr="00064185" w:rsidRDefault="007B29C6" w:rsidP="00EA61D8">
            <w:pPr>
              <w:autoSpaceDE w:val="0"/>
              <w:autoSpaceDN w:val="0"/>
              <w:adjustRightInd w:val="0"/>
              <w:spacing w:before="60" w:after="60" w:line="260" w:lineRule="atLeast"/>
              <w:rPr>
                <w:b/>
                <w:sz w:val="18"/>
                <w:szCs w:val="18"/>
              </w:rPr>
            </w:pPr>
            <w:r w:rsidRPr="00064185">
              <w:rPr>
                <w:rFonts w:eastAsia="Calibri" w:cs="Arial"/>
                <w:b/>
                <w:sz w:val="18"/>
                <w:szCs w:val="18"/>
                <w:lang w:eastAsia="en-GB"/>
              </w:rPr>
              <w:t>ETE</w:t>
            </w:r>
            <w:r w:rsidR="00D809A2" w:rsidRPr="00064185">
              <w:rPr>
                <w:rFonts w:eastAsia="Calibri" w:cs="Arial"/>
                <w:b/>
                <w:sz w:val="18"/>
                <w:szCs w:val="18"/>
                <w:lang w:eastAsia="en-GB"/>
              </w:rPr>
              <w:t xml:space="preserve"> </w:t>
            </w:r>
            <w:r w:rsidRPr="00064185">
              <w:rPr>
                <w:b/>
                <w:sz w:val="18"/>
                <w:szCs w:val="18"/>
              </w:rPr>
              <w:t xml:space="preserve">in birds </w:t>
            </w:r>
          </w:p>
          <w:p w14:paraId="628296A0" w14:textId="1C77096E" w:rsidR="005B3972" w:rsidRPr="00064185" w:rsidRDefault="007B29C6" w:rsidP="00EA61D8">
            <w:pPr>
              <w:autoSpaceDE w:val="0"/>
              <w:autoSpaceDN w:val="0"/>
              <w:adjustRightInd w:val="0"/>
              <w:spacing w:before="60" w:after="60" w:line="260" w:lineRule="atLeast"/>
              <w:rPr>
                <w:b/>
                <w:sz w:val="18"/>
                <w:szCs w:val="18"/>
              </w:rPr>
            </w:pPr>
            <w:r w:rsidRPr="00064185">
              <w:rPr>
                <w:b/>
                <w:sz w:val="18"/>
                <w:szCs w:val="18"/>
              </w:rPr>
              <w:t>[mg ai/kg bw/d]</w:t>
            </w:r>
          </w:p>
        </w:tc>
        <w:tc>
          <w:tcPr>
            <w:tcW w:w="1843" w:type="dxa"/>
            <w:shd w:val="clear" w:color="auto" w:fill="FFFFFF"/>
            <w:vAlign w:val="center"/>
          </w:tcPr>
          <w:p w14:paraId="1D54DDEF" w14:textId="1BD27C63" w:rsidR="007B29C6" w:rsidRPr="00064185" w:rsidRDefault="007B29C6" w:rsidP="00EA61D8">
            <w:pPr>
              <w:rPr>
                <w:sz w:val="18"/>
                <w:szCs w:val="18"/>
              </w:rPr>
            </w:pPr>
            <w:r w:rsidRPr="00064185">
              <w:rPr>
                <w:sz w:val="18"/>
                <w:szCs w:val="18"/>
              </w:rPr>
              <w:t>ETE = FIR/bw × C</w:t>
            </w:r>
            <w:r w:rsidRPr="00064185">
              <w:rPr>
                <w:sz w:val="18"/>
                <w:szCs w:val="18"/>
                <w:vertAlign w:val="subscript"/>
              </w:rPr>
              <w:t>earthworm</w:t>
            </w:r>
          </w:p>
        </w:tc>
        <w:tc>
          <w:tcPr>
            <w:tcW w:w="1134" w:type="dxa"/>
            <w:shd w:val="clear" w:color="auto" w:fill="FFFFFF"/>
            <w:vAlign w:val="center"/>
          </w:tcPr>
          <w:p w14:paraId="5BD2E7F9" w14:textId="0CF43E49" w:rsidR="007B29C6" w:rsidRPr="00064185" w:rsidRDefault="004278CC"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1.18E-3</w:t>
            </w:r>
          </w:p>
        </w:tc>
        <w:tc>
          <w:tcPr>
            <w:tcW w:w="1559" w:type="dxa"/>
            <w:shd w:val="clear" w:color="auto" w:fill="FFFFFF"/>
            <w:vAlign w:val="center"/>
          </w:tcPr>
          <w:p w14:paraId="451A269B" w14:textId="2A2BA6D6" w:rsidR="007B29C6" w:rsidRPr="00064185" w:rsidRDefault="004278CC"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1.1E-2</w:t>
            </w:r>
          </w:p>
        </w:tc>
        <w:tc>
          <w:tcPr>
            <w:tcW w:w="1276" w:type="dxa"/>
            <w:shd w:val="clear" w:color="auto" w:fill="FFFFFF"/>
            <w:vAlign w:val="center"/>
          </w:tcPr>
          <w:p w14:paraId="1747D869" w14:textId="12F217B7" w:rsidR="007B29C6" w:rsidRPr="00064185" w:rsidRDefault="004278CC"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1.12E3</w:t>
            </w:r>
          </w:p>
        </w:tc>
        <w:tc>
          <w:tcPr>
            <w:tcW w:w="1276" w:type="dxa"/>
            <w:shd w:val="clear" w:color="auto" w:fill="FFFFFF"/>
            <w:vAlign w:val="center"/>
          </w:tcPr>
          <w:p w14:paraId="3A45EE4A" w14:textId="045254D3" w:rsidR="007B29C6" w:rsidRPr="00064185" w:rsidRDefault="00840D4F"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9.</w:t>
            </w:r>
            <w:r w:rsidR="004278CC" w:rsidRPr="00064185">
              <w:rPr>
                <w:rFonts w:eastAsia="Calibri" w:cs="Arial"/>
                <w:sz w:val="18"/>
                <w:szCs w:val="18"/>
                <w:lang w:eastAsia="en-GB"/>
              </w:rPr>
              <w:t>36E-4</w:t>
            </w:r>
          </w:p>
        </w:tc>
      </w:tr>
      <w:tr w:rsidR="00064185" w:rsidRPr="00064185" w14:paraId="75B1EE45" w14:textId="77777777" w:rsidTr="00840D4F">
        <w:trPr>
          <w:trHeight w:val="646"/>
        </w:trPr>
        <w:tc>
          <w:tcPr>
            <w:tcW w:w="2268" w:type="dxa"/>
            <w:shd w:val="clear" w:color="auto" w:fill="FFFFFF"/>
          </w:tcPr>
          <w:p w14:paraId="73D39BFB" w14:textId="261897A2" w:rsidR="007B29C6" w:rsidRPr="00064185" w:rsidRDefault="007B29C6" w:rsidP="00EA61D8">
            <w:pPr>
              <w:autoSpaceDE w:val="0"/>
              <w:autoSpaceDN w:val="0"/>
              <w:adjustRightInd w:val="0"/>
              <w:spacing w:before="60" w:after="60" w:line="260" w:lineRule="atLeast"/>
              <w:rPr>
                <w:rFonts w:eastAsia="Calibri" w:cs="Arial"/>
                <w:sz w:val="18"/>
                <w:szCs w:val="18"/>
                <w:lang w:val="de-AT" w:eastAsia="en-GB"/>
              </w:rPr>
            </w:pPr>
            <w:r w:rsidRPr="00064185">
              <w:rPr>
                <w:rFonts w:eastAsia="Calibri" w:cs="Arial"/>
                <w:b/>
                <w:sz w:val="18"/>
                <w:szCs w:val="18"/>
                <w:lang w:val="de-AT" w:eastAsia="en-GB"/>
              </w:rPr>
              <w:t>ETE</w:t>
            </w:r>
            <w:r w:rsidRPr="00064185">
              <w:rPr>
                <w:rFonts w:eastAsia="Calibri" w:cs="Arial"/>
                <w:sz w:val="18"/>
                <w:szCs w:val="18"/>
                <w:lang w:val="de-AT" w:eastAsia="en-GB"/>
              </w:rPr>
              <w:t xml:space="preserve"> </w:t>
            </w:r>
            <w:r w:rsidRPr="00064185">
              <w:rPr>
                <w:b/>
                <w:sz w:val="18"/>
                <w:szCs w:val="18"/>
                <w:lang w:val="de-AT"/>
              </w:rPr>
              <w:t>in mammals [mg ai/kg bw/d]</w:t>
            </w:r>
          </w:p>
        </w:tc>
        <w:tc>
          <w:tcPr>
            <w:tcW w:w="1843" w:type="dxa"/>
            <w:shd w:val="clear" w:color="auto" w:fill="FFFFFF"/>
          </w:tcPr>
          <w:p w14:paraId="4CE2406C" w14:textId="67764ED5" w:rsidR="007B29C6" w:rsidRPr="00064185" w:rsidRDefault="007B29C6" w:rsidP="00EA61D8">
            <w:pPr>
              <w:autoSpaceDE w:val="0"/>
              <w:autoSpaceDN w:val="0"/>
              <w:adjustRightInd w:val="0"/>
              <w:spacing w:before="60" w:after="60" w:line="260" w:lineRule="atLeast"/>
              <w:rPr>
                <w:rFonts w:eastAsia="Calibri"/>
                <w:sz w:val="18"/>
                <w:szCs w:val="18"/>
                <w:highlight w:val="yellow"/>
                <w:lang w:eastAsia="en-GB"/>
              </w:rPr>
            </w:pPr>
            <w:r w:rsidRPr="00064185">
              <w:rPr>
                <w:sz w:val="18"/>
                <w:szCs w:val="18"/>
              </w:rPr>
              <w:t>ETE = FIR/bw × C</w:t>
            </w:r>
            <w:r w:rsidRPr="00064185">
              <w:rPr>
                <w:sz w:val="18"/>
                <w:szCs w:val="18"/>
                <w:vertAlign w:val="subscript"/>
              </w:rPr>
              <w:t>earthworm</w:t>
            </w:r>
          </w:p>
        </w:tc>
        <w:tc>
          <w:tcPr>
            <w:tcW w:w="1134" w:type="dxa"/>
            <w:shd w:val="clear" w:color="auto" w:fill="FFFFFF"/>
            <w:vAlign w:val="center"/>
          </w:tcPr>
          <w:p w14:paraId="1ECE49C0" w14:textId="266A6622" w:rsidR="007B29C6" w:rsidRPr="00064185" w:rsidRDefault="00B14680"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1.51E-3</w:t>
            </w:r>
          </w:p>
        </w:tc>
        <w:tc>
          <w:tcPr>
            <w:tcW w:w="1559" w:type="dxa"/>
            <w:shd w:val="clear" w:color="auto" w:fill="FFFFFF"/>
            <w:vAlign w:val="center"/>
          </w:tcPr>
          <w:p w14:paraId="6AF00E68" w14:textId="5A2AD2BB" w:rsidR="007B29C6" w:rsidRPr="00064185" w:rsidRDefault="00B14680"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1.4E-2</w:t>
            </w:r>
          </w:p>
        </w:tc>
        <w:tc>
          <w:tcPr>
            <w:tcW w:w="1276" w:type="dxa"/>
            <w:shd w:val="clear" w:color="auto" w:fill="FFFFFF"/>
            <w:vAlign w:val="center"/>
          </w:tcPr>
          <w:p w14:paraId="1665ACD0" w14:textId="2171465F" w:rsidR="007B29C6" w:rsidRPr="00064185" w:rsidRDefault="00B14680"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1.42E-3</w:t>
            </w:r>
          </w:p>
        </w:tc>
        <w:tc>
          <w:tcPr>
            <w:tcW w:w="1276" w:type="dxa"/>
            <w:shd w:val="clear" w:color="auto" w:fill="FFFFFF"/>
            <w:vAlign w:val="center"/>
          </w:tcPr>
          <w:p w14:paraId="55A352F2" w14:textId="74FC8C44" w:rsidR="007B29C6" w:rsidRPr="00064185" w:rsidRDefault="00B14680" w:rsidP="00EA61D8">
            <w:pPr>
              <w:autoSpaceDE w:val="0"/>
              <w:autoSpaceDN w:val="0"/>
              <w:adjustRightInd w:val="0"/>
              <w:spacing w:before="60" w:after="60" w:line="260" w:lineRule="atLeast"/>
              <w:rPr>
                <w:rFonts w:eastAsia="Calibri" w:cs="Arial"/>
                <w:sz w:val="18"/>
                <w:szCs w:val="18"/>
                <w:lang w:eastAsia="en-GB"/>
              </w:rPr>
            </w:pPr>
            <w:r w:rsidRPr="00064185">
              <w:rPr>
                <w:rFonts w:eastAsia="Calibri" w:cs="Arial"/>
                <w:sz w:val="18"/>
                <w:szCs w:val="18"/>
                <w:lang w:eastAsia="en-GB"/>
              </w:rPr>
              <w:t>1.19E-3</w:t>
            </w:r>
          </w:p>
        </w:tc>
      </w:tr>
    </w:tbl>
    <w:p w14:paraId="626635FB" w14:textId="3AC8D378" w:rsidR="00BA1861" w:rsidRPr="00064185" w:rsidRDefault="00852411" w:rsidP="00EA61D8">
      <w:pPr>
        <w:rPr>
          <w:sz w:val="18"/>
          <w:szCs w:val="18"/>
          <w:lang w:eastAsia="de-AT"/>
        </w:rPr>
      </w:pPr>
      <w:r w:rsidRPr="00064185">
        <w:rPr>
          <w:sz w:val="18"/>
          <w:szCs w:val="18"/>
        </w:rPr>
        <w:t>*</w:t>
      </w:r>
      <w:r w:rsidRPr="00064185">
        <w:rPr>
          <w:sz w:val="18"/>
          <w:szCs w:val="18"/>
          <w:lang w:eastAsia="de-AT"/>
        </w:rPr>
        <w:t xml:space="preserve"> Feed Intake Rate per body weight</w:t>
      </w:r>
    </w:p>
    <w:p w14:paraId="5F15694D" w14:textId="56E4E7B3" w:rsidR="00B87D9C" w:rsidRPr="00064185" w:rsidRDefault="00B87D9C" w:rsidP="00EA61D8">
      <w:pPr>
        <w:rPr>
          <w:sz w:val="18"/>
          <w:szCs w:val="18"/>
        </w:rPr>
      </w:pPr>
    </w:p>
    <w:p w14:paraId="55C3E2E9" w14:textId="77777777" w:rsidR="00B87D9C" w:rsidRPr="00064185" w:rsidRDefault="00B87D9C" w:rsidP="00EA61D8">
      <w:pPr>
        <w:rPr>
          <w:sz w:val="18"/>
          <w:szCs w:val="18"/>
        </w:rPr>
      </w:pPr>
    </w:p>
    <w:tbl>
      <w:tblPr>
        <w:tblW w:w="91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694"/>
        <w:gridCol w:w="2660"/>
      </w:tblGrid>
      <w:tr w:rsidR="00064185" w:rsidRPr="00064185" w14:paraId="3966EF44" w14:textId="77777777" w:rsidTr="00BA1861">
        <w:trPr>
          <w:trHeight w:val="249"/>
        </w:trPr>
        <w:tc>
          <w:tcPr>
            <w:tcW w:w="9181" w:type="dxa"/>
            <w:gridSpan w:val="3"/>
            <w:shd w:val="clear" w:color="auto" w:fill="FFFFCC"/>
            <w:vAlign w:val="center"/>
          </w:tcPr>
          <w:p w14:paraId="5D69A835" w14:textId="119544D2" w:rsidR="00956EE4" w:rsidRPr="00064185" w:rsidRDefault="00956EE4" w:rsidP="00EA61D8">
            <w:pPr>
              <w:keepNext/>
              <w:keepLines/>
              <w:widowControl w:val="0"/>
              <w:autoSpaceDE w:val="0"/>
              <w:autoSpaceDN w:val="0"/>
              <w:adjustRightInd w:val="0"/>
              <w:spacing w:before="60" w:after="60" w:line="260" w:lineRule="atLeast"/>
              <w:rPr>
                <w:rFonts w:eastAsia="Calibri"/>
                <w:b/>
                <w:sz w:val="18"/>
                <w:szCs w:val="18"/>
                <w:lang w:eastAsia="en-US"/>
              </w:rPr>
            </w:pPr>
            <w:r w:rsidRPr="00064185">
              <w:rPr>
                <w:rFonts w:eastAsia="Calibri"/>
                <w:b/>
                <w:sz w:val="18"/>
                <w:szCs w:val="18"/>
                <w:lang w:eastAsia="en-US"/>
              </w:rPr>
              <w:lastRenderedPageBreak/>
              <w:t>Summary table on worst case scenarios for bioaccumulation via the aquatic</w:t>
            </w:r>
            <w:r w:rsidR="002C5F07" w:rsidRPr="00064185">
              <w:rPr>
                <w:rFonts w:eastAsia="Calibri"/>
                <w:b/>
                <w:sz w:val="18"/>
                <w:szCs w:val="18"/>
                <w:lang w:eastAsia="en-US"/>
              </w:rPr>
              <w:t xml:space="preserve"> </w:t>
            </w:r>
            <w:r w:rsidRPr="00064185">
              <w:rPr>
                <w:rFonts w:eastAsia="Calibri"/>
                <w:b/>
                <w:sz w:val="18"/>
                <w:szCs w:val="18"/>
                <w:lang w:eastAsia="en-US"/>
              </w:rPr>
              <w:t>food chain</w:t>
            </w:r>
          </w:p>
        </w:tc>
      </w:tr>
      <w:tr w:rsidR="00064185" w:rsidRPr="00064185" w14:paraId="4771A009" w14:textId="77777777" w:rsidTr="00BA1861">
        <w:trPr>
          <w:trHeight w:val="249"/>
        </w:trPr>
        <w:tc>
          <w:tcPr>
            <w:tcW w:w="3827" w:type="dxa"/>
            <w:shd w:val="clear" w:color="auto" w:fill="FFFFFF"/>
            <w:vAlign w:val="center"/>
          </w:tcPr>
          <w:p w14:paraId="3CF5E0C4" w14:textId="77777777" w:rsidR="00956EE4" w:rsidRPr="00064185" w:rsidRDefault="00956EE4" w:rsidP="00EA61D8">
            <w:pPr>
              <w:autoSpaceDE w:val="0"/>
              <w:autoSpaceDN w:val="0"/>
              <w:adjustRightInd w:val="0"/>
              <w:spacing w:before="60" w:after="60" w:line="260" w:lineRule="atLeast"/>
              <w:rPr>
                <w:rFonts w:eastAsia="Calibri" w:cs="Arial"/>
                <w:b/>
                <w:lang w:eastAsia="en-GB"/>
              </w:rPr>
            </w:pPr>
            <w:r w:rsidRPr="00064185">
              <w:rPr>
                <w:rFonts w:eastAsia="Calibri" w:cs="Arial"/>
                <w:b/>
                <w:lang w:eastAsia="en-GB"/>
              </w:rPr>
              <w:t>Scenario</w:t>
            </w:r>
          </w:p>
        </w:tc>
        <w:tc>
          <w:tcPr>
            <w:tcW w:w="2694" w:type="dxa"/>
            <w:shd w:val="clear" w:color="auto" w:fill="FFFFFF"/>
            <w:vAlign w:val="center"/>
          </w:tcPr>
          <w:p w14:paraId="3FBC899B" w14:textId="16B01B9C" w:rsidR="00956EE4" w:rsidRPr="00064185" w:rsidRDefault="007256A2" w:rsidP="00EA61D8">
            <w:pPr>
              <w:autoSpaceDE w:val="0"/>
              <w:autoSpaceDN w:val="0"/>
              <w:adjustRightInd w:val="0"/>
              <w:spacing w:before="60" w:after="60" w:line="260" w:lineRule="atLeast"/>
              <w:rPr>
                <w:rFonts w:eastAsia="Calibri" w:cs="Arial"/>
                <w:b/>
                <w:lang w:eastAsia="en-GB"/>
              </w:rPr>
            </w:pPr>
            <w:r w:rsidRPr="00064185">
              <w:rPr>
                <w:rFonts w:eastAsia="Calibri" w:cs="Arial"/>
                <w:b/>
                <w:bCs/>
                <w:lang w:eastAsia="en-GB"/>
              </w:rPr>
              <w:t xml:space="preserve">ETE </w:t>
            </w:r>
          </w:p>
        </w:tc>
        <w:tc>
          <w:tcPr>
            <w:tcW w:w="2660" w:type="dxa"/>
            <w:shd w:val="clear" w:color="auto" w:fill="FFFFFF"/>
            <w:vAlign w:val="center"/>
          </w:tcPr>
          <w:p w14:paraId="3EF7E74F" w14:textId="106F0B10" w:rsidR="00956EE4" w:rsidRPr="00064185" w:rsidRDefault="007256A2" w:rsidP="00EA61D8">
            <w:pPr>
              <w:autoSpaceDE w:val="0"/>
              <w:autoSpaceDN w:val="0"/>
              <w:adjustRightInd w:val="0"/>
              <w:spacing w:before="60" w:after="60" w:line="260" w:lineRule="atLeast"/>
              <w:rPr>
                <w:rFonts w:eastAsia="Calibri" w:cs="Arial"/>
                <w:b/>
                <w:lang w:eastAsia="en-GB"/>
              </w:rPr>
            </w:pPr>
            <w:r w:rsidRPr="00064185">
              <w:rPr>
                <w:rFonts w:eastAsia="Calibri" w:cs="Arial"/>
                <w:b/>
                <w:lang w:eastAsia="en-GB"/>
              </w:rPr>
              <w:t>ETE</w:t>
            </w:r>
            <w:r w:rsidR="00956EE4" w:rsidRPr="00064185">
              <w:rPr>
                <w:rFonts w:eastAsia="Calibri" w:cs="Arial"/>
                <w:b/>
                <w:lang w:eastAsia="en-GB"/>
              </w:rPr>
              <w:t>/PNEC</w:t>
            </w:r>
          </w:p>
        </w:tc>
      </w:tr>
      <w:tr w:rsidR="00064185" w:rsidRPr="00CD287F" w14:paraId="5D9E2A5F" w14:textId="77777777" w:rsidTr="00BA1861">
        <w:trPr>
          <w:trHeight w:val="249"/>
        </w:trPr>
        <w:tc>
          <w:tcPr>
            <w:tcW w:w="3827" w:type="dxa"/>
            <w:shd w:val="clear" w:color="auto" w:fill="FFFFFF"/>
            <w:vAlign w:val="center"/>
          </w:tcPr>
          <w:p w14:paraId="6D15470B" w14:textId="77777777" w:rsidR="00956EE4" w:rsidRPr="00064185" w:rsidRDefault="00956EE4" w:rsidP="00EA61D8">
            <w:pPr>
              <w:autoSpaceDE w:val="0"/>
              <w:autoSpaceDN w:val="0"/>
              <w:adjustRightInd w:val="0"/>
              <w:spacing w:before="60" w:after="60" w:line="260" w:lineRule="atLeast"/>
              <w:rPr>
                <w:rFonts w:eastAsia="Calibri" w:cs="Arial"/>
                <w:b/>
                <w:lang w:eastAsia="en-GB"/>
              </w:rPr>
            </w:pPr>
          </w:p>
        </w:tc>
        <w:tc>
          <w:tcPr>
            <w:tcW w:w="5354" w:type="dxa"/>
            <w:gridSpan w:val="2"/>
            <w:shd w:val="clear" w:color="auto" w:fill="FFFFFF"/>
            <w:vAlign w:val="center"/>
          </w:tcPr>
          <w:p w14:paraId="64535FAA" w14:textId="10212C8E" w:rsidR="00956EE4" w:rsidRPr="00064185" w:rsidRDefault="00956EE4" w:rsidP="00EA61D8">
            <w:pPr>
              <w:autoSpaceDE w:val="0"/>
              <w:autoSpaceDN w:val="0"/>
              <w:adjustRightInd w:val="0"/>
              <w:spacing w:before="60" w:after="60" w:line="260" w:lineRule="atLeast"/>
              <w:rPr>
                <w:rFonts w:eastAsia="Calibri" w:cs="Arial"/>
                <w:b/>
                <w:bCs/>
                <w:lang w:eastAsia="en-GB"/>
              </w:rPr>
            </w:pPr>
            <w:r w:rsidRPr="00064185">
              <w:rPr>
                <w:rFonts w:eastAsia="Calibri" w:cs="Arial"/>
                <w:b/>
                <w:bCs/>
                <w:lang w:eastAsia="en-GB"/>
              </w:rPr>
              <w:t>PNEC</w:t>
            </w:r>
            <w:r w:rsidRPr="00064185">
              <w:rPr>
                <w:rFonts w:eastAsia="Calibri" w:cs="Arial"/>
                <w:b/>
                <w:bCs/>
                <w:vertAlign w:val="subscript"/>
                <w:lang w:eastAsia="en-GB"/>
              </w:rPr>
              <w:t xml:space="preserve"> birds </w:t>
            </w:r>
            <w:r w:rsidRPr="00064185">
              <w:rPr>
                <w:rFonts w:eastAsia="Calibri" w:cs="Arial"/>
                <w:b/>
                <w:bCs/>
                <w:lang w:eastAsia="en-GB"/>
              </w:rPr>
              <w:t xml:space="preserve">= </w:t>
            </w:r>
            <w:r w:rsidR="00D809A2" w:rsidRPr="00064185">
              <w:rPr>
                <w:b/>
              </w:rPr>
              <w:t>0.6 mg ai/kg bw/d</w:t>
            </w:r>
          </w:p>
          <w:p w14:paraId="6D89E189" w14:textId="1CCAA0DD" w:rsidR="00956EE4" w:rsidRPr="00064185" w:rsidRDefault="00956EE4" w:rsidP="00EA61D8">
            <w:pPr>
              <w:autoSpaceDE w:val="0"/>
              <w:autoSpaceDN w:val="0"/>
              <w:adjustRightInd w:val="0"/>
              <w:spacing w:before="60" w:after="60" w:line="260" w:lineRule="atLeast"/>
              <w:rPr>
                <w:rFonts w:eastAsia="Calibri"/>
                <w:b/>
                <w:lang w:val="de-AT" w:eastAsia="en-GB"/>
              </w:rPr>
            </w:pPr>
            <w:r w:rsidRPr="00064185">
              <w:rPr>
                <w:rFonts w:eastAsia="Calibri"/>
                <w:b/>
                <w:lang w:val="de-AT" w:eastAsia="en-GB"/>
              </w:rPr>
              <w:t xml:space="preserve">PNEC </w:t>
            </w:r>
            <w:r w:rsidRPr="00064185">
              <w:rPr>
                <w:rFonts w:eastAsia="Calibri"/>
                <w:b/>
                <w:vertAlign w:val="subscript"/>
                <w:lang w:val="de-AT" w:eastAsia="en-GB"/>
              </w:rPr>
              <w:t xml:space="preserve">mammals </w:t>
            </w:r>
            <w:r w:rsidRPr="00064185">
              <w:rPr>
                <w:rFonts w:eastAsia="Calibri"/>
                <w:b/>
                <w:lang w:val="de-AT" w:eastAsia="en-GB"/>
              </w:rPr>
              <w:t xml:space="preserve">= </w:t>
            </w:r>
            <w:r w:rsidR="00D809A2" w:rsidRPr="00064185">
              <w:rPr>
                <w:b/>
                <w:lang w:val="de-AT"/>
              </w:rPr>
              <w:t>0.12 mg ai/kg bw/d</w:t>
            </w:r>
          </w:p>
        </w:tc>
      </w:tr>
      <w:tr w:rsidR="00064185" w:rsidRPr="00064185" w14:paraId="1726B232" w14:textId="77777777" w:rsidTr="00BA1861">
        <w:trPr>
          <w:trHeight w:val="75"/>
        </w:trPr>
        <w:tc>
          <w:tcPr>
            <w:tcW w:w="9181" w:type="dxa"/>
            <w:gridSpan w:val="3"/>
            <w:shd w:val="clear" w:color="auto" w:fill="FFFFFF"/>
          </w:tcPr>
          <w:p w14:paraId="17CC640B" w14:textId="77777777" w:rsidR="00956EE4" w:rsidRPr="00064185" w:rsidRDefault="00956EE4" w:rsidP="00EA61D8">
            <w:pPr>
              <w:autoSpaceDE w:val="0"/>
              <w:autoSpaceDN w:val="0"/>
              <w:adjustRightInd w:val="0"/>
              <w:spacing w:before="60" w:after="60" w:line="260" w:lineRule="atLeast"/>
              <w:rPr>
                <w:rFonts w:eastAsia="Calibri" w:cs="Arial"/>
                <w:b/>
                <w:lang w:eastAsia="en-GB"/>
              </w:rPr>
            </w:pPr>
            <w:r w:rsidRPr="00064185">
              <w:rPr>
                <w:rFonts w:eastAsia="Calibri" w:cs="Arial"/>
                <w:b/>
                <w:lang w:eastAsia="en-GB"/>
              </w:rPr>
              <w:t>I</w:t>
            </w:r>
            <w:r w:rsidRPr="00064185">
              <w:rPr>
                <w:rFonts w:eastAsia="Calibri" w:cs="Arial"/>
                <w:b/>
                <w:bCs/>
                <w:lang w:eastAsia="en-GB"/>
              </w:rPr>
              <w:t xml:space="preserve">ndoor use </w:t>
            </w:r>
          </w:p>
        </w:tc>
      </w:tr>
      <w:tr w:rsidR="00064185" w:rsidRPr="00064185" w14:paraId="77F7E3BC" w14:textId="77777777" w:rsidTr="00BA1861">
        <w:trPr>
          <w:trHeight w:val="75"/>
        </w:trPr>
        <w:tc>
          <w:tcPr>
            <w:tcW w:w="3827" w:type="dxa"/>
            <w:shd w:val="clear" w:color="auto" w:fill="FFFFFF"/>
          </w:tcPr>
          <w:p w14:paraId="428EE47B" w14:textId="77777777" w:rsidR="00956EE4" w:rsidRPr="00064185" w:rsidRDefault="00956EE4" w:rsidP="00EA61D8">
            <w:pPr>
              <w:autoSpaceDE w:val="0"/>
              <w:autoSpaceDN w:val="0"/>
              <w:adjustRightInd w:val="0"/>
              <w:spacing w:before="60" w:after="60" w:line="260" w:lineRule="atLeast"/>
              <w:rPr>
                <w:rFonts w:eastAsia="Calibri" w:cs="Arial"/>
                <w:lang w:eastAsia="en-GB"/>
              </w:rPr>
            </w:pPr>
            <w:r w:rsidRPr="00064185">
              <w:rPr>
                <w:rFonts w:eastAsia="Calibri" w:cs="Arial"/>
                <w:lang w:eastAsia="en-GB"/>
              </w:rPr>
              <w:t>Ants, residual treatment</w:t>
            </w:r>
          </w:p>
        </w:tc>
        <w:tc>
          <w:tcPr>
            <w:tcW w:w="5354" w:type="dxa"/>
            <w:gridSpan w:val="2"/>
            <w:shd w:val="clear" w:color="auto" w:fill="FFFFFF"/>
          </w:tcPr>
          <w:p w14:paraId="7EE024FC" w14:textId="77777777" w:rsidR="00956EE4" w:rsidRPr="00064185" w:rsidRDefault="00956EE4" w:rsidP="00EA61D8">
            <w:pPr>
              <w:autoSpaceDE w:val="0"/>
              <w:autoSpaceDN w:val="0"/>
              <w:adjustRightInd w:val="0"/>
              <w:spacing w:before="60" w:after="60" w:line="260" w:lineRule="atLeast"/>
              <w:rPr>
                <w:rFonts w:eastAsia="Calibri" w:cs="Arial"/>
                <w:lang w:eastAsia="en-GB"/>
              </w:rPr>
            </w:pPr>
          </w:p>
        </w:tc>
      </w:tr>
      <w:tr w:rsidR="00064185" w:rsidRPr="00064185" w14:paraId="3795E774" w14:textId="77777777" w:rsidTr="00BA1861">
        <w:trPr>
          <w:trHeight w:val="75"/>
        </w:trPr>
        <w:tc>
          <w:tcPr>
            <w:tcW w:w="3827" w:type="dxa"/>
            <w:shd w:val="clear" w:color="auto" w:fill="FFFFFF"/>
          </w:tcPr>
          <w:p w14:paraId="7BE89DCD" w14:textId="79B9A91B" w:rsidR="00956EE4" w:rsidRPr="00064185" w:rsidRDefault="007256A2" w:rsidP="00EA61D8">
            <w:pPr>
              <w:pStyle w:val="Listenabsatz"/>
              <w:numPr>
                <w:ilvl w:val="0"/>
                <w:numId w:val="18"/>
              </w:numPr>
              <w:autoSpaceDE w:val="0"/>
              <w:autoSpaceDN w:val="0"/>
              <w:adjustRightInd w:val="0"/>
              <w:spacing w:before="60" w:after="60" w:line="260" w:lineRule="atLeast"/>
              <w:rPr>
                <w:rFonts w:eastAsia="Calibri" w:cs="Arial"/>
                <w:lang w:eastAsia="en-GB"/>
              </w:rPr>
            </w:pPr>
            <w:r w:rsidRPr="00064185">
              <w:rPr>
                <w:rFonts w:eastAsia="Calibri"/>
                <w:lang w:eastAsia="en-GB"/>
              </w:rPr>
              <w:t>Fish</w:t>
            </w:r>
            <w:r w:rsidR="00956EE4" w:rsidRPr="00064185">
              <w:rPr>
                <w:rFonts w:eastAsia="Calibri"/>
                <w:lang w:eastAsia="en-GB"/>
              </w:rPr>
              <w:t>-eating birds</w:t>
            </w:r>
          </w:p>
        </w:tc>
        <w:tc>
          <w:tcPr>
            <w:tcW w:w="2694" w:type="dxa"/>
            <w:shd w:val="clear" w:color="auto" w:fill="FFFFFF"/>
            <w:vAlign w:val="center"/>
          </w:tcPr>
          <w:p w14:paraId="25FAC114" w14:textId="43F2C228" w:rsidR="00956EE4" w:rsidRPr="00064185" w:rsidRDefault="007210BF" w:rsidP="00EA61D8">
            <w:pPr>
              <w:keepNext/>
              <w:keepLines/>
              <w:spacing w:after="40"/>
              <w:rPr>
                <w:rFonts w:eastAsia="Calibri"/>
                <w:lang w:eastAsia="en-GB"/>
              </w:rPr>
            </w:pPr>
            <w:r w:rsidRPr="00064185">
              <w:rPr>
                <w:rFonts w:eastAsia="Calibri" w:cs="Arial"/>
                <w:sz w:val="18"/>
                <w:szCs w:val="18"/>
                <w:lang w:eastAsia="en-GB"/>
              </w:rPr>
              <w:t>6.21E-3</w:t>
            </w:r>
          </w:p>
        </w:tc>
        <w:tc>
          <w:tcPr>
            <w:tcW w:w="2660" w:type="dxa"/>
            <w:shd w:val="clear" w:color="auto" w:fill="FFFFFF"/>
          </w:tcPr>
          <w:p w14:paraId="1FCDDCA2" w14:textId="6D429448" w:rsidR="00956EE4" w:rsidRPr="00064185" w:rsidRDefault="007256A2" w:rsidP="00EA61D8">
            <w:pPr>
              <w:autoSpaceDE w:val="0"/>
              <w:autoSpaceDN w:val="0"/>
              <w:adjustRightInd w:val="0"/>
              <w:spacing w:before="60" w:after="60" w:line="260" w:lineRule="atLeast"/>
              <w:rPr>
                <w:rFonts w:eastAsia="Calibri"/>
                <w:sz w:val="18"/>
                <w:lang w:eastAsia="en-GB"/>
              </w:rPr>
            </w:pPr>
            <w:r w:rsidRPr="00064185">
              <w:rPr>
                <w:rFonts w:eastAsia="Calibri"/>
                <w:sz w:val="18"/>
                <w:szCs w:val="18"/>
                <w:lang w:eastAsia="en-GB"/>
              </w:rPr>
              <w:t>1.03E-2</w:t>
            </w:r>
          </w:p>
        </w:tc>
      </w:tr>
      <w:tr w:rsidR="00064185" w:rsidRPr="00064185" w14:paraId="094DC3D1" w14:textId="77777777" w:rsidTr="00BA1861">
        <w:trPr>
          <w:trHeight w:val="75"/>
        </w:trPr>
        <w:tc>
          <w:tcPr>
            <w:tcW w:w="3827" w:type="dxa"/>
            <w:shd w:val="clear" w:color="auto" w:fill="FFFFFF"/>
          </w:tcPr>
          <w:p w14:paraId="0CDD1440" w14:textId="56977A61" w:rsidR="00956EE4" w:rsidRPr="00064185" w:rsidRDefault="007256A2" w:rsidP="00EA61D8">
            <w:pPr>
              <w:pStyle w:val="Listenabsatz"/>
              <w:numPr>
                <w:ilvl w:val="0"/>
                <w:numId w:val="18"/>
              </w:numPr>
              <w:autoSpaceDE w:val="0"/>
              <w:autoSpaceDN w:val="0"/>
              <w:adjustRightInd w:val="0"/>
              <w:spacing w:before="60" w:after="60" w:line="260" w:lineRule="atLeast"/>
              <w:rPr>
                <w:rFonts w:eastAsia="Calibri" w:cs="Arial"/>
                <w:lang w:eastAsia="en-GB"/>
              </w:rPr>
            </w:pPr>
            <w:r w:rsidRPr="00064185">
              <w:rPr>
                <w:rFonts w:eastAsia="Calibri"/>
                <w:lang w:eastAsia="en-GB"/>
              </w:rPr>
              <w:t>Fish</w:t>
            </w:r>
            <w:r w:rsidR="002C5F07" w:rsidRPr="00064185">
              <w:rPr>
                <w:rFonts w:eastAsia="Calibri"/>
                <w:lang w:eastAsia="en-GB"/>
              </w:rPr>
              <w:t>-</w:t>
            </w:r>
            <w:r w:rsidR="00956EE4" w:rsidRPr="00064185">
              <w:rPr>
                <w:rFonts w:eastAsia="Calibri"/>
                <w:lang w:eastAsia="en-GB"/>
              </w:rPr>
              <w:t>eating mammals</w:t>
            </w:r>
          </w:p>
        </w:tc>
        <w:tc>
          <w:tcPr>
            <w:tcW w:w="2694" w:type="dxa"/>
            <w:shd w:val="clear" w:color="auto" w:fill="FFFFFF"/>
          </w:tcPr>
          <w:p w14:paraId="185E9D31" w14:textId="2F56A7DF" w:rsidR="00956EE4" w:rsidRPr="00064185" w:rsidRDefault="00A723F2" w:rsidP="00EA61D8">
            <w:pPr>
              <w:autoSpaceDE w:val="0"/>
              <w:autoSpaceDN w:val="0"/>
              <w:adjustRightInd w:val="0"/>
              <w:spacing w:before="60" w:after="60" w:line="260" w:lineRule="atLeast"/>
              <w:rPr>
                <w:rFonts w:eastAsia="Calibri"/>
                <w:lang w:eastAsia="en-GB"/>
              </w:rPr>
            </w:pPr>
            <w:r w:rsidRPr="00064185">
              <w:rPr>
                <w:rFonts w:eastAsia="Calibri" w:cs="Arial"/>
                <w:sz w:val="18"/>
                <w:szCs w:val="18"/>
                <w:lang w:eastAsia="en-GB"/>
              </w:rPr>
              <w:t>6.22E-3</w:t>
            </w:r>
          </w:p>
        </w:tc>
        <w:tc>
          <w:tcPr>
            <w:tcW w:w="2660" w:type="dxa"/>
            <w:shd w:val="clear" w:color="auto" w:fill="FFFFFF"/>
          </w:tcPr>
          <w:p w14:paraId="00C10E49" w14:textId="33505DE4" w:rsidR="00956EE4" w:rsidRPr="00064185" w:rsidRDefault="00A84C83" w:rsidP="00EA61D8">
            <w:pPr>
              <w:autoSpaceDE w:val="0"/>
              <w:autoSpaceDN w:val="0"/>
              <w:adjustRightInd w:val="0"/>
              <w:spacing w:before="60" w:after="60" w:line="260" w:lineRule="atLeast"/>
              <w:rPr>
                <w:rFonts w:eastAsia="Calibri"/>
                <w:sz w:val="18"/>
                <w:lang w:eastAsia="en-GB"/>
              </w:rPr>
            </w:pPr>
            <w:r w:rsidRPr="00064185">
              <w:rPr>
                <w:rFonts w:eastAsia="Calibri" w:cs="Arial"/>
                <w:sz w:val="18"/>
                <w:szCs w:val="18"/>
                <w:lang w:eastAsia="en-GB"/>
              </w:rPr>
              <w:t>5.18E-2</w:t>
            </w:r>
          </w:p>
        </w:tc>
      </w:tr>
      <w:tr w:rsidR="00064185" w:rsidRPr="00064185" w14:paraId="30F45C4B" w14:textId="77777777" w:rsidTr="00BA1861">
        <w:trPr>
          <w:trHeight w:val="75"/>
        </w:trPr>
        <w:tc>
          <w:tcPr>
            <w:tcW w:w="3827" w:type="dxa"/>
            <w:shd w:val="clear" w:color="auto" w:fill="FFFFFF"/>
          </w:tcPr>
          <w:p w14:paraId="075DCC5F" w14:textId="7270DAE4" w:rsidR="00956EE4" w:rsidRPr="00064185" w:rsidRDefault="00956EE4" w:rsidP="00EA61D8">
            <w:pPr>
              <w:autoSpaceDE w:val="0"/>
              <w:autoSpaceDN w:val="0"/>
              <w:adjustRightInd w:val="0"/>
              <w:spacing w:before="60" w:after="60" w:line="260" w:lineRule="atLeast"/>
              <w:rPr>
                <w:rFonts w:eastAsia="Calibri"/>
                <w:lang w:eastAsia="en-GB"/>
              </w:rPr>
            </w:pPr>
            <w:r w:rsidRPr="00064185">
              <w:rPr>
                <w:rFonts w:eastAsia="Calibri"/>
                <w:lang w:eastAsia="en-GB"/>
              </w:rPr>
              <w:t>Silverfish</w:t>
            </w:r>
            <w:r w:rsidR="00B0458A" w:rsidRPr="00064185">
              <w:rPr>
                <w:rFonts w:eastAsia="Calibri"/>
                <w:lang w:eastAsia="en-GB"/>
              </w:rPr>
              <w:t>es</w:t>
            </w:r>
            <w:r w:rsidRPr="00064185">
              <w:rPr>
                <w:rFonts w:eastAsia="Calibri"/>
                <w:lang w:eastAsia="en-GB"/>
              </w:rPr>
              <w:t xml:space="preserve"> &amp; Cockroaches, direct treatment of target organisms, weekly</w:t>
            </w:r>
          </w:p>
        </w:tc>
        <w:tc>
          <w:tcPr>
            <w:tcW w:w="5354" w:type="dxa"/>
            <w:gridSpan w:val="2"/>
            <w:shd w:val="clear" w:color="auto" w:fill="FFFFFF"/>
          </w:tcPr>
          <w:p w14:paraId="34761445" w14:textId="77777777" w:rsidR="00956EE4" w:rsidRPr="00064185" w:rsidRDefault="00956EE4" w:rsidP="00EA61D8">
            <w:pPr>
              <w:autoSpaceDE w:val="0"/>
              <w:autoSpaceDN w:val="0"/>
              <w:adjustRightInd w:val="0"/>
              <w:spacing w:before="60" w:after="60" w:line="260" w:lineRule="atLeast"/>
              <w:rPr>
                <w:rFonts w:eastAsia="Calibri"/>
                <w:sz w:val="18"/>
                <w:lang w:eastAsia="en-GB"/>
              </w:rPr>
            </w:pPr>
          </w:p>
        </w:tc>
      </w:tr>
      <w:tr w:rsidR="00064185" w:rsidRPr="00064185" w14:paraId="428CBB6D" w14:textId="77777777" w:rsidTr="00BA1861">
        <w:trPr>
          <w:trHeight w:val="75"/>
        </w:trPr>
        <w:tc>
          <w:tcPr>
            <w:tcW w:w="3827" w:type="dxa"/>
            <w:shd w:val="clear" w:color="auto" w:fill="FFFFFF"/>
          </w:tcPr>
          <w:p w14:paraId="29857470" w14:textId="2681D1F3" w:rsidR="00956EE4" w:rsidRPr="00064185" w:rsidRDefault="007256A2" w:rsidP="00EA61D8">
            <w:pPr>
              <w:pStyle w:val="Listenabsatz"/>
              <w:numPr>
                <w:ilvl w:val="0"/>
                <w:numId w:val="18"/>
              </w:numPr>
              <w:autoSpaceDE w:val="0"/>
              <w:autoSpaceDN w:val="0"/>
              <w:adjustRightInd w:val="0"/>
              <w:spacing w:before="60" w:after="60" w:line="260" w:lineRule="atLeast"/>
              <w:rPr>
                <w:rFonts w:eastAsia="Calibri"/>
                <w:lang w:eastAsia="en-GB"/>
              </w:rPr>
            </w:pPr>
            <w:r w:rsidRPr="00064185">
              <w:rPr>
                <w:rFonts w:eastAsia="Calibri"/>
                <w:lang w:eastAsia="en-GB"/>
              </w:rPr>
              <w:t>Fish</w:t>
            </w:r>
            <w:r w:rsidR="00956EE4" w:rsidRPr="00064185">
              <w:rPr>
                <w:rFonts w:eastAsia="Calibri"/>
                <w:lang w:eastAsia="en-GB"/>
              </w:rPr>
              <w:t>-eating birds</w:t>
            </w:r>
          </w:p>
        </w:tc>
        <w:tc>
          <w:tcPr>
            <w:tcW w:w="2694" w:type="dxa"/>
            <w:shd w:val="clear" w:color="auto" w:fill="FFFFFF"/>
          </w:tcPr>
          <w:p w14:paraId="7FD0BDF2" w14:textId="387EE055" w:rsidR="00956EE4" w:rsidRPr="00064185" w:rsidRDefault="00AC6195" w:rsidP="00EA61D8">
            <w:pPr>
              <w:autoSpaceDE w:val="0"/>
              <w:autoSpaceDN w:val="0"/>
              <w:adjustRightInd w:val="0"/>
              <w:spacing w:before="60" w:after="60" w:line="260" w:lineRule="atLeast"/>
              <w:rPr>
                <w:rFonts w:eastAsia="Calibri"/>
                <w:lang w:eastAsia="en-GB"/>
              </w:rPr>
            </w:pPr>
            <w:r w:rsidRPr="00064185">
              <w:rPr>
                <w:rFonts w:eastAsia="Calibri" w:cs="Arial"/>
                <w:sz w:val="18"/>
                <w:szCs w:val="18"/>
                <w:lang w:eastAsia="en-GB"/>
              </w:rPr>
              <w:t>5.75E-2</w:t>
            </w:r>
          </w:p>
        </w:tc>
        <w:tc>
          <w:tcPr>
            <w:tcW w:w="2660" w:type="dxa"/>
            <w:shd w:val="clear" w:color="auto" w:fill="FFFFFF"/>
          </w:tcPr>
          <w:p w14:paraId="0613D987" w14:textId="56C78B1C" w:rsidR="00956EE4" w:rsidRPr="00064185" w:rsidRDefault="00A84C83" w:rsidP="00EA61D8">
            <w:pPr>
              <w:autoSpaceDE w:val="0"/>
              <w:autoSpaceDN w:val="0"/>
              <w:adjustRightInd w:val="0"/>
              <w:spacing w:before="60" w:after="60" w:line="260" w:lineRule="atLeast"/>
              <w:rPr>
                <w:rFonts w:eastAsia="Calibri"/>
                <w:sz w:val="18"/>
                <w:lang w:eastAsia="en-GB"/>
              </w:rPr>
            </w:pPr>
            <w:r w:rsidRPr="00064185">
              <w:rPr>
                <w:rFonts w:eastAsia="Calibri" w:cs="Arial"/>
                <w:sz w:val="18"/>
                <w:szCs w:val="18"/>
                <w:lang w:eastAsia="en-GB"/>
              </w:rPr>
              <w:t xml:space="preserve">9.59E-2 </w:t>
            </w:r>
          </w:p>
        </w:tc>
      </w:tr>
      <w:tr w:rsidR="00064185" w:rsidRPr="00064185" w14:paraId="4059AE7C" w14:textId="77777777" w:rsidTr="00BA1861">
        <w:trPr>
          <w:trHeight w:val="75"/>
        </w:trPr>
        <w:tc>
          <w:tcPr>
            <w:tcW w:w="3827" w:type="dxa"/>
            <w:shd w:val="clear" w:color="auto" w:fill="FFFFFF"/>
          </w:tcPr>
          <w:p w14:paraId="1C665468" w14:textId="43B5664E" w:rsidR="00956EE4" w:rsidRPr="00064185" w:rsidRDefault="007256A2" w:rsidP="00EA61D8">
            <w:pPr>
              <w:pStyle w:val="Listenabsatz"/>
              <w:numPr>
                <w:ilvl w:val="0"/>
                <w:numId w:val="18"/>
              </w:numPr>
              <w:autoSpaceDE w:val="0"/>
              <w:autoSpaceDN w:val="0"/>
              <w:adjustRightInd w:val="0"/>
              <w:spacing w:before="60" w:after="60" w:line="260" w:lineRule="atLeast"/>
              <w:rPr>
                <w:rFonts w:eastAsia="Calibri"/>
                <w:lang w:eastAsia="en-GB"/>
              </w:rPr>
            </w:pPr>
            <w:r w:rsidRPr="00064185">
              <w:rPr>
                <w:rFonts w:eastAsia="Calibri"/>
                <w:lang w:eastAsia="en-GB"/>
              </w:rPr>
              <w:t>Fish</w:t>
            </w:r>
            <w:r w:rsidR="00956EE4" w:rsidRPr="00064185">
              <w:rPr>
                <w:rFonts w:eastAsia="Calibri"/>
                <w:lang w:eastAsia="en-GB"/>
              </w:rPr>
              <w:t>-eating mammals</w:t>
            </w:r>
          </w:p>
        </w:tc>
        <w:tc>
          <w:tcPr>
            <w:tcW w:w="2694" w:type="dxa"/>
            <w:shd w:val="clear" w:color="auto" w:fill="FFFFFF"/>
          </w:tcPr>
          <w:p w14:paraId="1CC0DBCC" w14:textId="52321EE0" w:rsidR="00956EE4" w:rsidRPr="00064185" w:rsidRDefault="00761D01" w:rsidP="00EA61D8">
            <w:pPr>
              <w:autoSpaceDE w:val="0"/>
              <w:autoSpaceDN w:val="0"/>
              <w:adjustRightInd w:val="0"/>
              <w:spacing w:before="60" w:after="60" w:line="260" w:lineRule="atLeast"/>
              <w:rPr>
                <w:rFonts w:eastAsia="Calibri"/>
                <w:lang w:eastAsia="en-GB"/>
              </w:rPr>
            </w:pPr>
            <w:r w:rsidRPr="00064185">
              <w:rPr>
                <w:rFonts w:eastAsia="Calibri" w:cs="Arial"/>
                <w:sz w:val="18"/>
                <w:szCs w:val="18"/>
                <w:lang w:eastAsia="en-GB"/>
              </w:rPr>
              <w:t>3.</w:t>
            </w:r>
            <w:r w:rsidR="00A723F2" w:rsidRPr="00064185">
              <w:rPr>
                <w:rFonts w:eastAsia="Calibri" w:cs="Arial"/>
                <w:sz w:val="18"/>
                <w:szCs w:val="18"/>
                <w:lang w:eastAsia="en-GB"/>
              </w:rPr>
              <w:t>56E-2</w:t>
            </w:r>
          </w:p>
        </w:tc>
        <w:tc>
          <w:tcPr>
            <w:tcW w:w="2660" w:type="dxa"/>
            <w:shd w:val="clear" w:color="auto" w:fill="FFFFFF"/>
          </w:tcPr>
          <w:p w14:paraId="2DBCD590" w14:textId="6F4382D8" w:rsidR="00956EE4" w:rsidRPr="00064185" w:rsidRDefault="00A84C83" w:rsidP="00EA61D8">
            <w:pPr>
              <w:autoSpaceDE w:val="0"/>
              <w:autoSpaceDN w:val="0"/>
              <w:adjustRightInd w:val="0"/>
              <w:spacing w:before="60" w:after="60" w:line="260" w:lineRule="atLeast"/>
              <w:rPr>
                <w:rFonts w:eastAsia="Calibri"/>
                <w:sz w:val="18"/>
                <w:lang w:eastAsia="en-GB"/>
              </w:rPr>
            </w:pPr>
            <w:r w:rsidRPr="00064185">
              <w:rPr>
                <w:rFonts w:eastAsia="Calibri" w:cs="Arial"/>
                <w:sz w:val="18"/>
                <w:szCs w:val="18"/>
                <w:lang w:eastAsia="en-GB"/>
              </w:rPr>
              <w:t>0.296</w:t>
            </w:r>
          </w:p>
        </w:tc>
      </w:tr>
      <w:tr w:rsidR="00064185" w:rsidRPr="00064185" w14:paraId="2F0FAC47" w14:textId="77777777" w:rsidTr="00BA1861">
        <w:trPr>
          <w:trHeight w:val="75"/>
        </w:trPr>
        <w:tc>
          <w:tcPr>
            <w:tcW w:w="3827" w:type="dxa"/>
            <w:shd w:val="clear" w:color="auto" w:fill="FFFFFF"/>
          </w:tcPr>
          <w:p w14:paraId="0DF7308A" w14:textId="6E8A40DB" w:rsidR="00956EE4" w:rsidRPr="00064185" w:rsidRDefault="00956EE4" w:rsidP="00EA61D8">
            <w:pPr>
              <w:autoSpaceDE w:val="0"/>
              <w:autoSpaceDN w:val="0"/>
              <w:adjustRightInd w:val="0"/>
              <w:spacing w:before="60" w:after="60" w:line="260" w:lineRule="atLeast"/>
              <w:rPr>
                <w:rFonts w:eastAsia="Calibri"/>
                <w:lang w:eastAsia="en-GB"/>
              </w:rPr>
            </w:pPr>
            <w:r w:rsidRPr="00064185">
              <w:rPr>
                <w:rFonts w:eastAsia="Calibri"/>
                <w:lang w:eastAsia="en-GB"/>
              </w:rPr>
              <w:t>Woodlice, direct treatment of target organisms, twice a year</w:t>
            </w:r>
          </w:p>
        </w:tc>
        <w:tc>
          <w:tcPr>
            <w:tcW w:w="5354" w:type="dxa"/>
            <w:gridSpan w:val="2"/>
            <w:shd w:val="clear" w:color="auto" w:fill="FFFFFF"/>
          </w:tcPr>
          <w:p w14:paraId="5F0DCA1D" w14:textId="77777777" w:rsidR="00956EE4" w:rsidRPr="00064185" w:rsidRDefault="00956EE4" w:rsidP="00EA61D8">
            <w:pPr>
              <w:autoSpaceDE w:val="0"/>
              <w:autoSpaceDN w:val="0"/>
              <w:adjustRightInd w:val="0"/>
              <w:spacing w:before="60" w:after="60" w:line="260" w:lineRule="atLeast"/>
              <w:rPr>
                <w:rFonts w:eastAsia="Calibri"/>
                <w:sz w:val="18"/>
                <w:lang w:eastAsia="en-GB"/>
              </w:rPr>
            </w:pPr>
          </w:p>
        </w:tc>
      </w:tr>
      <w:tr w:rsidR="00064185" w:rsidRPr="00064185" w14:paraId="4F2B6FC8" w14:textId="77777777" w:rsidTr="00BA1861">
        <w:trPr>
          <w:trHeight w:val="75"/>
        </w:trPr>
        <w:tc>
          <w:tcPr>
            <w:tcW w:w="3827" w:type="dxa"/>
            <w:shd w:val="clear" w:color="auto" w:fill="FFFFFF"/>
          </w:tcPr>
          <w:p w14:paraId="0750EF4C" w14:textId="23BD3AD4" w:rsidR="00956EE4" w:rsidRPr="00064185" w:rsidRDefault="007256A2" w:rsidP="00EA61D8">
            <w:pPr>
              <w:pStyle w:val="Listenabsatz"/>
              <w:numPr>
                <w:ilvl w:val="0"/>
                <w:numId w:val="18"/>
              </w:numPr>
              <w:autoSpaceDE w:val="0"/>
              <w:autoSpaceDN w:val="0"/>
              <w:adjustRightInd w:val="0"/>
              <w:spacing w:before="60" w:after="60" w:line="260" w:lineRule="atLeast"/>
              <w:rPr>
                <w:rFonts w:eastAsia="Calibri"/>
                <w:lang w:eastAsia="en-GB"/>
              </w:rPr>
            </w:pPr>
            <w:r w:rsidRPr="00064185">
              <w:rPr>
                <w:rFonts w:eastAsia="Calibri"/>
                <w:lang w:eastAsia="en-GB"/>
              </w:rPr>
              <w:t>Fish</w:t>
            </w:r>
            <w:r w:rsidR="00956EE4" w:rsidRPr="00064185">
              <w:rPr>
                <w:rFonts w:eastAsia="Calibri"/>
                <w:lang w:eastAsia="en-GB"/>
              </w:rPr>
              <w:t>-eating birds</w:t>
            </w:r>
          </w:p>
        </w:tc>
        <w:tc>
          <w:tcPr>
            <w:tcW w:w="2694" w:type="dxa"/>
            <w:shd w:val="clear" w:color="auto" w:fill="FFFFFF"/>
          </w:tcPr>
          <w:p w14:paraId="46F8DF5F" w14:textId="7E98A5CA" w:rsidR="00956EE4" w:rsidRPr="00064185" w:rsidRDefault="00AC6195" w:rsidP="00EA61D8">
            <w:pPr>
              <w:autoSpaceDE w:val="0"/>
              <w:autoSpaceDN w:val="0"/>
              <w:adjustRightInd w:val="0"/>
              <w:spacing w:before="60" w:after="60" w:line="260" w:lineRule="atLeast"/>
              <w:rPr>
                <w:rFonts w:eastAsia="Calibri"/>
                <w:lang w:eastAsia="en-GB"/>
              </w:rPr>
            </w:pPr>
            <w:r w:rsidRPr="00064185">
              <w:rPr>
                <w:rFonts w:eastAsia="Calibri" w:cs="Arial"/>
                <w:sz w:val="18"/>
                <w:szCs w:val="18"/>
                <w:lang w:eastAsia="en-GB"/>
              </w:rPr>
              <w:t>5.88E-3</w:t>
            </w:r>
          </w:p>
        </w:tc>
        <w:tc>
          <w:tcPr>
            <w:tcW w:w="2660" w:type="dxa"/>
            <w:shd w:val="clear" w:color="auto" w:fill="FFFFFF"/>
          </w:tcPr>
          <w:p w14:paraId="549E1228" w14:textId="668EBC29" w:rsidR="00956EE4" w:rsidRPr="00064185" w:rsidRDefault="00A84C83" w:rsidP="00EA61D8">
            <w:pPr>
              <w:autoSpaceDE w:val="0"/>
              <w:autoSpaceDN w:val="0"/>
              <w:adjustRightInd w:val="0"/>
              <w:spacing w:before="60" w:after="60" w:line="260" w:lineRule="atLeast"/>
              <w:rPr>
                <w:rFonts w:eastAsia="Calibri"/>
                <w:sz w:val="18"/>
                <w:lang w:eastAsia="en-GB"/>
              </w:rPr>
            </w:pPr>
            <w:r w:rsidRPr="00064185">
              <w:rPr>
                <w:rFonts w:eastAsia="Calibri" w:cs="Arial"/>
                <w:sz w:val="18"/>
                <w:szCs w:val="18"/>
                <w:lang w:eastAsia="en-GB"/>
              </w:rPr>
              <w:t>9.8E-3</w:t>
            </w:r>
          </w:p>
        </w:tc>
      </w:tr>
      <w:tr w:rsidR="00064185" w:rsidRPr="00064185" w14:paraId="3D2A6E4F" w14:textId="77777777" w:rsidTr="00BA1861">
        <w:trPr>
          <w:trHeight w:val="75"/>
        </w:trPr>
        <w:tc>
          <w:tcPr>
            <w:tcW w:w="3827" w:type="dxa"/>
            <w:shd w:val="clear" w:color="auto" w:fill="FFFFFF"/>
          </w:tcPr>
          <w:p w14:paraId="506C3109" w14:textId="2122A404" w:rsidR="00956EE4" w:rsidRPr="00064185" w:rsidRDefault="007256A2" w:rsidP="00EA61D8">
            <w:pPr>
              <w:pStyle w:val="Listenabsatz"/>
              <w:numPr>
                <w:ilvl w:val="0"/>
                <w:numId w:val="18"/>
              </w:numPr>
              <w:autoSpaceDE w:val="0"/>
              <w:autoSpaceDN w:val="0"/>
              <w:adjustRightInd w:val="0"/>
              <w:spacing w:before="60" w:after="60" w:line="260" w:lineRule="atLeast"/>
              <w:rPr>
                <w:rFonts w:eastAsia="Calibri"/>
                <w:lang w:eastAsia="en-GB"/>
              </w:rPr>
            </w:pPr>
            <w:r w:rsidRPr="00064185">
              <w:rPr>
                <w:rFonts w:eastAsia="Calibri"/>
                <w:lang w:eastAsia="en-GB"/>
              </w:rPr>
              <w:t>Fish</w:t>
            </w:r>
            <w:r w:rsidR="00956EE4" w:rsidRPr="00064185">
              <w:rPr>
                <w:rFonts w:eastAsia="Calibri"/>
                <w:lang w:eastAsia="en-GB"/>
              </w:rPr>
              <w:t>-eating mammals</w:t>
            </w:r>
          </w:p>
        </w:tc>
        <w:tc>
          <w:tcPr>
            <w:tcW w:w="2694" w:type="dxa"/>
            <w:shd w:val="clear" w:color="auto" w:fill="FFFFFF"/>
          </w:tcPr>
          <w:p w14:paraId="61A1F6E4" w14:textId="69178747" w:rsidR="00956EE4" w:rsidRPr="00064185" w:rsidRDefault="00761D01" w:rsidP="00EA61D8">
            <w:pPr>
              <w:autoSpaceDE w:val="0"/>
              <w:autoSpaceDN w:val="0"/>
              <w:adjustRightInd w:val="0"/>
              <w:spacing w:before="60" w:after="60" w:line="260" w:lineRule="atLeast"/>
              <w:rPr>
                <w:rFonts w:eastAsia="Calibri"/>
                <w:lang w:eastAsia="en-GB"/>
              </w:rPr>
            </w:pPr>
            <w:r w:rsidRPr="00064185">
              <w:rPr>
                <w:rFonts w:eastAsia="Calibri" w:cs="Arial"/>
                <w:sz w:val="18"/>
                <w:szCs w:val="18"/>
                <w:lang w:eastAsia="en-GB"/>
              </w:rPr>
              <w:t>3.</w:t>
            </w:r>
            <w:r w:rsidR="00A723F2" w:rsidRPr="00064185">
              <w:rPr>
                <w:rFonts w:eastAsia="Calibri" w:cs="Arial"/>
                <w:sz w:val="18"/>
                <w:szCs w:val="18"/>
                <w:lang w:eastAsia="en-GB"/>
              </w:rPr>
              <w:t>64E-3</w:t>
            </w:r>
          </w:p>
        </w:tc>
        <w:tc>
          <w:tcPr>
            <w:tcW w:w="2660" w:type="dxa"/>
            <w:shd w:val="clear" w:color="auto" w:fill="FFFFFF"/>
          </w:tcPr>
          <w:p w14:paraId="1D8973C1" w14:textId="6A4A6883" w:rsidR="00956EE4" w:rsidRPr="00064185" w:rsidRDefault="00A84C83" w:rsidP="00EA61D8">
            <w:pPr>
              <w:autoSpaceDE w:val="0"/>
              <w:autoSpaceDN w:val="0"/>
              <w:adjustRightInd w:val="0"/>
              <w:spacing w:before="60" w:after="60" w:line="260" w:lineRule="atLeast"/>
              <w:rPr>
                <w:rFonts w:eastAsia="Calibri"/>
                <w:sz w:val="18"/>
                <w:lang w:eastAsia="en-GB"/>
              </w:rPr>
            </w:pPr>
            <w:r w:rsidRPr="00064185">
              <w:rPr>
                <w:rFonts w:eastAsia="Calibri" w:cs="Arial"/>
                <w:sz w:val="18"/>
                <w:szCs w:val="18"/>
                <w:lang w:eastAsia="en-GB"/>
              </w:rPr>
              <w:t>3.03E-2</w:t>
            </w:r>
          </w:p>
        </w:tc>
      </w:tr>
      <w:tr w:rsidR="00064185" w:rsidRPr="00064185" w14:paraId="2B74A52B" w14:textId="77777777" w:rsidTr="00BA1861">
        <w:trPr>
          <w:trHeight w:val="75"/>
        </w:trPr>
        <w:tc>
          <w:tcPr>
            <w:tcW w:w="9181" w:type="dxa"/>
            <w:gridSpan w:val="3"/>
            <w:shd w:val="clear" w:color="auto" w:fill="FFFFFF"/>
          </w:tcPr>
          <w:p w14:paraId="4B87953A" w14:textId="4D299DFC" w:rsidR="00956EE4" w:rsidRPr="00064185" w:rsidRDefault="00956EE4" w:rsidP="00EA61D8">
            <w:pPr>
              <w:autoSpaceDE w:val="0"/>
              <w:autoSpaceDN w:val="0"/>
              <w:adjustRightInd w:val="0"/>
              <w:spacing w:before="60" w:after="60" w:line="260" w:lineRule="atLeast"/>
              <w:rPr>
                <w:rFonts w:eastAsia="Calibri" w:cs="Arial"/>
                <w:b/>
                <w:lang w:eastAsia="en-GB"/>
              </w:rPr>
            </w:pPr>
            <w:r w:rsidRPr="00064185">
              <w:rPr>
                <w:rFonts w:eastAsia="Calibri"/>
                <w:b/>
                <w:lang w:eastAsia="en-GB"/>
              </w:rPr>
              <w:t>O</w:t>
            </w:r>
            <w:r w:rsidRPr="00064185">
              <w:rPr>
                <w:rFonts w:eastAsia="Calibri" w:cs="Arial"/>
                <w:b/>
                <w:bCs/>
                <w:lang w:eastAsia="en-GB"/>
              </w:rPr>
              <w:t>utdoor use</w:t>
            </w:r>
          </w:p>
        </w:tc>
      </w:tr>
      <w:tr w:rsidR="00064185" w:rsidRPr="00064185" w14:paraId="49F96CE7" w14:textId="77777777" w:rsidTr="00BA1861">
        <w:trPr>
          <w:trHeight w:val="75"/>
        </w:trPr>
        <w:tc>
          <w:tcPr>
            <w:tcW w:w="3827" w:type="dxa"/>
            <w:shd w:val="clear" w:color="auto" w:fill="FFFFFF"/>
          </w:tcPr>
          <w:p w14:paraId="34F126F5" w14:textId="77777777" w:rsidR="00956EE4" w:rsidRPr="00064185" w:rsidRDefault="00956EE4" w:rsidP="00EA61D8">
            <w:pPr>
              <w:autoSpaceDE w:val="0"/>
              <w:autoSpaceDN w:val="0"/>
              <w:adjustRightInd w:val="0"/>
              <w:spacing w:before="60" w:after="60" w:line="260" w:lineRule="atLeast"/>
              <w:rPr>
                <w:rFonts w:eastAsia="Calibri"/>
                <w:lang w:eastAsia="en-GB"/>
              </w:rPr>
            </w:pPr>
            <w:r w:rsidRPr="00064185">
              <w:rPr>
                <w:rFonts w:eastAsia="Calibri"/>
                <w:lang w:eastAsia="en-GB"/>
              </w:rPr>
              <w:t>Ants (urban area)</w:t>
            </w:r>
            <w:r w:rsidRPr="00064185">
              <w:rPr>
                <w:rFonts w:eastAsia="Calibri" w:cs="Arial"/>
                <w:lang w:eastAsia="en-GB"/>
              </w:rPr>
              <w:t>, residual treatment</w:t>
            </w:r>
          </w:p>
        </w:tc>
        <w:tc>
          <w:tcPr>
            <w:tcW w:w="5354" w:type="dxa"/>
            <w:gridSpan w:val="2"/>
            <w:shd w:val="clear" w:color="auto" w:fill="FFFFFF"/>
            <w:vAlign w:val="center"/>
          </w:tcPr>
          <w:p w14:paraId="227051A8" w14:textId="77777777" w:rsidR="00956EE4" w:rsidRPr="00064185" w:rsidRDefault="00956EE4" w:rsidP="00EA61D8">
            <w:pPr>
              <w:autoSpaceDE w:val="0"/>
              <w:autoSpaceDN w:val="0"/>
              <w:adjustRightInd w:val="0"/>
              <w:spacing w:before="60" w:after="60" w:line="260" w:lineRule="atLeast"/>
              <w:rPr>
                <w:rFonts w:eastAsia="Calibri" w:cs="Arial"/>
                <w:lang w:eastAsia="en-GB"/>
              </w:rPr>
            </w:pPr>
          </w:p>
        </w:tc>
      </w:tr>
      <w:tr w:rsidR="00064185" w:rsidRPr="00064185" w14:paraId="4D8C6EE7" w14:textId="77777777" w:rsidTr="00BA1861">
        <w:trPr>
          <w:trHeight w:val="75"/>
        </w:trPr>
        <w:tc>
          <w:tcPr>
            <w:tcW w:w="3827" w:type="dxa"/>
            <w:shd w:val="clear" w:color="auto" w:fill="FFFFFF"/>
          </w:tcPr>
          <w:p w14:paraId="00D3AFB7" w14:textId="48FAF396" w:rsidR="00956EE4" w:rsidRPr="00064185" w:rsidRDefault="007256A2" w:rsidP="00EA61D8">
            <w:pPr>
              <w:pStyle w:val="Listenabsatz"/>
              <w:numPr>
                <w:ilvl w:val="0"/>
                <w:numId w:val="18"/>
              </w:numPr>
              <w:autoSpaceDE w:val="0"/>
              <w:autoSpaceDN w:val="0"/>
              <w:adjustRightInd w:val="0"/>
              <w:spacing w:before="60" w:after="60" w:line="260" w:lineRule="atLeast"/>
              <w:rPr>
                <w:rFonts w:eastAsia="Calibri" w:cs="Arial"/>
                <w:lang w:eastAsia="en-GB"/>
              </w:rPr>
            </w:pPr>
            <w:r w:rsidRPr="00064185">
              <w:rPr>
                <w:rFonts w:eastAsia="Calibri"/>
                <w:lang w:eastAsia="en-GB"/>
              </w:rPr>
              <w:t>Fish</w:t>
            </w:r>
            <w:r w:rsidR="00956EE4" w:rsidRPr="00064185">
              <w:rPr>
                <w:rFonts w:eastAsia="Calibri"/>
                <w:lang w:eastAsia="en-GB"/>
              </w:rPr>
              <w:t>-eating birds</w:t>
            </w:r>
          </w:p>
        </w:tc>
        <w:tc>
          <w:tcPr>
            <w:tcW w:w="2694" w:type="dxa"/>
            <w:shd w:val="clear" w:color="auto" w:fill="FFFFFF"/>
            <w:vAlign w:val="center"/>
          </w:tcPr>
          <w:p w14:paraId="5408B222" w14:textId="64DF63BF" w:rsidR="00956EE4" w:rsidRPr="00064185" w:rsidRDefault="00AC6195" w:rsidP="00EA61D8">
            <w:pPr>
              <w:keepNext/>
              <w:keepLines/>
              <w:spacing w:after="40"/>
              <w:rPr>
                <w:rFonts w:eastAsia="Calibri"/>
                <w:lang w:eastAsia="en-GB"/>
              </w:rPr>
            </w:pPr>
            <w:r w:rsidRPr="00064185">
              <w:rPr>
                <w:rFonts w:eastAsia="Calibri" w:cs="Arial"/>
                <w:sz w:val="18"/>
                <w:szCs w:val="18"/>
                <w:lang w:eastAsia="en-GB"/>
              </w:rPr>
              <w:t>4.</w:t>
            </w:r>
            <w:r w:rsidR="001E11DB" w:rsidRPr="00064185">
              <w:rPr>
                <w:rFonts w:eastAsia="Calibri" w:cs="Arial"/>
                <w:sz w:val="18"/>
                <w:szCs w:val="18"/>
                <w:lang w:eastAsia="en-GB"/>
              </w:rPr>
              <w:t>91</w:t>
            </w:r>
            <w:r w:rsidRPr="00064185">
              <w:rPr>
                <w:rFonts w:eastAsia="Calibri" w:cs="Arial"/>
                <w:sz w:val="18"/>
                <w:szCs w:val="18"/>
                <w:lang w:eastAsia="en-GB"/>
              </w:rPr>
              <w:t>E-3</w:t>
            </w:r>
          </w:p>
        </w:tc>
        <w:tc>
          <w:tcPr>
            <w:tcW w:w="2660" w:type="dxa"/>
            <w:shd w:val="clear" w:color="auto" w:fill="FFFFFF"/>
          </w:tcPr>
          <w:p w14:paraId="6CA69419" w14:textId="286CD3E6" w:rsidR="00956EE4" w:rsidRPr="00064185" w:rsidRDefault="00A84C83" w:rsidP="00EA61D8">
            <w:pPr>
              <w:autoSpaceDE w:val="0"/>
              <w:autoSpaceDN w:val="0"/>
              <w:adjustRightInd w:val="0"/>
              <w:spacing w:before="60" w:after="60" w:line="260" w:lineRule="atLeast"/>
              <w:rPr>
                <w:rFonts w:eastAsia="Calibri" w:cs="Arial"/>
                <w:lang w:eastAsia="en-GB"/>
              </w:rPr>
            </w:pPr>
            <w:r w:rsidRPr="00064185">
              <w:rPr>
                <w:rFonts w:eastAsia="Calibri" w:cs="Arial"/>
                <w:sz w:val="18"/>
                <w:szCs w:val="18"/>
                <w:lang w:eastAsia="en-GB"/>
              </w:rPr>
              <w:t>8.1</w:t>
            </w:r>
            <w:r w:rsidR="00367BC4" w:rsidRPr="00064185">
              <w:rPr>
                <w:rFonts w:eastAsia="Calibri" w:cs="Arial"/>
                <w:sz w:val="18"/>
                <w:szCs w:val="18"/>
                <w:lang w:eastAsia="en-GB"/>
              </w:rPr>
              <w:t>8</w:t>
            </w:r>
            <w:r w:rsidRPr="00064185">
              <w:rPr>
                <w:rFonts w:eastAsia="Calibri" w:cs="Arial"/>
                <w:sz w:val="18"/>
                <w:szCs w:val="18"/>
                <w:lang w:eastAsia="en-GB"/>
              </w:rPr>
              <w:t xml:space="preserve">E-3 </w:t>
            </w:r>
          </w:p>
        </w:tc>
      </w:tr>
      <w:tr w:rsidR="00064185" w:rsidRPr="00064185" w14:paraId="56E55821" w14:textId="77777777" w:rsidTr="00BA1861">
        <w:trPr>
          <w:trHeight w:val="75"/>
        </w:trPr>
        <w:tc>
          <w:tcPr>
            <w:tcW w:w="3827" w:type="dxa"/>
            <w:shd w:val="clear" w:color="auto" w:fill="FFFFFF"/>
          </w:tcPr>
          <w:p w14:paraId="1F877C72" w14:textId="5E5F9BEE" w:rsidR="00956EE4" w:rsidRPr="00064185" w:rsidRDefault="007256A2" w:rsidP="00EA61D8">
            <w:pPr>
              <w:pStyle w:val="Listenabsatz"/>
              <w:numPr>
                <w:ilvl w:val="0"/>
                <w:numId w:val="18"/>
              </w:numPr>
              <w:autoSpaceDE w:val="0"/>
              <w:autoSpaceDN w:val="0"/>
              <w:adjustRightInd w:val="0"/>
              <w:spacing w:before="60" w:after="60" w:line="260" w:lineRule="atLeast"/>
              <w:rPr>
                <w:rFonts w:eastAsia="Calibri" w:cs="Arial"/>
                <w:lang w:eastAsia="en-GB"/>
              </w:rPr>
            </w:pPr>
            <w:r w:rsidRPr="00064185">
              <w:rPr>
                <w:rFonts w:eastAsia="Calibri"/>
                <w:lang w:eastAsia="en-GB"/>
              </w:rPr>
              <w:t>Fish</w:t>
            </w:r>
            <w:r w:rsidR="00956EE4" w:rsidRPr="00064185">
              <w:rPr>
                <w:rFonts w:eastAsia="Calibri"/>
                <w:lang w:eastAsia="en-GB"/>
              </w:rPr>
              <w:t>-eating mammals</w:t>
            </w:r>
          </w:p>
        </w:tc>
        <w:tc>
          <w:tcPr>
            <w:tcW w:w="2694" w:type="dxa"/>
            <w:shd w:val="clear" w:color="auto" w:fill="FFFFFF"/>
            <w:vAlign w:val="center"/>
          </w:tcPr>
          <w:p w14:paraId="2BBDE3CD" w14:textId="679483C9" w:rsidR="00956EE4" w:rsidRPr="00064185" w:rsidRDefault="00A723F2" w:rsidP="00EA61D8">
            <w:pPr>
              <w:keepNext/>
              <w:keepLines/>
              <w:spacing w:after="40"/>
              <w:rPr>
                <w:highlight w:val="yellow"/>
              </w:rPr>
            </w:pPr>
            <w:r w:rsidRPr="00064185">
              <w:rPr>
                <w:rFonts w:eastAsia="Calibri" w:cs="Arial"/>
                <w:sz w:val="18"/>
                <w:szCs w:val="18"/>
                <w:lang w:eastAsia="en-GB"/>
              </w:rPr>
              <w:t>3.04E-3</w:t>
            </w:r>
          </w:p>
        </w:tc>
        <w:tc>
          <w:tcPr>
            <w:tcW w:w="2660" w:type="dxa"/>
            <w:shd w:val="clear" w:color="auto" w:fill="FFFFFF"/>
          </w:tcPr>
          <w:p w14:paraId="2ED906C4" w14:textId="79485B78" w:rsidR="00956EE4" w:rsidRPr="00064185" w:rsidRDefault="00A84C83" w:rsidP="00EA61D8">
            <w:pPr>
              <w:autoSpaceDE w:val="0"/>
              <w:autoSpaceDN w:val="0"/>
              <w:adjustRightInd w:val="0"/>
              <w:spacing w:before="60" w:after="60" w:line="260" w:lineRule="atLeast"/>
            </w:pPr>
            <w:r w:rsidRPr="00064185">
              <w:t>2.52E-2</w:t>
            </w:r>
          </w:p>
        </w:tc>
      </w:tr>
    </w:tbl>
    <w:p w14:paraId="0F7CFC87" w14:textId="77777777" w:rsidR="0070292D" w:rsidRPr="00064185" w:rsidRDefault="0070292D" w:rsidP="00EA61D8"/>
    <w:p w14:paraId="573201A6" w14:textId="77777777" w:rsidR="0070292D" w:rsidRPr="00064185" w:rsidRDefault="0070292D" w:rsidP="00EA61D8"/>
    <w:tbl>
      <w:tblPr>
        <w:tblW w:w="91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694"/>
        <w:gridCol w:w="2660"/>
      </w:tblGrid>
      <w:tr w:rsidR="00064185" w:rsidRPr="00064185" w14:paraId="65FB071D" w14:textId="77777777" w:rsidTr="0070292D">
        <w:trPr>
          <w:trHeight w:val="249"/>
        </w:trPr>
        <w:tc>
          <w:tcPr>
            <w:tcW w:w="9181" w:type="dxa"/>
            <w:gridSpan w:val="3"/>
            <w:shd w:val="clear" w:color="auto" w:fill="FFFFCC"/>
            <w:vAlign w:val="center"/>
          </w:tcPr>
          <w:p w14:paraId="66F5278C" w14:textId="2453C1B3" w:rsidR="00A27721" w:rsidRPr="00064185" w:rsidRDefault="00A27721" w:rsidP="00EA61D8">
            <w:pPr>
              <w:keepNext/>
              <w:keepLines/>
              <w:widowControl w:val="0"/>
              <w:autoSpaceDE w:val="0"/>
              <w:autoSpaceDN w:val="0"/>
              <w:adjustRightInd w:val="0"/>
              <w:spacing w:before="60" w:after="60" w:line="260" w:lineRule="atLeast"/>
              <w:rPr>
                <w:rFonts w:eastAsia="Calibri"/>
                <w:b/>
                <w:sz w:val="18"/>
                <w:szCs w:val="18"/>
                <w:lang w:eastAsia="en-US"/>
              </w:rPr>
            </w:pPr>
            <w:r w:rsidRPr="00064185">
              <w:rPr>
                <w:rFonts w:eastAsia="Calibri"/>
                <w:b/>
                <w:sz w:val="18"/>
                <w:szCs w:val="18"/>
                <w:lang w:eastAsia="en-US"/>
              </w:rPr>
              <w:t xml:space="preserve">Summary table on </w:t>
            </w:r>
            <w:r w:rsidR="008A063A" w:rsidRPr="00064185">
              <w:rPr>
                <w:rFonts w:eastAsia="Calibri"/>
                <w:b/>
                <w:sz w:val="18"/>
                <w:szCs w:val="18"/>
                <w:lang w:eastAsia="en-US"/>
              </w:rPr>
              <w:t>worst case scenarios for</w:t>
            </w:r>
            <w:r w:rsidRPr="00064185">
              <w:rPr>
                <w:rFonts w:eastAsia="Calibri"/>
                <w:b/>
                <w:sz w:val="18"/>
                <w:szCs w:val="18"/>
                <w:lang w:eastAsia="en-US"/>
              </w:rPr>
              <w:t xml:space="preserve"> bioaccumulation via </w:t>
            </w:r>
            <w:r w:rsidR="008A063A" w:rsidRPr="00064185">
              <w:rPr>
                <w:rFonts w:eastAsia="Calibri"/>
                <w:b/>
                <w:sz w:val="18"/>
                <w:szCs w:val="18"/>
                <w:lang w:eastAsia="en-US"/>
              </w:rPr>
              <w:t xml:space="preserve">the </w:t>
            </w:r>
            <w:r w:rsidRPr="00064185">
              <w:rPr>
                <w:rFonts w:eastAsia="Calibri"/>
                <w:b/>
                <w:sz w:val="18"/>
                <w:szCs w:val="18"/>
                <w:lang w:eastAsia="en-US"/>
              </w:rPr>
              <w:t>terrestrial food chain</w:t>
            </w:r>
          </w:p>
        </w:tc>
      </w:tr>
      <w:tr w:rsidR="00064185" w:rsidRPr="00064185" w14:paraId="07335E5E" w14:textId="77777777" w:rsidTr="0070292D">
        <w:trPr>
          <w:trHeight w:val="249"/>
        </w:trPr>
        <w:tc>
          <w:tcPr>
            <w:tcW w:w="3827" w:type="dxa"/>
            <w:shd w:val="clear" w:color="auto" w:fill="FFFFFF"/>
            <w:vAlign w:val="center"/>
          </w:tcPr>
          <w:p w14:paraId="6A4CDAE5" w14:textId="77777777" w:rsidR="00A27721" w:rsidRPr="00064185" w:rsidRDefault="00A27721" w:rsidP="00EA61D8">
            <w:pPr>
              <w:autoSpaceDE w:val="0"/>
              <w:autoSpaceDN w:val="0"/>
              <w:adjustRightInd w:val="0"/>
              <w:spacing w:before="60" w:after="60" w:line="260" w:lineRule="atLeast"/>
              <w:rPr>
                <w:rFonts w:eastAsia="Calibri" w:cs="Arial"/>
                <w:b/>
                <w:lang w:eastAsia="en-GB"/>
              </w:rPr>
            </w:pPr>
            <w:r w:rsidRPr="00064185">
              <w:rPr>
                <w:rFonts w:eastAsia="Calibri" w:cs="Arial"/>
                <w:b/>
                <w:lang w:eastAsia="en-GB"/>
              </w:rPr>
              <w:t>Scenario</w:t>
            </w:r>
          </w:p>
        </w:tc>
        <w:tc>
          <w:tcPr>
            <w:tcW w:w="2694" w:type="dxa"/>
            <w:shd w:val="clear" w:color="auto" w:fill="FFFFFF"/>
            <w:vAlign w:val="center"/>
          </w:tcPr>
          <w:p w14:paraId="21766A98" w14:textId="77777777" w:rsidR="00A27721" w:rsidRPr="00064185" w:rsidRDefault="00A27721" w:rsidP="00EA61D8">
            <w:pPr>
              <w:autoSpaceDE w:val="0"/>
              <w:autoSpaceDN w:val="0"/>
              <w:adjustRightInd w:val="0"/>
              <w:spacing w:before="60" w:after="60" w:line="260" w:lineRule="atLeast"/>
              <w:rPr>
                <w:rFonts w:eastAsia="Calibri" w:cs="Arial"/>
                <w:b/>
                <w:lang w:eastAsia="en-GB"/>
              </w:rPr>
            </w:pPr>
            <w:r w:rsidRPr="00064185">
              <w:rPr>
                <w:rFonts w:eastAsia="Calibri" w:cs="Arial"/>
                <w:b/>
                <w:bCs/>
                <w:lang w:eastAsia="en-GB"/>
              </w:rPr>
              <w:t>PEC</w:t>
            </w:r>
            <w:r w:rsidRPr="00064185">
              <w:rPr>
                <w:rFonts w:eastAsia="Calibri" w:cs="Arial"/>
                <w:b/>
                <w:bCs/>
                <w:vertAlign w:val="subscript"/>
                <w:lang w:eastAsia="en-GB"/>
              </w:rPr>
              <w:t>oral predator</w:t>
            </w:r>
            <w:r w:rsidRPr="00064185">
              <w:rPr>
                <w:rFonts w:eastAsia="Calibri" w:cs="Arial"/>
                <w:b/>
                <w:bCs/>
                <w:lang w:eastAsia="en-GB"/>
              </w:rPr>
              <w:t xml:space="preserve"> </w:t>
            </w:r>
          </w:p>
        </w:tc>
        <w:tc>
          <w:tcPr>
            <w:tcW w:w="2660" w:type="dxa"/>
            <w:shd w:val="clear" w:color="auto" w:fill="FFFFFF"/>
            <w:vAlign w:val="center"/>
          </w:tcPr>
          <w:p w14:paraId="56E4162B" w14:textId="77777777" w:rsidR="00A27721" w:rsidRPr="00064185" w:rsidRDefault="00A27721" w:rsidP="00EA61D8">
            <w:pPr>
              <w:autoSpaceDE w:val="0"/>
              <w:autoSpaceDN w:val="0"/>
              <w:adjustRightInd w:val="0"/>
              <w:spacing w:before="60" w:after="60" w:line="260" w:lineRule="atLeast"/>
              <w:rPr>
                <w:rFonts w:eastAsia="Calibri" w:cs="Arial"/>
                <w:b/>
                <w:lang w:eastAsia="en-GB"/>
              </w:rPr>
            </w:pPr>
            <w:r w:rsidRPr="00064185">
              <w:rPr>
                <w:rFonts w:eastAsia="Calibri" w:cs="Arial"/>
                <w:b/>
                <w:lang w:eastAsia="en-GB"/>
              </w:rPr>
              <w:t>PEC/PNEC</w:t>
            </w:r>
          </w:p>
        </w:tc>
      </w:tr>
      <w:tr w:rsidR="00064185" w:rsidRPr="00CD287F" w14:paraId="56CC79FC" w14:textId="77777777" w:rsidTr="0070292D">
        <w:trPr>
          <w:trHeight w:val="249"/>
        </w:trPr>
        <w:tc>
          <w:tcPr>
            <w:tcW w:w="3827" w:type="dxa"/>
            <w:shd w:val="clear" w:color="auto" w:fill="FFFFFF"/>
            <w:vAlign w:val="center"/>
          </w:tcPr>
          <w:p w14:paraId="58B80175" w14:textId="77777777" w:rsidR="00A27721" w:rsidRPr="00064185" w:rsidRDefault="00A27721" w:rsidP="00EA61D8">
            <w:pPr>
              <w:autoSpaceDE w:val="0"/>
              <w:autoSpaceDN w:val="0"/>
              <w:adjustRightInd w:val="0"/>
              <w:spacing w:before="60" w:after="60" w:line="260" w:lineRule="atLeast"/>
              <w:rPr>
                <w:rFonts w:eastAsia="Calibri" w:cs="Arial"/>
                <w:b/>
                <w:lang w:eastAsia="en-GB"/>
              </w:rPr>
            </w:pPr>
          </w:p>
        </w:tc>
        <w:tc>
          <w:tcPr>
            <w:tcW w:w="5354" w:type="dxa"/>
            <w:gridSpan w:val="2"/>
            <w:shd w:val="clear" w:color="auto" w:fill="FFFFFF"/>
            <w:vAlign w:val="center"/>
          </w:tcPr>
          <w:p w14:paraId="261CC005" w14:textId="5569FEC6" w:rsidR="00A27721" w:rsidRPr="00064185" w:rsidRDefault="00A27721" w:rsidP="00EA61D8">
            <w:pPr>
              <w:autoSpaceDE w:val="0"/>
              <w:autoSpaceDN w:val="0"/>
              <w:adjustRightInd w:val="0"/>
              <w:spacing w:before="60" w:after="60" w:line="260" w:lineRule="atLeast"/>
              <w:rPr>
                <w:rFonts w:eastAsia="Calibri" w:cs="Arial"/>
                <w:b/>
                <w:bCs/>
                <w:lang w:eastAsia="en-GB"/>
              </w:rPr>
            </w:pPr>
            <w:r w:rsidRPr="00064185">
              <w:rPr>
                <w:rFonts w:eastAsia="Calibri" w:cs="Arial"/>
                <w:b/>
                <w:bCs/>
                <w:lang w:eastAsia="en-GB"/>
              </w:rPr>
              <w:t>PNEC</w:t>
            </w:r>
            <w:r w:rsidRPr="00064185">
              <w:rPr>
                <w:rFonts w:eastAsia="Calibri" w:cs="Arial"/>
                <w:b/>
                <w:bCs/>
                <w:vertAlign w:val="subscript"/>
                <w:lang w:eastAsia="en-GB"/>
              </w:rPr>
              <w:t xml:space="preserve"> birds </w:t>
            </w:r>
            <w:r w:rsidRPr="00064185">
              <w:rPr>
                <w:rFonts w:eastAsia="Calibri" w:cs="Arial"/>
                <w:b/>
                <w:bCs/>
                <w:lang w:eastAsia="en-GB"/>
              </w:rPr>
              <w:t xml:space="preserve">= </w:t>
            </w:r>
            <w:r w:rsidR="00573C9C" w:rsidRPr="00064185">
              <w:rPr>
                <w:b/>
              </w:rPr>
              <w:t>0.6 mg ai/kg bw/d</w:t>
            </w:r>
          </w:p>
          <w:p w14:paraId="37FF437A" w14:textId="5ED664DD" w:rsidR="00A27721" w:rsidRPr="00064185" w:rsidRDefault="00A27721" w:rsidP="00EA61D8">
            <w:pPr>
              <w:autoSpaceDE w:val="0"/>
              <w:autoSpaceDN w:val="0"/>
              <w:adjustRightInd w:val="0"/>
              <w:spacing w:before="60" w:after="60" w:line="260" w:lineRule="atLeast"/>
              <w:rPr>
                <w:rFonts w:eastAsia="Calibri"/>
                <w:b/>
                <w:lang w:val="de-AT" w:eastAsia="en-GB"/>
              </w:rPr>
            </w:pPr>
            <w:r w:rsidRPr="00064185">
              <w:rPr>
                <w:rFonts w:eastAsia="Calibri"/>
                <w:b/>
                <w:lang w:val="de-AT" w:eastAsia="en-GB"/>
              </w:rPr>
              <w:t xml:space="preserve">PNEC </w:t>
            </w:r>
            <w:r w:rsidRPr="00064185">
              <w:rPr>
                <w:rFonts w:eastAsia="Calibri"/>
                <w:b/>
                <w:vertAlign w:val="subscript"/>
                <w:lang w:val="de-AT" w:eastAsia="en-GB"/>
              </w:rPr>
              <w:t xml:space="preserve">mammals </w:t>
            </w:r>
            <w:r w:rsidRPr="00064185">
              <w:rPr>
                <w:rFonts w:eastAsia="Calibri"/>
                <w:b/>
                <w:lang w:val="de-AT" w:eastAsia="en-GB"/>
              </w:rPr>
              <w:t xml:space="preserve">= </w:t>
            </w:r>
            <w:r w:rsidR="00573C9C" w:rsidRPr="00064185">
              <w:rPr>
                <w:rFonts w:eastAsia="Calibri"/>
                <w:b/>
                <w:lang w:val="de-AT" w:eastAsia="en-GB"/>
              </w:rPr>
              <w:t xml:space="preserve"> </w:t>
            </w:r>
            <w:r w:rsidR="00573C9C" w:rsidRPr="00064185">
              <w:rPr>
                <w:b/>
                <w:lang w:val="de-AT"/>
              </w:rPr>
              <w:t>0.12 mg ai/kg bw/d</w:t>
            </w:r>
          </w:p>
        </w:tc>
      </w:tr>
      <w:tr w:rsidR="00064185" w:rsidRPr="00064185" w14:paraId="61707FDC" w14:textId="77777777" w:rsidTr="0070292D">
        <w:trPr>
          <w:trHeight w:val="75"/>
        </w:trPr>
        <w:tc>
          <w:tcPr>
            <w:tcW w:w="9181" w:type="dxa"/>
            <w:gridSpan w:val="3"/>
            <w:shd w:val="clear" w:color="auto" w:fill="FFFFFF"/>
          </w:tcPr>
          <w:p w14:paraId="7D708A24" w14:textId="77777777" w:rsidR="00A27721" w:rsidRPr="00064185" w:rsidRDefault="00A27721" w:rsidP="00EA61D8">
            <w:pPr>
              <w:autoSpaceDE w:val="0"/>
              <w:autoSpaceDN w:val="0"/>
              <w:adjustRightInd w:val="0"/>
              <w:spacing w:before="60" w:after="60" w:line="260" w:lineRule="atLeast"/>
              <w:rPr>
                <w:rFonts w:eastAsia="Calibri" w:cs="Arial"/>
                <w:b/>
                <w:lang w:eastAsia="en-GB"/>
              </w:rPr>
            </w:pPr>
            <w:r w:rsidRPr="00064185">
              <w:rPr>
                <w:rFonts w:eastAsia="Calibri" w:cs="Arial"/>
                <w:b/>
                <w:lang w:eastAsia="en-GB"/>
              </w:rPr>
              <w:t>I</w:t>
            </w:r>
            <w:r w:rsidRPr="00064185">
              <w:rPr>
                <w:rFonts w:eastAsia="Calibri" w:cs="Arial"/>
                <w:b/>
                <w:bCs/>
                <w:lang w:eastAsia="en-GB"/>
              </w:rPr>
              <w:t xml:space="preserve">ndoor use </w:t>
            </w:r>
          </w:p>
        </w:tc>
      </w:tr>
      <w:tr w:rsidR="00064185" w:rsidRPr="00064185" w14:paraId="40E51BEF" w14:textId="77777777" w:rsidTr="0070292D">
        <w:trPr>
          <w:trHeight w:val="75"/>
        </w:trPr>
        <w:tc>
          <w:tcPr>
            <w:tcW w:w="3827" w:type="dxa"/>
            <w:shd w:val="clear" w:color="auto" w:fill="FFFFFF"/>
          </w:tcPr>
          <w:p w14:paraId="33E613A2" w14:textId="4B7ABEFF" w:rsidR="00A27721" w:rsidRPr="00064185" w:rsidRDefault="00A27721" w:rsidP="00EA61D8">
            <w:pPr>
              <w:autoSpaceDE w:val="0"/>
              <w:autoSpaceDN w:val="0"/>
              <w:adjustRightInd w:val="0"/>
              <w:spacing w:before="60" w:after="60" w:line="260" w:lineRule="atLeast"/>
              <w:rPr>
                <w:rFonts w:eastAsia="Calibri" w:cs="Arial"/>
                <w:lang w:eastAsia="en-GB"/>
              </w:rPr>
            </w:pPr>
            <w:r w:rsidRPr="00064185">
              <w:rPr>
                <w:rFonts w:eastAsia="Calibri" w:cs="Arial"/>
                <w:lang w:eastAsia="en-GB"/>
              </w:rPr>
              <w:t>Ants</w:t>
            </w:r>
            <w:r w:rsidR="00E163B3" w:rsidRPr="00064185">
              <w:rPr>
                <w:rFonts w:eastAsia="Calibri" w:cs="Arial"/>
                <w:lang w:eastAsia="en-GB"/>
              </w:rPr>
              <w:t>, residual treatment</w:t>
            </w:r>
          </w:p>
        </w:tc>
        <w:tc>
          <w:tcPr>
            <w:tcW w:w="5354" w:type="dxa"/>
            <w:gridSpan w:val="2"/>
            <w:shd w:val="clear" w:color="auto" w:fill="FFFFFF"/>
          </w:tcPr>
          <w:p w14:paraId="1C8BF93B" w14:textId="77777777" w:rsidR="00A27721" w:rsidRPr="00064185" w:rsidRDefault="00A27721" w:rsidP="00EA61D8">
            <w:pPr>
              <w:autoSpaceDE w:val="0"/>
              <w:autoSpaceDN w:val="0"/>
              <w:adjustRightInd w:val="0"/>
              <w:spacing w:before="60" w:after="60" w:line="260" w:lineRule="atLeast"/>
              <w:rPr>
                <w:rFonts w:eastAsia="Calibri" w:cs="Arial"/>
                <w:lang w:eastAsia="en-GB"/>
              </w:rPr>
            </w:pPr>
          </w:p>
        </w:tc>
      </w:tr>
      <w:tr w:rsidR="00064185" w:rsidRPr="00064185" w14:paraId="36DA9F13" w14:textId="77777777" w:rsidTr="0070292D">
        <w:trPr>
          <w:trHeight w:val="75"/>
        </w:trPr>
        <w:tc>
          <w:tcPr>
            <w:tcW w:w="3827" w:type="dxa"/>
            <w:shd w:val="clear" w:color="auto" w:fill="FFFFFF"/>
          </w:tcPr>
          <w:p w14:paraId="306D6EF3" w14:textId="274DCFDB" w:rsidR="00A27721" w:rsidRPr="00064185" w:rsidRDefault="005646A0" w:rsidP="00EA61D8">
            <w:pPr>
              <w:pStyle w:val="Listenabsatz"/>
              <w:numPr>
                <w:ilvl w:val="0"/>
                <w:numId w:val="18"/>
              </w:numPr>
              <w:autoSpaceDE w:val="0"/>
              <w:autoSpaceDN w:val="0"/>
              <w:adjustRightInd w:val="0"/>
              <w:spacing w:before="60" w:after="60" w:line="260" w:lineRule="atLeast"/>
              <w:rPr>
                <w:rFonts w:eastAsia="Calibri" w:cs="Arial"/>
                <w:lang w:eastAsia="en-GB"/>
              </w:rPr>
            </w:pPr>
            <w:r w:rsidRPr="00064185">
              <w:rPr>
                <w:rFonts w:eastAsia="Calibri"/>
                <w:lang w:eastAsia="en-GB"/>
              </w:rPr>
              <w:t>Eart</w:t>
            </w:r>
            <w:r w:rsidR="00A43F43" w:rsidRPr="00064185">
              <w:rPr>
                <w:rFonts w:eastAsia="Calibri"/>
                <w:lang w:eastAsia="en-GB"/>
              </w:rPr>
              <w:t>h</w:t>
            </w:r>
            <w:r w:rsidRPr="00064185">
              <w:rPr>
                <w:rFonts w:eastAsia="Calibri"/>
                <w:lang w:eastAsia="en-GB"/>
              </w:rPr>
              <w:t>worm</w:t>
            </w:r>
            <w:r w:rsidR="00A27721" w:rsidRPr="00064185">
              <w:rPr>
                <w:rFonts w:eastAsia="Calibri"/>
                <w:lang w:eastAsia="en-GB"/>
              </w:rPr>
              <w:t>-eating birds</w:t>
            </w:r>
          </w:p>
        </w:tc>
        <w:tc>
          <w:tcPr>
            <w:tcW w:w="2694" w:type="dxa"/>
            <w:shd w:val="clear" w:color="auto" w:fill="FFFFFF"/>
            <w:vAlign w:val="center"/>
          </w:tcPr>
          <w:p w14:paraId="714632EC" w14:textId="5270F509" w:rsidR="00A27721" w:rsidRPr="00064185" w:rsidRDefault="004278CC" w:rsidP="00EA61D8">
            <w:pPr>
              <w:keepNext/>
              <w:keepLines/>
              <w:spacing w:after="40"/>
              <w:rPr>
                <w:rFonts w:eastAsia="Calibri"/>
                <w:lang w:eastAsia="en-GB"/>
              </w:rPr>
            </w:pPr>
            <w:r w:rsidRPr="00064185">
              <w:rPr>
                <w:rFonts w:eastAsia="Calibri" w:cs="Arial"/>
                <w:sz w:val="18"/>
                <w:szCs w:val="18"/>
                <w:lang w:eastAsia="en-GB"/>
              </w:rPr>
              <w:t>1.18E-3</w:t>
            </w:r>
          </w:p>
        </w:tc>
        <w:tc>
          <w:tcPr>
            <w:tcW w:w="2660" w:type="dxa"/>
            <w:shd w:val="clear" w:color="auto" w:fill="FFFFFF"/>
          </w:tcPr>
          <w:p w14:paraId="2D1C6EFD" w14:textId="46E65981" w:rsidR="00A27721" w:rsidRPr="00064185" w:rsidRDefault="004278CC" w:rsidP="00EA61D8">
            <w:pPr>
              <w:autoSpaceDE w:val="0"/>
              <w:autoSpaceDN w:val="0"/>
              <w:adjustRightInd w:val="0"/>
              <w:spacing w:before="60" w:after="60" w:line="260" w:lineRule="atLeast"/>
              <w:rPr>
                <w:rFonts w:eastAsia="Calibri" w:cs="Arial"/>
                <w:lang w:eastAsia="en-GB"/>
              </w:rPr>
            </w:pPr>
            <w:r w:rsidRPr="00064185">
              <w:rPr>
                <w:rFonts w:eastAsia="Calibri"/>
                <w:lang w:eastAsia="en-GB"/>
              </w:rPr>
              <w:t>1.98E-3</w:t>
            </w:r>
          </w:p>
        </w:tc>
      </w:tr>
      <w:tr w:rsidR="00064185" w:rsidRPr="00064185" w14:paraId="49F994F5" w14:textId="77777777" w:rsidTr="0070292D">
        <w:trPr>
          <w:trHeight w:val="75"/>
        </w:trPr>
        <w:tc>
          <w:tcPr>
            <w:tcW w:w="3827" w:type="dxa"/>
            <w:shd w:val="clear" w:color="auto" w:fill="FFFFFF"/>
          </w:tcPr>
          <w:p w14:paraId="7C157A75" w14:textId="5F7823D7" w:rsidR="00A27721" w:rsidRPr="00064185" w:rsidRDefault="00A43F43" w:rsidP="00EA61D8">
            <w:pPr>
              <w:pStyle w:val="Listenabsatz"/>
              <w:numPr>
                <w:ilvl w:val="0"/>
                <w:numId w:val="18"/>
              </w:numPr>
              <w:autoSpaceDE w:val="0"/>
              <w:autoSpaceDN w:val="0"/>
              <w:adjustRightInd w:val="0"/>
              <w:spacing w:before="60" w:after="60" w:line="260" w:lineRule="atLeast"/>
              <w:rPr>
                <w:rFonts w:eastAsia="Calibri" w:cs="Arial"/>
                <w:lang w:eastAsia="en-GB"/>
              </w:rPr>
            </w:pPr>
            <w:r w:rsidRPr="00064185">
              <w:rPr>
                <w:rFonts w:eastAsia="Calibri"/>
                <w:lang w:eastAsia="en-GB"/>
              </w:rPr>
              <w:t>Earthworm</w:t>
            </w:r>
            <w:r w:rsidR="00A27721" w:rsidRPr="00064185">
              <w:rPr>
                <w:rFonts w:eastAsia="Calibri"/>
                <w:lang w:eastAsia="en-GB"/>
              </w:rPr>
              <w:t>-eating mammals</w:t>
            </w:r>
          </w:p>
        </w:tc>
        <w:tc>
          <w:tcPr>
            <w:tcW w:w="2694" w:type="dxa"/>
            <w:shd w:val="clear" w:color="auto" w:fill="FFFFFF"/>
          </w:tcPr>
          <w:p w14:paraId="5F07E38C" w14:textId="187B9224" w:rsidR="00A27721" w:rsidRPr="00064185" w:rsidRDefault="00B14680" w:rsidP="00EA61D8">
            <w:pPr>
              <w:autoSpaceDE w:val="0"/>
              <w:autoSpaceDN w:val="0"/>
              <w:adjustRightInd w:val="0"/>
              <w:spacing w:before="60" w:after="60" w:line="260" w:lineRule="atLeast"/>
              <w:rPr>
                <w:rFonts w:eastAsia="Calibri"/>
                <w:lang w:eastAsia="en-GB"/>
              </w:rPr>
            </w:pPr>
            <w:r w:rsidRPr="00064185">
              <w:rPr>
                <w:rFonts w:eastAsia="Calibri" w:cs="Arial"/>
                <w:sz w:val="18"/>
                <w:szCs w:val="18"/>
                <w:lang w:eastAsia="en-GB"/>
              </w:rPr>
              <w:t>1.51E-3</w:t>
            </w:r>
          </w:p>
        </w:tc>
        <w:tc>
          <w:tcPr>
            <w:tcW w:w="2660" w:type="dxa"/>
            <w:shd w:val="clear" w:color="auto" w:fill="FFFFFF"/>
          </w:tcPr>
          <w:p w14:paraId="4CB1543D" w14:textId="3CE802ED" w:rsidR="00A27721" w:rsidRPr="00064185" w:rsidRDefault="00B14680" w:rsidP="00EA61D8">
            <w:pPr>
              <w:autoSpaceDE w:val="0"/>
              <w:autoSpaceDN w:val="0"/>
              <w:adjustRightInd w:val="0"/>
              <w:spacing w:before="60" w:after="60" w:line="260" w:lineRule="atLeast"/>
              <w:rPr>
                <w:rFonts w:eastAsia="Calibri" w:cs="Arial"/>
                <w:lang w:eastAsia="en-GB"/>
              </w:rPr>
            </w:pPr>
            <w:r w:rsidRPr="00064185">
              <w:rPr>
                <w:rFonts w:eastAsia="Calibri" w:cs="Arial"/>
                <w:lang w:eastAsia="en-GB"/>
              </w:rPr>
              <w:t>1.26E-2</w:t>
            </w:r>
          </w:p>
        </w:tc>
      </w:tr>
      <w:tr w:rsidR="00064185" w:rsidRPr="00064185" w14:paraId="1E0808E7" w14:textId="77777777" w:rsidTr="0070292D">
        <w:trPr>
          <w:trHeight w:val="75"/>
        </w:trPr>
        <w:tc>
          <w:tcPr>
            <w:tcW w:w="3827" w:type="dxa"/>
            <w:shd w:val="clear" w:color="auto" w:fill="FFFFFF"/>
          </w:tcPr>
          <w:p w14:paraId="06D44AF5" w14:textId="20A17E3B" w:rsidR="00A27721" w:rsidRPr="00064185" w:rsidRDefault="00A27721" w:rsidP="00EA61D8">
            <w:pPr>
              <w:autoSpaceDE w:val="0"/>
              <w:autoSpaceDN w:val="0"/>
              <w:adjustRightInd w:val="0"/>
              <w:spacing w:before="60" w:after="60" w:line="260" w:lineRule="atLeast"/>
              <w:rPr>
                <w:rFonts w:eastAsia="Calibri"/>
                <w:lang w:eastAsia="en-GB"/>
              </w:rPr>
            </w:pPr>
            <w:r w:rsidRPr="00064185">
              <w:rPr>
                <w:rFonts w:eastAsia="Calibri"/>
                <w:lang w:eastAsia="en-GB"/>
              </w:rPr>
              <w:t>Silverfish</w:t>
            </w:r>
            <w:r w:rsidR="00B0458A" w:rsidRPr="00064185">
              <w:rPr>
                <w:rFonts w:eastAsia="Calibri"/>
                <w:lang w:eastAsia="en-GB"/>
              </w:rPr>
              <w:t>es</w:t>
            </w:r>
            <w:r w:rsidRPr="00064185">
              <w:rPr>
                <w:rFonts w:eastAsia="Calibri"/>
                <w:lang w:eastAsia="en-GB"/>
              </w:rPr>
              <w:t xml:space="preserve"> &amp; Cockroaches</w:t>
            </w:r>
            <w:r w:rsidR="00E163B3" w:rsidRPr="00064185">
              <w:rPr>
                <w:rFonts w:eastAsia="Calibri"/>
                <w:lang w:eastAsia="en-GB"/>
              </w:rPr>
              <w:t xml:space="preserve">, </w:t>
            </w:r>
            <w:r w:rsidR="00412FF6" w:rsidRPr="00064185">
              <w:rPr>
                <w:rFonts w:eastAsia="Calibri"/>
                <w:lang w:eastAsia="en-GB"/>
              </w:rPr>
              <w:t xml:space="preserve">direct treatment of target organisms, </w:t>
            </w:r>
            <w:r w:rsidR="00E163B3" w:rsidRPr="00064185">
              <w:rPr>
                <w:rFonts w:eastAsia="Calibri"/>
                <w:lang w:eastAsia="en-GB"/>
              </w:rPr>
              <w:t>weekly</w:t>
            </w:r>
          </w:p>
        </w:tc>
        <w:tc>
          <w:tcPr>
            <w:tcW w:w="5354" w:type="dxa"/>
            <w:gridSpan w:val="2"/>
            <w:shd w:val="clear" w:color="auto" w:fill="FFFFFF"/>
          </w:tcPr>
          <w:p w14:paraId="194C4537" w14:textId="77777777" w:rsidR="00A27721" w:rsidRPr="00064185" w:rsidRDefault="00A27721" w:rsidP="00EA61D8">
            <w:pPr>
              <w:autoSpaceDE w:val="0"/>
              <w:autoSpaceDN w:val="0"/>
              <w:adjustRightInd w:val="0"/>
              <w:spacing w:before="60" w:after="60" w:line="260" w:lineRule="atLeast"/>
              <w:rPr>
                <w:rFonts w:eastAsia="Calibri" w:cs="Arial"/>
                <w:lang w:eastAsia="en-GB"/>
              </w:rPr>
            </w:pPr>
          </w:p>
        </w:tc>
      </w:tr>
      <w:tr w:rsidR="00064185" w:rsidRPr="00064185" w14:paraId="1903BD1B" w14:textId="77777777" w:rsidTr="0070292D">
        <w:trPr>
          <w:trHeight w:val="75"/>
        </w:trPr>
        <w:tc>
          <w:tcPr>
            <w:tcW w:w="3827" w:type="dxa"/>
            <w:shd w:val="clear" w:color="auto" w:fill="FFFFFF"/>
          </w:tcPr>
          <w:p w14:paraId="354A490E" w14:textId="5CD41183" w:rsidR="00A27721" w:rsidRPr="00064185" w:rsidRDefault="00A43F43" w:rsidP="00EA61D8">
            <w:pPr>
              <w:pStyle w:val="Listenabsatz"/>
              <w:numPr>
                <w:ilvl w:val="0"/>
                <w:numId w:val="18"/>
              </w:numPr>
              <w:autoSpaceDE w:val="0"/>
              <w:autoSpaceDN w:val="0"/>
              <w:adjustRightInd w:val="0"/>
              <w:spacing w:before="60" w:after="60" w:line="260" w:lineRule="atLeast"/>
              <w:rPr>
                <w:rFonts w:eastAsia="Calibri"/>
                <w:lang w:eastAsia="en-GB"/>
              </w:rPr>
            </w:pPr>
            <w:r w:rsidRPr="00064185">
              <w:rPr>
                <w:rFonts w:eastAsia="Calibri"/>
                <w:lang w:eastAsia="en-GB"/>
              </w:rPr>
              <w:t>Earthworm</w:t>
            </w:r>
            <w:r w:rsidR="00A27721" w:rsidRPr="00064185">
              <w:rPr>
                <w:rFonts w:eastAsia="Calibri"/>
                <w:lang w:eastAsia="en-GB"/>
              </w:rPr>
              <w:t>-eating birds</w:t>
            </w:r>
          </w:p>
        </w:tc>
        <w:tc>
          <w:tcPr>
            <w:tcW w:w="2694" w:type="dxa"/>
            <w:shd w:val="clear" w:color="auto" w:fill="FFFFFF"/>
          </w:tcPr>
          <w:p w14:paraId="7DE16E55" w14:textId="4842AE70" w:rsidR="00A27721" w:rsidRPr="00064185" w:rsidRDefault="004278CC" w:rsidP="00EA61D8">
            <w:pPr>
              <w:autoSpaceDE w:val="0"/>
              <w:autoSpaceDN w:val="0"/>
              <w:adjustRightInd w:val="0"/>
              <w:spacing w:before="60" w:after="60" w:line="260" w:lineRule="atLeast"/>
              <w:rPr>
                <w:rFonts w:eastAsia="Calibri"/>
                <w:lang w:eastAsia="en-GB"/>
              </w:rPr>
            </w:pPr>
            <w:r w:rsidRPr="00064185">
              <w:rPr>
                <w:rFonts w:eastAsia="Calibri" w:cs="Arial"/>
                <w:sz w:val="18"/>
                <w:szCs w:val="18"/>
                <w:lang w:eastAsia="en-GB"/>
              </w:rPr>
              <w:t>1.1E-2</w:t>
            </w:r>
          </w:p>
        </w:tc>
        <w:tc>
          <w:tcPr>
            <w:tcW w:w="2660" w:type="dxa"/>
            <w:shd w:val="clear" w:color="auto" w:fill="FFFFFF"/>
          </w:tcPr>
          <w:p w14:paraId="4C52A153" w14:textId="0CEBCF1D" w:rsidR="00A27721" w:rsidRPr="00064185" w:rsidRDefault="004278CC" w:rsidP="00EA61D8">
            <w:pPr>
              <w:autoSpaceDE w:val="0"/>
              <w:autoSpaceDN w:val="0"/>
              <w:adjustRightInd w:val="0"/>
              <w:spacing w:before="60" w:after="60" w:line="260" w:lineRule="atLeast"/>
              <w:rPr>
                <w:rFonts w:eastAsia="Calibri" w:cs="Arial"/>
                <w:lang w:eastAsia="en-GB"/>
              </w:rPr>
            </w:pPr>
            <w:r w:rsidRPr="00064185">
              <w:rPr>
                <w:rFonts w:eastAsia="Calibri" w:cs="Arial"/>
                <w:lang w:eastAsia="en-GB"/>
              </w:rPr>
              <w:t>1.83E-2</w:t>
            </w:r>
          </w:p>
        </w:tc>
      </w:tr>
      <w:tr w:rsidR="00064185" w:rsidRPr="00064185" w14:paraId="554AE95B" w14:textId="77777777" w:rsidTr="0070292D">
        <w:trPr>
          <w:trHeight w:val="75"/>
        </w:trPr>
        <w:tc>
          <w:tcPr>
            <w:tcW w:w="3827" w:type="dxa"/>
            <w:shd w:val="clear" w:color="auto" w:fill="FFFFFF"/>
          </w:tcPr>
          <w:p w14:paraId="3F7A6104" w14:textId="4EB0B025" w:rsidR="00A27721" w:rsidRPr="00064185" w:rsidRDefault="00A43F43" w:rsidP="00EA61D8">
            <w:pPr>
              <w:pStyle w:val="Listenabsatz"/>
              <w:numPr>
                <w:ilvl w:val="0"/>
                <w:numId w:val="18"/>
              </w:numPr>
              <w:autoSpaceDE w:val="0"/>
              <w:autoSpaceDN w:val="0"/>
              <w:adjustRightInd w:val="0"/>
              <w:spacing w:before="60" w:after="60" w:line="260" w:lineRule="atLeast"/>
              <w:rPr>
                <w:rFonts w:eastAsia="Calibri"/>
                <w:lang w:eastAsia="en-GB"/>
              </w:rPr>
            </w:pPr>
            <w:r w:rsidRPr="00064185">
              <w:rPr>
                <w:rFonts w:eastAsia="Calibri"/>
                <w:lang w:eastAsia="en-GB"/>
              </w:rPr>
              <w:lastRenderedPageBreak/>
              <w:t>Earthworm</w:t>
            </w:r>
            <w:r w:rsidR="00A27721" w:rsidRPr="00064185">
              <w:rPr>
                <w:rFonts w:eastAsia="Calibri"/>
                <w:lang w:eastAsia="en-GB"/>
              </w:rPr>
              <w:t>-eating mammals</w:t>
            </w:r>
          </w:p>
        </w:tc>
        <w:tc>
          <w:tcPr>
            <w:tcW w:w="2694" w:type="dxa"/>
            <w:shd w:val="clear" w:color="auto" w:fill="FFFFFF"/>
          </w:tcPr>
          <w:p w14:paraId="54E8B6BC" w14:textId="730E8F72" w:rsidR="00A27721" w:rsidRPr="00064185" w:rsidRDefault="00B14680" w:rsidP="00EA61D8">
            <w:pPr>
              <w:autoSpaceDE w:val="0"/>
              <w:autoSpaceDN w:val="0"/>
              <w:adjustRightInd w:val="0"/>
              <w:spacing w:before="60" w:after="60" w:line="260" w:lineRule="atLeast"/>
              <w:rPr>
                <w:rFonts w:eastAsia="Calibri"/>
                <w:lang w:eastAsia="en-GB"/>
              </w:rPr>
            </w:pPr>
            <w:r w:rsidRPr="00064185">
              <w:rPr>
                <w:rFonts w:eastAsia="Calibri" w:cs="Arial"/>
                <w:sz w:val="18"/>
                <w:szCs w:val="18"/>
                <w:lang w:eastAsia="en-GB"/>
              </w:rPr>
              <w:t>1.4E-2</w:t>
            </w:r>
          </w:p>
        </w:tc>
        <w:tc>
          <w:tcPr>
            <w:tcW w:w="2660" w:type="dxa"/>
            <w:shd w:val="clear" w:color="auto" w:fill="FFFFFF"/>
          </w:tcPr>
          <w:p w14:paraId="7EB733CB" w14:textId="4F224CD9" w:rsidR="00A27721" w:rsidRPr="00064185" w:rsidRDefault="001D1F17" w:rsidP="00EA61D8">
            <w:pPr>
              <w:autoSpaceDE w:val="0"/>
              <w:autoSpaceDN w:val="0"/>
              <w:adjustRightInd w:val="0"/>
              <w:spacing w:before="60" w:after="60" w:line="260" w:lineRule="atLeast"/>
              <w:rPr>
                <w:rFonts w:eastAsia="Calibri" w:cs="Arial"/>
                <w:lang w:eastAsia="en-GB"/>
              </w:rPr>
            </w:pPr>
            <w:r w:rsidRPr="00064185">
              <w:rPr>
                <w:rFonts w:eastAsia="Calibri" w:cs="Arial"/>
                <w:lang w:eastAsia="en-GB"/>
              </w:rPr>
              <w:t>0.</w:t>
            </w:r>
            <w:r w:rsidR="00B14680" w:rsidRPr="00064185">
              <w:rPr>
                <w:rFonts w:eastAsia="Calibri" w:cs="Arial"/>
                <w:lang w:eastAsia="en-GB"/>
              </w:rPr>
              <w:t>116</w:t>
            </w:r>
          </w:p>
        </w:tc>
      </w:tr>
      <w:tr w:rsidR="00064185" w:rsidRPr="00064185" w14:paraId="78D92248" w14:textId="77777777" w:rsidTr="0070292D">
        <w:trPr>
          <w:trHeight w:val="75"/>
        </w:trPr>
        <w:tc>
          <w:tcPr>
            <w:tcW w:w="3827" w:type="dxa"/>
            <w:shd w:val="clear" w:color="auto" w:fill="FFFFFF"/>
          </w:tcPr>
          <w:p w14:paraId="35E73694" w14:textId="6E744F09" w:rsidR="00A27721" w:rsidRPr="00064185" w:rsidRDefault="00A27721" w:rsidP="00EA61D8">
            <w:pPr>
              <w:autoSpaceDE w:val="0"/>
              <w:autoSpaceDN w:val="0"/>
              <w:adjustRightInd w:val="0"/>
              <w:spacing w:before="60" w:after="60" w:line="260" w:lineRule="atLeast"/>
              <w:rPr>
                <w:rFonts w:eastAsia="Calibri"/>
                <w:lang w:eastAsia="en-GB"/>
              </w:rPr>
            </w:pPr>
            <w:r w:rsidRPr="00064185">
              <w:rPr>
                <w:rFonts w:eastAsia="Calibri"/>
                <w:lang w:eastAsia="en-GB"/>
              </w:rPr>
              <w:t>Woodlice</w:t>
            </w:r>
            <w:r w:rsidR="00412FF6" w:rsidRPr="00064185">
              <w:rPr>
                <w:rFonts w:eastAsia="Calibri"/>
                <w:lang w:eastAsia="en-GB"/>
              </w:rPr>
              <w:t>, direct treatment of target organisms, twice a year</w:t>
            </w:r>
          </w:p>
        </w:tc>
        <w:tc>
          <w:tcPr>
            <w:tcW w:w="5354" w:type="dxa"/>
            <w:gridSpan w:val="2"/>
            <w:shd w:val="clear" w:color="auto" w:fill="FFFFFF"/>
          </w:tcPr>
          <w:p w14:paraId="0225A289" w14:textId="77777777" w:rsidR="00A27721" w:rsidRPr="00064185" w:rsidRDefault="00A27721" w:rsidP="00EA61D8">
            <w:pPr>
              <w:autoSpaceDE w:val="0"/>
              <w:autoSpaceDN w:val="0"/>
              <w:adjustRightInd w:val="0"/>
              <w:spacing w:before="60" w:after="60" w:line="260" w:lineRule="atLeast"/>
              <w:rPr>
                <w:rFonts w:eastAsia="Calibri" w:cs="Arial"/>
                <w:lang w:eastAsia="en-GB"/>
              </w:rPr>
            </w:pPr>
          </w:p>
        </w:tc>
      </w:tr>
      <w:tr w:rsidR="00064185" w:rsidRPr="00064185" w14:paraId="7E84C8A8" w14:textId="77777777" w:rsidTr="0070292D">
        <w:trPr>
          <w:trHeight w:val="75"/>
        </w:trPr>
        <w:tc>
          <w:tcPr>
            <w:tcW w:w="3827" w:type="dxa"/>
            <w:shd w:val="clear" w:color="auto" w:fill="FFFFFF"/>
          </w:tcPr>
          <w:p w14:paraId="3D050D0F" w14:textId="58EB3BFE" w:rsidR="00A27721" w:rsidRPr="00064185" w:rsidRDefault="00A43F43" w:rsidP="00EA61D8">
            <w:pPr>
              <w:pStyle w:val="Listenabsatz"/>
              <w:numPr>
                <w:ilvl w:val="0"/>
                <w:numId w:val="18"/>
              </w:numPr>
              <w:autoSpaceDE w:val="0"/>
              <w:autoSpaceDN w:val="0"/>
              <w:adjustRightInd w:val="0"/>
              <w:spacing w:before="60" w:after="60" w:line="260" w:lineRule="atLeast"/>
              <w:rPr>
                <w:rFonts w:eastAsia="Calibri"/>
                <w:lang w:eastAsia="en-GB"/>
              </w:rPr>
            </w:pPr>
            <w:r w:rsidRPr="00064185">
              <w:rPr>
                <w:rFonts w:eastAsia="Calibri"/>
                <w:lang w:eastAsia="en-GB"/>
              </w:rPr>
              <w:t>Earthworm</w:t>
            </w:r>
            <w:r w:rsidR="00A27721" w:rsidRPr="00064185">
              <w:rPr>
                <w:rFonts w:eastAsia="Calibri"/>
                <w:lang w:eastAsia="en-GB"/>
              </w:rPr>
              <w:t>-eating birds</w:t>
            </w:r>
          </w:p>
        </w:tc>
        <w:tc>
          <w:tcPr>
            <w:tcW w:w="2694" w:type="dxa"/>
            <w:shd w:val="clear" w:color="auto" w:fill="FFFFFF"/>
          </w:tcPr>
          <w:p w14:paraId="05D2CE65" w14:textId="03C54E6D" w:rsidR="00A27721" w:rsidRPr="00064185" w:rsidRDefault="004278CC" w:rsidP="00EA61D8">
            <w:pPr>
              <w:autoSpaceDE w:val="0"/>
              <w:autoSpaceDN w:val="0"/>
              <w:adjustRightInd w:val="0"/>
              <w:spacing w:before="60" w:after="60" w:line="260" w:lineRule="atLeast"/>
              <w:rPr>
                <w:rFonts w:eastAsia="Calibri"/>
                <w:lang w:eastAsia="en-GB"/>
              </w:rPr>
            </w:pPr>
            <w:r w:rsidRPr="00064185">
              <w:rPr>
                <w:rFonts w:eastAsia="Calibri" w:cs="Arial"/>
                <w:sz w:val="18"/>
                <w:szCs w:val="18"/>
                <w:lang w:eastAsia="en-GB"/>
              </w:rPr>
              <w:t>1.12E</w:t>
            </w:r>
            <w:r w:rsidR="001E11DB" w:rsidRPr="00064185">
              <w:rPr>
                <w:rFonts w:eastAsia="Calibri" w:cs="Arial"/>
                <w:sz w:val="18"/>
                <w:szCs w:val="18"/>
                <w:lang w:eastAsia="en-GB"/>
              </w:rPr>
              <w:t>-</w:t>
            </w:r>
            <w:r w:rsidRPr="00064185">
              <w:rPr>
                <w:rFonts w:eastAsia="Calibri" w:cs="Arial"/>
                <w:sz w:val="18"/>
                <w:szCs w:val="18"/>
                <w:lang w:eastAsia="en-GB"/>
              </w:rPr>
              <w:t>3</w:t>
            </w:r>
          </w:p>
        </w:tc>
        <w:tc>
          <w:tcPr>
            <w:tcW w:w="2660" w:type="dxa"/>
            <w:shd w:val="clear" w:color="auto" w:fill="FFFFFF"/>
          </w:tcPr>
          <w:p w14:paraId="0344B949" w14:textId="7364079E" w:rsidR="00A27721" w:rsidRPr="00064185" w:rsidRDefault="004278CC" w:rsidP="00EA61D8">
            <w:pPr>
              <w:autoSpaceDE w:val="0"/>
              <w:autoSpaceDN w:val="0"/>
              <w:adjustRightInd w:val="0"/>
              <w:spacing w:before="60" w:after="60" w:line="260" w:lineRule="atLeast"/>
              <w:rPr>
                <w:rFonts w:eastAsia="Calibri" w:cs="Arial"/>
                <w:lang w:eastAsia="en-GB"/>
              </w:rPr>
            </w:pPr>
            <w:r w:rsidRPr="00064185">
              <w:rPr>
                <w:rFonts w:eastAsia="Calibri"/>
                <w:lang w:eastAsia="en-GB"/>
              </w:rPr>
              <w:t>1</w:t>
            </w:r>
            <w:r w:rsidR="00B14680" w:rsidRPr="00064185">
              <w:rPr>
                <w:rFonts w:eastAsia="Calibri"/>
                <w:lang w:eastAsia="en-GB"/>
              </w:rPr>
              <w:t>.87</w:t>
            </w:r>
            <w:r w:rsidRPr="00064185">
              <w:rPr>
                <w:rFonts w:eastAsia="Calibri"/>
                <w:lang w:eastAsia="en-GB"/>
              </w:rPr>
              <w:t>E-3</w:t>
            </w:r>
          </w:p>
        </w:tc>
      </w:tr>
      <w:tr w:rsidR="00064185" w:rsidRPr="00064185" w14:paraId="6D380FC3" w14:textId="77777777" w:rsidTr="0070292D">
        <w:trPr>
          <w:trHeight w:val="75"/>
        </w:trPr>
        <w:tc>
          <w:tcPr>
            <w:tcW w:w="3827" w:type="dxa"/>
            <w:shd w:val="clear" w:color="auto" w:fill="FFFFFF"/>
          </w:tcPr>
          <w:p w14:paraId="4712DC81" w14:textId="593DD984" w:rsidR="00A27721" w:rsidRPr="00064185" w:rsidRDefault="00A43F43" w:rsidP="00EA61D8">
            <w:pPr>
              <w:pStyle w:val="Listenabsatz"/>
              <w:numPr>
                <w:ilvl w:val="0"/>
                <w:numId w:val="18"/>
              </w:numPr>
              <w:autoSpaceDE w:val="0"/>
              <w:autoSpaceDN w:val="0"/>
              <w:adjustRightInd w:val="0"/>
              <w:spacing w:before="60" w:after="60" w:line="260" w:lineRule="atLeast"/>
              <w:rPr>
                <w:rFonts w:eastAsia="Calibri"/>
                <w:lang w:eastAsia="en-GB"/>
              </w:rPr>
            </w:pPr>
            <w:r w:rsidRPr="00064185">
              <w:rPr>
                <w:rFonts w:eastAsia="Calibri"/>
                <w:lang w:eastAsia="en-GB"/>
              </w:rPr>
              <w:t>Earthworm</w:t>
            </w:r>
            <w:r w:rsidR="00A27721" w:rsidRPr="00064185">
              <w:rPr>
                <w:rFonts w:eastAsia="Calibri"/>
                <w:lang w:eastAsia="en-GB"/>
              </w:rPr>
              <w:t>-eating mammals</w:t>
            </w:r>
          </w:p>
        </w:tc>
        <w:tc>
          <w:tcPr>
            <w:tcW w:w="2694" w:type="dxa"/>
            <w:shd w:val="clear" w:color="auto" w:fill="FFFFFF"/>
          </w:tcPr>
          <w:p w14:paraId="39A21B01" w14:textId="4F4CD99D" w:rsidR="00A27721" w:rsidRPr="00064185" w:rsidRDefault="00B14680" w:rsidP="00EA61D8">
            <w:pPr>
              <w:autoSpaceDE w:val="0"/>
              <w:autoSpaceDN w:val="0"/>
              <w:adjustRightInd w:val="0"/>
              <w:spacing w:before="60" w:after="60" w:line="260" w:lineRule="atLeast"/>
              <w:rPr>
                <w:rFonts w:eastAsia="Calibri"/>
                <w:lang w:eastAsia="en-GB"/>
              </w:rPr>
            </w:pPr>
            <w:r w:rsidRPr="00064185">
              <w:rPr>
                <w:rFonts w:eastAsia="Calibri" w:cs="Arial"/>
                <w:sz w:val="18"/>
                <w:szCs w:val="18"/>
                <w:lang w:eastAsia="en-GB"/>
              </w:rPr>
              <w:t>1.42E-3</w:t>
            </w:r>
          </w:p>
        </w:tc>
        <w:tc>
          <w:tcPr>
            <w:tcW w:w="2660" w:type="dxa"/>
            <w:shd w:val="clear" w:color="auto" w:fill="FFFFFF"/>
          </w:tcPr>
          <w:p w14:paraId="1AF2BC8C" w14:textId="1D3D5933" w:rsidR="00A27721" w:rsidRPr="00064185" w:rsidRDefault="00B14680" w:rsidP="00EA61D8">
            <w:pPr>
              <w:autoSpaceDE w:val="0"/>
              <w:autoSpaceDN w:val="0"/>
              <w:adjustRightInd w:val="0"/>
              <w:spacing w:before="60" w:after="60" w:line="260" w:lineRule="atLeast"/>
              <w:rPr>
                <w:rFonts w:eastAsia="Calibri" w:cs="Arial"/>
                <w:lang w:eastAsia="en-GB"/>
              </w:rPr>
            </w:pPr>
            <w:r w:rsidRPr="00064185">
              <w:rPr>
                <w:rFonts w:eastAsia="Calibri" w:cs="Arial"/>
                <w:lang w:eastAsia="en-GB"/>
              </w:rPr>
              <w:t>1.19E-2</w:t>
            </w:r>
          </w:p>
        </w:tc>
      </w:tr>
      <w:tr w:rsidR="00064185" w:rsidRPr="00064185" w14:paraId="116DE521" w14:textId="77777777" w:rsidTr="0070292D">
        <w:trPr>
          <w:trHeight w:val="75"/>
        </w:trPr>
        <w:tc>
          <w:tcPr>
            <w:tcW w:w="9181" w:type="dxa"/>
            <w:gridSpan w:val="3"/>
            <w:shd w:val="clear" w:color="auto" w:fill="FFFFFF"/>
          </w:tcPr>
          <w:p w14:paraId="1AC1A1EE" w14:textId="77777777" w:rsidR="00A27721" w:rsidRPr="00064185" w:rsidRDefault="00A27721" w:rsidP="00EA61D8">
            <w:pPr>
              <w:autoSpaceDE w:val="0"/>
              <w:autoSpaceDN w:val="0"/>
              <w:adjustRightInd w:val="0"/>
              <w:spacing w:before="60" w:after="60" w:line="260" w:lineRule="atLeast"/>
              <w:rPr>
                <w:rFonts w:eastAsia="Calibri" w:cs="Arial"/>
                <w:b/>
                <w:lang w:eastAsia="en-GB"/>
              </w:rPr>
            </w:pPr>
            <w:r w:rsidRPr="00064185">
              <w:rPr>
                <w:rFonts w:eastAsia="Calibri"/>
                <w:b/>
                <w:lang w:eastAsia="en-GB"/>
              </w:rPr>
              <w:t>O</w:t>
            </w:r>
            <w:r w:rsidRPr="00064185">
              <w:rPr>
                <w:rFonts w:eastAsia="Calibri" w:cs="Arial"/>
                <w:b/>
                <w:bCs/>
                <w:lang w:eastAsia="en-GB"/>
              </w:rPr>
              <w:t>utdoor use</w:t>
            </w:r>
          </w:p>
        </w:tc>
      </w:tr>
      <w:tr w:rsidR="00064185" w:rsidRPr="00064185" w14:paraId="74B89DDC" w14:textId="77777777" w:rsidTr="0070292D">
        <w:trPr>
          <w:trHeight w:val="75"/>
        </w:trPr>
        <w:tc>
          <w:tcPr>
            <w:tcW w:w="3827" w:type="dxa"/>
            <w:shd w:val="clear" w:color="auto" w:fill="FFFFFF"/>
          </w:tcPr>
          <w:p w14:paraId="3FFBE945" w14:textId="2101DB04" w:rsidR="00A27721" w:rsidRPr="00064185" w:rsidRDefault="00A27721" w:rsidP="00EA61D8">
            <w:pPr>
              <w:autoSpaceDE w:val="0"/>
              <w:autoSpaceDN w:val="0"/>
              <w:adjustRightInd w:val="0"/>
              <w:spacing w:before="60" w:after="60" w:line="260" w:lineRule="atLeast"/>
              <w:rPr>
                <w:rFonts w:eastAsia="Calibri"/>
                <w:lang w:eastAsia="en-GB"/>
              </w:rPr>
            </w:pPr>
            <w:r w:rsidRPr="00064185">
              <w:rPr>
                <w:rFonts w:eastAsia="Calibri"/>
                <w:lang w:eastAsia="en-GB"/>
              </w:rPr>
              <w:t>Ants (urban area)</w:t>
            </w:r>
            <w:r w:rsidR="00412FF6" w:rsidRPr="00064185">
              <w:rPr>
                <w:rFonts w:eastAsia="Calibri" w:cs="Arial"/>
                <w:lang w:eastAsia="en-GB"/>
              </w:rPr>
              <w:t>, residual treatment</w:t>
            </w:r>
          </w:p>
        </w:tc>
        <w:tc>
          <w:tcPr>
            <w:tcW w:w="5354" w:type="dxa"/>
            <w:gridSpan w:val="2"/>
            <w:shd w:val="clear" w:color="auto" w:fill="FFFFFF"/>
            <w:vAlign w:val="center"/>
          </w:tcPr>
          <w:p w14:paraId="3E30E471" w14:textId="77777777" w:rsidR="00A27721" w:rsidRPr="00064185" w:rsidRDefault="00A27721" w:rsidP="00EA61D8">
            <w:pPr>
              <w:autoSpaceDE w:val="0"/>
              <w:autoSpaceDN w:val="0"/>
              <w:adjustRightInd w:val="0"/>
              <w:spacing w:before="60" w:after="60" w:line="260" w:lineRule="atLeast"/>
              <w:rPr>
                <w:rFonts w:eastAsia="Calibri" w:cs="Arial"/>
                <w:lang w:eastAsia="en-GB"/>
              </w:rPr>
            </w:pPr>
          </w:p>
        </w:tc>
      </w:tr>
      <w:tr w:rsidR="00064185" w:rsidRPr="00064185" w14:paraId="651D7A86" w14:textId="77777777" w:rsidTr="0070292D">
        <w:trPr>
          <w:trHeight w:val="75"/>
        </w:trPr>
        <w:tc>
          <w:tcPr>
            <w:tcW w:w="3827" w:type="dxa"/>
            <w:shd w:val="clear" w:color="auto" w:fill="FFFFFF"/>
          </w:tcPr>
          <w:p w14:paraId="698D06D1" w14:textId="16A2EF45" w:rsidR="00A27721" w:rsidRPr="00064185" w:rsidRDefault="00A43F43" w:rsidP="00EA61D8">
            <w:pPr>
              <w:pStyle w:val="Listenabsatz"/>
              <w:numPr>
                <w:ilvl w:val="0"/>
                <w:numId w:val="18"/>
              </w:numPr>
              <w:autoSpaceDE w:val="0"/>
              <w:autoSpaceDN w:val="0"/>
              <w:adjustRightInd w:val="0"/>
              <w:spacing w:before="60" w:after="60" w:line="260" w:lineRule="atLeast"/>
              <w:rPr>
                <w:rFonts w:eastAsia="Calibri" w:cs="Arial"/>
                <w:lang w:eastAsia="en-GB"/>
              </w:rPr>
            </w:pPr>
            <w:r w:rsidRPr="00064185">
              <w:rPr>
                <w:rFonts w:eastAsia="Calibri"/>
                <w:lang w:eastAsia="en-GB"/>
              </w:rPr>
              <w:t>Earthworm</w:t>
            </w:r>
            <w:r w:rsidR="00A27721" w:rsidRPr="00064185">
              <w:rPr>
                <w:rFonts w:eastAsia="Calibri"/>
                <w:lang w:eastAsia="en-GB"/>
              </w:rPr>
              <w:t>-eating birds</w:t>
            </w:r>
          </w:p>
        </w:tc>
        <w:tc>
          <w:tcPr>
            <w:tcW w:w="2694" w:type="dxa"/>
            <w:shd w:val="clear" w:color="auto" w:fill="FFFFFF"/>
            <w:vAlign w:val="center"/>
          </w:tcPr>
          <w:p w14:paraId="624B708B" w14:textId="5A7669EA" w:rsidR="00A27721" w:rsidRPr="00064185" w:rsidRDefault="001D1F17" w:rsidP="00EA61D8">
            <w:pPr>
              <w:keepNext/>
              <w:keepLines/>
              <w:spacing w:after="40"/>
              <w:rPr>
                <w:rFonts w:eastAsia="Calibri"/>
                <w:lang w:eastAsia="en-GB"/>
              </w:rPr>
            </w:pPr>
            <w:r w:rsidRPr="00064185">
              <w:rPr>
                <w:rFonts w:eastAsia="Calibri" w:cs="Arial"/>
                <w:sz w:val="18"/>
                <w:szCs w:val="18"/>
                <w:lang w:eastAsia="en-GB"/>
              </w:rPr>
              <w:t>9.</w:t>
            </w:r>
            <w:r w:rsidR="004278CC" w:rsidRPr="00064185">
              <w:rPr>
                <w:rFonts w:eastAsia="Calibri" w:cs="Arial"/>
                <w:sz w:val="18"/>
                <w:szCs w:val="18"/>
                <w:lang w:eastAsia="en-GB"/>
              </w:rPr>
              <w:t>36E-4</w:t>
            </w:r>
          </w:p>
        </w:tc>
        <w:tc>
          <w:tcPr>
            <w:tcW w:w="2660" w:type="dxa"/>
            <w:shd w:val="clear" w:color="auto" w:fill="FFFFFF"/>
          </w:tcPr>
          <w:p w14:paraId="03295E90" w14:textId="147E3FF6" w:rsidR="00A27721" w:rsidRPr="00064185" w:rsidRDefault="004278CC" w:rsidP="00EA61D8">
            <w:pPr>
              <w:autoSpaceDE w:val="0"/>
              <w:autoSpaceDN w:val="0"/>
              <w:adjustRightInd w:val="0"/>
              <w:spacing w:before="60" w:after="60" w:line="260" w:lineRule="atLeast"/>
              <w:rPr>
                <w:rFonts w:eastAsia="Calibri" w:cs="Arial"/>
                <w:lang w:eastAsia="en-GB"/>
              </w:rPr>
            </w:pPr>
            <w:r w:rsidRPr="00064185">
              <w:rPr>
                <w:rFonts w:eastAsia="Calibri"/>
                <w:lang w:eastAsia="en-GB"/>
              </w:rPr>
              <w:t>1</w:t>
            </w:r>
            <w:r w:rsidR="00B14680" w:rsidRPr="00064185">
              <w:rPr>
                <w:rFonts w:eastAsia="Calibri"/>
                <w:lang w:eastAsia="en-GB"/>
              </w:rPr>
              <w:t>.56</w:t>
            </w:r>
            <w:r w:rsidRPr="00064185">
              <w:rPr>
                <w:rFonts w:eastAsia="Calibri"/>
                <w:lang w:eastAsia="en-GB"/>
              </w:rPr>
              <w:t>E-3</w:t>
            </w:r>
          </w:p>
        </w:tc>
      </w:tr>
      <w:tr w:rsidR="00064185" w:rsidRPr="00064185" w14:paraId="380737C7" w14:textId="77777777" w:rsidTr="0070292D">
        <w:trPr>
          <w:trHeight w:val="75"/>
        </w:trPr>
        <w:tc>
          <w:tcPr>
            <w:tcW w:w="3827" w:type="dxa"/>
            <w:shd w:val="clear" w:color="auto" w:fill="FFFFFF"/>
          </w:tcPr>
          <w:p w14:paraId="36F25A13" w14:textId="2FD098E2" w:rsidR="00A27721" w:rsidRPr="00064185" w:rsidRDefault="00A43F43" w:rsidP="00EA61D8">
            <w:pPr>
              <w:pStyle w:val="Listenabsatz"/>
              <w:numPr>
                <w:ilvl w:val="0"/>
                <w:numId w:val="18"/>
              </w:numPr>
              <w:autoSpaceDE w:val="0"/>
              <w:autoSpaceDN w:val="0"/>
              <w:adjustRightInd w:val="0"/>
              <w:spacing w:before="60" w:after="60" w:line="260" w:lineRule="atLeast"/>
              <w:rPr>
                <w:rFonts w:eastAsia="Calibri" w:cs="Arial"/>
                <w:lang w:eastAsia="en-GB"/>
              </w:rPr>
            </w:pPr>
            <w:r w:rsidRPr="00064185">
              <w:rPr>
                <w:rFonts w:eastAsia="Calibri"/>
                <w:lang w:eastAsia="en-GB"/>
              </w:rPr>
              <w:t>Earthworm</w:t>
            </w:r>
            <w:r w:rsidR="00A27721" w:rsidRPr="00064185">
              <w:rPr>
                <w:rFonts w:eastAsia="Calibri"/>
                <w:lang w:eastAsia="en-GB"/>
              </w:rPr>
              <w:t>-eating mammals</w:t>
            </w:r>
          </w:p>
        </w:tc>
        <w:tc>
          <w:tcPr>
            <w:tcW w:w="2694" w:type="dxa"/>
            <w:shd w:val="clear" w:color="auto" w:fill="FFFFFF"/>
            <w:vAlign w:val="center"/>
          </w:tcPr>
          <w:p w14:paraId="0A764AE5" w14:textId="77F782CE" w:rsidR="00A27721" w:rsidRPr="00064185" w:rsidRDefault="00B14680" w:rsidP="00EA61D8">
            <w:pPr>
              <w:keepNext/>
              <w:keepLines/>
              <w:spacing w:after="40"/>
              <w:rPr>
                <w:highlight w:val="yellow"/>
              </w:rPr>
            </w:pPr>
            <w:r w:rsidRPr="00064185">
              <w:rPr>
                <w:rFonts w:eastAsia="Calibri" w:cs="Arial"/>
                <w:sz w:val="18"/>
                <w:szCs w:val="18"/>
                <w:lang w:eastAsia="en-GB"/>
              </w:rPr>
              <w:t>1.19E-3</w:t>
            </w:r>
          </w:p>
        </w:tc>
        <w:tc>
          <w:tcPr>
            <w:tcW w:w="2660" w:type="dxa"/>
            <w:shd w:val="clear" w:color="auto" w:fill="FFFFFF"/>
          </w:tcPr>
          <w:p w14:paraId="7723EB4F" w14:textId="3DDA5AE0" w:rsidR="00A27721" w:rsidRPr="00064185" w:rsidRDefault="00B14680" w:rsidP="00EA61D8">
            <w:pPr>
              <w:autoSpaceDE w:val="0"/>
              <w:autoSpaceDN w:val="0"/>
              <w:adjustRightInd w:val="0"/>
              <w:spacing w:before="60" w:after="60" w:line="260" w:lineRule="atLeast"/>
            </w:pPr>
            <w:r w:rsidRPr="00064185">
              <w:t>9.92E-3</w:t>
            </w:r>
          </w:p>
        </w:tc>
      </w:tr>
    </w:tbl>
    <w:p w14:paraId="07F38D5C" w14:textId="77777777" w:rsidR="00A27721" w:rsidRPr="00064185" w:rsidRDefault="00A27721" w:rsidP="00EA61D8">
      <w:pPr>
        <w:spacing w:before="60" w:line="276" w:lineRule="auto"/>
        <w:ind w:left="142"/>
        <w:rPr>
          <w:rFonts w:eastAsia="Calibri"/>
          <w:u w:val="single"/>
          <w:lang w:eastAsia="en-US"/>
        </w:rPr>
      </w:pPr>
    </w:p>
    <w:p w14:paraId="0415851E" w14:textId="77777777" w:rsidR="00EA7BCC" w:rsidRPr="00064185" w:rsidRDefault="00EA7BCC" w:rsidP="00F200AC">
      <w:pPr>
        <w:spacing w:before="60" w:line="276" w:lineRule="auto"/>
        <w:ind w:left="142"/>
        <w:jc w:val="both"/>
        <w:rPr>
          <w:rFonts w:eastAsia="Calibri"/>
          <w:b/>
          <w:lang w:eastAsia="en-US"/>
        </w:rPr>
      </w:pPr>
      <w:r w:rsidRPr="00064185">
        <w:rPr>
          <w:rFonts w:eastAsia="Calibri"/>
          <w:b/>
          <w:lang w:eastAsia="en-US"/>
        </w:rPr>
        <w:t xml:space="preserve">Conclusion: </w:t>
      </w:r>
    </w:p>
    <w:p w14:paraId="48A083F9" w14:textId="44549F8D" w:rsidR="00EA7BCC" w:rsidRPr="00064185" w:rsidRDefault="00125C6A" w:rsidP="00F200AC">
      <w:pPr>
        <w:spacing w:before="60" w:line="276" w:lineRule="auto"/>
        <w:ind w:left="142"/>
        <w:jc w:val="both"/>
        <w:rPr>
          <w:rFonts w:eastAsia="Calibri"/>
          <w:lang w:eastAsia="en-US"/>
        </w:rPr>
      </w:pPr>
      <w:r w:rsidRPr="00064185">
        <w:t>C</w:t>
      </w:r>
      <w:r w:rsidR="008606D8" w:rsidRPr="00064185">
        <w:t xml:space="preserve">alculated </w:t>
      </w:r>
      <w:r w:rsidR="00EA7BCC" w:rsidRPr="00064185">
        <w:t>r</w:t>
      </w:r>
      <w:r w:rsidR="008606D8" w:rsidRPr="00064185">
        <w:rPr>
          <w:rFonts w:eastAsia="Calibri"/>
          <w:lang w:eastAsia="en-US"/>
        </w:rPr>
        <w:t xml:space="preserve">isk ratios </w:t>
      </w:r>
      <w:r w:rsidR="00E01225" w:rsidRPr="00064185">
        <w:rPr>
          <w:rFonts w:eastAsia="Calibri"/>
          <w:lang w:eastAsia="en-US"/>
        </w:rPr>
        <w:t xml:space="preserve">for secondary poisoning, </w:t>
      </w:r>
      <w:r w:rsidR="00A51B6E" w:rsidRPr="00064185">
        <w:rPr>
          <w:rFonts w:eastAsia="Calibri"/>
          <w:lang w:eastAsia="en-US"/>
        </w:rPr>
        <w:t>through</w:t>
      </w:r>
      <w:r w:rsidR="00E01225" w:rsidRPr="00064185">
        <w:rPr>
          <w:rFonts w:eastAsia="Calibri"/>
          <w:lang w:eastAsia="en-US"/>
        </w:rPr>
        <w:t xml:space="preserve"> the consumption of </w:t>
      </w:r>
      <w:r w:rsidR="00A51B6E" w:rsidRPr="00064185">
        <w:rPr>
          <w:rFonts w:eastAsia="Calibri"/>
          <w:lang w:eastAsia="en-US"/>
        </w:rPr>
        <w:t>directly contaminat</w:t>
      </w:r>
      <w:r w:rsidR="00E01225" w:rsidRPr="00064185">
        <w:rPr>
          <w:rFonts w:eastAsia="Calibri"/>
          <w:lang w:eastAsia="en-US"/>
        </w:rPr>
        <w:t xml:space="preserve">ed ants and earthworms as well as </w:t>
      </w:r>
      <w:r w:rsidR="00A51B6E" w:rsidRPr="00064185">
        <w:rPr>
          <w:rFonts w:eastAsia="Calibri"/>
          <w:lang w:eastAsia="en-US"/>
        </w:rPr>
        <w:t>for</w:t>
      </w:r>
      <w:r w:rsidR="00E01225" w:rsidRPr="00064185">
        <w:rPr>
          <w:rFonts w:eastAsia="Calibri"/>
          <w:lang w:eastAsia="en-US"/>
        </w:rPr>
        <w:t xml:space="preserve"> </w:t>
      </w:r>
      <w:r w:rsidR="00E01225" w:rsidRPr="00064185">
        <w:t xml:space="preserve">the potential of bioaccumulation via the aquatic and terrestrial food chain </w:t>
      </w:r>
      <w:r w:rsidR="008606D8" w:rsidRPr="00064185">
        <w:rPr>
          <w:rFonts w:eastAsia="Calibri"/>
          <w:lang w:eastAsia="en-US"/>
        </w:rPr>
        <w:t xml:space="preserve">were </w:t>
      </w:r>
      <w:r w:rsidR="00EA7BCC" w:rsidRPr="00064185">
        <w:rPr>
          <w:rFonts w:eastAsia="Calibri"/>
          <w:lang w:eastAsia="en-US"/>
        </w:rPr>
        <w:t xml:space="preserve">&lt;1 for </w:t>
      </w:r>
      <w:r w:rsidR="00E01225" w:rsidRPr="00064185">
        <w:rPr>
          <w:rFonts w:eastAsia="Calibri"/>
          <w:lang w:eastAsia="en-US"/>
        </w:rPr>
        <w:t>birds and mammals</w:t>
      </w:r>
      <w:r w:rsidR="00484072" w:rsidRPr="00064185">
        <w:rPr>
          <w:rFonts w:eastAsia="Calibri"/>
          <w:lang w:eastAsia="en-US"/>
        </w:rPr>
        <w:t xml:space="preserve"> for all </w:t>
      </w:r>
      <w:r w:rsidR="008A063A" w:rsidRPr="00064185">
        <w:rPr>
          <w:rFonts w:eastAsia="Calibri"/>
          <w:lang w:eastAsia="en-US"/>
        </w:rPr>
        <w:t xml:space="preserve">calculated </w:t>
      </w:r>
      <w:r w:rsidR="00484072" w:rsidRPr="00064185">
        <w:rPr>
          <w:rFonts w:eastAsia="Calibri"/>
          <w:lang w:eastAsia="en-US"/>
        </w:rPr>
        <w:t>scenarios</w:t>
      </w:r>
      <w:r w:rsidR="00EA7BCC" w:rsidRPr="00064185">
        <w:rPr>
          <w:rFonts w:eastAsia="Calibri"/>
          <w:lang w:eastAsia="en-US"/>
        </w:rPr>
        <w:t>.</w:t>
      </w:r>
    </w:p>
    <w:p w14:paraId="50F3CA83" w14:textId="1542CD8B" w:rsidR="00EA7BCC" w:rsidRPr="00064185" w:rsidRDefault="00EA7BCC" w:rsidP="00F200AC">
      <w:pPr>
        <w:spacing w:before="60" w:line="276" w:lineRule="auto"/>
        <w:ind w:left="142"/>
        <w:jc w:val="both"/>
        <w:rPr>
          <w:rFonts w:eastAsia="Calibri"/>
          <w:lang w:eastAsia="en-US"/>
        </w:rPr>
      </w:pPr>
      <w:r w:rsidRPr="00064185">
        <w:rPr>
          <w:rFonts w:eastAsia="Calibri"/>
          <w:lang w:eastAsia="en-US"/>
        </w:rPr>
        <w:t xml:space="preserve">Thus, </w:t>
      </w:r>
      <w:r w:rsidR="00484072" w:rsidRPr="00064185">
        <w:rPr>
          <w:rFonts w:eastAsia="Calibri"/>
          <w:lang w:eastAsia="en-US"/>
        </w:rPr>
        <w:t>acceptable risk i</w:t>
      </w:r>
      <w:r w:rsidRPr="00064185">
        <w:rPr>
          <w:rFonts w:eastAsia="Calibri"/>
          <w:lang w:eastAsia="en-US"/>
        </w:rPr>
        <w:t xml:space="preserve">s </w:t>
      </w:r>
      <w:r w:rsidR="00484072" w:rsidRPr="00064185">
        <w:rPr>
          <w:rFonts w:eastAsia="Calibri"/>
          <w:lang w:eastAsia="en-US"/>
        </w:rPr>
        <w:t>assum</w:t>
      </w:r>
      <w:r w:rsidRPr="00064185">
        <w:rPr>
          <w:rFonts w:eastAsia="Calibri"/>
          <w:lang w:eastAsia="en-US"/>
        </w:rPr>
        <w:t xml:space="preserve">ed for </w:t>
      </w:r>
      <w:r w:rsidR="00484072" w:rsidRPr="00064185">
        <w:rPr>
          <w:rFonts w:eastAsia="Calibri"/>
          <w:lang w:eastAsia="en-US"/>
        </w:rPr>
        <w:t xml:space="preserve">secondary poisoning of </w:t>
      </w:r>
      <w:r w:rsidRPr="00064185">
        <w:rPr>
          <w:rFonts w:eastAsia="Calibri"/>
          <w:lang w:eastAsia="en-US"/>
        </w:rPr>
        <w:t xml:space="preserve">non-target organisms. </w:t>
      </w:r>
    </w:p>
    <w:p w14:paraId="1567DD78" w14:textId="6B8A0A29" w:rsidR="00640348" w:rsidRPr="00064185" w:rsidRDefault="00640348" w:rsidP="00EA61D8">
      <w:pPr>
        <w:spacing w:before="60" w:line="276" w:lineRule="auto"/>
        <w:ind w:left="142"/>
        <w:rPr>
          <w:rFonts w:eastAsia="Calibri"/>
          <w:u w:val="single"/>
          <w:lang w:eastAsia="en-US"/>
        </w:rPr>
      </w:pPr>
    </w:p>
    <w:p w14:paraId="1FDBBAE7" w14:textId="77777777" w:rsidR="00954CA1" w:rsidRPr="00064185" w:rsidRDefault="00954CA1" w:rsidP="00EA61D8">
      <w:pPr>
        <w:rPr>
          <w:rFonts w:eastAsia="Calibri"/>
          <w:b/>
          <w:i/>
          <w:sz w:val="22"/>
          <w:szCs w:val="22"/>
          <w:lang w:eastAsia="en-US"/>
        </w:rPr>
      </w:pPr>
      <w:bookmarkStart w:id="1852" w:name="_Toc403472809"/>
    </w:p>
    <w:p w14:paraId="7758B7BE" w14:textId="77777777" w:rsidR="00A53EE0" w:rsidRPr="00064185" w:rsidRDefault="00A53EE0" w:rsidP="00EA61D8">
      <w:pPr>
        <w:rPr>
          <w:rFonts w:eastAsia="Calibri"/>
          <w:b/>
          <w:i/>
          <w:sz w:val="22"/>
          <w:szCs w:val="22"/>
          <w:lang w:eastAsia="en-US"/>
        </w:rPr>
      </w:pPr>
      <w:r w:rsidRPr="00064185">
        <w:rPr>
          <w:rFonts w:eastAsia="Calibri"/>
          <w:b/>
          <w:i/>
          <w:sz w:val="22"/>
          <w:szCs w:val="22"/>
          <w:lang w:eastAsia="en-US"/>
        </w:rPr>
        <w:t>Mixture toxicity</w:t>
      </w:r>
      <w:bookmarkEnd w:id="1852"/>
    </w:p>
    <w:p w14:paraId="218DFC65" w14:textId="77777777" w:rsidR="00293220" w:rsidRPr="00064185" w:rsidRDefault="00293220" w:rsidP="00EA61D8">
      <w:pPr>
        <w:rPr>
          <w:rFonts w:eastAsia="Calibri"/>
          <w:b/>
          <w:i/>
          <w:sz w:val="22"/>
          <w:szCs w:val="22"/>
          <w:lang w:eastAsia="en-US"/>
        </w:rPr>
      </w:pPr>
    </w:p>
    <w:p w14:paraId="48D9367F" w14:textId="069FB893" w:rsidR="00A53EE0" w:rsidRPr="00064185" w:rsidRDefault="005D4A26" w:rsidP="00EA61D8">
      <w:pPr>
        <w:spacing w:before="60" w:line="276" w:lineRule="auto"/>
        <w:rPr>
          <w:rFonts w:ascii="Times New Roman" w:eastAsia="Calibri" w:hAnsi="Times New Roman"/>
          <w:i/>
          <w:lang w:eastAsia="en-US"/>
        </w:rPr>
      </w:pPr>
      <w:bookmarkStart w:id="1853" w:name="_Toc388285357"/>
      <w:bookmarkStart w:id="1854" w:name="_Toc388374408"/>
      <w:bookmarkStart w:id="1855" w:name="_Toc388610107"/>
      <w:bookmarkStart w:id="1856" w:name="_Toc388625141"/>
      <w:bookmarkStart w:id="1857" w:name="_Toc388625395"/>
      <w:bookmarkStart w:id="1858" w:name="_Toc388633796"/>
      <w:bookmarkStart w:id="1859" w:name="_Toc389725288"/>
      <w:bookmarkStart w:id="1860" w:name="_Toc389726280"/>
      <w:bookmarkStart w:id="1861" w:name="_Toc389727332"/>
      <w:bookmarkStart w:id="1862" w:name="_Toc389727690"/>
      <w:bookmarkStart w:id="1863" w:name="_Toc389728049"/>
      <w:bookmarkStart w:id="1864" w:name="_Toc389728408"/>
      <w:bookmarkStart w:id="1865" w:name="_Toc389728768"/>
      <w:bookmarkStart w:id="1866" w:name="_Toc389729126"/>
      <w:bookmarkStart w:id="1867" w:name="_Toc389729127"/>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r w:rsidRPr="00064185">
        <w:rPr>
          <w:rFonts w:eastAsia="Calibri"/>
          <w:lang w:eastAsia="en-US"/>
        </w:rPr>
        <w:t xml:space="preserve">Mixture toxicity is not relevant since the biocidal product </w:t>
      </w:r>
      <w:r w:rsidR="00B0458A" w:rsidRPr="00064185">
        <w:rPr>
          <w:rFonts w:eastAsia="Calibri"/>
          <w:lang w:eastAsia="en-US"/>
        </w:rPr>
        <w:t xml:space="preserve">only </w:t>
      </w:r>
      <w:r w:rsidRPr="00064185">
        <w:rPr>
          <w:rFonts w:eastAsia="Calibri"/>
          <w:lang w:eastAsia="en-US"/>
        </w:rPr>
        <w:t xml:space="preserve">contains </w:t>
      </w:r>
      <w:r w:rsidR="005C010B" w:rsidRPr="00064185">
        <w:rPr>
          <w:rFonts w:eastAsia="Calibri"/>
          <w:lang w:eastAsia="en-US"/>
        </w:rPr>
        <w:t xml:space="preserve">one </w:t>
      </w:r>
      <w:r w:rsidRPr="00064185">
        <w:rPr>
          <w:rFonts w:eastAsia="Calibri"/>
          <w:lang w:eastAsia="en-US"/>
        </w:rPr>
        <w:t xml:space="preserve">active substance </w:t>
      </w:r>
      <w:r w:rsidR="005C010B" w:rsidRPr="00064185">
        <w:rPr>
          <w:rFonts w:eastAsia="Calibri"/>
          <w:lang w:eastAsia="en-US"/>
        </w:rPr>
        <w:t>(</w:t>
      </w:r>
      <w:r w:rsidRPr="00064185">
        <w:rPr>
          <w:rFonts w:eastAsia="Calibri"/>
          <w:i/>
          <w:lang w:eastAsia="en-US"/>
        </w:rPr>
        <w:t>lambda</w:t>
      </w:r>
      <w:r w:rsidRPr="00064185">
        <w:rPr>
          <w:rFonts w:eastAsia="Calibri"/>
          <w:lang w:eastAsia="en-US"/>
        </w:rPr>
        <w:t>-cyhalothrin</w:t>
      </w:r>
      <w:r w:rsidR="005C010B" w:rsidRPr="00064185">
        <w:rPr>
          <w:rFonts w:eastAsia="Calibri"/>
          <w:lang w:eastAsia="en-US"/>
        </w:rPr>
        <w:t>)</w:t>
      </w:r>
      <w:r w:rsidRPr="00064185">
        <w:rPr>
          <w:rFonts w:eastAsia="Calibri"/>
          <w:lang w:eastAsia="en-US"/>
        </w:rPr>
        <w:t xml:space="preserve"> and no substance</w:t>
      </w:r>
      <w:r w:rsidR="00427317" w:rsidRPr="00064185">
        <w:rPr>
          <w:rFonts w:eastAsia="Calibri"/>
          <w:lang w:eastAsia="en-US"/>
        </w:rPr>
        <w:t>s</w:t>
      </w:r>
      <w:r w:rsidRPr="00064185">
        <w:rPr>
          <w:rFonts w:eastAsia="Calibri"/>
          <w:lang w:eastAsia="en-US"/>
        </w:rPr>
        <w:t xml:space="preserve"> of concern.</w:t>
      </w:r>
    </w:p>
    <w:p w14:paraId="30B070C3" w14:textId="77777777" w:rsidR="005D4A26" w:rsidRPr="00064185" w:rsidRDefault="005D4A26" w:rsidP="00EA61D8">
      <w:pPr>
        <w:spacing w:line="260" w:lineRule="atLeast"/>
        <w:rPr>
          <w:rFonts w:eastAsia="Calibri"/>
          <w:lang w:eastAsia="en-US"/>
        </w:rPr>
      </w:pPr>
    </w:p>
    <w:p w14:paraId="178321B7" w14:textId="77777777" w:rsidR="00A4570B" w:rsidRPr="00064185" w:rsidRDefault="00A4570B" w:rsidP="00EA61D8">
      <w:pPr>
        <w:spacing w:line="260" w:lineRule="atLeast"/>
        <w:rPr>
          <w:rFonts w:eastAsia="Calibri"/>
          <w:lang w:eastAsia="en-US"/>
        </w:rPr>
      </w:pPr>
    </w:p>
    <w:p w14:paraId="7BE2C958" w14:textId="77777777" w:rsidR="00163903" w:rsidRPr="00064185" w:rsidRDefault="00163903" w:rsidP="00EA61D8">
      <w:pPr>
        <w:spacing w:line="260" w:lineRule="atLeast"/>
        <w:rPr>
          <w:rFonts w:eastAsia="Calibri"/>
          <w:lang w:eastAsia="en-US"/>
        </w:rPr>
      </w:pPr>
    </w:p>
    <w:p w14:paraId="4653335F" w14:textId="77777777" w:rsidR="00A53EE0" w:rsidRPr="00064185" w:rsidRDefault="00A53EE0" w:rsidP="00EA61D8">
      <w:pPr>
        <w:pStyle w:val="berschrift3"/>
        <w:rPr>
          <w:rFonts w:eastAsia="Calibri"/>
          <w:lang w:val="en-US" w:eastAsia="en-US"/>
        </w:rPr>
      </w:pPr>
      <w:bookmarkStart w:id="1868" w:name="_Toc388285362"/>
      <w:bookmarkStart w:id="1869" w:name="_Toc389725293"/>
      <w:bookmarkStart w:id="1870" w:name="_Toc389726285"/>
      <w:bookmarkStart w:id="1871" w:name="_Toc389727337"/>
      <w:bookmarkStart w:id="1872" w:name="_Toc389727695"/>
      <w:bookmarkStart w:id="1873" w:name="_Toc389728054"/>
      <w:bookmarkStart w:id="1874" w:name="_Toc389728413"/>
      <w:bookmarkStart w:id="1875" w:name="_Toc389728773"/>
      <w:bookmarkStart w:id="1876" w:name="_Toc389729131"/>
      <w:bookmarkStart w:id="1877" w:name="_Toc388285363"/>
      <w:bookmarkStart w:id="1878" w:name="_Toc389725294"/>
      <w:bookmarkStart w:id="1879" w:name="_Toc389726286"/>
      <w:bookmarkStart w:id="1880" w:name="_Toc389727338"/>
      <w:bookmarkStart w:id="1881" w:name="_Toc389727696"/>
      <w:bookmarkStart w:id="1882" w:name="_Toc389728055"/>
      <w:bookmarkStart w:id="1883" w:name="_Toc389728414"/>
      <w:bookmarkStart w:id="1884" w:name="_Toc389728774"/>
      <w:bookmarkStart w:id="1885" w:name="_Toc389729132"/>
      <w:bookmarkStart w:id="1886" w:name="_Toc388285364"/>
      <w:bookmarkStart w:id="1887" w:name="_Toc389725295"/>
      <w:bookmarkStart w:id="1888" w:name="_Toc389726287"/>
      <w:bookmarkStart w:id="1889" w:name="_Toc389727339"/>
      <w:bookmarkStart w:id="1890" w:name="_Toc389727697"/>
      <w:bookmarkStart w:id="1891" w:name="_Toc389728056"/>
      <w:bookmarkStart w:id="1892" w:name="_Toc389728415"/>
      <w:bookmarkStart w:id="1893" w:name="_Toc389728775"/>
      <w:bookmarkStart w:id="1894" w:name="_Toc389729133"/>
      <w:bookmarkStart w:id="1895" w:name="_Toc388285365"/>
      <w:bookmarkStart w:id="1896" w:name="_Toc389725296"/>
      <w:bookmarkStart w:id="1897" w:name="_Toc389726288"/>
      <w:bookmarkStart w:id="1898" w:name="_Toc389727340"/>
      <w:bookmarkStart w:id="1899" w:name="_Toc389727698"/>
      <w:bookmarkStart w:id="1900" w:name="_Toc389728057"/>
      <w:bookmarkStart w:id="1901" w:name="_Toc389728416"/>
      <w:bookmarkStart w:id="1902" w:name="_Toc389728776"/>
      <w:bookmarkStart w:id="1903" w:name="_Toc389729134"/>
      <w:bookmarkStart w:id="1904" w:name="_Toc388285367"/>
      <w:bookmarkStart w:id="1905" w:name="_Toc389725298"/>
      <w:bookmarkStart w:id="1906" w:name="_Toc389726290"/>
      <w:bookmarkStart w:id="1907" w:name="_Toc389727342"/>
      <w:bookmarkStart w:id="1908" w:name="_Toc389727700"/>
      <w:bookmarkStart w:id="1909" w:name="_Toc389728059"/>
      <w:bookmarkStart w:id="1910" w:name="_Toc389728418"/>
      <w:bookmarkStart w:id="1911" w:name="_Toc389728778"/>
      <w:bookmarkStart w:id="1912" w:name="_Toc389729136"/>
      <w:bookmarkStart w:id="1913" w:name="_Toc389748771"/>
      <w:bookmarkStart w:id="1914" w:name="_Toc389750186"/>
      <w:bookmarkStart w:id="1915" w:name="_Toc389807368"/>
      <w:bookmarkStart w:id="1916" w:name="_Toc389807624"/>
      <w:bookmarkStart w:id="1917" w:name="_Toc389807990"/>
      <w:bookmarkStart w:id="1918" w:name="_Toc398109936"/>
      <w:bookmarkStart w:id="1919" w:name="_Toc398110122"/>
      <w:bookmarkStart w:id="1920" w:name="_Toc388285369"/>
      <w:bookmarkStart w:id="1921" w:name="_Toc389725300"/>
      <w:bookmarkStart w:id="1922" w:name="_Toc389726292"/>
      <w:bookmarkStart w:id="1923" w:name="_Toc389727344"/>
      <w:bookmarkStart w:id="1924" w:name="_Toc389727702"/>
      <w:bookmarkStart w:id="1925" w:name="_Toc389728061"/>
      <w:bookmarkStart w:id="1926" w:name="_Toc389728420"/>
      <w:bookmarkStart w:id="1927" w:name="_Toc389728780"/>
      <w:bookmarkStart w:id="1928" w:name="_Toc389729138"/>
      <w:bookmarkStart w:id="1929" w:name="_Toc389748773"/>
      <w:bookmarkStart w:id="1930" w:name="_Toc389750188"/>
      <w:bookmarkStart w:id="1931" w:name="_Toc389807370"/>
      <w:bookmarkStart w:id="1932" w:name="_Toc389807626"/>
      <w:bookmarkStart w:id="1933" w:name="_Toc389807992"/>
      <w:bookmarkStart w:id="1934" w:name="_Toc398109938"/>
      <w:bookmarkStart w:id="1935" w:name="_Toc398110124"/>
      <w:bookmarkStart w:id="1936" w:name="_Toc388285372"/>
      <w:bookmarkStart w:id="1937" w:name="_Toc389725303"/>
      <w:bookmarkStart w:id="1938" w:name="_Toc389726295"/>
      <w:bookmarkStart w:id="1939" w:name="_Toc389727347"/>
      <w:bookmarkStart w:id="1940" w:name="_Toc389727705"/>
      <w:bookmarkStart w:id="1941" w:name="_Toc389728064"/>
      <w:bookmarkStart w:id="1942" w:name="_Toc389728423"/>
      <w:bookmarkStart w:id="1943" w:name="_Toc389728783"/>
      <w:bookmarkStart w:id="1944" w:name="_Toc389729141"/>
      <w:bookmarkStart w:id="1945" w:name="_Toc389748776"/>
      <w:bookmarkStart w:id="1946" w:name="_Toc389750191"/>
      <w:bookmarkStart w:id="1947" w:name="_Toc389807373"/>
      <w:bookmarkStart w:id="1948" w:name="_Toc389807629"/>
      <w:bookmarkStart w:id="1949" w:name="_Toc389807995"/>
      <w:bookmarkStart w:id="1950" w:name="_Toc398109941"/>
      <w:bookmarkStart w:id="1951" w:name="_Toc398110127"/>
      <w:bookmarkStart w:id="1952" w:name="_Toc388285375"/>
      <w:bookmarkStart w:id="1953" w:name="_Toc389725305"/>
      <w:bookmarkStart w:id="1954" w:name="_Toc389726298"/>
      <w:bookmarkStart w:id="1955" w:name="_Toc389727350"/>
      <w:bookmarkStart w:id="1956" w:name="_Toc389727708"/>
      <w:bookmarkStart w:id="1957" w:name="_Toc389728067"/>
      <w:bookmarkStart w:id="1958" w:name="_Toc389728426"/>
      <w:bookmarkStart w:id="1959" w:name="_Toc389728786"/>
      <w:bookmarkStart w:id="1960" w:name="_Toc389729144"/>
      <w:bookmarkStart w:id="1961" w:name="_Toc389748778"/>
      <w:bookmarkStart w:id="1962" w:name="_Toc389750193"/>
      <w:bookmarkStart w:id="1963" w:name="_Toc389807375"/>
      <w:bookmarkStart w:id="1964" w:name="_Toc389807631"/>
      <w:bookmarkStart w:id="1965" w:name="_Toc389807997"/>
      <w:bookmarkStart w:id="1966" w:name="_Toc398109943"/>
      <w:bookmarkStart w:id="1967" w:name="_Toc398110129"/>
      <w:bookmarkStart w:id="1968" w:name="_Toc388285382"/>
      <w:bookmarkStart w:id="1969" w:name="_Toc389725311"/>
      <w:bookmarkStart w:id="1970" w:name="_Toc389726305"/>
      <w:bookmarkStart w:id="1971" w:name="_Toc389727357"/>
      <w:bookmarkStart w:id="1972" w:name="_Toc389727715"/>
      <w:bookmarkStart w:id="1973" w:name="_Toc389728074"/>
      <w:bookmarkStart w:id="1974" w:name="_Toc389728433"/>
      <w:bookmarkStart w:id="1975" w:name="_Toc389728793"/>
      <w:bookmarkStart w:id="1976" w:name="_Toc389729151"/>
      <w:bookmarkStart w:id="1977" w:name="_Toc389748784"/>
      <w:bookmarkStart w:id="1978" w:name="_Toc389750199"/>
      <w:bookmarkStart w:id="1979" w:name="_Toc389807381"/>
      <w:bookmarkStart w:id="1980" w:name="_Toc389807637"/>
      <w:bookmarkStart w:id="1981" w:name="_Toc389808003"/>
      <w:bookmarkStart w:id="1982" w:name="_Toc398109949"/>
      <w:bookmarkStart w:id="1983" w:name="_Toc398110135"/>
      <w:bookmarkStart w:id="1984" w:name="_Toc388285389"/>
      <w:bookmarkStart w:id="1985" w:name="_Toc389725317"/>
      <w:bookmarkStart w:id="1986" w:name="_Toc389726312"/>
      <w:bookmarkStart w:id="1987" w:name="_Toc389727364"/>
      <w:bookmarkStart w:id="1988" w:name="_Toc389727722"/>
      <w:bookmarkStart w:id="1989" w:name="_Toc389728081"/>
      <w:bookmarkStart w:id="1990" w:name="_Toc389728440"/>
      <w:bookmarkStart w:id="1991" w:name="_Toc389728800"/>
      <w:bookmarkStart w:id="1992" w:name="_Toc389729158"/>
      <w:bookmarkStart w:id="1993" w:name="_Toc389748790"/>
      <w:bookmarkStart w:id="1994" w:name="_Toc389750205"/>
      <w:bookmarkStart w:id="1995" w:name="_Toc389807387"/>
      <w:bookmarkStart w:id="1996" w:name="_Toc389807643"/>
      <w:bookmarkStart w:id="1997" w:name="_Toc389808009"/>
      <w:bookmarkStart w:id="1998" w:name="_Toc398109955"/>
      <w:bookmarkStart w:id="1999" w:name="_Toc398110141"/>
      <w:bookmarkStart w:id="2000" w:name="_Toc388285396"/>
      <w:bookmarkStart w:id="2001" w:name="_Toc389726319"/>
      <w:bookmarkStart w:id="2002" w:name="_Toc389727371"/>
      <w:bookmarkStart w:id="2003" w:name="_Toc389727729"/>
      <w:bookmarkStart w:id="2004" w:name="_Toc389728088"/>
      <w:bookmarkStart w:id="2005" w:name="_Toc389728447"/>
      <w:bookmarkStart w:id="2006" w:name="_Toc389728807"/>
      <w:bookmarkStart w:id="2007" w:name="_Toc389729165"/>
      <w:bookmarkStart w:id="2008" w:name="_Toc388285397"/>
      <w:bookmarkStart w:id="2009" w:name="_Toc389725324"/>
      <w:bookmarkStart w:id="2010" w:name="_Toc389726320"/>
      <w:bookmarkStart w:id="2011" w:name="_Toc389727372"/>
      <w:bookmarkStart w:id="2012" w:name="_Toc389727730"/>
      <w:bookmarkStart w:id="2013" w:name="_Toc389728089"/>
      <w:bookmarkStart w:id="2014" w:name="_Toc389728448"/>
      <w:bookmarkStart w:id="2015" w:name="_Toc389728808"/>
      <w:bookmarkStart w:id="2016" w:name="_Toc389729166"/>
      <w:bookmarkStart w:id="2017" w:name="_Toc389748797"/>
      <w:bookmarkStart w:id="2018" w:name="_Toc389750212"/>
      <w:bookmarkStart w:id="2019" w:name="_Toc389807394"/>
      <w:bookmarkStart w:id="2020" w:name="_Toc389807650"/>
      <w:bookmarkStart w:id="2021" w:name="_Toc389808016"/>
      <w:bookmarkStart w:id="2022" w:name="_Toc398109962"/>
      <w:bookmarkStart w:id="2023" w:name="_Toc398110148"/>
      <w:bookmarkStart w:id="2024" w:name="_Toc388285399"/>
      <w:bookmarkStart w:id="2025" w:name="_Toc389725326"/>
      <w:bookmarkStart w:id="2026" w:name="_Toc389726322"/>
      <w:bookmarkStart w:id="2027" w:name="_Toc389727374"/>
      <w:bookmarkStart w:id="2028" w:name="_Toc389727732"/>
      <w:bookmarkStart w:id="2029" w:name="_Toc389728091"/>
      <w:bookmarkStart w:id="2030" w:name="_Toc389728450"/>
      <w:bookmarkStart w:id="2031" w:name="_Toc389728810"/>
      <w:bookmarkStart w:id="2032" w:name="_Toc389729168"/>
      <w:bookmarkStart w:id="2033" w:name="_Toc389748799"/>
      <w:bookmarkStart w:id="2034" w:name="_Toc389750214"/>
      <w:bookmarkStart w:id="2035" w:name="_Toc389807396"/>
      <w:bookmarkStart w:id="2036" w:name="_Toc389807652"/>
      <w:bookmarkStart w:id="2037" w:name="_Toc389808018"/>
      <w:bookmarkStart w:id="2038" w:name="_Toc398109964"/>
      <w:bookmarkStart w:id="2039" w:name="_Toc398110150"/>
      <w:bookmarkStart w:id="2040" w:name="_Toc388285400"/>
      <w:bookmarkStart w:id="2041" w:name="_Toc389726323"/>
      <w:bookmarkStart w:id="2042" w:name="_Toc389727375"/>
      <w:bookmarkStart w:id="2043" w:name="_Toc389727733"/>
      <w:bookmarkStart w:id="2044" w:name="_Toc389728092"/>
      <w:bookmarkStart w:id="2045" w:name="_Toc389728451"/>
      <w:bookmarkStart w:id="2046" w:name="_Toc389728811"/>
      <w:bookmarkStart w:id="2047" w:name="_Toc389729169"/>
      <w:bookmarkStart w:id="2048" w:name="_Toc388285401"/>
      <w:bookmarkStart w:id="2049" w:name="_Toc389725328"/>
      <w:bookmarkStart w:id="2050" w:name="_Toc389726324"/>
      <w:bookmarkStart w:id="2051" w:name="_Toc389727376"/>
      <w:bookmarkStart w:id="2052" w:name="_Toc389727734"/>
      <w:bookmarkStart w:id="2053" w:name="_Toc389728093"/>
      <w:bookmarkStart w:id="2054" w:name="_Toc389728452"/>
      <w:bookmarkStart w:id="2055" w:name="_Toc389728812"/>
      <w:bookmarkStart w:id="2056" w:name="_Toc389729170"/>
      <w:bookmarkStart w:id="2057" w:name="_Toc388285402"/>
      <w:bookmarkStart w:id="2058" w:name="_Toc389725329"/>
      <w:bookmarkStart w:id="2059" w:name="_Toc389726325"/>
      <w:bookmarkStart w:id="2060" w:name="_Toc389727377"/>
      <w:bookmarkStart w:id="2061" w:name="_Toc389727735"/>
      <w:bookmarkStart w:id="2062" w:name="_Toc389728094"/>
      <w:bookmarkStart w:id="2063" w:name="_Toc389728453"/>
      <w:bookmarkStart w:id="2064" w:name="_Toc389728813"/>
      <w:bookmarkStart w:id="2065" w:name="_Toc389729171"/>
      <w:bookmarkStart w:id="2066" w:name="_Toc389729172"/>
      <w:bookmarkStart w:id="2067" w:name="_Toc403472811"/>
      <w:bookmarkStart w:id="2068" w:name="_Toc440879670"/>
      <w:bookmarkStart w:id="2069" w:name="_Toc440889983"/>
      <w:bookmarkStart w:id="2070" w:name="_Toc530563688"/>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r w:rsidRPr="00064185">
        <w:rPr>
          <w:rFonts w:eastAsia="Calibri"/>
          <w:lang w:val="en-US" w:eastAsia="en-US"/>
        </w:rPr>
        <w:t>Measures to protect man, animals and the environment</w:t>
      </w:r>
      <w:bookmarkEnd w:id="2066"/>
      <w:bookmarkEnd w:id="2067"/>
      <w:bookmarkEnd w:id="2068"/>
      <w:bookmarkEnd w:id="2069"/>
      <w:bookmarkEnd w:id="2070"/>
    </w:p>
    <w:p w14:paraId="00E6ADD7" w14:textId="77777777" w:rsidR="00A53EE0" w:rsidRPr="00064185" w:rsidRDefault="00A53EE0" w:rsidP="00EA61D8">
      <w:pPr>
        <w:pStyle w:val="berschrift4"/>
        <w:numPr>
          <w:ilvl w:val="0"/>
          <w:numId w:val="15"/>
        </w:numPr>
        <w:jc w:val="left"/>
      </w:pPr>
      <w:bookmarkStart w:id="2071" w:name="_Toc377649077"/>
      <w:bookmarkStart w:id="2072" w:name="_Toc377650930"/>
      <w:bookmarkStart w:id="2073" w:name="_Toc377651057"/>
      <w:bookmarkStart w:id="2074" w:name="_Toc377653327"/>
      <w:bookmarkStart w:id="2075" w:name="_Toc378351636"/>
      <w:bookmarkStart w:id="2076" w:name="_Toc378681385"/>
      <w:bookmarkStart w:id="2077" w:name="_Toc378682305"/>
      <w:bookmarkStart w:id="2078" w:name="_Toc378683752"/>
      <w:bookmarkStart w:id="2079" w:name="_Toc378685440"/>
      <w:bookmarkStart w:id="2080" w:name="_Toc378685576"/>
      <w:bookmarkStart w:id="2081" w:name="_Toc378691786"/>
      <w:bookmarkStart w:id="2082" w:name="_Toc378692244"/>
      <w:bookmarkStart w:id="2083" w:name="_Toc378692381"/>
      <w:bookmarkStart w:id="2084" w:name="_Toc378692518"/>
      <w:bookmarkStart w:id="2085" w:name="_Toc389729173"/>
      <w:bookmarkStart w:id="2086" w:name="_Toc403472812"/>
      <w:bookmarkStart w:id="2087" w:name="_Toc440879671"/>
      <w:bookmarkStart w:id="2088" w:name="_Toc440889984"/>
      <w:bookmarkStart w:id="2089" w:name="_Toc530563689"/>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r w:rsidRPr="00064185">
        <w:t>Recommended methods and precautions</w:t>
      </w:r>
      <w:bookmarkEnd w:id="2085"/>
      <w:bookmarkEnd w:id="2086"/>
      <w:bookmarkEnd w:id="2087"/>
      <w:bookmarkEnd w:id="2088"/>
      <w:bookmarkEnd w:id="2089"/>
    </w:p>
    <w:p w14:paraId="2CA7BAEB" w14:textId="77777777" w:rsidR="00FF35E3" w:rsidRPr="00064185" w:rsidRDefault="00FF35E3" w:rsidP="00EA61D8">
      <w:pPr>
        <w:spacing w:line="260" w:lineRule="atLeast"/>
        <w:rPr>
          <w:rFonts w:eastAsia="Calibri"/>
          <w:lang w:eastAsia="en-US"/>
        </w:rPr>
      </w:pPr>
      <w:r w:rsidRPr="00064185">
        <w:rPr>
          <w:rFonts w:eastAsia="Calibri"/>
          <w:lang w:eastAsia="en-US"/>
        </w:rPr>
        <w:t>Handling:</w:t>
      </w:r>
    </w:p>
    <w:p w14:paraId="39BA8A7C" w14:textId="77777777" w:rsidR="00FF35E3" w:rsidRPr="00064185" w:rsidRDefault="00FF35E3" w:rsidP="00EA61D8">
      <w:pPr>
        <w:spacing w:line="260" w:lineRule="atLeast"/>
        <w:rPr>
          <w:rFonts w:eastAsia="Calibri"/>
          <w:lang w:eastAsia="en-US"/>
        </w:rPr>
      </w:pPr>
      <w:r w:rsidRPr="00064185">
        <w:rPr>
          <w:rFonts w:eastAsia="Calibri"/>
          <w:lang w:eastAsia="en-US"/>
        </w:rPr>
        <w:t>Advice on safe handling: Keep only in the original container.</w:t>
      </w:r>
    </w:p>
    <w:p w14:paraId="445F9678" w14:textId="77777777" w:rsidR="00FF35E3" w:rsidRPr="00064185" w:rsidRDefault="00FF35E3" w:rsidP="00EA61D8">
      <w:pPr>
        <w:spacing w:line="260" w:lineRule="atLeast"/>
        <w:rPr>
          <w:rFonts w:eastAsia="Calibri"/>
          <w:lang w:eastAsia="en-US"/>
        </w:rPr>
      </w:pPr>
      <w:r w:rsidRPr="00064185">
        <w:rPr>
          <w:rFonts w:eastAsia="Calibri"/>
          <w:lang w:eastAsia="en-US"/>
        </w:rPr>
        <w:t>Advice on protection against fire and explosion: The product is not flammable.</w:t>
      </w:r>
    </w:p>
    <w:p w14:paraId="221C4C77" w14:textId="77777777" w:rsidR="00FF35E3" w:rsidRPr="00064185" w:rsidRDefault="00FF35E3" w:rsidP="00EA61D8">
      <w:pPr>
        <w:spacing w:line="260" w:lineRule="atLeast"/>
        <w:rPr>
          <w:rFonts w:eastAsia="Calibri"/>
          <w:lang w:eastAsia="en-US"/>
        </w:rPr>
      </w:pPr>
    </w:p>
    <w:p w14:paraId="32AE4706" w14:textId="26096973" w:rsidR="00064BB5" w:rsidRPr="00064185" w:rsidRDefault="00064BB5" w:rsidP="00EA61D8">
      <w:pPr>
        <w:spacing w:line="260" w:lineRule="atLeast"/>
        <w:rPr>
          <w:rFonts w:eastAsia="Calibri"/>
          <w:lang w:eastAsia="en-US"/>
        </w:rPr>
      </w:pPr>
      <w:r w:rsidRPr="00064185">
        <w:rPr>
          <w:rFonts w:eastAsia="Calibri"/>
          <w:lang w:eastAsia="en-US"/>
        </w:rPr>
        <w:t>Storage</w:t>
      </w:r>
      <w:r w:rsidR="006E755F" w:rsidRPr="00064185">
        <w:rPr>
          <w:rFonts w:eastAsia="Calibri"/>
          <w:lang w:eastAsia="en-US"/>
        </w:rPr>
        <w:t>:</w:t>
      </w:r>
    </w:p>
    <w:p w14:paraId="5031CA9C" w14:textId="26F4F87A" w:rsidR="00F9269A" w:rsidRPr="00064185" w:rsidRDefault="00064BB5" w:rsidP="00EA61D8">
      <w:pPr>
        <w:spacing w:line="260" w:lineRule="atLeast"/>
        <w:rPr>
          <w:rFonts w:eastAsia="Calibri"/>
          <w:lang w:eastAsia="en-US"/>
        </w:rPr>
      </w:pPr>
      <w:r w:rsidRPr="00064185">
        <w:rPr>
          <w:rFonts w:eastAsia="Calibri"/>
          <w:lang w:eastAsia="en-US"/>
        </w:rPr>
        <w:t>Requirements for storage areas and containers: Keep product in original container only, tightly closed, in a safe place.</w:t>
      </w:r>
      <w:r w:rsidR="00F9269A" w:rsidRPr="00064185">
        <w:rPr>
          <w:rFonts w:eastAsia="Calibri"/>
          <w:lang w:val="en-US" w:eastAsia="en-US"/>
        </w:rPr>
        <w:t>Store in a cool, dry and frost-protected place.</w:t>
      </w:r>
      <w:r w:rsidR="00F9269A" w:rsidRPr="00064185">
        <w:rPr>
          <w:rFonts w:eastAsia="Calibri"/>
          <w:lang w:eastAsia="en-US"/>
        </w:rPr>
        <w:t xml:space="preserve"> Keep away from direct sunlight.</w:t>
      </w:r>
    </w:p>
    <w:p w14:paraId="67AD71E9" w14:textId="77777777" w:rsidR="00064BB5" w:rsidRPr="00064185" w:rsidRDefault="00064BB5" w:rsidP="00EA61D8">
      <w:pPr>
        <w:spacing w:line="260" w:lineRule="atLeast"/>
        <w:rPr>
          <w:rFonts w:eastAsia="Calibri"/>
          <w:lang w:eastAsia="en-US"/>
        </w:rPr>
      </w:pPr>
      <w:r w:rsidRPr="00064185">
        <w:rPr>
          <w:rFonts w:eastAsia="Calibri"/>
          <w:lang w:eastAsia="en-US"/>
        </w:rPr>
        <w:t>Further information on storage conditions: Keep away from food, drink and animal feed.</w:t>
      </w:r>
    </w:p>
    <w:p w14:paraId="03F7D802" w14:textId="02788308" w:rsidR="00064BB5" w:rsidRPr="00064185" w:rsidRDefault="00064BB5" w:rsidP="00EA61D8">
      <w:pPr>
        <w:spacing w:line="260" w:lineRule="atLeast"/>
        <w:rPr>
          <w:rFonts w:eastAsia="Calibri"/>
          <w:lang w:eastAsia="en-US"/>
        </w:rPr>
      </w:pPr>
      <w:r w:rsidRPr="00064185">
        <w:rPr>
          <w:rFonts w:eastAsia="Calibri"/>
          <w:lang w:eastAsia="en-US"/>
        </w:rPr>
        <w:t xml:space="preserve">Storage period: </w:t>
      </w:r>
      <w:r w:rsidR="00F9269A" w:rsidRPr="00064185">
        <w:rPr>
          <w:rFonts w:eastAsia="Calibri"/>
          <w:lang w:eastAsia="en-US"/>
        </w:rPr>
        <w:t>4</w:t>
      </w:r>
      <w:r w:rsidRPr="00064185">
        <w:rPr>
          <w:rFonts w:eastAsia="Calibri"/>
          <w:lang w:eastAsia="en-US"/>
        </w:rPr>
        <w:t xml:space="preserve"> years.</w:t>
      </w:r>
    </w:p>
    <w:p w14:paraId="56266877" w14:textId="7DBA9E13" w:rsidR="00064BB5" w:rsidRPr="00064185" w:rsidRDefault="004216E7" w:rsidP="00EA61D8">
      <w:pPr>
        <w:spacing w:line="260" w:lineRule="atLeast"/>
        <w:rPr>
          <w:rFonts w:eastAsia="Calibri"/>
          <w:lang w:eastAsia="en-US"/>
        </w:rPr>
      </w:pPr>
      <w:r w:rsidRPr="00064185">
        <w:rPr>
          <w:rFonts w:eastAsia="Calibri"/>
          <w:lang w:eastAsia="en-US"/>
        </w:rPr>
        <w:t xml:space="preserve">Storage temperature: </w:t>
      </w:r>
      <w:r w:rsidR="00F9269A" w:rsidRPr="00064185">
        <w:rPr>
          <w:rFonts w:eastAsia="Calibri"/>
          <w:lang w:eastAsia="en-US"/>
        </w:rPr>
        <w:t>5</w:t>
      </w:r>
      <w:r w:rsidRPr="00064185">
        <w:rPr>
          <w:rFonts w:eastAsia="Calibri"/>
          <w:lang w:eastAsia="en-US"/>
        </w:rPr>
        <w:t>-30</w:t>
      </w:r>
      <w:r w:rsidR="00064BB5" w:rsidRPr="00064185">
        <w:rPr>
          <w:rFonts w:eastAsia="Calibri"/>
          <w:lang w:eastAsia="en-US"/>
        </w:rPr>
        <w:t>°C.</w:t>
      </w:r>
    </w:p>
    <w:p w14:paraId="1A828FB9" w14:textId="77777777" w:rsidR="00FF35E3" w:rsidRPr="00064185" w:rsidRDefault="00FF35E3" w:rsidP="00EA61D8">
      <w:pPr>
        <w:spacing w:line="260" w:lineRule="atLeast"/>
        <w:rPr>
          <w:rFonts w:eastAsia="Calibri"/>
          <w:lang w:eastAsia="en-US"/>
        </w:rPr>
      </w:pPr>
    </w:p>
    <w:p w14:paraId="1DD074AA" w14:textId="77777777" w:rsidR="00064BB5" w:rsidRPr="00064185" w:rsidRDefault="00064BB5" w:rsidP="00EA61D8">
      <w:pPr>
        <w:spacing w:line="260" w:lineRule="atLeast"/>
        <w:rPr>
          <w:rFonts w:eastAsia="Calibri"/>
          <w:lang w:eastAsia="en-US"/>
        </w:rPr>
      </w:pPr>
      <w:r w:rsidRPr="00064185">
        <w:rPr>
          <w:rFonts w:eastAsia="Calibri"/>
          <w:lang w:eastAsia="en-US"/>
        </w:rPr>
        <w:t>Disposal:</w:t>
      </w:r>
    </w:p>
    <w:p w14:paraId="61186A08" w14:textId="19C238B4" w:rsidR="00064BB5" w:rsidRPr="00064185" w:rsidRDefault="00766B2E" w:rsidP="00EA61D8">
      <w:pPr>
        <w:spacing w:line="260" w:lineRule="atLeast"/>
        <w:rPr>
          <w:rFonts w:eastAsia="Calibri"/>
          <w:lang w:eastAsia="en-US"/>
        </w:rPr>
      </w:pPr>
      <w:r w:rsidRPr="00064185">
        <w:rPr>
          <w:rFonts w:eastAsia="Calibri"/>
          <w:lang w:eastAsia="en-US"/>
        </w:rPr>
        <w:t>Dispose of p</w:t>
      </w:r>
      <w:r w:rsidR="00FB2B7D" w:rsidRPr="00064185">
        <w:rPr>
          <w:rFonts w:eastAsia="Calibri"/>
          <w:lang w:eastAsia="en-US"/>
        </w:rPr>
        <w:t xml:space="preserve">roduct </w:t>
      </w:r>
      <w:r w:rsidRPr="00064185">
        <w:rPr>
          <w:rFonts w:eastAsia="Calibri"/>
          <w:lang w:eastAsia="en-US"/>
        </w:rPr>
        <w:t xml:space="preserve">residues </w:t>
      </w:r>
      <w:r w:rsidR="0081686F" w:rsidRPr="00064185">
        <w:rPr>
          <w:rFonts w:eastAsia="Calibri"/>
          <w:lang w:eastAsia="en-US"/>
        </w:rPr>
        <w:t>in its container accord</w:t>
      </w:r>
      <w:r w:rsidRPr="00064185">
        <w:rPr>
          <w:rFonts w:eastAsia="Calibri"/>
          <w:lang w:eastAsia="en-US"/>
        </w:rPr>
        <w:t>ing to</w:t>
      </w:r>
      <w:r w:rsidR="0081686F" w:rsidRPr="00064185">
        <w:rPr>
          <w:rFonts w:eastAsia="Calibri"/>
          <w:lang w:eastAsia="en-US"/>
        </w:rPr>
        <w:t xml:space="preserve"> local</w:t>
      </w:r>
      <w:r w:rsidR="007669B0" w:rsidRPr="00064185">
        <w:rPr>
          <w:rFonts w:eastAsia="Calibri"/>
          <w:lang w:eastAsia="en-US"/>
        </w:rPr>
        <w:t xml:space="preserve"> and </w:t>
      </w:r>
      <w:r w:rsidR="0081686F" w:rsidRPr="00064185">
        <w:rPr>
          <w:rFonts w:eastAsia="Calibri"/>
          <w:lang w:eastAsia="en-US"/>
        </w:rPr>
        <w:t>national re</w:t>
      </w:r>
      <w:r w:rsidR="007669B0" w:rsidRPr="00064185">
        <w:rPr>
          <w:rFonts w:eastAsia="Calibri"/>
          <w:lang w:eastAsia="en-US"/>
        </w:rPr>
        <w:t>quirements</w:t>
      </w:r>
      <w:r w:rsidR="0081686F" w:rsidRPr="00064185">
        <w:rPr>
          <w:rFonts w:eastAsia="Calibri"/>
          <w:lang w:eastAsia="en-US"/>
        </w:rPr>
        <w:t>.</w:t>
      </w:r>
    </w:p>
    <w:p w14:paraId="00A8B1AB" w14:textId="77777777" w:rsidR="00354C1C" w:rsidRPr="00064185" w:rsidRDefault="00354C1C" w:rsidP="00EA61D8">
      <w:pPr>
        <w:spacing w:line="260" w:lineRule="atLeast"/>
        <w:rPr>
          <w:rFonts w:eastAsia="Calibri"/>
          <w:lang w:eastAsia="en-US"/>
        </w:rPr>
      </w:pPr>
    </w:p>
    <w:p w14:paraId="62B48ACA" w14:textId="77777777" w:rsidR="00FF35E3" w:rsidRPr="00064185" w:rsidRDefault="00FF35E3" w:rsidP="00EA61D8">
      <w:pPr>
        <w:spacing w:line="260" w:lineRule="atLeast"/>
        <w:rPr>
          <w:rFonts w:eastAsia="Calibri"/>
          <w:lang w:eastAsia="en-US"/>
        </w:rPr>
      </w:pPr>
      <w:r w:rsidRPr="00064185">
        <w:rPr>
          <w:rFonts w:eastAsia="Calibri"/>
          <w:lang w:eastAsia="en-US"/>
        </w:rPr>
        <w:t>Transport:</w:t>
      </w:r>
    </w:p>
    <w:p w14:paraId="433D64E4" w14:textId="77777777" w:rsidR="00FF35E3" w:rsidRPr="00064185" w:rsidRDefault="00FF35E3" w:rsidP="00EA61D8">
      <w:pPr>
        <w:spacing w:line="260" w:lineRule="atLeast"/>
        <w:rPr>
          <w:rFonts w:eastAsia="Calibri"/>
          <w:lang w:eastAsia="en-US"/>
        </w:rPr>
      </w:pPr>
      <w:r w:rsidRPr="00064185">
        <w:rPr>
          <w:rFonts w:eastAsia="Calibri"/>
          <w:lang w:eastAsia="en-US"/>
        </w:rPr>
        <w:t>UN number: 3082</w:t>
      </w:r>
    </w:p>
    <w:p w14:paraId="25544749" w14:textId="0A92A008" w:rsidR="00FF35E3" w:rsidRPr="00064185" w:rsidRDefault="00FF35E3" w:rsidP="00EA61D8">
      <w:pPr>
        <w:spacing w:line="260" w:lineRule="atLeast"/>
        <w:rPr>
          <w:rFonts w:eastAsia="Calibri"/>
          <w:lang w:eastAsia="en-US"/>
        </w:rPr>
      </w:pPr>
      <w:r w:rsidRPr="00064185">
        <w:rPr>
          <w:rFonts w:eastAsia="Calibri"/>
          <w:lang w:eastAsia="en-US"/>
        </w:rPr>
        <w:t>Proper shipping name: Environmentally hazardous substance, liquid, n.o.s. (</w:t>
      </w:r>
      <w:r w:rsidR="00477DE8" w:rsidRPr="00064185">
        <w:rPr>
          <w:rFonts w:eastAsia="Calibri"/>
          <w:i/>
          <w:lang w:eastAsia="en-US"/>
        </w:rPr>
        <w:t>l</w:t>
      </w:r>
      <w:r w:rsidRPr="00064185">
        <w:rPr>
          <w:rFonts w:eastAsia="Calibri"/>
          <w:i/>
          <w:lang w:eastAsia="en-US"/>
        </w:rPr>
        <w:t>ambda</w:t>
      </w:r>
      <w:r w:rsidR="00477DE8" w:rsidRPr="00064185">
        <w:rPr>
          <w:rFonts w:eastAsia="Calibri"/>
          <w:lang w:eastAsia="en-US"/>
        </w:rPr>
        <w:t>-c</w:t>
      </w:r>
      <w:r w:rsidRPr="00064185">
        <w:rPr>
          <w:rFonts w:eastAsia="Calibri"/>
          <w:lang w:eastAsia="en-US"/>
        </w:rPr>
        <w:t>yhalothrin)</w:t>
      </w:r>
    </w:p>
    <w:p w14:paraId="2D3F87CC" w14:textId="77777777" w:rsidR="00FF35E3" w:rsidRPr="00064185" w:rsidRDefault="00FF35E3" w:rsidP="00EA61D8">
      <w:pPr>
        <w:spacing w:line="260" w:lineRule="atLeast"/>
        <w:rPr>
          <w:rFonts w:eastAsia="Calibri"/>
          <w:lang w:eastAsia="en-US"/>
        </w:rPr>
      </w:pPr>
      <w:r w:rsidRPr="00064185">
        <w:rPr>
          <w:rFonts w:eastAsia="Calibri"/>
          <w:lang w:eastAsia="en-US"/>
        </w:rPr>
        <w:t>Transport hazard class: 9</w:t>
      </w:r>
    </w:p>
    <w:p w14:paraId="79497380" w14:textId="77777777" w:rsidR="00FF35E3" w:rsidRPr="00064185" w:rsidRDefault="00FF35E3" w:rsidP="00EA61D8">
      <w:pPr>
        <w:spacing w:line="260" w:lineRule="atLeast"/>
        <w:rPr>
          <w:rFonts w:eastAsia="Calibri"/>
          <w:lang w:eastAsia="en-US"/>
        </w:rPr>
      </w:pPr>
      <w:r w:rsidRPr="00064185">
        <w:rPr>
          <w:rFonts w:eastAsia="Calibri"/>
          <w:lang w:eastAsia="en-US"/>
        </w:rPr>
        <w:t>Packing group: III</w:t>
      </w:r>
    </w:p>
    <w:p w14:paraId="11E0DFE7" w14:textId="77777777" w:rsidR="00FF35E3" w:rsidRPr="00064185" w:rsidRDefault="00FF35E3" w:rsidP="00EA61D8">
      <w:pPr>
        <w:spacing w:line="260" w:lineRule="atLeast"/>
        <w:rPr>
          <w:rFonts w:eastAsia="Calibri"/>
          <w:lang w:eastAsia="en-US"/>
        </w:rPr>
      </w:pPr>
      <w:r w:rsidRPr="00064185">
        <w:rPr>
          <w:rFonts w:eastAsia="Calibri"/>
          <w:lang w:eastAsia="en-US"/>
        </w:rPr>
        <w:t>Environmental hazards: IMDG: Marine Pollutant Check Reqd</w:t>
      </w:r>
    </w:p>
    <w:p w14:paraId="7AFA51B1" w14:textId="77777777" w:rsidR="00FF35E3" w:rsidRPr="00064185" w:rsidRDefault="00FF35E3" w:rsidP="00EA61D8">
      <w:pPr>
        <w:spacing w:line="260" w:lineRule="atLeast"/>
        <w:rPr>
          <w:rFonts w:eastAsia="Calibri"/>
          <w:lang w:eastAsia="en-US"/>
        </w:rPr>
      </w:pPr>
      <w:r w:rsidRPr="00064185">
        <w:rPr>
          <w:rFonts w:eastAsia="Calibri"/>
          <w:lang w:eastAsia="en-US"/>
        </w:rPr>
        <w:t>Special precautions for user: Tunnel restriction code (E)</w:t>
      </w:r>
    </w:p>
    <w:p w14:paraId="701CFD04" w14:textId="77777777" w:rsidR="00064BB5" w:rsidRPr="00064185" w:rsidRDefault="00064BB5" w:rsidP="00EA61D8">
      <w:pPr>
        <w:spacing w:line="260" w:lineRule="atLeast"/>
        <w:rPr>
          <w:rFonts w:eastAsia="Calibri"/>
          <w:lang w:eastAsia="en-US"/>
        </w:rPr>
      </w:pPr>
    </w:p>
    <w:p w14:paraId="23237D43" w14:textId="77777777" w:rsidR="00064BB5" w:rsidRPr="00064185" w:rsidRDefault="00064BB5" w:rsidP="00EA61D8">
      <w:pPr>
        <w:spacing w:line="260" w:lineRule="atLeast"/>
        <w:rPr>
          <w:rFonts w:eastAsia="Calibri"/>
          <w:lang w:eastAsia="en-US"/>
        </w:rPr>
      </w:pPr>
      <w:r w:rsidRPr="00064185">
        <w:rPr>
          <w:rFonts w:eastAsia="Calibri"/>
          <w:lang w:eastAsia="en-US"/>
        </w:rPr>
        <w:t>Fire:</w:t>
      </w:r>
    </w:p>
    <w:p w14:paraId="23894217" w14:textId="77777777" w:rsidR="00064BB5" w:rsidRPr="00064185" w:rsidRDefault="00064BB5" w:rsidP="00EA61D8">
      <w:pPr>
        <w:spacing w:line="260" w:lineRule="atLeast"/>
        <w:rPr>
          <w:rFonts w:eastAsia="Calibri"/>
          <w:lang w:eastAsia="en-US"/>
        </w:rPr>
      </w:pPr>
      <w:r w:rsidRPr="00064185">
        <w:rPr>
          <w:rFonts w:eastAsia="Calibri"/>
          <w:lang w:eastAsia="en-US"/>
        </w:rPr>
        <w:t>Suitable extinguishing media: Water, carbon dioxide (CO</w:t>
      </w:r>
      <w:r w:rsidRPr="00064185">
        <w:rPr>
          <w:rFonts w:eastAsia="Calibri"/>
          <w:vertAlign w:val="subscript"/>
          <w:lang w:eastAsia="en-US"/>
        </w:rPr>
        <w:t>2</w:t>
      </w:r>
      <w:r w:rsidRPr="00064185">
        <w:rPr>
          <w:rFonts w:eastAsia="Calibri"/>
          <w:lang w:eastAsia="en-US"/>
        </w:rPr>
        <w:t>), foam, dry chemical.</w:t>
      </w:r>
    </w:p>
    <w:p w14:paraId="63B94285" w14:textId="77777777" w:rsidR="00064BB5" w:rsidRPr="00064185" w:rsidRDefault="00064BB5" w:rsidP="00EA61D8">
      <w:pPr>
        <w:spacing w:line="260" w:lineRule="atLeast"/>
        <w:rPr>
          <w:rFonts w:eastAsia="Calibri"/>
          <w:lang w:eastAsia="en-US"/>
        </w:rPr>
      </w:pPr>
      <w:r w:rsidRPr="00064185">
        <w:rPr>
          <w:rFonts w:eastAsia="Calibri"/>
          <w:lang w:eastAsia="en-US"/>
        </w:rPr>
        <w:t>Special protective equipment for firefighters: Wear self-contained breathing apparatus and chemical protective clothing.</w:t>
      </w:r>
    </w:p>
    <w:p w14:paraId="5539E42C" w14:textId="77777777" w:rsidR="00064BB5" w:rsidRPr="00064185" w:rsidRDefault="00064BB5" w:rsidP="00EA61D8">
      <w:pPr>
        <w:spacing w:line="260" w:lineRule="atLeast"/>
        <w:rPr>
          <w:rFonts w:eastAsia="Calibri"/>
          <w:lang w:eastAsia="en-US"/>
        </w:rPr>
      </w:pPr>
      <w:r w:rsidRPr="00064185">
        <w:rPr>
          <w:rFonts w:eastAsia="Calibri"/>
          <w:lang w:eastAsia="en-US"/>
        </w:rPr>
        <w:t>Further information: Fire residues and contaminated fire extinguishing water must be disposed of in accordance with local regulations.</w:t>
      </w:r>
    </w:p>
    <w:p w14:paraId="193D50A5" w14:textId="77777777" w:rsidR="002C2A64" w:rsidRPr="00064185" w:rsidRDefault="002C2A64" w:rsidP="00EA61D8">
      <w:pPr>
        <w:spacing w:line="260" w:lineRule="atLeast"/>
        <w:rPr>
          <w:rFonts w:eastAsia="Calibri"/>
          <w:lang w:eastAsia="en-US"/>
        </w:rPr>
      </w:pPr>
    </w:p>
    <w:p w14:paraId="604B8270" w14:textId="77777777" w:rsidR="00A53EE0" w:rsidRPr="00064185" w:rsidRDefault="00A53EE0" w:rsidP="00EA61D8">
      <w:pPr>
        <w:pStyle w:val="berschrift4"/>
        <w:jc w:val="left"/>
        <w:rPr>
          <w:lang w:val="en-GB"/>
        </w:rPr>
      </w:pPr>
      <w:bookmarkStart w:id="2090" w:name="_Toc389729174"/>
      <w:bookmarkStart w:id="2091" w:name="_Toc403472813"/>
      <w:bookmarkStart w:id="2092" w:name="_Toc440879672"/>
      <w:bookmarkStart w:id="2093" w:name="_Toc440889985"/>
      <w:bookmarkStart w:id="2094" w:name="_Toc530563690"/>
      <w:r w:rsidRPr="00064185">
        <w:rPr>
          <w:lang w:val="en-GB"/>
        </w:rPr>
        <w:t>Identity of relevant combustion products in cases of fire</w:t>
      </w:r>
      <w:bookmarkStart w:id="2095" w:name="_Toc389729175"/>
      <w:bookmarkEnd w:id="2090"/>
      <w:bookmarkEnd w:id="2091"/>
      <w:bookmarkEnd w:id="2092"/>
      <w:bookmarkEnd w:id="2093"/>
      <w:bookmarkEnd w:id="2095"/>
      <w:bookmarkEnd w:id="2094"/>
    </w:p>
    <w:p w14:paraId="4BD7DAE1" w14:textId="0D4D1EBF" w:rsidR="00A53EE0" w:rsidRPr="00064185" w:rsidRDefault="00064BB5" w:rsidP="00EA61D8">
      <w:pPr>
        <w:spacing w:line="260" w:lineRule="atLeast"/>
        <w:rPr>
          <w:rFonts w:eastAsia="Calibri"/>
          <w:lang w:eastAsia="en-US"/>
        </w:rPr>
      </w:pPr>
      <w:r w:rsidRPr="00064185">
        <w:rPr>
          <w:rFonts w:eastAsia="Calibri"/>
          <w:lang w:eastAsia="en-US"/>
        </w:rPr>
        <w:t>E</w:t>
      </w:r>
      <w:r w:rsidR="007A2098" w:rsidRPr="00064185">
        <w:rPr>
          <w:rFonts w:eastAsia="Calibri"/>
          <w:lang w:eastAsia="en-US"/>
        </w:rPr>
        <w:t>volution of toxic gases/vapours:</w:t>
      </w:r>
      <w:r w:rsidRPr="00064185">
        <w:rPr>
          <w:rFonts w:eastAsia="Calibri"/>
          <w:lang w:eastAsia="en-US"/>
        </w:rPr>
        <w:t xml:space="preserve"> carbon monoxide, carbon dioxide (CO</w:t>
      </w:r>
      <w:r w:rsidRPr="00064185">
        <w:rPr>
          <w:rFonts w:eastAsia="Calibri"/>
          <w:vertAlign w:val="subscript"/>
          <w:lang w:eastAsia="en-US"/>
        </w:rPr>
        <w:t>2</w:t>
      </w:r>
      <w:r w:rsidRPr="00064185">
        <w:rPr>
          <w:rFonts w:eastAsia="Calibri"/>
          <w:lang w:eastAsia="en-US"/>
        </w:rPr>
        <w:t>).</w:t>
      </w:r>
    </w:p>
    <w:p w14:paraId="71CC4446" w14:textId="77777777" w:rsidR="002C2A64" w:rsidRPr="00064185" w:rsidRDefault="002C2A64" w:rsidP="00EA61D8">
      <w:pPr>
        <w:spacing w:line="260" w:lineRule="atLeast"/>
        <w:rPr>
          <w:rFonts w:eastAsia="Calibri"/>
          <w:lang w:eastAsia="en-US"/>
        </w:rPr>
      </w:pPr>
    </w:p>
    <w:p w14:paraId="44641DC7" w14:textId="77777777" w:rsidR="00A53EE0" w:rsidRPr="00064185" w:rsidRDefault="00A53EE0" w:rsidP="00EA61D8">
      <w:pPr>
        <w:pStyle w:val="berschrift4"/>
        <w:jc w:val="left"/>
        <w:rPr>
          <w:lang w:val="en-GB"/>
        </w:rPr>
      </w:pPr>
      <w:bookmarkStart w:id="2096" w:name="_Toc389729176"/>
      <w:bookmarkStart w:id="2097" w:name="_Toc403472814"/>
      <w:bookmarkStart w:id="2098" w:name="_Toc440879673"/>
      <w:bookmarkStart w:id="2099" w:name="_Toc440889986"/>
      <w:bookmarkStart w:id="2100" w:name="_Toc530563691"/>
      <w:r w:rsidRPr="00064185">
        <w:rPr>
          <w:lang w:val="en-GB"/>
        </w:rPr>
        <w:t>Specific treatment in case of an accident</w:t>
      </w:r>
      <w:bookmarkEnd w:id="2096"/>
      <w:bookmarkEnd w:id="2097"/>
      <w:bookmarkEnd w:id="2098"/>
      <w:bookmarkEnd w:id="2099"/>
      <w:bookmarkEnd w:id="2100"/>
    </w:p>
    <w:p w14:paraId="4FD727F2" w14:textId="77777777" w:rsidR="00A53EE0" w:rsidRPr="00064185" w:rsidRDefault="00382C8B" w:rsidP="00EA61D8">
      <w:pPr>
        <w:spacing w:line="260" w:lineRule="atLeast"/>
        <w:rPr>
          <w:rFonts w:eastAsia="Calibri"/>
          <w:lang w:eastAsia="en-US"/>
        </w:rPr>
      </w:pPr>
      <w:r w:rsidRPr="00064185">
        <w:rPr>
          <w:rFonts w:eastAsia="Calibri"/>
          <w:lang w:eastAsia="en-US"/>
        </w:rPr>
        <w:t>First aid measures:</w:t>
      </w:r>
    </w:p>
    <w:p w14:paraId="0C2441CA" w14:textId="77777777" w:rsidR="00382C8B" w:rsidRPr="00064185" w:rsidRDefault="00382C8B" w:rsidP="00EA61D8">
      <w:pPr>
        <w:spacing w:line="260" w:lineRule="atLeast"/>
        <w:rPr>
          <w:rFonts w:eastAsia="Calibri"/>
          <w:lang w:eastAsia="en-US"/>
        </w:rPr>
      </w:pPr>
      <w:r w:rsidRPr="00064185">
        <w:rPr>
          <w:rFonts w:eastAsia="Calibri"/>
          <w:lang w:eastAsia="en-US"/>
        </w:rPr>
        <w:t xml:space="preserve">If inhaled: Keep patient calm, remove to fresh air, </w:t>
      </w:r>
      <w:proofErr w:type="gramStart"/>
      <w:r w:rsidRPr="00064185">
        <w:rPr>
          <w:rFonts w:eastAsia="Calibri"/>
          <w:lang w:eastAsia="en-US"/>
        </w:rPr>
        <w:t>seek</w:t>
      </w:r>
      <w:proofErr w:type="gramEnd"/>
      <w:r w:rsidRPr="00064185">
        <w:rPr>
          <w:rFonts w:eastAsia="Calibri"/>
          <w:lang w:eastAsia="en-US"/>
        </w:rPr>
        <w:t xml:space="preserve"> medical attention. </w:t>
      </w:r>
    </w:p>
    <w:p w14:paraId="65FC91CF" w14:textId="4D11DBFC" w:rsidR="00382C8B" w:rsidRPr="00064185" w:rsidRDefault="00382C8B" w:rsidP="00EA61D8">
      <w:pPr>
        <w:spacing w:line="260" w:lineRule="atLeast"/>
        <w:rPr>
          <w:rFonts w:eastAsia="Calibri"/>
          <w:lang w:eastAsia="en-US"/>
        </w:rPr>
      </w:pPr>
      <w:r w:rsidRPr="00064185">
        <w:rPr>
          <w:rFonts w:eastAsia="Calibri"/>
          <w:lang w:eastAsia="en-US"/>
        </w:rPr>
        <w:t>After contact with skin</w:t>
      </w:r>
      <w:r w:rsidR="00477DE8" w:rsidRPr="00064185">
        <w:rPr>
          <w:rFonts w:eastAsia="Calibri"/>
          <w:lang w:eastAsia="en-US"/>
        </w:rPr>
        <w:t>:</w:t>
      </w:r>
      <w:r w:rsidRPr="00064185">
        <w:rPr>
          <w:rFonts w:eastAsia="Calibri"/>
          <w:lang w:eastAsia="en-US"/>
        </w:rPr>
        <w:t xml:space="preserve"> </w:t>
      </w:r>
      <w:r w:rsidR="00477DE8" w:rsidRPr="00064185">
        <w:rPr>
          <w:rFonts w:eastAsia="Calibri"/>
          <w:lang w:eastAsia="en-US"/>
        </w:rPr>
        <w:t>W</w:t>
      </w:r>
      <w:r w:rsidRPr="00064185">
        <w:rPr>
          <w:rFonts w:eastAsia="Calibri"/>
          <w:lang w:eastAsia="en-US"/>
        </w:rPr>
        <w:t xml:space="preserve">ash thoroughly with soap and water. </w:t>
      </w:r>
    </w:p>
    <w:p w14:paraId="2572B194" w14:textId="5B1A0141" w:rsidR="00382C8B" w:rsidRPr="00064185" w:rsidRDefault="00477DE8" w:rsidP="00EA61D8">
      <w:pPr>
        <w:spacing w:line="260" w:lineRule="atLeast"/>
        <w:rPr>
          <w:rFonts w:eastAsia="Calibri"/>
          <w:lang w:eastAsia="en-US"/>
        </w:rPr>
      </w:pPr>
      <w:r w:rsidRPr="00064185">
        <w:rPr>
          <w:rFonts w:eastAsia="Calibri"/>
          <w:lang w:eastAsia="en-US"/>
        </w:rPr>
        <w:t>After eye contact:</w:t>
      </w:r>
      <w:r w:rsidR="00382C8B" w:rsidRPr="00064185">
        <w:rPr>
          <w:rFonts w:eastAsia="Calibri"/>
          <w:lang w:eastAsia="en-US"/>
        </w:rPr>
        <w:t xml:space="preserve"> </w:t>
      </w:r>
      <w:r w:rsidRPr="00064185">
        <w:rPr>
          <w:rFonts w:eastAsia="Calibri"/>
          <w:lang w:eastAsia="en-US"/>
        </w:rPr>
        <w:t>R</w:t>
      </w:r>
      <w:r w:rsidR="00382C8B" w:rsidRPr="00064185">
        <w:rPr>
          <w:rFonts w:eastAsia="Calibri"/>
          <w:lang w:eastAsia="en-US"/>
        </w:rPr>
        <w:t xml:space="preserve">inse with plenty of water. </w:t>
      </w:r>
    </w:p>
    <w:p w14:paraId="751F3FD0" w14:textId="77777777" w:rsidR="001C08E0" w:rsidRPr="00064185" w:rsidRDefault="00477DE8" w:rsidP="00EA61D8">
      <w:pPr>
        <w:spacing w:line="260" w:lineRule="atLeast"/>
        <w:rPr>
          <w:rFonts w:eastAsia="Calibri"/>
          <w:lang w:eastAsia="en-US"/>
        </w:rPr>
      </w:pPr>
      <w:r w:rsidRPr="00064185">
        <w:rPr>
          <w:rFonts w:eastAsia="Calibri"/>
          <w:lang w:eastAsia="en-US"/>
        </w:rPr>
        <w:t>If swallowed:</w:t>
      </w:r>
      <w:r w:rsidR="00382C8B" w:rsidRPr="00064185">
        <w:rPr>
          <w:rFonts w:eastAsia="Calibri"/>
          <w:lang w:eastAsia="en-US"/>
        </w:rPr>
        <w:t xml:space="preserve"> </w:t>
      </w:r>
      <w:r w:rsidRPr="00064185">
        <w:rPr>
          <w:rFonts w:eastAsia="Calibri"/>
          <w:lang w:eastAsia="en-US"/>
        </w:rPr>
        <w:t>S</w:t>
      </w:r>
      <w:r w:rsidR="00382C8B" w:rsidRPr="00064185">
        <w:rPr>
          <w:rFonts w:eastAsia="Calibri"/>
          <w:lang w:eastAsia="en-US"/>
        </w:rPr>
        <w:t>eek medical advice immediately and show this container or label.</w:t>
      </w:r>
    </w:p>
    <w:p w14:paraId="383624BB" w14:textId="4AE0058C" w:rsidR="00382C8B" w:rsidRPr="00064185" w:rsidRDefault="00382C8B" w:rsidP="00EA61D8">
      <w:pPr>
        <w:spacing w:line="260" w:lineRule="atLeast"/>
        <w:rPr>
          <w:rFonts w:eastAsia="Calibri"/>
          <w:lang w:eastAsia="en-US"/>
        </w:rPr>
      </w:pPr>
      <w:r w:rsidRPr="00064185">
        <w:rPr>
          <w:rFonts w:eastAsia="Calibri"/>
          <w:lang w:eastAsia="en-US"/>
        </w:rPr>
        <w:t>Emergency measures to protect the environment:</w:t>
      </w:r>
      <w:r w:rsidR="00477DE8" w:rsidRPr="00064185">
        <w:rPr>
          <w:rFonts w:eastAsia="Calibri"/>
          <w:lang w:eastAsia="en-US"/>
        </w:rPr>
        <w:t xml:space="preserve"> </w:t>
      </w:r>
      <w:r w:rsidRPr="00064185">
        <w:rPr>
          <w:rFonts w:eastAsia="Calibri"/>
          <w:lang w:eastAsia="en-US"/>
        </w:rPr>
        <w:t>Do not flush into surface water or sanitary sewer system.</w:t>
      </w:r>
    </w:p>
    <w:p w14:paraId="102BE264" w14:textId="77777777" w:rsidR="005D4A26" w:rsidRPr="00064185" w:rsidRDefault="005D4A26" w:rsidP="00EA61D8">
      <w:pPr>
        <w:spacing w:line="260" w:lineRule="atLeast"/>
        <w:rPr>
          <w:rFonts w:eastAsia="Calibri"/>
          <w:lang w:eastAsia="en-US"/>
        </w:rPr>
      </w:pPr>
    </w:p>
    <w:p w14:paraId="4A3A2AB3" w14:textId="77777777" w:rsidR="00A53EE0" w:rsidRPr="00064185" w:rsidRDefault="00A53EE0" w:rsidP="00EA61D8">
      <w:pPr>
        <w:pStyle w:val="berschrift4"/>
        <w:jc w:val="left"/>
        <w:rPr>
          <w:lang w:val="en-GB"/>
        </w:rPr>
      </w:pPr>
      <w:bookmarkStart w:id="2101" w:name="_Toc389729177"/>
      <w:bookmarkStart w:id="2102" w:name="_Toc403472815"/>
      <w:bookmarkStart w:id="2103" w:name="_Toc440879674"/>
      <w:bookmarkStart w:id="2104" w:name="_Toc440889987"/>
      <w:bookmarkStart w:id="2105" w:name="_Toc530563692"/>
      <w:r w:rsidRPr="00064185">
        <w:rPr>
          <w:lang w:val="en-GB"/>
        </w:rPr>
        <w:t>Possibility of destruction or decontamination following release</w:t>
      </w:r>
      <w:bookmarkEnd w:id="2101"/>
      <w:bookmarkEnd w:id="2102"/>
      <w:bookmarkEnd w:id="2103"/>
      <w:bookmarkEnd w:id="2104"/>
      <w:bookmarkEnd w:id="2105"/>
      <w:r w:rsidRPr="00064185">
        <w:rPr>
          <w:lang w:val="en-GB"/>
        </w:rPr>
        <w:t xml:space="preserve"> </w:t>
      </w:r>
    </w:p>
    <w:p w14:paraId="3484FF80" w14:textId="77777777" w:rsidR="00382C8B" w:rsidRPr="00064185" w:rsidRDefault="00382C8B" w:rsidP="00EA61D8">
      <w:pPr>
        <w:spacing w:line="260" w:lineRule="atLeast"/>
        <w:rPr>
          <w:rFonts w:eastAsia="Calibri"/>
          <w:lang w:eastAsia="en-US"/>
        </w:rPr>
      </w:pPr>
      <w:r w:rsidRPr="00064185">
        <w:rPr>
          <w:rFonts w:eastAsia="Calibri"/>
          <w:lang w:eastAsia="en-US"/>
        </w:rPr>
        <w:t>Air:</w:t>
      </w:r>
    </w:p>
    <w:p w14:paraId="653FD2E7" w14:textId="2BD401CD" w:rsidR="002C2A64" w:rsidRPr="00064185" w:rsidRDefault="00382C8B" w:rsidP="00EA61D8">
      <w:pPr>
        <w:spacing w:line="260" w:lineRule="atLeast"/>
        <w:rPr>
          <w:rFonts w:eastAsia="Calibri"/>
          <w:lang w:eastAsia="en-US"/>
        </w:rPr>
      </w:pPr>
      <w:r w:rsidRPr="00064185">
        <w:rPr>
          <w:rFonts w:eastAsia="Calibri"/>
          <w:lang w:eastAsia="en-US"/>
        </w:rPr>
        <w:t xml:space="preserve">The biocidal product contains 0.05% w/w </w:t>
      </w:r>
      <w:r w:rsidRPr="00064185">
        <w:rPr>
          <w:rFonts w:eastAsia="Calibri"/>
          <w:i/>
          <w:lang w:eastAsia="en-US"/>
        </w:rPr>
        <w:t>lambda</w:t>
      </w:r>
      <w:r w:rsidRPr="00064185">
        <w:rPr>
          <w:rFonts w:eastAsia="Calibri"/>
          <w:lang w:eastAsia="en-US"/>
        </w:rPr>
        <w:t>-cyhalothrin which</w:t>
      </w:r>
      <w:r w:rsidR="000336D4" w:rsidRPr="00064185">
        <w:rPr>
          <w:rFonts w:eastAsia="Calibri"/>
          <w:lang w:eastAsia="en-US"/>
        </w:rPr>
        <w:t xml:space="preserve"> has a low vapour pressure (2x</w:t>
      </w:r>
      <w:r w:rsidRPr="00064185">
        <w:rPr>
          <w:rFonts w:eastAsia="Calibri"/>
          <w:lang w:eastAsia="en-US"/>
        </w:rPr>
        <w:t>10</w:t>
      </w:r>
      <w:r w:rsidRPr="00064185">
        <w:rPr>
          <w:rFonts w:eastAsia="Calibri"/>
          <w:vertAlign w:val="superscript"/>
          <w:lang w:eastAsia="en-US"/>
        </w:rPr>
        <w:t>-7</w:t>
      </w:r>
      <w:r w:rsidR="000336D4" w:rsidRPr="00064185">
        <w:rPr>
          <w:rFonts w:eastAsia="Calibri"/>
          <w:lang w:eastAsia="en-US"/>
        </w:rPr>
        <w:t xml:space="preserve"> Pa at 20</w:t>
      </w:r>
      <w:r w:rsidRPr="00064185">
        <w:rPr>
          <w:rFonts w:eastAsia="Calibri"/>
          <w:lang w:eastAsia="en-US"/>
        </w:rPr>
        <w:t>°C). It is therefore very unlikely that it volatilise</w:t>
      </w:r>
      <w:r w:rsidR="006E7D1C" w:rsidRPr="00064185">
        <w:rPr>
          <w:rFonts w:eastAsia="Calibri"/>
          <w:lang w:eastAsia="en-US"/>
        </w:rPr>
        <w:t>s</w:t>
      </w:r>
      <w:r w:rsidRPr="00064185">
        <w:rPr>
          <w:rFonts w:eastAsia="Calibri"/>
          <w:lang w:eastAsia="en-US"/>
        </w:rPr>
        <w:t xml:space="preserve"> and the potential for exposure to the air compartment would be limited.</w:t>
      </w:r>
    </w:p>
    <w:p w14:paraId="2979CF8A" w14:textId="6414EAFA" w:rsidR="00B32714" w:rsidRPr="00064185" w:rsidRDefault="00B32714" w:rsidP="00EA61D8">
      <w:pPr>
        <w:spacing w:line="260" w:lineRule="atLeast"/>
        <w:rPr>
          <w:rFonts w:eastAsia="Calibri"/>
          <w:lang w:eastAsia="en-US"/>
        </w:rPr>
      </w:pPr>
      <w:r w:rsidRPr="00064185">
        <w:rPr>
          <w:rFonts w:eastAsia="Calibri"/>
          <w:lang w:eastAsia="en-US"/>
        </w:rPr>
        <w:t>There are no specific procedures available for destruction or decontamination of the biocidal product following its release to air.</w:t>
      </w:r>
    </w:p>
    <w:p w14:paraId="5C8AE306" w14:textId="77777777" w:rsidR="002C2A64" w:rsidRPr="00064185" w:rsidRDefault="002C2A64" w:rsidP="00EA61D8">
      <w:pPr>
        <w:spacing w:line="260" w:lineRule="atLeast"/>
        <w:rPr>
          <w:rFonts w:eastAsia="Calibri"/>
          <w:lang w:eastAsia="en-US"/>
        </w:rPr>
      </w:pPr>
    </w:p>
    <w:p w14:paraId="573447BA" w14:textId="77777777" w:rsidR="00382C8B" w:rsidRPr="00064185" w:rsidRDefault="00382C8B" w:rsidP="00EA61D8">
      <w:pPr>
        <w:spacing w:line="260" w:lineRule="atLeast"/>
        <w:rPr>
          <w:rFonts w:eastAsia="Calibri"/>
          <w:lang w:eastAsia="en-US"/>
        </w:rPr>
      </w:pPr>
      <w:r w:rsidRPr="00064185">
        <w:rPr>
          <w:rFonts w:eastAsia="Calibri"/>
          <w:lang w:eastAsia="en-US"/>
        </w:rPr>
        <w:t>Water:</w:t>
      </w:r>
    </w:p>
    <w:p w14:paraId="0BB08FA7" w14:textId="77777777" w:rsidR="00382C8B" w:rsidRPr="00064185" w:rsidRDefault="00382C8B" w:rsidP="00EA61D8">
      <w:pPr>
        <w:spacing w:line="260" w:lineRule="atLeast"/>
        <w:rPr>
          <w:rFonts w:eastAsia="Calibri"/>
          <w:lang w:eastAsia="en-US"/>
        </w:rPr>
      </w:pPr>
      <w:r w:rsidRPr="00064185">
        <w:rPr>
          <w:rFonts w:eastAsia="Calibri"/>
          <w:lang w:eastAsia="en-US"/>
        </w:rPr>
        <w:t>There are no specific procedures available for destruction or decontamination of the biocidal product following its release in water due to accidental misuse; focus should be on prevention of contamination.</w:t>
      </w:r>
    </w:p>
    <w:p w14:paraId="0F83AE6C" w14:textId="77777777" w:rsidR="00382C8B" w:rsidRPr="00064185" w:rsidRDefault="00382C8B" w:rsidP="00EA61D8">
      <w:pPr>
        <w:spacing w:line="260" w:lineRule="atLeast"/>
        <w:rPr>
          <w:rFonts w:eastAsia="Calibri"/>
          <w:lang w:eastAsia="en-US"/>
        </w:rPr>
      </w:pPr>
    </w:p>
    <w:p w14:paraId="49C713EA" w14:textId="77777777" w:rsidR="00382C8B" w:rsidRPr="00064185" w:rsidRDefault="00382C8B" w:rsidP="00EA61D8">
      <w:pPr>
        <w:spacing w:line="260" w:lineRule="atLeast"/>
        <w:rPr>
          <w:rFonts w:eastAsia="Calibri"/>
          <w:lang w:eastAsia="en-US"/>
        </w:rPr>
      </w:pPr>
      <w:r w:rsidRPr="00064185">
        <w:rPr>
          <w:rFonts w:eastAsia="Calibri"/>
          <w:lang w:eastAsia="en-US"/>
        </w:rPr>
        <w:t>Soil:</w:t>
      </w:r>
    </w:p>
    <w:p w14:paraId="7553D810" w14:textId="77777777" w:rsidR="00382C8B" w:rsidRPr="00064185" w:rsidRDefault="00382C8B" w:rsidP="00EA61D8">
      <w:pPr>
        <w:spacing w:line="260" w:lineRule="atLeast"/>
        <w:rPr>
          <w:rFonts w:eastAsia="Calibri"/>
          <w:lang w:eastAsia="en-US"/>
        </w:rPr>
      </w:pPr>
      <w:r w:rsidRPr="00064185">
        <w:rPr>
          <w:rFonts w:eastAsia="Calibri"/>
          <w:lang w:eastAsia="en-US"/>
        </w:rPr>
        <w:t>Methods for cleaning up: Soak up with inert absorbent material (e.g. sand, silica gel, acid binder, universal binder, sawdust). Dispose of promptly.</w:t>
      </w:r>
    </w:p>
    <w:p w14:paraId="654CDA40" w14:textId="77777777" w:rsidR="00354C1C" w:rsidRPr="00064185" w:rsidRDefault="00354C1C" w:rsidP="00EA61D8">
      <w:pPr>
        <w:spacing w:line="260" w:lineRule="atLeast"/>
        <w:rPr>
          <w:rFonts w:eastAsia="Calibri"/>
          <w:lang w:eastAsia="en-US"/>
        </w:rPr>
      </w:pPr>
    </w:p>
    <w:p w14:paraId="505DBD8A" w14:textId="77777777" w:rsidR="00A53EE0" w:rsidRPr="00064185" w:rsidRDefault="00A53EE0" w:rsidP="00EA61D8">
      <w:pPr>
        <w:pStyle w:val="berschrift4"/>
        <w:jc w:val="left"/>
        <w:rPr>
          <w:lang w:val="en-GB"/>
        </w:rPr>
      </w:pPr>
      <w:bookmarkStart w:id="2106" w:name="_Toc389729178"/>
      <w:bookmarkStart w:id="2107" w:name="_Toc403472816"/>
      <w:bookmarkStart w:id="2108" w:name="_Toc440879675"/>
      <w:bookmarkStart w:id="2109" w:name="_Toc440889988"/>
      <w:bookmarkStart w:id="2110" w:name="_Toc530563693"/>
      <w:r w:rsidRPr="00064185">
        <w:rPr>
          <w:lang w:val="en-GB"/>
        </w:rPr>
        <w:lastRenderedPageBreak/>
        <w:t>Procedures for waste management of the biocidal product and its packaging</w:t>
      </w:r>
      <w:bookmarkEnd w:id="2106"/>
      <w:bookmarkEnd w:id="2107"/>
      <w:bookmarkEnd w:id="2108"/>
      <w:bookmarkEnd w:id="2109"/>
      <w:bookmarkEnd w:id="2110"/>
    </w:p>
    <w:p w14:paraId="27F2C10E" w14:textId="57451C9F" w:rsidR="00FA04DF" w:rsidRPr="00064185" w:rsidRDefault="00820B4C" w:rsidP="00EA61D8">
      <w:pPr>
        <w:spacing w:line="260" w:lineRule="atLeast"/>
      </w:pPr>
      <w:r w:rsidRPr="00064185">
        <w:rPr>
          <w:rFonts w:eastAsia="Calibri"/>
        </w:rPr>
        <w:t xml:space="preserve">Dispose unused product </w:t>
      </w:r>
      <w:r w:rsidRPr="00064185">
        <w:t>in its container according to national and local requirements</w:t>
      </w:r>
    </w:p>
    <w:p w14:paraId="3F874FBA" w14:textId="77777777" w:rsidR="008D7D45" w:rsidRPr="00064185" w:rsidRDefault="008D7D45" w:rsidP="00EA61D8">
      <w:pPr>
        <w:spacing w:line="260" w:lineRule="atLeast"/>
      </w:pPr>
    </w:p>
    <w:p w14:paraId="3E5B7FDD" w14:textId="77777777" w:rsidR="00820B4C" w:rsidRPr="00064185" w:rsidRDefault="00820B4C" w:rsidP="00EA61D8">
      <w:pPr>
        <w:spacing w:line="260" w:lineRule="atLeast"/>
        <w:rPr>
          <w:rFonts w:eastAsia="Calibri"/>
          <w:lang w:eastAsia="en-US"/>
        </w:rPr>
      </w:pPr>
    </w:p>
    <w:p w14:paraId="1B9AFAA1" w14:textId="77777777" w:rsidR="00A53EE0" w:rsidRPr="00064185" w:rsidRDefault="00A53EE0" w:rsidP="00EA61D8">
      <w:pPr>
        <w:pStyle w:val="berschrift4"/>
        <w:jc w:val="left"/>
        <w:rPr>
          <w:lang w:val="en-GB"/>
        </w:rPr>
      </w:pPr>
      <w:bookmarkStart w:id="2111" w:name="_Toc389729179"/>
      <w:bookmarkStart w:id="2112" w:name="_Toc403472817"/>
      <w:bookmarkStart w:id="2113" w:name="_Toc440879676"/>
      <w:bookmarkStart w:id="2114" w:name="_Toc440889989"/>
      <w:bookmarkStart w:id="2115" w:name="_Toc530563694"/>
      <w:r w:rsidRPr="00064185">
        <w:rPr>
          <w:lang w:val="en-GB"/>
        </w:rPr>
        <w:t>Procedures for cleaning application equipment where relevant</w:t>
      </w:r>
      <w:bookmarkEnd w:id="2111"/>
      <w:bookmarkEnd w:id="2112"/>
      <w:bookmarkEnd w:id="2113"/>
      <w:bookmarkEnd w:id="2114"/>
      <w:bookmarkEnd w:id="2115"/>
      <w:r w:rsidRPr="00064185">
        <w:rPr>
          <w:lang w:val="en-GB"/>
        </w:rPr>
        <w:t xml:space="preserve"> </w:t>
      </w:r>
    </w:p>
    <w:p w14:paraId="0D751746" w14:textId="78134548" w:rsidR="00382C8B" w:rsidRPr="00064185" w:rsidRDefault="005333AF" w:rsidP="00EA61D8">
      <w:pPr>
        <w:pStyle w:val="Absatz"/>
        <w:ind w:left="0"/>
        <w:rPr>
          <w:rFonts w:ascii="Verdana" w:eastAsia="Calibri" w:hAnsi="Verdana"/>
          <w:lang w:eastAsia="en-US"/>
        </w:rPr>
      </w:pPr>
      <w:r w:rsidRPr="00064185">
        <w:rPr>
          <w:rFonts w:ascii="Verdana" w:eastAsia="Calibri" w:hAnsi="Verdana"/>
          <w:lang w:eastAsia="en-US"/>
        </w:rPr>
        <w:t>Not applicable.</w:t>
      </w:r>
    </w:p>
    <w:p w14:paraId="2B8380AE" w14:textId="77777777" w:rsidR="008D7D45" w:rsidRPr="00064185" w:rsidRDefault="008D7D45" w:rsidP="00EA61D8">
      <w:pPr>
        <w:pStyle w:val="Absatz"/>
        <w:ind w:left="0"/>
        <w:rPr>
          <w:rFonts w:ascii="Verdana" w:hAnsi="Verdana"/>
          <w:lang w:val="en-US" w:eastAsia="en-US"/>
        </w:rPr>
      </w:pPr>
    </w:p>
    <w:p w14:paraId="600A9C03" w14:textId="77777777" w:rsidR="002C2A64" w:rsidRPr="00064185" w:rsidRDefault="002C2A64" w:rsidP="00EA61D8">
      <w:pPr>
        <w:pStyle w:val="Absatz"/>
        <w:ind w:left="0"/>
        <w:rPr>
          <w:rFonts w:ascii="Verdana" w:hAnsi="Verdana"/>
          <w:lang w:val="en-US" w:eastAsia="en-US"/>
        </w:rPr>
      </w:pPr>
    </w:p>
    <w:p w14:paraId="12101927" w14:textId="77777777" w:rsidR="00A53EE0" w:rsidRPr="00064185" w:rsidRDefault="00A53EE0" w:rsidP="00EA61D8">
      <w:pPr>
        <w:pStyle w:val="berschrift4"/>
        <w:jc w:val="left"/>
        <w:rPr>
          <w:lang w:val="en-GB"/>
        </w:rPr>
      </w:pPr>
      <w:bookmarkStart w:id="2116" w:name="_Toc389729180"/>
      <w:bookmarkStart w:id="2117" w:name="_Toc403472818"/>
      <w:bookmarkStart w:id="2118" w:name="_Toc440879677"/>
      <w:bookmarkStart w:id="2119" w:name="_Toc440889990"/>
      <w:bookmarkStart w:id="2120" w:name="_Toc530563695"/>
      <w:r w:rsidRPr="00064185">
        <w:rPr>
          <w:lang w:val="en-GB"/>
        </w:rPr>
        <w:t>Specify any repellents or poison control measures included in the product</w:t>
      </w:r>
      <w:bookmarkEnd w:id="2116"/>
      <w:bookmarkEnd w:id="2117"/>
      <w:bookmarkEnd w:id="2118"/>
      <w:bookmarkEnd w:id="2119"/>
      <w:bookmarkEnd w:id="2120"/>
      <w:r w:rsidRPr="00064185">
        <w:rPr>
          <w:lang w:val="en-GB"/>
        </w:rPr>
        <w:t xml:space="preserve"> </w:t>
      </w:r>
    </w:p>
    <w:p w14:paraId="70647F3B" w14:textId="20CC4E62" w:rsidR="008B311C" w:rsidRPr="00064185" w:rsidRDefault="00F2224E" w:rsidP="00EA61D8">
      <w:pPr>
        <w:spacing w:line="260" w:lineRule="atLeast"/>
        <w:rPr>
          <w:rFonts w:eastAsia="Calibri"/>
          <w:lang w:eastAsia="en-US"/>
        </w:rPr>
      </w:pPr>
      <w:r w:rsidRPr="00064185">
        <w:rPr>
          <w:rFonts w:eastAsia="Calibri"/>
          <w:lang w:eastAsia="en-US"/>
        </w:rPr>
        <w:t>The biocidal product does not include any repellents or poison control measures that are present to prevent action against non-target organisms.</w:t>
      </w:r>
    </w:p>
    <w:p w14:paraId="68FE92B9" w14:textId="77777777" w:rsidR="001770CA" w:rsidRPr="00064185" w:rsidRDefault="001770CA" w:rsidP="00EA61D8">
      <w:pPr>
        <w:spacing w:line="260" w:lineRule="atLeast"/>
        <w:rPr>
          <w:rFonts w:eastAsia="Calibri"/>
          <w:iCs/>
          <w:lang w:eastAsia="en-US"/>
        </w:rPr>
      </w:pPr>
    </w:p>
    <w:p w14:paraId="094FBF71" w14:textId="77777777" w:rsidR="00FA2DD8" w:rsidRPr="00064185" w:rsidRDefault="00FA2DD8" w:rsidP="00EA61D8">
      <w:pPr>
        <w:spacing w:line="260" w:lineRule="atLeast"/>
        <w:rPr>
          <w:rFonts w:eastAsia="Calibri"/>
          <w:iCs/>
          <w:lang w:eastAsia="en-US"/>
        </w:rPr>
      </w:pPr>
    </w:p>
    <w:p w14:paraId="53700BAB" w14:textId="77777777" w:rsidR="00A53EE0" w:rsidRPr="00064185" w:rsidRDefault="00A53EE0" w:rsidP="00EA61D8">
      <w:pPr>
        <w:pStyle w:val="berschrift3"/>
        <w:rPr>
          <w:rFonts w:eastAsia="Calibri"/>
          <w:lang w:val="en-US" w:eastAsia="en-US"/>
        </w:rPr>
      </w:pPr>
      <w:bookmarkStart w:id="2121" w:name="_Toc378682321"/>
      <w:bookmarkStart w:id="2122" w:name="_Toc389729181"/>
      <w:bookmarkStart w:id="2123" w:name="_Toc403472819"/>
      <w:bookmarkStart w:id="2124" w:name="_Toc440879678"/>
      <w:bookmarkStart w:id="2125" w:name="_Toc440889991"/>
      <w:bookmarkStart w:id="2126" w:name="_Toc530563696"/>
      <w:bookmarkEnd w:id="2121"/>
      <w:r w:rsidRPr="00064185">
        <w:rPr>
          <w:rFonts w:eastAsia="Calibri"/>
          <w:lang w:val="en-US" w:eastAsia="en-US"/>
        </w:rPr>
        <w:t>Assessment of a combination of biocidal products</w:t>
      </w:r>
      <w:bookmarkEnd w:id="2122"/>
      <w:bookmarkEnd w:id="2123"/>
      <w:bookmarkEnd w:id="2124"/>
      <w:bookmarkEnd w:id="2125"/>
      <w:bookmarkEnd w:id="2126"/>
    </w:p>
    <w:p w14:paraId="49F1BF0B" w14:textId="5EFADE9C" w:rsidR="005C637F" w:rsidRPr="00064185" w:rsidRDefault="005C637F" w:rsidP="00EA61D8">
      <w:pPr>
        <w:spacing w:line="260" w:lineRule="atLeast"/>
        <w:rPr>
          <w:rFonts w:eastAsia="Calibri"/>
          <w:lang w:eastAsia="en-US"/>
        </w:rPr>
      </w:pPr>
      <w:r w:rsidRPr="00064185">
        <w:rPr>
          <w:rFonts w:eastAsia="Calibri"/>
          <w:lang w:eastAsia="en-US"/>
        </w:rPr>
        <w:t>Not applicable.</w:t>
      </w:r>
    </w:p>
    <w:p w14:paraId="5A57378C" w14:textId="77777777" w:rsidR="005C637F" w:rsidRPr="00064185" w:rsidRDefault="005C637F" w:rsidP="00EA61D8">
      <w:pPr>
        <w:spacing w:line="260" w:lineRule="atLeast"/>
        <w:rPr>
          <w:rFonts w:eastAsia="Calibri"/>
          <w:lang w:eastAsia="en-US"/>
        </w:rPr>
      </w:pPr>
    </w:p>
    <w:p w14:paraId="0CE71F2C" w14:textId="77777777" w:rsidR="00A53EE0" w:rsidRPr="00064185" w:rsidRDefault="00A53EE0" w:rsidP="00EA61D8">
      <w:pPr>
        <w:spacing w:line="260" w:lineRule="atLeast"/>
        <w:rPr>
          <w:rFonts w:eastAsia="Calibri"/>
          <w:lang w:eastAsia="en-US"/>
        </w:rPr>
      </w:pPr>
    </w:p>
    <w:p w14:paraId="0C58C0F2" w14:textId="0C58C0F2" w:rsidR="00865CC8" w:rsidRPr="00064185" w:rsidRDefault="0C58C0F2" w:rsidP="00EA61D8">
      <w:pPr>
        <w:pStyle w:val="berschrift3"/>
      </w:pPr>
      <w:bookmarkStart w:id="2127" w:name="_Toc530563697"/>
      <w:r w:rsidRPr="00064185">
        <w:rPr>
          <w:rFonts w:eastAsia="Calibri"/>
        </w:rPr>
        <w:t>Comparative assessment</w:t>
      </w:r>
      <w:bookmarkEnd w:id="2127"/>
      <w:r w:rsidRPr="00064185">
        <w:rPr>
          <w:rFonts w:eastAsia="Calibri"/>
        </w:rPr>
        <w:t xml:space="preserve"> </w:t>
      </w:r>
    </w:p>
    <w:p w14:paraId="6EC11621" w14:textId="6EC11621" w:rsidR="00865CC8" w:rsidRPr="00064185" w:rsidRDefault="6EC11621" w:rsidP="00403806">
      <w:pPr>
        <w:jc w:val="both"/>
        <w:rPr>
          <w:b/>
        </w:rPr>
      </w:pPr>
      <w:r w:rsidRPr="00064185">
        <w:rPr>
          <w:rFonts w:eastAsiaTheme="minorEastAsia"/>
          <w:b/>
        </w:rPr>
        <w:t>Background:</w:t>
      </w:r>
    </w:p>
    <w:p w14:paraId="554E4CB0" w14:textId="6FD41361" w:rsidR="00865CC8" w:rsidRPr="00064185" w:rsidRDefault="6EC11621" w:rsidP="00403806">
      <w:pPr>
        <w:jc w:val="both"/>
      </w:pPr>
      <w:r w:rsidRPr="00064185">
        <w:rPr>
          <w:rFonts w:eastAsiaTheme="minorEastAsia"/>
        </w:rPr>
        <w:t xml:space="preserve">The biocidal product COM 116 02 I AL contains the active substance </w:t>
      </w:r>
      <w:r w:rsidR="007669B0" w:rsidRPr="00064185">
        <w:rPr>
          <w:rFonts w:eastAsiaTheme="minorEastAsia"/>
          <w:i/>
        </w:rPr>
        <w:t>lambda</w:t>
      </w:r>
      <w:r w:rsidRPr="00064185">
        <w:rPr>
          <w:rFonts w:eastAsiaTheme="minorEastAsia"/>
        </w:rPr>
        <w:t>-</w:t>
      </w:r>
      <w:r w:rsidR="007669B0" w:rsidRPr="00064185">
        <w:rPr>
          <w:rFonts w:eastAsiaTheme="minorEastAsia"/>
        </w:rPr>
        <w:t>c</w:t>
      </w:r>
      <w:r w:rsidRPr="00064185">
        <w:rPr>
          <w:rFonts w:eastAsiaTheme="minorEastAsia"/>
        </w:rPr>
        <w:t xml:space="preserve">yhalothrin, which meets the criteria for substitution pursuant to Article 10(1) of the Biocides Regulation (EU) No 528/2012 (BPR). </w:t>
      </w:r>
      <w:r w:rsidR="00766B2E" w:rsidRPr="00064185">
        <w:rPr>
          <w:rFonts w:eastAsiaTheme="minorEastAsia"/>
          <w:i/>
        </w:rPr>
        <w:t>L</w:t>
      </w:r>
      <w:r w:rsidR="007669B0" w:rsidRPr="00064185">
        <w:rPr>
          <w:rFonts w:eastAsiaTheme="minorEastAsia"/>
          <w:i/>
        </w:rPr>
        <w:t>ambda</w:t>
      </w:r>
      <w:r w:rsidR="007669B0" w:rsidRPr="00064185">
        <w:rPr>
          <w:rFonts w:eastAsiaTheme="minorEastAsia"/>
        </w:rPr>
        <w:t>-c</w:t>
      </w:r>
      <w:r w:rsidRPr="00064185">
        <w:rPr>
          <w:rFonts w:eastAsiaTheme="minorEastAsia"/>
        </w:rPr>
        <w:t>yhalothrin is considered to be bioaccumulative (B) and toxic (T), but not persistent (P). Therefore it meets two of the three criteria for being PBT in accordance with Annex XIII to Regulation (EC) No 1907/2006. Consequently, in line with Article 23(1) of the Biocides Regulation the Austrian Competent Authority has performed a comparative assessment for the biocidal product COM 116 02 I AL</w:t>
      </w:r>
      <w:r w:rsidR="0089661B" w:rsidRPr="00064185">
        <w:rPr>
          <w:rFonts w:eastAsiaTheme="minorEastAsia"/>
        </w:rPr>
        <w:t>,</w:t>
      </w:r>
      <w:r w:rsidRPr="00064185">
        <w:rPr>
          <w:rFonts w:eastAsiaTheme="minorEastAsia"/>
        </w:rPr>
        <w:t xml:space="preserve"> based on the Technical Guidance Note on comparative assessment of biocidal products (CA-May15-Doc.4.3.a). </w:t>
      </w:r>
    </w:p>
    <w:p w14:paraId="0314BE53" w14:textId="3A341384" w:rsidR="00865CC8" w:rsidRPr="00064185" w:rsidRDefault="6EC11621" w:rsidP="00403806">
      <w:pPr>
        <w:jc w:val="both"/>
      </w:pPr>
      <w:r w:rsidRPr="00064185">
        <w:rPr>
          <w:rFonts w:eastAsiaTheme="minorEastAsia"/>
        </w:rPr>
        <w:t xml:space="preserve">For this comparative assessment the Austrian Competent Authority used the list of biocidal products authorised in Austria for PT 18 (in the version of 10.02.2016), accessible on </w:t>
      </w:r>
      <w:hyperlink r:id="rId39">
        <w:r w:rsidRPr="00064185">
          <w:rPr>
            <w:rStyle w:val="Hyperlink"/>
            <w:rFonts w:asciiTheme="minorHAnsi" w:eastAsiaTheme="minorEastAsia" w:hAnsiTheme="minorHAnsi" w:cstheme="minorBidi"/>
            <w:color w:val="auto"/>
            <w:sz w:val="22"/>
            <w:szCs w:val="22"/>
          </w:rPr>
          <w:t>http://www.biozide.at/</w:t>
        </w:r>
      </w:hyperlink>
      <w:r w:rsidRPr="00064185">
        <w:rPr>
          <w:rFonts w:eastAsiaTheme="minorEastAsia"/>
        </w:rPr>
        <w:t xml:space="preserve">, which is maintained by the Environment Agency Austria </w:t>
      </w:r>
      <w:r w:rsidR="0089661B" w:rsidRPr="00064185">
        <w:rPr>
          <w:rFonts w:eastAsiaTheme="minorEastAsia"/>
        </w:rPr>
        <w:t>(</w:t>
      </w:r>
      <w:r w:rsidRPr="00064185">
        <w:rPr>
          <w:rFonts w:eastAsiaTheme="minorEastAsia"/>
        </w:rPr>
        <w:t xml:space="preserve">Umweltbundesamt) on behalf of the Austrian Federal Ministry of </w:t>
      </w:r>
      <w:r w:rsidR="00550FB0" w:rsidRPr="00064185">
        <w:rPr>
          <w:rFonts w:eastAsia="Calibri"/>
        </w:rPr>
        <w:t>Sustainability and Tourism (BMNT).</w:t>
      </w:r>
      <w:r w:rsidR="00550FB0" w:rsidRPr="00064185">
        <w:rPr>
          <w:rFonts w:ascii="Times New Roman" w:hAnsi="Times New Roman"/>
          <w:caps/>
          <w:sz w:val="14"/>
          <w:szCs w:val="14"/>
          <w:lang w:eastAsia="de-AT"/>
        </w:rPr>
        <w:t xml:space="preserve"> </w:t>
      </w:r>
      <w:r w:rsidRPr="00064185">
        <w:rPr>
          <w:rFonts w:eastAsiaTheme="minorEastAsia"/>
        </w:rPr>
        <w:t>This was done due to the lack of a tool in the current version of R4BP3 to search SPCs, pursuant to the Technical Guidance Note on comparative assessment of biocidal products</w:t>
      </w:r>
      <w:r w:rsidR="0089661B" w:rsidRPr="00064185">
        <w:rPr>
          <w:rFonts w:eastAsiaTheme="minorEastAsia"/>
        </w:rPr>
        <w:t xml:space="preserve"> </w:t>
      </w:r>
      <w:r w:rsidRPr="00064185">
        <w:rPr>
          <w:rFonts w:eastAsiaTheme="minorEastAsia"/>
        </w:rPr>
        <w:t>(CA-May15-Doc.4.3.a).</w:t>
      </w:r>
    </w:p>
    <w:p w14:paraId="737DBFB1" w14:textId="737DBFB1" w:rsidR="00865CC8" w:rsidRPr="00064185" w:rsidRDefault="6EC11621" w:rsidP="00403806">
      <w:pPr>
        <w:jc w:val="both"/>
      </w:pPr>
      <w:r w:rsidRPr="00064185">
        <w:rPr>
          <w:rFonts w:eastAsiaTheme="minorEastAsia"/>
        </w:rPr>
        <w:t xml:space="preserve"> </w:t>
      </w:r>
    </w:p>
    <w:p w14:paraId="5C0083B6" w14:textId="38A2857F" w:rsidR="00865CC8" w:rsidRPr="00064185" w:rsidRDefault="00C15781" w:rsidP="00403806">
      <w:pPr>
        <w:jc w:val="both"/>
        <w:rPr>
          <w:b/>
        </w:rPr>
      </w:pPr>
      <w:r w:rsidRPr="00064185">
        <w:rPr>
          <w:rFonts w:eastAsiaTheme="minorEastAsia"/>
          <w:b/>
        </w:rPr>
        <w:t xml:space="preserve">Authorised </w:t>
      </w:r>
      <w:r w:rsidR="6EC11621" w:rsidRPr="00064185">
        <w:rPr>
          <w:rFonts w:eastAsiaTheme="minorEastAsia"/>
          <w:b/>
        </w:rPr>
        <w:t>uses for the relevant biocidal product in the application</w:t>
      </w:r>
    </w:p>
    <w:p w14:paraId="499C8D18" w14:textId="60186849" w:rsidR="00865CC8" w:rsidRPr="00064185" w:rsidRDefault="6EC11621" w:rsidP="00403806">
      <w:pPr>
        <w:jc w:val="both"/>
      </w:pPr>
      <w:r w:rsidRPr="00064185">
        <w:rPr>
          <w:rFonts w:eastAsiaTheme="minorEastAsia"/>
        </w:rPr>
        <w:t>The biocidal product COM 116 02 I AL</w:t>
      </w:r>
      <w:r w:rsidR="00360FA1" w:rsidRPr="00064185">
        <w:rPr>
          <w:rFonts w:eastAsiaTheme="minorEastAsia"/>
        </w:rPr>
        <w:t xml:space="preserve"> </w:t>
      </w:r>
      <w:r w:rsidRPr="00064185">
        <w:rPr>
          <w:rFonts w:eastAsiaTheme="minorEastAsia"/>
        </w:rPr>
        <w:t xml:space="preserve">is an insecticide (PT 18) which contains the active substance </w:t>
      </w:r>
      <w:r w:rsidR="0089661B" w:rsidRPr="00064185">
        <w:rPr>
          <w:rFonts w:eastAsiaTheme="minorEastAsia"/>
          <w:i/>
        </w:rPr>
        <w:t>lambda</w:t>
      </w:r>
      <w:r w:rsidRPr="00064185">
        <w:rPr>
          <w:rFonts w:eastAsiaTheme="minorEastAsia"/>
        </w:rPr>
        <w:t>-</w:t>
      </w:r>
      <w:r w:rsidR="0089661B" w:rsidRPr="00064185">
        <w:rPr>
          <w:rFonts w:eastAsiaTheme="minorEastAsia"/>
        </w:rPr>
        <w:t>c</w:t>
      </w:r>
      <w:r w:rsidRPr="00064185">
        <w:rPr>
          <w:rFonts w:eastAsiaTheme="minorEastAsia"/>
        </w:rPr>
        <w:t xml:space="preserve">yhalothrin. The product is used by </w:t>
      </w:r>
      <w:r w:rsidR="002406E2" w:rsidRPr="00064185">
        <w:rPr>
          <w:rFonts w:eastAsiaTheme="minorEastAsia"/>
        </w:rPr>
        <w:t xml:space="preserve">the </w:t>
      </w:r>
      <w:r w:rsidRPr="00064185">
        <w:rPr>
          <w:rFonts w:eastAsiaTheme="minorEastAsia"/>
        </w:rPr>
        <w:t>general public (non-professionals) in order to control garden ants, silverfishes, woodlice and cockroaches indoors as well as garden ants outdoors</w:t>
      </w:r>
      <w:r w:rsidR="002406E2" w:rsidRPr="00064185">
        <w:rPr>
          <w:rFonts w:eastAsiaTheme="minorEastAsia"/>
        </w:rPr>
        <w:t>,</w:t>
      </w:r>
      <w:r w:rsidRPr="00064185">
        <w:rPr>
          <w:rFonts w:eastAsiaTheme="minorEastAsia"/>
        </w:rPr>
        <w:t xml:space="preserve"> respectively. It is a ready-to-use product in a PET-trigger bottle with packaging sizes from 200 up to 1000 ml. Application is conducted on the target orga</w:t>
      </w:r>
      <w:r w:rsidR="00187838" w:rsidRPr="00064185">
        <w:rPr>
          <w:rFonts w:eastAsiaTheme="minorEastAsia"/>
        </w:rPr>
        <w:t>nism or on spots of ground</w:t>
      </w:r>
      <w:r w:rsidRPr="00064185">
        <w:rPr>
          <w:rFonts w:eastAsiaTheme="minorEastAsia"/>
        </w:rPr>
        <w:t xml:space="preserve"> area where target organisms have been observed. </w:t>
      </w:r>
    </w:p>
    <w:p w14:paraId="5F558BFF" w14:textId="5F558BFF" w:rsidR="00865CC8" w:rsidRPr="00064185" w:rsidRDefault="00865CC8" w:rsidP="00EA61D8">
      <w:pPr>
        <w:spacing w:line="260" w:lineRule="atLeast"/>
      </w:pPr>
    </w:p>
    <w:tbl>
      <w:tblPr>
        <w:tblStyle w:val="Tabellenraster"/>
        <w:tblW w:w="0" w:type="auto"/>
        <w:tblLook w:val="04A0" w:firstRow="1" w:lastRow="0" w:firstColumn="1" w:lastColumn="0" w:noHBand="0" w:noVBand="1"/>
      </w:tblPr>
      <w:tblGrid>
        <w:gridCol w:w="4607"/>
        <w:gridCol w:w="4607"/>
      </w:tblGrid>
      <w:tr w:rsidR="00064185" w:rsidRPr="00064185" w14:paraId="52CB1940" w14:textId="77777777" w:rsidTr="6EC11621">
        <w:tc>
          <w:tcPr>
            <w:tcW w:w="4607" w:type="dxa"/>
          </w:tcPr>
          <w:p w14:paraId="596F7074" w14:textId="52CB1940" w:rsidR="6EC11621" w:rsidRPr="00064185" w:rsidRDefault="6EC11621" w:rsidP="00EA61D8">
            <w:r w:rsidRPr="00064185">
              <w:rPr>
                <w:rFonts w:eastAsiaTheme="minorEastAsia" w:cstheme="minorBidi"/>
              </w:rPr>
              <w:lastRenderedPageBreak/>
              <w:t>Product Type</w:t>
            </w:r>
          </w:p>
        </w:tc>
        <w:tc>
          <w:tcPr>
            <w:tcW w:w="4607" w:type="dxa"/>
          </w:tcPr>
          <w:p w14:paraId="6DBF7B1F" w14:textId="4B83359B" w:rsidR="6EC11621" w:rsidRPr="00064185" w:rsidRDefault="6EC11621" w:rsidP="00EA61D8">
            <w:r w:rsidRPr="00064185">
              <w:rPr>
                <w:rFonts w:eastAsiaTheme="minorEastAsia" w:cstheme="minorBidi"/>
              </w:rPr>
              <w:t xml:space="preserve">PT 18 Insecticides, acaricides and products to control other arthropods (Pest control) </w:t>
            </w:r>
          </w:p>
        </w:tc>
      </w:tr>
      <w:tr w:rsidR="00064185" w:rsidRPr="00064185" w14:paraId="4B83359B" w14:textId="77777777" w:rsidTr="6EC11621">
        <w:tc>
          <w:tcPr>
            <w:tcW w:w="4607" w:type="dxa"/>
          </w:tcPr>
          <w:p w14:paraId="17C88DDA" w14:textId="659AB0C2" w:rsidR="6EC11621" w:rsidRPr="00064185" w:rsidRDefault="6EC11621" w:rsidP="00EA61D8">
            <w:r w:rsidRPr="00064185">
              <w:rPr>
                <w:rFonts w:eastAsiaTheme="minorEastAsia" w:cstheme="minorBidi"/>
              </w:rPr>
              <w:t>Where relevant, an exact description of the authorised use</w:t>
            </w:r>
          </w:p>
        </w:tc>
        <w:tc>
          <w:tcPr>
            <w:tcW w:w="4607" w:type="dxa"/>
          </w:tcPr>
          <w:p w14:paraId="14D806E5" w14:textId="613E9872" w:rsidR="6EC11621" w:rsidRPr="00064185" w:rsidRDefault="6EC11621" w:rsidP="001A7973">
            <w:r w:rsidRPr="00064185">
              <w:rPr>
                <w:rFonts w:eastAsiaTheme="minorEastAsia" w:cstheme="minorBidi"/>
              </w:rPr>
              <w:t>Insecticide</w:t>
            </w:r>
            <w:r w:rsidR="002406E2" w:rsidRPr="00064185">
              <w:rPr>
                <w:rFonts w:eastAsiaTheme="minorEastAsia" w:cstheme="minorBidi"/>
              </w:rPr>
              <w:t xml:space="preserve"> </w:t>
            </w:r>
            <w:r w:rsidR="00CC7EBE" w:rsidRPr="00064185">
              <w:rPr>
                <w:rFonts w:eastAsiaTheme="minorEastAsia" w:cstheme="minorBidi"/>
              </w:rPr>
              <w:t>and products to control other arthropods</w:t>
            </w:r>
          </w:p>
        </w:tc>
      </w:tr>
      <w:tr w:rsidR="00064185" w:rsidRPr="00064185" w14:paraId="659AB0C2" w14:textId="77777777" w:rsidTr="6EC11621">
        <w:tc>
          <w:tcPr>
            <w:tcW w:w="4607" w:type="dxa"/>
          </w:tcPr>
          <w:p w14:paraId="2CB53D9C" w14:textId="0A697FD2" w:rsidR="6EC11621" w:rsidRPr="00064185" w:rsidRDefault="6EC11621" w:rsidP="00EA61D8">
            <w:r w:rsidRPr="00064185">
              <w:rPr>
                <w:rFonts w:eastAsiaTheme="minorEastAsia" w:cstheme="minorBidi"/>
              </w:rPr>
              <w:t>Target organism(s), development stage</w:t>
            </w:r>
          </w:p>
        </w:tc>
        <w:tc>
          <w:tcPr>
            <w:tcW w:w="4607" w:type="dxa"/>
          </w:tcPr>
          <w:p w14:paraId="70D8E51B" w14:textId="0277A38D" w:rsidR="6EC11621" w:rsidRPr="00064185" w:rsidRDefault="6EC11621" w:rsidP="00EA61D8">
            <w:r w:rsidRPr="00064185">
              <w:rPr>
                <w:rFonts w:eastAsiaTheme="minorEastAsia" w:cstheme="minorBidi"/>
                <w:u w:val="single"/>
              </w:rPr>
              <w:t>Indoor and outdoor use:</w:t>
            </w:r>
          </w:p>
          <w:p w14:paraId="73196A6A" w14:textId="014F9BBD" w:rsidR="6EC11621" w:rsidRPr="00064185" w:rsidRDefault="6EC11621" w:rsidP="00EA61D8">
            <w:r w:rsidRPr="00064185">
              <w:rPr>
                <w:rFonts w:eastAsiaTheme="minorEastAsia" w:cstheme="minorBidi"/>
              </w:rPr>
              <w:t xml:space="preserve">Scientific name: Formicinae: </w:t>
            </w:r>
            <w:r w:rsidRPr="00064185">
              <w:rPr>
                <w:rFonts w:eastAsiaTheme="minorEastAsia" w:cstheme="minorBidi"/>
                <w:i/>
                <w:iCs/>
              </w:rPr>
              <w:t xml:space="preserve">Lasius </w:t>
            </w:r>
            <w:r w:rsidR="008B7E8F" w:rsidRPr="00064185">
              <w:rPr>
                <w:rFonts w:eastAsiaTheme="minorEastAsia" w:cstheme="minorBidi"/>
                <w:i/>
                <w:iCs/>
              </w:rPr>
              <w:t>sp.</w:t>
            </w:r>
            <w:r w:rsidRPr="00064185">
              <w:rPr>
                <w:rFonts w:eastAsiaTheme="minorEastAsia" w:cstheme="minorBidi"/>
                <w:i/>
                <w:iCs/>
              </w:rPr>
              <w:t xml:space="preserve"> </w:t>
            </w:r>
            <w:r w:rsidRPr="00064185">
              <w:br/>
            </w:r>
            <w:r w:rsidRPr="00064185">
              <w:rPr>
                <w:rFonts w:eastAsiaTheme="minorEastAsia" w:cstheme="minorBidi"/>
              </w:rPr>
              <w:t xml:space="preserve">Common name: </w:t>
            </w:r>
            <w:r w:rsidRPr="00064185">
              <w:rPr>
                <w:rFonts w:eastAsiaTheme="minorEastAsia" w:cstheme="minorBidi"/>
                <w:b/>
                <w:bCs/>
              </w:rPr>
              <w:t>garden ant</w:t>
            </w:r>
            <w:r w:rsidR="00D20901" w:rsidRPr="00064185">
              <w:rPr>
                <w:rFonts w:eastAsiaTheme="minorEastAsia" w:cstheme="minorBidi"/>
                <w:b/>
                <w:bCs/>
              </w:rPr>
              <w:t>s</w:t>
            </w:r>
            <w:r w:rsidRPr="00064185">
              <w:rPr>
                <w:rFonts w:eastAsiaTheme="minorEastAsia" w:cstheme="minorBidi"/>
                <w:b/>
                <w:bCs/>
              </w:rPr>
              <w:t xml:space="preserve"> </w:t>
            </w:r>
            <w:r w:rsidRPr="00064185">
              <w:br/>
            </w:r>
            <w:r w:rsidRPr="00064185">
              <w:rPr>
                <w:rFonts w:eastAsiaTheme="minorEastAsia" w:cstheme="minorBidi"/>
              </w:rPr>
              <w:t xml:space="preserve">Development stage: ant colony </w:t>
            </w:r>
            <w:r w:rsidRPr="00064185">
              <w:br/>
            </w:r>
            <w:r w:rsidRPr="00064185">
              <w:br/>
            </w:r>
            <w:r w:rsidR="004A5E4F" w:rsidRPr="00064185">
              <w:rPr>
                <w:rFonts w:eastAsiaTheme="minorEastAsia" w:cstheme="minorBidi"/>
                <w:u w:val="single"/>
              </w:rPr>
              <w:t>Indoor</w:t>
            </w:r>
            <w:r w:rsidRPr="00064185">
              <w:rPr>
                <w:rFonts w:eastAsiaTheme="minorEastAsia" w:cstheme="minorBidi"/>
                <w:u w:val="single"/>
              </w:rPr>
              <w:t xml:space="preserve"> use:</w:t>
            </w:r>
          </w:p>
          <w:p w14:paraId="10FC5CA5" w14:textId="77777777" w:rsidR="00BF223B" w:rsidRDefault="6EC11621" w:rsidP="00CC7EBE">
            <w:pPr>
              <w:rPr>
                <w:rFonts w:eastAsiaTheme="minorEastAsia" w:cstheme="minorBidi"/>
              </w:rPr>
            </w:pPr>
            <w:r w:rsidRPr="00064185">
              <w:rPr>
                <w:rFonts w:eastAsiaTheme="minorEastAsia" w:cstheme="minorBidi"/>
              </w:rPr>
              <w:t xml:space="preserve">Scientific name: Lepismatidae: </w:t>
            </w:r>
            <w:r w:rsidRPr="00064185">
              <w:rPr>
                <w:rFonts w:eastAsiaTheme="minorEastAsia" w:cstheme="minorBidi"/>
                <w:i/>
                <w:iCs/>
              </w:rPr>
              <w:t xml:space="preserve">Lepisma saccharina </w:t>
            </w:r>
            <w:r w:rsidRPr="00064185">
              <w:br/>
            </w:r>
            <w:r w:rsidRPr="00064185">
              <w:rPr>
                <w:rFonts w:eastAsiaTheme="minorEastAsia" w:cstheme="minorBidi"/>
              </w:rPr>
              <w:t xml:space="preserve">Common name: Lepismatid: </w:t>
            </w:r>
            <w:r w:rsidRPr="00064185">
              <w:rPr>
                <w:rFonts w:eastAsiaTheme="minorEastAsia" w:cstheme="minorBidi"/>
                <w:b/>
                <w:bCs/>
              </w:rPr>
              <w:t xml:space="preserve">silverfishes </w:t>
            </w:r>
            <w:r w:rsidRPr="00064185">
              <w:br/>
            </w:r>
            <w:r w:rsidRPr="00064185">
              <w:rPr>
                <w:rFonts w:eastAsiaTheme="minorEastAsia" w:cstheme="minorBidi"/>
              </w:rPr>
              <w:t xml:space="preserve">Development stage: larvae and adults </w:t>
            </w:r>
            <w:r w:rsidRPr="00064185">
              <w:br/>
            </w:r>
            <w:r w:rsidRPr="00064185">
              <w:br/>
            </w:r>
            <w:r w:rsidRPr="00064185">
              <w:rPr>
                <w:rFonts w:eastAsiaTheme="minorEastAsia" w:cstheme="minorBidi"/>
              </w:rPr>
              <w:t xml:space="preserve">Scientific name: Porcellionidae: </w:t>
            </w:r>
            <w:r w:rsidRPr="00064185">
              <w:rPr>
                <w:rFonts w:eastAsiaTheme="minorEastAsia" w:cstheme="minorBidi"/>
                <w:i/>
                <w:iCs/>
              </w:rPr>
              <w:t xml:space="preserve">Porcellio scaber </w:t>
            </w:r>
            <w:r w:rsidRPr="00064185">
              <w:br/>
            </w:r>
            <w:r w:rsidRPr="00064185">
              <w:rPr>
                <w:rFonts w:eastAsiaTheme="minorEastAsia" w:cstheme="minorBidi"/>
              </w:rPr>
              <w:t xml:space="preserve">Common name: </w:t>
            </w:r>
            <w:r w:rsidRPr="00064185">
              <w:rPr>
                <w:rFonts w:eastAsiaTheme="minorEastAsia" w:cstheme="minorBidi"/>
                <w:b/>
                <w:bCs/>
              </w:rPr>
              <w:t>woodlice</w:t>
            </w:r>
            <w:r w:rsidRPr="00064185">
              <w:rPr>
                <w:rFonts w:eastAsiaTheme="minorEastAsia" w:cstheme="minorBidi"/>
              </w:rPr>
              <w:t xml:space="preserve"> </w:t>
            </w:r>
            <w:r w:rsidRPr="00064185">
              <w:br/>
            </w:r>
            <w:r w:rsidRPr="00064185">
              <w:rPr>
                <w:rFonts w:eastAsiaTheme="minorEastAsia" w:cstheme="minorBidi"/>
              </w:rPr>
              <w:t>Development stage: larvae and adults</w:t>
            </w:r>
            <w:r w:rsidRPr="00064185">
              <w:br/>
            </w:r>
          </w:p>
          <w:p w14:paraId="525279DA" w14:textId="3C7ADC0A" w:rsidR="000F635C" w:rsidRPr="00064185" w:rsidRDefault="6EC11621" w:rsidP="00CC7EBE">
            <w:pPr>
              <w:rPr>
                <w:rFonts w:eastAsiaTheme="minorEastAsia" w:cstheme="minorBidi"/>
                <w:i/>
                <w:iCs/>
              </w:rPr>
            </w:pPr>
            <w:r w:rsidRPr="00064185">
              <w:rPr>
                <w:rFonts w:eastAsiaTheme="minorEastAsia" w:cstheme="minorBidi"/>
              </w:rPr>
              <w:t xml:space="preserve">Scientific name: Blattodea: </w:t>
            </w:r>
            <w:r w:rsidRPr="00064185">
              <w:rPr>
                <w:rFonts w:eastAsiaTheme="minorEastAsia" w:cstheme="minorBidi"/>
                <w:i/>
                <w:iCs/>
              </w:rPr>
              <w:t xml:space="preserve">Blattella germanica, Blatta orientalis, Periplaneta americana </w:t>
            </w:r>
          </w:p>
          <w:p w14:paraId="5B09ACF1" w14:textId="50584B04" w:rsidR="6EC11621" w:rsidRPr="00064185" w:rsidRDefault="6EC11621" w:rsidP="00CC7EBE">
            <w:r w:rsidRPr="00064185">
              <w:rPr>
                <w:rFonts w:eastAsiaTheme="minorEastAsia" w:cstheme="minorBidi"/>
              </w:rPr>
              <w:t xml:space="preserve">Common name: </w:t>
            </w:r>
            <w:r w:rsidRPr="00064185">
              <w:rPr>
                <w:rFonts w:eastAsiaTheme="minorEastAsia" w:cstheme="minorBidi"/>
                <w:b/>
                <w:bCs/>
              </w:rPr>
              <w:t xml:space="preserve">cockroaches </w:t>
            </w:r>
            <w:r w:rsidRPr="00064185">
              <w:br/>
            </w:r>
            <w:r w:rsidR="000970EB" w:rsidRPr="00064185">
              <w:rPr>
                <w:rFonts w:eastAsiaTheme="minorEastAsia" w:cstheme="minorBidi"/>
              </w:rPr>
              <w:t xml:space="preserve">Development stage: </w:t>
            </w:r>
            <w:r w:rsidR="002406E2" w:rsidRPr="00064185">
              <w:rPr>
                <w:rFonts w:eastAsiaTheme="minorEastAsia" w:cstheme="minorBidi"/>
              </w:rPr>
              <w:t>larvae (</w:t>
            </w:r>
            <w:r w:rsidR="000970EB" w:rsidRPr="00064185">
              <w:rPr>
                <w:rFonts w:eastAsiaTheme="minorEastAsia" w:cstheme="minorBidi"/>
              </w:rPr>
              <w:t>nymphal stage</w:t>
            </w:r>
            <w:r w:rsidR="002406E2" w:rsidRPr="00064185">
              <w:rPr>
                <w:rFonts w:eastAsiaTheme="minorEastAsia" w:cstheme="minorBidi"/>
              </w:rPr>
              <w:t>)</w:t>
            </w:r>
            <w:r w:rsidRPr="00064185">
              <w:rPr>
                <w:rFonts w:eastAsiaTheme="minorEastAsia" w:cstheme="minorBidi"/>
              </w:rPr>
              <w:t xml:space="preserve"> </w:t>
            </w:r>
          </w:p>
        </w:tc>
      </w:tr>
      <w:tr w:rsidR="00064185" w:rsidRPr="00064185" w14:paraId="65135494" w14:textId="77777777" w:rsidTr="6EC11621">
        <w:tc>
          <w:tcPr>
            <w:tcW w:w="4607" w:type="dxa"/>
          </w:tcPr>
          <w:p w14:paraId="42681256" w14:textId="17C88DDA" w:rsidR="6EC11621" w:rsidRPr="00064185" w:rsidRDefault="6EC11621" w:rsidP="00EA61D8">
            <w:r w:rsidRPr="00064185">
              <w:rPr>
                <w:rFonts w:eastAsiaTheme="minorEastAsia" w:cstheme="minorBidi"/>
              </w:rPr>
              <w:t>Field(s) of use</w:t>
            </w:r>
          </w:p>
        </w:tc>
        <w:tc>
          <w:tcPr>
            <w:tcW w:w="4607" w:type="dxa"/>
          </w:tcPr>
          <w:p w14:paraId="1B8D9721" w14:textId="14D806E5" w:rsidR="6EC11621" w:rsidRPr="00064185" w:rsidRDefault="6EC11621" w:rsidP="00EA61D8">
            <w:r w:rsidRPr="00064185">
              <w:rPr>
                <w:rFonts w:eastAsiaTheme="minorEastAsia" w:cstheme="minorBidi"/>
              </w:rPr>
              <w:t>Indoor use, outdoor use</w:t>
            </w:r>
          </w:p>
        </w:tc>
      </w:tr>
      <w:tr w:rsidR="00064185" w:rsidRPr="00064185" w14:paraId="0A697FD2" w14:textId="77777777" w:rsidTr="6EC11621">
        <w:tc>
          <w:tcPr>
            <w:tcW w:w="4607" w:type="dxa"/>
          </w:tcPr>
          <w:p w14:paraId="58B1B475" w14:textId="2CB53D9C" w:rsidR="6EC11621" w:rsidRPr="00064185" w:rsidRDefault="6EC11621" w:rsidP="00EA61D8">
            <w:r w:rsidRPr="00064185">
              <w:rPr>
                <w:rFonts w:eastAsiaTheme="minorEastAsia" w:cstheme="minorBidi"/>
              </w:rPr>
              <w:t>Application method(s)</w:t>
            </w:r>
          </w:p>
        </w:tc>
        <w:tc>
          <w:tcPr>
            <w:tcW w:w="4607" w:type="dxa"/>
          </w:tcPr>
          <w:p w14:paraId="7511A475" w14:textId="1884D338" w:rsidR="6EC11621" w:rsidRPr="00064185" w:rsidRDefault="6EC11621" w:rsidP="00EA61D8">
            <w:r w:rsidRPr="00064185">
              <w:rPr>
                <w:rFonts w:eastAsiaTheme="minorEastAsia" w:cstheme="minorBidi"/>
                <w:u w:val="single"/>
              </w:rPr>
              <w:t>Method of application:</w:t>
            </w:r>
            <w:r w:rsidR="00D76460" w:rsidRPr="00064185">
              <w:rPr>
                <w:rFonts w:eastAsiaTheme="minorEastAsia" w:cstheme="minorBidi"/>
              </w:rPr>
              <w:t xml:space="preserve"> </w:t>
            </w:r>
            <w:r w:rsidRPr="00064185">
              <w:rPr>
                <w:rFonts w:eastAsiaTheme="minorEastAsia" w:cstheme="minorBidi"/>
                <w:b/>
                <w:bCs/>
              </w:rPr>
              <w:t>spraying</w:t>
            </w:r>
            <w:r w:rsidRPr="00064185">
              <w:rPr>
                <w:rFonts w:eastAsiaTheme="minorEastAsia" w:cstheme="minorBidi"/>
              </w:rPr>
              <w:t xml:space="preserve"> </w:t>
            </w:r>
          </w:p>
          <w:p w14:paraId="135D7B13" w14:textId="77777777" w:rsidR="002406E2" w:rsidRPr="00064185" w:rsidRDefault="6EC11621" w:rsidP="00EA61D8">
            <w:pPr>
              <w:rPr>
                <w:rFonts w:eastAsiaTheme="minorEastAsia" w:cstheme="minorBidi"/>
              </w:rPr>
            </w:pPr>
            <w:r w:rsidRPr="00064185">
              <w:rPr>
                <w:rFonts w:eastAsiaTheme="minorEastAsia" w:cstheme="minorBidi"/>
                <w:u w:val="single"/>
              </w:rPr>
              <w:t>Detailed description of the method:</w:t>
            </w:r>
            <w:r w:rsidRPr="00064185">
              <w:rPr>
                <w:rFonts w:eastAsiaTheme="minorEastAsia" w:cstheme="minorBidi"/>
              </w:rPr>
              <w:t xml:space="preserve"> </w:t>
            </w:r>
          </w:p>
          <w:p w14:paraId="2CEAFD8F" w14:textId="77777777" w:rsidR="002406E2" w:rsidRPr="00064185" w:rsidRDefault="002406E2" w:rsidP="00EA61D8">
            <w:pPr>
              <w:rPr>
                <w:u w:val="single"/>
              </w:rPr>
            </w:pPr>
            <w:r w:rsidRPr="00064185">
              <w:rPr>
                <w:u w:val="single"/>
              </w:rPr>
              <w:t xml:space="preserve">Ants: </w:t>
            </w:r>
          </w:p>
          <w:p w14:paraId="13D35184" w14:textId="693F704D" w:rsidR="002406E2" w:rsidRPr="00064185" w:rsidRDefault="002406E2" w:rsidP="00EA61D8">
            <w:pPr>
              <w:rPr>
                <w:lang w:val="en-US"/>
              </w:rPr>
            </w:pPr>
            <w:r w:rsidRPr="00064185">
              <w:rPr>
                <w:rFonts w:eastAsiaTheme="minorEastAsia" w:cstheme="minorBidi"/>
              </w:rPr>
              <w:t>For killing ant nests, COM 116 02 I AL is</w:t>
            </w:r>
            <w:r w:rsidR="00D20901" w:rsidRPr="00064185">
              <w:rPr>
                <w:rFonts w:eastAsiaTheme="minorEastAsia" w:cstheme="minorBidi"/>
              </w:rPr>
              <w:t xml:space="preserve"> </w:t>
            </w:r>
            <w:r w:rsidRPr="00064185">
              <w:rPr>
                <w:rFonts w:eastAsiaTheme="minorEastAsia" w:cstheme="minorBidi"/>
              </w:rPr>
              <w:t>sprayed</w:t>
            </w:r>
            <w:r w:rsidR="00CC7EBE" w:rsidRPr="00064185">
              <w:rPr>
                <w:rFonts w:eastAsiaTheme="minorEastAsia" w:cstheme="minorBidi"/>
              </w:rPr>
              <w:t xml:space="preserve"> on </w:t>
            </w:r>
            <w:r w:rsidRPr="00064185">
              <w:rPr>
                <w:rFonts w:cs="Arial"/>
                <w:bCs/>
                <w:lang w:val="en-US"/>
              </w:rPr>
              <w:t xml:space="preserve">ant </w:t>
            </w:r>
            <w:r w:rsidRPr="00064185" w:rsidDel="00340E39">
              <w:rPr>
                <w:lang w:val="en-US"/>
              </w:rPr>
              <w:t>routes</w:t>
            </w:r>
            <w:r w:rsidR="00CC7EBE" w:rsidRPr="00064185">
              <w:rPr>
                <w:lang w:val="en-US"/>
              </w:rPr>
              <w:t xml:space="preserve"> on </w:t>
            </w:r>
            <w:r w:rsidRPr="00064185" w:rsidDel="00340E39">
              <w:rPr>
                <w:lang w:val="en-US"/>
              </w:rPr>
              <w:t xml:space="preserve"> </w:t>
            </w:r>
            <w:r w:rsidR="00CC7EBE" w:rsidRPr="00064185">
              <w:rPr>
                <w:rFonts w:eastAsiaTheme="minorEastAsia" w:cstheme="minorBidi"/>
              </w:rPr>
              <w:t xml:space="preserve">indoor hard surfaces or on outdoor ant routs </w:t>
            </w:r>
            <w:r w:rsidRPr="00064185" w:rsidDel="00340E39">
              <w:rPr>
                <w:lang w:val="en-US"/>
              </w:rPr>
              <w:t xml:space="preserve">and </w:t>
            </w:r>
            <w:r w:rsidRPr="00064185">
              <w:rPr>
                <w:lang w:val="en-US"/>
              </w:rPr>
              <w:t xml:space="preserve">nest entries on paved surfaces like terraces. </w:t>
            </w:r>
          </w:p>
          <w:p w14:paraId="3AB5DB28" w14:textId="4BC6E065" w:rsidR="002406E2" w:rsidRPr="00064185" w:rsidRDefault="002406E2" w:rsidP="00EA61D8">
            <w:pPr>
              <w:rPr>
                <w:rFonts w:eastAsiaTheme="minorEastAsia" w:cstheme="minorBidi"/>
              </w:rPr>
            </w:pPr>
          </w:p>
          <w:p w14:paraId="020CD9AD" w14:textId="0CC11B7D" w:rsidR="00393015" w:rsidRPr="00064185" w:rsidRDefault="002406E2" w:rsidP="00EA61D8">
            <w:pPr>
              <w:rPr>
                <w:rFonts w:eastAsiaTheme="minorEastAsia" w:cstheme="minorBidi"/>
              </w:rPr>
            </w:pPr>
            <w:r w:rsidRPr="00064185">
              <w:rPr>
                <w:u w:val="single"/>
              </w:rPr>
              <w:t>Silverfishes, woodlice and cockroaches</w:t>
            </w:r>
            <w:proofErr w:type="gramStart"/>
            <w:r w:rsidRPr="00064185">
              <w:rPr>
                <w:u w:val="single"/>
              </w:rPr>
              <w:t>:</w:t>
            </w:r>
            <w:proofErr w:type="gramEnd"/>
            <w:r w:rsidR="6EC11621" w:rsidRPr="00064185">
              <w:br/>
            </w:r>
            <w:r w:rsidR="6EC11621" w:rsidRPr="00064185">
              <w:rPr>
                <w:rFonts w:eastAsiaTheme="minorEastAsia" w:cstheme="minorBidi"/>
              </w:rPr>
              <w:t xml:space="preserve">Application is conducted </w:t>
            </w:r>
            <w:r w:rsidR="000970EB" w:rsidRPr="00064185">
              <w:rPr>
                <w:rFonts w:eastAsiaTheme="minorEastAsia" w:cstheme="minorBidi"/>
              </w:rPr>
              <w:t>on spots of ground</w:t>
            </w:r>
            <w:r w:rsidR="6EC11621" w:rsidRPr="00064185">
              <w:rPr>
                <w:rFonts w:eastAsiaTheme="minorEastAsia" w:cstheme="minorBidi"/>
              </w:rPr>
              <w:t xml:space="preserve"> area</w:t>
            </w:r>
            <w:r w:rsidR="000970EB" w:rsidRPr="00064185">
              <w:rPr>
                <w:rFonts w:eastAsiaTheme="minorEastAsia" w:cstheme="minorBidi"/>
              </w:rPr>
              <w:t>s (residual treatment)</w:t>
            </w:r>
            <w:r w:rsidR="6EC11621" w:rsidRPr="00064185">
              <w:rPr>
                <w:rFonts w:eastAsiaTheme="minorEastAsia" w:cstheme="minorBidi"/>
              </w:rPr>
              <w:t xml:space="preserve"> where target organisms have been observed. </w:t>
            </w:r>
          </w:p>
          <w:p w14:paraId="7EFCFD80" w14:textId="5C3B317C" w:rsidR="000970EB" w:rsidRPr="00064185" w:rsidRDefault="000970EB" w:rsidP="00EA61D8">
            <w:r w:rsidRPr="00064185">
              <w:rPr>
                <w:lang w:val="en-US"/>
              </w:rPr>
              <w:t xml:space="preserve">The application is </w:t>
            </w:r>
            <w:r w:rsidRPr="00064185">
              <w:rPr>
                <w:rFonts w:cs="Arial"/>
                <w:lang w:val="en-US"/>
              </w:rPr>
              <w:t>restricted to areas that are not wet cleaned.</w:t>
            </w:r>
          </w:p>
        </w:tc>
      </w:tr>
      <w:tr w:rsidR="00064185" w:rsidRPr="00064185" w14:paraId="0277A38D" w14:textId="77777777" w:rsidTr="6EC11621">
        <w:tc>
          <w:tcPr>
            <w:tcW w:w="4607" w:type="dxa"/>
          </w:tcPr>
          <w:p w14:paraId="62C64877" w14:textId="5B09ACF1" w:rsidR="6EC11621" w:rsidRPr="00064185" w:rsidRDefault="6EC11621" w:rsidP="00EA61D8">
            <w:r w:rsidRPr="00064185">
              <w:rPr>
                <w:rFonts w:eastAsiaTheme="minorEastAsia" w:cstheme="minorBidi"/>
              </w:rPr>
              <w:t>Category(ies) of users</w:t>
            </w:r>
          </w:p>
        </w:tc>
        <w:tc>
          <w:tcPr>
            <w:tcW w:w="4607" w:type="dxa"/>
          </w:tcPr>
          <w:p w14:paraId="0AF6C98D" w14:textId="42681256" w:rsidR="6EC11621" w:rsidRPr="00064185" w:rsidRDefault="6EC11621" w:rsidP="00EA61D8">
            <w:r w:rsidRPr="00064185">
              <w:rPr>
                <w:rFonts w:eastAsiaTheme="minorEastAsia" w:cstheme="minorBidi"/>
              </w:rPr>
              <w:t xml:space="preserve">General public (non-professional) </w:t>
            </w:r>
          </w:p>
        </w:tc>
      </w:tr>
    </w:tbl>
    <w:p w14:paraId="6E74E979" w14:textId="3D738DC1" w:rsidR="00865CC8" w:rsidRPr="00064185" w:rsidRDefault="008F32C9" w:rsidP="00EA61D8">
      <w:pPr>
        <w:spacing w:line="260" w:lineRule="atLeast"/>
      </w:pPr>
      <w:r w:rsidRPr="00064185">
        <w:rPr>
          <w:rFonts w:eastAsiaTheme="minorEastAsia" w:cstheme="minorBidi"/>
          <w:i/>
          <w:iCs/>
        </w:rPr>
        <w:t>Table</w:t>
      </w:r>
      <w:r w:rsidR="6EC11621" w:rsidRPr="00064185">
        <w:rPr>
          <w:rFonts w:eastAsiaTheme="minorEastAsia" w:cstheme="minorBidi"/>
          <w:i/>
          <w:iCs/>
        </w:rPr>
        <w:t>: Intended uses of the biocidal products</w:t>
      </w:r>
    </w:p>
    <w:p w14:paraId="63CA9931" w14:textId="58B1B475" w:rsidR="00865CC8" w:rsidRPr="00064185" w:rsidRDefault="00865CC8" w:rsidP="00EA61D8">
      <w:pPr>
        <w:spacing w:line="260" w:lineRule="atLeast"/>
      </w:pPr>
    </w:p>
    <w:p w14:paraId="47FEB516" w14:textId="7511A475" w:rsidR="00865CC8" w:rsidRPr="00064185" w:rsidRDefault="6EC11621" w:rsidP="00403806">
      <w:pPr>
        <w:jc w:val="both"/>
        <w:rPr>
          <w:u w:val="single"/>
        </w:rPr>
      </w:pPr>
      <w:r w:rsidRPr="00064185">
        <w:rPr>
          <w:rFonts w:eastAsiaTheme="minorEastAsia"/>
          <w:u w:val="single"/>
        </w:rPr>
        <w:t>Mode of action:</w:t>
      </w:r>
    </w:p>
    <w:p w14:paraId="47AFCA16" w14:textId="63BED521" w:rsidR="00865CC8" w:rsidRPr="00064185" w:rsidRDefault="6EC11621" w:rsidP="00403806">
      <w:pPr>
        <w:jc w:val="both"/>
      </w:pPr>
      <w:r w:rsidRPr="00064185">
        <w:rPr>
          <w:rFonts w:eastAsiaTheme="minorEastAsia"/>
        </w:rPr>
        <w:t xml:space="preserve">The active substance </w:t>
      </w:r>
      <w:r w:rsidR="0089661B" w:rsidRPr="00064185">
        <w:rPr>
          <w:rFonts w:eastAsiaTheme="minorEastAsia"/>
          <w:i/>
        </w:rPr>
        <w:t>lambda</w:t>
      </w:r>
      <w:r w:rsidR="0089661B" w:rsidRPr="00064185">
        <w:rPr>
          <w:rFonts w:eastAsiaTheme="minorEastAsia"/>
        </w:rPr>
        <w:t>-c</w:t>
      </w:r>
      <w:r w:rsidRPr="00064185">
        <w:rPr>
          <w:rFonts w:eastAsiaTheme="minorEastAsia"/>
        </w:rPr>
        <w:t xml:space="preserve">yhalothrin belongs to a class of insecticides known as synthetic pyrethroids. It acts by contact and by ingestion resulting in knock-down or death of the target organism. As other pyrethroids </w:t>
      </w:r>
      <w:r w:rsidR="0089661B" w:rsidRPr="00064185">
        <w:rPr>
          <w:rFonts w:eastAsiaTheme="minorEastAsia"/>
          <w:i/>
        </w:rPr>
        <w:t>lambda</w:t>
      </w:r>
      <w:r w:rsidR="0089661B" w:rsidRPr="00064185">
        <w:rPr>
          <w:rFonts w:eastAsiaTheme="minorEastAsia"/>
        </w:rPr>
        <w:t>-c</w:t>
      </w:r>
      <w:r w:rsidRPr="00064185">
        <w:rPr>
          <w:rFonts w:eastAsiaTheme="minorEastAsia"/>
        </w:rPr>
        <w:t xml:space="preserve">yhalothrin acts as a sodium channel modulator by disrupting the nervous system of insects. </w:t>
      </w:r>
    </w:p>
    <w:p w14:paraId="650EFF5B" w14:textId="08DEBE2A" w:rsidR="00865CC8" w:rsidRPr="00064185" w:rsidRDefault="6EC11621" w:rsidP="00403806">
      <w:pPr>
        <w:jc w:val="both"/>
      </w:pPr>
      <w:r w:rsidRPr="00064185">
        <w:rPr>
          <w:rFonts w:eastAsiaTheme="minorEastAsia"/>
        </w:rPr>
        <w:t xml:space="preserve"> </w:t>
      </w:r>
      <w:r w:rsidRPr="00064185">
        <w:rPr>
          <w:rFonts w:eastAsiaTheme="minorEastAsia"/>
          <w:b/>
          <w:bCs/>
          <w:i/>
          <w:iCs/>
        </w:rPr>
        <w:t>Mapping of existing alternatives to the relevant biocidal product in Austria:</w:t>
      </w:r>
    </w:p>
    <w:p w14:paraId="789E1907" w14:textId="6E74E979" w:rsidR="00865CC8" w:rsidRPr="00064185" w:rsidRDefault="00865CC8" w:rsidP="00403806">
      <w:pPr>
        <w:jc w:val="both"/>
      </w:pPr>
    </w:p>
    <w:p w14:paraId="4124704D" w14:textId="63CA9931" w:rsidR="00865CC8" w:rsidRPr="00064185" w:rsidRDefault="6EC11621" w:rsidP="00403806">
      <w:pPr>
        <w:jc w:val="both"/>
      </w:pPr>
      <w:r w:rsidRPr="00064185">
        <w:rPr>
          <w:rFonts w:eastAsiaTheme="minorEastAsia"/>
          <w:b/>
          <w:bCs/>
        </w:rPr>
        <w:t>Identified eligible alternative biocidal products:</w:t>
      </w:r>
    </w:p>
    <w:p w14:paraId="4B916CB3" w14:textId="57828E10" w:rsidR="00865CC8" w:rsidRPr="00064185" w:rsidRDefault="6EC11621" w:rsidP="00403806">
      <w:pPr>
        <w:jc w:val="both"/>
        <w:rPr>
          <w:rFonts w:eastAsiaTheme="minorEastAsia"/>
        </w:rPr>
      </w:pPr>
      <w:r w:rsidRPr="00064185">
        <w:rPr>
          <w:rFonts w:eastAsiaTheme="minorEastAsia"/>
        </w:rPr>
        <w:t xml:space="preserve">For this comparative assessment the Austrian Competent Authority used the list of biocidal products authorised in Austria for PT 18 (in the version of 10.02.2016), </w:t>
      </w:r>
      <w:r w:rsidR="00E02B0D" w:rsidRPr="00064185">
        <w:t xml:space="preserve">as mentioned </w:t>
      </w:r>
      <w:r w:rsidR="00E02B0D" w:rsidRPr="00064185">
        <w:lastRenderedPageBreak/>
        <w:t>above</w:t>
      </w:r>
      <w:r w:rsidRPr="00064185">
        <w:rPr>
          <w:rFonts w:eastAsiaTheme="minorEastAsia"/>
        </w:rPr>
        <w:t>. Active substances presently autho</w:t>
      </w:r>
      <w:r w:rsidR="00766B2E" w:rsidRPr="00064185">
        <w:rPr>
          <w:rFonts w:eastAsiaTheme="minorEastAsia"/>
        </w:rPr>
        <w:t>rised in Austria for PT 18 are i</w:t>
      </w:r>
      <w:r w:rsidRPr="00064185">
        <w:rPr>
          <w:rFonts w:eastAsiaTheme="minorEastAsia"/>
        </w:rPr>
        <w:t>ndoxacarb</w:t>
      </w:r>
      <w:r w:rsidR="00766B2E" w:rsidRPr="00064185">
        <w:rPr>
          <w:rFonts w:eastAsiaTheme="minorEastAsia"/>
        </w:rPr>
        <w:t>, spinosad and n</w:t>
      </w:r>
      <w:r w:rsidRPr="00064185">
        <w:rPr>
          <w:rFonts w:eastAsiaTheme="minorEastAsia"/>
        </w:rPr>
        <w:t xml:space="preserve">itrogen. Biocidal </w:t>
      </w:r>
      <w:r w:rsidR="00766B2E" w:rsidRPr="00064185">
        <w:rPr>
          <w:rFonts w:eastAsiaTheme="minorEastAsia"/>
        </w:rPr>
        <w:t>products based on Nitrogen and i</w:t>
      </w:r>
      <w:r w:rsidRPr="00064185">
        <w:rPr>
          <w:rFonts w:eastAsiaTheme="minorEastAsia"/>
        </w:rPr>
        <w:t xml:space="preserve">ndoxacarb are restricted to professional use only. </w:t>
      </w:r>
    </w:p>
    <w:p w14:paraId="4C852090" w14:textId="4AC0CD8A" w:rsidR="00865CC8" w:rsidRPr="00064185" w:rsidRDefault="6EC11621" w:rsidP="00403806">
      <w:pPr>
        <w:jc w:val="both"/>
      </w:pPr>
      <w:r w:rsidRPr="00064185">
        <w:rPr>
          <w:rFonts w:eastAsiaTheme="minorEastAsia"/>
        </w:rPr>
        <w:t>According to the information available, there are currently no biocidal products against silverfish and woodlice authorised in Austria, just two biocidal products again</w:t>
      </w:r>
      <w:r w:rsidR="007C2270" w:rsidRPr="00064185">
        <w:rPr>
          <w:rFonts w:eastAsiaTheme="minorEastAsia"/>
        </w:rPr>
        <w:t xml:space="preserve">st cockroaches – both based on </w:t>
      </w:r>
      <w:r w:rsidR="008B7E8F" w:rsidRPr="00064185">
        <w:rPr>
          <w:rFonts w:eastAsiaTheme="minorEastAsia"/>
        </w:rPr>
        <w:t>i</w:t>
      </w:r>
      <w:r w:rsidRPr="00064185">
        <w:rPr>
          <w:rFonts w:eastAsiaTheme="minorEastAsia"/>
        </w:rPr>
        <w:t>ndoxacarb and being restricted to professional use. 13 biocidal products to control ants are available for non-</w:t>
      </w:r>
      <w:proofErr w:type="gramStart"/>
      <w:r w:rsidRPr="00064185">
        <w:rPr>
          <w:rFonts w:eastAsiaTheme="minorEastAsia"/>
        </w:rPr>
        <w:t>professionals,</w:t>
      </w:r>
      <w:proofErr w:type="gramEnd"/>
      <w:r w:rsidRPr="00064185">
        <w:rPr>
          <w:rFonts w:eastAsiaTheme="minorEastAsia"/>
        </w:rPr>
        <w:t xml:space="preserve"> however all of these are</w:t>
      </w:r>
      <w:r w:rsidR="00766B2E" w:rsidRPr="00064185">
        <w:rPr>
          <w:rFonts w:eastAsiaTheme="minorEastAsia"/>
        </w:rPr>
        <w:t xml:space="preserve"> based on the active substance s</w:t>
      </w:r>
      <w:r w:rsidRPr="00064185">
        <w:rPr>
          <w:rFonts w:eastAsiaTheme="minorEastAsia"/>
        </w:rPr>
        <w:t xml:space="preserve">pinosad. </w:t>
      </w:r>
    </w:p>
    <w:p w14:paraId="4D4C3CFB" w14:textId="19D1E75D" w:rsidR="00865CC8" w:rsidRPr="00064185" w:rsidRDefault="6EC11621" w:rsidP="00403806">
      <w:pPr>
        <w:jc w:val="both"/>
      </w:pPr>
      <w:r w:rsidRPr="00064185">
        <w:rPr>
          <w:rFonts w:eastAsiaTheme="minorEastAsia"/>
        </w:rPr>
        <w:t xml:space="preserve"> </w:t>
      </w:r>
    </w:p>
    <w:p w14:paraId="3F1128FB" w14:textId="650EFF5B" w:rsidR="00865CC8" w:rsidRPr="00064185" w:rsidRDefault="6EC11621" w:rsidP="00403806">
      <w:pPr>
        <w:jc w:val="both"/>
        <w:rPr>
          <w:b/>
        </w:rPr>
      </w:pPr>
      <w:r w:rsidRPr="00064185">
        <w:rPr>
          <w:rFonts w:eastAsiaTheme="minorEastAsia"/>
          <w:b/>
        </w:rPr>
        <w:t>Screening phase:</w:t>
      </w:r>
    </w:p>
    <w:p w14:paraId="7367EA86" w14:textId="789E1907" w:rsidR="00865CC8" w:rsidRPr="00064185" w:rsidRDefault="6EC11621" w:rsidP="00403806">
      <w:pPr>
        <w:jc w:val="both"/>
        <w:rPr>
          <w:b/>
        </w:rPr>
      </w:pPr>
      <w:r w:rsidRPr="00064185">
        <w:rPr>
          <w:rFonts w:eastAsiaTheme="minorEastAsia"/>
          <w:b/>
        </w:rPr>
        <w:t>Description of the assessment of the adequate chemical diversity in authorised biocidal products to minimise the occurrence of resistance and conclusion.</w:t>
      </w:r>
    </w:p>
    <w:p w14:paraId="29DD8615" w14:textId="4124704D" w:rsidR="00865CC8" w:rsidRPr="00064185" w:rsidRDefault="00865CC8" w:rsidP="00403806">
      <w:pPr>
        <w:jc w:val="both"/>
      </w:pPr>
    </w:p>
    <w:p w14:paraId="40FF15CB" w14:textId="4B916CB3" w:rsidR="00865CC8" w:rsidRPr="00064185" w:rsidRDefault="6EC11621" w:rsidP="00403806">
      <w:pPr>
        <w:jc w:val="both"/>
        <w:rPr>
          <w:rFonts w:eastAsiaTheme="minorEastAsia"/>
        </w:rPr>
      </w:pPr>
      <w:r w:rsidRPr="00064185">
        <w:rPr>
          <w:rFonts w:eastAsiaTheme="minorEastAsia"/>
        </w:rPr>
        <w:t>Chemical diversity</w:t>
      </w:r>
    </w:p>
    <w:p w14:paraId="1F7B9947" w14:textId="0103CEB5" w:rsidR="00865CC8" w:rsidRPr="00064185" w:rsidRDefault="00360FA1" w:rsidP="00403806">
      <w:pPr>
        <w:jc w:val="both"/>
        <w:rPr>
          <w:rFonts w:eastAsiaTheme="minorEastAsia"/>
        </w:rPr>
      </w:pPr>
      <w:r w:rsidRPr="00064185">
        <w:rPr>
          <w:rFonts w:eastAsiaTheme="minorEastAsia"/>
        </w:rPr>
        <w:t>Article 23</w:t>
      </w:r>
      <w:r w:rsidR="6EC11621" w:rsidRPr="00064185">
        <w:rPr>
          <w:rFonts w:eastAsiaTheme="minorEastAsia"/>
        </w:rPr>
        <w:t>(3) (b) BPR refers to the adequate chemical diversity of the available active substances within a given product type/use/target organism combination as one of the two sine qua non conditions to be met in order to allow a restriction or prohibition of a biocidal product subject to comparative assessment. During the screening phase it shall be checked whether the diversity of the active substance, product type and mode of action combination in authorised biocidal products is adequate to minimise the occurrence of resistance in the target organisms. The screening phase shall allow through a simple assessment to judge whether it is required or not to perform a comprehensive comparative assessment. As a general rule, at least three different and independent active substance/mode of action - combinations should be available through authorised products.</w:t>
      </w:r>
    </w:p>
    <w:p w14:paraId="1B7F245F" w14:textId="4B56A5A6" w:rsidR="00865CC8" w:rsidRPr="00064185" w:rsidRDefault="6EC11621" w:rsidP="00403806">
      <w:pPr>
        <w:jc w:val="both"/>
        <w:rPr>
          <w:rFonts w:eastAsiaTheme="minorEastAsia"/>
        </w:rPr>
      </w:pPr>
      <w:r w:rsidRPr="00064185">
        <w:rPr>
          <w:rFonts w:eastAsiaTheme="minorEastAsia"/>
        </w:rPr>
        <w:t>As outlined above, no products have been authorised in Austria against silverfish and woodlice and just two BPs against cockroach but none of these for non-professional use. All of the 13 BPs to control ants are authorised for non-professionals, however all</w:t>
      </w:r>
      <w:r w:rsidR="00955965" w:rsidRPr="00064185">
        <w:rPr>
          <w:rFonts w:eastAsiaTheme="minorEastAsia"/>
        </w:rPr>
        <w:t xml:space="preserve"> based on the active substance s</w:t>
      </w:r>
      <w:r w:rsidRPr="00064185">
        <w:rPr>
          <w:rFonts w:eastAsiaTheme="minorEastAsia"/>
        </w:rPr>
        <w:t>pinosad. As such the chemical diversity cannot be considered to be adequate.</w:t>
      </w:r>
    </w:p>
    <w:p w14:paraId="45687ECD" w14:textId="3F1128FB" w:rsidR="00865CC8" w:rsidRPr="00064185" w:rsidRDefault="00865CC8" w:rsidP="00403806">
      <w:pPr>
        <w:jc w:val="both"/>
      </w:pPr>
    </w:p>
    <w:p w14:paraId="015BF468" w14:textId="1C2DEFB0" w:rsidR="00865CC8" w:rsidRPr="00064185" w:rsidRDefault="6EC11621" w:rsidP="00403806">
      <w:pPr>
        <w:jc w:val="both"/>
      </w:pPr>
      <w:r w:rsidRPr="00064185">
        <w:rPr>
          <w:rFonts w:eastAsiaTheme="minorEastAsia" w:cstheme="minorBidi"/>
          <w:b/>
          <w:bCs/>
        </w:rPr>
        <w:t>Consideration on whether the CFS</w:t>
      </w:r>
      <w:r w:rsidR="00360FA1" w:rsidRPr="00064185">
        <w:rPr>
          <w:rFonts w:eastAsiaTheme="minorEastAsia" w:cstheme="minorBidi"/>
          <w:b/>
          <w:bCs/>
        </w:rPr>
        <w:t xml:space="preserve"> </w:t>
      </w:r>
      <w:r w:rsidR="00DB49EB" w:rsidRPr="00064185">
        <w:rPr>
          <w:rFonts w:eastAsiaTheme="minorEastAsia" w:cstheme="minorBidi"/>
          <w:b/>
          <w:bCs/>
        </w:rPr>
        <w:t>meet</w:t>
      </w:r>
      <w:r w:rsidRPr="00064185">
        <w:rPr>
          <w:rFonts w:eastAsiaTheme="minorEastAsia" w:cstheme="minorBidi"/>
          <w:b/>
          <w:bCs/>
        </w:rPr>
        <w:t>s at least one of the exclusion criteria listed in Article 5(1) but can benefit from derogation in accordance with Article 5(2) of the BPR</w:t>
      </w:r>
    </w:p>
    <w:p w14:paraId="7E116AD9" w14:textId="010344AA" w:rsidR="00865CC8" w:rsidRPr="00064185" w:rsidRDefault="6EC11621" w:rsidP="00403806">
      <w:pPr>
        <w:jc w:val="both"/>
      </w:pPr>
      <w:r w:rsidRPr="00064185">
        <w:rPr>
          <w:rFonts w:eastAsiaTheme="minorEastAsia" w:cstheme="minorBidi"/>
        </w:rPr>
        <w:t xml:space="preserve">The active substance </w:t>
      </w:r>
      <w:r w:rsidR="0089661B" w:rsidRPr="00064185">
        <w:rPr>
          <w:rFonts w:eastAsiaTheme="minorEastAsia" w:cstheme="minorBidi"/>
          <w:i/>
        </w:rPr>
        <w:t>lambda</w:t>
      </w:r>
      <w:r w:rsidRPr="00064185">
        <w:rPr>
          <w:rFonts w:eastAsiaTheme="minorEastAsia" w:cstheme="minorBidi"/>
        </w:rPr>
        <w:t>-</w:t>
      </w:r>
      <w:r w:rsidR="0089661B" w:rsidRPr="00064185">
        <w:rPr>
          <w:rFonts w:eastAsiaTheme="minorEastAsia" w:cstheme="minorBidi"/>
        </w:rPr>
        <w:t>c</w:t>
      </w:r>
      <w:r w:rsidRPr="00064185">
        <w:rPr>
          <w:rFonts w:eastAsiaTheme="minorEastAsia" w:cstheme="minorBidi"/>
        </w:rPr>
        <w:t xml:space="preserve">yhalothrin is neither carcinogenic, mutagenic or reprotoxic, nor is it a PBT or vPvB substance and therefore it does not meet any of the exclusion criteria in Article 5(1) of Regulation (EU) No 528/2012. But as mentioned before, it meets two of the three criteria for being PBT in accordance with Annex XIII to Regulation (EC) No 1907/2006 and thus it becomes a candidate substitution pursuant to Article 10(1) of the BPR.  </w:t>
      </w:r>
    </w:p>
    <w:p w14:paraId="4342EFA0" w14:textId="40FF15CB" w:rsidR="00865CC8" w:rsidRPr="00064185" w:rsidRDefault="6EC11621" w:rsidP="00403806">
      <w:pPr>
        <w:jc w:val="both"/>
      </w:pPr>
      <w:r w:rsidRPr="00064185">
        <w:rPr>
          <w:rFonts w:eastAsiaTheme="minorEastAsia" w:cstheme="minorBidi"/>
        </w:rPr>
        <w:t xml:space="preserve"> </w:t>
      </w:r>
    </w:p>
    <w:p w14:paraId="1C4BB638" w14:textId="1F7B9947" w:rsidR="00865CC8" w:rsidRPr="00064185" w:rsidRDefault="6EC11621" w:rsidP="00403806">
      <w:pPr>
        <w:jc w:val="both"/>
      </w:pPr>
      <w:r w:rsidRPr="00064185">
        <w:rPr>
          <w:rFonts w:eastAsiaTheme="minorEastAsia" w:cstheme="minorBidi"/>
          <w:b/>
          <w:bCs/>
        </w:rPr>
        <w:t>Conclusion of the screening phase:</w:t>
      </w:r>
    </w:p>
    <w:p w14:paraId="3B4F39C7" w14:textId="479F9588" w:rsidR="00865CC8" w:rsidRPr="00064185" w:rsidRDefault="6EC11621" w:rsidP="00403806">
      <w:pPr>
        <w:jc w:val="both"/>
      </w:pPr>
      <w:r w:rsidRPr="00064185">
        <w:rPr>
          <w:rFonts w:eastAsiaTheme="minorEastAsia" w:cstheme="minorBidi"/>
        </w:rPr>
        <w:t>Stop comparative assessment. As there are currently in Austria no biocidal products against silverfish and woodlice authorised, just two biocidal products against cockroaches - both being restricted to professional use, and thirteen products against ants, but all</w:t>
      </w:r>
      <w:r w:rsidR="00766B2E" w:rsidRPr="00064185">
        <w:rPr>
          <w:rFonts w:eastAsiaTheme="minorEastAsia" w:cstheme="minorBidi"/>
        </w:rPr>
        <w:t xml:space="preserve"> based on the active substance s</w:t>
      </w:r>
      <w:r w:rsidRPr="00064185">
        <w:rPr>
          <w:rFonts w:eastAsiaTheme="minorEastAsia" w:cstheme="minorBidi"/>
        </w:rPr>
        <w:t>pinosad, the Austrian Competent Authority concludes that an adequate chemical div</w:t>
      </w:r>
      <w:r w:rsidR="004A3B39" w:rsidRPr="00064185">
        <w:rPr>
          <w:rFonts w:eastAsiaTheme="minorEastAsia" w:cstheme="minorBidi"/>
        </w:rPr>
        <w:t>ersity to minimise the occurrence</w:t>
      </w:r>
      <w:r w:rsidRPr="00064185">
        <w:rPr>
          <w:rFonts w:eastAsiaTheme="minorEastAsia" w:cstheme="minorBidi"/>
        </w:rPr>
        <w:t xml:space="preserve"> of resistance is not given yet. Consequently there are no eligible alternative biocidal products and therefore a comparison of the significant economic or practical disadvantages was deemed unnecessary. Therefore the comparative assessment is stopped and finalised at this stage.</w:t>
      </w:r>
    </w:p>
    <w:p w14:paraId="715DDA02" w14:textId="77777777" w:rsidR="00865CC8" w:rsidRPr="00064185" w:rsidRDefault="6EC11621" w:rsidP="00EA61D8">
      <w:pPr>
        <w:rPr>
          <w:rFonts w:eastAsia="Calibri"/>
          <w:lang w:eastAsia="en-US"/>
        </w:rPr>
        <w:sectPr w:rsidR="00865CC8" w:rsidRPr="00064185" w:rsidSect="009C6529">
          <w:endnotePr>
            <w:numFmt w:val="decimal"/>
          </w:endnotePr>
          <w:pgSz w:w="11907" w:h="16840" w:code="9"/>
          <w:pgMar w:top="1474" w:right="1247" w:bottom="2013" w:left="1446" w:header="850" w:footer="850" w:gutter="0"/>
          <w:cols w:space="720"/>
          <w:docGrid w:linePitch="272"/>
        </w:sectPr>
      </w:pPr>
      <w:r w:rsidRPr="00064185">
        <w:rPr>
          <w:rFonts w:eastAsiaTheme="minorEastAsia" w:cstheme="minorBidi"/>
        </w:rPr>
        <w:t>The biocidal product COM 116 02 I AL will be authorised for a period not exceeding 5 years in</w:t>
      </w:r>
      <w:r w:rsidR="00DB49EB" w:rsidRPr="00064185">
        <w:rPr>
          <w:rFonts w:eastAsiaTheme="minorEastAsia" w:cstheme="minorBidi"/>
        </w:rPr>
        <w:t xml:space="preserve"> accordance with Article 23</w:t>
      </w:r>
      <w:r w:rsidRPr="00064185">
        <w:rPr>
          <w:rFonts w:eastAsiaTheme="minorEastAsia" w:cstheme="minorBidi"/>
        </w:rPr>
        <w:t>(6) of Regulation (EU) No 528/2012.</w:t>
      </w:r>
      <w:bookmarkStart w:id="2128" w:name="_Toc389729188"/>
    </w:p>
    <w:p w14:paraId="38816A06" w14:textId="77777777" w:rsidR="00A53EE0" w:rsidRPr="00064185" w:rsidRDefault="00A53EE0" w:rsidP="00EA61D8">
      <w:pPr>
        <w:rPr>
          <w:rFonts w:eastAsia="Calibri"/>
          <w:lang w:eastAsia="en-US"/>
        </w:rPr>
      </w:pPr>
    </w:p>
    <w:p w14:paraId="57CD4637" w14:textId="29FB8738" w:rsidR="00A53EE0" w:rsidRPr="00064185" w:rsidRDefault="00A53EE0" w:rsidP="00EA61D8">
      <w:pPr>
        <w:pStyle w:val="berschrift1"/>
        <w:rPr>
          <w:rFonts w:eastAsia="Calibri"/>
          <w:u w:val="single"/>
          <w:lang w:eastAsia="en-US"/>
        </w:rPr>
      </w:pPr>
      <w:bookmarkStart w:id="2129" w:name="_Toc403472826"/>
      <w:bookmarkStart w:id="2130" w:name="_Toc440879685"/>
      <w:bookmarkStart w:id="2131" w:name="_Toc440889998"/>
      <w:bookmarkStart w:id="2132" w:name="_Toc530563698"/>
      <w:r w:rsidRPr="00064185">
        <w:rPr>
          <w:rFonts w:eastAsia="Calibri"/>
          <w:u w:val="single"/>
          <w:lang w:eastAsia="en-US"/>
        </w:rPr>
        <w:t>Annexes</w:t>
      </w:r>
      <w:bookmarkEnd w:id="2128"/>
      <w:bookmarkEnd w:id="2129"/>
      <w:bookmarkEnd w:id="2130"/>
      <w:bookmarkEnd w:id="2131"/>
      <w:bookmarkEnd w:id="2132"/>
    </w:p>
    <w:p w14:paraId="790B843E" w14:textId="77777777" w:rsidR="00A53EE0" w:rsidRPr="00064185" w:rsidRDefault="00A53EE0" w:rsidP="00EA61D8">
      <w:pPr>
        <w:pStyle w:val="berschrift2"/>
        <w:rPr>
          <w:color w:val="auto"/>
          <w:lang w:val="en-GB"/>
        </w:rPr>
      </w:pPr>
      <w:bookmarkStart w:id="2133" w:name="_Toc389729189"/>
      <w:bookmarkStart w:id="2134" w:name="_Toc403472827"/>
      <w:bookmarkStart w:id="2135" w:name="_Toc440879686"/>
      <w:bookmarkStart w:id="2136" w:name="_Toc440889999"/>
      <w:bookmarkStart w:id="2137" w:name="_Toc530563699"/>
      <w:r w:rsidRPr="00064185">
        <w:rPr>
          <w:color w:val="auto"/>
          <w:lang w:val="en-GB"/>
        </w:rPr>
        <w:t>List of studies for the biocidal product</w:t>
      </w:r>
      <w:bookmarkEnd w:id="2133"/>
      <w:bookmarkEnd w:id="2134"/>
      <w:bookmarkEnd w:id="2135"/>
      <w:bookmarkEnd w:id="2136"/>
      <w:bookmarkEnd w:id="2137"/>
    </w:p>
    <w:tbl>
      <w:tblPr>
        <w:tblW w:w="5013"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887"/>
        <w:gridCol w:w="1986"/>
        <w:gridCol w:w="1986"/>
        <w:gridCol w:w="1290"/>
        <w:gridCol w:w="1233"/>
        <w:gridCol w:w="1186"/>
        <w:gridCol w:w="1243"/>
        <w:gridCol w:w="1159"/>
        <w:gridCol w:w="1268"/>
      </w:tblGrid>
      <w:tr w:rsidR="00064185" w:rsidRPr="00064185" w14:paraId="60214DBA" w14:textId="77777777" w:rsidTr="00CA3291">
        <w:trPr>
          <w:cantSplit/>
          <w:tblHeader/>
          <w:jc w:val="center"/>
        </w:trPr>
        <w:tc>
          <w:tcPr>
            <w:tcW w:w="502" w:type="pct"/>
            <w:tcBorders>
              <w:bottom w:val="double" w:sz="4" w:space="0" w:color="auto"/>
              <w:right w:val="single" w:sz="6" w:space="0" w:color="auto"/>
            </w:tcBorders>
            <w:vAlign w:val="center"/>
          </w:tcPr>
          <w:p w14:paraId="49DD3DAD" w14:textId="77777777" w:rsidR="00054AB2" w:rsidRPr="00064185" w:rsidRDefault="00054AB2" w:rsidP="00EA61D8">
            <w:pPr>
              <w:spacing w:before="60" w:after="60"/>
              <w:rPr>
                <w:b/>
                <w:sz w:val="18"/>
                <w:szCs w:val="18"/>
              </w:rPr>
            </w:pPr>
            <w:r w:rsidRPr="00064185">
              <w:rPr>
                <w:b/>
                <w:sz w:val="18"/>
                <w:szCs w:val="18"/>
              </w:rPr>
              <w:t>Author(s)</w:t>
            </w:r>
          </w:p>
        </w:tc>
        <w:tc>
          <w:tcPr>
            <w:tcW w:w="326" w:type="pct"/>
            <w:tcBorders>
              <w:left w:val="single" w:sz="6" w:space="0" w:color="auto"/>
              <w:bottom w:val="double" w:sz="4" w:space="0" w:color="auto"/>
              <w:right w:val="single" w:sz="6" w:space="0" w:color="auto"/>
            </w:tcBorders>
            <w:vAlign w:val="center"/>
          </w:tcPr>
          <w:p w14:paraId="4793F921" w14:textId="77777777" w:rsidR="00054AB2" w:rsidRPr="00064185" w:rsidRDefault="00054AB2" w:rsidP="00EA61D8">
            <w:pPr>
              <w:spacing w:before="60" w:after="60"/>
              <w:rPr>
                <w:b/>
                <w:sz w:val="18"/>
                <w:szCs w:val="18"/>
              </w:rPr>
            </w:pPr>
            <w:r w:rsidRPr="00064185">
              <w:rPr>
                <w:b/>
                <w:sz w:val="18"/>
                <w:szCs w:val="18"/>
              </w:rPr>
              <w:t>Year</w:t>
            </w:r>
          </w:p>
        </w:tc>
        <w:tc>
          <w:tcPr>
            <w:tcW w:w="730" w:type="pct"/>
            <w:tcBorders>
              <w:left w:val="single" w:sz="6" w:space="0" w:color="auto"/>
              <w:bottom w:val="double" w:sz="4" w:space="0" w:color="auto"/>
              <w:right w:val="single" w:sz="6" w:space="0" w:color="auto"/>
            </w:tcBorders>
            <w:vAlign w:val="center"/>
          </w:tcPr>
          <w:p w14:paraId="12C93451" w14:textId="77777777" w:rsidR="00054AB2" w:rsidRPr="00064185" w:rsidRDefault="00054AB2" w:rsidP="00EA61D8">
            <w:pPr>
              <w:spacing w:before="60" w:after="60"/>
              <w:rPr>
                <w:b/>
                <w:sz w:val="18"/>
                <w:szCs w:val="18"/>
              </w:rPr>
            </w:pPr>
            <w:r w:rsidRPr="00064185">
              <w:rPr>
                <w:b/>
                <w:sz w:val="18"/>
                <w:szCs w:val="18"/>
              </w:rPr>
              <w:t>Title</w:t>
            </w:r>
          </w:p>
        </w:tc>
        <w:tc>
          <w:tcPr>
            <w:tcW w:w="730" w:type="pct"/>
            <w:tcBorders>
              <w:left w:val="single" w:sz="6" w:space="0" w:color="auto"/>
              <w:bottom w:val="double" w:sz="4" w:space="0" w:color="auto"/>
              <w:right w:val="single" w:sz="6" w:space="0" w:color="auto"/>
            </w:tcBorders>
            <w:vAlign w:val="center"/>
          </w:tcPr>
          <w:p w14:paraId="4BE8CC49" w14:textId="77777777" w:rsidR="00054AB2" w:rsidRPr="00064185" w:rsidRDefault="00054AB2" w:rsidP="00EA61D8">
            <w:pPr>
              <w:spacing w:before="60" w:after="60"/>
              <w:rPr>
                <w:b/>
                <w:sz w:val="18"/>
                <w:szCs w:val="18"/>
              </w:rPr>
            </w:pPr>
            <w:r w:rsidRPr="00064185">
              <w:rPr>
                <w:b/>
                <w:sz w:val="18"/>
                <w:szCs w:val="18"/>
              </w:rPr>
              <w:t>Testing Company</w:t>
            </w:r>
          </w:p>
        </w:tc>
        <w:tc>
          <w:tcPr>
            <w:tcW w:w="474" w:type="pct"/>
            <w:tcBorders>
              <w:left w:val="single" w:sz="6" w:space="0" w:color="auto"/>
              <w:bottom w:val="double" w:sz="4" w:space="0" w:color="auto"/>
              <w:right w:val="single" w:sz="6" w:space="0" w:color="auto"/>
            </w:tcBorders>
            <w:vAlign w:val="center"/>
          </w:tcPr>
          <w:p w14:paraId="3CF1E396" w14:textId="77777777" w:rsidR="00054AB2" w:rsidRPr="00064185" w:rsidRDefault="00054AB2" w:rsidP="00EA61D8">
            <w:pPr>
              <w:spacing w:before="60" w:after="60"/>
              <w:rPr>
                <w:b/>
                <w:sz w:val="18"/>
                <w:szCs w:val="18"/>
              </w:rPr>
            </w:pPr>
            <w:r w:rsidRPr="00064185">
              <w:rPr>
                <w:b/>
                <w:sz w:val="18"/>
                <w:szCs w:val="18"/>
              </w:rPr>
              <w:t>Report No.</w:t>
            </w:r>
          </w:p>
        </w:tc>
        <w:tc>
          <w:tcPr>
            <w:tcW w:w="453" w:type="pct"/>
            <w:tcBorders>
              <w:left w:val="single" w:sz="6" w:space="0" w:color="auto"/>
              <w:bottom w:val="double" w:sz="4" w:space="0" w:color="auto"/>
              <w:right w:val="single" w:sz="6" w:space="0" w:color="auto"/>
            </w:tcBorders>
            <w:vAlign w:val="center"/>
          </w:tcPr>
          <w:p w14:paraId="26B4CDE1" w14:textId="77777777" w:rsidR="00054AB2" w:rsidRPr="00064185" w:rsidRDefault="00054AB2" w:rsidP="00EA61D8">
            <w:pPr>
              <w:spacing w:before="60" w:after="60"/>
              <w:rPr>
                <w:b/>
                <w:sz w:val="18"/>
                <w:szCs w:val="18"/>
              </w:rPr>
            </w:pPr>
            <w:r w:rsidRPr="00064185">
              <w:rPr>
                <w:b/>
                <w:sz w:val="18"/>
                <w:szCs w:val="18"/>
              </w:rPr>
              <w:t>GLP Study (Yes/No)</w:t>
            </w:r>
          </w:p>
        </w:tc>
        <w:tc>
          <w:tcPr>
            <w:tcW w:w="436" w:type="pct"/>
            <w:tcBorders>
              <w:left w:val="single" w:sz="6" w:space="0" w:color="auto"/>
              <w:bottom w:val="double" w:sz="4" w:space="0" w:color="auto"/>
              <w:right w:val="single" w:sz="6" w:space="0" w:color="auto"/>
            </w:tcBorders>
            <w:vAlign w:val="center"/>
          </w:tcPr>
          <w:p w14:paraId="014B0928" w14:textId="77777777" w:rsidR="00054AB2" w:rsidRPr="00064185" w:rsidRDefault="00054AB2" w:rsidP="00EA61D8">
            <w:pPr>
              <w:spacing w:before="60" w:after="60"/>
              <w:rPr>
                <w:b/>
                <w:sz w:val="18"/>
                <w:szCs w:val="18"/>
              </w:rPr>
            </w:pPr>
            <w:r w:rsidRPr="00064185">
              <w:rPr>
                <w:b/>
                <w:sz w:val="18"/>
                <w:szCs w:val="18"/>
              </w:rPr>
              <w:t>Published (Yes/No)</w:t>
            </w:r>
          </w:p>
        </w:tc>
        <w:tc>
          <w:tcPr>
            <w:tcW w:w="457" w:type="pct"/>
            <w:tcBorders>
              <w:left w:val="single" w:sz="6" w:space="0" w:color="auto"/>
              <w:bottom w:val="double" w:sz="4" w:space="0" w:color="auto"/>
              <w:right w:val="single" w:sz="6" w:space="0" w:color="auto"/>
            </w:tcBorders>
            <w:vAlign w:val="center"/>
          </w:tcPr>
          <w:p w14:paraId="36AB03E5" w14:textId="77777777" w:rsidR="00054AB2" w:rsidRPr="00064185" w:rsidRDefault="00054AB2" w:rsidP="00EA61D8">
            <w:pPr>
              <w:spacing w:before="60" w:after="60"/>
              <w:rPr>
                <w:b/>
                <w:sz w:val="18"/>
                <w:szCs w:val="18"/>
              </w:rPr>
            </w:pPr>
            <w:r w:rsidRPr="00064185">
              <w:rPr>
                <w:b/>
                <w:sz w:val="18"/>
                <w:szCs w:val="18"/>
              </w:rPr>
              <w:t>Data Protection Claimed (Yes/No)</w:t>
            </w:r>
          </w:p>
        </w:tc>
        <w:tc>
          <w:tcPr>
            <w:tcW w:w="426" w:type="pct"/>
            <w:tcBorders>
              <w:left w:val="single" w:sz="6" w:space="0" w:color="auto"/>
              <w:bottom w:val="double" w:sz="4" w:space="0" w:color="auto"/>
              <w:right w:val="single" w:sz="6" w:space="0" w:color="auto"/>
            </w:tcBorders>
            <w:vAlign w:val="center"/>
          </w:tcPr>
          <w:p w14:paraId="59C14327" w14:textId="77777777" w:rsidR="00054AB2" w:rsidRPr="00064185" w:rsidRDefault="00054AB2" w:rsidP="00EA61D8">
            <w:pPr>
              <w:spacing w:before="60" w:after="60"/>
              <w:rPr>
                <w:b/>
                <w:sz w:val="18"/>
                <w:szCs w:val="18"/>
              </w:rPr>
            </w:pPr>
            <w:r w:rsidRPr="00064185">
              <w:rPr>
                <w:b/>
                <w:sz w:val="18"/>
                <w:szCs w:val="18"/>
              </w:rPr>
              <w:t>Data Owner</w:t>
            </w:r>
          </w:p>
        </w:tc>
        <w:tc>
          <w:tcPr>
            <w:tcW w:w="466" w:type="pct"/>
            <w:tcBorders>
              <w:left w:val="single" w:sz="6" w:space="0" w:color="auto"/>
              <w:bottom w:val="double" w:sz="4" w:space="0" w:color="auto"/>
            </w:tcBorders>
            <w:vAlign w:val="center"/>
          </w:tcPr>
          <w:p w14:paraId="663A281A" w14:textId="77777777" w:rsidR="00054AB2" w:rsidRPr="00064185" w:rsidRDefault="00054AB2" w:rsidP="00EA61D8">
            <w:pPr>
              <w:spacing w:before="60" w:after="60"/>
              <w:rPr>
                <w:b/>
                <w:sz w:val="18"/>
                <w:szCs w:val="18"/>
              </w:rPr>
            </w:pPr>
            <w:r w:rsidRPr="00064185">
              <w:rPr>
                <w:b/>
                <w:sz w:val="18"/>
                <w:szCs w:val="18"/>
              </w:rPr>
              <w:t xml:space="preserve">Section No. in IUCLID / </w:t>
            </w:r>
            <w:r w:rsidRPr="00064185">
              <w:rPr>
                <w:b/>
                <w:sz w:val="18"/>
                <w:szCs w:val="18"/>
              </w:rPr>
              <w:br/>
              <w:t>Non-key study/ Published</w:t>
            </w:r>
          </w:p>
        </w:tc>
      </w:tr>
      <w:tr w:rsidR="00064185" w:rsidRPr="00064185" w14:paraId="2FD7334B" w14:textId="77777777" w:rsidTr="00CA3291">
        <w:trPr>
          <w:cantSplit/>
          <w:jc w:val="center"/>
        </w:trPr>
        <w:tc>
          <w:tcPr>
            <w:tcW w:w="502" w:type="pct"/>
            <w:tcBorders>
              <w:top w:val="double" w:sz="4" w:space="0" w:color="auto"/>
              <w:bottom w:val="single" w:sz="4" w:space="0" w:color="auto"/>
            </w:tcBorders>
          </w:tcPr>
          <w:p w14:paraId="78AFC211" w14:textId="77777777" w:rsidR="00054AB2" w:rsidRPr="00064185" w:rsidRDefault="00054AB2" w:rsidP="00EA61D8">
            <w:pPr>
              <w:spacing w:before="60" w:after="60"/>
              <w:rPr>
                <w:sz w:val="18"/>
                <w:szCs w:val="18"/>
              </w:rPr>
            </w:pPr>
            <w:r w:rsidRPr="00064185">
              <w:rPr>
                <w:sz w:val="18"/>
                <w:szCs w:val="18"/>
              </w:rPr>
              <w:t>Bremmer, H.J. and van Veen, M.P.</w:t>
            </w:r>
          </w:p>
        </w:tc>
        <w:tc>
          <w:tcPr>
            <w:tcW w:w="326" w:type="pct"/>
            <w:tcBorders>
              <w:top w:val="double" w:sz="4" w:space="0" w:color="auto"/>
              <w:bottom w:val="single" w:sz="4" w:space="0" w:color="auto"/>
            </w:tcBorders>
          </w:tcPr>
          <w:p w14:paraId="09B4FCCA" w14:textId="77777777" w:rsidR="00054AB2" w:rsidRPr="00064185" w:rsidRDefault="00054AB2" w:rsidP="00EA61D8">
            <w:pPr>
              <w:spacing w:before="60" w:after="60"/>
              <w:rPr>
                <w:sz w:val="18"/>
                <w:szCs w:val="18"/>
              </w:rPr>
            </w:pPr>
            <w:r w:rsidRPr="00064185">
              <w:rPr>
                <w:sz w:val="18"/>
                <w:szCs w:val="18"/>
              </w:rPr>
              <w:t>2000</w:t>
            </w:r>
          </w:p>
        </w:tc>
        <w:tc>
          <w:tcPr>
            <w:tcW w:w="730" w:type="pct"/>
            <w:tcBorders>
              <w:top w:val="double" w:sz="4" w:space="0" w:color="auto"/>
              <w:bottom w:val="single" w:sz="4" w:space="0" w:color="auto"/>
            </w:tcBorders>
          </w:tcPr>
          <w:p w14:paraId="7F529989" w14:textId="77777777" w:rsidR="00054AB2" w:rsidRPr="00064185" w:rsidRDefault="00054AB2" w:rsidP="00EA61D8">
            <w:pPr>
              <w:spacing w:before="60" w:after="60"/>
              <w:rPr>
                <w:sz w:val="18"/>
                <w:szCs w:val="18"/>
                <w:lang w:val="de-DE"/>
              </w:rPr>
            </w:pPr>
            <w:r w:rsidRPr="00064185">
              <w:rPr>
                <w:sz w:val="18"/>
                <w:szCs w:val="18"/>
                <w:lang w:val="de-DE"/>
              </w:rPr>
              <w:t>Factsheet algemeen –Randvoorwaarden en betrouwbaarheid, ventilatie, kamergrootte, lichaamsoppervlak.</w:t>
            </w:r>
          </w:p>
        </w:tc>
        <w:tc>
          <w:tcPr>
            <w:tcW w:w="730" w:type="pct"/>
            <w:tcBorders>
              <w:top w:val="double" w:sz="4" w:space="0" w:color="auto"/>
              <w:bottom w:val="single" w:sz="4" w:space="0" w:color="auto"/>
            </w:tcBorders>
          </w:tcPr>
          <w:p w14:paraId="1ED919E7" w14:textId="77777777" w:rsidR="00054AB2" w:rsidRPr="00064185" w:rsidRDefault="00054AB2" w:rsidP="00EA61D8">
            <w:pPr>
              <w:spacing w:before="60" w:after="60"/>
              <w:rPr>
                <w:sz w:val="18"/>
                <w:szCs w:val="18"/>
              </w:rPr>
            </w:pPr>
            <w:r w:rsidRPr="00064185">
              <w:rPr>
                <w:sz w:val="18"/>
                <w:szCs w:val="18"/>
              </w:rPr>
              <w:t>–</w:t>
            </w:r>
          </w:p>
        </w:tc>
        <w:tc>
          <w:tcPr>
            <w:tcW w:w="474" w:type="pct"/>
            <w:tcBorders>
              <w:top w:val="double" w:sz="4" w:space="0" w:color="auto"/>
              <w:bottom w:val="single" w:sz="4" w:space="0" w:color="auto"/>
            </w:tcBorders>
          </w:tcPr>
          <w:p w14:paraId="09C37396" w14:textId="77777777" w:rsidR="00054AB2" w:rsidRPr="00064185" w:rsidRDefault="00054AB2" w:rsidP="00EA61D8">
            <w:pPr>
              <w:spacing w:before="60" w:after="60"/>
              <w:rPr>
                <w:sz w:val="18"/>
                <w:szCs w:val="18"/>
              </w:rPr>
            </w:pPr>
            <w:r w:rsidRPr="00064185">
              <w:rPr>
                <w:sz w:val="18"/>
                <w:szCs w:val="18"/>
              </w:rPr>
              <w:t>RIVM rapport 612810 009</w:t>
            </w:r>
          </w:p>
        </w:tc>
        <w:tc>
          <w:tcPr>
            <w:tcW w:w="453" w:type="pct"/>
            <w:tcBorders>
              <w:top w:val="double" w:sz="4" w:space="0" w:color="auto"/>
              <w:bottom w:val="single" w:sz="4" w:space="0" w:color="auto"/>
            </w:tcBorders>
          </w:tcPr>
          <w:p w14:paraId="2A35EB9B" w14:textId="77777777" w:rsidR="00054AB2" w:rsidRPr="00064185" w:rsidRDefault="00054AB2" w:rsidP="00EA61D8">
            <w:pPr>
              <w:spacing w:before="60" w:after="60"/>
              <w:rPr>
                <w:sz w:val="18"/>
                <w:szCs w:val="18"/>
              </w:rPr>
            </w:pPr>
            <w:r w:rsidRPr="00064185">
              <w:rPr>
                <w:sz w:val="18"/>
                <w:szCs w:val="18"/>
              </w:rPr>
              <w:t>n.a.</w:t>
            </w:r>
          </w:p>
        </w:tc>
        <w:tc>
          <w:tcPr>
            <w:tcW w:w="436" w:type="pct"/>
            <w:tcBorders>
              <w:top w:val="double" w:sz="4" w:space="0" w:color="auto"/>
              <w:bottom w:val="single" w:sz="4" w:space="0" w:color="auto"/>
            </w:tcBorders>
          </w:tcPr>
          <w:p w14:paraId="719C4FEE" w14:textId="77777777" w:rsidR="00054AB2" w:rsidRPr="00064185" w:rsidRDefault="00054AB2" w:rsidP="00EA61D8">
            <w:pPr>
              <w:spacing w:before="60" w:after="60"/>
              <w:rPr>
                <w:sz w:val="18"/>
                <w:szCs w:val="18"/>
              </w:rPr>
            </w:pPr>
            <w:r w:rsidRPr="00064185">
              <w:rPr>
                <w:sz w:val="18"/>
                <w:szCs w:val="18"/>
              </w:rPr>
              <w:t>Yes</w:t>
            </w:r>
          </w:p>
        </w:tc>
        <w:tc>
          <w:tcPr>
            <w:tcW w:w="457" w:type="pct"/>
            <w:tcBorders>
              <w:top w:val="double" w:sz="4" w:space="0" w:color="auto"/>
              <w:bottom w:val="single" w:sz="4" w:space="0" w:color="auto"/>
            </w:tcBorders>
          </w:tcPr>
          <w:p w14:paraId="14B34743" w14:textId="77777777" w:rsidR="00054AB2" w:rsidRPr="00064185" w:rsidRDefault="00054AB2" w:rsidP="00EA61D8">
            <w:pPr>
              <w:spacing w:before="60" w:after="60"/>
              <w:rPr>
                <w:sz w:val="18"/>
                <w:szCs w:val="18"/>
              </w:rPr>
            </w:pPr>
            <w:r w:rsidRPr="00064185">
              <w:rPr>
                <w:sz w:val="18"/>
                <w:szCs w:val="18"/>
              </w:rPr>
              <w:t>No</w:t>
            </w:r>
          </w:p>
        </w:tc>
        <w:tc>
          <w:tcPr>
            <w:tcW w:w="426" w:type="pct"/>
            <w:tcBorders>
              <w:top w:val="double" w:sz="4" w:space="0" w:color="auto"/>
              <w:bottom w:val="single" w:sz="4" w:space="0" w:color="auto"/>
            </w:tcBorders>
          </w:tcPr>
          <w:p w14:paraId="3CC19B19" w14:textId="77777777" w:rsidR="00054AB2" w:rsidRPr="00064185" w:rsidRDefault="00054AB2" w:rsidP="00EA61D8">
            <w:pPr>
              <w:spacing w:before="60" w:after="60"/>
              <w:rPr>
                <w:sz w:val="18"/>
                <w:szCs w:val="18"/>
              </w:rPr>
            </w:pPr>
            <w:r w:rsidRPr="00064185">
              <w:rPr>
                <w:sz w:val="18"/>
                <w:szCs w:val="18"/>
              </w:rPr>
              <w:t>–</w:t>
            </w:r>
          </w:p>
        </w:tc>
        <w:tc>
          <w:tcPr>
            <w:tcW w:w="466" w:type="pct"/>
            <w:tcBorders>
              <w:top w:val="double" w:sz="4" w:space="0" w:color="auto"/>
              <w:bottom w:val="single" w:sz="4" w:space="0" w:color="auto"/>
            </w:tcBorders>
          </w:tcPr>
          <w:p w14:paraId="6A67EC0A" w14:textId="77777777" w:rsidR="00054AB2" w:rsidRPr="00064185" w:rsidRDefault="00054AB2" w:rsidP="00EA61D8">
            <w:pPr>
              <w:spacing w:before="60" w:after="60"/>
              <w:rPr>
                <w:sz w:val="18"/>
                <w:szCs w:val="18"/>
              </w:rPr>
            </w:pPr>
            <w:r w:rsidRPr="00064185">
              <w:rPr>
                <w:sz w:val="18"/>
                <w:szCs w:val="18"/>
              </w:rPr>
              <w:t>published</w:t>
            </w:r>
          </w:p>
        </w:tc>
      </w:tr>
      <w:tr w:rsidR="00064185" w:rsidRPr="00064185" w14:paraId="6854FED7" w14:textId="77777777" w:rsidTr="00CA3291">
        <w:trPr>
          <w:cantSplit/>
          <w:jc w:val="center"/>
        </w:trPr>
        <w:tc>
          <w:tcPr>
            <w:tcW w:w="502" w:type="pct"/>
            <w:tcBorders>
              <w:top w:val="single" w:sz="4" w:space="0" w:color="auto"/>
            </w:tcBorders>
          </w:tcPr>
          <w:p w14:paraId="6DD7A128" w14:textId="77777777" w:rsidR="00054AB2" w:rsidRPr="00064185" w:rsidRDefault="00054AB2" w:rsidP="00EA61D8">
            <w:pPr>
              <w:spacing w:before="60" w:after="60"/>
              <w:rPr>
                <w:sz w:val="18"/>
                <w:szCs w:val="18"/>
              </w:rPr>
            </w:pPr>
            <w:r w:rsidRPr="00064185">
              <w:rPr>
                <w:sz w:val="18"/>
                <w:szCs w:val="18"/>
              </w:rPr>
              <w:t>Camann, D.E., Majumdar, T.K., Harding, H.J.</w:t>
            </w:r>
          </w:p>
        </w:tc>
        <w:tc>
          <w:tcPr>
            <w:tcW w:w="326" w:type="pct"/>
            <w:tcBorders>
              <w:top w:val="single" w:sz="4" w:space="0" w:color="auto"/>
            </w:tcBorders>
          </w:tcPr>
          <w:p w14:paraId="044E5E5E" w14:textId="77777777" w:rsidR="00054AB2" w:rsidRPr="00064185" w:rsidRDefault="00054AB2" w:rsidP="00EA61D8">
            <w:pPr>
              <w:spacing w:before="60" w:after="60"/>
              <w:rPr>
                <w:sz w:val="18"/>
                <w:szCs w:val="18"/>
              </w:rPr>
            </w:pPr>
            <w:r w:rsidRPr="00064185">
              <w:rPr>
                <w:sz w:val="18"/>
                <w:szCs w:val="18"/>
              </w:rPr>
              <w:t>1995</w:t>
            </w:r>
          </w:p>
        </w:tc>
        <w:tc>
          <w:tcPr>
            <w:tcW w:w="730" w:type="pct"/>
            <w:tcBorders>
              <w:top w:val="single" w:sz="4" w:space="0" w:color="auto"/>
            </w:tcBorders>
          </w:tcPr>
          <w:p w14:paraId="4D86DFBD" w14:textId="77777777" w:rsidR="00054AB2" w:rsidRPr="00064185" w:rsidRDefault="00054AB2" w:rsidP="00EA61D8">
            <w:pPr>
              <w:spacing w:before="60" w:after="60"/>
              <w:rPr>
                <w:sz w:val="18"/>
                <w:szCs w:val="18"/>
              </w:rPr>
            </w:pPr>
            <w:r w:rsidRPr="00064185">
              <w:rPr>
                <w:sz w:val="18"/>
                <w:szCs w:val="18"/>
              </w:rPr>
              <w:t>Determination of Pesticide Removal Efficiencies from Human Hand Wiped with Gauze Moistened with Three Salivary Fluids (EXPERIMENT I.3).</w:t>
            </w:r>
          </w:p>
        </w:tc>
        <w:tc>
          <w:tcPr>
            <w:tcW w:w="730" w:type="pct"/>
            <w:tcBorders>
              <w:top w:val="single" w:sz="4" w:space="0" w:color="auto"/>
            </w:tcBorders>
          </w:tcPr>
          <w:p w14:paraId="4A423A37" w14:textId="77777777" w:rsidR="00054AB2" w:rsidRPr="00064185" w:rsidRDefault="00054AB2" w:rsidP="00EA61D8">
            <w:pPr>
              <w:spacing w:before="60" w:after="60"/>
              <w:rPr>
                <w:sz w:val="18"/>
                <w:szCs w:val="18"/>
              </w:rPr>
            </w:pPr>
            <w:r w:rsidRPr="00064185">
              <w:rPr>
                <w:sz w:val="18"/>
                <w:szCs w:val="18"/>
              </w:rPr>
              <w:t>Southwest Research Institute, San Antonio, Texas National Exposure Research Laboratory, Research Triangle Park, NC</w:t>
            </w:r>
          </w:p>
        </w:tc>
        <w:tc>
          <w:tcPr>
            <w:tcW w:w="474" w:type="pct"/>
            <w:tcBorders>
              <w:top w:val="single" w:sz="4" w:space="0" w:color="auto"/>
            </w:tcBorders>
          </w:tcPr>
          <w:p w14:paraId="69C020AD" w14:textId="77777777" w:rsidR="00054AB2" w:rsidRPr="00064185" w:rsidRDefault="00054AB2" w:rsidP="00EA61D8">
            <w:pPr>
              <w:spacing w:before="60" w:after="60"/>
              <w:rPr>
                <w:sz w:val="18"/>
                <w:szCs w:val="18"/>
              </w:rPr>
            </w:pPr>
            <w:r w:rsidRPr="00064185">
              <w:rPr>
                <w:sz w:val="18"/>
                <w:szCs w:val="18"/>
              </w:rPr>
              <w:t>78228-0510. SwRI Project 01-7131; ManTech P.O. 95LP0047 Task 004; USEPA Contract Number 68</w:t>
            </w:r>
          </w:p>
        </w:tc>
        <w:tc>
          <w:tcPr>
            <w:tcW w:w="453" w:type="pct"/>
            <w:tcBorders>
              <w:top w:val="single" w:sz="4" w:space="0" w:color="auto"/>
            </w:tcBorders>
          </w:tcPr>
          <w:p w14:paraId="0AB27EBE" w14:textId="77777777" w:rsidR="00054AB2" w:rsidRPr="00064185" w:rsidRDefault="00054AB2" w:rsidP="00EA61D8">
            <w:pPr>
              <w:spacing w:before="60" w:after="60"/>
              <w:rPr>
                <w:sz w:val="18"/>
                <w:szCs w:val="18"/>
              </w:rPr>
            </w:pPr>
            <w:r w:rsidRPr="00064185">
              <w:rPr>
                <w:sz w:val="18"/>
                <w:szCs w:val="18"/>
              </w:rPr>
              <w:t>No</w:t>
            </w:r>
          </w:p>
        </w:tc>
        <w:tc>
          <w:tcPr>
            <w:tcW w:w="436" w:type="pct"/>
            <w:tcBorders>
              <w:top w:val="single" w:sz="4" w:space="0" w:color="auto"/>
            </w:tcBorders>
          </w:tcPr>
          <w:p w14:paraId="7CB4F618" w14:textId="77777777" w:rsidR="00054AB2" w:rsidRPr="00064185" w:rsidRDefault="00054AB2" w:rsidP="00EA61D8">
            <w:pPr>
              <w:spacing w:before="60" w:after="60"/>
              <w:rPr>
                <w:sz w:val="18"/>
                <w:szCs w:val="18"/>
              </w:rPr>
            </w:pPr>
            <w:r w:rsidRPr="00064185">
              <w:rPr>
                <w:sz w:val="18"/>
                <w:szCs w:val="18"/>
              </w:rPr>
              <w:t>Yes</w:t>
            </w:r>
          </w:p>
        </w:tc>
        <w:tc>
          <w:tcPr>
            <w:tcW w:w="457" w:type="pct"/>
            <w:tcBorders>
              <w:top w:val="single" w:sz="4" w:space="0" w:color="auto"/>
            </w:tcBorders>
          </w:tcPr>
          <w:p w14:paraId="4551E3F7" w14:textId="77777777" w:rsidR="00054AB2" w:rsidRPr="00064185" w:rsidRDefault="00054AB2" w:rsidP="00EA61D8">
            <w:pPr>
              <w:spacing w:before="60" w:after="60"/>
              <w:rPr>
                <w:sz w:val="18"/>
                <w:szCs w:val="18"/>
              </w:rPr>
            </w:pPr>
            <w:r w:rsidRPr="00064185">
              <w:rPr>
                <w:sz w:val="18"/>
                <w:szCs w:val="18"/>
              </w:rPr>
              <w:t>No</w:t>
            </w:r>
          </w:p>
        </w:tc>
        <w:tc>
          <w:tcPr>
            <w:tcW w:w="426" w:type="pct"/>
            <w:tcBorders>
              <w:top w:val="single" w:sz="4" w:space="0" w:color="auto"/>
            </w:tcBorders>
          </w:tcPr>
          <w:p w14:paraId="71A34E46" w14:textId="77777777" w:rsidR="00054AB2" w:rsidRPr="00064185" w:rsidRDefault="00054AB2" w:rsidP="00EA61D8">
            <w:pPr>
              <w:spacing w:before="60" w:after="60"/>
              <w:rPr>
                <w:sz w:val="18"/>
                <w:szCs w:val="18"/>
              </w:rPr>
            </w:pPr>
            <w:r w:rsidRPr="00064185">
              <w:rPr>
                <w:sz w:val="18"/>
                <w:szCs w:val="18"/>
              </w:rPr>
              <w:t>–</w:t>
            </w:r>
          </w:p>
        </w:tc>
        <w:tc>
          <w:tcPr>
            <w:tcW w:w="466" w:type="pct"/>
            <w:tcBorders>
              <w:top w:val="single" w:sz="4" w:space="0" w:color="auto"/>
            </w:tcBorders>
          </w:tcPr>
          <w:p w14:paraId="20FEC194" w14:textId="77777777" w:rsidR="00054AB2" w:rsidRPr="00064185" w:rsidRDefault="00054AB2" w:rsidP="00EA61D8">
            <w:pPr>
              <w:spacing w:before="60" w:after="60"/>
              <w:rPr>
                <w:sz w:val="18"/>
                <w:szCs w:val="18"/>
              </w:rPr>
            </w:pPr>
            <w:r w:rsidRPr="00064185">
              <w:rPr>
                <w:sz w:val="18"/>
                <w:szCs w:val="18"/>
              </w:rPr>
              <w:t>published</w:t>
            </w:r>
          </w:p>
        </w:tc>
      </w:tr>
      <w:tr w:rsidR="00064185" w:rsidRPr="00064185" w14:paraId="0156B1AA" w14:textId="77777777" w:rsidTr="00CA3291">
        <w:trPr>
          <w:cantSplit/>
          <w:jc w:val="center"/>
        </w:trPr>
        <w:tc>
          <w:tcPr>
            <w:tcW w:w="502" w:type="pct"/>
            <w:tcBorders>
              <w:top w:val="single" w:sz="4" w:space="0" w:color="auto"/>
            </w:tcBorders>
          </w:tcPr>
          <w:p w14:paraId="1FC1612A" w14:textId="77777777" w:rsidR="00054AB2" w:rsidRPr="00064185" w:rsidRDefault="00054AB2" w:rsidP="00EA61D8">
            <w:pPr>
              <w:spacing w:before="60" w:after="60"/>
              <w:rPr>
                <w:sz w:val="18"/>
                <w:szCs w:val="18"/>
              </w:rPr>
            </w:pPr>
            <w:r w:rsidRPr="00064185">
              <w:rPr>
                <w:sz w:val="18"/>
                <w:szCs w:val="18"/>
              </w:rPr>
              <w:t>Felke, M.</w:t>
            </w:r>
          </w:p>
        </w:tc>
        <w:tc>
          <w:tcPr>
            <w:tcW w:w="326" w:type="pct"/>
            <w:tcBorders>
              <w:top w:val="single" w:sz="4" w:space="0" w:color="auto"/>
            </w:tcBorders>
          </w:tcPr>
          <w:p w14:paraId="58B940AD" w14:textId="77777777" w:rsidR="00054AB2" w:rsidRPr="00064185" w:rsidRDefault="00054AB2" w:rsidP="00EA61D8">
            <w:pPr>
              <w:spacing w:before="60" w:after="60"/>
              <w:rPr>
                <w:sz w:val="18"/>
                <w:szCs w:val="18"/>
              </w:rPr>
            </w:pPr>
            <w:r w:rsidRPr="00064185">
              <w:rPr>
                <w:sz w:val="18"/>
                <w:szCs w:val="18"/>
              </w:rPr>
              <w:t>2009</w:t>
            </w:r>
          </w:p>
        </w:tc>
        <w:tc>
          <w:tcPr>
            <w:tcW w:w="730" w:type="pct"/>
            <w:tcBorders>
              <w:top w:val="single" w:sz="4" w:space="0" w:color="auto"/>
            </w:tcBorders>
          </w:tcPr>
          <w:p w14:paraId="55F3246F" w14:textId="77777777" w:rsidR="00054AB2" w:rsidRPr="00064185" w:rsidRDefault="00054AB2" w:rsidP="00EA61D8">
            <w:pPr>
              <w:spacing w:before="60" w:after="60"/>
              <w:rPr>
                <w:sz w:val="18"/>
                <w:szCs w:val="18"/>
              </w:rPr>
            </w:pPr>
            <w:r w:rsidRPr="00064185">
              <w:rPr>
                <w:sz w:val="18"/>
                <w:szCs w:val="18"/>
              </w:rPr>
              <w:t>Contact toxicity and residual activity of COM 116 02 I AL on woodlice (</w:t>
            </w:r>
            <w:r w:rsidRPr="00064185">
              <w:rPr>
                <w:i/>
                <w:sz w:val="18"/>
                <w:szCs w:val="18"/>
              </w:rPr>
              <w:t>Porcellio scaber</w:t>
            </w:r>
            <w:r w:rsidRPr="00064185">
              <w:rPr>
                <w:sz w:val="18"/>
                <w:szCs w:val="18"/>
              </w:rPr>
              <w:t>).</w:t>
            </w:r>
          </w:p>
          <w:p w14:paraId="6BC98C44" w14:textId="77777777" w:rsidR="00054AB2" w:rsidRPr="00064185" w:rsidRDefault="00054AB2" w:rsidP="00EA61D8">
            <w:pPr>
              <w:spacing w:before="60" w:after="60"/>
              <w:rPr>
                <w:sz w:val="18"/>
                <w:szCs w:val="18"/>
              </w:rPr>
            </w:pPr>
            <w:r w:rsidRPr="00064185">
              <w:rPr>
                <w:sz w:val="18"/>
                <w:szCs w:val="18"/>
              </w:rPr>
              <w:t>Date: 2009-05-23</w:t>
            </w:r>
          </w:p>
        </w:tc>
        <w:tc>
          <w:tcPr>
            <w:tcW w:w="730" w:type="pct"/>
            <w:tcBorders>
              <w:top w:val="single" w:sz="4" w:space="0" w:color="auto"/>
            </w:tcBorders>
          </w:tcPr>
          <w:p w14:paraId="2E16F3A8" w14:textId="77777777" w:rsidR="00054AB2" w:rsidRPr="00064185" w:rsidRDefault="00054AB2" w:rsidP="00EA61D8">
            <w:pPr>
              <w:spacing w:before="60" w:after="60"/>
              <w:rPr>
                <w:sz w:val="18"/>
                <w:szCs w:val="18"/>
                <w:lang w:val="de-DE"/>
              </w:rPr>
            </w:pPr>
            <w:r w:rsidRPr="00064185">
              <w:rPr>
                <w:sz w:val="18"/>
                <w:szCs w:val="18"/>
                <w:lang w:val="de-DE"/>
              </w:rPr>
              <w:t>Institut für Schädlingskunde, Groß-Zimmern, Germany</w:t>
            </w:r>
          </w:p>
        </w:tc>
        <w:tc>
          <w:tcPr>
            <w:tcW w:w="474" w:type="pct"/>
            <w:tcBorders>
              <w:top w:val="single" w:sz="4" w:space="0" w:color="auto"/>
            </w:tcBorders>
          </w:tcPr>
          <w:p w14:paraId="418E3DB0" w14:textId="77777777" w:rsidR="00054AB2" w:rsidRPr="00064185" w:rsidRDefault="00054AB2" w:rsidP="00EA61D8">
            <w:pPr>
              <w:spacing w:before="60" w:after="60"/>
              <w:rPr>
                <w:sz w:val="18"/>
                <w:szCs w:val="18"/>
              </w:rPr>
            </w:pPr>
            <w:r w:rsidRPr="00064185">
              <w:rPr>
                <w:sz w:val="18"/>
                <w:szCs w:val="18"/>
              </w:rPr>
              <w:t>None</w:t>
            </w:r>
          </w:p>
        </w:tc>
        <w:tc>
          <w:tcPr>
            <w:tcW w:w="453" w:type="pct"/>
            <w:tcBorders>
              <w:top w:val="single" w:sz="4" w:space="0" w:color="auto"/>
            </w:tcBorders>
          </w:tcPr>
          <w:p w14:paraId="08E1519F" w14:textId="77777777" w:rsidR="00054AB2" w:rsidRPr="00064185" w:rsidRDefault="00054AB2" w:rsidP="00EA61D8">
            <w:pPr>
              <w:spacing w:before="60" w:after="60"/>
              <w:rPr>
                <w:sz w:val="18"/>
                <w:szCs w:val="18"/>
              </w:rPr>
            </w:pPr>
            <w:r w:rsidRPr="00064185">
              <w:rPr>
                <w:sz w:val="18"/>
                <w:szCs w:val="18"/>
              </w:rPr>
              <w:t>No</w:t>
            </w:r>
          </w:p>
        </w:tc>
        <w:tc>
          <w:tcPr>
            <w:tcW w:w="436" w:type="pct"/>
            <w:tcBorders>
              <w:top w:val="single" w:sz="4" w:space="0" w:color="auto"/>
            </w:tcBorders>
          </w:tcPr>
          <w:p w14:paraId="4704FB95" w14:textId="77777777" w:rsidR="00054AB2" w:rsidRPr="00064185" w:rsidRDefault="00054AB2" w:rsidP="00EA61D8">
            <w:pPr>
              <w:spacing w:before="60" w:after="60"/>
              <w:rPr>
                <w:sz w:val="18"/>
                <w:szCs w:val="18"/>
              </w:rPr>
            </w:pPr>
            <w:r w:rsidRPr="00064185">
              <w:rPr>
                <w:sz w:val="18"/>
                <w:szCs w:val="18"/>
              </w:rPr>
              <w:t>No</w:t>
            </w:r>
          </w:p>
        </w:tc>
        <w:tc>
          <w:tcPr>
            <w:tcW w:w="457" w:type="pct"/>
            <w:tcBorders>
              <w:top w:val="single" w:sz="4" w:space="0" w:color="auto"/>
            </w:tcBorders>
          </w:tcPr>
          <w:p w14:paraId="25344D29" w14:textId="77777777" w:rsidR="00054AB2" w:rsidRPr="00064185" w:rsidRDefault="00054AB2" w:rsidP="00EA61D8">
            <w:pPr>
              <w:spacing w:before="60" w:after="60"/>
              <w:rPr>
                <w:sz w:val="18"/>
                <w:szCs w:val="18"/>
              </w:rPr>
            </w:pPr>
            <w:r w:rsidRPr="00064185">
              <w:rPr>
                <w:sz w:val="18"/>
                <w:szCs w:val="18"/>
              </w:rPr>
              <w:t>Yes</w:t>
            </w:r>
          </w:p>
        </w:tc>
        <w:tc>
          <w:tcPr>
            <w:tcW w:w="426" w:type="pct"/>
            <w:tcBorders>
              <w:top w:val="single" w:sz="4" w:space="0" w:color="auto"/>
            </w:tcBorders>
          </w:tcPr>
          <w:p w14:paraId="6280E30D" w14:textId="77777777" w:rsidR="00054AB2" w:rsidRPr="00064185" w:rsidRDefault="00054AB2" w:rsidP="00EA61D8">
            <w:pPr>
              <w:spacing w:before="60" w:after="60"/>
              <w:rPr>
                <w:sz w:val="18"/>
                <w:szCs w:val="18"/>
              </w:rPr>
            </w:pPr>
            <w:r w:rsidRPr="00064185">
              <w:rPr>
                <w:sz w:val="18"/>
                <w:szCs w:val="18"/>
              </w:rPr>
              <w:t>COMPO GmbH &amp; Co. KG</w:t>
            </w:r>
          </w:p>
        </w:tc>
        <w:tc>
          <w:tcPr>
            <w:tcW w:w="466" w:type="pct"/>
            <w:tcBorders>
              <w:top w:val="single" w:sz="4" w:space="0" w:color="auto"/>
            </w:tcBorders>
          </w:tcPr>
          <w:p w14:paraId="05935CAB" w14:textId="77777777" w:rsidR="00054AB2" w:rsidRPr="00064185" w:rsidRDefault="00054AB2" w:rsidP="00EA61D8">
            <w:pPr>
              <w:spacing w:before="60" w:after="60"/>
              <w:rPr>
                <w:sz w:val="18"/>
                <w:szCs w:val="18"/>
              </w:rPr>
            </w:pPr>
            <w:r w:rsidRPr="00064185">
              <w:rPr>
                <w:sz w:val="18"/>
                <w:szCs w:val="18"/>
              </w:rPr>
              <w:t>6.7_05</w:t>
            </w:r>
          </w:p>
        </w:tc>
      </w:tr>
      <w:tr w:rsidR="00064185" w:rsidRPr="00064185" w14:paraId="00E88D77" w14:textId="77777777" w:rsidTr="00CA3291">
        <w:trPr>
          <w:cantSplit/>
          <w:jc w:val="center"/>
        </w:trPr>
        <w:tc>
          <w:tcPr>
            <w:tcW w:w="502" w:type="pct"/>
          </w:tcPr>
          <w:p w14:paraId="75EA7A4E" w14:textId="549102F4" w:rsidR="00054AB2" w:rsidRPr="00064185" w:rsidRDefault="00943B91" w:rsidP="00EA61D8">
            <w:pPr>
              <w:spacing w:before="60" w:after="60"/>
              <w:rPr>
                <w:sz w:val="18"/>
                <w:szCs w:val="18"/>
              </w:rPr>
            </w:pPr>
            <w:r w:rsidRPr="00064185">
              <w:rPr>
                <w:sz w:val="18"/>
                <w:szCs w:val="18"/>
              </w:rPr>
              <w:lastRenderedPageBreak/>
              <w:t>xxxxx</w:t>
            </w:r>
            <w:r w:rsidR="00054AB2" w:rsidRPr="00064185">
              <w:rPr>
                <w:sz w:val="18"/>
                <w:szCs w:val="18"/>
              </w:rPr>
              <w:t>.</w:t>
            </w:r>
          </w:p>
        </w:tc>
        <w:tc>
          <w:tcPr>
            <w:tcW w:w="326" w:type="pct"/>
          </w:tcPr>
          <w:p w14:paraId="3F630157" w14:textId="77777777" w:rsidR="00054AB2" w:rsidRPr="00064185" w:rsidRDefault="00054AB2" w:rsidP="00EA61D8">
            <w:pPr>
              <w:spacing w:before="60" w:after="60"/>
              <w:rPr>
                <w:sz w:val="18"/>
                <w:szCs w:val="18"/>
              </w:rPr>
            </w:pPr>
            <w:r w:rsidRPr="00064185">
              <w:rPr>
                <w:sz w:val="18"/>
                <w:szCs w:val="18"/>
              </w:rPr>
              <w:t>2008a</w:t>
            </w:r>
          </w:p>
        </w:tc>
        <w:tc>
          <w:tcPr>
            <w:tcW w:w="730" w:type="pct"/>
          </w:tcPr>
          <w:p w14:paraId="5437477D" w14:textId="77777777" w:rsidR="00054AB2" w:rsidRPr="00064185" w:rsidRDefault="00054AB2" w:rsidP="00EA61D8">
            <w:pPr>
              <w:spacing w:before="60" w:after="60"/>
              <w:rPr>
                <w:sz w:val="18"/>
                <w:szCs w:val="18"/>
              </w:rPr>
            </w:pPr>
            <w:r w:rsidRPr="00064185">
              <w:rPr>
                <w:sz w:val="18"/>
                <w:szCs w:val="18"/>
              </w:rPr>
              <w:t xml:space="preserve">Primary Eye Irritation Study in Rabbits – COM 116 </w:t>
            </w:r>
            <w:proofErr w:type="gramStart"/>
            <w:r w:rsidRPr="00064185">
              <w:rPr>
                <w:sz w:val="18"/>
                <w:szCs w:val="18"/>
              </w:rPr>
              <w:t>02 I</w:t>
            </w:r>
            <w:proofErr w:type="gramEnd"/>
            <w:r w:rsidRPr="00064185">
              <w:rPr>
                <w:sz w:val="18"/>
                <w:szCs w:val="18"/>
              </w:rPr>
              <w:t xml:space="preserve"> AL.</w:t>
            </w:r>
          </w:p>
          <w:p w14:paraId="67BE5AED" w14:textId="77777777" w:rsidR="00054AB2" w:rsidRPr="00064185" w:rsidRDefault="00054AB2" w:rsidP="00EA61D8">
            <w:pPr>
              <w:spacing w:before="60" w:after="60"/>
              <w:rPr>
                <w:sz w:val="18"/>
                <w:szCs w:val="18"/>
              </w:rPr>
            </w:pPr>
            <w:r w:rsidRPr="00064185">
              <w:rPr>
                <w:sz w:val="18"/>
                <w:szCs w:val="18"/>
              </w:rPr>
              <w:t>Date: 2008-07-11</w:t>
            </w:r>
          </w:p>
        </w:tc>
        <w:tc>
          <w:tcPr>
            <w:tcW w:w="730" w:type="pct"/>
          </w:tcPr>
          <w:p w14:paraId="0CB3321C" w14:textId="77777777" w:rsidR="00054AB2" w:rsidRPr="00064185" w:rsidRDefault="00054AB2" w:rsidP="00EA61D8">
            <w:pPr>
              <w:spacing w:before="60" w:after="60"/>
              <w:rPr>
                <w:sz w:val="18"/>
                <w:szCs w:val="18"/>
              </w:rPr>
            </w:pPr>
            <w:r w:rsidRPr="00064185">
              <w:rPr>
                <w:sz w:val="18"/>
                <w:szCs w:val="18"/>
                <w:highlight w:val="black"/>
              </w:rPr>
              <w:t>RCC Ltd</w:t>
            </w:r>
            <w:r w:rsidRPr="00064185">
              <w:rPr>
                <w:sz w:val="18"/>
                <w:szCs w:val="18"/>
              </w:rPr>
              <w:t>, Füllinsdorf, Switzerland</w:t>
            </w:r>
          </w:p>
        </w:tc>
        <w:tc>
          <w:tcPr>
            <w:tcW w:w="474" w:type="pct"/>
          </w:tcPr>
          <w:p w14:paraId="519600E3" w14:textId="77777777" w:rsidR="00054AB2" w:rsidRPr="00064185" w:rsidRDefault="00054AB2" w:rsidP="00EA61D8">
            <w:pPr>
              <w:spacing w:before="60" w:after="60"/>
              <w:rPr>
                <w:sz w:val="18"/>
                <w:szCs w:val="18"/>
              </w:rPr>
            </w:pPr>
            <w:r w:rsidRPr="00064185">
              <w:rPr>
                <w:sz w:val="18"/>
                <w:szCs w:val="18"/>
              </w:rPr>
              <w:t>B85296</w:t>
            </w:r>
          </w:p>
        </w:tc>
        <w:tc>
          <w:tcPr>
            <w:tcW w:w="453" w:type="pct"/>
          </w:tcPr>
          <w:p w14:paraId="02ACDE75" w14:textId="77777777" w:rsidR="00054AB2" w:rsidRPr="00064185" w:rsidRDefault="00054AB2" w:rsidP="00EA61D8">
            <w:pPr>
              <w:spacing w:before="60" w:after="60"/>
              <w:rPr>
                <w:sz w:val="18"/>
                <w:szCs w:val="18"/>
              </w:rPr>
            </w:pPr>
            <w:r w:rsidRPr="00064185">
              <w:rPr>
                <w:sz w:val="18"/>
                <w:szCs w:val="18"/>
              </w:rPr>
              <w:t>Yes</w:t>
            </w:r>
          </w:p>
        </w:tc>
        <w:tc>
          <w:tcPr>
            <w:tcW w:w="436" w:type="pct"/>
          </w:tcPr>
          <w:p w14:paraId="3CDEE7C0" w14:textId="77777777" w:rsidR="00054AB2" w:rsidRPr="00064185" w:rsidRDefault="00054AB2" w:rsidP="00EA61D8">
            <w:pPr>
              <w:spacing w:before="60" w:after="60"/>
              <w:rPr>
                <w:sz w:val="18"/>
                <w:szCs w:val="18"/>
              </w:rPr>
            </w:pPr>
            <w:r w:rsidRPr="00064185">
              <w:rPr>
                <w:sz w:val="18"/>
                <w:szCs w:val="18"/>
              </w:rPr>
              <w:t>No</w:t>
            </w:r>
          </w:p>
        </w:tc>
        <w:tc>
          <w:tcPr>
            <w:tcW w:w="457" w:type="pct"/>
          </w:tcPr>
          <w:p w14:paraId="4E6D81E6" w14:textId="77777777" w:rsidR="00054AB2" w:rsidRPr="00064185" w:rsidRDefault="00054AB2" w:rsidP="00EA61D8">
            <w:pPr>
              <w:spacing w:before="60" w:after="60"/>
              <w:rPr>
                <w:sz w:val="18"/>
                <w:szCs w:val="18"/>
              </w:rPr>
            </w:pPr>
            <w:r w:rsidRPr="00064185">
              <w:rPr>
                <w:sz w:val="18"/>
                <w:szCs w:val="18"/>
              </w:rPr>
              <w:t>Yes</w:t>
            </w:r>
          </w:p>
        </w:tc>
        <w:tc>
          <w:tcPr>
            <w:tcW w:w="426" w:type="pct"/>
          </w:tcPr>
          <w:p w14:paraId="5A1D3A88" w14:textId="77777777" w:rsidR="00054AB2" w:rsidRPr="00064185" w:rsidRDefault="00054AB2" w:rsidP="00EA61D8">
            <w:pPr>
              <w:spacing w:before="60" w:after="60"/>
              <w:rPr>
                <w:sz w:val="18"/>
                <w:szCs w:val="18"/>
              </w:rPr>
            </w:pPr>
            <w:r w:rsidRPr="00064185">
              <w:rPr>
                <w:sz w:val="18"/>
                <w:szCs w:val="18"/>
              </w:rPr>
              <w:t>COMPO GmbH &amp; Co. KG</w:t>
            </w:r>
          </w:p>
        </w:tc>
        <w:tc>
          <w:tcPr>
            <w:tcW w:w="466" w:type="pct"/>
          </w:tcPr>
          <w:p w14:paraId="2E5B556A" w14:textId="77777777" w:rsidR="00054AB2" w:rsidRPr="00064185" w:rsidRDefault="00054AB2" w:rsidP="00EA61D8">
            <w:pPr>
              <w:spacing w:before="60" w:after="60"/>
              <w:rPr>
                <w:sz w:val="18"/>
                <w:szCs w:val="18"/>
              </w:rPr>
            </w:pPr>
            <w:r w:rsidRPr="00064185">
              <w:rPr>
                <w:sz w:val="18"/>
                <w:szCs w:val="18"/>
              </w:rPr>
              <w:t>8.2</w:t>
            </w:r>
          </w:p>
        </w:tc>
      </w:tr>
      <w:tr w:rsidR="00064185" w:rsidRPr="00064185" w14:paraId="5BFF1337" w14:textId="77777777" w:rsidTr="00CA3291">
        <w:trPr>
          <w:cantSplit/>
          <w:jc w:val="center"/>
        </w:trPr>
        <w:tc>
          <w:tcPr>
            <w:tcW w:w="502" w:type="pct"/>
          </w:tcPr>
          <w:p w14:paraId="7487CC6B" w14:textId="44685140" w:rsidR="00054AB2" w:rsidRPr="00064185" w:rsidRDefault="00943B91" w:rsidP="00EA61D8">
            <w:pPr>
              <w:spacing w:before="60" w:after="60"/>
              <w:rPr>
                <w:sz w:val="18"/>
                <w:szCs w:val="18"/>
              </w:rPr>
            </w:pPr>
            <w:r w:rsidRPr="00064185">
              <w:rPr>
                <w:sz w:val="18"/>
                <w:szCs w:val="18"/>
              </w:rPr>
              <w:t>xxxxx</w:t>
            </w:r>
          </w:p>
        </w:tc>
        <w:tc>
          <w:tcPr>
            <w:tcW w:w="326" w:type="pct"/>
          </w:tcPr>
          <w:p w14:paraId="18BA1BF0" w14:textId="77777777" w:rsidR="00054AB2" w:rsidRPr="00064185" w:rsidRDefault="00054AB2" w:rsidP="00EA61D8">
            <w:pPr>
              <w:spacing w:before="60" w:after="60"/>
              <w:rPr>
                <w:sz w:val="18"/>
                <w:szCs w:val="18"/>
              </w:rPr>
            </w:pPr>
            <w:r w:rsidRPr="00064185">
              <w:rPr>
                <w:sz w:val="18"/>
                <w:szCs w:val="18"/>
              </w:rPr>
              <w:t>2008b</w:t>
            </w:r>
          </w:p>
        </w:tc>
        <w:tc>
          <w:tcPr>
            <w:tcW w:w="730" w:type="pct"/>
          </w:tcPr>
          <w:p w14:paraId="36CE76F7" w14:textId="77777777" w:rsidR="00054AB2" w:rsidRPr="00064185" w:rsidRDefault="00054AB2" w:rsidP="00EA61D8">
            <w:pPr>
              <w:spacing w:before="60" w:after="60"/>
              <w:rPr>
                <w:sz w:val="18"/>
                <w:szCs w:val="18"/>
              </w:rPr>
            </w:pPr>
            <w:r w:rsidRPr="00064185">
              <w:rPr>
                <w:sz w:val="18"/>
                <w:szCs w:val="18"/>
              </w:rPr>
              <w:t>Contact Hypersensitivity in Albino Guinea Pigs, Maximization-Test – COM 116 02 I AL.</w:t>
            </w:r>
          </w:p>
          <w:p w14:paraId="29B6C516" w14:textId="77777777" w:rsidR="00054AB2" w:rsidRPr="00064185" w:rsidRDefault="00054AB2" w:rsidP="00EA61D8">
            <w:pPr>
              <w:spacing w:before="60" w:after="60"/>
              <w:rPr>
                <w:sz w:val="18"/>
                <w:szCs w:val="18"/>
              </w:rPr>
            </w:pPr>
            <w:r w:rsidRPr="00064185">
              <w:rPr>
                <w:sz w:val="18"/>
                <w:szCs w:val="18"/>
              </w:rPr>
              <w:t>Date: 2008-07-11</w:t>
            </w:r>
          </w:p>
        </w:tc>
        <w:tc>
          <w:tcPr>
            <w:tcW w:w="730" w:type="pct"/>
          </w:tcPr>
          <w:p w14:paraId="63B3B149" w14:textId="77777777" w:rsidR="00054AB2" w:rsidRPr="00064185" w:rsidRDefault="00054AB2" w:rsidP="00EA61D8">
            <w:pPr>
              <w:spacing w:before="60" w:after="60"/>
              <w:rPr>
                <w:sz w:val="18"/>
                <w:szCs w:val="18"/>
              </w:rPr>
            </w:pPr>
            <w:r w:rsidRPr="00064185">
              <w:rPr>
                <w:sz w:val="18"/>
                <w:szCs w:val="18"/>
                <w:highlight w:val="black"/>
              </w:rPr>
              <w:t>RCC Ltd</w:t>
            </w:r>
            <w:r w:rsidRPr="00064185">
              <w:rPr>
                <w:sz w:val="18"/>
                <w:szCs w:val="18"/>
              </w:rPr>
              <w:t>, Füllinsdorf, Switzerland</w:t>
            </w:r>
          </w:p>
        </w:tc>
        <w:tc>
          <w:tcPr>
            <w:tcW w:w="474" w:type="pct"/>
          </w:tcPr>
          <w:p w14:paraId="7FA5249E" w14:textId="77777777" w:rsidR="00054AB2" w:rsidRPr="00064185" w:rsidRDefault="00054AB2" w:rsidP="00EA61D8">
            <w:pPr>
              <w:spacing w:before="60" w:after="60"/>
              <w:rPr>
                <w:sz w:val="18"/>
                <w:szCs w:val="18"/>
              </w:rPr>
            </w:pPr>
            <w:r w:rsidRPr="00064185">
              <w:rPr>
                <w:sz w:val="18"/>
                <w:szCs w:val="18"/>
              </w:rPr>
              <w:t>B85307</w:t>
            </w:r>
          </w:p>
        </w:tc>
        <w:tc>
          <w:tcPr>
            <w:tcW w:w="453" w:type="pct"/>
          </w:tcPr>
          <w:p w14:paraId="7D7ABF33" w14:textId="77777777" w:rsidR="00054AB2" w:rsidRPr="00064185" w:rsidRDefault="00054AB2" w:rsidP="00EA61D8">
            <w:pPr>
              <w:spacing w:before="60" w:after="60"/>
              <w:rPr>
                <w:sz w:val="18"/>
                <w:szCs w:val="18"/>
              </w:rPr>
            </w:pPr>
            <w:r w:rsidRPr="00064185">
              <w:rPr>
                <w:sz w:val="18"/>
                <w:szCs w:val="18"/>
              </w:rPr>
              <w:t>Yes</w:t>
            </w:r>
          </w:p>
        </w:tc>
        <w:tc>
          <w:tcPr>
            <w:tcW w:w="436" w:type="pct"/>
          </w:tcPr>
          <w:p w14:paraId="690606D4" w14:textId="77777777" w:rsidR="00054AB2" w:rsidRPr="00064185" w:rsidRDefault="00054AB2" w:rsidP="00EA61D8">
            <w:pPr>
              <w:spacing w:before="60" w:after="60"/>
              <w:rPr>
                <w:sz w:val="18"/>
                <w:szCs w:val="18"/>
              </w:rPr>
            </w:pPr>
            <w:r w:rsidRPr="00064185">
              <w:rPr>
                <w:sz w:val="18"/>
                <w:szCs w:val="18"/>
              </w:rPr>
              <w:t>No</w:t>
            </w:r>
          </w:p>
        </w:tc>
        <w:tc>
          <w:tcPr>
            <w:tcW w:w="457" w:type="pct"/>
          </w:tcPr>
          <w:p w14:paraId="2740E43C" w14:textId="77777777" w:rsidR="00054AB2" w:rsidRPr="00064185" w:rsidRDefault="00054AB2" w:rsidP="00EA61D8">
            <w:pPr>
              <w:spacing w:before="60" w:after="60"/>
              <w:rPr>
                <w:sz w:val="18"/>
                <w:szCs w:val="18"/>
              </w:rPr>
            </w:pPr>
            <w:r w:rsidRPr="00064185">
              <w:rPr>
                <w:sz w:val="18"/>
                <w:szCs w:val="18"/>
              </w:rPr>
              <w:t>Yes</w:t>
            </w:r>
          </w:p>
        </w:tc>
        <w:tc>
          <w:tcPr>
            <w:tcW w:w="426" w:type="pct"/>
          </w:tcPr>
          <w:p w14:paraId="7F8096E1" w14:textId="77777777" w:rsidR="00054AB2" w:rsidRPr="00064185" w:rsidRDefault="00054AB2" w:rsidP="00EA61D8">
            <w:pPr>
              <w:spacing w:before="60" w:after="60"/>
              <w:rPr>
                <w:sz w:val="18"/>
                <w:szCs w:val="18"/>
              </w:rPr>
            </w:pPr>
            <w:r w:rsidRPr="00064185">
              <w:rPr>
                <w:sz w:val="18"/>
                <w:szCs w:val="18"/>
              </w:rPr>
              <w:t>COMPO GmbH &amp; Co. KG</w:t>
            </w:r>
          </w:p>
        </w:tc>
        <w:tc>
          <w:tcPr>
            <w:tcW w:w="466" w:type="pct"/>
          </w:tcPr>
          <w:p w14:paraId="032921B7" w14:textId="77777777" w:rsidR="00054AB2" w:rsidRPr="00064185" w:rsidRDefault="00054AB2" w:rsidP="00EA61D8">
            <w:pPr>
              <w:spacing w:before="60" w:after="60"/>
              <w:rPr>
                <w:sz w:val="18"/>
                <w:szCs w:val="18"/>
              </w:rPr>
            </w:pPr>
            <w:r w:rsidRPr="00064185">
              <w:rPr>
                <w:sz w:val="18"/>
                <w:szCs w:val="18"/>
              </w:rPr>
              <w:t>8.3</w:t>
            </w:r>
          </w:p>
        </w:tc>
      </w:tr>
      <w:tr w:rsidR="00064185" w:rsidRPr="00064185" w14:paraId="4E8FB1DA" w14:textId="77777777" w:rsidTr="00CA3291">
        <w:trPr>
          <w:cantSplit/>
          <w:jc w:val="center"/>
        </w:trPr>
        <w:tc>
          <w:tcPr>
            <w:tcW w:w="502" w:type="pct"/>
          </w:tcPr>
          <w:p w14:paraId="6391057D" w14:textId="77777777" w:rsidR="00054AB2" w:rsidRPr="00064185" w:rsidRDefault="00054AB2" w:rsidP="00EA61D8">
            <w:pPr>
              <w:spacing w:before="60" w:after="60"/>
              <w:rPr>
                <w:sz w:val="18"/>
              </w:rPr>
            </w:pPr>
            <w:r w:rsidRPr="00064185">
              <w:rPr>
                <w:sz w:val="18"/>
              </w:rPr>
              <w:t>Jackson, W.A.</w:t>
            </w:r>
          </w:p>
        </w:tc>
        <w:tc>
          <w:tcPr>
            <w:tcW w:w="326" w:type="pct"/>
          </w:tcPr>
          <w:p w14:paraId="4D8C7B74" w14:textId="77777777" w:rsidR="00054AB2" w:rsidRPr="00064185" w:rsidRDefault="00054AB2" w:rsidP="00EA61D8">
            <w:pPr>
              <w:spacing w:before="60" w:after="60"/>
              <w:rPr>
                <w:sz w:val="18"/>
              </w:rPr>
            </w:pPr>
            <w:r w:rsidRPr="00064185">
              <w:rPr>
                <w:sz w:val="18"/>
              </w:rPr>
              <w:t>2009a</w:t>
            </w:r>
          </w:p>
        </w:tc>
        <w:tc>
          <w:tcPr>
            <w:tcW w:w="730" w:type="pct"/>
          </w:tcPr>
          <w:p w14:paraId="2168F253" w14:textId="77777777" w:rsidR="00054AB2" w:rsidRPr="00064185" w:rsidRDefault="00054AB2" w:rsidP="00EA61D8">
            <w:pPr>
              <w:spacing w:before="60" w:after="60"/>
              <w:rPr>
                <w:sz w:val="18"/>
              </w:rPr>
            </w:pPr>
            <w:r w:rsidRPr="00064185">
              <w:rPr>
                <w:sz w:val="18"/>
              </w:rPr>
              <w:t>A16132A – Explosive properties.</w:t>
            </w:r>
          </w:p>
          <w:p w14:paraId="5225242E" w14:textId="77777777" w:rsidR="00054AB2" w:rsidRPr="00064185" w:rsidRDefault="00054AB2" w:rsidP="00EA61D8">
            <w:pPr>
              <w:spacing w:before="60" w:after="60"/>
              <w:rPr>
                <w:sz w:val="18"/>
              </w:rPr>
            </w:pPr>
            <w:r w:rsidRPr="00064185">
              <w:rPr>
                <w:sz w:val="18"/>
              </w:rPr>
              <w:t>Date: 2009-06-25</w:t>
            </w:r>
          </w:p>
        </w:tc>
        <w:tc>
          <w:tcPr>
            <w:tcW w:w="730" w:type="pct"/>
          </w:tcPr>
          <w:p w14:paraId="75E9E43B" w14:textId="77777777" w:rsidR="00054AB2" w:rsidRPr="00064185" w:rsidRDefault="00054AB2" w:rsidP="00EA61D8">
            <w:pPr>
              <w:spacing w:before="60" w:after="60"/>
              <w:rPr>
                <w:sz w:val="18"/>
              </w:rPr>
            </w:pPr>
            <w:r w:rsidRPr="00064185">
              <w:rPr>
                <w:sz w:val="18"/>
              </w:rPr>
              <w:t>Syngenta Technology and Projects, Process Hazards Section, Huddersfield, UK</w:t>
            </w:r>
          </w:p>
        </w:tc>
        <w:tc>
          <w:tcPr>
            <w:tcW w:w="474" w:type="pct"/>
          </w:tcPr>
          <w:p w14:paraId="28E59E60" w14:textId="77777777" w:rsidR="00054AB2" w:rsidRPr="00064185" w:rsidRDefault="00054AB2" w:rsidP="00EA61D8">
            <w:pPr>
              <w:spacing w:before="60" w:after="60"/>
              <w:rPr>
                <w:sz w:val="18"/>
              </w:rPr>
            </w:pPr>
            <w:r w:rsidRPr="00064185">
              <w:rPr>
                <w:sz w:val="18"/>
              </w:rPr>
              <w:t>HT09/190</w:t>
            </w:r>
          </w:p>
        </w:tc>
        <w:tc>
          <w:tcPr>
            <w:tcW w:w="453" w:type="pct"/>
          </w:tcPr>
          <w:p w14:paraId="0BF994EE" w14:textId="77777777" w:rsidR="00054AB2" w:rsidRPr="00064185" w:rsidRDefault="00054AB2" w:rsidP="00EA61D8">
            <w:pPr>
              <w:spacing w:before="60" w:after="60"/>
              <w:rPr>
                <w:sz w:val="18"/>
              </w:rPr>
            </w:pPr>
            <w:r w:rsidRPr="00064185">
              <w:rPr>
                <w:sz w:val="18"/>
              </w:rPr>
              <w:t>Yes</w:t>
            </w:r>
          </w:p>
        </w:tc>
        <w:tc>
          <w:tcPr>
            <w:tcW w:w="436" w:type="pct"/>
          </w:tcPr>
          <w:p w14:paraId="00D32FF4" w14:textId="77777777" w:rsidR="00054AB2" w:rsidRPr="00064185" w:rsidRDefault="00054AB2" w:rsidP="00EA61D8">
            <w:pPr>
              <w:spacing w:before="60" w:after="60"/>
              <w:rPr>
                <w:sz w:val="18"/>
              </w:rPr>
            </w:pPr>
            <w:r w:rsidRPr="00064185">
              <w:rPr>
                <w:sz w:val="18"/>
              </w:rPr>
              <w:t>No</w:t>
            </w:r>
          </w:p>
        </w:tc>
        <w:tc>
          <w:tcPr>
            <w:tcW w:w="457" w:type="pct"/>
          </w:tcPr>
          <w:p w14:paraId="40E34DAD" w14:textId="77777777" w:rsidR="00054AB2" w:rsidRPr="00064185" w:rsidRDefault="00054AB2" w:rsidP="00EA61D8">
            <w:pPr>
              <w:spacing w:before="60" w:after="60"/>
              <w:rPr>
                <w:sz w:val="18"/>
              </w:rPr>
            </w:pPr>
            <w:r w:rsidRPr="00064185">
              <w:rPr>
                <w:sz w:val="18"/>
              </w:rPr>
              <w:t>Yes</w:t>
            </w:r>
          </w:p>
        </w:tc>
        <w:tc>
          <w:tcPr>
            <w:tcW w:w="426" w:type="pct"/>
          </w:tcPr>
          <w:p w14:paraId="6B27BBDD" w14:textId="77777777" w:rsidR="00054AB2" w:rsidRPr="00064185" w:rsidRDefault="00054AB2" w:rsidP="00EA61D8">
            <w:pPr>
              <w:spacing w:before="60" w:after="60"/>
              <w:rPr>
                <w:sz w:val="18"/>
                <w:lang w:val="de-AT"/>
              </w:rPr>
            </w:pPr>
            <w:r w:rsidRPr="00064185">
              <w:rPr>
                <w:sz w:val="18"/>
                <w:lang w:val="de-AT"/>
              </w:rPr>
              <w:t>Syngenta Crop Protection Münchwilen AG</w:t>
            </w:r>
          </w:p>
        </w:tc>
        <w:tc>
          <w:tcPr>
            <w:tcW w:w="466" w:type="pct"/>
          </w:tcPr>
          <w:p w14:paraId="6E5F06AB" w14:textId="77777777" w:rsidR="00054AB2" w:rsidRPr="00064185" w:rsidRDefault="00054AB2" w:rsidP="00EA61D8">
            <w:pPr>
              <w:spacing w:before="60" w:after="60"/>
              <w:rPr>
                <w:sz w:val="18"/>
              </w:rPr>
            </w:pPr>
            <w:r w:rsidRPr="00064185">
              <w:rPr>
                <w:sz w:val="18"/>
              </w:rPr>
              <w:t>4.1</w:t>
            </w:r>
          </w:p>
        </w:tc>
      </w:tr>
      <w:tr w:rsidR="00064185" w:rsidRPr="00064185" w14:paraId="692AC49A" w14:textId="77777777" w:rsidTr="00CA3291">
        <w:trPr>
          <w:cantSplit/>
          <w:jc w:val="center"/>
        </w:trPr>
        <w:tc>
          <w:tcPr>
            <w:tcW w:w="502" w:type="pct"/>
          </w:tcPr>
          <w:p w14:paraId="79A6C90A" w14:textId="77777777" w:rsidR="00054AB2" w:rsidRPr="00064185" w:rsidRDefault="00054AB2" w:rsidP="00EA61D8">
            <w:pPr>
              <w:spacing w:before="60" w:after="60"/>
              <w:rPr>
                <w:sz w:val="18"/>
              </w:rPr>
            </w:pPr>
            <w:r w:rsidRPr="00064185">
              <w:rPr>
                <w:sz w:val="18"/>
              </w:rPr>
              <w:t>Jackson, W.A.</w:t>
            </w:r>
          </w:p>
        </w:tc>
        <w:tc>
          <w:tcPr>
            <w:tcW w:w="326" w:type="pct"/>
          </w:tcPr>
          <w:p w14:paraId="0E7B8477" w14:textId="77777777" w:rsidR="00054AB2" w:rsidRPr="00064185" w:rsidRDefault="00054AB2" w:rsidP="00EA61D8">
            <w:pPr>
              <w:spacing w:before="60" w:after="60"/>
              <w:rPr>
                <w:sz w:val="18"/>
              </w:rPr>
            </w:pPr>
            <w:r w:rsidRPr="00064185">
              <w:rPr>
                <w:sz w:val="18"/>
              </w:rPr>
              <w:t>2009b</w:t>
            </w:r>
          </w:p>
        </w:tc>
        <w:tc>
          <w:tcPr>
            <w:tcW w:w="730" w:type="pct"/>
          </w:tcPr>
          <w:p w14:paraId="33957836" w14:textId="77777777" w:rsidR="00054AB2" w:rsidRPr="00064185" w:rsidRDefault="00054AB2" w:rsidP="00EA61D8">
            <w:pPr>
              <w:spacing w:before="60" w:after="60"/>
              <w:rPr>
                <w:sz w:val="18"/>
              </w:rPr>
            </w:pPr>
            <w:r w:rsidRPr="00064185">
              <w:rPr>
                <w:sz w:val="18"/>
              </w:rPr>
              <w:t>A16132A – Oxidising properties.</w:t>
            </w:r>
          </w:p>
          <w:p w14:paraId="08318530" w14:textId="77777777" w:rsidR="00054AB2" w:rsidRPr="00064185" w:rsidRDefault="00054AB2" w:rsidP="00EA61D8">
            <w:pPr>
              <w:spacing w:before="60" w:after="60"/>
              <w:rPr>
                <w:sz w:val="18"/>
              </w:rPr>
            </w:pPr>
            <w:r w:rsidRPr="00064185">
              <w:rPr>
                <w:sz w:val="18"/>
              </w:rPr>
              <w:t>Date: 2009-06-25</w:t>
            </w:r>
          </w:p>
        </w:tc>
        <w:tc>
          <w:tcPr>
            <w:tcW w:w="730" w:type="pct"/>
          </w:tcPr>
          <w:p w14:paraId="6ECF468B" w14:textId="77777777" w:rsidR="00054AB2" w:rsidRPr="00064185" w:rsidRDefault="00054AB2" w:rsidP="00EA61D8">
            <w:pPr>
              <w:spacing w:before="60" w:after="60"/>
              <w:rPr>
                <w:sz w:val="18"/>
              </w:rPr>
            </w:pPr>
            <w:r w:rsidRPr="00064185">
              <w:rPr>
                <w:sz w:val="18"/>
              </w:rPr>
              <w:t>Syngenta Technology and Projects, Process Hazards Section, Huddersfield, UK</w:t>
            </w:r>
          </w:p>
        </w:tc>
        <w:tc>
          <w:tcPr>
            <w:tcW w:w="474" w:type="pct"/>
          </w:tcPr>
          <w:p w14:paraId="20D246F9" w14:textId="77777777" w:rsidR="00054AB2" w:rsidRPr="00064185" w:rsidRDefault="00054AB2" w:rsidP="00EA61D8">
            <w:pPr>
              <w:spacing w:before="60" w:after="60"/>
              <w:rPr>
                <w:sz w:val="18"/>
              </w:rPr>
            </w:pPr>
            <w:r w:rsidRPr="00064185">
              <w:rPr>
                <w:sz w:val="18"/>
              </w:rPr>
              <w:t>HT09/192</w:t>
            </w:r>
          </w:p>
        </w:tc>
        <w:tc>
          <w:tcPr>
            <w:tcW w:w="453" w:type="pct"/>
          </w:tcPr>
          <w:p w14:paraId="3DF97754" w14:textId="77777777" w:rsidR="00054AB2" w:rsidRPr="00064185" w:rsidRDefault="00054AB2" w:rsidP="00EA61D8">
            <w:pPr>
              <w:spacing w:before="60" w:after="60"/>
              <w:rPr>
                <w:sz w:val="18"/>
              </w:rPr>
            </w:pPr>
            <w:r w:rsidRPr="00064185">
              <w:rPr>
                <w:sz w:val="18"/>
              </w:rPr>
              <w:t>Yes</w:t>
            </w:r>
          </w:p>
        </w:tc>
        <w:tc>
          <w:tcPr>
            <w:tcW w:w="436" w:type="pct"/>
          </w:tcPr>
          <w:p w14:paraId="2663A630" w14:textId="77777777" w:rsidR="00054AB2" w:rsidRPr="00064185" w:rsidRDefault="00054AB2" w:rsidP="00EA61D8">
            <w:pPr>
              <w:spacing w:before="60" w:after="60"/>
              <w:rPr>
                <w:sz w:val="18"/>
              </w:rPr>
            </w:pPr>
            <w:r w:rsidRPr="00064185">
              <w:rPr>
                <w:sz w:val="18"/>
              </w:rPr>
              <w:t>No</w:t>
            </w:r>
          </w:p>
        </w:tc>
        <w:tc>
          <w:tcPr>
            <w:tcW w:w="457" w:type="pct"/>
          </w:tcPr>
          <w:p w14:paraId="57EB3CA7" w14:textId="77777777" w:rsidR="00054AB2" w:rsidRPr="00064185" w:rsidRDefault="00054AB2" w:rsidP="00EA61D8">
            <w:pPr>
              <w:spacing w:before="60" w:after="60"/>
              <w:rPr>
                <w:sz w:val="18"/>
              </w:rPr>
            </w:pPr>
            <w:r w:rsidRPr="00064185">
              <w:rPr>
                <w:sz w:val="18"/>
              </w:rPr>
              <w:t>Yes</w:t>
            </w:r>
          </w:p>
        </w:tc>
        <w:tc>
          <w:tcPr>
            <w:tcW w:w="426" w:type="pct"/>
          </w:tcPr>
          <w:p w14:paraId="7682BBDD" w14:textId="77777777" w:rsidR="00054AB2" w:rsidRPr="00064185" w:rsidRDefault="00054AB2" w:rsidP="00EA61D8">
            <w:pPr>
              <w:spacing w:before="60" w:after="60"/>
              <w:rPr>
                <w:sz w:val="18"/>
                <w:lang w:val="de-AT"/>
              </w:rPr>
            </w:pPr>
            <w:r w:rsidRPr="00064185">
              <w:rPr>
                <w:sz w:val="18"/>
                <w:lang w:val="de-AT"/>
              </w:rPr>
              <w:t>Syngenta Crop Protection Münchwilen AG</w:t>
            </w:r>
          </w:p>
        </w:tc>
        <w:tc>
          <w:tcPr>
            <w:tcW w:w="466" w:type="pct"/>
          </w:tcPr>
          <w:p w14:paraId="106E0E64" w14:textId="77777777" w:rsidR="00054AB2" w:rsidRPr="00064185" w:rsidRDefault="00054AB2" w:rsidP="00EA61D8">
            <w:pPr>
              <w:spacing w:before="60" w:after="60"/>
              <w:rPr>
                <w:sz w:val="18"/>
              </w:rPr>
            </w:pPr>
            <w:r w:rsidRPr="00064185">
              <w:rPr>
                <w:sz w:val="18"/>
              </w:rPr>
              <w:t>4.4</w:t>
            </w:r>
          </w:p>
        </w:tc>
      </w:tr>
      <w:tr w:rsidR="00064185" w:rsidRPr="00064185" w14:paraId="6177127D" w14:textId="77777777" w:rsidTr="00CA3291">
        <w:trPr>
          <w:cantSplit/>
          <w:jc w:val="center"/>
        </w:trPr>
        <w:tc>
          <w:tcPr>
            <w:tcW w:w="502" w:type="pct"/>
          </w:tcPr>
          <w:p w14:paraId="28C54394" w14:textId="77777777" w:rsidR="00054AB2" w:rsidRPr="00064185" w:rsidRDefault="00054AB2" w:rsidP="00EA61D8">
            <w:pPr>
              <w:spacing w:before="60" w:after="60"/>
              <w:rPr>
                <w:sz w:val="18"/>
              </w:rPr>
            </w:pPr>
            <w:r w:rsidRPr="00064185">
              <w:rPr>
                <w:sz w:val="18"/>
              </w:rPr>
              <w:t>Jackson, W.A.</w:t>
            </w:r>
          </w:p>
        </w:tc>
        <w:tc>
          <w:tcPr>
            <w:tcW w:w="326" w:type="pct"/>
          </w:tcPr>
          <w:p w14:paraId="32BE535E" w14:textId="77777777" w:rsidR="00054AB2" w:rsidRPr="00064185" w:rsidRDefault="00054AB2" w:rsidP="00EA61D8">
            <w:pPr>
              <w:spacing w:before="60" w:after="60"/>
              <w:rPr>
                <w:sz w:val="18"/>
              </w:rPr>
            </w:pPr>
            <w:r w:rsidRPr="00064185">
              <w:rPr>
                <w:sz w:val="18"/>
              </w:rPr>
              <w:t>2009c</w:t>
            </w:r>
          </w:p>
        </w:tc>
        <w:tc>
          <w:tcPr>
            <w:tcW w:w="730" w:type="pct"/>
          </w:tcPr>
          <w:p w14:paraId="4A910561" w14:textId="77777777" w:rsidR="00054AB2" w:rsidRPr="00064185" w:rsidRDefault="00054AB2" w:rsidP="00EA61D8">
            <w:pPr>
              <w:spacing w:before="60" w:after="60"/>
              <w:rPr>
                <w:sz w:val="18"/>
              </w:rPr>
            </w:pPr>
            <w:r w:rsidRPr="00064185">
              <w:rPr>
                <w:sz w:val="18"/>
              </w:rPr>
              <w:t>A16132A – Flash point.</w:t>
            </w:r>
          </w:p>
          <w:p w14:paraId="388837F9" w14:textId="77777777" w:rsidR="00054AB2" w:rsidRPr="00064185" w:rsidRDefault="00054AB2" w:rsidP="00EA61D8">
            <w:pPr>
              <w:spacing w:before="60" w:after="60"/>
              <w:rPr>
                <w:sz w:val="18"/>
              </w:rPr>
            </w:pPr>
            <w:r w:rsidRPr="00064185">
              <w:rPr>
                <w:sz w:val="18"/>
              </w:rPr>
              <w:t>Date: 2009-06-25</w:t>
            </w:r>
          </w:p>
        </w:tc>
        <w:tc>
          <w:tcPr>
            <w:tcW w:w="730" w:type="pct"/>
          </w:tcPr>
          <w:p w14:paraId="5CD82E36" w14:textId="77777777" w:rsidR="00054AB2" w:rsidRPr="00064185" w:rsidRDefault="00054AB2" w:rsidP="00EA61D8">
            <w:pPr>
              <w:spacing w:before="60" w:after="60"/>
              <w:rPr>
                <w:sz w:val="18"/>
              </w:rPr>
            </w:pPr>
            <w:r w:rsidRPr="00064185">
              <w:rPr>
                <w:sz w:val="18"/>
              </w:rPr>
              <w:t>Syngenta Technology and Projects, Process Hazards Section, Huddersfield, UK</w:t>
            </w:r>
          </w:p>
        </w:tc>
        <w:tc>
          <w:tcPr>
            <w:tcW w:w="474" w:type="pct"/>
          </w:tcPr>
          <w:p w14:paraId="6C71B6E4" w14:textId="77777777" w:rsidR="00054AB2" w:rsidRPr="00064185" w:rsidRDefault="00054AB2" w:rsidP="00EA61D8">
            <w:pPr>
              <w:spacing w:before="60" w:after="60"/>
              <w:rPr>
                <w:sz w:val="18"/>
              </w:rPr>
            </w:pPr>
            <w:r w:rsidRPr="00064185">
              <w:rPr>
                <w:sz w:val="18"/>
              </w:rPr>
              <w:t>HT09/189</w:t>
            </w:r>
          </w:p>
        </w:tc>
        <w:tc>
          <w:tcPr>
            <w:tcW w:w="453" w:type="pct"/>
          </w:tcPr>
          <w:p w14:paraId="61822A88" w14:textId="77777777" w:rsidR="00054AB2" w:rsidRPr="00064185" w:rsidRDefault="00054AB2" w:rsidP="00EA61D8">
            <w:pPr>
              <w:spacing w:before="60" w:after="60"/>
              <w:rPr>
                <w:sz w:val="18"/>
              </w:rPr>
            </w:pPr>
            <w:r w:rsidRPr="00064185">
              <w:rPr>
                <w:sz w:val="18"/>
              </w:rPr>
              <w:t>Yes</w:t>
            </w:r>
          </w:p>
        </w:tc>
        <w:tc>
          <w:tcPr>
            <w:tcW w:w="436" w:type="pct"/>
          </w:tcPr>
          <w:p w14:paraId="59A69E36" w14:textId="77777777" w:rsidR="00054AB2" w:rsidRPr="00064185" w:rsidRDefault="00054AB2" w:rsidP="00EA61D8">
            <w:pPr>
              <w:spacing w:before="60" w:after="60"/>
              <w:rPr>
                <w:sz w:val="18"/>
              </w:rPr>
            </w:pPr>
            <w:r w:rsidRPr="00064185">
              <w:rPr>
                <w:sz w:val="18"/>
              </w:rPr>
              <w:t>No</w:t>
            </w:r>
          </w:p>
        </w:tc>
        <w:tc>
          <w:tcPr>
            <w:tcW w:w="457" w:type="pct"/>
          </w:tcPr>
          <w:p w14:paraId="681072A7" w14:textId="77777777" w:rsidR="00054AB2" w:rsidRPr="00064185" w:rsidRDefault="00054AB2" w:rsidP="00EA61D8">
            <w:pPr>
              <w:spacing w:before="60" w:after="60"/>
              <w:rPr>
                <w:sz w:val="18"/>
              </w:rPr>
            </w:pPr>
            <w:r w:rsidRPr="00064185">
              <w:rPr>
                <w:sz w:val="18"/>
              </w:rPr>
              <w:t>Yes</w:t>
            </w:r>
          </w:p>
        </w:tc>
        <w:tc>
          <w:tcPr>
            <w:tcW w:w="426" w:type="pct"/>
          </w:tcPr>
          <w:p w14:paraId="5A0B663B" w14:textId="77777777" w:rsidR="00054AB2" w:rsidRPr="00064185" w:rsidRDefault="00054AB2" w:rsidP="00EA61D8">
            <w:pPr>
              <w:spacing w:before="60" w:after="60"/>
              <w:rPr>
                <w:sz w:val="18"/>
                <w:lang w:val="de-AT"/>
              </w:rPr>
            </w:pPr>
            <w:r w:rsidRPr="00064185">
              <w:rPr>
                <w:sz w:val="18"/>
                <w:lang w:val="de-AT"/>
              </w:rPr>
              <w:t>Syngenta Crop Protection Münchwilen AG</w:t>
            </w:r>
          </w:p>
        </w:tc>
        <w:tc>
          <w:tcPr>
            <w:tcW w:w="466" w:type="pct"/>
          </w:tcPr>
          <w:p w14:paraId="025DBF0D" w14:textId="77777777" w:rsidR="00054AB2" w:rsidRPr="00064185" w:rsidRDefault="00054AB2" w:rsidP="00EA61D8">
            <w:pPr>
              <w:spacing w:before="60" w:after="60"/>
              <w:rPr>
                <w:sz w:val="18"/>
              </w:rPr>
            </w:pPr>
            <w:r w:rsidRPr="00064185">
              <w:rPr>
                <w:sz w:val="18"/>
              </w:rPr>
              <w:t>4.2</w:t>
            </w:r>
          </w:p>
        </w:tc>
      </w:tr>
      <w:tr w:rsidR="00064185" w:rsidRPr="00064185" w14:paraId="71B85FC4" w14:textId="77777777" w:rsidTr="00CA3291">
        <w:trPr>
          <w:cantSplit/>
          <w:jc w:val="center"/>
        </w:trPr>
        <w:tc>
          <w:tcPr>
            <w:tcW w:w="502" w:type="pct"/>
          </w:tcPr>
          <w:p w14:paraId="300D2B2B" w14:textId="77777777" w:rsidR="00054AB2" w:rsidRPr="00064185" w:rsidRDefault="00054AB2" w:rsidP="00EA61D8">
            <w:pPr>
              <w:spacing w:before="60" w:after="60"/>
              <w:rPr>
                <w:sz w:val="18"/>
              </w:rPr>
            </w:pPr>
            <w:r w:rsidRPr="00064185">
              <w:rPr>
                <w:sz w:val="18"/>
              </w:rPr>
              <w:lastRenderedPageBreak/>
              <w:t>Jackson, W.A.</w:t>
            </w:r>
          </w:p>
        </w:tc>
        <w:tc>
          <w:tcPr>
            <w:tcW w:w="326" w:type="pct"/>
          </w:tcPr>
          <w:p w14:paraId="043DCE5E" w14:textId="77777777" w:rsidR="00054AB2" w:rsidRPr="00064185" w:rsidRDefault="00054AB2" w:rsidP="00EA61D8">
            <w:pPr>
              <w:spacing w:before="60" w:after="60"/>
              <w:rPr>
                <w:sz w:val="18"/>
              </w:rPr>
            </w:pPr>
            <w:r w:rsidRPr="00064185">
              <w:rPr>
                <w:sz w:val="18"/>
              </w:rPr>
              <w:t>2009d</w:t>
            </w:r>
          </w:p>
        </w:tc>
        <w:tc>
          <w:tcPr>
            <w:tcW w:w="730" w:type="pct"/>
          </w:tcPr>
          <w:p w14:paraId="52229309" w14:textId="77777777" w:rsidR="00054AB2" w:rsidRPr="00064185" w:rsidRDefault="00054AB2" w:rsidP="00EA61D8">
            <w:pPr>
              <w:spacing w:before="60" w:after="60"/>
              <w:rPr>
                <w:sz w:val="18"/>
              </w:rPr>
            </w:pPr>
            <w:r w:rsidRPr="00064185">
              <w:rPr>
                <w:sz w:val="18"/>
              </w:rPr>
              <w:t>A16132A – Auto-ignition temperature.</w:t>
            </w:r>
          </w:p>
          <w:p w14:paraId="136FA487" w14:textId="77777777" w:rsidR="00054AB2" w:rsidRPr="00064185" w:rsidRDefault="00054AB2" w:rsidP="00EA61D8">
            <w:pPr>
              <w:spacing w:before="60" w:after="60"/>
              <w:rPr>
                <w:sz w:val="18"/>
              </w:rPr>
            </w:pPr>
            <w:r w:rsidRPr="00064185">
              <w:rPr>
                <w:sz w:val="18"/>
              </w:rPr>
              <w:t>Date: 2009-06-25</w:t>
            </w:r>
          </w:p>
        </w:tc>
        <w:tc>
          <w:tcPr>
            <w:tcW w:w="730" w:type="pct"/>
          </w:tcPr>
          <w:p w14:paraId="3D0783DE" w14:textId="77777777" w:rsidR="00054AB2" w:rsidRPr="00064185" w:rsidRDefault="00054AB2" w:rsidP="00EA61D8">
            <w:pPr>
              <w:spacing w:before="60" w:after="60"/>
              <w:rPr>
                <w:sz w:val="18"/>
              </w:rPr>
            </w:pPr>
            <w:r w:rsidRPr="00064185">
              <w:rPr>
                <w:sz w:val="18"/>
              </w:rPr>
              <w:t>Syngenta Technology and Projects, Process Hazards Section, Huddersfield, UK</w:t>
            </w:r>
          </w:p>
        </w:tc>
        <w:tc>
          <w:tcPr>
            <w:tcW w:w="474" w:type="pct"/>
          </w:tcPr>
          <w:p w14:paraId="645AB7A9" w14:textId="77777777" w:rsidR="00054AB2" w:rsidRPr="00064185" w:rsidRDefault="00054AB2" w:rsidP="00EA61D8">
            <w:pPr>
              <w:spacing w:before="60" w:after="60"/>
              <w:rPr>
                <w:sz w:val="18"/>
              </w:rPr>
            </w:pPr>
            <w:r w:rsidRPr="00064185">
              <w:rPr>
                <w:sz w:val="18"/>
              </w:rPr>
              <w:t>HT09/191</w:t>
            </w:r>
          </w:p>
        </w:tc>
        <w:tc>
          <w:tcPr>
            <w:tcW w:w="453" w:type="pct"/>
          </w:tcPr>
          <w:p w14:paraId="0744AA56" w14:textId="77777777" w:rsidR="00054AB2" w:rsidRPr="00064185" w:rsidRDefault="00054AB2" w:rsidP="00EA61D8">
            <w:pPr>
              <w:spacing w:before="60" w:after="60"/>
              <w:rPr>
                <w:sz w:val="18"/>
              </w:rPr>
            </w:pPr>
            <w:r w:rsidRPr="00064185">
              <w:rPr>
                <w:sz w:val="18"/>
              </w:rPr>
              <w:t>Yes</w:t>
            </w:r>
          </w:p>
        </w:tc>
        <w:tc>
          <w:tcPr>
            <w:tcW w:w="436" w:type="pct"/>
          </w:tcPr>
          <w:p w14:paraId="704753D8" w14:textId="77777777" w:rsidR="00054AB2" w:rsidRPr="00064185" w:rsidRDefault="00054AB2" w:rsidP="00EA61D8">
            <w:pPr>
              <w:spacing w:before="60" w:after="60"/>
              <w:rPr>
                <w:sz w:val="18"/>
              </w:rPr>
            </w:pPr>
            <w:r w:rsidRPr="00064185">
              <w:rPr>
                <w:sz w:val="18"/>
              </w:rPr>
              <w:t>No</w:t>
            </w:r>
          </w:p>
        </w:tc>
        <w:tc>
          <w:tcPr>
            <w:tcW w:w="457" w:type="pct"/>
          </w:tcPr>
          <w:p w14:paraId="7B6884EB" w14:textId="77777777" w:rsidR="00054AB2" w:rsidRPr="00064185" w:rsidRDefault="00054AB2" w:rsidP="00EA61D8">
            <w:pPr>
              <w:spacing w:before="60" w:after="60"/>
              <w:rPr>
                <w:sz w:val="18"/>
              </w:rPr>
            </w:pPr>
            <w:r w:rsidRPr="00064185">
              <w:rPr>
                <w:sz w:val="18"/>
              </w:rPr>
              <w:t>Yes</w:t>
            </w:r>
          </w:p>
        </w:tc>
        <w:tc>
          <w:tcPr>
            <w:tcW w:w="426" w:type="pct"/>
          </w:tcPr>
          <w:p w14:paraId="73C02A86" w14:textId="77777777" w:rsidR="00054AB2" w:rsidRPr="00064185" w:rsidRDefault="00054AB2" w:rsidP="00EA61D8">
            <w:pPr>
              <w:spacing w:before="60" w:after="60"/>
              <w:rPr>
                <w:sz w:val="18"/>
                <w:lang w:val="de-AT"/>
              </w:rPr>
            </w:pPr>
            <w:r w:rsidRPr="00064185">
              <w:rPr>
                <w:sz w:val="18"/>
                <w:lang w:val="de-AT"/>
              </w:rPr>
              <w:t>Syngenta Crop Protection Münchwilen AG</w:t>
            </w:r>
          </w:p>
        </w:tc>
        <w:tc>
          <w:tcPr>
            <w:tcW w:w="466" w:type="pct"/>
          </w:tcPr>
          <w:p w14:paraId="2E2C39F6" w14:textId="77777777" w:rsidR="00054AB2" w:rsidRPr="00064185" w:rsidRDefault="00054AB2" w:rsidP="00EA61D8">
            <w:pPr>
              <w:spacing w:before="60" w:after="60"/>
              <w:rPr>
                <w:sz w:val="18"/>
              </w:rPr>
            </w:pPr>
            <w:r w:rsidRPr="00064185">
              <w:rPr>
                <w:sz w:val="18"/>
              </w:rPr>
              <w:t>4.17.1</w:t>
            </w:r>
          </w:p>
        </w:tc>
      </w:tr>
      <w:tr w:rsidR="00064185" w:rsidRPr="00064185" w14:paraId="17209A7D" w14:textId="77777777" w:rsidTr="00CA3291">
        <w:trPr>
          <w:cantSplit/>
          <w:jc w:val="center"/>
        </w:trPr>
        <w:tc>
          <w:tcPr>
            <w:tcW w:w="502" w:type="pct"/>
          </w:tcPr>
          <w:p w14:paraId="493ED465" w14:textId="77777777" w:rsidR="00054AB2" w:rsidRPr="00064185" w:rsidRDefault="00054AB2" w:rsidP="00EA61D8">
            <w:pPr>
              <w:spacing w:before="60" w:after="60"/>
              <w:rPr>
                <w:sz w:val="18"/>
                <w:szCs w:val="18"/>
              </w:rPr>
            </w:pPr>
            <w:r w:rsidRPr="00064185">
              <w:rPr>
                <w:sz w:val="18"/>
                <w:szCs w:val="18"/>
              </w:rPr>
              <w:t>Lüpkes, K.-H.</w:t>
            </w:r>
          </w:p>
        </w:tc>
        <w:tc>
          <w:tcPr>
            <w:tcW w:w="326" w:type="pct"/>
          </w:tcPr>
          <w:p w14:paraId="0A66F9A4" w14:textId="77777777" w:rsidR="00054AB2" w:rsidRPr="00064185" w:rsidRDefault="00054AB2" w:rsidP="00EA61D8">
            <w:pPr>
              <w:spacing w:before="60" w:after="60"/>
              <w:rPr>
                <w:sz w:val="18"/>
                <w:szCs w:val="18"/>
              </w:rPr>
            </w:pPr>
            <w:r w:rsidRPr="00064185">
              <w:rPr>
                <w:sz w:val="18"/>
                <w:szCs w:val="18"/>
              </w:rPr>
              <w:t>2008</w:t>
            </w:r>
          </w:p>
        </w:tc>
        <w:tc>
          <w:tcPr>
            <w:tcW w:w="730" w:type="pct"/>
          </w:tcPr>
          <w:p w14:paraId="2B83BEFA" w14:textId="77777777" w:rsidR="00054AB2" w:rsidRPr="00064185" w:rsidRDefault="00054AB2" w:rsidP="00EA61D8">
            <w:pPr>
              <w:spacing w:before="60" w:after="60"/>
              <w:rPr>
                <w:sz w:val="18"/>
                <w:szCs w:val="18"/>
              </w:rPr>
            </w:pPr>
            <w:r w:rsidRPr="00064185">
              <w:rPr>
                <w:sz w:val="18"/>
                <w:szCs w:val="18"/>
              </w:rPr>
              <w:t>Efficacy of a product against silverfish, Efficacy after direct spray treatment and residual efficacy of a product against silverfish.</w:t>
            </w:r>
          </w:p>
          <w:p w14:paraId="784251B6" w14:textId="6952F093" w:rsidR="00054AB2" w:rsidRPr="00064185" w:rsidRDefault="00B9466E" w:rsidP="00EA61D8">
            <w:pPr>
              <w:spacing w:before="60" w:after="60"/>
              <w:rPr>
                <w:sz w:val="18"/>
                <w:szCs w:val="18"/>
              </w:rPr>
            </w:pPr>
            <w:r w:rsidRPr="00064185">
              <w:rPr>
                <w:sz w:val="18"/>
                <w:szCs w:val="18"/>
              </w:rPr>
              <w:t>Date: 2008-09-0</w:t>
            </w:r>
            <w:r w:rsidR="00054AB2" w:rsidRPr="00064185">
              <w:rPr>
                <w:sz w:val="18"/>
                <w:szCs w:val="18"/>
              </w:rPr>
              <w:t>9</w:t>
            </w:r>
          </w:p>
        </w:tc>
        <w:tc>
          <w:tcPr>
            <w:tcW w:w="730" w:type="pct"/>
          </w:tcPr>
          <w:p w14:paraId="2345AB9B" w14:textId="77777777" w:rsidR="00054AB2" w:rsidRPr="00064185" w:rsidRDefault="00054AB2" w:rsidP="00EA61D8">
            <w:pPr>
              <w:spacing w:before="60" w:after="60"/>
              <w:rPr>
                <w:sz w:val="18"/>
                <w:szCs w:val="18"/>
                <w:lang w:val="de-DE"/>
              </w:rPr>
            </w:pPr>
            <w:r w:rsidRPr="00064185">
              <w:rPr>
                <w:sz w:val="18"/>
                <w:szCs w:val="18"/>
                <w:lang w:val="de-DE"/>
              </w:rPr>
              <w:t>BioGenius GmbH, Bergisch Gladbach, Germany</w:t>
            </w:r>
          </w:p>
        </w:tc>
        <w:tc>
          <w:tcPr>
            <w:tcW w:w="474" w:type="pct"/>
          </w:tcPr>
          <w:p w14:paraId="42D50FC8" w14:textId="77777777" w:rsidR="00054AB2" w:rsidRPr="00064185" w:rsidRDefault="00054AB2" w:rsidP="00EA61D8">
            <w:pPr>
              <w:spacing w:before="60" w:after="60"/>
              <w:rPr>
                <w:sz w:val="18"/>
                <w:szCs w:val="18"/>
                <w:lang w:val="de-DE"/>
              </w:rPr>
            </w:pPr>
            <w:r w:rsidRPr="00064185">
              <w:rPr>
                <w:sz w:val="18"/>
                <w:szCs w:val="18"/>
                <w:lang w:val="de-DE"/>
              </w:rPr>
              <w:t>BIO048/08</w:t>
            </w:r>
          </w:p>
        </w:tc>
        <w:tc>
          <w:tcPr>
            <w:tcW w:w="453" w:type="pct"/>
          </w:tcPr>
          <w:p w14:paraId="02CB4786" w14:textId="77777777" w:rsidR="00054AB2" w:rsidRPr="00064185" w:rsidRDefault="00054AB2" w:rsidP="00EA61D8">
            <w:pPr>
              <w:spacing w:before="60" w:after="60"/>
              <w:rPr>
                <w:sz w:val="18"/>
                <w:szCs w:val="18"/>
              </w:rPr>
            </w:pPr>
            <w:r w:rsidRPr="00064185">
              <w:rPr>
                <w:sz w:val="18"/>
                <w:szCs w:val="18"/>
              </w:rPr>
              <w:t>No</w:t>
            </w:r>
          </w:p>
        </w:tc>
        <w:tc>
          <w:tcPr>
            <w:tcW w:w="436" w:type="pct"/>
          </w:tcPr>
          <w:p w14:paraId="4B838751" w14:textId="77777777" w:rsidR="00054AB2" w:rsidRPr="00064185" w:rsidRDefault="00054AB2" w:rsidP="00EA61D8">
            <w:pPr>
              <w:spacing w:before="60" w:after="60"/>
              <w:rPr>
                <w:sz w:val="18"/>
                <w:szCs w:val="18"/>
              </w:rPr>
            </w:pPr>
            <w:r w:rsidRPr="00064185">
              <w:rPr>
                <w:sz w:val="18"/>
                <w:szCs w:val="18"/>
              </w:rPr>
              <w:t>No</w:t>
            </w:r>
          </w:p>
        </w:tc>
        <w:tc>
          <w:tcPr>
            <w:tcW w:w="457" w:type="pct"/>
          </w:tcPr>
          <w:p w14:paraId="0FEB0BA4" w14:textId="77777777" w:rsidR="00054AB2" w:rsidRPr="00064185" w:rsidRDefault="00054AB2" w:rsidP="00EA61D8">
            <w:pPr>
              <w:spacing w:before="60" w:after="60"/>
              <w:rPr>
                <w:sz w:val="18"/>
                <w:szCs w:val="18"/>
              </w:rPr>
            </w:pPr>
            <w:r w:rsidRPr="00064185">
              <w:rPr>
                <w:sz w:val="18"/>
                <w:szCs w:val="18"/>
              </w:rPr>
              <w:t>Yes</w:t>
            </w:r>
          </w:p>
        </w:tc>
        <w:tc>
          <w:tcPr>
            <w:tcW w:w="426" w:type="pct"/>
          </w:tcPr>
          <w:p w14:paraId="472A5B8F" w14:textId="77777777" w:rsidR="00054AB2" w:rsidRPr="00064185" w:rsidRDefault="00054AB2" w:rsidP="00EA61D8">
            <w:pPr>
              <w:spacing w:before="60" w:after="60"/>
              <w:rPr>
                <w:sz w:val="18"/>
                <w:szCs w:val="18"/>
              </w:rPr>
            </w:pPr>
            <w:r w:rsidRPr="00064185">
              <w:rPr>
                <w:sz w:val="18"/>
                <w:szCs w:val="18"/>
              </w:rPr>
              <w:t>COMPO GmbH &amp; Co. KG</w:t>
            </w:r>
          </w:p>
        </w:tc>
        <w:tc>
          <w:tcPr>
            <w:tcW w:w="466" w:type="pct"/>
          </w:tcPr>
          <w:p w14:paraId="3F0753A4" w14:textId="77777777" w:rsidR="00054AB2" w:rsidRPr="00064185" w:rsidRDefault="00054AB2" w:rsidP="00EA61D8">
            <w:pPr>
              <w:spacing w:before="60" w:after="60"/>
              <w:rPr>
                <w:sz w:val="18"/>
                <w:szCs w:val="18"/>
              </w:rPr>
            </w:pPr>
            <w:r w:rsidRPr="00064185">
              <w:rPr>
                <w:sz w:val="18"/>
                <w:szCs w:val="18"/>
              </w:rPr>
              <w:t>6.7_04</w:t>
            </w:r>
          </w:p>
        </w:tc>
      </w:tr>
      <w:tr w:rsidR="00064185" w:rsidRPr="00064185" w14:paraId="4ECB9CBB" w14:textId="77777777" w:rsidTr="00CA3291">
        <w:trPr>
          <w:cantSplit/>
          <w:jc w:val="center"/>
        </w:trPr>
        <w:tc>
          <w:tcPr>
            <w:tcW w:w="502" w:type="pct"/>
          </w:tcPr>
          <w:p w14:paraId="58D37411" w14:textId="77777777" w:rsidR="00054AB2" w:rsidRPr="00064185" w:rsidRDefault="00054AB2" w:rsidP="00EA61D8">
            <w:pPr>
              <w:spacing w:before="60" w:after="60"/>
              <w:rPr>
                <w:sz w:val="18"/>
                <w:szCs w:val="18"/>
              </w:rPr>
            </w:pPr>
            <w:r w:rsidRPr="00064185">
              <w:rPr>
                <w:sz w:val="18"/>
                <w:szCs w:val="18"/>
              </w:rPr>
              <w:t>Lüpkes, K.-H.</w:t>
            </w:r>
          </w:p>
        </w:tc>
        <w:tc>
          <w:tcPr>
            <w:tcW w:w="326" w:type="pct"/>
          </w:tcPr>
          <w:p w14:paraId="43189508" w14:textId="77777777" w:rsidR="00054AB2" w:rsidRPr="00064185" w:rsidRDefault="00054AB2" w:rsidP="00EA61D8">
            <w:pPr>
              <w:spacing w:before="60" w:after="60"/>
              <w:rPr>
                <w:sz w:val="18"/>
                <w:szCs w:val="18"/>
              </w:rPr>
            </w:pPr>
            <w:r w:rsidRPr="00064185">
              <w:rPr>
                <w:sz w:val="18"/>
                <w:szCs w:val="18"/>
              </w:rPr>
              <w:t>2009</w:t>
            </w:r>
          </w:p>
        </w:tc>
        <w:tc>
          <w:tcPr>
            <w:tcW w:w="730" w:type="pct"/>
          </w:tcPr>
          <w:p w14:paraId="211A1A1E" w14:textId="77777777" w:rsidR="00054AB2" w:rsidRPr="00064185" w:rsidRDefault="00054AB2" w:rsidP="00EA61D8">
            <w:pPr>
              <w:spacing w:before="60" w:after="60"/>
              <w:rPr>
                <w:sz w:val="18"/>
                <w:szCs w:val="18"/>
              </w:rPr>
            </w:pPr>
            <w:r w:rsidRPr="00064185">
              <w:rPr>
                <w:sz w:val="18"/>
                <w:szCs w:val="18"/>
              </w:rPr>
              <w:t>Efficacy of a product against cockroaches, Efficacy after direct spray treatment and residual efficacy of a product against cockroaches.</w:t>
            </w:r>
          </w:p>
          <w:p w14:paraId="0168ABF2" w14:textId="38A1D463" w:rsidR="00054AB2" w:rsidRPr="00064185" w:rsidRDefault="00B9466E" w:rsidP="00EA61D8">
            <w:pPr>
              <w:spacing w:before="60" w:after="60"/>
              <w:rPr>
                <w:sz w:val="18"/>
                <w:szCs w:val="18"/>
              </w:rPr>
            </w:pPr>
            <w:r w:rsidRPr="00064185">
              <w:rPr>
                <w:sz w:val="18"/>
                <w:szCs w:val="18"/>
              </w:rPr>
              <w:t>Date: 2009-04-24</w:t>
            </w:r>
          </w:p>
          <w:p w14:paraId="27991B7D" w14:textId="77777777" w:rsidR="00054AB2" w:rsidRPr="00064185" w:rsidRDefault="00054AB2" w:rsidP="00EA61D8">
            <w:pPr>
              <w:spacing w:before="60" w:after="60"/>
              <w:rPr>
                <w:sz w:val="18"/>
                <w:szCs w:val="18"/>
              </w:rPr>
            </w:pPr>
            <w:r w:rsidRPr="00064185">
              <w:rPr>
                <w:sz w:val="18"/>
                <w:szCs w:val="18"/>
              </w:rPr>
              <w:t>Amended: 2015-01-21</w:t>
            </w:r>
          </w:p>
        </w:tc>
        <w:tc>
          <w:tcPr>
            <w:tcW w:w="730" w:type="pct"/>
          </w:tcPr>
          <w:p w14:paraId="37C04335" w14:textId="77777777" w:rsidR="00054AB2" w:rsidRPr="00064185" w:rsidRDefault="00054AB2" w:rsidP="00EA61D8">
            <w:pPr>
              <w:spacing w:before="60" w:after="60"/>
              <w:rPr>
                <w:sz w:val="18"/>
                <w:szCs w:val="18"/>
                <w:lang w:val="de-DE"/>
              </w:rPr>
            </w:pPr>
            <w:r w:rsidRPr="00064185">
              <w:rPr>
                <w:sz w:val="18"/>
                <w:szCs w:val="18"/>
                <w:lang w:val="de-DE"/>
              </w:rPr>
              <w:t>BioGenius GmbH, Bergisch Gladbach, Germany</w:t>
            </w:r>
          </w:p>
        </w:tc>
        <w:tc>
          <w:tcPr>
            <w:tcW w:w="474" w:type="pct"/>
          </w:tcPr>
          <w:p w14:paraId="65DF2174" w14:textId="77777777" w:rsidR="00054AB2" w:rsidRPr="00064185" w:rsidRDefault="00054AB2" w:rsidP="00EA61D8">
            <w:pPr>
              <w:spacing w:before="60" w:after="60"/>
              <w:rPr>
                <w:sz w:val="18"/>
                <w:szCs w:val="18"/>
              </w:rPr>
            </w:pPr>
            <w:r w:rsidRPr="00064185">
              <w:rPr>
                <w:sz w:val="18"/>
                <w:szCs w:val="18"/>
              </w:rPr>
              <w:t>BIO027/09</w:t>
            </w:r>
          </w:p>
        </w:tc>
        <w:tc>
          <w:tcPr>
            <w:tcW w:w="453" w:type="pct"/>
          </w:tcPr>
          <w:p w14:paraId="3C135587" w14:textId="77777777" w:rsidR="00054AB2" w:rsidRPr="00064185" w:rsidRDefault="00054AB2" w:rsidP="00EA61D8">
            <w:pPr>
              <w:spacing w:before="60" w:after="60"/>
              <w:rPr>
                <w:sz w:val="18"/>
                <w:szCs w:val="18"/>
              </w:rPr>
            </w:pPr>
            <w:r w:rsidRPr="00064185">
              <w:rPr>
                <w:sz w:val="18"/>
                <w:szCs w:val="18"/>
              </w:rPr>
              <w:t>No</w:t>
            </w:r>
          </w:p>
        </w:tc>
        <w:tc>
          <w:tcPr>
            <w:tcW w:w="436" w:type="pct"/>
          </w:tcPr>
          <w:p w14:paraId="4CC4F595" w14:textId="77777777" w:rsidR="00054AB2" w:rsidRPr="00064185" w:rsidRDefault="00054AB2" w:rsidP="00EA61D8">
            <w:pPr>
              <w:spacing w:before="60" w:after="60"/>
              <w:rPr>
                <w:sz w:val="18"/>
                <w:szCs w:val="18"/>
              </w:rPr>
            </w:pPr>
            <w:r w:rsidRPr="00064185">
              <w:rPr>
                <w:sz w:val="18"/>
                <w:szCs w:val="18"/>
              </w:rPr>
              <w:t>No</w:t>
            </w:r>
          </w:p>
        </w:tc>
        <w:tc>
          <w:tcPr>
            <w:tcW w:w="457" w:type="pct"/>
          </w:tcPr>
          <w:p w14:paraId="3B0E314B" w14:textId="77777777" w:rsidR="00054AB2" w:rsidRPr="00064185" w:rsidRDefault="00054AB2" w:rsidP="00EA61D8">
            <w:pPr>
              <w:spacing w:before="60" w:after="60"/>
              <w:rPr>
                <w:sz w:val="18"/>
                <w:szCs w:val="18"/>
              </w:rPr>
            </w:pPr>
            <w:r w:rsidRPr="00064185">
              <w:rPr>
                <w:sz w:val="18"/>
                <w:szCs w:val="18"/>
              </w:rPr>
              <w:t>Yes</w:t>
            </w:r>
          </w:p>
        </w:tc>
        <w:tc>
          <w:tcPr>
            <w:tcW w:w="426" w:type="pct"/>
          </w:tcPr>
          <w:p w14:paraId="2A85CDC2" w14:textId="77777777" w:rsidR="00054AB2" w:rsidRPr="00064185" w:rsidRDefault="00054AB2" w:rsidP="00EA61D8">
            <w:pPr>
              <w:spacing w:before="60" w:after="60"/>
              <w:rPr>
                <w:sz w:val="18"/>
                <w:szCs w:val="18"/>
              </w:rPr>
            </w:pPr>
            <w:r w:rsidRPr="00064185">
              <w:rPr>
                <w:sz w:val="18"/>
                <w:szCs w:val="18"/>
              </w:rPr>
              <w:t>COMPO GmbH &amp; Co. KG</w:t>
            </w:r>
          </w:p>
        </w:tc>
        <w:tc>
          <w:tcPr>
            <w:tcW w:w="466" w:type="pct"/>
          </w:tcPr>
          <w:p w14:paraId="6A335833" w14:textId="77777777" w:rsidR="00054AB2" w:rsidRPr="00064185" w:rsidRDefault="00054AB2" w:rsidP="00EA61D8">
            <w:pPr>
              <w:spacing w:before="60" w:after="60"/>
              <w:rPr>
                <w:sz w:val="18"/>
                <w:szCs w:val="18"/>
              </w:rPr>
            </w:pPr>
            <w:r w:rsidRPr="00064185">
              <w:rPr>
                <w:sz w:val="18"/>
                <w:szCs w:val="18"/>
              </w:rPr>
              <w:t>6.7_03</w:t>
            </w:r>
          </w:p>
        </w:tc>
      </w:tr>
      <w:tr w:rsidR="00064185" w:rsidRPr="00064185" w14:paraId="507E5739" w14:textId="77777777" w:rsidTr="00CA3291">
        <w:trPr>
          <w:cantSplit/>
          <w:jc w:val="center"/>
        </w:trPr>
        <w:tc>
          <w:tcPr>
            <w:tcW w:w="502" w:type="pct"/>
          </w:tcPr>
          <w:p w14:paraId="41713B89" w14:textId="155437FD" w:rsidR="004A1651" w:rsidRPr="00064185" w:rsidRDefault="004A1651" w:rsidP="00EA61D8">
            <w:pPr>
              <w:rPr>
                <w:sz w:val="18"/>
                <w:szCs w:val="18"/>
              </w:rPr>
            </w:pPr>
            <w:r w:rsidRPr="00064185">
              <w:rPr>
                <w:sz w:val="18"/>
                <w:szCs w:val="18"/>
              </w:rPr>
              <w:t xml:space="preserve">Lüpkes, K.-H </w:t>
            </w:r>
          </w:p>
        </w:tc>
        <w:tc>
          <w:tcPr>
            <w:tcW w:w="326" w:type="pct"/>
          </w:tcPr>
          <w:p w14:paraId="3005D1BC" w14:textId="1BEF7682" w:rsidR="004A1651" w:rsidRPr="00064185" w:rsidRDefault="004A1651" w:rsidP="00EA61D8">
            <w:pPr>
              <w:spacing w:before="60" w:after="60"/>
              <w:rPr>
                <w:sz w:val="18"/>
                <w:szCs w:val="18"/>
              </w:rPr>
            </w:pPr>
            <w:r w:rsidRPr="00064185">
              <w:rPr>
                <w:sz w:val="18"/>
                <w:szCs w:val="18"/>
              </w:rPr>
              <w:t>2015</w:t>
            </w:r>
          </w:p>
        </w:tc>
        <w:tc>
          <w:tcPr>
            <w:tcW w:w="730" w:type="pct"/>
          </w:tcPr>
          <w:p w14:paraId="6A4BF768" w14:textId="03486B96" w:rsidR="004A1651" w:rsidRPr="00064185" w:rsidRDefault="004A1651" w:rsidP="00EA61D8">
            <w:pPr>
              <w:rPr>
                <w:sz w:val="18"/>
                <w:szCs w:val="18"/>
              </w:rPr>
            </w:pPr>
            <w:r w:rsidRPr="00064185">
              <w:rPr>
                <w:sz w:val="18"/>
                <w:szCs w:val="18"/>
              </w:rPr>
              <w:t>Amendment No. 1 to Biological Test Report, Efficacy of a product against cockroaches</w:t>
            </w:r>
          </w:p>
        </w:tc>
        <w:tc>
          <w:tcPr>
            <w:tcW w:w="730" w:type="pct"/>
          </w:tcPr>
          <w:p w14:paraId="7F5F3003" w14:textId="451347FB" w:rsidR="004A1651" w:rsidRPr="00064185" w:rsidRDefault="004A1651" w:rsidP="00EA61D8">
            <w:pPr>
              <w:spacing w:before="60" w:after="60"/>
              <w:rPr>
                <w:sz w:val="18"/>
                <w:szCs w:val="18"/>
                <w:lang w:val="de-DE"/>
              </w:rPr>
            </w:pPr>
            <w:r w:rsidRPr="00064185">
              <w:rPr>
                <w:sz w:val="18"/>
                <w:szCs w:val="18"/>
                <w:lang w:val="de-DE"/>
              </w:rPr>
              <w:t>BioGenius GmbH, Bergisch Gladbach, Germany</w:t>
            </w:r>
          </w:p>
        </w:tc>
        <w:tc>
          <w:tcPr>
            <w:tcW w:w="474" w:type="pct"/>
          </w:tcPr>
          <w:p w14:paraId="01C1DE20" w14:textId="109C6535" w:rsidR="004A1651" w:rsidRPr="00064185" w:rsidRDefault="004A1651" w:rsidP="00EA61D8">
            <w:pPr>
              <w:spacing w:before="60" w:after="60"/>
              <w:rPr>
                <w:sz w:val="18"/>
                <w:szCs w:val="18"/>
                <w:lang w:val="de-AT"/>
              </w:rPr>
            </w:pPr>
            <w:r w:rsidRPr="00064185">
              <w:rPr>
                <w:sz w:val="18"/>
                <w:szCs w:val="18"/>
              </w:rPr>
              <w:t>Mo3684, Report No. BIO027/09</w:t>
            </w:r>
          </w:p>
        </w:tc>
        <w:tc>
          <w:tcPr>
            <w:tcW w:w="453" w:type="pct"/>
          </w:tcPr>
          <w:p w14:paraId="05732EFF" w14:textId="49F12F6A" w:rsidR="004A1651" w:rsidRPr="00064185" w:rsidRDefault="004A1651" w:rsidP="00EA61D8">
            <w:pPr>
              <w:spacing w:before="60" w:after="60"/>
              <w:rPr>
                <w:sz w:val="18"/>
                <w:szCs w:val="18"/>
                <w:lang w:val="de-AT"/>
              </w:rPr>
            </w:pPr>
            <w:r w:rsidRPr="00064185">
              <w:rPr>
                <w:sz w:val="18"/>
                <w:szCs w:val="18"/>
              </w:rPr>
              <w:t>Yes</w:t>
            </w:r>
          </w:p>
        </w:tc>
        <w:tc>
          <w:tcPr>
            <w:tcW w:w="436" w:type="pct"/>
          </w:tcPr>
          <w:p w14:paraId="2EDE970D" w14:textId="44B4D8B7" w:rsidR="004A1651" w:rsidRPr="00064185" w:rsidRDefault="004A1651" w:rsidP="00EA61D8">
            <w:pPr>
              <w:spacing w:before="60" w:after="60"/>
              <w:rPr>
                <w:sz w:val="18"/>
                <w:szCs w:val="18"/>
                <w:lang w:val="de-AT"/>
              </w:rPr>
            </w:pPr>
            <w:r w:rsidRPr="00064185">
              <w:rPr>
                <w:sz w:val="18"/>
                <w:szCs w:val="18"/>
              </w:rPr>
              <w:t>No</w:t>
            </w:r>
          </w:p>
        </w:tc>
        <w:tc>
          <w:tcPr>
            <w:tcW w:w="457" w:type="pct"/>
          </w:tcPr>
          <w:p w14:paraId="2C5590DA" w14:textId="68EAC1D7" w:rsidR="004A1651" w:rsidRPr="00064185" w:rsidRDefault="004A1651" w:rsidP="00EA61D8">
            <w:pPr>
              <w:spacing w:before="60" w:after="60"/>
              <w:rPr>
                <w:sz w:val="18"/>
                <w:szCs w:val="18"/>
                <w:lang w:val="de-AT"/>
              </w:rPr>
            </w:pPr>
            <w:r w:rsidRPr="00064185">
              <w:rPr>
                <w:sz w:val="18"/>
                <w:szCs w:val="18"/>
              </w:rPr>
              <w:t>Yes</w:t>
            </w:r>
          </w:p>
        </w:tc>
        <w:tc>
          <w:tcPr>
            <w:tcW w:w="426" w:type="pct"/>
          </w:tcPr>
          <w:p w14:paraId="69A2BC32" w14:textId="3F3A8E5D" w:rsidR="004A1651" w:rsidRPr="00064185" w:rsidRDefault="004A1651" w:rsidP="00EA61D8">
            <w:pPr>
              <w:spacing w:before="60" w:after="60"/>
              <w:rPr>
                <w:sz w:val="18"/>
                <w:szCs w:val="18"/>
                <w:lang w:val="de-AT"/>
              </w:rPr>
            </w:pPr>
            <w:r w:rsidRPr="00064185">
              <w:rPr>
                <w:sz w:val="18"/>
                <w:szCs w:val="18"/>
              </w:rPr>
              <w:t>COMPO GmbH &amp; Co. KG</w:t>
            </w:r>
          </w:p>
        </w:tc>
        <w:tc>
          <w:tcPr>
            <w:tcW w:w="466" w:type="pct"/>
          </w:tcPr>
          <w:p w14:paraId="231AA6D1" w14:textId="24684DD5" w:rsidR="004A1651" w:rsidRPr="00064185" w:rsidRDefault="004A1651" w:rsidP="00EA61D8">
            <w:pPr>
              <w:spacing w:before="60" w:after="60"/>
              <w:rPr>
                <w:sz w:val="18"/>
                <w:szCs w:val="18"/>
                <w:lang w:val="de-AT"/>
              </w:rPr>
            </w:pPr>
            <w:r w:rsidRPr="00064185">
              <w:rPr>
                <w:sz w:val="18"/>
                <w:szCs w:val="18"/>
              </w:rPr>
              <w:t>6.7_</w:t>
            </w:r>
            <w:r w:rsidR="00115A8B" w:rsidRPr="00064185">
              <w:rPr>
                <w:sz w:val="18"/>
                <w:szCs w:val="18"/>
              </w:rPr>
              <w:t>03</w:t>
            </w:r>
          </w:p>
        </w:tc>
      </w:tr>
      <w:tr w:rsidR="00064185" w:rsidRPr="00064185" w14:paraId="54D105AD" w14:textId="77777777" w:rsidTr="00CA3291">
        <w:trPr>
          <w:cantSplit/>
          <w:jc w:val="center"/>
        </w:trPr>
        <w:tc>
          <w:tcPr>
            <w:tcW w:w="502" w:type="pct"/>
          </w:tcPr>
          <w:p w14:paraId="7448839A" w14:textId="77777777" w:rsidR="00054AB2" w:rsidRPr="00064185" w:rsidRDefault="00054AB2" w:rsidP="00EA61D8">
            <w:pPr>
              <w:spacing w:before="60" w:after="60"/>
              <w:rPr>
                <w:sz w:val="18"/>
              </w:rPr>
            </w:pPr>
            <w:r w:rsidRPr="00064185">
              <w:rPr>
                <w:sz w:val="18"/>
              </w:rPr>
              <w:lastRenderedPageBreak/>
              <w:t>Martin-Keusch, Ch.</w:t>
            </w:r>
          </w:p>
        </w:tc>
        <w:tc>
          <w:tcPr>
            <w:tcW w:w="326" w:type="pct"/>
          </w:tcPr>
          <w:p w14:paraId="1CEDAAB3" w14:textId="77777777" w:rsidR="00054AB2" w:rsidRPr="00064185" w:rsidRDefault="00054AB2" w:rsidP="00EA61D8">
            <w:pPr>
              <w:spacing w:before="60" w:after="60"/>
              <w:rPr>
                <w:sz w:val="18"/>
              </w:rPr>
            </w:pPr>
            <w:r w:rsidRPr="00064185">
              <w:rPr>
                <w:sz w:val="18"/>
              </w:rPr>
              <w:t>2009a</w:t>
            </w:r>
          </w:p>
        </w:tc>
        <w:tc>
          <w:tcPr>
            <w:tcW w:w="730" w:type="pct"/>
          </w:tcPr>
          <w:p w14:paraId="64BA6353" w14:textId="77777777" w:rsidR="00054AB2" w:rsidRPr="00064185" w:rsidRDefault="00054AB2" w:rsidP="00EA61D8">
            <w:pPr>
              <w:spacing w:before="60" w:after="60"/>
              <w:rPr>
                <w:sz w:val="18"/>
              </w:rPr>
            </w:pPr>
            <w:r w:rsidRPr="00064185">
              <w:rPr>
                <w:sz w:val="18"/>
              </w:rPr>
              <w:t>A16132A – Physical properties of batch LOT 06/002.</w:t>
            </w:r>
          </w:p>
          <w:p w14:paraId="5D81603C" w14:textId="77777777" w:rsidR="00054AB2" w:rsidRPr="00064185" w:rsidRDefault="00054AB2" w:rsidP="00EA61D8">
            <w:pPr>
              <w:spacing w:before="60" w:after="60"/>
              <w:rPr>
                <w:sz w:val="18"/>
              </w:rPr>
            </w:pPr>
            <w:r w:rsidRPr="00064185">
              <w:rPr>
                <w:sz w:val="18"/>
              </w:rPr>
              <w:t>Date: 2009-07-16</w:t>
            </w:r>
          </w:p>
        </w:tc>
        <w:tc>
          <w:tcPr>
            <w:tcW w:w="730" w:type="pct"/>
          </w:tcPr>
          <w:p w14:paraId="4755CC04" w14:textId="77777777" w:rsidR="00054AB2" w:rsidRPr="00064185" w:rsidRDefault="00054AB2" w:rsidP="00EA61D8">
            <w:pPr>
              <w:spacing w:before="60" w:after="60"/>
              <w:rPr>
                <w:sz w:val="18"/>
                <w:lang w:val="de-DE"/>
              </w:rPr>
            </w:pPr>
            <w:r w:rsidRPr="00064185">
              <w:rPr>
                <w:sz w:val="18"/>
                <w:lang w:val="de-DE"/>
              </w:rPr>
              <w:t>Syngenta Crop Protection Münchwilen AG, Münchwilen, Switzerland</w:t>
            </w:r>
          </w:p>
        </w:tc>
        <w:tc>
          <w:tcPr>
            <w:tcW w:w="474" w:type="pct"/>
          </w:tcPr>
          <w:p w14:paraId="418096B6" w14:textId="77777777" w:rsidR="00054AB2" w:rsidRPr="00064185" w:rsidRDefault="00054AB2" w:rsidP="00EA61D8">
            <w:pPr>
              <w:spacing w:before="60" w:after="60"/>
              <w:rPr>
                <w:sz w:val="18"/>
              </w:rPr>
            </w:pPr>
            <w:r w:rsidRPr="00064185">
              <w:rPr>
                <w:sz w:val="18"/>
              </w:rPr>
              <w:t>119810</w:t>
            </w:r>
          </w:p>
        </w:tc>
        <w:tc>
          <w:tcPr>
            <w:tcW w:w="453" w:type="pct"/>
          </w:tcPr>
          <w:p w14:paraId="7D22951C" w14:textId="77777777" w:rsidR="00054AB2" w:rsidRPr="00064185" w:rsidRDefault="00054AB2" w:rsidP="00EA61D8">
            <w:pPr>
              <w:spacing w:before="60" w:after="60"/>
              <w:rPr>
                <w:sz w:val="18"/>
              </w:rPr>
            </w:pPr>
            <w:r w:rsidRPr="00064185">
              <w:rPr>
                <w:sz w:val="18"/>
              </w:rPr>
              <w:t>Yes</w:t>
            </w:r>
          </w:p>
        </w:tc>
        <w:tc>
          <w:tcPr>
            <w:tcW w:w="436" w:type="pct"/>
          </w:tcPr>
          <w:p w14:paraId="32BF60F0" w14:textId="77777777" w:rsidR="00054AB2" w:rsidRPr="00064185" w:rsidRDefault="00054AB2" w:rsidP="00EA61D8">
            <w:pPr>
              <w:spacing w:before="60" w:after="60"/>
              <w:rPr>
                <w:sz w:val="18"/>
              </w:rPr>
            </w:pPr>
            <w:r w:rsidRPr="00064185">
              <w:rPr>
                <w:sz w:val="18"/>
              </w:rPr>
              <w:t>No</w:t>
            </w:r>
          </w:p>
        </w:tc>
        <w:tc>
          <w:tcPr>
            <w:tcW w:w="457" w:type="pct"/>
          </w:tcPr>
          <w:p w14:paraId="72F6A423" w14:textId="77777777" w:rsidR="00054AB2" w:rsidRPr="00064185" w:rsidRDefault="00054AB2" w:rsidP="00EA61D8">
            <w:pPr>
              <w:spacing w:before="60" w:after="60"/>
              <w:rPr>
                <w:sz w:val="18"/>
              </w:rPr>
            </w:pPr>
            <w:r w:rsidRPr="00064185">
              <w:rPr>
                <w:sz w:val="18"/>
              </w:rPr>
              <w:t>Yes</w:t>
            </w:r>
          </w:p>
        </w:tc>
        <w:tc>
          <w:tcPr>
            <w:tcW w:w="426" w:type="pct"/>
          </w:tcPr>
          <w:p w14:paraId="7B03C175" w14:textId="77777777" w:rsidR="00054AB2" w:rsidRPr="00064185" w:rsidRDefault="00054AB2" w:rsidP="00EA61D8">
            <w:pPr>
              <w:spacing w:before="60" w:after="60"/>
              <w:rPr>
                <w:sz w:val="18"/>
                <w:lang w:val="de-AT"/>
              </w:rPr>
            </w:pPr>
            <w:r w:rsidRPr="00064185">
              <w:rPr>
                <w:sz w:val="18"/>
                <w:lang w:val="de-AT"/>
              </w:rPr>
              <w:t>Syngenta Crop Protection Münchwilen AG</w:t>
            </w:r>
          </w:p>
        </w:tc>
        <w:tc>
          <w:tcPr>
            <w:tcW w:w="466" w:type="pct"/>
          </w:tcPr>
          <w:p w14:paraId="5A219153" w14:textId="77777777" w:rsidR="00054AB2" w:rsidRPr="00064185" w:rsidRDefault="00054AB2" w:rsidP="00EA61D8">
            <w:pPr>
              <w:spacing w:before="60" w:after="60"/>
              <w:rPr>
                <w:sz w:val="18"/>
              </w:rPr>
            </w:pPr>
            <w:r w:rsidRPr="00064185">
              <w:rPr>
                <w:sz w:val="18"/>
              </w:rPr>
              <w:t>3.2_01</w:t>
            </w:r>
            <w:r w:rsidRPr="00064185">
              <w:rPr>
                <w:sz w:val="18"/>
              </w:rPr>
              <w:br/>
              <w:t>3.8</w:t>
            </w:r>
            <w:r w:rsidRPr="00064185">
              <w:rPr>
                <w:sz w:val="18"/>
              </w:rPr>
              <w:br/>
              <w:t>3.9</w:t>
            </w:r>
          </w:p>
        </w:tc>
      </w:tr>
      <w:tr w:rsidR="00064185" w:rsidRPr="00064185" w14:paraId="5A4E9266" w14:textId="77777777" w:rsidTr="00CA3291">
        <w:trPr>
          <w:cantSplit/>
          <w:jc w:val="center"/>
        </w:trPr>
        <w:tc>
          <w:tcPr>
            <w:tcW w:w="502" w:type="pct"/>
          </w:tcPr>
          <w:p w14:paraId="71D3A698" w14:textId="77777777" w:rsidR="00054AB2" w:rsidRPr="00064185" w:rsidRDefault="00054AB2" w:rsidP="00EA61D8">
            <w:pPr>
              <w:spacing w:before="60" w:after="60"/>
              <w:rPr>
                <w:sz w:val="18"/>
              </w:rPr>
            </w:pPr>
            <w:r w:rsidRPr="00064185">
              <w:rPr>
                <w:sz w:val="18"/>
              </w:rPr>
              <w:t>Martin-Keusch, Ch.</w:t>
            </w:r>
          </w:p>
        </w:tc>
        <w:tc>
          <w:tcPr>
            <w:tcW w:w="326" w:type="pct"/>
          </w:tcPr>
          <w:p w14:paraId="5FAB12DF" w14:textId="77777777" w:rsidR="00054AB2" w:rsidRPr="00064185" w:rsidRDefault="00054AB2" w:rsidP="00EA61D8">
            <w:pPr>
              <w:spacing w:before="60" w:after="60"/>
              <w:rPr>
                <w:sz w:val="18"/>
              </w:rPr>
            </w:pPr>
            <w:r w:rsidRPr="00064185">
              <w:rPr>
                <w:sz w:val="18"/>
              </w:rPr>
              <w:t>2009b</w:t>
            </w:r>
          </w:p>
        </w:tc>
        <w:tc>
          <w:tcPr>
            <w:tcW w:w="730" w:type="pct"/>
          </w:tcPr>
          <w:p w14:paraId="40FFE661" w14:textId="77777777" w:rsidR="00054AB2" w:rsidRPr="00064185" w:rsidRDefault="00054AB2" w:rsidP="00EA61D8">
            <w:pPr>
              <w:spacing w:before="60" w:after="60"/>
              <w:rPr>
                <w:sz w:val="18"/>
              </w:rPr>
            </w:pPr>
            <w:r w:rsidRPr="00064185">
              <w:rPr>
                <w:sz w:val="18"/>
              </w:rPr>
              <w:t>A16132A – Technical properties of batch LOT 06/002.</w:t>
            </w:r>
          </w:p>
          <w:p w14:paraId="3435EA43" w14:textId="77777777" w:rsidR="00054AB2" w:rsidRPr="00064185" w:rsidRDefault="00054AB2" w:rsidP="00EA61D8">
            <w:pPr>
              <w:spacing w:before="60" w:after="60"/>
              <w:rPr>
                <w:sz w:val="18"/>
              </w:rPr>
            </w:pPr>
            <w:r w:rsidRPr="00064185">
              <w:rPr>
                <w:sz w:val="18"/>
              </w:rPr>
              <w:t>Date: 2009-05-26</w:t>
            </w:r>
          </w:p>
        </w:tc>
        <w:tc>
          <w:tcPr>
            <w:tcW w:w="730" w:type="pct"/>
          </w:tcPr>
          <w:p w14:paraId="1368C9B6" w14:textId="77777777" w:rsidR="00054AB2" w:rsidRPr="00064185" w:rsidRDefault="00054AB2" w:rsidP="00EA61D8">
            <w:pPr>
              <w:spacing w:before="60" w:after="60"/>
              <w:rPr>
                <w:sz w:val="18"/>
                <w:lang w:val="de-DE"/>
              </w:rPr>
            </w:pPr>
            <w:r w:rsidRPr="00064185">
              <w:rPr>
                <w:sz w:val="18"/>
                <w:lang w:val="de-DE"/>
              </w:rPr>
              <w:t>Syngenta Crop Protection Münchwilen AG, Münchwilen, Switzerland</w:t>
            </w:r>
          </w:p>
        </w:tc>
        <w:tc>
          <w:tcPr>
            <w:tcW w:w="474" w:type="pct"/>
          </w:tcPr>
          <w:p w14:paraId="360EF587" w14:textId="77777777" w:rsidR="00054AB2" w:rsidRPr="00064185" w:rsidRDefault="00054AB2" w:rsidP="00EA61D8">
            <w:pPr>
              <w:spacing w:before="60" w:after="60"/>
              <w:rPr>
                <w:sz w:val="18"/>
              </w:rPr>
            </w:pPr>
            <w:r w:rsidRPr="00064185">
              <w:rPr>
                <w:sz w:val="18"/>
              </w:rPr>
              <w:t>119819</w:t>
            </w:r>
          </w:p>
        </w:tc>
        <w:tc>
          <w:tcPr>
            <w:tcW w:w="453" w:type="pct"/>
          </w:tcPr>
          <w:p w14:paraId="76EE0E89" w14:textId="77777777" w:rsidR="00054AB2" w:rsidRPr="00064185" w:rsidRDefault="00054AB2" w:rsidP="00EA61D8">
            <w:pPr>
              <w:spacing w:before="60" w:after="60"/>
              <w:rPr>
                <w:sz w:val="18"/>
              </w:rPr>
            </w:pPr>
            <w:r w:rsidRPr="00064185">
              <w:rPr>
                <w:sz w:val="18"/>
              </w:rPr>
              <w:t>Yes</w:t>
            </w:r>
          </w:p>
        </w:tc>
        <w:tc>
          <w:tcPr>
            <w:tcW w:w="436" w:type="pct"/>
          </w:tcPr>
          <w:p w14:paraId="25B09D73" w14:textId="77777777" w:rsidR="00054AB2" w:rsidRPr="00064185" w:rsidRDefault="00054AB2" w:rsidP="00EA61D8">
            <w:pPr>
              <w:spacing w:before="60" w:after="60"/>
              <w:rPr>
                <w:sz w:val="18"/>
              </w:rPr>
            </w:pPr>
            <w:r w:rsidRPr="00064185">
              <w:rPr>
                <w:sz w:val="18"/>
              </w:rPr>
              <w:t>No</w:t>
            </w:r>
          </w:p>
        </w:tc>
        <w:tc>
          <w:tcPr>
            <w:tcW w:w="457" w:type="pct"/>
          </w:tcPr>
          <w:p w14:paraId="03950C0A" w14:textId="77777777" w:rsidR="00054AB2" w:rsidRPr="00064185" w:rsidRDefault="00054AB2" w:rsidP="00EA61D8">
            <w:pPr>
              <w:spacing w:before="60" w:after="60"/>
              <w:rPr>
                <w:sz w:val="18"/>
              </w:rPr>
            </w:pPr>
            <w:r w:rsidRPr="00064185">
              <w:rPr>
                <w:sz w:val="18"/>
              </w:rPr>
              <w:t>Yes</w:t>
            </w:r>
          </w:p>
        </w:tc>
        <w:tc>
          <w:tcPr>
            <w:tcW w:w="426" w:type="pct"/>
          </w:tcPr>
          <w:p w14:paraId="07FB8526" w14:textId="77777777" w:rsidR="00054AB2" w:rsidRPr="00064185" w:rsidRDefault="00054AB2" w:rsidP="00EA61D8">
            <w:pPr>
              <w:spacing w:before="60" w:after="60"/>
              <w:rPr>
                <w:sz w:val="18"/>
                <w:lang w:val="de-AT"/>
              </w:rPr>
            </w:pPr>
            <w:r w:rsidRPr="00064185">
              <w:rPr>
                <w:sz w:val="18"/>
                <w:lang w:val="de-AT"/>
              </w:rPr>
              <w:t>Syngenta Crop Protection Münchwilen AG</w:t>
            </w:r>
          </w:p>
        </w:tc>
        <w:tc>
          <w:tcPr>
            <w:tcW w:w="466" w:type="pct"/>
          </w:tcPr>
          <w:p w14:paraId="572FA80B" w14:textId="77777777" w:rsidR="00054AB2" w:rsidRPr="00064185" w:rsidRDefault="00054AB2" w:rsidP="00EA61D8">
            <w:pPr>
              <w:spacing w:before="60" w:after="60"/>
              <w:rPr>
                <w:sz w:val="18"/>
              </w:rPr>
            </w:pPr>
            <w:r w:rsidRPr="00064185">
              <w:rPr>
                <w:sz w:val="18"/>
              </w:rPr>
              <w:t>3.4_02</w:t>
            </w:r>
          </w:p>
        </w:tc>
      </w:tr>
      <w:tr w:rsidR="00064185" w:rsidRPr="00064185" w14:paraId="522DB1F8" w14:textId="77777777" w:rsidTr="00CA3291">
        <w:trPr>
          <w:cantSplit/>
          <w:jc w:val="center"/>
        </w:trPr>
        <w:tc>
          <w:tcPr>
            <w:tcW w:w="502" w:type="pct"/>
          </w:tcPr>
          <w:p w14:paraId="13533C2F" w14:textId="77777777" w:rsidR="00054AB2" w:rsidRPr="00064185" w:rsidRDefault="00054AB2" w:rsidP="00EA61D8">
            <w:pPr>
              <w:spacing w:before="60" w:after="60"/>
              <w:rPr>
                <w:sz w:val="18"/>
                <w:szCs w:val="18"/>
              </w:rPr>
            </w:pPr>
            <w:r w:rsidRPr="00064185">
              <w:rPr>
                <w:sz w:val="18"/>
                <w:szCs w:val="18"/>
              </w:rPr>
              <w:t>Schieck, S.</w:t>
            </w:r>
          </w:p>
        </w:tc>
        <w:tc>
          <w:tcPr>
            <w:tcW w:w="326" w:type="pct"/>
          </w:tcPr>
          <w:p w14:paraId="7B38847A" w14:textId="77777777" w:rsidR="00054AB2" w:rsidRPr="00064185" w:rsidRDefault="00054AB2" w:rsidP="00EA61D8">
            <w:pPr>
              <w:spacing w:before="60" w:after="60"/>
              <w:rPr>
                <w:sz w:val="18"/>
                <w:szCs w:val="18"/>
              </w:rPr>
            </w:pPr>
            <w:r w:rsidRPr="00064185">
              <w:rPr>
                <w:sz w:val="18"/>
                <w:szCs w:val="18"/>
              </w:rPr>
              <w:t>2008</w:t>
            </w:r>
          </w:p>
        </w:tc>
        <w:tc>
          <w:tcPr>
            <w:tcW w:w="730" w:type="pct"/>
          </w:tcPr>
          <w:p w14:paraId="423F3F5F" w14:textId="77777777" w:rsidR="00054AB2" w:rsidRPr="00064185" w:rsidRDefault="00054AB2" w:rsidP="00EA61D8">
            <w:pPr>
              <w:spacing w:before="60" w:after="60"/>
              <w:rPr>
                <w:sz w:val="18"/>
                <w:szCs w:val="18"/>
              </w:rPr>
            </w:pPr>
            <w:r w:rsidRPr="00064185">
              <w:rPr>
                <w:sz w:val="18"/>
                <w:szCs w:val="18"/>
              </w:rPr>
              <w:t xml:space="preserve">COM 116 02 I AL Validation of an analytical method: Determination of </w:t>
            </w:r>
            <w:r w:rsidRPr="00064185">
              <w:rPr>
                <w:i/>
                <w:sz w:val="18"/>
                <w:szCs w:val="18"/>
              </w:rPr>
              <w:t>lambda</w:t>
            </w:r>
            <w:r w:rsidRPr="00064185">
              <w:rPr>
                <w:sz w:val="18"/>
                <w:szCs w:val="18"/>
              </w:rPr>
              <w:t>-cyhalothrin in formulation COM 116 02 I AL by HPLC.</w:t>
            </w:r>
          </w:p>
          <w:p w14:paraId="0F6EED84" w14:textId="77777777" w:rsidR="00054AB2" w:rsidRPr="00064185" w:rsidRDefault="00054AB2" w:rsidP="00EA61D8">
            <w:pPr>
              <w:spacing w:before="60" w:after="60"/>
              <w:rPr>
                <w:sz w:val="18"/>
                <w:szCs w:val="18"/>
              </w:rPr>
            </w:pPr>
            <w:r w:rsidRPr="00064185">
              <w:rPr>
                <w:sz w:val="18"/>
                <w:szCs w:val="18"/>
              </w:rPr>
              <w:t>Date: 2008-05-13</w:t>
            </w:r>
          </w:p>
        </w:tc>
        <w:tc>
          <w:tcPr>
            <w:tcW w:w="730" w:type="pct"/>
          </w:tcPr>
          <w:p w14:paraId="2D9A97CD" w14:textId="77777777" w:rsidR="00054AB2" w:rsidRPr="00064185" w:rsidRDefault="00054AB2" w:rsidP="00EA61D8">
            <w:pPr>
              <w:spacing w:before="60" w:after="60"/>
              <w:rPr>
                <w:sz w:val="18"/>
                <w:szCs w:val="18"/>
                <w:lang w:val="de-DE"/>
              </w:rPr>
            </w:pPr>
            <w:r w:rsidRPr="00064185">
              <w:rPr>
                <w:sz w:val="18"/>
                <w:szCs w:val="18"/>
                <w:lang w:val="de-DE"/>
              </w:rPr>
              <w:t>Intertek biodata GmbH, Linden, Germany</w:t>
            </w:r>
          </w:p>
        </w:tc>
        <w:tc>
          <w:tcPr>
            <w:tcW w:w="474" w:type="pct"/>
          </w:tcPr>
          <w:p w14:paraId="1EBE6BD1" w14:textId="77777777" w:rsidR="00054AB2" w:rsidRPr="00064185" w:rsidRDefault="00054AB2" w:rsidP="00EA61D8">
            <w:pPr>
              <w:spacing w:before="60" w:after="60"/>
              <w:rPr>
                <w:sz w:val="18"/>
                <w:szCs w:val="18"/>
              </w:rPr>
            </w:pPr>
            <w:r w:rsidRPr="00064185">
              <w:rPr>
                <w:sz w:val="18"/>
                <w:szCs w:val="18"/>
              </w:rPr>
              <w:t>Study No. 48690</w:t>
            </w:r>
          </w:p>
        </w:tc>
        <w:tc>
          <w:tcPr>
            <w:tcW w:w="453" w:type="pct"/>
          </w:tcPr>
          <w:p w14:paraId="0A3AEA53" w14:textId="77777777" w:rsidR="00054AB2" w:rsidRPr="00064185" w:rsidRDefault="00054AB2" w:rsidP="00EA61D8">
            <w:pPr>
              <w:spacing w:before="60" w:after="60"/>
              <w:rPr>
                <w:sz w:val="18"/>
                <w:szCs w:val="18"/>
              </w:rPr>
            </w:pPr>
            <w:r w:rsidRPr="00064185">
              <w:rPr>
                <w:sz w:val="18"/>
                <w:szCs w:val="18"/>
              </w:rPr>
              <w:t>No</w:t>
            </w:r>
          </w:p>
        </w:tc>
        <w:tc>
          <w:tcPr>
            <w:tcW w:w="436" w:type="pct"/>
          </w:tcPr>
          <w:p w14:paraId="113C2AE0" w14:textId="77777777" w:rsidR="00054AB2" w:rsidRPr="00064185" w:rsidRDefault="00054AB2" w:rsidP="00EA61D8">
            <w:pPr>
              <w:spacing w:before="60" w:after="60"/>
              <w:rPr>
                <w:sz w:val="18"/>
                <w:szCs w:val="18"/>
              </w:rPr>
            </w:pPr>
            <w:r w:rsidRPr="00064185">
              <w:rPr>
                <w:sz w:val="18"/>
                <w:szCs w:val="18"/>
              </w:rPr>
              <w:t>No</w:t>
            </w:r>
          </w:p>
        </w:tc>
        <w:tc>
          <w:tcPr>
            <w:tcW w:w="457" w:type="pct"/>
          </w:tcPr>
          <w:p w14:paraId="4C459A1B" w14:textId="77777777" w:rsidR="00054AB2" w:rsidRPr="00064185" w:rsidRDefault="00054AB2" w:rsidP="00EA61D8">
            <w:pPr>
              <w:spacing w:before="60" w:after="60"/>
              <w:rPr>
                <w:sz w:val="18"/>
                <w:szCs w:val="18"/>
              </w:rPr>
            </w:pPr>
            <w:r w:rsidRPr="00064185">
              <w:rPr>
                <w:sz w:val="18"/>
                <w:szCs w:val="18"/>
              </w:rPr>
              <w:t>Yes</w:t>
            </w:r>
          </w:p>
        </w:tc>
        <w:tc>
          <w:tcPr>
            <w:tcW w:w="426" w:type="pct"/>
          </w:tcPr>
          <w:p w14:paraId="2535E9A2" w14:textId="77777777" w:rsidR="00054AB2" w:rsidRPr="00064185" w:rsidRDefault="00054AB2" w:rsidP="00EA61D8">
            <w:pPr>
              <w:spacing w:before="60" w:after="60"/>
              <w:rPr>
                <w:sz w:val="18"/>
                <w:szCs w:val="18"/>
              </w:rPr>
            </w:pPr>
            <w:r w:rsidRPr="00064185">
              <w:rPr>
                <w:sz w:val="18"/>
                <w:szCs w:val="18"/>
              </w:rPr>
              <w:t>COMPO GmbH &amp; Co. KG</w:t>
            </w:r>
          </w:p>
        </w:tc>
        <w:tc>
          <w:tcPr>
            <w:tcW w:w="466" w:type="pct"/>
          </w:tcPr>
          <w:p w14:paraId="2050ADF1" w14:textId="77777777" w:rsidR="00054AB2" w:rsidRPr="00064185" w:rsidRDefault="00054AB2" w:rsidP="00EA61D8">
            <w:pPr>
              <w:spacing w:before="60" w:after="60"/>
              <w:rPr>
                <w:sz w:val="18"/>
                <w:szCs w:val="18"/>
              </w:rPr>
            </w:pPr>
            <w:r w:rsidRPr="00064185">
              <w:rPr>
                <w:sz w:val="18"/>
                <w:szCs w:val="18"/>
              </w:rPr>
              <w:t>5</w:t>
            </w:r>
          </w:p>
        </w:tc>
      </w:tr>
      <w:tr w:rsidR="00064185" w:rsidRPr="00064185" w14:paraId="5AC36725" w14:textId="77777777" w:rsidTr="00CA3291">
        <w:trPr>
          <w:cantSplit/>
          <w:jc w:val="center"/>
        </w:trPr>
        <w:tc>
          <w:tcPr>
            <w:tcW w:w="502" w:type="pct"/>
          </w:tcPr>
          <w:p w14:paraId="3E115282" w14:textId="77777777" w:rsidR="00054AB2" w:rsidRPr="00064185" w:rsidRDefault="00054AB2" w:rsidP="00EA61D8">
            <w:pPr>
              <w:spacing w:before="60" w:after="60"/>
              <w:rPr>
                <w:sz w:val="18"/>
                <w:szCs w:val="18"/>
              </w:rPr>
            </w:pPr>
            <w:r w:rsidRPr="00064185">
              <w:rPr>
                <w:sz w:val="18"/>
                <w:szCs w:val="18"/>
              </w:rPr>
              <w:t>Serrano, B.</w:t>
            </w:r>
          </w:p>
        </w:tc>
        <w:tc>
          <w:tcPr>
            <w:tcW w:w="326" w:type="pct"/>
          </w:tcPr>
          <w:p w14:paraId="39970FC8" w14:textId="77777777" w:rsidR="00054AB2" w:rsidRPr="00064185" w:rsidRDefault="00054AB2" w:rsidP="00EA61D8">
            <w:pPr>
              <w:spacing w:before="60" w:after="60"/>
              <w:rPr>
                <w:sz w:val="18"/>
                <w:szCs w:val="18"/>
              </w:rPr>
            </w:pPr>
            <w:r w:rsidRPr="00064185">
              <w:rPr>
                <w:sz w:val="18"/>
                <w:szCs w:val="18"/>
              </w:rPr>
              <w:t>2007a</w:t>
            </w:r>
          </w:p>
        </w:tc>
        <w:tc>
          <w:tcPr>
            <w:tcW w:w="730" w:type="pct"/>
          </w:tcPr>
          <w:p w14:paraId="73453B3A" w14:textId="77777777" w:rsidR="00054AB2" w:rsidRPr="00064185" w:rsidRDefault="00054AB2" w:rsidP="00EA61D8">
            <w:pPr>
              <w:spacing w:before="60" w:after="60"/>
              <w:rPr>
                <w:sz w:val="18"/>
                <w:szCs w:val="18"/>
              </w:rPr>
            </w:pPr>
            <w:r w:rsidRPr="00064185">
              <w:rPr>
                <w:sz w:val="18"/>
                <w:szCs w:val="18"/>
              </w:rPr>
              <w:t xml:space="preserve">Field trial of the efficacy of insecticide products against garden ants. </w:t>
            </w:r>
            <w:r w:rsidRPr="00064185">
              <w:rPr>
                <w:sz w:val="18"/>
                <w:szCs w:val="18"/>
              </w:rPr>
              <w:br/>
              <w:t>Date: 2007-09-11</w:t>
            </w:r>
          </w:p>
        </w:tc>
        <w:tc>
          <w:tcPr>
            <w:tcW w:w="730" w:type="pct"/>
          </w:tcPr>
          <w:p w14:paraId="41FE1C87" w14:textId="77777777" w:rsidR="00054AB2" w:rsidRPr="00064185" w:rsidRDefault="00054AB2" w:rsidP="00EA61D8">
            <w:pPr>
              <w:spacing w:before="60" w:after="60"/>
              <w:rPr>
                <w:sz w:val="18"/>
                <w:szCs w:val="18"/>
              </w:rPr>
            </w:pPr>
            <w:r w:rsidRPr="00064185">
              <w:rPr>
                <w:sz w:val="18"/>
                <w:szCs w:val="18"/>
              </w:rPr>
              <w:t>T.E.C. Laboratory, Anglet, France</w:t>
            </w:r>
          </w:p>
        </w:tc>
        <w:tc>
          <w:tcPr>
            <w:tcW w:w="474" w:type="pct"/>
          </w:tcPr>
          <w:p w14:paraId="4C9935A4" w14:textId="77777777" w:rsidR="00054AB2" w:rsidRPr="00064185" w:rsidRDefault="00054AB2" w:rsidP="00EA61D8">
            <w:pPr>
              <w:spacing w:before="60" w:after="60"/>
              <w:rPr>
                <w:sz w:val="18"/>
                <w:szCs w:val="18"/>
              </w:rPr>
            </w:pPr>
            <w:r w:rsidRPr="00064185">
              <w:rPr>
                <w:sz w:val="18"/>
                <w:szCs w:val="18"/>
              </w:rPr>
              <w:t>1204b/0707R</w:t>
            </w:r>
          </w:p>
        </w:tc>
        <w:tc>
          <w:tcPr>
            <w:tcW w:w="453" w:type="pct"/>
          </w:tcPr>
          <w:p w14:paraId="2CABC32C" w14:textId="77777777" w:rsidR="00054AB2" w:rsidRPr="00064185" w:rsidRDefault="00054AB2" w:rsidP="00EA61D8">
            <w:pPr>
              <w:spacing w:before="60" w:after="60"/>
              <w:rPr>
                <w:sz w:val="18"/>
                <w:szCs w:val="18"/>
              </w:rPr>
            </w:pPr>
            <w:r w:rsidRPr="00064185">
              <w:rPr>
                <w:sz w:val="18"/>
                <w:szCs w:val="18"/>
              </w:rPr>
              <w:t>No</w:t>
            </w:r>
          </w:p>
        </w:tc>
        <w:tc>
          <w:tcPr>
            <w:tcW w:w="436" w:type="pct"/>
          </w:tcPr>
          <w:p w14:paraId="546B4CB8" w14:textId="77777777" w:rsidR="00054AB2" w:rsidRPr="00064185" w:rsidRDefault="00054AB2" w:rsidP="00EA61D8">
            <w:pPr>
              <w:spacing w:before="60" w:after="60"/>
              <w:rPr>
                <w:sz w:val="18"/>
                <w:szCs w:val="18"/>
              </w:rPr>
            </w:pPr>
            <w:r w:rsidRPr="00064185">
              <w:rPr>
                <w:sz w:val="18"/>
                <w:szCs w:val="18"/>
              </w:rPr>
              <w:t>No</w:t>
            </w:r>
          </w:p>
        </w:tc>
        <w:tc>
          <w:tcPr>
            <w:tcW w:w="457" w:type="pct"/>
          </w:tcPr>
          <w:p w14:paraId="336B119A" w14:textId="77777777" w:rsidR="00054AB2" w:rsidRPr="00064185" w:rsidRDefault="00054AB2" w:rsidP="00EA61D8">
            <w:pPr>
              <w:spacing w:before="60" w:after="60"/>
              <w:rPr>
                <w:sz w:val="18"/>
                <w:szCs w:val="18"/>
              </w:rPr>
            </w:pPr>
            <w:r w:rsidRPr="00064185">
              <w:rPr>
                <w:sz w:val="18"/>
                <w:szCs w:val="18"/>
              </w:rPr>
              <w:t>Yes</w:t>
            </w:r>
          </w:p>
        </w:tc>
        <w:tc>
          <w:tcPr>
            <w:tcW w:w="426" w:type="pct"/>
          </w:tcPr>
          <w:p w14:paraId="2D8F03DC" w14:textId="77777777" w:rsidR="00054AB2" w:rsidRPr="00064185" w:rsidRDefault="00054AB2" w:rsidP="00EA61D8">
            <w:pPr>
              <w:spacing w:before="60" w:after="60"/>
              <w:rPr>
                <w:sz w:val="18"/>
                <w:szCs w:val="18"/>
              </w:rPr>
            </w:pPr>
            <w:r w:rsidRPr="00064185">
              <w:rPr>
                <w:sz w:val="18"/>
                <w:szCs w:val="18"/>
              </w:rPr>
              <w:t>Compo GmbH &amp; Co. KG</w:t>
            </w:r>
          </w:p>
        </w:tc>
        <w:tc>
          <w:tcPr>
            <w:tcW w:w="466" w:type="pct"/>
          </w:tcPr>
          <w:p w14:paraId="6293CA43" w14:textId="77777777" w:rsidR="00054AB2" w:rsidRPr="00064185" w:rsidRDefault="00054AB2" w:rsidP="00EA61D8">
            <w:pPr>
              <w:spacing w:before="60" w:after="60"/>
              <w:rPr>
                <w:sz w:val="18"/>
                <w:szCs w:val="18"/>
              </w:rPr>
            </w:pPr>
            <w:r w:rsidRPr="00064185">
              <w:rPr>
                <w:sz w:val="18"/>
                <w:szCs w:val="18"/>
              </w:rPr>
              <w:t>6.7_01</w:t>
            </w:r>
          </w:p>
        </w:tc>
      </w:tr>
      <w:tr w:rsidR="00064185" w:rsidRPr="00064185" w14:paraId="5001B3CC" w14:textId="77777777" w:rsidTr="00CA3291">
        <w:trPr>
          <w:cantSplit/>
          <w:jc w:val="center"/>
        </w:trPr>
        <w:tc>
          <w:tcPr>
            <w:tcW w:w="502" w:type="pct"/>
          </w:tcPr>
          <w:p w14:paraId="1558EB7B" w14:textId="77777777" w:rsidR="00054AB2" w:rsidRPr="00064185" w:rsidRDefault="00054AB2" w:rsidP="00EA61D8">
            <w:pPr>
              <w:spacing w:before="60" w:after="60"/>
              <w:rPr>
                <w:bCs/>
                <w:sz w:val="18"/>
                <w:szCs w:val="18"/>
              </w:rPr>
            </w:pPr>
            <w:r w:rsidRPr="00064185">
              <w:rPr>
                <w:bCs/>
                <w:sz w:val="18"/>
                <w:szCs w:val="18"/>
              </w:rPr>
              <w:lastRenderedPageBreak/>
              <w:t>Serrano, B.</w:t>
            </w:r>
          </w:p>
        </w:tc>
        <w:tc>
          <w:tcPr>
            <w:tcW w:w="326" w:type="pct"/>
          </w:tcPr>
          <w:p w14:paraId="0F4E9CE3" w14:textId="77777777" w:rsidR="00054AB2" w:rsidRPr="00064185" w:rsidRDefault="00054AB2" w:rsidP="00EA61D8">
            <w:pPr>
              <w:spacing w:before="60" w:after="60"/>
              <w:rPr>
                <w:sz w:val="18"/>
                <w:szCs w:val="18"/>
              </w:rPr>
            </w:pPr>
            <w:r w:rsidRPr="00064185">
              <w:rPr>
                <w:sz w:val="18"/>
                <w:szCs w:val="18"/>
              </w:rPr>
              <w:t>2007b</w:t>
            </w:r>
          </w:p>
        </w:tc>
        <w:tc>
          <w:tcPr>
            <w:tcW w:w="730" w:type="pct"/>
          </w:tcPr>
          <w:p w14:paraId="55E563B7" w14:textId="77777777" w:rsidR="00054AB2" w:rsidRPr="00064185" w:rsidRDefault="00054AB2" w:rsidP="00EA61D8">
            <w:pPr>
              <w:spacing w:before="60" w:after="60"/>
              <w:rPr>
                <w:sz w:val="18"/>
                <w:szCs w:val="18"/>
              </w:rPr>
            </w:pPr>
            <w:r w:rsidRPr="00064185">
              <w:rPr>
                <w:sz w:val="18"/>
                <w:szCs w:val="18"/>
              </w:rPr>
              <w:t>Laboratory trial of the efficacy of insecticide products against garden ants.</w:t>
            </w:r>
          </w:p>
          <w:p w14:paraId="5C2F469C" w14:textId="77777777" w:rsidR="00054AB2" w:rsidRPr="00064185" w:rsidRDefault="00054AB2" w:rsidP="00EA61D8">
            <w:pPr>
              <w:spacing w:before="60" w:after="60"/>
              <w:rPr>
                <w:sz w:val="18"/>
                <w:szCs w:val="18"/>
              </w:rPr>
            </w:pPr>
            <w:r w:rsidRPr="00064185">
              <w:rPr>
                <w:sz w:val="18"/>
                <w:szCs w:val="18"/>
              </w:rPr>
              <w:t>Date: 2007-09-11</w:t>
            </w:r>
          </w:p>
        </w:tc>
        <w:tc>
          <w:tcPr>
            <w:tcW w:w="730" w:type="pct"/>
          </w:tcPr>
          <w:p w14:paraId="1CB4B46D" w14:textId="77777777" w:rsidR="00054AB2" w:rsidRPr="00064185" w:rsidRDefault="00054AB2" w:rsidP="00EA61D8">
            <w:pPr>
              <w:spacing w:before="60" w:after="60"/>
              <w:rPr>
                <w:sz w:val="18"/>
                <w:szCs w:val="18"/>
              </w:rPr>
            </w:pPr>
            <w:r w:rsidRPr="00064185">
              <w:rPr>
                <w:sz w:val="18"/>
                <w:szCs w:val="18"/>
              </w:rPr>
              <w:t>T.E.C. Laboratory, Anglet, France</w:t>
            </w:r>
          </w:p>
        </w:tc>
        <w:tc>
          <w:tcPr>
            <w:tcW w:w="474" w:type="pct"/>
          </w:tcPr>
          <w:p w14:paraId="5B7A86B3" w14:textId="77777777" w:rsidR="00054AB2" w:rsidRPr="00064185" w:rsidRDefault="00054AB2" w:rsidP="00EA61D8">
            <w:pPr>
              <w:spacing w:before="60" w:after="60"/>
              <w:rPr>
                <w:sz w:val="18"/>
                <w:szCs w:val="18"/>
              </w:rPr>
            </w:pPr>
            <w:r w:rsidRPr="00064185">
              <w:rPr>
                <w:sz w:val="18"/>
                <w:szCs w:val="18"/>
              </w:rPr>
              <w:t>1204a/0707R</w:t>
            </w:r>
          </w:p>
        </w:tc>
        <w:tc>
          <w:tcPr>
            <w:tcW w:w="453" w:type="pct"/>
          </w:tcPr>
          <w:p w14:paraId="068E5759" w14:textId="77777777" w:rsidR="00054AB2" w:rsidRPr="00064185" w:rsidRDefault="00054AB2" w:rsidP="00EA61D8">
            <w:pPr>
              <w:spacing w:before="60" w:after="60"/>
              <w:rPr>
                <w:sz w:val="18"/>
                <w:szCs w:val="18"/>
                <w:lang w:val="de-DE"/>
              </w:rPr>
            </w:pPr>
            <w:r w:rsidRPr="00064185">
              <w:rPr>
                <w:sz w:val="18"/>
                <w:szCs w:val="18"/>
                <w:lang w:val="de-DE"/>
              </w:rPr>
              <w:t>No</w:t>
            </w:r>
          </w:p>
        </w:tc>
        <w:tc>
          <w:tcPr>
            <w:tcW w:w="436" w:type="pct"/>
          </w:tcPr>
          <w:p w14:paraId="1DB9AE67" w14:textId="77777777" w:rsidR="00054AB2" w:rsidRPr="00064185" w:rsidRDefault="00054AB2" w:rsidP="00EA61D8">
            <w:pPr>
              <w:spacing w:before="60" w:after="60"/>
              <w:rPr>
                <w:sz w:val="18"/>
                <w:szCs w:val="18"/>
                <w:lang w:val="de-DE"/>
              </w:rPr>
            </w:pPr>
            <w:r w:rsidRPr="00064185">
              <w:rPr>
                <w:sz w:val="18"/>
                <w:szCs w:val="18"/>
                <w:lang w:val="de-DE"/>
              </w:rPr>
              <w:t>No</w:t>
            </w:r>
          </w:p>
        </w:tc>
        <w:tc>
          <w:tcPr>
            <w:tcW w:w="457" w:type="pct"/>
          </w:tcPr>
          <w:p w14:paraId="77645A50" w14:textId="77777777" w:rsidR="00054AB2" w:rsidRPr="00064185" w:rsidRDefault="00054AB2" w:rsidP="00EA61D8">
            <w:pPr>
              <w:spacing w:before="60" w:after="60"/>
              <w:rPr>
                <w:sz w:val="18"/>
                <w:szCs w:val="18"/>
                <w:lang w:val="de-DE"/>
              </w:rPr>
            </w:pPr>
            <w:r w:rsidRPr="00064185">
              <w:rPr>
                <w:sz w:val="18"/>
                <w:szCs w:val="18"/>
                <w:lang w:val="de-DE"/>
              </w:rPr>
              <w:t>Yes</w:t>
            </w:r>
          </w:p>
        </w:tc>
        <w:tc>
          <w:tcPr>
            <w:tcW w:w="426" w:type="pct"/>
          </w:tcPr>
          <w:p w14:paraId="5FE9B868" w14:textId="77777777" w:rsidR="00054AB2" w:rsidRPr="00064185" w:rsidRDefault="00054AB2" w:rsidP="00EA61D8">
            <w:pPr>
              <w:spacing w:before="60" w:after="60"/>
              <w:rPr>
                <w:sz w:val="18"/>
                <w:szCs w:val="18"/>
              </w:rPr>
            </w:pPr>
            <w:r w:rsidRPr="00064185">
              <w:rPr>
                <w:sz w:val="18"/>
                <w:szCs w:val="18"/>
              </w:rPr>
              <w:t>COMPO GmbH &amp; Co. KG</w:t>
            </w:r>
          </w:p>
        </w:tc>
        <w:tc>
          <w:tcPr>
            <w:tcW w:w="466" w:type="pct"/>
          </w:tcPr>
          <w:p w14:paraId="245445AD" w14:textId="77777777" w:rsidR="00054AB2" w:rsidRPr="00064185" w:rsidRDefault="00054AB2" w:rsidP="00EA61D8">
            <w:pPr>
              <w:spacing w:before="60" w:after="60"/>
              <w:rPr>
                <w:sz w:val="18"/>
                <w:szCs w:val="18"/>
              </w:rPr>
            </w:pPr>
            <w:r w:rsidRPr="00064185">
              <w:rPr>
                <w:sz w:val="18"/>
                <w:szCs w:val="18"/>
              </w:rPr>
              <w:t>6.7_02</w:t>
            </w:r>
          </w:p>
        </w:tc>
      </w:tr>
      <w:tr w:rsidR="00064185" w:rsidRPr="00064185" w14:paraId="3591D26B" w14:textId="77777777" w:rsidTr="00CA3291">
        <w:trPr>
          <w:cantSplit/>
          <w:jc w:val="center"/>
        </w:trPr>
        <w:tc>
          <w:tcPr>
            <w:tcW w:w="502" w:type="pct"/>
          </w:tcPr>
          <w:p w14:paraId="33E9C3AC" w14:textId="652874B6" w:rsidR="00454791" w:rsidRPr="00064185" w:rsidRDefault="00454791" w:rsidP="00EA61D8">
            <w:pPr>
              <w:spacing w:before="60" w:after="60"/>
              <w:rPr>
                <w:sz w:val="18"/>
                <w:szCs w:val="18"/>
                <w:lang w:val="de-AT"/>
              </w:rPr>
            </w:pPr>
            <w:r w:rsidRPr="00064185">
              <w:rPr>
                <w:bCs/>
                <w:sz w:val="18"/>
                <w:szCs w:val="18"/>
              </w:rPr>
              <w:t>Serrano, B.</w:t>
            </w:r>
          </w:p>
        </w:tc>
        <w:tc>
          <w:tcPr>
            <w:tcW w:w="326" w:type="pct"/>
          </w:tcPr>
          <w:p w14:paraId="2A0462DF" w14:textId="6C6A5495" w:rsidR="00454791" w:rsidRPr="00064185" w:rsidRDefault="00454791" w:rsidP="00EA61D8">
            <w:pPr>
              <w:spacing w:before="60" w:after="60"/>
              <w:rPr>
                <w:sz w:val="18"/>
                <w:szCs w:val="18"/>
              </w:rPr>
            </w:pPr>
            <w:r w:rsidRPr="00064185">
              <w:rPr>
                <w:sz w:val="18"/>
                <w:szCs w:val="18"/>
              </w:rPr>
              <w:t>2011</w:t>
            </w:r>
          </w:p>
        </w:tc>
        <w:tc>
          <w:tcPr>
            <w:tcW w:w="730" w:type="pct"/>
          </w:tcPr>
          <w:p w14:paraId="0551C022" w14:textId="28F25660" w:rsidR="00454791" w:rsidRPr="00064185" w:rsidRDefault="00454791" w:rsidP="00EA61D8">
            <w:pPr>
              <w:spacing w:before="60" w:after="60"/>
              <w:rPr>
                <w:sz w:val="18"/>
                <w:szCs w:val="18"/>
              </w:rPr>
            </w:pPr>
            <w:r w:rsidRPr="00064185">
              <w:rPr>
                <w:bCs/>
                <w:sz w:val="18"/>
                <w:szCs w:val="18"/>
              </w:rPr>
              <w:t>Serrano, B.</w:t>
            </w:r>
          </w:p>
        </w:tc>
        <w:tc>
          <w:tcPr>
            <w:tcW w:w="730" w:type="pct"/>
          </w:tcPr>
          <w:p w14:paraId="2C4497E4" w14:textId="568D9561" w:rsidR="00454791" w:rsidRPr="00064185" w:rsidRDefault="00454791" w:rsidP="00EA61D8">
            <w:pPr>
              <w:spacing w:before="60" w:after="60"/>
              <w:rPr>
                <w:sz w:val="18"/>
                <w:szCs w:val="18"/>
              </w:rPr>
            </w:pPr>
          </w:p>
        </w:tc>
        <w:tc>
          <w:tcPr>
            <w:tcW w:w="474" w:type="pct"/>
          </w:tcPr>
          <w:p w14:paraId="5E83E0DD" w14:textId="77777777" w:rsidR="00454791" w:rsidRPr="00064185" w:rsidRDefault="00454791" w:rsidP="00EA61D8">
            <w:pPr>
              <w:spacing w:before="60" w:after="60"/>
              <w:rPr>
                <w:sz w:val="18"/>
                <w:szCs w:val="18"/>
              </w:rPr>
            </w:pPr>
          </w:p>
        </w:tc>
        <w:tc>
          <w:tcPr>
            <w:tcW w:w="453" w:type="pct"/>
          </w:tcPr>
          <w:p w14:paraId="045672BA" w14:textId="6412EFDE" w:rsidR="00454791" w:rsidRPr="00064185" w:rsidRDefault="00454791" w:rsidP="00EA61D8">
            <w:pPr>
              <w:spacing w:before="60" w:after="60"/>
              <w:rPr>
                <w:sz w:val="18"/>
                <w:szCs w:val="18"/>
              </w:rPr>
            </w:pPr>
            <w:r w:rsidRPr="00064185">
              <w:rPr>
                <w:sz w:val="18"/>
                <w:szCs w:val="18"/>
                <w:lang w:val="de-DE"/>
              </w:rPr>
              <w:t>No</w:t>
            </w:r>
          </w:p>
        </w:tc>
        <w:tc>
          <w:tcPr>
            <w:tcW w:w="436" w:type="pct"/>
          </w:tcPr>
          <w:p w14:paraId="037C0764" w14:textId="4588F502" w:rsidR="00454791" w:rsidRPr="00064185" w:rsidRDefault="00454791" w:rsidP="00EA61D8">
            <w:pPr>
              <w:spacing w:before="60" w:after="60"/>
              <w:rPr>
                <w:sz w:val="18"/>
                <w:szCs w:val="18"/>
              </w:rPr>
            </w:pPr>
            <w:r w:rsidRPr="00064185">
              <w:rPr>
                <w:sz w:val="18"/>
                <w:szCs w:val="18"/>
                <w:lang w:val="de-DE"/>
              </w:rPr>
              <w:t>No</w:t>
            </w:r>
          </w:p>
        </w:tc>
        <w:tc>
          <w:tcPr>
            <w:tcW w:w="457" w:type="pct"/>
          </w:tcPr>
          <w:p w14:paraId="4834352F" w14:textId="322C3401" w:rsidR="00454791" w:rsidRPr="00064185" w:rsidRDefault="00454791" w:rsidP="00EA61D8">
            <w:pPr>
              <w:spacing w:before="60" w:after="60"/>
              <w:rPr>
                <w:sz w:val="18"/>
                <w:szCs w:val="18"/>
              </w:rPr>
            </w:pPr>
            <w:r w:rsidRPr="00064185">
              <w:rPr>
                <w:sz w:val="18"/>
                <w:szCs w:val="18"/>
                <w:lang w:val="de-DE"/>
              </w:rPr>
              <w:t>Yes</w:t>
            </w:r>
          </w:p>
        </w:tc>
        <w:tc>
          <w:tcPr>
            <w:tcW w:w="426" w:type="pct"/>
          </w:tcPr>
          <w:p w14:paraId="15E92C36" w14:textId="64D3E1E1" w:rsidR="00454791" w:rsidRPr="00064185" w:rsidRDefault="00454791" w:rsidP="00EA61D8">
            <w:pPr>
              <w:spacing w:before="60" w:after="60"/>
              <w:rPr>
                <w:sz w:val="18"/>
                <w:szCs w:val="18"/>
              </w:rPr>
            </w:pPr>
            <w:r w:rsidRPr="00064185">
              <w:rPr>
                <w:sz w:val="18"/>
                <w:szCs w:val="18"/>
              </w:rPr>
              <w:t>COMPO GmbH &amp; Co. KG</w:t>
            </w:r>
          </w:p>
        </w:tc>
        <w:tc>
          <w:tcPr>
            <w:tcW w:w="466" w:type="pct"/>
          </w:tcPr>
          <w:p w14:paraId="2D51C8D1" w14:textId="1CCA2E3C" w:rsidR="00454791" w:rsidRPr="00064185" w:rsidRDefault="00454791" w:rsidP="00EA61D8">
            <w:pPr>
              <w:spacing w:before="60" w:after="60"/>
              <w:rPr>
                <w:sz w:val="18"/>
                <w:szCs w:val="18"/>
              </w:rPr>
            </w:pPr>
            <w:r w:rsidRPr="00064185">
              <w:rPr>
                <w:sz w:val="18"/>
                <w:szCs w:val="18"/>
              </w:rPr>
              <w:t>6.7_06</w:t>
            </w:r>
          </w:p>
        </w:tc>
      </w:tr>
      <w:tr w:rsidR="00064185" w:rsidRPr="00064185" w14:paraId="1BCCF46A" w14:textId="77777777" w:rsidTr="00CA3291">
        <w:trPr>
          <w:cantSplit/>
          <w:jc w:val="center"/>
        </w:trPr>
        <w:tc>
          <w:tcPr>
            <w:tcW w:w="502" w:type="pct"/>
          </w:tcPr>
          <w:p w14:paraId="6C5B6A8E" w14:textId="77777777" w:rsidR="00454791" w:rsidRPr="00064185" w:rsidRDefault="00454791" w:rsidP="00EA61D8">
            <w:pPr>
              <w:spacing w:before="60" w:after="60"/>
              <w:rPr>
                <w:sz w:val="18"/>
                <w:szCs w:val="18"/>
                <w:lang w:val="de-AT"/>
              </w:rPr>
            </w:pPr>
            <w:r w:rsidRPr="00064185">
              <w:rPr>
                <w:sz w:val="18"/>
                <w:szCs w:val="18"/>
                <w:lang w:val="de-AT"/>
              </w:rPr>
              <w:t>van Engelen, J.G.M. and Prud’homme de Lodder, L.C.H.</w:t>
            </w:r>
          </w:p>
        </w:tc>
        <w:tc>
          <w:tcPr>
            <w:tcW w:w="326" w:type="pct"/>
          </w:tcPr>
          <w:p w14:paraId="0A13B470" w14:textId="77777777" w:rsidR="00454791" w:rsidRPr="00064185" w:rsidRDefault="00454791" w:rsidP="00EA61D8">
            <w:pPr>
              <w:spacing w:before="60" w:after="60"/>
              <w:rPr>
                <w:sz w:val="18"/>
                <w:szCs w:val="18"/>
              </w:rPr>
            </w:pPr>
            <w:r w:rsidRPr="00064185">
              <w:rPr>
                <w:sz w:val="18"/>
                <w:szCs w:val="18"/>
              </w:rPr>
              <w:t>2007</w:t>
            </w:r>
          </w:p>
        </w:tc>
        <w:tc>
          <w:tcPr>
            <w:tcW w:w="730" w:type="pct"/>
          </w:tcPr>
          <w:p w14:paraId="30FDE110" w14:textId="77777777" w:rsidR="00454791" w:rsidRPr="00064185" w:rsidRDefault="00454791" w:rsidP="00EA61D8">
            <w:pPr>
              <w:spacing w:before="60" w:after="60"/>
              <w:rPr>
                <w:sz w:val="18"/>
                <w:szCs w:val="18"/>
              </w:rPr>
            </w:pPr>
            <w:r w:rsidRPr="00064185">
              <w:rPr>
                <w:sz w:val="18"/>
                <w:szCs w:val="18"/>
              </w:rPr>
              <w:t>Non-food products: How to assess children’s exposure?</w:t>
            </w:r>
          </w:p>
        </w:tc>
        <w:tc>
          <w:tcPr>
            <w:tcW w:w="730" w:type="pct"/>
          </w:tcPr>
          <w:p w14:paraId="16AFFB61" w14:textId="77777777" w:rsidR="00454791" w:rsidRPr="00064185" w:rsidRDefault="00454791" w:rsidP="00EA61D8">
            <w:pPr>
              <w:spacing w:before="60" w:after="60"/>
              <w:rPr>
                <w:sz w:val="18"/>
                <w:szCs w:val="18"/>
              </w:rPr>
            </w:pPr>
            <w:r w:rsidRPr="00064185">
              <w:rPr>
                <w:sz w:val="18"/>
                <w:szCs w:val="18"/>
              </w:rPr>
              <w:t>–</w:t>
            </w:r>
          </w:p>
        </w:tc>
        <w:tc>
          <w:tcPr>
            <w:tcW w:w="474" w:type="pct"/>
          </w:tcPr>
          <w:p w14:paraId="784B8689" w14:textId="77777777" w:rsidR="00454791" w:rsidRPr="00064185" w:rsidRDefault="00454791" w:rsidP="00EA61D8">
            <w:pPr>
              <w:spacing w:before="60" w:after="60"/>
              <w:rPr>
                <w:sz w:val="18"/>
                <w:szCs w:val="18"/>
              </w:rPr>
            </w:pPr>
            <w:r w:rsidRPr="00064185">
              <w:rPr>
                <w:sz w:val="18"/>
                <w:szCs w:val="18"/>
              </w:rPr>
              <w:t>RIVM report 320005005/2007</w:t>
            </w:r>
          </w:p>
        </w:tc>
        <w:tc>
          <w:tcPr>
            <w:tcW w:w="453" w:type="pct"/>
          </w:tcPr>
          <w:p w14:paraId="04752EDC" w14:textId="77777777" w:rsidR="00454791" w:rsidRPr="00064185" w:rsidRDefault="00454791" w:rsidP="00EA61D8">
            <w:pPr>
              <w:spacing w:before="60" w:after="60"/>
              <w:rPr>
                <w:sz w:val="18"/>
                <w:szCs w:val="18"/>
              </w:rPr>
            </w:pPr>
            <w:r w:rsidRPr="00064185">
              <w:rPr>
                <w:sz w:val="18"/>
                <w:szCs w:val="18"/>
              </w:rPr>
              <w:t>n.a.</w:t>
            </w:r>
          </w:p>
        </w:tc>
        <w:tc>
          <w:tcPr>
            <w:tcW w:w="436" w:type="pct"/>
          </w:tcPr>
          <w:p w14:paraId="1E934F6B" w14:textId="77777777" w:rsidR="00454791" w:rsidRPr="00064185" w:rsidRDefault="00454791" w:rsidP="00EA61D8">
            <w:pPr>
              <w:spacing w:before="60" w:after="60"/>
              <w:rPr>
                <w:sz w:val="18"/>
                <w:szCs w:val="18"/>
              </w:rPr>
            </w:pPr>
            <w:r w:rsidRPr="00064185">
              <w:rPr>
                <w:sz w:val="18"/>
                <w:szCs w:val="18"/>
              </w:rPr>
              <w:t>Yes</w:t>
            </w:r>
          </w:p>
        </w:tc>
        <w:tc>
          <w:tcPr>
            <w:tcW w:w="457" w:type="pct"/>
          </w:tcPr>
          <w:p w14:paraId="145A76C5" w14:textId="77777777" w:rsidR="00454791" w:rsidRPr="00064185" w:rsidRDefault="00454791" w:rsidP="00EA61D8">
            <w:pPr>
              <w:spacing w:before="60" w:after="60"/>
              <w:rPr>
                <w:sz w:val="18"/>
                <w:szCs w:val="18"/>
              </w:rPr>
            </w:pPr>
            <w:r w:rsidRPr="00064185">
              <w:rPr>
                <w:sz w:val="18"/>
                <w:szCs w:val="18"/>
              </w:rPr>
              <w:t>No</w:t>
            </w:r>
          </w:p>
        </w:tc>
        <w:tc>
          <w:tcPr>
            <w:tcW w:w="426" w:type="pct"/>
          </w:tcPr>
          <w:p w14:paraId="6D8B0E33" w14:textId="77777777" w:rsidR="00454791" w:rsidRPr="00064185" w:rsidRDefault="00454791" w:rsidP="00EA61D8">
            <w:pPr>
              <w:spacing w:before="60" w:after="60"/>
              <w:rPr>
                <w:sz w:val="18"/>
                <w:szCs w:val="18"/>
              </w:rPr>
            </w:pPr>
            <w:r w:rsidRPr="00064185">
              <w:rPr>
                <w:sz w:val="18"/>
                <w:szCs w:val="18"/>
              </w:rPr>
              <w:t>–</w:t>
            </w:r>
          </w:p>
        </w:tc>
        <w:tc>
          <w:tcPr>
            <w:tcW w:w="466" w:type="pct"/>
          </w:tcPr>
          <w:p w14:paraId="0AACA1EF" w14:textId="77777777" w:rsidR="00454791" w:rsidRPr="00064185" w:rsidRDefault="00454791" w:rsidP="00EA61D8">
            <w:pPr>
              <w:spacing w:before="60" w:after="60"/>
              <w:rPr>
                <w:sz w:val="18"/>
                <w:szCs w:val="18"/>
              </w:rPr>
            </w:pPr>
            <w:r w:rsidRPr="00064185">
              <w:rPr>
                <w:sz w:val="18"/>
                <w:szCs w:val="18"/>
              </w:rPr>
              <w:t>published</w:t>
            </w:r>
          </w:p>
        </w:tc>
      </w:tr>
      <w:tr w:rsidR="00064185" w:rsidRPr="00064185" w14:paraId="2DBB8624" w14:textId="77777777" w:rsidTr="00CA3291">
        <w:trPr>
          <w:cantSplit/>
          <w:jc w:val="center"/>
        </w:trPr>
        <w:tc>
          <w:tcPr>
            <w:tcW w:w="502" w:type="pct"/>
          </w:tcPr>
          <w:p w14:paraId="20C94EE4" w14:textId="77777777" w:rsidR="00454791" w:rsidRPr="00064185" w:rsidRDefault="00454791" w:rsidP="00EA61D8">
            <w:pPr>
              <w:spacing w:before="60" w:after="60"/>
              <w:rPr>
                <w:sz w:val="18"/>
              </w:rPr>
            </w:pPr>
            <w:r w:rsidRPr="00064185">
              <w:rPr>
                <w:sz w:val="18"/>
              </w:rPr>
              <w:t>Wochner, F.</w:t>
            </w:r>
          </w:p>
        </w:tc>
        <w:tc>
          <w:tcPr>
            <w:tcW w:w="326" w:type="pct"/>
          </w:tcPr>
          <w:p w14:paraId="65E44623" w14:textId="77777777" w:rsidR="00454791" w:rsidRPr="00064185" w:rsidRDefault="00454791" w:rsidP="00EA61D8">
            <w:pPr>
              <w:spacing w:before="60" w:after="60"/>
              <w:rPr>
                <w:sz w:val="18"/>
              </w:rPr>
            </w:pPr>
            <w:r w:rsidRPr="00064185">
              <w:rPr>
                <w:sz w:val="18"/>
              </w:rPr>
              <w:t>2009</w:t>
            </w:r>
          </w:p>
        </w:tc>
        <w:tc>
          <w:tcPr>
            <w:tcW w:w="730" w:type="pct"/>
          </w:tcPr>
          <w:p w14:paraId="0163873B" w14:textId="77777777" w:rsidR="00454791" w:rsidRPr="00064185" w:rsidRDefault="00454791" w:rsidP="00EA61D8">
            <w:pPr>
              <w:spacing w:before="60" w:after="60"/>
              <w:rPr>
                <w:sz w:val="18"/>
              </w:rPr>
            </w:pPr>
            <w:r w:rsidRPr="00064185">
              <w:rPr>
                <w:sz w:val="18"/>
              </w:rPr>
              <w:t>A16132A – Storage stability and shelf life statement (2 weeks 54°C) in packaging made of PET (trigger bottle).</w:t>
            </w:r>
          </w:p>
          <w:p w14:paraId="6247A618" w14:textId="77777777" w:rsidR="00454791" w:rsidRPr="00064185" w:rsidRDefault="00454791" w:rsidP="00EA61D8">
            <w:pPr>
              <w:spacing w:before="60" w:after="60"/>
              <w:rPr>
                <w:sz w:val="18"/>
              </w:rPr>
            </w:pPr>
            <w:r w:rsidRPr="00064185">
              <w:rPr>
                <w:sz w:val="18"/>
              </w:rPr>
              <w:t>Date: 2009-07-20</w:t>
            </w:r>
          </w:p>
        </w:tc>
        <w:tc>
          <w:tcPr>
            <w:tcW w:w="730" w:type="pct"/>
          </w:tcPr>
          <w:p w14:paraId="71BBC161" w14:textId="77777777" w:rsidR="00454791" w:rsidRPr="00064185" w:rsidRDefault="00454791" w:rsidP="00EA61D8">
            <w:pPr>
              <w:spacing w:before="60" w:after="60"/>
              <w:rPr>
                <w:sz w:val="18"/>
              </w:rPr>
            </w:pPr>
            <w:r w:rsidRPr="00064185">
              <w:rPr>
                <w:sz w:val="18"/>
              </w:rPr>
              <w:t>Syngenta Crop Protection Münchwilen AG, Analytical Development &amp; Product Chemistry, Münchwilen, Switzerland</w:t>
            </w:r>
          </w:p>
        </w:tc>
        <w:tc>
          <w:tcPr>
            <w:tcW w:w="474" w:type="pct"/>
          </w:tcPr>
          <w:p w14:paraId="4AF6A9AA" w14:textId="77777777" w:rsidR="00454791" w:rsidRPr="00064185" w:rsidRDefault="00454791" w:rsidP="00EA61D8">
            <w:pPr>
              <w:spacing w:before="60" w:after="60"/>
              <w:rPr>
                <w:sz w:val="18"/>
              </w:rPr>
            </w:pPr>
            <w:r w:rsidRPr="00064185">
              <w:rPr>
                <w:sz w:val="18"/>
              </w:rPr>
              <w:t>10395223</w:t>
            </w:r>
          </w:p>
        </w:tc>
        <w:tc>
          <w:tcPr>
            <w:tcW w:w="453" w:type="pct"/>
          </w:tcPr>
          <w:p w14:paraId="73D7A94F" w14:textId="77777777" w:rsidR="00454791" w:rsidRPr="00064185" w:rsidRDefault="00454791" w:rsidP="00EA61D8">
            <w:pPr>
              <w:spacing w:before="60" w:after="60"/>
              <w:rPr>
                <w:sz w:val="18"/>
              </w:rPr>
            </w:pPr>
            <w:r w:rsidRPr="00064185">
              <w:rPr>
                <w:sz w:val="18"/>
              </w:rPr>
              <w:t>Yes</w:t>
            </w:r>
          </w:p>
        </w:tc>
        <w:tc>
          <w:tcPr>
            <w:tcW w:w="436" w:type="pct"/>
          </w:tcPr>
          <w:p w14:paraId="338731A3" w14:textId="77777777" w:rsidR="00454791" w:rsidRPr="00064185" w:rsidRDefault="00454791" w:rsidP="00EA61D8">
            <w:pPr>
              <w:spacing w:before="60" w:after="60"/>
              <w:rPr>
                <w:sz w:val="18"/>
              </w:rPr>
            </w:pPr>
            <w:r w:rsidRPr="00064185">
              <w:rPr>
                <w:sz w:val="18"/>
              </w:rPr>
              <w:t>No</w:t>
            </w:r>
          </w:p>
        </w:tc>
        <w:tc>
          <w:tcPr>
            <w:tcW w:w="457" w:type="pct"/>
          </w:tcPr>
          <w:p w14:paraId="64881075" w14:textId="77777777" w:rsidR="00454791" w:rsidRPr="00064185" w:rsidRDefault="00454791" w:rsidP="00EA61D8">
            <w:pPr>
              <w:spacing w:before="60" w:after="60"/>
              <w:rPr>
                <w:sz w:val="18"/>
              </w:rPr>
            </w:pPr>
            <w:r w:rsidRPr="00064185">
              <w:rPr>
                <w:sz w:val="18"/>
              </w:rPr>
              <w:t>Yes</w:t>
            </w:r>
          </w:p>
        </w:tc>
        <w:tc>
          <w:tcPr>
            <w:tcW w:w="426" w:type="pct"/>
          </w:tcPr>
          <w:p w14:paraId="52EC34F7" w14:textId="77777777" w:rsidR="00454791" w:rsidRPr="00064185" w:rsidRDefault="00454791" w:rsidP="00EA61D8">
            <w:pPr>
              <w:spacing w:before="60" w:after="60"/>
              <w:rPr>
                <w:sz w:val="18"/>
                <w:lang w:val="de-AT"/>
              </w:rPr>
            </w:pPr>
            <w:r w:rsidRPr="00064185">
              <w:rPr>
                <w:sz w:val="18"/>
                <w:lang w:val="de-AT"/>
              </w:rPr>
              <w:t>Syngenta Crop Protection Münchwilen AG</w:t>
            </w:r>
          </w:p>
        </w:tc>
        <w:tc>
          <w:tcPr>
            <w:tcW w:w="466" w:type="pct"/>
          </w:tcPr>
          <w:p w14:paraId="4AB8C71D" w14:textId="77777777" w:rsidR="00454791" w:rsidRPr="00064185" w:rsidRDefault="00454791" w:rsidP="00EA61D8">
            <w:pPr>
              <w:spacing w:before="60" w:after="60"/>
              <w:rPr>
                <w:sz w:val="18"/>
              </w:rPr>
            </w:pPr>
            <w:r w:rsidRPr="00064185">
              <w:rPr>
                <w:sz w:val="18"/>
              </w:rPr>
              <w:t>3.1_01</w:t>
            </w:r>
            <w:r w:rsidRPr="00064185">
              <w:rPr>
                <w:sz w:val="18"/>
              </w:rPr>
              <w:br/>
              <w:t>3.2_02</w:t>
            </w:r>
            <w:r w:rsidRPr="00064185">
              <w:rPr>
                <w:sz w:val="18"/>
              </w:rPr>
              <w:br/>
              <w:t>3.3_01</w:t>
            </w:r>
            <w:r w:rsidRPr="00064185">
              <w:rPr>
                <w:sz w:val="18"/>
              </w:rPr>
              <w:br/>
              <w:t>3.4_01</w:t>
            </w:r>
            <w:r w:rsidRPr="00064185">
              <w:rPr>
                <w:sz w:val="18"/>
              </w:rPr>
              <w:br/>
              <w:t>3.5_01</w:t>
            </w:r>
          </w:p>
        </w:tc>
      </w:tr>
      <w:tr w:rsidR="00064185" w:rsidRPr="00064185" w14:paraId="017F1276" w14:textId="77777777" w:rsidTr="00CA3291">
        <w:trPr>
          <w:cantSplit/>
          <w:jc w:val="center"/>
        </w:trPr>
        <w:tc>
          <w:tcPr>
            <w:tcW w:w="502" w:type="pct"/>
          </w:tcPr>
          <w:p w14:paraId="0E15EE6B" w14:textId="77777777" w:rsidR="00454791" w:rsidRPr="00064185" w:rsidRDefault="00454791" w:rsidP="00EA61D8">
            <w:pPr>
              <w:spacing w:before="60" w:after="60"/>
              <w:rPr>
                <w:sz w:val="18"/>
              </w:rPr>
            </w:pPr>
            <w:r w:rsidRPr="00064185">
              <w:rPr>
                <w:sz w:val="18"/>
              </w:rPr>
              <w:t>Wochner, F.</w:t>
            </w:r>
          </w:p>
        </w:tc>
        <w:tc>
          <w:tcPr>
            <w:tcW w:w="326" w:type="pct"/>
          </w:tcPr>
          <w:p w14:paraId="7A684274" w14:textId="77777777" w:rsidR="00454791" w:rsidRPr="00064185" w:rsidRDefault="00454791" w:rsidP="00EA61D8">
            <w:pPr>
              <w:spacing w:before="60" w:after="60"/>
              <w:rPr>
                <w:sz w:val="18"/>
              </w:rPr>
            </w:pPr>
            <w:r w:rsidRPr="00064185">
              <w:rPr>
                <w:sz w:val="18"/>
              </w:rPr>
              <w:t>2012a</w:t>
            </w:r>
          </w:p>
        </w:tc>
        <w:tc>
          <w:tcPr>
            <w:tcW w:w="730" w:type="pct"/>
          </w:tcPr>
          <w:p w14:paraId="0CCA5634" w14:textId="77777777" w:rsidR="00454791" w:rsidRPr="00064185" w:rsidRDefault="00454791" w:rsidP="00EA61D8">
            <w:pPr>
              <w:spacing w:before="60" w:after="60"/>
              <w:rPr>
                <w:sz w:val="18"/>
              </w:rPr>
            </w:pPr>
            <w:r w:rsidRPr="00064185">
              <w:rPr>
                <w:sz w:val="18"/>
              </w:rPr>
              <w:t>A16132A – Storage stability and shelf life statement (2 years 20°C) in packaging made of PET (trigger bottle).</w:t>
            </w:r>
          </w:p>
          <w:p w14:paraId="4959B852" w14:textId="77777777" w:rsidR="00454791" w:rsidRPr="00064185" w:rsidRDefault="00454791" w:rsidP="00EA61D8">
            <w:pPr>
              <w:spacing w:before="60" w:after="60"/>
              <w:rPr>
                <w:sz w:val="18"/>
              </w:rPr>
            </w:pPr>
            <w:r w:rsidRPr="00064185">
              <w:rPr>
                <w:sz w:val="18"/>
              </w:rPr>
              <w:t>Date: 2012-07-05</w:t>
            </w:r>
          </w:p>
        </w:tc>
        <w:tc>
          <w:tcPr>
            <w:tcW w:w="730" w:type="pct"/>
          </w:tcPr>
          <w:p w14:paraId="1200FACF" w14:textId="77777777" w:rsidR="00454791" w:rsidRPr="00064185" w:rsidRDefault="00454791" w:rsidP="00EA61D8">
            <w:pPr>
              <w:spacing w:before="60" w:after="60"/>
              <w:rPr>
                <w:sz w:val="18"/>
              </w:rPr>
            </w:pPr>
            <w:r w:rsidRPr="00064185">
              <w:rPr>
                <w:sz w:val="18"/>
              </w:rPr>
              <w:t>Syngenta Crop Protection Münchwilen AG, Analytical Development &amp; Product Chemistry, Münchwilen, Switzerland</w:t>
            </w:r>
          </w:p>
        </w:tc>
        <w:tc>
          <w:tcPr>
            <w:tcW w:w="474" w:type="pct"/>
          </w:tcPr>
          <w:p w14:paraId="4AA28295" w14:textId="77777777" w:rsidR="00454791" w:rsidRPr="00064185" w:rsidRDefault="00454791" w:rsidP="00EA61D8">
            <w:pPr>
              <w:spacing w:before="60" w:after="60"/>
              <w:rPr>
                <w:sz w:val="18"/>
              </w:rPr>
            </w:pPr>
            <w:r w:rsidRPr="00064185">
              <w:rPr>
                <w:sz w:val="18"/>
              </w:rPr>
              <w:t>10485617</w:t>
            </w:r>
          </w:p>
        </w:tc>
        <w:tc>
          <w:tcPr>
            <w:tcW w:w="453" w:type="pct"/>
          </w:tcPr>
          <w:p w14:paraId="57786E7C" w14:textId="77777777" w:rsidR="00454791" w:rsidRPr="00064185" w:rsidRDefault="00454791" w:rsidP="00EA61D8">
            <w:pPr>
              <w:spacing w:before="60" w:after="60"/>
              <w:rPr>
                <w:sz w:val="18"/>
              </w:rPr>
            </w:pPr>
            <w:r w:rsidRPr="00064185">
              <w:rPr>
                <w:sz w:val="18"/>
              </w:rPr>
              <w:t>Yes</w:t>
            </w:r>
          </w:p>
        </w:tc>
        <w:tc>
          <w:tcPr>
            <w:tcW w:w="436" w:type="pct"/>
          </w:tcPr>
          <w:p w14:paraId="42337B84" w14:textId="77777777" w:rsidR="00454791" w:rsidRPr="00064185" w:rsidRDefault="00454791" w:rsidP="00EA61D8">
            <w:pPr>
              <w:spacing w:before="60" w:after="60"/>
              <w:rPr>
                <w:sz w:val="18"/>
              </w:rPr>
            </w:pPr>
            <w:r w:rsidRPr="00064185">
              <w:rPr>
                <w:sz w:val="18"/>
              </w:rPr>
              <w:t>No</w:t>
            </w:r>
          </w:p>
        </w:tc>
        <w:tc>
          <w:tcPr>
            <w:tcW w:w="457" w:type="pct"/>
          </w:tcPr>
          <w:p w14:paraId="4C164314" w14:textId="77777777" w:rsidR="00454791" w:rsidRPr="00064185" w:rsidRDefault="00454791" w:rsidP="00EA61D8">
            <w:pPr>
              <w:spacing w:before="60" w:after="60"/>
              <w:rPr>
                <w:sz w:val="18"/>
              </w:rPr>
            </w:pPr>
            <w:r w:rsidRPr="00064185">
              <w:rPr>
                <w:sz w:val="18"/>
              </w:rPr>
              <w:t>Yes</w:t>
            </w:r>
          </w:p>
        </w:tc>
        <w:tc>
          <w:tcPr>
            <w:tcW w:w="426" w:type="pct"/>
          </w:tcPr>
          <w:p w14:paraId="0D184517" w14:textId="77777777" w:rsidR="00454791" w:rsidRPr="00064185" w:rsidRDefault="00454791" w:rsidP="00EA61D8">
            <w:pPr>
              <w:spacing w:before="60" w:after="60"/>
              <w:rPr>
                <w:sz w:val="18"/>
                <w:lang w:val="de-AT"/>
              </w:rPr>
            </w:pPr>
            <w:r w:rsidRPr="00064185">
              <w:rPr>
                <w:sz w:val="18"/>
                <w:lang w:val="de-AT"/>
              </w:rPr>
              <w:t>Syngenta Crop Protection Münchwilen AG</w:t>
            </w:r>
          </w:p>
        </w:tc>
        <w:tc>
          <w:tcPr>
            <w:tcW w:w="466" w:type="pct"/>
          </w:tcPr>
          <w:p w14:paraId="771F2944" w14:textId="77777777" w:rsidR="00454791" w:rsidRPr="00064185" w:rsidRDefault="00454791" w:rsidP="00EA61D8">
            <w:pPr>
              <w:spacing w:before="60" w:after="60"/>
              <w:rPr>
                <w:sz w:val="18"/>
              </w:rPr>
            </w:pPr>
            <w:r w:rsidRPr="00064185">
              <w:rPr>
                <w:sz w:val="18"/>
              </w:rPr>
              <w:t>3.1_02</w:t>
            </w:r>
            <w:r w:rsidRPr="00064185">
              <w:rPr>
                <w:sz w:val="18"/>
              </w:rPr>
              <w:br/>
              <w:t>3.2_03</w:t>
            </w:r>
            <w:r w:rsidRPr="00064185">
              <w:rPr>
                <w:sz w:val="18"/>
              </w:rPr>
              <w:br/>
              <w:t>3.3_02</w:t>
            </w:r>
            <w:r w:rsidRPr="00064185">
              <w:rPr>
                <w:sz w:val="18"/>
              </w:rPr>
              <w:br/>
              <w:t>3.4_03</w:t>
            </w:r>
            <w:r w:rsidRPr="00064185">
              <w:rPr>
                <w:sz w:val="18"/>
              </w:rPr>
              <w:br/>
              <w:t>3.5_02</w:t>
            </w:r>
          </w:p>
        </w:tc>
      </w:tr>
      <w:tr w:rsidR="00064185" w:rsidRPr="00064185" w14:paraId="5BFA7A07" w14:textId="77777777" w:rsidTr="00CA3291">
        <w:trPr>
          <w:cantSplit/>
          <w:jc w:val="center"/>
        </w:trPr>
        <w:tc>
          <w:tcPr>
            <w:tcW w:w="502" w:type="pct"/>
            <w:shd w:val="clear" w:color="auto" w:fill="auto"/>
          </w:tcPr>
          <w:p w14:paraId="512A40DC" w14:textId="14C05D13" w:rsidR="00454791" w:rsidRPr="00064185" w:rsidRDefault="00454791" w:rsidP="00EA61D8">
            <w:pPr>
              <w:spacing w:before="60" w:after="60"/>
              <w:rPr>
                <w:sz w:val="18"/>
              </w:rPr>
            </w:pPr>
            <w:r w:rsidRPr="00064185">
              <w:lastRenderedPageBreak/>
              <w:t>Schieck, S.</w:t>
            </w:r>
          </w:p>
        </w:tc>
        <w:tc>
          <w:tcPr>
            <w:tcW w:w="326" w:type="pct"/>
            <w:shd w:val="clear" w:color="auto" w:fill="auto"/>
          </w:tcPr>
          <w:p w14:paraId="5D07210B" w14:textId="583AA71E" w:rsidR="00454791" w:rsidRPr="00064185" w:rsidRDefault="00454791" w:rsidP="00EA61D8">
            <w:pPr>
              <w:spacing w:before="60" w:after="60"/>
              <w:rPr>
                <w:sz w:val="18"/>
              </w:rPr>
            </w:pPr>
            <w:r w:rsidRPr="00064185">
              <w:rPr>
                <w:sz w:val="18"/>
              </w:rPr>
              <w:t>2018</w:t>
            </w:r>
          </w:p>
        </w:tc>
        <w:tc>
          <w:tcPr>
            <w:tcW w:w="730" w:type="pct"/>
            <w:shd w:val="clear" w:color="auto" w:fill="auto"/>
          </w:tcPr>
          <w:p w14:paraId="758B9D20" w14:textId="7A054EAE" w:rsidR="00454791" w:rsidRPr="00064185" w:rsidRDefault="00454791" w:rsidP="00EA61D8">
            <w:pPr>
              <w:keepNext/>
              <w:spacing w:before="60" w:after="60"/>
              <w:rPr>
                <w:sz w:val="18"/>
                <w:szCs w:val="18"/>
              </w:rPr>
            </w:pPr>
            <w:r w:rsidRPr="00064185">
              <w:rPr>
                <w:sz w:val="18"/>
                <w:szCs w:val="18"/>
              </w:rPr>
              <w:t>4 years storage stability test COM 116 02 I AL</w:t>
            </w:r>
          </w:p>
        </w:tc>
        <w:tc>
          <w:tcPr>
            <w:tcW w:w="730" w:type="pct"/>
            <w:shd w:val="clear" w:color="auto" w:fill="auto"/>
          </w:tcPr>
          <w:p w14:paraId="0817D7AE" w14:textId="6F0FCB6A" w:rsidR="00454791" w:rsidRPr="00064185" w:rsidRDefault="00454791" w:rsidP="00EA61D8">
            <w:pPr>
              <w:spacing w:before="60" w:after="60"/>
              <w:rPr>
                <w:sz w:val="18"/>
                <w:lang w:val="en-US"/>
              </w:rPr>
            </w:pPr>
            <w:r w:rsidRPr="00064185">
              <w:rPr>
                <w:sz w:val="18"/>
                <w:szCs w:val="18"/>
                <w:lang w:val="en-US"/>
              </w:rPr>
              <w:t>Intertek Food Service GmbH, Linden, Germany</w:t>
            </w:r>
          </w:p>
        </w:tc>
        <w:tc>
          <w:tcPr>
            <w:tcW w:w="474" w:type="pct"/>
            <w:shd w:val="clear" w:color="auto" w:fill="auto"/>
          </w:tcPr>
          <w:p w14:paraId="15B9D5DA" w14:textId="106B9E90" w:rsidR="00454791" w:rsidRPr="00064185" w:rsidRDefault="00454791" w:rsidP="00EA61D8">
            <w:pPr>
              <w:spacing w:before="60" w:after="60"/>
              <w:rPr>
                <w:sz w:val="18"/>
              </w:rPr>
            </w:pPr>
            <w:r w:rsidRPr="00064185">
              <w:rPr>
                <w:sz w:val="18"/>
              </w:rPr>
              <w:t>Study no: 75617</w:t>
            </w:r>
          </w:p>
        </w:tc>
        <w:tc>
          <w:tcPr>
            <w:tcW w:w="453" w:type="pct"/>
            <w:shd w:val="clear" w:color="auto" w:fill="auto"/>
          </w:tcPr>
          <w:p w14:paraId="154DC30C" w14:textId="52D79696" w:rsidR="00454791" w:rsidRPr="00064185" w:rsidRDefault="00454791" w:rsidP="00EA61D8">
            <w:pPr>
              <w:spacing w:before="60" w:after="60"/>
              <w:rPr>
                <w:sz w:val="18"/>
              </w:rPr>
            </w:pPr>
            <w:r w:rsidRPr="00064185">
              <w:rPr>
                <w:sz w:val="18"/>
              </w:rPr>
              <w:t>Yes</w:t>
            </w:r>
          </w:p>
        </w:tc>
        <w:tc>
          <w:tcPr>
            <w:tcW w:w="436" w:type="pct"/>
            <w:shd w:val="clear" w:color="auto" w:fill="auto"/>
          </w:tcPr>
          <w:p w14:paraId="63405556" w14:textId="33B8D2A2" w:rsidR="00454791" w:rsidRPr="00064185" w:rsidRDefault="00454791" w:rsidP="00EA61D8">
            <w:pPr>
              <w:spacing w:before="60" w:after="60"/>
              <w:rPr>
                <w:sz w:val="18"/>
              </w:rPr>
            </w:pPr>
            <w:r w:rsidRPr="00064185">
              <w:rPr>
                <w:sz w:val="18"/>
              </w:rPr>
              <w:t>No</w:t>
            </w:r>
          </w:p>
        </w:tc>
        <w:tc>
          <w:tcPr>
            <w:tcW w:w="457" w:type="pct"/>
            <w:shd w:val="clear" w:color="auto" w:fill="auto"/>
          </w:tcPr>
          <w:p w14:paraId="3616A400" w14:textId="54755808" w:rsidR="00454791" w:rsidRPr="00064185" w:rsidRDefault="00454791" w:rsidP="00EA61D8">
            <w:pPr>
              <w:spacing w:before="60" w:after="60"/>
              <w:rPr>
                <w:sz w:val="18"/>
              </w:rPr>
            </w:pPr>
            <w:r w:rsidRPr="00064185">
              <w:rPr>
                <w:sz w:val="18"/>
              </w:rPr>
              <w:t>Yes</w:t>
            </w:r>
          </w:p>
        </w:tc>
        <w:tc>
          <w:tcPr>
            <w:tcW w:w="426" w:type="pct"/>
            <w:shd w:val="clear" w:color="auto" w:fill="auto"/>
          </w:tcPr>
          <w:p w14:paraId="1D9E7316" w14:textId="34387DFB" w:rsidR="00454791" w:rsidRPr="00064185" w:rsidRDefault="00454791" w:rsidP="00EA61D8">
            <w:pPr>
              <w:spacing w:before="60" w:after="60"/>
              <w:rPr>
                <w:sz w:val="18"/>
                <w:lang w:val="en-US"/>
              </w:rPr>
            </w:pPr>
            <w:r w:rsidRPr="00064185">
              <w:rPr>
                <w:sz w:val="18"/>
                <w:szCs w:val="18"/>
              </w:rPr>
              <w:t>COMPO GmbH &amp; Co. KG</w:t>
            </w:r>
          </w:p>
        </w:tc>
        <w:tc>
          <w:tcPr>
            <w:tcW w:w="466" w:type="pct"/>
            <w:shd w:val="clear" w:color="auto" w:fill="auto"/>
          </w:tcPr>
          <w:p w14:paraId="62B1D9B9" w14:textId="5240A32A" w:rsidR="00454791" w:rsidRPr="00064185" w:rsidRDefault="00454791" w:rsidP="00EA61D8">
            <w:pPr>
              <w:spacing w:before="60" w:after="60"/>
              <w:rPr>
                <w:sz w:val="18"/>
              </w:rPr>
            </w:pPr>
          </w:p>
        </w:tc>
      </w:tr>
      <w:tr w:rsidR="00064185" w:rsidRPr="00064185" w14:paraId="5B92A030" w14:textId="77777777" w:rsidTr="00CA3291">
        <w:trPr>
          <w:cantSplit/>
          <w:jc w:val="center"/>
        </w:trPr>
        <w:tc>
          <w:tcPr>
            <w:tcW w:w="502" w:type="pct"/>
          </w:tcPr>
          <w:p w14:paraId="02F3FCFB" w14:textId="77777777" w:rsidR="00454791" w:rsidRPr="00064185" w:rsidRDefault="00454791" w:rsidP="00EA61D8">
            <w:pPr>
              <w:spacing w:before="60" w:after="60"/>
              <w:rPr>
                <w:sz w:val="18"/>
              </w:rPr>
            </w:pPr>
            <w:r w:rsidRPr="00064185">
              <w:rPr>
                <w:sz w:val="18"/>
              </w:rPr>
              <w:t>Wochner, F.</w:t>
            </w:r>
          </w:p>
        </w:tc>
        <w:tc>
          <w:tcPr>
            <w:tcW w:w="326" w:type="pct"/>
          </w:tcPr>
          <w:p w14:paraId="653CE0EE" w14:textId="77777777" w:rsidR="00454791" w:rsidRPr="00064185" w:rsidRDefault="00454791" w:rsidP="00EA61D8">
            <w:pPr>
              <w:spacing w:before="60" w:after="60"/>
              <w:rPr>
                <w:sz w:val="18"/>
              </w:rPr>
            </w:pPr>
            <w:r w:rsidRPr="00064185">
              <w:rPr>
                <w:sz w:val="18"/>
              </w:rPr>
              <w:t>2012b</w:t>
            </w:r>
          </w:p>
        </w:tc>
        <w:tc>
          <w:tcPr>
            <w:tcW w:w="730" w:type="pct"/>
          </w:tcPr>
          <w:p w14:paraId="6B8DF531" w14:textId="77777777" w:rsidR="00454791" w:rsidRPr="00064185" w:rsidRDefault="00454791" w:rsidP="00EA61D8">
            <w:pPr>
              <w:spacing w:before="60" w:after="60"/>
              <w:rPr>
                <w:sz w:val="18"/>
              </w:rPr>
            </w:pPr>
            <w:r w:rsidRPr="00064185">
              <w:rPr>
                <w:sz w:val="18"/>
              </w:rPr>
              <w:t>A16132A – Impact of storage (2 years 20°C) of batch LOT 06/002 on trigger sprayer regarding clogging, spray diameter and discharge rate.</w:t>
            </w:r>
          </w:p>
          <w:p w14:paraId="40044B84" w14:textId="77777777" w:rsidR="00454791" w:rsidRPr="00064185" w:rsidRDefault="00454791" w:rsidP="00EA61D8">
            <w:pPr>
              <w:spacing w:before="60" w:after="60"/>
              <w:rPr>
                <w:sz w:val="18"/>
              </w:rPr>
            </w:pPr>
            <w:r w:rsidRPr="00064185">
              <w:rPr>
                <w:sz w:val="18"/>
              </w:rPr>
              <w:t>Date: 2012-07-05</w:t>
            </w:r>
          </w:p>
        </w:tc>
        <w:tc>
          <w:tcPr>
            <w:tcW w:w="730" w:type="pct"/>
          </w:tcPr>
          <w:p w14:paraId="7FD1E463" w14:textId="77777777" w:rsidR="00454791" w:rsidRPr="00064185" w:rsidRDefault="00454791" w:rsidP="00EA61D8">
            <w:pPr>
              <w:spacing w:before="60" w:after="60"/>
              <w:rPr>
                <w:sz w:val="18"/>
              </w:rPr>
            </w:pPr>
            <w:r w:rsidRPr="00064185">
              <w:rPr>
                <w:sz w:val="18"/>
              </w:rPr>
              <w:t>Syngenta Crop Protection Münchwilen AG, Analytical Development &amp; Product Chemistry, Münchwilen, Switzerland</w:t>
            </w:r>
          </w:p>
        </w:tc>
        <w:tc>
          <w:tcPr>
            <w:tcW w:w="474" w:type="pct"/>
          </w:tcPr>
          <w:p w14:paraId="152DE697" w14:textId="77777777" w:rsidR="00454791" w:rsidRPr="00064185" w:rsidRDefault="00454791" w:rsidP="00EA61D8">
            <w:pPr>
              <w:spacing w:before="60" w:after="60"/>
              <w:rPr>
                <w:sz w:val="18"/>
              </w:rPr>
            </w:pPr>
            <w:r w:rsidRPr="00064185">
              <w:rPr>
                <w:sz w:val="18"/>
              </w:rPr>
              <w:t>10487530</w:t>
            </w:r>
          </w:p>
          <w:p w14:paraId="32339736" w14:textId="61B611DD" w:rsidR="00454791" w:rsidRPr="00064185" w:rsidRDefault="00454791" w:rsidP="00EA61D8">
            <w:pPr>
              <w:spacing w:before="60" w:after="60"/>
              <w:rPr>
                <w:sz w:val="18"/>
              </w:rPr>
            </w:pPr>
            <w:r w:rsidRPr="00064185">
              <w:rPr>
                <w:sz w:val="18"/>
              </w:rPr>
              <w:t>10394896</w:t>
            </w:r>
          </w:p>
        </w:tc>
        <w:tc>
          <w:tcPr>
            <w:tcW w:w="453" w:type="pct"/>
          </w:tcPr>
          <w:p w14:paraId="003CC62B" w14:textId="77777777" w:rsidR="00454791" w:rsidRPr="00064185" w:rsidRDefault="00454791" w:rsidP="00EA61D8">
            <w:pPr>
              <w:spacing w:before="60" w:after="60"/>
              <w:rPr>
                <w:sz w:val="18"/>
              </w:rPr>
            </w:pPr>
            <w:r w:rsidRPr="00064185">
              <w:rPr>
                <w:sz w:val="18"/>
              </w:rPr>
              <w:t>Yes</w:t>
            </w:r>
          </w:p>
        </w:tc>
        <w:tc>
          <w:tcPr>
            <w:tcW w:w="436" w:type="pct"/>
          </w:tcPr>
          <w:p w14:paraId="368B010A" w14:textId="77777777" w:rsidR="00454791" w:rsidRPr="00064185" w:rsidRDefault="00454791" w:rsidP="00EA61D8">
            <w:pPr>
              <w:spacing w:before="60" w:after="60"/>
              <w:rPr>
                <w:sz w:val="18"/>
              </w:rPr>
            </w:pPr>
            <w:r w:rsidRPr="00064185">
              <w:rPr>
                <w:sz w:val="18"/>
              </w:rPr>
              <w:t>No</w:t>
            </w:r>
          </w:p>
        </w:tc>
        <w:tc>
          <w:tcPr>
            <w:tcW w:w="457" w:type="pct"/>
          </w:tcPr>
          <w:p w14:paraId="0DB3B6ED" w14:textId="77777777" w:rsidR="00454791" w:rsidRPr="00064185" w:rsidRDefault="00454791" w:rsidP="00EA61D8">
            <w:pPr>
              <w:spacing w:before="60" w:after="60"/>
              <w:rPr>
                <w:sz w:val="18"/>
              </w:rPr>
            </w:pPr>
            <w:r w:rsidRPr="00064185">
              <w:rPr>
                <w:sz w:val="18"/>
              </w:rPr>
              <w:t>Yes</w:t>
            </w:r>
          </w:p>
        </w:tc>
        <w:tc>
          <w:tcPr>
            <w:tcW w:w="426" w:type="pct"/>
          </w:tcPr>
          <w:p w14:paraId="427D5F3D" w14:textId="77777777" w:rsidR="00454791" w:rsidRPr="00064185" w:rsidRDefault="00454791" w:rsidP="00EA61D8">
            <w:pPr>
              <w:spacing w:before="60" w:after="60"/>
              <w:rPr>
                <w:sz w:val="18"/>
                <w:lang w:val="de-AT"/>
              </w:rPr>
            </w:pPr>
            <w:r w:rsidRPr="00064185">
              <w:rPr>
                <w:sz w:val="18"/>
                <w:lang w:val="de-AT"/>
              </w:rPr>
              <w:t>Syngenta Crop Protection Münchwilen AG</w:t>
            </w:r>
          </w:p>
        </w:tc>
        <w:tc>
          <w:tcPr>
            <w:tcW w:w="466" w:type="pct"/>
          </w:tcPr>
          <w:p w14:paraId="5C530539" w14:textId="77777777" w:rsidR="00454791" w:rsidRPr="00064185" w:rsidRDefault="00454791" w:rsidP="00EA61D8">
            <w:pPr>
              <w:spacing w:before="60" w:after="60"/>
              <w:rPr>
                <w:sz w:val="18"/>
              </w:rPr>
            </w:pPr>
            <w:r w:rsidRPr="00064185">
              <w:rPr>
                <w:sz w:val="18"/>
                <w:szCs w:val="18"/>
              </w:rPr>
              <w:t>3</w:t>
            </w:r>
            <w:r w:rsidRPr="00064185">
              <w:rPr>
                <w:sz w:val="18"/>
              </w:rPr>
              <w:t>.5_08</w:t>
            </w:r>
          </w:p>
          <w:p w14:paraId="5EBB8964" w14:textId="738306C0" w:rsidR="00454791" w:rsidRPr="00064185" w:rsidRDefault="00454791" w:rsidP="00EA61D8">
            <w:pPr>
              <w:spacing w:before="60" w:after="60"/>
              <w:rPr>
                <w:sz w:val="18"/>
              </w:rPr>
            </w:pPr>
            <w:r w:rsidRPr="00064185">
              <w:rPr>
                <w:sz w:val="18"/>
              </w:rPr>
              <w:t>4.17</w:t>
            </w:r>
          </w:p>
        </w:tc>
      </w:tr>
    </w:tbl>
    <w:p w14:paraId="231829A1" w14:textId="77777777" w:rsidR="00865CC8" w:rsidRPr="00064185" w:rsidRDefault="00865CC8" w:rsidP="00EA61D8">
      <w:pPr>
        <w:pStyle w:val="Absatz"/>
        <w:ind w:left="0"/>
        <w:rPr>
          <w:lang w:eastAsia="en-US"/>
        </w:rPr>
      </w:pPr>
    </w:p>
    <w:p w14:paraId="7101D74F" w14:textId="77777777" w:rsidR="00865CC8" w:rsidRPr="00064185" w:rsidRDefault="00865CC8" w:rsidP="00EA61D8">
      <w:pPr>
        <w:rPr>
          <w:rFonts w:eastAsia="Calibri"/>
          <w:b/>
          <w:caps/>
          <w:sz w:val="28"/>
          <w:szCs w:val="28"/>
          <w:lang w:eastAsia="en-US"/>
        </w:rPr>
      </w:pPr>
    </w:p>
    <w:p w14:paraId="6EADD906" w14:textId="77777777" w:rsidR="00865CC8" w:rsidRPr="00064185" w:rsidRDefault="00865CC8" w:rsidP="00EA61D8">
      <w:pPr>
        <w:rPr>
          <w:rFonts w:eastAsia="Calibri"/>
          <w:b/>
          <w:caps/>
          <w:sz w:val="28"/>
          <w:szCs w:val="28"/>
          <w:lang w:eastAsia="en-US"/>
        </w:rPr>
      </w:pPr>
    </w:p>
    <w:p w14:paraId="1E6BA79A" w14:textId="3650C301" w:rsidR="00865CC8" w:rsidRPr="00064185" w:rsidRDefault="00E73093" w:rsidP="00EA61D8">
      <w:pPr>
        <w:rPr>
          <w:rFonts w:eastAsia="Calibri"/>
          <w:b/>
          <w:caps/>
          <w:sz w:val="28"/>
          <w:szCs w:val="28"/>
          <w:lang w:eastAsia="en-US"/>
        </w:rPr>
        <w:sectPr w:rsidR="00865CC8" w:rsidRPr="00064185" w:rsidSect="00865CC8">
          <w:endnotePr>
            <w:numFmt w:val="decimal"/>
          </w:endnotePr>
          <w:pgSz w:w="16840" w:h="11907" w:orient="landscape" w:code="9"/>
          <w:pgMar w:top="1446" w:right="1474" w:bottom="1247" w:left="2013" w:header="850" w:footer="850" w:gutter="0"/>
          <w:cols w:space="720"/>
          <w:titlePg/>
          <w:docGrid w:linePitch="272"/>
        </w:sectPr>
      </w:pPr>
      <w:r w:rsidRPr="00064185">
        <w:rPr>
          <w:rFonts w:eastAsia="Calibri"/>
          <w:b/>
          <w:caps/>
          <w:sz w:val="28"/>
          <w:szCs w:val="28"/>
          <w:lang w:eastAsia="en-US"/>
        </w:rPr>
        <w:t xml:space="preserve"> </w:t>
      </w:r>
    </w:p>
    <w:p w14:paraId="2309927E" w14:textId="77777777" w:rsidR="00A53EE0" w:rsidRPr="00064185" w:rsidRDefault="00A53EE0" w:rsidP="00EA61D8">
      <w:pPr>
        <w:pStyle w:val="berschrift2"/>
        <w:rPr>
          <w:color w:val="auto"/>
          <w:lang w:val="en-GB"/>
        </w:rPr>
      </w:pPr>
      <w:bookmarkStart w:id="2138" w:name="_Toc389729190"/>
      <w:bookmarkStart w:id="2139" w:name="_Toc403472828"/>
      <w:bookmarkStart w:id="2140" w:name="_Toc440879687"/>
      <w:bookmarkStart w:id="2141" w:name="_Toc440890000"/>
      <w:bookmarkStart w:id="2142" w:name="_Toc530563700"/>
      <w:r w:rsidRPr="00064185">
        <w:rPr>
          <w:color w:val="auto"/>
          <w:lang w:val="en-GB"/>
        </w:rPr>
        <w:lastRenderedPageBreak/>
        <w:t>Output tables from exposure assessment tools</w:t>
      </w:r>
      <w:bookmarkEnd w:id="2138"/>
      <w:bookmarkEnd w:id="2139"/>
      <w:bookmarkEnd w:id="2140"/>
      <w:bookmarkEnd w:id="2141"/>
      <w:bookmarkEnd w:id="2142"/>
    </w:p>
    <w:p w14:paraId="4145B38E" w14:textId="4C5CE719" w:rsidR="00E32F68" w:rsidRPr="00064185" w:rsidRDefault="007C195C" w:rsidP="00EA61D8">
      <w:pPr>
        <w:pStyle w:val="Absatz"/>
        <w:ind w:left="0"/>
        <w:rPr>
          <w:rFonts w:ascii="Verdana" w:eastAsia="Calibri" w:hAnsi="Verdana"/>
          <w:lang w:eastAsia="en-US"/>
        </w:rPr>
      </w:pPr>
      <w:r w:rsidRPr="00064185">
        <w:rPr>
          <w:rFonts w:ascii="Verdana" w:eastAsia="Calibri" w:hAnsi="Verdana"/>
          <w:u w:val="single"/>
          <w:lang w:eastAsia="en-US"/>
        </w:rPr>
        <w:t>Scenario 1</w:t>
      </w:r>
      <w:r w:rsidR="00490609" w:rsidRPr="00064185">
        <w:rPr>
          <w:rFonts w:ascii="Verdana" w:eastAsia="Calibri" w:hAnsi="Verdana"/>
          <w:u w:val="single"/>
          <w:lang w:eastAsia="en-US"/>
        </w:rPr>
        <w:t>:</w:t>
      </w:r>
      <w:r w:rsidR="00490609" w:rsidRPr="00064185">
        <w:rPr>
          <w:rFonts w:ascii="Verdana" w:eastAsia="Calibri" w:hAnsi="Verdana"/>
          <w:lang w:eastAsia="en-US"/>
        </w:rPr>
        <w:t xml:space="preserve"> Primary exposure of non-professionals applying liquid formulation by trigger spray devices</w:t>
      </w:r>
    </w:p>
    <w:p w14:paraId="174A5533" w14:textId="77777777" w:rsidR="00A32FB1" w:rsidRPr="00064185" w:rsidRDefault="00A32FB1" w:rsidP="00EA61D8">
      <w:pPr>
        <w:pStyle w:val="Absatz"/>
        <w:ind w:left="0"/>
        <w:rPr>
          <w:rFonts w:ascii="Verdana" w:eastAsia="Calibri" w:hAnsi="Verdana"/>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064185" w:rsidRPr="00064185" w14:paraId="4ABC2D6F" w14:textId="77777777" w:rsidTr="0029428F">
        <w:trPr>
          <w:cantSplit/>
        </w:trPr>
        <w:tc>
          <w:tcPr>
            <w:tcW w:w="5000" w:type="pct"/>
            <w:shd w:val="clear" w:color="auto" w:fill="auto"/>
          </w:tcPr>
          <w:p w14:paraId="407C3ECD" w14:textId="77777777" w:rsidR="00893C4F" w:rsidRPr="00064185" w:rsidRDefault="00893C4F" w:rsidP="00EA61D8">
            <w:pPr>
              <w:autoSpaceDE w:val="0"/>
              <w:autoSpaceDN w:val="0"/>
              <w:adjustRightInd w:val="0"/>
              <w:rPr>
                <w:rFonts w:eastAsia="MS Mincho" w:cs="MS Sans Serif"/>
                <w:sz w:val="16"/>
                <w:szCs w:val="16"/>
                <w:lang w:eastAsia="ja-JP"/>
              </w:rPr>
            </w:pPr>
          </w:p>
          <w:p w14:paraId="79820EF1" w14:textId="77777777" w:rsidR="00893C4F" w:rsidRPr="00064185" w:rsidRDefault="00893C4F" w:rsidP="00EA61D8">
            <w:pPr>
              <w:autoSpaceDE w:val="0"/>
              <w:autoSpaceDN w:val="0"/>
              <w:adjustRightInd w:val="0"/>
              <w:rPr>
                <w:rFonts w:eastAsia="MS Mincho" w:cs="MS Sans Serif"/>
                <w:sz w:val="16"/>
                <w:szCs w:val="16"/>
                <w:lang w:eastAsia="ja-JP"/>
              </w:rPr>
            </w:pPr>
            <w:r w:rsidRPr="00064185">
              <w:rPr>
                <w:rFonts w:eastAsia="MS Mincho" w:cs="MS Sans Serif"/>
                <w:b/>
                <w:bCs/>
                <w:sz w:val="16"/>
                <w:szCs w:val="16"/>
                <w:u w:val="single"/>
                <w:lang w:eastAsia="ja-JP"/>
              </w:rPr>
              <w:t>Adult</w:t>
            </w:r>
          </w:p>
          <w:p w14:paraId="0D8436E7" w14:textId="77777777" w:rsidR="00893C4F" w:rsidRPr="00064185" w:rsidRDefault="00893C4F" w:rsidP="00EA61D8">
            <w:pPr>
              <w:tabs>
                <w:tab w:val="left" w:pos="0"/>
                <w:tab w:val="left" w:pos="4820"/>
                <w:tab w:val="left" w:pos="6078"/>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body weight                   </w:t>
            </w:r>
            <w:r w:rsidRPr="00064185">
              <w:rPr>
                <w:rFonts w:eastAsia="MS Mincho" w:cs="MS Sans Serif"/>
                <w:sz w:val="16"/>
                <w:szCs w:val="16"/>
                <w:lang w:eastAsia="ja-JP"/>
              </w:rPr>
              <w:tab/>
              <w:t xml:space="preserve">60        </w:t>
            </w:r>
            <w:r w:rsidRPr="00064185">
              <w:rPr>
                <w:rFonts w:eastAsia="MS Mincho" w:cs="MS Sans Serif"/>
                <w:sz w:val="16"/>
                <w:szCs w:val="16"/>
                <w:lang w:eastAsia="ja-JP"/>
              </w:rPr>
              <w:tab/>
              <w:t xml:space="preserve">kilogram            </w:t>
            </w:r>
          </w:p>
          <w:p w14:paraId="243AFF6E" w14:textId="77777777" w:rsidR="00893C4F" w:rsidRPr="00064185" w:rsidRDefault="00893C4F" w:rsidP="00EA61D8">
            <w:pPr>
              <w:tabs>
                <w:tab w:val="left" w:pos="0"/>
              </w:tabs>
              <w:autoSpaceDE w:val="0"/>
              <w:autoSpaceDN w:val="0"/>
              <w:adjustRightInd w:val="0"/>
              <w:rPr>
                <w:rFonts w:eastAsia="MS Mincho" w:cs="MS Sans Serif"/>
                <w:b/>
                <w:bCs/>
                <w:sz w:val="16"/>
                <w:szCs w:val="16"/>
                <w:u w:val="single"/>
                <w:lang w:eastAsia="ja-JP"/>
              </w:rPr>
            </w:pPr>
          </w:p>
          <w:p w14:paraId="0665EBB1" w14:textId="77777777" w:rsidR="00893C4F" w:rsidRPr="00064185" w:rsidRDefault="00893C4F" w:rsidP="00EA61D8">
            <w:pPr>
              <w:tabs>
                <w:tab w:val="left" w:pos="0"/>
              </w:tabs>
              <w:autoSpaceDE w:val="0"/>
              <w:autoSpaceDN w:val="0"/>
              <w:adjustRightInd w:val="0"/>
              <w:rPr>
                <w:rFonts w:eastAsia="MS Mincho" w:cs="MS Sans Serif"/>
                <w:b/>
                <w:bCs/>
                <w:sz w:val="16"/>
                <w:szCs w:val="16"/>
                <w:u w:val="single"/>
                <w:lang w:eastAsia="ja-JP"/>
              </w:rPr>
            </w:pPr>
            <w:r w:rsidRPr="00064185">
              <w:rPr>
                <w:rFonts w:eastAsia="MS Mincho" w:cs="MS Sans Serif"/>
                <w:b/>
                <w:bCs/>
                <w:sz w:val="16"/>
                <w:szCs w:val="16"/>
                <w:u w:val="single"/>
                <w:lang w:eastAsia="ja-JP"/>
              </w:rPr>
              <w:t>Product</w:t>
            </w:r>
          </w:p>
          <w:p w14:paraId="0F0F98C8" w14:textId="77777777" w:rsidR="00893C4F" w:rsidRPr="00064185" w:rsidRDefault="00893C4F" w:rsidP="00EA61D8">
            <w:pPr>
              <w:tabs>
                <w:tab w:val="left" w:pos="0"/>
              </w:tabs>
              <w:autoSpaceDE w:val="0"/>
              <w:autoSpaceDN w:val="0"/>
              <w:adjustRightInd w:val="0"/>
              <w:rPr>
                <w:rFonts w:eastAsia="MS Mincho" w:cs="MS Sans Serif"/>
                <w:b/>
                <w:bCs/>
                <w:sz w:val="16"/>
                <w:szCs w:val="16"/>
                <w:u w:val="single"/>
                <w:lang w:eastAsia="ja-JP"/>
              </w:rPr>
            </w:pPr>
            <w:r w:rsidRPr="00064185">
              <w:rPr>
                <w:rFonts w:eastAsia="MS Mincho" w:cs="MS Sans Serif"/>
                <w:b/>
                <w:bCs/>
                <w:sz w:val="16"/>
                <w:szCs w:val="16"/>
                <w:u w:val="single"/>
                <w:lang w:eastAsia="ja-JP"/>
              </w:rPr>
              <w:t>COM 116 02 I AL – Trigger Spray</w:t>
            </w:r>
          </w:p>
          <w:p w14:paraId="6464DBF7" w14:textId="77777777" w:rsidR="00893C4F" w:rsidRPr="00064185" w:rsidRDefault="00893C4F" w:rsidP="00EA61D8">
            <w:pPr>
              <w:tabs>
                <w:tab w:val="left" w:pos="4200"/>
                <w:tab w:val="left" w:pos="4800"/>
                <w:tab w:val="left" w:pos="7000"/>
              </w:tabs>
              <w:autoSpaceDE w:val="0"/>
              <w:autoSpaceDN w:val="0"/>
              <w:adjustRightInd w:val="0"/>
              <w:rPr>
                <w:rFonts w:eastAsia="MS Mincho" w:cs="MS Sans Serif"/>
                <w:b/>
                <w:bCs/>
                <w:sz w:val="16"/>
                <w:szCs w:val="16"/>
                <w:u w:val="single"/>
                <w:lang w:eastAsia="ja-JP"/>
              </w:rPr>
            </w:pPr>
            <w:r w:rsidRPr="00064185">
              <w:rPr>
                <w:rFonts w:eastAsia="MS Mincho" w:cs="MS Sans Serif"/>
                <w:b/>
                <w:bCs/>
                <w:sz w:val="16"/>
                <w:szCs w:val="16"/>
                <w:u w:val="single"/>
                <w:lang w:eastAsia="ja-JP"/>
              </w:rPr>
              <w:t>Aggregate Exposures</w:t>
            </w:r>
          </w:p>
          <w:p w14:paraId="0C576C20" w14:textId="77777777" w:rsidR="00893C4F" w:rsidRPr="00064185" w:rsidRDefault="00893C4F" w:rsidP="00EA61D8">
            <w:pPr>
              <w:tabs>
                <w:tab w:val="left" w:pos="4200"/>
                <w:tab w:val="left" w:pos="4800"/>
                <w:tab w:val="left" w:pos="7000"/>
              </w:tabs>
              <w:autoSpaceDE w:val="0"/>
              <w:autoSpaceDN w:val="0"/>
              <w:adjustRightInd w:val="0"/>
              <w:rPr>
                <w:rFonts w:eastAsia="MS Mincho" w:cs="MS Sans Serif"/>
                <w:sz w:val="16"/>
                <w:szCs w:val="16"/>
                <w:lang w:eastAsia="ja-JP"/>
              </w:rPr>
            </w:pPr>
          </w:p>
          <w:p w14:paraId="10DBAF7D" w14:textId="77777777" w:rsidR="00893C4F" w:rsidRPr="00064185" w:rsidRDefault="00893C4F" w:rsidP="00EA61D8">
            <w:pPr>
              <w:tabs>
                <w:tab w:val="left" w:pos="4200"/>
                <w:tab w:val="left" w:pos="4800"/>
                <w:tab w:val="left" w:pos="7000"/>
              </w:tabs>
              <w:autoSpaceDE w:val="0"/>
              <w:autoSpaceDN w:val="0"/>
              <w:adjustRightInd w:val="0"/>
              <w:rPr>
                <w:rFonts w:cs="MS Sans Serif"/>
                <w:b/>
                <w:bCs/>
                <w:sz w:val="16"/>
                <w:szCs w:val="16"/>
                <w:u w:val="single"/>
                <w:lang w:eastAsia="en-GB"/>
              </w:rPr>
            </w:pPr>
            <w:r w:rsidRPr="00064185">
              <w:rPr>
                <w:rFonts w:cs="MS Sans Serif"/>
                <w:b/>
                <w:bCs/>
                <w:sz w:val="16"/>
                <w:szCs w:val="16"/>
                <w:u w:val="single"/>
                <w:lang w:eastAsia="en-GB"/>
              </w:rPr>
              <w:t>Aggregate exposure for Adult :</w:t>
            </w:r>
          </w:p>
          <w:p w14:paraId="56E81A29" w14:textId="77777777" w:rsidR="00893C4F" w:rsidRPr="00064185" w:rsidRDefault="00893C4F" w:rsidP="00EA61D8">
            <w:pPr>
              <w:tabs>
                <w:tab w:val="left" w:pos="4200"/>
                <w:tab w:val="left" w:pos="4800"/>
                <w:tab w:val="left" w:pos="7000"/>
              </w:tabs>
              <w:autoSpaceDE w:val="0"/>
              <w:autoSpaceDN w:val="0"/>
              <w:adjustRightInd w:val="0"/>
              <w:ind w:left="400"/>
              <w:rPr>
                <w:rFonts w:cs="MS Sans Serif"/>
                <w:sz w:val="16"/>
                <w:szCs w:val="16"/>
                <w:lang w:eastAsia="en-GB"/>
              </w:rPr>
            </w:pPr>
          </w:p>
          <w:p w14:paraId="2140893D" w14:textId="77777777" w:rsidR="00893C4F" w:rsidRPr="00064185" w:rsidRDefault="00893C4F" w:rsidP="00EA61D8">
            <w:pPr>
              <w:tabs>
                <w:tab w:val="left" w:pos="4800"/>
                <w:tab w:val="left" w:pos="7000"/>
              </w:tabs>
              <w:autoSpaceDE w:val="0"/>
              <w:autoSpaceDN w:val="0"/>
              <w:adjustRightInd w:val="0"/>
              <w:ind w:left="400"/>
              <w:rPr>
                <w:rFonts w:cs="MS Sans Serif"/>
                <w:sz w:val="16"/>
                <w:szCs w:val="16"/>
                <w:lang w:eastAsia="en-GB"/>
              </w:rPr>
            </w:pPr>
            <w:r w:rsidRPr="00064185">
              <w:rPr>
                <w:rFonts w:cs="MS Sans Serif"/>
                <w:sz w:val="16"/>
                <w:szCs w:val="16"/>
                <w:lang w:eastAsia="en-GB"/>
              </w:rPr>
              <w:t xml:space="preserve">Total chronic potential dose (mg/kg/day): </w:t>
            </w:r>
            <w:r w:rsidRPr="00064185">
              <w:rPr>
                <w:rFonts w:cs="MS Sans Serif"/>
                <w:sz w:val="16"/>
                <w:szCs w:val="16"/>
                <w:lang w:eastAsia="en-GB"/>
              </w:rPr>
              <w:tab/>
              <w:t>0.0017</w:t>
            </w:r>
          </w:p>
          <w:p w14:paraId="43DDA3AE" w14:textId="77777777" w:rsidR="00893C4F" w:rsidRPr="00064185" w:rsidRDefault="00893C4F" w:rsidP="00EA61D8">
            <w:pPr>
              <w:tabs>
                <w:tab w:val="left" w:pos="4200"/>
                <w:tab w:val="left" w:pos="4800"/>
                <w:tab w:val="left" w:pos="7000"/>
              </w:tabs>
              <w:autoSpaceDE w:val="0"/>
              <w:autoSpaceDN w:val="0"/>
              <w:adjustRightInd w:val="0"/>
              <w:ind w:left="400"/>
              <w:rPr>
                <w:rFonts w:cs="MS Sans Serif"/>
                <w:sz w:val="16"/>
                <w:szCs w:val="16"/>
                <w:lang w:eastAsia="en-GB"/>
              </w:rPr>
            </w:pPr>
          </w:p>
          <w:p w14:paraId="28DD1EBB" w14:textId="77777777" w:rsidR="00893C4F" w:rsidRPr="00064185" w:rsidRDefault="00893C4F" w:rsidP="00EA61D8">
            <w:pPr>
              <w:tabs>
                <w:tab w:val="left" w:pos="4200"/>
                <w:tab w:val="left" w:pos="4800"/>
                <w:tab w:val="left" w:pos="7000"/>
              </w:tabs>
              <w:autoSpaceDE w:val="0"/>
              <w:autoSpaceDN w:val="0"/>
              <w:adjustRightInd w:val="0"/>
              <w:ind w:left="400"/>
              <w:rPr>
                <w:rFonts w:cs="MS Sans Serif"/>
                <w:b/>
                <w:sz w:val="16"/>
                <w:szCs w:val="16"/>
                <w:lang w:eastAsia="en-GB"/>
              </w:rPr>
            </w:pPr>
            <w:r w:rsidRPr="00064185">
              <w:rPr>
                <w:rFonts w:cs="MS Sans Serif"/>
                <w:b/>
                <w:sz w:val="16"/>
                <w:szCs w:val="16"/>
                <w:lang w:eastAsia="en-GB"/>
              </w:rPr>
              <w:t xml:space="preserve">Total chronic systemic dose (mg/kg/day): </w:t>
            </w:r>
            <w:r w:rsidRPr="00064185">
              <w:rPr>
                <w:rFonts w:cs="MS Sans Serif"/>
                <w:b/>
                <w:sz w:val="16"/>
                <w:szCs w:val="16"/>
                <w:lang w:eastAsia="en-GB"/>
              </w:rPr>
              <w:tab/>
              <w:t>8.7E-5</w:t>
            </w:r>
          </w:p>
          <w:p w14:paraId="45F0C194" w14:textId="77777777" w:rsidR="00893C4F" w:rsidRPr="00064185" w:rsidRDefault="00893C4F" w:rsidP="00EA61D8">
            <w:pPr>
              <w:tabs>
                <w:tab w:val="left" w:pos="4200"/>
                <w:tab w:val="left" w:pos="4800"/>
                <w:tab w:val="left" w:pos="7000"/>
              </w:tabs>
              <w:autoSpaceDE w:val="0"/>
              <w:autoSpaceDN w:val="0"/>
              <w:adjustRightInd w:val="0"/>
              <w:ind w:left="400"/>
              <w:rPr>
                <w:rFonts w:cs="MS Sans Serif"/>
                <w:sz w:val="16"/>
                <w:szCs w:val="16"/>
                <w:lang w:eastAsia="en-GB"/>
              </w:rPr>
            </w:pPr>
          </w:p>
          <w:p w14:paraId="403F15D8" w14:textId="77777777" w:rsidR="00893C4F" w:rsidRPr="00064185" w:rsidRDefault="00893C4F" w:rsidP="00EA61D8">
            <w:pPr>
              <w:tabs>
                <w:tab w:val="left" w:pos="4800"/>
                <w:tab w:val="left" w:pos="7000"/>
              </w:tabs>
              <w:autoSpaceDE w:val="0"/>
              <w:autoSpaceDN w:val="0"/>
              <w:adjustRightInd w:val="0"/>
              <w:ind w:left="400"/>
              <w:rPr>
                <w:rFonts w:cs="MS Sans Serif"/>
                <w:sz w:val="16"/>
                <w:szCs w:val="16"/>
                <w:lang w:eastAsia="en-GB"/>
              </w:rPr>
            </w:pPr>
            <w:r w:rsidRPr="00064185">
              <w:rPr>
                <w:rFonts w:cs="MS Sans Serif"/>
                <w:sz w:val="16"/>
                <w:szCs w:val="16"/>
                <w:lang w:eastAsia="en-GB"/>
              </w:rPr>
              <w:t>Inhalation chronic potential dose (mg/kg/day):</w:t>
            </w:r>
            <w:r w:rsidRPr="00064185">
              <w:rPr>
                <w:rFonts w:cs="MS Sans Serif"/>
                <w:sz w:val="16"/>
                <w:szCs w:val="16"/>
                <w:lang w:eastAsia="en-GB"/>
              </w:rPr>
              <w:tab/>
              <w:t>1.9E-5</w:t>
            </w:r>
          </w:p>
          <w:p w14:paraId="4F35D975" w14:textId="77777777" w:rsidR="00893C4F" w:rsidRPr="00064185" w:rsidRDefault="00893C4F" w:rsidP="00EA61D8">
            <w:pPr>
              <w:tabs>
                <w:tab w:val="left" w:pos="4200"/>
                <w:tab w:val="left" w:pos="4800"/>
                <w:tab w:val="left" w:pos="7000"/>
              </w:tabs>
              <w:autoSpaceDE w:val="0"/>
              <w:autoSpaceDN w:val="0"/>
              <w:adjustRightInd w:val="0"/>
              <w:ind w:left="400"/>
              <w:rPr>
                <w:rFonts w:cs="MS Sans Serif"/>
                <w:sz w:val="16"/>
                <w:szCs w:val="16"/>
                <w:lang w:eastAsia="en-GB"/>
              </w:rPr>
            </w:pPr>
          </w:p>
          <w:p w14:paraId="5FE43D1C" w14:textId="77777777" w:rsidR="00893C4F" w:rsidRPr="00064185" w:rsidRDefault="00893C4F" w:rsidP="00EA61D8">
            <w:pPr>
              <w:tabs>
                <w:tab w:val="left" w:pos="4200"/>
                <w:tab w:val="left" w:pos="4800"/>
                <w:tab w:val="left" w:pos="7000"/>
              </w:tabs>
              <w:autoSpaceDE w:val="0"/>
              <w:autoSpaceDN w:val="0"/>
              <w:adjustRightInd w:val="0"/>
              <w:ind w:left="400"/>
              <w:rPr>
                <w:rFonts w:cs="MS Sans Serif"/>
                <w:b/>
                <w:sz w:val="16"/>
                <w:szCs w:val="16"/>
                <w:lang w:eastAsia="en-GB"/>
              </w:rPr>
            </w:pPr>
            <w:r w:rsidRPr="00064185">
              <w:rPr>
                <w:rFonts w:cs="MS Sans Serif"/>
                <w:b/>
                <w:sz w:val="16"/>
                <w:szCs w:val="16"/>
                <w:lang w:eastAsia="en-GB"/>
              </w:rPr>
              <w:t>Inhalation chronic systemic dose (mg/kg/day):</w:t>
            </w:r>
            <w:r w:rsidRPr="00064185">
              <w:rPr>
                <w:rFonts w:cs="MS Sans Serif"/>
                <w:b/>
                <w:sz w:val="16"/>
                <w:szCs w:val="16"/>
                <w:lang w:eastAsia="en-GB"/>
              </w:rPr>
              <w:tab/>
              <w:t>1.9E-5</w:t>
            </w:r>
          </w:p>
          <w:p w14:paraId="520952AF" w14:textId="77777777" w:rsidR="00893C4F" w:rsidRPr="00064185" w:rsidRDefault="00893C4F" w:rsidP="00EA61D8">
            <w:pPr>
              <w:tabs>
                <w:tab w:val="left" w:pos="4200"/>
                <w:tab w:val="left" w:pos="4800"/>
                <w:tab w:val="left" w:pos="7000"/>
              </w:tabs>
              <w:autoSpaceDE w:val="0"/>
              <w:autoSpaceDN w:val="0"/>
              <w:adjustRightInd w:val="0"/>
              <w:ind w:left="400"/>
              <w:rPr>
                <w:rFonts w:cs="MS Sans Serif"/>
                <w:sz w:val="16"/>
                <w:szCs w:val="16"/>
                <w:lang w:eastAsia="en-GB"/>
              </w:rPr>
            </w:pPr>
          </w:p>
          <w:p w14:paraId="4AB5D28C" w14:textId="77777777" w:rsidR="00893C4F" w:rsidRPr="00064185" w:rsidRDefault="00893C4F" w:rsidP="00EA61D8">
            <w:pPr>
              <w:tabs>
                <w:tab w:val="left" w:pos="4800"/>
                <w:tab w:val="left" w:pos="7000"/>
              </w:tabs>
              <w:autoSpaceDE w:val="0"/>
              <w:autoSpaceDN w:val="0"/>
              <w:adjustRightInd w:val="0"/>
              <w:ind w:left="400"/>
              <w:rPr>
                <w:rFonts w:cs="MS Sans Serif"/>
                <w:sz w:val="16"/>
                <w:szCs w:val="16"/>
                <w:lang w:eastAsia="en-GB"/>
              </w:rPr>
            </w:pPr>
            <w:r w:rsidRPr="00064185">
              <w:rPr>
                <w:rFonts w:cs="MS Sans Serif"/>
                <w:sz w:val="16"/>
                <w:szCs w:val="16"/>
                <w:lang w:eastAsia="en-GB"/>
              </w:rPr>
              <w:t>Dermal chronic potential dose (mg/kg/day):</w:t>
            </w:r>
            <w:r w:rsidRPr="00064185">
              <w:rPr>
                <w:rFonts w:cs="MS Sans Serif"/>
                <w:sz w:val="16"/>
                <w:szCs w:val="16"/>
                <w:lang w:eastAsia="en-GB"/>
              </w:rPr>
              <w:tab/>
              <w:t>0.0015</w:t>
            </w:r>
          </w:p>
          <w:p w14:paraId="3C5B2FEF" w14:textId="77777777" w:rsidR="00893C4F" w:rsidRPr="00064185" w:rsidRDefault="00893C4F" w:rsidP="00EA61D8">
            <w:pPr>
              <w:tabs>
                <w:tab w:val="left" w:pos="4200"/>
                <w:tab w:val="left" w:pos="4800"/>
                <w:tab w:val="left" w:pos="7000"/>
              </w:tabs>
              <w:autoSpaceDE w:val="0"/>
              <w:autoSpaceDN w:val="0"/>
              <w:adjustRightInd w:val="0"/>
              <w:ind w:left="400"/>
              <w:rPr>
                <w:rFonts w:cs="MS Sans Serif"/>
                <w:sz w:val="16"/>
                <w:szCs w:val="16"/>
                <w:lang w:eastAsia="en-GB"/>
              </w:rPr>
            </w:pPr>
          </w:p>
          <w:p w14:paraId="114AACF5" w14:textId="77777777" w:rsidR="00893C4F" w:rsidRPr="00064185" w:rsidRDefault="00893C4F" w:rsidP="00EA61D8">
            <w:pPr>
              <w:tabs>
                <w:tab w:val="left" w:pos="4200"/>
                <w:tab w:val="left" w:pos="4800"/>
                <w:tab w:val="left" w:pos="7000"/>
              </w:tabs>
              <w:autoSpaceDE w:val="0"/>
              <w:autoSpaceDN w:val="0"/>
              <w:adjustRightInd w:val="0"/>
              <w:ind w:left="400"/>
              <w:rPr>
                <w:rFonts w:cs="MS Sans Serif"/>
                <w:b/>
                <w:sz w:val="16"/>
                <w:szCs w:val="16"/>
                <w:lang w:eastAsia="en-GB"/>
              </w:rPr>
            </w:pPr>
            <w:r w:rsidRPr="00064185">
              <w:rPr>
                <w:rFonts w:cs="MS Sans Serif"/>
                <w:b/>
                <w:sz w:val="16"/>
                <w:szCs w:val="16"/>
                <w:lang w:eastAsia="en-GB"/>
              </w:rPr>
              <w:t>Dermal chronic systemic dose (mg/kg/day):</w:t>
            </w:r>
            <w:r w:rsidRPr="00064185">
              <w:rPr>
                <w:rFonts w:cs="MS Sans Serif"/>
                <w:b/>
                <w:sz w:val="16"/>
                <w:szCs w:val="16"/>
                <w:lang w:eastAsia="en-GB"/>
              </w:rPr>
              <w:tab/>
              <w:t>1.5E-5</w:t>
            </w:r>
          </w:p>
          <w:p w14:paraId="78D9F144" w14:textId="77777777" w:rsidR="00893C4F" w:rsidRPr="00064185" w:rsidRDefault="00893C4F" w:rsidP="00EA61D8">
            <w:pPr>
              <w:tabs>
                <w:tab w:val="left" w:pos="4200"/>
                <w:tab w:val="left" w:pos="4800"/>
                <w:tab w:val="left" w:pos="7000"/>
              </w:tabs>
              <w:autoSpaceDE w:val="0"/>
              <w:autoSpaceDN w:val="0"/>
              <w:adjustRightInd w:val="0"/>
              <w:ind w:left="400"/>
              <w:rPr>
                <w:rFonts w:cs="MS Sans Serif"/>
                <w:sz w:val="16"/>
                <w:szCs w:val="16"/>
                <w:lang w:eastAsia="en-GB"/>
              </w:rPr>
            </w:pPr>
          </w:p>
          <w:p w14:paraId="5C09BBBB" w14:textId="77777777" w:rsidR="00893C4F" w:rsidRPr="00064185" w:rsidRDefault="00893C4F" w:rsidP="00EA61D8">
            <w:pPr>
              <w:tabs>
                <w:tab w:val="left" w:pos="4800"/>
                <w:tab w:val="left" w:pos="7000"/>
              </w:tabs>
              <w:autoSpaceDE w:val="0"/>
              <w:autoSpaceDN w:val="0"/>
              <w:adjustRightInd w:val="0"/>
              <w:ind w:left="400"/>
              <w:rPr>
                <w:rFonts w:cs="MS Sans Serif"/>
                <w:sz w:val="16"/>
                <w:szCs w:val="16"/>
                <w:lang w:eastAsia="en-GB"/>
              </w:rPr>
            </w:pPr>
            <w:r w:rsidRPr="00064185">
              <w:rPr>
                <w:rFonts w:cs="MS Sans Serif"/>
                <w:sz w:val="16"/>
                <w:szCs w:val="16"/>
                <w:lang w:eastAsia="en-GB"/>
              </w:rPr>
              <w:t>Oral chronic potential dose (mg/kg/day):</w:t>
            </w:r>
            <w:r w:rsidRPr="00064185">
              <w:rPr>
                <w:rFonts w:cs="MS Sans Serif"/>
                <w:sz w:val="16"/>
                <w:szCs w:val="16"/>
                <w:lang w:eastAsia="en-GB"/>
              </w:rPr>
              <w:tab/>
              <w:t>5.2E-5</w:t>
            </w:r>
          </w:p>
          <w:p w14:paraId="7C73E2DA" w14:textId="77777777" w:rsidR="00893C4F" w:rsidRPr="00064185" w:rsidRDefault="00893C4F" w:rsidP="00EA61D8">
            <w:pPr>
              <w:tabs>
                <w:tab w:val="left" w:pos="4200"/>
                <w:tab w:val="left" w:pos="4800"/>
                <w:tab w:val="left" w:pos="7000"/>
              </w:tabs>
              <w:autoSpaceDE w:val="0"/>
              <w:autoSpaceDN w:val="0"/>
              <w:adjustRightInd w:val="0"/>
              <w:ind w:left="400"/>
              <w:rPr>
                <w:rFonts w:cs="MS Sans Serif"/>
                <w:sz w:val="16"/>
                <w:szCs w:val="16"/>
                <w:lang w:eastAsia="en-GB"/>
              </w:rPr>
            </w:pPr>
          </w:p>
          <w:p w14:paraId="04D2B0F2" w14:textId="77777777" w:rsidR="00893C4F" w:rsidRPr="00064185" w:rsidRDefault="00893C4F" w:rsidP="00EA61D8">
            <w:pPr>
              <w:tabs>
                <w:tab w:val="left" w:pos="4800"/>
                <w:tab w:val="left" w:pos="7000"/>
              </w:tabs>
              <w:autoSpaceDE w:val="0"/>
              <w:autoSpaceDN w:val="0"/>
              <w:adjustRightInd w:val="0"/>
              <w:ind w:left="400"/>
              <w:rPr>
                <w:rFonts w:cs="MS Sans Serif"/>
                <w:b/>
                <w:sz w:val="16"/>
                <w:szCs w:val="16"/>
                <w:lang w:eastAsia="en-GB"/>
              </w:rPr>
            </w:pPr>
            <w:r w:rsidRPr="00064185">
              <w:rPr>
                <w:rFonts w:cs="MS Sans Serif"/>
                <w:b/>
                <w:sz w:val="16"/>
                <w:szCs w:val="16"/>
                <w:lang w:eastAsia="en-GB"/>
              </w:rPr>
              <w:t>Oral chronic systemic dose (mg/kg/day):</w:t>
            </w:r>
            <w:r w:rsidRPr="00064185">
              <w:rPr>
                <w:rFonts w:cs="MS Sans Serif"/>
                <w:b/>
                <w:sz w:val="16"/>
                <w:szCs w:val="16"/>
                <w:lang w:eastAsia="en-GB"/>
              </w:rPr>
              <w:tab/>
              <w:t>5.2E-5</w:t>
            </w:r>
          </w:p>
          <w:p w14:paraId="21DAEF2F" w14:textId="77777777" w:rsidR="00893C4F" w:rsidRPr="00064185" w:rsidRDefault="00893C4F" w:rsidP="00EA61D8">
            <w:pPr>
              <w:tabs>
                <w:tab w:val="left" w:pos="4200"/>
                <w:tab w:val="left" w:pos="4800"/>
                <w:tab w:val="left" w:pos="7000"/>
              </w:tabs>
              <w:autoSpaceDE w:val="0"/>
              <w:autoSpaceDN w:val="0"/>
              <w:adjustRightInd w:val="0"/>
              <w:ind w:left="400"/>
              <w:rPr>
                <w:rFonts w:eastAsia="MS Mincho" w:cs="MS Sans Serif"/>
                <w:sz w:val="16"/>
                <w:szCs w:val="16"/>
                <w:lang w:eastAsia="ja-JP"/>
              </w:rPr>
            </w:pPr>
          </w:p>
          <w:p w14:paraId="6716AB8C" w14:textId="77777777" w:rsidR="00893C4F" w:rsidRPr="00064185" w:rsidRDefault="00893C4F" w:rsidP="00EA61D8">
            <w:pPr>
              <w:tabs>
                <w:tab w:val="left" w:pos="4200"/>
                <w:tab w:val="left" w:pos="4800"/>
                <w:tab w:val="left" w:pos="7000"/>
              </w:tabs>
              <w:autoSpaceDE w:val="0"/>
              <w:autoSpaceDN w:val="0"/>
              <w:adjustRightInd w:val="0"/>
              <w:ind w:left="400"/>
              <w:rPr>
                <w:rFonts w:eastAsia="MS Mincho" w:cs="MS Sans Serif"/>
                <w:sz w:val="16"/>
                <w:szCs w:val="16"/>
                <w:lang w:eastAsia="ja-JP"/>
              </w:rPr>
            </w:pPr>
          </w:p>
          <w:p w14:paraId="6BC01304" w14:textId="77777777" w:rsidR="00893C4F" w:rsidRPr="00064185" w:rsidRDefault="00893C4F" w:rsidP="00EA61D8">
            <w:pPr>
              <w:tabs>
                <w:tab w:val="left" w:pos="4200"/>
                <w:tab w:val="left" w:pos="4800"/>
                <w:tab w:val="left" w:pos="7000"/>
              </w:tabs>
              <w:autoSpaceDE w:val="0"/>
              <w:autoSpaceDN w:val="0"/>
              <w:adjustRightInd w:val="0"/>
              <w:rPr>
                <w:rFonts w:eastAsia="MS Mincho" w:cs="MS Sans Serif"/>
                <w:b/>
                <w:bCs/>
                <w:sz w:val="16"/>
                <w:szCs w:val="16"/>
                <w:u w:val="single"/>
                <w:lang w:eastAsia="ja-JP"/>
              </w:rPr>
            </w:pPr>
            <w:r w:rsidRPr="00064185">
              <w:rPr>
                <w:rFonts w:eastAsia="MS Mincho" w:cs="MS Sans Serif"/>
                <w:b/>
                <w:bCs/>
                <w:sz w:val="16"/>
                <w:szCs w:val="16"/>
                <w:u w:val="single"/>
                <w:lang w:eastAsia="ja-JP"/>
              </w:rPr>
              <w:t>Details for scenario: Adult, COM 116 02 I AL – Pump spray : application (trigger spray)</w:t>
            </w:r>
          </w:p>
          <w:p w14:paraId="42A675A4" w14:textId="77777777" w:rsidR="00893C4F" w:rsidRPr="00064185" w:rsidRDefault="00893C4F" w:rsidP="00EA61D8">
            <w:pPr>
              <w:tabs>
                <w:tab w:val="left" w:pos="4200"/>
                <w:tab w:val="left" w:pos="4800"/>
                <w:tab w:val="left" w:pos="7000"/>
              </w:tabs>
              <w:autoSpaceDE w:val="0"/>
              <w:autoSpaceDN w:val="0"/>
              <w:adjustRightInd w:val="0"/>
              <w:rPr>
                <w:rFonts w:eastAsia="MS Mincho" w:cs="MS Sans Serif"/>
                <w:sz w:val="16"/>
                <w:szCs w:val="16"/>
                <w:lang w:eastAsia="ja-JP"/>
              </w:rPr>
            </w:pPr>
          </w:p>
          <w:p w14:paraId="06FBF1B8" w14:textId="77777777" w:rsidR="00893C4F" w:rsidRPr="00064185" w:rsidRDefault="00893C4F" w:rsidP="00EA61D8">
            <w:pPr>
              <w:tabs>
                <w:tab w:val="left" w:pos="4200"/>
                <w:tab w:val="left" w:pos="4800"/>
                <w:tab w:val="left" w:pos="7000"/>
              </w:tabs>
              <w:autoSpaceDE w:val="0"/>
              <w:autoSpaceDN w:val="0"/>
              <w:adjustRightInd w:val="0"/>
              <w:rPr>
                <w:rFonts w:eastAsia="MS Mincho" w:cs="MS Sans Serif"/>
                <w:b/>
                <w:bCs/>
                <w:sz w:val="16"/>
                <w:szCs w:val="16"/>
                <w:u w:val="single"/>
                <w:lang w:eastAsia="ja-JP"/>
              </w:rPr>
            </w:pPr>
            <w:r w:rsidRPr="00064185">
              <w:rPr>
                <w:rFonts w:eastAsia="MS Mincho" w:cs="MS Sans Serif"/>
                <w:b/>
                <w:bCs/>
                <w:sz w:val="16"/>
                <w:szCs w:val="16"/>
                <w:u w:val="single"/>
                <w:lang w:eastAsia="ja-JP"/>
              </w:rPr>
              <w:t>Inhalation model: Exposure to spray : spraying</w:t>
            </w:r>
          </w:p>
          <w:p w14:paraId="0A74CADB" w14:textId="77777777" w:rsidR="00893C4F" w:rsidRPr="00064185" w:rsidRDefault="00893C4F" w:rsidP="00EA61D8">
            <w:pPr>
              <w:tabs>
                <w:tab w:val="left" w:pos="4800"/>
                <w:tab w:val="left" w:pos="6096"/>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weight fraction compound      </w:t>
            </w:r>
            <w:r w:rsidRPr="00064185">
              <w:rPr>
                <w:rFonts w:eastAsia="MS Mincho" w:cs="MS Sans Serif"/>
                <w:sz w:val="16"/>
                <w:szCs w:val="16"/>
                <w:lang w:eastAsia="ja-JP"/>
              </w:rPr>
              <w:tab/>
              <w:t xml:space="preserve">0.05      </w:t>
            </w:r>
            <w:r w:rsidRPr="00064185">
              <w:rPr>
                <w:rFonts w:eastAsia="MS Mincho" w:cs="MS Sans Serif"/>
                <w:sz w:val="16"/>
                <w:szCs w:val="16"/>
                <w:lang w:eastAsia="ja-JP"/>
              </w:rPr>
              <w:tab/>
              <w:t xml:space="preserve">%                   </w:t>
            </w:r>
          </w:p>
          <w:p w14:paraId="3D96F113" w14:textId="77777777" w:rsidR="00893C4F" w:rsidRPr="00064185" w:rsidRDefault="00893C4F" w:rsidP="00EA61D8">
            <w:pPr>
              <w:tabs>
                <w:tab w:val="left" w:pos="4800"/>
                <w:tab w:val="left" w:pos="6051"/>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exposure duration             </w:t>
            </w:r>
            <w:r w:rsidRPr="00064185">
              <w:rPr>
                <w:rFonts w:eastAsia="MS Mincho" w:cs="MS Sans Serif"/>
                <w:sz w:val="16"/>
                <w:szCs w:val="16"/>
                <w:lang w:eastAsia="ja-JP"/>
              </w:rPr>
              <w:tab/>
              <w:t xml:space="preserve">2.4E2   </w:t>
            </w:r>
            <w:r w:rsidRPr="00064185">
              <w:rPr>
                <w:rFonts w:eastAsia="MS Mincho" w:cs="MS Sans Serif"/>
                <w:sz w:val="16"/>
                <w:szCs w:val="16"/>
                <w:lang w:eastAsia="ja-JP"/>
              </w:rPr>
              <w:tab/>
              <w:t xml:space="preserve">minute              </w:t>
            </w:r>
          </w:p>
          <w:p w14:paraId="62AB449C" w14:textId="77777777" w:rsidR="00893C4F" w:rsidRPr="00064185" w:rsidRDefault="00893C4F" w:rsidP="00EA61D8">
            <w:pPr>
              <w:tabs>
                <w:tab w:val="left" w:pos="4800"/>
                <w:tab w:val="left" w:pos="6051"/>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room volume                   </w:t>
            </w:r>
            <w:r w:rsidRPr="00064185">
              <w:rPr>
                <w:rFonts w:eastAsia="MS Mincho" w:cs="MS Sans Serif"/>
                <w:sz w:val="16"/>
                <w:szCs w:val="16"/>
                <w:lang w:eastAsia="ja-JP"/>
              </w:rPr>
              <w:tab/>
              <w:t xml:space="preserve">20        </w:t>
            </w:r>
            <w:r w:rsidRPr="00064185">
              <w:rPr>
                <w:rFonts w:eastAsia="MS Mincho" w:cs="MS Sans Serif"/>
                <w:sz w:val="16"/>
                <w:szCs w:val="16"/>
                <w:lang w:eastAsia="ja-JP"/>
              </w:rPr>
              <w:tab/>
              <w:t xml:space="preserve">m³                  </w:t>
            </w:r>
          </w:p>
          <w:p w14:paraId="5F74054A" w14:textId="77777777" w:rsidR="00893C4F" w:rsidRPr="00064185" w:rsidRDefault="00893C4F" w:rsidP="00EA61D8">
            <w:pPr>
              <w:tabs>
                <w:tab w:val="left" w:pos="4800"/>
                <w:tab w:val="left" w:pos="6051"/>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ventilation ra</w:t>
            </w:r>
            <w:r w:rsidR="004216E7" w:rsidRPr="00064185">
              <w:rPr>
                <w:rFonts w:eastAsia="MS Mincho" w:cs="MS Sans Serif"/>
                <w:sz w:val="16"/>
                <w:szCs w:val="16"/>
                <w:lang w:eastAsia="ja-JP"/>
              </w:rPr>
              <w:t xml:space="preserve">te              </w:t>
            </w:r>
            <w:r w:rsidR="004216E7" w:rsidRPr="00064185">
              <w:rPr>
                <w:rFonts w:eastAsia="MS Mincho" w:cs="MS Sans Serif"/>
                <w:sz w:val="16"/>
                <w:szCs w:val="16"/>
                <w:lang w:eastAsia="ja-JP"/>
              </w:rPr>
              <w:tab/>
              <w:t xml:space="preserve">0.6       </w:t>
            </w:r>
            <w:r w:rsidR="004216E7" w:rsidRPr="00064185">
              <w:rPr>
                <w:rFonts w:eastAsia="MS Mincho" w:cs="MS Sans Serif"/>
                <w:sz w:val="16"/>
                <w:szCs w:val="16"/>
                <w:lang w:eastAsia="ja-JP"/>
              </w:rPr>
              <w:tab/>
              <w:t>1/h</w:t>
            </w:r>
            <w:r w:rsidRPr="00064185">
              <w:rPr>
                <w:rFonts w:eastAsia="MS Mincho" w:cs="MS Sans Serif"/>
                <w:sz w:val="16"/>
                <w:szCs w:val="16"/>
                <w:lang w:eastAsia="ja-JP"/>
              </w:rPr>
              <w:t xml:space="preserve">                </w:t>
            </w:r>
          </w:p>
          <w:p w14:paraId="00FBC1F3" w14:textId="77777777" w:rsidR="00893C4F" w:rsidRPr="00064185" w:rsidRDefault="00893C4F" w:rsidP="00EA61D8">
            <w:pPr>
              <w:tabs>
                <w:tab w:val="left" w:pos="4800"/>
                <w:tab w:val="left" w:pos="6051"/>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mass generation rate          </w:t>
            </w:r>
            <w:r w:rsidRPr="00064185">
              <w:rPr>
                <w:rFonts w:eastAsia="MS Mincho" w:cs="MS Sans Serif"/>
                <w:sz w:val="16"/>
                <w:szCs w:val="16"/>
                <w:lang w:eastAsia="ja-JP"/>
              </w:rPr>
              <w:tab/>
              <w:t xml:space="preserve">0.38      </w:t>
            </w:r>
            <w:r w:rsidRPr="00064185">
              <w:rPr>
                <w:rFonts w:eastAsia="MS Mincho" w:cs="MS Sans Serif"/>
                <w:sz w:val="16"/>
                <w:szCs w:val="16"/>
                <w:lang w:eastAsia="ja-JP"/>
              </w:rPr>
              <w:tab/>
              <w:t xml:space="preserve">g/sec               </w:t>
            </w:r>
          </w:p>
          <w:p w14:paraId="554C477D" w14:textId="77777777" w:rsidR="00893C4F" w:rsidRPr="00064185" w:rsidRDefault="00893C4F" w:rsidP="00EA61D8">
            <w:pPr>
              <w:tabs>
                <w:tab w:val="left" w:pos="4800"/>
                <w:tab w:val="left" w:pos="6051"/>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spray duration                </w:t>
            </w:r>
            <w:r w:rsidRPr="00064185">
              <w:rPr>
                <w:rFonts w:eastAsia="MS Mincho" w:cs="MS Sans Serif"/>
                <w:sz w:val="16"/>
                <w:szCs w:val="16"/>
                <w:lang w:eastAsia="ja-JP"/>
              </w:rPr>
              <w:tab/>
              <w:t xml:space="preserve">4         </w:t>
            </w:r>
            <w:r w:rsidRPr="00064185">
              <w:rPr>
                <w:rFonts w:eastAsia="MS Mincho" w:cs="MS Sans Serif"/>
                <w:sz w:val="16"/>
                <w:szCs w:val="16"/>
                <w:lang w:eastAsia="ja-JP"/>
              </w:rPr>
              <w:tab/>
              <w:t xml:space="preserve">minute              </w:t>
            </w:r>
          </w:p>
          <w:p w14:paraId="6A5F79CC" w14:textId="77777777" w:rsidR="00893C4F" w:rsidRPr="00064185" w:rsidRDefault="00893C4F" w:rsidP="00EA61D8">
            <w:pPr>
              <w:tabs>
                <w:tab w:val="left" w:pos="4800"/>
                <w:tab w:val="left" w:pos="6051"/>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airborne fraction              </w:t>
            </w:r>
            <w:r w:rsidRPr="00064185">
              <w:rPr>
                <w:rFonts w:eastAsia="MS Mincho" w:cs="MS Sans Serif"/>
                <w:sz w:val="16"/>
                <w:szCs w:val="16"/>
                <w:lang w:eastAsia="ja-JP"/>
              </w:rPr>
              <w:tab/>
              <w:t xml:space="preserve">0.2       </w:t>
            </w:r>
            <w:r w:rsidRPr="00064185">
              <w:rPr>
                <w:rFonts w:eastAsia="MS Mincho" w:cs="MS Sans Serif"/>
                <w:sz w:val="16"/>
                <w:szCs w:val="16"/>
                <w:lang w:eastAsia="ja-JP"/>
              </w:rPr>
              <w:tab/>
              <w:t xml:space="preserve">fraction            </w:t>
            </w:r>
          </w:p>
          <w:p w14:paraId="6BD08849" w14:textId="77777777" w:rsidR="00893C4F" w:rsidRPr="00064185" w:rsidRDefault="00893C4F" w:rsidP="00EA61D8">
            <w:pPr>
              <w:tabs>
                <w:tab w:val="left" w:pos="4800"/>
                <w:tab w:val="left" w:pos="6051"/>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weight fraction non-volatile  </w:t>
            </w:r>
            <w:r w:rsidRPr="00064185">
              <w:rPr>
                <w:rFonts w:eastAsia="MS Mincho" w:cs="MS Sans Serif"/>
                <w:sz w:val="16"/>
                <w:szCs w:val="16"/>
                <w:lang w:eastAsia="ja-JP"/>
              </w:rPr>
              <w:tab/>
              <w:t xml:space="preserve">1         </w:t>
            </w:r>
            <w:r w:rsidRPr="00064185">
              <w:rPr>
                <w:rFonts w:eastAsia="MS Mincho" w:cs="MS Sans Serif"/>
                <w:sz w:val="16"/>
                <w:szCs w:val="16"/>
                <w:lang w:eastAsia="ja-JP"/>
              </w:rPr>
              <w:tab/>
              <w:t xml:space="preserve">fraction            </w:t>
            </w:r>
          </w:p>
          <w:p w14:paraId="3A09380E" w14:textId="25EE3824" w:rsidR="00893C4F" w:rsidRPr="00064185" w:rsidRDefault="00893C4F" w:rsidP="00EA61D8">
            <w:pPr>
              <w:tabs>
                <w:tab w:val="left" w:pos="4800"/>
                <w:tab w:val="left" w:pos="6051"/>
                <w:tab w:val="left" w:pos="7000"/>
              </w:tabs>
              <w:autoSpaceDE w:val="0"/>
              <w:autoSpaceDN w:val="0"/>
              <w:adjustRightInd w:val="0"/>
              <w:ind w:left="400"/>
              <w:rPr>
                <w:rFonts w:eastAsia="MS Mincho" w:cs="MS Sans Serif"/>
                <w:sz w:val="16"/>
                <w:szCs w:val="16"/>
                <w:lang w:val="it-IT" w:eastAsia="ja-JP"/>
              </w:rPr>
            </w:pPr>
            <w:r w:rsidRPr="00064185">
              <w:rPr>
                <w:rFonts w:eastAsia="MS Mincho" w:cs="MS Sans Serif"/>
                <w:sz w:val="16"/>
                <w:szCs w:val="16"/>
                <w:lang w:val="it-IT" w:eastAsia="ja-JP"/>
              </w:rPr>
              <w:t>density n</w:t>
            </w:r>
            <w:r w:rsidR="00543C1E" w:rsidRPr="00064185">
              <w:rPr>
                <w:rFonts w:eastAsia="MS Mincho" w:cs="MS Sans Serif"/>
                <w:sz w:val="16"/>
                <w:szCs w:val="16"/>
                <w:lang w:val="it-IT" w:eastAsia="ja-JP"/>
              </w:rPr>
              <w:t>on-volatile</w:t>
            </w:r>
            <w:proofErr w:type="gramStart"/>
            <w:r w:rsidR="00543C1E" w:rsidRPr="00064185">
              <w:rPr>
                <w:rFonts w:eastAsia="MS Mincho" w:cs="MS Sans Serif"/>
                <w:sz w:val="16"/>
                <w:szCs w:val="16"/>
                <w:lang w:val="it-IT" w:eastAsia="ja-JP"/>
              </w:rPr>
              <w:t xml:space="preserve">          </w:t>
            </w:r>
            <w:proofErr w:type="gramEnd"/>
            <w:r w:rsidR="00543C1E" w:rsidRPr="00064185">
              <w:rPr>
                <w:rFonts w:eastAsia="MS Mincho" w:cs="MS Sans Serif"/>
                <w:sz w:val="16"/>
                <w:szCs w:val="16"/>
                <w:lang w:val="it-IT" w:eastAsia="ja-JP"/>
              </w:rPr>
              <w:tab/>
              <w:t>1</w:t>
            </w:r>
            <w:proofErr w:type="gramStart"/>
            <w:r w:rsidR="00543C1E" w:rsidRPr="00064185">
              <w:rPr>
                <w:rFonts w:eastAsia="MS Mincho" w:cs="MS Sans Serif"/>
                <w:sz w:val="16"/>
                <w:szCs w:val="16"/>
                <w:lang w:val="it-IT" w:eastAsia="ja-JP"/>
              </w:rPr>
              <w:t xml:space="preserve">        </w:t>
            </w:r>
            <w:proofErr w:type="gramEnd"/>
            <w:r w:rsidRPr="00064185">
              <w:rPr>
                <w:rFonts w:eastAsia="MS Mincho" w:cs="MS Sans Serif"/>
                <w:sz w:val="16"/>
                <w:szCs w:val="16"/>
                <w:lang w:val="it-IT" w:eastAsia="ja-JP"/>
              </w:rPr>
              <w:tab/>
            </w:r>
            <w:proofErr w:type="gramStart"/>
            <w:r w:rsidRPr="00064185">
              <w:rPr>
                <w:rFonts w:eastAsia="MS Mincho" w:cs="MS Sans Serif"/>
                <w:sz w:val="16"/>
                <w:szCs w:val="16"/>
                <w:lang w:val="it-IT" w:eastAsia="ja-JP"/>
              </w:rPr>
              <w:t>g</w:t>
            </w:r>
            <w:proofErr w:type="gramEnd"/>
            <w:r w:rsidRPr="00064185">
              <w:rPr>
                <w:rFonts w:eastAsia="MS Mincho" w:cs="MS Sans Serif"/>
                <w:sz w:val="16"/>
                <w:szCs w:val="16"/>
                <w:lang w:val="it-IT" w:eastAsia="ja-JP"/>
              </w:rPr>
              <w:t xml:space="preserve">/cm³               </w:t>
            </w:r>
          </w:p>
          <w:p w14:paraId="0EB83B58" w14:textId="77777777" w:rsidR="00893C4F" w:rsidRPr="00064185" w:rsidRDefault="00893C4F" w:rsidP="00EA61D8">
            <w:pPr>
              <w:tabs>
                <w:tab w:val="left" w:pos="4800"/>
                <w:tab w:val="left" w:pos="6051"/>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room height                   </w:t>
            </w:r>
            <w:r w:rsidRPr="00064185">
              <w:rPr>
                <w:rFonts w:eastAsia="MS Mincho" w:cs="MS Sans Serif"/>
                <w:sz w:val="16"/>
                <w:szCs w:val="16"/>
                <w:lang w:eastAsia="ja-JP"/>
              </w:rPr>
              <w:tab/>
              <w:t xml:space="preserve">2.5       </w:t>
            </w:r>
            <w:r w:rsidRPr="00064185">
              <w:rPr>
                <w:rFonts w:eastAsia="MS Mincho" w:cs="MS Sans Serif"/>
                <w:sz w:val="16"/>
                <w:szCs w:val="16"/>
                <w:lang w:eastAsia="ja-JP"/>
              </w:rPr>
              <w:tab/>
              <w:t xml:space="preserve">meter               </w:t>
            </w:r>
          </w:p>
          <w:p w14:paraId="4CC952AB" w14:textId="77777777" w:rsidR="00893C4F" w:rsidRPr="00064185" w:rsidRDefault="00893C4F" w:rsidP="00EA61D8">
            <w:pPr>
              <w:tabs>
                <w:tab w:val="left" w:pos="4800"/>
                <w:tab w:val="left" w:pos="6051"/>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inhalation cut-off diameter   </w:t>
            </w:r>
            <w:r w:rsidRPr="00064185">
              <w:rPr>
                <w:rFonts w:eastAsia="MS Mincho" w:cs="MS Sans Serif"/>
                <w:sz w:val="16"/>
                <w:szCs w:val="16"/>
                <w:lang w:eastAsia="ja-JP"/>
              </w:rPr>
              <w:tab/>
              <w:t xml:space="preserve">15        </w:t>
            </w:r>
            <w:r w:rsidRPr="00064185">
              <w:rPr>
                <w:rFonts w:eastAsia="MS Mincho" w:cs="MS Sans Serif"/>
                <w:sz w:val="16"/>
                <w:szCs w:val="16"/>
                <w:lang w:eastAsia="ja-JP"/>
              </w:rPr>
              <w:tab/>
              <w:t xml:space="preserve">micrometer          </w:t>
            </w:r>
          </w:p>
          <w:p w14:paraId="627550B2" w14:textId="77777777" w:rsidR="00893C4F" w:rsidRPr="00064185" w:rsidRDefault="00893C4F" w:rsidP="00EA61D8">
            <w:pPr>
              <w:tabs>
                <w:tab w:val="left" w:pos="4800"/>
                <w:tab w:val="left" w:pos="6051"/>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non-respirable uptake fraction</w:t>
            </w:r>
            <w:r w:rsidRPr="00064185">
              <w:rPr>
                <w:rFonts w:eastAsia="MS Mincho" w:cs="MS Sans Serif"/>
                <w:sz w:val="16"/>
                <w:szCs w:val="16"/>
                <w:lang w:eastAsia="ja-JP"/>
              </w:rPr>
              <w:tab/>
              <w:t xml:space="preserve">0.5       </w:t>
            </w:r>
            <w:r w:rsidRPr="00064185">
              <w:rPr>
                <w:rFonts w:eastAsia="MS Mincho" w:cs="MS Sans Serif"/>
                <w:sz w:val="16"/>
                <w:szCs w:val="16"/>
                <w:lang w:eastAsia="ja-JP"/>
              </w:rPr>
              <w:tab/>
              <w:t xml:space="preserve">fraction            </w:t>
            </w:r>
          </w:p>
          <w:p w14:paraId="49A5B00E" w14:textId="77777777" w:rsidR="00893C4F" w:rsidRPr="00064185" w:rsidRDefault="00893C4F" w:rsidP="00EA61D8">
            <w:pPr>
              <w:tabs>
                <w:tab w:val="left" w:pos="4200"/>
                <w:tab w:val="left" w:pos="4800"/>
                <w:tab w:val="left" w:pos="6051"/>
                <w:tab w:val="left" w:pos="7000"/>
              </w:tabs>
              <w:autoSpaceDE w:val="0"/>
              <w:autoSpaceDN w:val="0"/>
              <w:adjustRightInd w:val="0"/>
              <w:ind w:left="400"/>
              <w:rPr>
                <w:rFonts w:eastAsia="MS Mincho" w:cs="MS Sans Serif"/>
                <w:sz w:val="16"/>
                <w:szCs w:val="16"/>
                <w:lang w:eastAsia="ja-JP"/>
              </w:rPr>
            </w:pPr>
          </w:p>
          <w:p w14:paraId="745FD86F" w14:textId="77777777" w:rsidR="00893C4F" w:rsidRPr="00064185" w:rsidRDefault="00893C4F" w:rsidP="00EA61D8">
            <w:pPr>
              <w:tabs>
                <w:tab w:val="left" w:pos="4200"/>
                <w:tab w:val="left" w:pos="4800"/>
                <w:tab w:val="left" w:pos="6051"/>
                <w:tab w:val="left" w:pos="7000"/>
              </w:tabs>
              <w:autoSpaceDE w:val="0"/>
              <w:autoSpaceDN w:val="0"/>
              <w:adjustRightInd w:val="0"/>
              <w:rPr>
                <w:rFonts w:eastAsia="MS Mincho" w:cs="MS Sans Serif"/>
                <w:b/>
                <w:bCs/>
                <w:sz w:val="16"/>
                <w:szCs w:val="16"/>
                <w:u w:val="single"/>
                <w:lang w:eastAsia="ja-JP"/>
              </w:rPr>
            </w:pPr>
            <w:r w:rsidRPr="00064185">
              <w:rPr>
                <w:rFonts w:eastAsia="MS Mincho" w:cs="MS Sans Serif"/>
                <w:b/>
                <w:bCs/>
                <w:sz w:val="16"/>
                <w:szCs w:val="16"/>
                <w:u w:val="single"/>
                <w:lang w:eastAsia="ja-JP"/>
              </w:rPr>
              <w:t>Uptake model: Fraction</w:t>
            </w:r>
          </w:p>
          <w:p w14:paraId="1BFF01E1" w14:textId="77777777" w:rsidR="00893C4F" w:rsidRPr="00064185" w:rsidRDefault="00893C4F" w:rsidP="00EA61D8">
            <w:pPr>
              <w:tabs>
                <w:tab w:val="left" w:pos="4800"/>
                <w:tab w:val="left" w:pos="6051"/>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uptake fraction               </w:t>
            </w:r>
            <w:r w:rsidRPr="00064185">
              <w:rPr>
                <w:rFonts w:eastAsia="MS Mincho" w:cs="MS Sans Serif"/>
                <w:sz w:val="16"/>
                <w:szCs w:val="16"/>
                <w:lang w:eastAsia="ja-JP"/>
              </w:rPr>
              <w:tab/>
              <w:t xml:space="preserve">1         </w:t>
            </w:r>
            <w:r w:rsidRPr="00064185">
              <w:rPr>
                <w:rFonts w:eastAsia="MS Mincho" w:cs="MS Sans Serif"/>
                <w:sz w:val="16"/>
                <w:szCs w:val="16"/>
                <w:lang w:eastAsia="ja-JP"/>
              </w:rPr>
              <w:tab/>
              <w:t xml:space="preserve">fraction            </w:t>
            </w:r>
          </w:p>
          <w:p w14:paraId="20F7C96A" w14:textId="77777777" w:rsidR="00893C4F" w:rsidRPr="00064185" w:rsidRDefault="00893C4F" w:rsidP="00EA61D8">
            <w:pPr>
              <w:tabs>
                <w:tab w:val="left" w:pos="4800"/>
                <w:tab w:val="left" w:pos="6051"/>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inhalation rate               </w:t>
            </w:r>
            <w:r w:rsidRPr="00064185">
              <w:rPr>
                <w:rFonts w:eastAsia="MS Mincho" w:cs="MS Sans Serif"/>
                <w:sz w:val="16"/>
                <w:szCs w:val="16"/>
                <w:lang w:eastAsia="ja-JP"/>
              </w:rPr>
              <w:tab/>
              <w:t xml:space="preserve">33        </w:t>
            </w:r>
            <w:r w:rsidRPr="00064185">
              <w:rPr>
                <w:rFonts w:eastAsia="MS Mincho" w:cs="MS Sans Serif"/>
                <w:sz w:val="16"/>
                <w:szCs w:val="16"/>
                <w:lang w:eastAsia="ja-JP"/>
              </w:rPr>
              <w:tab/>
              <w:t xml:space="preserve">m³/day              </w:t>
            </w:r>
          </w:p>
          <w:p w14:paraId="5CF6B595" w14:textId="77777777" w:rsidR="00893C4F" w:rsidRPr="00064185" w:rsidRDefault="00893C4F" w:rsidP="00EA61D8">
            <w:pPr>
              <w:tabs>
                <w:tab w:val="left" w:pos="4200"/>
                <w:tab w:val="left" w:pos="4800"/>
                <w:tab w:val="left" w:pos="7000"/>
              </w:tabs>
              <w:autoSpaceDE w:val="0"/>
              <w:autoSpaceDN w:val="0"/>
              <w:adjustRightInd w:val="0"/>
              <w:ind w:left="400"/>
              <w:rPr>
                <w:rFonts w:eastAsia="MS Mincho" w:cs="MS Sans Serif"/>
                <w:sz w:val="16"/>
                <w:szCs w:val="16"/>
                <w:lang w:eastAsia="ja-JP"/>
              </w:rPr>
            </w:pPr>
          </w:p>
          <w:p w14:paraId="7FA0F94E" w14:textId="77777777" w:rsidR="00893C4F" w:rsidRPr="00064185" w:rsidRDefault="00893C4F" w:rsidP="00EA61D8">
            <w:pPr>
              <w:tabs>
                <w:tab w:val="left" w:pos="4200"/>
                <w:tab w:val="left" w:pos="4800"/>
                <w:tab w:val="left" w:pos="7000"/>
              </w:tabs>
              <w:autoSpaceDE w:val="0"/>
              <w:autoSpaceDN w:val="0"/>
              <w:adjustRightInd w:val="0"/>
              <w:rPr>
                <w:rFonts w:eastAsia="MS Mincho" w:cs="MS Sans Serif"/>
                <w:b/>
                <w:bCs/>
                <w:sz w:val="16"/>
                <w:szCs w:val="16"/>
                <w:u w:val="single"/>
                <w:lang w:eastAsia="ja-JP"/>
              </w:rPr>
            </w:pPr>
            <w:r w:rsidRPr="00064185">
              <w:rPr>
                <w:rFonts w:eastAsia="MS Mincho" w:cs="MS Sans Serif"/>
                <w:b/>
                <w:bCs/>
                <w:sz w:val="16"/>
                <w:szCs w:val="16"/>
                <w:u w:val="single"/>
                <w:lang w:eastAsia="ja-JP"/>
              </w:rPr>
              <w:t>Dermal model: Direct dermal contact with product : constant rate</w:t>
            </w:r>
          </w:p>
          <w:p w14:paraId="5D891FEB" w14:textId="77777777" w:rsidR="00893C4F" w:rsidRPr="00064185" w:rsidRDefault="00893C4F" w:rsidP="00EA61D8">
            <w:pPr>
              <w:tabs>
                <w:tab w:val="left" w:pos="4800"/>
                <w:tab w:val="left" w:pos="6065"/>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weight fraction compound      </w:t>
            </w:r>
            <w:r w:rsidRPr="00064185">
              <w:rPr>
                <w:rFonts w:eastAsia="MS Mincho" w:cs="MS Sans Serif"/>
                <w:sz w:val="16"/>
                <w:szCs w:val="16"/>
                <w:lang w:eastAsia="ja-JP"/>
              </w:rPr>
              <w:tab/>
              <w:t xml:space="preserve">0.05      </w:t>
            </w:r>
            <w:r w:rsidRPr="00064185">
              <w:rPr>
                <w:rFonts w:eastAsia="MS Mincho" w:cs="MS Sans Serif"/>
                <w:sz w:val="16"/>
                <w:szCs w:val="16"/>
                <w:lang w:eastAsia="ja-JP"/>
              </w:rPr>
              <w:tab/>
              <w:t xml:space="preserve">%                   </w:t>
            </w:r>
          </w:p>
          <w:p w14:paraId="709A5A80" w14:textId="77777777" w:rsidR="00893C4F" w:rsidRPr="00064185" w:rsidRDefault="00893C4F" w:rsidP="00EA61D8">
            <w:pPr>
              <w:tabs>
                <w:tab w:val="left" w:pos="4800"/>
                <w:tab w:val="left" w:pos="6065"/>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exposed area                  </w:t>
            </w:r>
            <w:r w:rsidRPr="00064185">
              <w:rPr>
                <w:rFonts w:eastAsia="MS Mincho" w:cs="MS Sans Serif"/>
                <w:sz w:val="16"/>
                <w:szCs w:val="16"/>
                <w:lang w:eastAsia="ja-JP"/>
              </w:rPr>
              <w:tab/>
              <w:t xml:space="preserve">2.1E2 </w:t>
            </w:r>
            <w:r w:rsidRPr="00064185">
              <w:rPr>
                <w:rFonts w:eastAsia="MS Mincho" w:cs="MS Sans Serif"/>
                <w:sz w:val="16"/>
                <w:szCs w:val="16"/>
                <w:lang w:eastAsia="ja-JP"/>
              </w:rPr>
              <w:tab/>
              <w:t xml:space="preserve">cm²                 </w:t>
            </w:r>
          </w:p>
          <w:p w14:paraId="6C8EE26C" w14:textId="77777777" w:rsidR="00893C4F" w:rsidRPr="00064185" w:rsidRDefault="00893C4F" w:rsidP="00EA61D8">
            <w:pPr>
              <w:tabs>
                <w:tab w:val="left" w:pos="4800"/>
                <w:tab w:val="left" w:pos="6065"/>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contact rate                  </w:t>
            </w:r>
            <w:r w:rsidRPr="00064185">
              <w:rPr>
                <w:rFonts w:eastAsia="MS Mincho" w:cs="MS Sans Serif"/>
                <w:sz w:val="16"/>
                <w:szCs w:val="16"/>
                <w:lang w:eastAsia="ja-JP"/>
              </w:rPr>
              <w:tab/>
              <w:t xml:space="preserve">46       </w:t>
            </w:r>
            <w:r w:rsidRPr="00064185">
              <w:rPr>
                <w:rFonts w:eastAsia="MS Mincho" w:cs="MS Sans Serif"/>
                <w:sz w:val="16"/>
                <w:szCs w:val="16"/>
                <w:lang w:eastAsia="ja-JP"/>
              </w:rPr>
              <w:tab/>
              <w:t xml:space="preserve">mg/min              </w:t>
            </w:r>
          </w:p>
          <w:p w14:paraId="4091483D" w14:textId="77777777" w:rsidR="00893C4F" w:rsidRPr="00064185" w:rsidRDefault="00893C4F" w:rsidP="00EA61D8">
            <w:pPr>
              <w:tabs>
                <w:tab w:val="left" w:pos="4800"/>
                <w:tab w:val="left" w:pos="6065"/>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release duration              </w:t>
            </w:r>
            <w:r w:rsidRPr="00064185">
              <w:rPr>
                <w:rFonts w:eastAsia="MS Mincho" w:cs="MS Sans Serif"/>
                <w:sz w:val="16"/>
                <w:szCs w:val="16"/>
                <w:lang w:eastAsia="ja-JP"/>
              </w:rPr>
              <w:tab/>
              <w:t xml:space="preserve">2.4E2   </w:t>
            </w:r>
            <w:r w:rsidRPr="00064185">
              <w:rPr>
                <w:rFonts w:eastAsia="MS Mincho" w:cs="MS Sans Serif"/>
                <w:sz w:val="16"/>
                <w:szCs w:val="16"/>
                <w:lang w:eastAsia="ja-JP"/>
              </w:rPr>
              <w:tab/>
              <w:t xml:space="preserve">second              </w:t>
            </w:r>
          </w:p>
          <w:p w14:paraId="208D2181" w14:textId="77777777" w:rsidR="00893C4F" w:rsidRPr="00064185" w:rsidRDefault="00893C4F" w:rsidP="00EA61D8">
            <w:pPr>
              <w:tabs>
                <w:tab w:val="left" w:pos="4200"/>
                <w:tab w:val="left" w:pos="4800"/>
                <w:tab w:val="left" w:pos="7000"/>
              </w:tabs>
              <w:autoSpaceDE w:val="0"/>
              <w:autoSpaceDN w:val="0"/>
              <w:adjustRightInd w:val="0"/>
              <w:ind w:left="400"/>
              <w:rPr>
                <w:rFonts w:eastAsia="MS Mincho" w:cs="MS Sans Serif"/>
                <w:sz w:val="16"/>
                <w:szCs w:val="16"/>
                <w:lang w:eastAsia="ja-JP"/>
              </w:rPr>
            </w:pPr>
          </w:p>
          <w:p w14:paraId="614B276E" w14:textId="77777777" w:rsidR="00893C4F" w:rsidRPr="00064185" w:rsidRDefault="00893C4F" w:rsidP="00EA61D8">
            <w:pPr>
              <w:tabs>
                <w:tab w:val="left" w:pos="4200"/>
                <w:tab w:val="left" w:pos="4800"/>
                <w:tab w:val="left" w:pos="7000"/>
              </w:tabs>
              <w:autoSpaceDE w:val="0"/>
              <w:autoSpaceDN w:val="0"/>
              <w:adjustRightInd w:val="0"/>
              <w:rPr>
                <w:rFonts w:eastAsia="MS Mincho" w:cs="MS Sans Serif"/>
                <w:b/>
                <w:bCs/>
                <w:sz w:val="16"/>
                <w:szCs w:val="16"/>
                <w:u w:val="single"/>
                <w:lang w:eastAsia="ja-JP"/>
              </w:rPr>
            </w:pPr>
            <w:r w:rsidRPr="00064185">
              <w:rPr>
                <w:rFonts w:eastAsia="MS Mincho" w:cs="MS Sans Serif"/>
                <w:b/>
                <w:bCs/>
                <w:sz w:val="16"/>
                <w:szCs w:val="16"/>
                <w:u w:val="single"/>
                <w:lang w:eastAsia="ja-JP"/>
              </w:rPr>
              <w:t>Uptake model: fraction</w:t>
            </w:r>
          </w:p>
          <w:p w14:paraId="1B349170" w14:textId="77777777" w:rsidR="00893C4F" w:rsidRPr="00064185" w:rsidRDefault="00893C4F" w:rsidP="00EA61D8">
            <w:pPr>
              <w:tabs>
                <w:tab w:val="left" w:pos="4800"/>
                <w:tab w:val="left" w:pos="6037"/>
                <w:tab w:val="left" w:pos="7000"/>
              </w:tabs>
              <w:autoSpaceDE w:val="0"/>
              <w:autoSpaceDN w:val="0"/>
              <w:adjustRightInd w:val="0"/>
              <w:ind w:left="400"/>
              <w:rPr>
                <w:rFonts w:eastAsia="MS Mincho" w:cs="MS Sans Serif"/>
                <w:sz w:val="16"/>
                <w:szCs w:val="16"/>
                <w:lang w:eastAsia="ja-JP"/>
              </w:rPr>
            </w:pPr>
            <w:r w:rsidRPr="00064185">
              <w:rPr>
                <w:rFonts w:eastAsia="MS Mincho" w:cs="MS Sans Serif"/>
                <w:sz w:val="16"/>
                <w:szCs w:val="16"/>
                <w:lang w:eastAsia="ja-JP"/>
              </w:rPr>
              <w:t xml:space="preserve">uptake fraction               </w:t>
            </w:r>
            <w:r w:rsidRPr="00064185">
              <w:rPr>
                <w:rFonts w:eastAsia="MS Mincho" w:cs="MS Sans Serif"/>
                <w:sz w:val="16"/>
                <w:szCs w:val="16"/>
                <w:lang w:eastAsia="ja-JP"/>
              </w:rPr>
              <w:tab/>
              <w:t xml:space="preserve">1         </w:t>
            </w:r>
            <w:r w:rsidRPr="00064185">
              <w:rPr>
                <w:rFonts w:eastAsia="MS Mincho" w:cs="MS Sans Serif"/>
                <w:sz w:val="16"/>
                <w:szCs w:val="16"/>
                <w:lang w:eastAsia="ja-JP"/>
              </w:rPr>
              <w:tab/>
              <w:t xml:space="preserve">%                   </w:t>
            </w:r>
          </w:p>
        </w:tc>
      </w:tr>
      <w:tr w:rsidR="00893C4F" w:rsidRPr="00064185" w14:paraId="03F8749F" w14:textId="77777777" w:rsidTr="0029428F">
        <w:trPr>
          <w:cantSplit/>
        </w:trPr>
        <w:tc>
          <w:tcPr>
            <w:tcW w:w="5000" w:type="pct"/>
            <w:shd w:val="clear" w:color="auto" w:fill="auto"/>
          </w:tcPr>
          <w:p w14:paraId="3027DA8F" w14:textId="77777777" w:rsidR="00893C4F" w:rsidRPr="00064185" w:rsidRDefault="00893C4F" w:rsidP="00EA61D8">
            <w:pPr>
              <w:autoSpaceDE w:val="0"/>
              <w:autoSpaceDN w:val="0"/>
              <w:adjustRightInd w:val="0"/>
              <w:rPr>
                <w:rFonts w:eastAsia="MS Mincho" w:cs="MS Sans Serif"/>
                <w:sz w:val="16"/>
                <w:szCs w:val="16"/>
                <w:lang w:eastAsia="ja-JP"/>
              </w:rPr>
            </w:pPr>
          </w:p>
        </w:tc>
      </w:tr>
    </w:tbl>
    <w:p w14:paraId="7C91C404" w14:textId="77777777" w:rsidR="00FA2DD8" w:rsidRPr="00064185" w:rsidRDefault="00FA2DD8" w:rsidP="00EA61D8">
      <w:pPr>
        <w:rPr>
          <w:rFonts w:eastAsia="Calibri"/>
          <w:b/>
          <w:caps/>
          <w:sz w:val="28"/>
          <w:szCs w:val="28"/>
          <w:lang w:eastAsia="en-US"/>
        </w:rPr>
      </w:pPr>
    </w:p>
    <w:p w14:paraId="7FAAE742" w14:textId="66B666CC" w:rsidR="00A32FB1" w:rsidRPr="00064185" w:rsidRDefault="00A32FB1" w:rsidP="00EA61D8">
      <w:pPr>
        <w:rPr>
          <w:rFonts w:eastAsia="Calibri"/>
          <w:b/>
          <w:caps/>
          <w:sz w:val="28"/>
          <w:szCs w:val="28"/>
          <w:lang w:eastAsia="en-US"/>
        </w:rPr>
      </w:pPr>
    </w:p>
    <w:p w14:paraId="0BA226C7" w14:textId="77777777" w:rsidR="00A32FB1" w:rsidRPr="00064185" w:rsidRDefault="00A32FB1" w:rsidP="00EA61D8">
      <w:pPr>
        <w:rPr>
          <w:rFonts w:eastAsia="Calibri"/>
          <w:b/>
          <w:caps/>
          <w:sz w:val="28"/>
          <w:szCs w:val="28"/>
          <w:lang w:eastAsia="en-US"/>
        </w:rPr>
      </w:pPr>
    </w:p>
    <w:p w14:paraId="7F19CE8D" w14:textId="130EFAA0" w:rsidR="00454240" w:rsidRPr="00064185" w:rsidRDefault="007C195C" w:rsidP="00403806">
      <w:pPr>
        <w:jc w:val="both"/>
        <w:rPr>
          <w:rFonts w:eastAsia="Calibri"/>
          <w:b/>
          <w:caps/>
          <w:sz w:val="28"/>
          <w:szCs w:val="28"/>
          <w:lang w:eastAsia="en-US"/>
        </w:rPr>
      </w:pPr>
      <w:r w:rsidRPr="00064185">
        <w:rPr>
          <w:rFonts w:eastAsia="Calibri"/>
          <w:u w:val="single"/>
          <w:lang w:eastAsia="en-US"/>
        </w:rPr>
        <w:lastRenderedPageBreak/>
        <w:t>Scenario 2</w:t>
      </w:r>
      <w:r w:rsidR="00490609" w:rsidRPr="00064185">
        <w:rPr>
          <w:rFonts w:eastAsia="Calibri"/>
          <w:u w:val="single"/>
          <w:lang w:eastAsia="en-US"/>
        </w:rPr>
        <w:t xml:space="preserve">: </w:t>
      </w:r>
      <w:r w:rsidR="00490609" w:rsidRPr="00064185">
        <w:rPr>
          <w:rFonts w:eastAsia="Calibri"/>
          <w:bCs/>
          <w:lang w:eastAsia="en-US"/>
        </w:rPr>
        <w:t>Child playing on floor</w:t>
      </w:r>
    </w:p>
    <w:p w14:paraId="1C15F63B" w14:textId="67483830" w:rsidR="007C195C" w:rsidRPr="00064185" w:rsidRDefault="007C195C" w:rsidP="00403806">
      <w:pPr>
        <w:spacing w:before="40" w:after="80"/>
        <w:jc w:val="both"/>
      </w:pPr>
      <w:r w:rsidRPr="00064185">
        <w:t>As described in 2.3.5, Part B of this document the effective applicati</w:t>
      </w:r>
      <w:r w:rsidR="000F6B11" w:rsidRPr="00064185">
        <w:t>on rate (AR) is assessed to be 5</w:t>
      </w:r>
      <w:r w:rsidRPr="00064185">
        <w:t>.5</w:t>
      </w:r>
      <w:r w:rsidR="000F6B11" w:rsidRPr="00064185">
        <w:t>6</w:t>
      </w:r>
      <w:r w:rsidRPr="00064185">
        <w:t xml:space="preserve"> g/m². The scenario was adopted in terms of body weight according to the SOPs from the US-EPA (1997), a source which is cited by ConsExpo itself regarding the transfer coefficient. The dislodgeable floor residues can be estimated using the maximum value of </w:t>
      </w:r>
      <w:r w:rsidR="003A6D09" w:rsidRPr="00064185">
        <w:t xml:space="preserve">60% </w:t>
      </w:r>
      <w:r w:rsidRPr="00064185">
        <w:t>from various types of surface (TNsG 2007- Annex 6, p. 102) giving a dislodgeable residue of</w:t>
      </w:r>
      <w:r w:rsidR="003A6D09" w:rsidRPr="00064185">
        <w:t xml:space="preserve"> 1.67</w:t>
      </w:r>
      <w:r w:rsidRPr="00064185">
        <w:t xml:space="preserve"> mg a.s./m².</w:t>
      </w:r>
    </w:p>
    <w:p w14:paraId="1193E46B" w14:textId="77777777" w:rsidR="007C195C" w:rsidRPr="00064185" w:rsidRDefault="007C195C" w:rsidP="00403806">
      <w:pPr>
        <w:jc w:val="both"/>
      </w:pPr>
    </w:p>
    <w:p w14:paraId="71AE8C13" w14:textId="77777777" w:rsidR="00B47EA2" w:rsidRPr="00064185" w:rsidRDefault="00B47EA2" w:rsidP="00EA61D8">
      <w:pPr>
        <w:rPr>
          <w:u w:val="single"/>
        </w:rPr>
      </w:pPr>
    </w:p>
    <w:p w14:paraId="50409F60" w14:textId="77777777" w:rsidR="00454240" w:rsidRPr="00064185" w:rsidRDefault="00454240" w:rsidP="00EA61D8">
      <w:pPr>
        <w:rPr>
          <w:u w:val="single"/>
        </w:rPr>
      </w:pPr>
      <w:proofErr w:type="gramStart"/>
      <w:r w:rsidRPr="00064185">
        <w:rPr>
          <w:u w:val="single"/>
        </w:rPr>
        <w:t>Calculation of dislodgeable residue of a.s.</w:t>
      </w:r>
      <w:proofErr w:type="gramEnd"/>
    </w:p>
    <w:p w14:paraId="5A2F040F" w14:textId="77777777" w:rsidR="003A19B3" w:rsidRPr="00064185" w:rsidRDefault="003A19B3" w:rsidP="00EA61D8">
      <w:pPr>
        <w:rPr>
          <w:rFonts w:eastAsia="Calibri"/>
          <w:b/>
          <w:caps/>
          <w:lang w:eastAsia="en-US"/>
        </w:rPr>
      </w:pPr>
    </w:p>
    <w:tbl>
      <w:tblPr>
        <w:tblW w:w="5000" w:type="pct"/>
        <w:tblCellMar>
          <w:left w:w="70" w:type="dxa"/>
          <w:right w:w="70" w:type="dxa"/>
        </w:tblCellMar>
        <w:tblLook w:val="0000" w:firstRow="0" w:lastRow="0" w:firstColumn="0" w:lastColumn="0" w:noHBand="0" w:noVBand="0"/>
      </w:tblPr>
      <w:tblGrid>
        <w:gridCol w:w="4465"/>
        <w:gridCol w:w="3684"/>
        <w:gridCol w:w="1205"/>
      </w:tblGrid>
      <w:tr w:rsidR="00064185" w:rsidRPr="00064185" w14:paraId="24667F81" w14:textId="77777777" w:rsidTr="003A19B3">
        <w:trPr>
          <w:trHeight w:val="459"/>
        </w:trPr>
        <w:tc>
          <w:tcPr>
            <w:tcW w:w="2387" w:type="pct"/>
            <w:tcBorders>
              <w:top w:val="double" w:sz="4" w:space="0" w:color="auto"/>
              <w:left w:val="double" w:sz="4" w:space="0" w:color="auto"/>
              <w:bottom w:val="double" w:sz="4" w:space="0" w:color="auto"/>
              <w:right w:val="single" w:sz="4" w:space="0" w:color="auto"/>
            </w:tcBorders>
            <w:shd w:val="clear" w:color="auto" w:fill="auto"/>
            <w:noWrap/>
            <w:vAlign w:val="center"/>
          </w:tcPr>
          <w:p w14:paraId="58BB99A6" w14:textId="77777777" w:rsidR="00D94FCC" w:rsidRPr="00064185" w:rsidRDefault="00D94FCC" w:rsidP="00EA61D8">
            <w:pPr>
              <w:spacing w:before="40" w:after="80" w:line="288" w:lineRule="auto"/>
              <w:rPr>
                <w:b/>
              </w:rPr>
            </w:pPr>
            <w:bookmarkStart w:id="2143" w:name="_Toc389729191"/>
            <w:bookmarkStart w:id="2144" w:name="_Toc403472829"/>
            <w:r w:rsidRPr="00064185">
              <w:rPr>
                <w:b/>
              </w:rPr>
              <w:t>Parameter</w:t>
            </w:r>
          </w:p>
        </w:tc>
        <w:tc>
          <w:tcPr>
            <w:tcW w:w="1969" w:type="pct"/>
            <w:tcBorders>
              <w:top w:val="double" w:sz="4" w:space="0" w:color="auto"/>
              <w:left w:val="nil"/>
              <w:bottom w:val="double" w:sz="4" w:space="0" w:color="auto"/>
              <w:right w:val="single" w:sz="4" w:space="0" w:color="auto"/>
            </w:tcBorders>
            <w:vAlign w:val="center"/>
          </w:tcPr>
          <w:p w14:paraId="30026C38" w14:textId="77777777" w:rsidR="00D94FCC" w:rsidRPr="00064185" w:rsidRDefault="00D94FCC" w:rsidP="00EA61D8">
            <w:pPr>
              <w:spacing w:before="40" w:after="80" w:line="288" w:lineRule="auto"/>
              <w:rPr>
                <w:b/>
              </w:rPr>
            </w:pPr>
            <w:r w:rsidRPr="00064185">
              <w:rPr>
                <w:b/>
              </w:rPr>
              <w:t>Definition</w:t>
            </w:r>
          </w:p>
        </w:tc>
        <w:tc>
          <w:tcPr>
            <w:tcW w:w="644" w:type="pct"/>
            <w:tcBorders>
              <w:top w:val="double" w:sz="4" w:space="0" w:color="auto"/>
              <w:left w:val="nil"/>
              <w:bottom w:val="double" w:sz="4" w:space="0" w:color="auto"/>
              <w:right w:val="double" w:sz="4" w:space="0" w:color="auto"/>
            </w:tcBorders>
            <w:vAlign w:val="center"/>
          </w:tcPr>
          <w:p w14:paraId="67FE5DEF" w14:textId="77777777" w:rsidR="00D94FCC" w:rsidRPr="00064185" w:rsidRDefault="00D94FCC" w:rsidP="00EA61D8">
            <w:pPr>
              <w:spacing w:before="40" w:after="80" w:line="288" w:lineRule="auto"/>
              <w:rPr>
                <w:b/>
              </w:rPr>
            </w:pPr>
            <w:r w:rsidRPr="00064185">
              <w:rPr>
                <w:b/>
              </w:rPr>
              <w:t>Value</w:t>
            </w:r>
          </w:p>
        </w:tc>
      </w:tr>
      <w:tr w:rsidR="00064185" w:rsidRPr="00064185" w14:paraId="62070EC9" w14:textId="77777777" w:rsidTr="003A19B3">
        <w:trPr>
          <w:trHeight w:val="460"/>
        </w:trPr>
        <w:tc>
          <w:tcPr>
            <w:tcW w:w="2387" w:type="pct"/>
            <w:tcBorders>
              <w:top w:val="double" w:sz="4" w:space="0" w:color="auto"/>
              <w:left w:val="double" w:sz="4" w:space="0" w:color="auto"/>
              <w:bottom w:val="single" w:sz="4" w:space="0" w:color="auto"/>
              <w:right w:val="single" w:sz="4" w:space="0" w:color="auto"/>
            </w:tcBorders>
            <w:shd w:val="clear" w:color="auto" w:fill="auto"/>
            <w:vAlign w:val="center"/>
          </w:tcPr>
          <w:p w14:paraId="0B363E00" w14:textId="77777777" w:rsidR="00D94FCC" w:rsidRPr="00064185" w:rsidRDefault="00D94FCC" w:rsidP="00EA61D8">
            <w:pPr>
              <w:spacing w:before="40" w:after="80" w:line="288" w:lineRule="auto"/>
            </w:pPr>
            <w:r w:rsidRPr="00064185">
              <w:t>Effective application rate [g b.p./m²]</w:t>
            </w:r>
          </w:p>
        </w:tc>
        <w:tc>
          <w:tcPr>
            <w:tcW w:w="1969" w:type="pct"/>
            <w:tcBorders>
              <w:top w:val="double" w:sz="4" w:space="0" w:color="auto"/>
              <w:left w:val="single" w:sz="4" w:space="0" w:color="auto"/>
              <w:bottom w:val="single" w:sz="4" w:space="0" w:color="auto"/>
              <w:right w:val="single" w:sz="4" w:space="0" w:color="auto"/>
            </w:tcBorders>
            <w:vAlign w:val="center"/>
          </w:tcPr>
          <w:p w14:paraId="3AF53A13" w14:textId="77777777" w:rsidR="00D94FCC" w:rsidRPr="00064185" w:rsidRDefault="00D94FCC" w:rsidP="00EA61D8">
            <w:pPr>
              <w:spacing w:before="40" w:after="80" w:line="288" w:lineRule="auto"/>
            </w:pPr>
            <w:r w:rsidRPr="00064185">
              <w:t>AR</w:t>
            </w:r>
          </w:p>
        </w:tc>
        <w:tc>
          <w:tcPr>
            <w:tcW w:w="644" w:type="pct"/>
            <w:tcBorders>
              <w:top w:val="double" w:sz="4" w:space="0" w:color="auto"/>
              <w:left w:val="nil"/>
              <w:bottom w:val="single" w:sz="4" w:space="0" w:color="auto"/>
              <w:right w:val="double" w:sz="4" w:space="0" w:color="auto"/>
            </w:tcBorders>
            <w:vAlign w:val="center"/>
          </w:tcPr>
          <w:p w14:paraId="6CC1CDF5" w14:textId="43601BAD" w:rsidR="00D94FCC" w:rsidRPr="00064185" w:rsidRDefault="003A6D09" w:rsidP="00EA61D8">
            <w:pPr>
              <w:tabs>
                <w:tab w:val="decimal" w:pos="760"/>
              </w:tabs>
              <w:spacing w:before="40" w:after="80" w:line="288" w:lineRule="auto"/>
            </w:pPr>
            <w:r w:rsidRPr="00064185">
              <w:t>5.56</w:t>
            </w:r>
            <w:r w:rsidR="00490609" w:rsidRPr="00064185">
              <w:t>*</w:t>
            </w:r>
          </w:p>
        </w:tc>
      </w:tr>
      <w:tr w:rsidR="00064185" w:rsidRPr="00064185" w14:paraId="1CCD16AD" w14:textId="77777777" w:rsidTr="003A19B3">
        <w:trPr>
          <w:trHeight w:val="460"/>
        </w:trPr>
        <w:tc>
          <w:tcPr>
            <w:tcW w:w="2387" w:type="pct"/>
            <w:tcBorders>
              <w:top w:val="single" w:sz="4" w:space="0" w:color="auto"/>
              <w:left w:val="double" w:sz="4" w:space="0" w:color="auto"/>
              <w:bottom w:val="single" w:sz="4" w:space="0" w:color="auto"/>
              <w:right w:val="single" w:sz="4" w:space="0" w:color="auto"/>
            </w:tcBorders>
            <w:shd w:val="clear" w:color="auto" w:fill="auto"/>
            <w:vAlign w:val="center"/>
          </w:tcPr>
          <w:p w14:paraId="43CF2CAE" w14:textId="77777777" w:rsidR="00D94FCC" w:rsidRPr="00064185" w:rsidRDefault="00D94FCC" w:rsidP="00EA61D8">
            <w:pPr>
              <w:spacing w:before="40" w:after="80" w:line="288" w:lineRule="auto"/>
            </w:pPr>
            <w:r w:rsidRPr="00064185">
              <w:t>Transfer efficiency</w:t>
            </w:r>
            <w:r w:rsidR="003A19B3" w:rsidRPr="00064185">
              <w:t xml:space="preserve"> [%]</w:t>
            </w:r>
            <w:r w:rsidRPr="00064185">
              <w:t xml:space="preserve"> </w:t>
            </w:r>
          </w:p>
        </w:tc>
        <w:tc>
          <w:tcPr>
            <w:tcW w:w="1969" w:type="pct"/>
            <w:tcBorders>
              <w:top w:val="single" w:sz="4" w:space="0" w:color="auto"/>
              <w:left w:val="single" w:sz="4" w:space="0" w:color="auto"/>
              <w:bottom w:val="single" w:sz="4" w:space="0" w:color="auto"/>
              <w:right w:val="single" w:sz="4" w:space="0" w:color="auto"/>
            </w:tcBorders>
            <w:vAlign w:val="center"/>
          </w:tcPr>
          <w:p w14:paraId="7DF1EC1E" w14:textId="77777777" w:rsidR="00D94FCC" w:rsidRPr="00064185" w:rsidRDefault="00D94FCC" w:rsidP="00EA61D8">
            <w:pPr>
              <w:spacing w:before="40" w:after="80" w:line="288" w:lineRule="auto"/>
            </w:pPr>
            <w:r w:rsidRPr="00064185">
              <w:t>TE</w:t>
            </w:r>
          </w:p>
        </w:tc>
        <w:tc>
          <w:tcPr>
            <w:tcW w:w="644" w:type="pct"/>
            <w:tcBorders>
              <w:top w:val="single" w:sz="4" w:space="0" w:color="auto"/>
              <w:left w:val="nil"/>
              <w:bottom w:val="single" w:sz="4" w:space="0" w:color="auto"/>
              <w:right w:val="double" w:sz="4" w:space="0" w:color="auto"/>
            </w:tcBorders>
            <w:vAlign w:val="center"/>
          </w:tcPr>
          <w:p w14:paraId="44FC4418" w14:textId="4D4FA8E7" w:rsidR="00D94FCC" w:rsidRPr="00064185" w:rsidRDefault="00490609" w:rsidP="00EA61D8">
            <w:pPr>
              <w:tabs>
                <w:tab w:val="decimal" w:pos="640"/>
              </w:tabs>
              <w:spacing w:before="40" w:after="80" w:line="288" w:lineRule="auto"/>
            </w:pPr>
            <w:r w:rsidRPr="00064185">
              <w:t>60</w:t>
            </w:r>
          </w:p>
        </w:tc>
      </w:tr>
      <w:tr w:rsidR="00064185" w:rsidRPr="00064185" w14:paraId="32820F39" w14:textId="77777777" w:rsidTr="003A19B3">
        <w:trPr>
          <w:trHeight w:val="460"/>
        </w:trPr>
        <w:tc>
          <w:tcPr>
            <w:tcW w:w="2387" w:type="pct"/>
            <w:tcBorders>
              <w:top w:val="single" w:sz="4" w:space="0" w:color="auto"/>
              <w:left w:val="double" w:sz="4" w:space="0" w:color="auto"/>
              <w:bottom w:val="double" w:sz="4" w:space="0" w:color="auto"/>
              <w:right w:val="single" w:sz="4" w:space="0" w:color="auto"/>
            </w:tcBorders>
            <w:shd w:val="clear" w:color="auto" w:fill="auto"/>
            <w:vAlign w:val="center"/>
          </w:tcPr>
          <w:p w14:paraId="02EBA90B" w14:textId="77777777" w:rsidR="00D94FCC" w:rsidRPr="00064185" w:rsidRDefault="00D94FCC" w:rsidP="00EA61D8">
            <w:pPr>
              <w:spacing w:before="40" w:after="80" w:line="288" w:lineRule="auto"/>
            </w:pPr>
            <w:r w:rsidRPr="00064185">
              <w:t>Concentration of a.s. in b.p. (w/w)</w:t>
            </w:r>
            <w:r w:rsidR="003A19B3" w:rsidRPr="00064185">
              <w:t xml:space="preserve"> [%]</w:t>
            </w:r>
          </w:p>
        </w:tc>
        <w:tc>
          <w:tcPr>
            <w:tcW w:w="1969" w:type="pct"/>
            <w:tcBorders>
              <w:top w:val="single" w:sz="4" w:space="0" w:color="auto"/>
              <w:left w:val="single" w:sz="4" w:space="0" w:color="auto"/>
              <w:bottom w:val="double" w:sz="4" w:space="0" w:color="auto"/>
              <w:right w:val="single" w:sz="4" w:space="0" w:color="auto"/>
            </w:tcBorders>
            <w:vAlign w:val="center"/>
          </w:tcPr>
          <w:p w14:paraId="25C0B555" w14:textId="77777777" w:rsidR="00D94FCC" w:rsidRPr="00064185" w:rsidRDefault="00D94FCC" w:rsidP="00EA61D8">
            <w:pPr>
              <w:spacing w:before="40" w:after="80" w:line="288" w:lineRule="auto"/>
            </w:pPr>
            <w:r w:rsidRPr="00064185">
              <w:t>C</w:t>
            </w:r>
          </w:p>
        </w:tc>
        <w:tc>
          <w:tcPr>
            <w:tcW w:w="644" w:type="pct"/>
            <w:tcBorders>
              <w:top w:val="single" w:sz="4" w:space="0" w:color="auto"/>
              <w:left w:val="nil"/>
              <w:bottom w:val="double" w:sz="4" w:space="0" w:color="auto"/>
              <w:right w:val="double" w:sz="4" w:space="0" w:color="auto"/>
            </w:tcBorders>
            <w:vAlign w:val="center"/>
          </w:tcPr>
          <w:p w14:paraId="6CF94968" w14:textId="77777777" w:rsidR="00D94FCC" w:rsidRPr="00064185" w:rsidRDefault="00D94FCC" w:rsidP="00EA61D8">
            <w:pPr>
              <w:tabs>
                <w:tab w:val="decimal" w:pos="760"/>
              </w:tabs>
              <w:spacing w:before="40" w:after="80" w:line="288" w:lineRule="auto"/>
            </w:pPr>
            <w:r w:rsidRPr="00064185">
              <w:t>0.05</w:t>
            </w:r>
          </w:p>
        </w:tc>
      </w:tr>
      <w:tr w:rsidR="00064185" w:rsidRPr="00064185" w14:paraId="28DC45FB" w14:textId="77777777" w:rsidTr="003A19B3">
        <w:trPr>
          <w:trHeight w:val="460"/>
        </w:trPr>
        <w:tc>
          <w:tcPr>
            <w:tcW w:w="2387" w:type="pct"/>
            <w:tcBorders>
              <w:top w:val="double" w:sz="4" w:space="0" w:color="auto"/>
              <w:left w:val="double" w:sz="4" w:space="0" w:color="auto"/>
              <w:bottom w:val="double" w:sz="4" w:space="0" w:color="auto"/>
              <w:right w:val="single" w:sz="4" w:space="0" w:color="auto"/>
            </w:tcBorders>
            <w:shd w:val="clear" w:color="auto" w:fill="auto"/>
            <w:vAlign w:val="center"/>
          </w:tcPr>
          <w:p w14:paraId="428EBBAC" w14:textId="77777777" w:rsidR="00D94FCC" w:rsidRPr="00064185" w:rsidRDefault="00D94FCC" w:rsidP="00EA61D8">
            <w:pPr>
              <w:spacing w:before="40" w:after="80" w:line="288" w:lineRule="auto"/>
            </w:pPr>
            <w:r w:rsidRPr="00064185">
              <w:t>Dislodgeable residue [mg a.s./m²]</w:t>
            </w:r>
          </w:p>
        </w:tc>
        <w:tc>
          <w:tcPr>
            <w:tcW w:w="1969" w:type="pct"/>
            <w:tcBorders>
              <w:top w:val="double" w:sz="4" w:space="0" w:color="auto"/>
              <w:left w:val="single" w:sz="4" w:space="0" w:color="auto"/>
              <w:bottom w:val="double" w:sz="4" w:space="0" w:color="auto"/>
              <w:right w:val="single" w:sz="4" w:space="0" w:color="auto"/>
            </w:tcBorders>
            <w:vAlign w:val="center"/>
          </w:tcPr>
          <w:p w14:paraId="78C297A3" w14:textId="77777777" w:rsidR="00D94FCC" w:rsidRPr="00064185" w:rsidRDefault="00D94FCC" w:rsidP="00EA61D8">
            <w:pPr>
              <w:spacing w:before="40" w:after="80" w:line="288" w:lineRule="auto"/>
            </w:pPr>
            <w:r w:rsidRPr="00064185">
              <w:t>DR = A × EA × TE × C</w:t>
            </w:r>
          </w:p>
        </w:tc>
        <w:tc>
          <w:tcPr>
            <w:tcW w:w="644" w:type="pct"/>
            <w:tcBorders>
              <w:top w:val="double" w:sz="4" w:space="0" w:color="auto"/>
              <w:left w:val="nil"/>
              <w:bottom w:val="double" w:sz="4" w:space="0" w:color="auto"/>
              <w:right w:val="double" w:sz="4" w:space="0" w:color="auto"/>
            </w:tcBorders>
            <w:vAlign w:val="center"/>
          </w:tcPr>
          <w:p w14:paraId="5C404678" w14:textId="7BD13CAD" w:rsidR="00D94FCC" w:rsidRPr="00064185" w:rsidRDefault="003A6D09" w:rsidP="00EA61D8">
            <w:pPr>
              <w:tabs>
                <w:tab w:val="decimal" w:pos="760"/>
              </w:tabs>
              <w:spacing w:before="40" w:after="80" w:line="288" w:lineRule="auto"/>
            </w:pPr>
            <w:r w:rsidRPr="00064185">
              <w:t>1.67</w:t>
            </w:r>
          </w:p>
        </w:tc>
      </w:tr>
    </w:tbl>
    <w:p w14:paraId="78B4729D" w14:textId="380A69FA" w:rsidR="00490609" w:rsidRPr="00064185" w:rsidRDefault="00490609" w:rsidP="00EA61D8">
      <w:pPr>
        <w:keepNext/>
        <w:tabs>
          <w:tab w:val="left" w:pos="1260"/>
        </w:tabs>
        <w:spacing w:before="40" w:after="80" w:line="288" w:lineRule="auto"/>
        <w:rPr>
          <w:rFonts w:asciiTheme="minorHAnsi" w:hAnsiTheme="minorHAnsi" w:cs="Arial"/>
          <w:bCs/>
          <w:iCs/>
          <w:sz w:val="18"/>
          <w:szCs w:val="18"/>
        </w:rPr>
      </w:pPr>
      <w:r w:rsidRPr="00064185">
        <w:rPr>
          <w:rFonts w:asciiTheme="minorHAnsi" w:hAnsiTheme="minorHAnsi" w:cs="Arial"/>
          <w:bCs/>
          <w:iCs/>
          <w:sz w:val="18"/>
          <w:szCs w:val="18"/>
        </w:rPr>
        <w:t>*</w:t>
      </w:r>
      <w:r w:rsidR="003A6D09" w:rsidRPr="00064185">
        <w:rPr>
          <w:rFonts w:asciiTheme="minorHAnsi" w:eastAsiaTheme="minorHAnsi" w:hAnsiTheme="minorHAnsi" w:cstheme="minorBidi"/>
          <w:sz w:val="22"/>
          <w:szCs w:val="22"/>
          <w:lang w:val="en-US" w:eastAsia="en-US"/>
        </w:rPr>
        <w:t xml:space="preserve"> </w:t>
      </w:r>
      <w:proofErr w:type="gramStart"/>
      <w:r w:rsidR="003A6D09" w:rsidRPr="00064185">
        <w:rPr>
          <w:rFonts w:asciiTheme="minorHAnsi" w:eastAsiaTheme="minorHAnsi" w:hAnsiTheme="minorHAnsi" w:cstheme="minorBidi"/>
          <w:sz w:val="22"/>
          <w:szCs w:val="22"/>
          <w:lang w:val="en-US" w:eastAsia="en-US"/>
        </w:rPr>
        <w:t>application</w:t>
      </w:r>
      <w:proofErr w:type="gramEnd"/>
      <w:r w:rsidR="003A6D09" w:rsidRPr="00064185">
        <w:rPr>
          <w:rFonts w:asciiTheme="minorHAnsi" w:eastAsiaTheme="minorHAnsi" w:hAnsiTheme="minorHAnsi" w:cstheme="minorBidi"/>
          <w:sz w:val="22"/>
          <w:szCs w:val="22"/>
          <w:lang w:val="en-US" w:eastAsia="en-US"/>
        </w:rPr>
        <w:t xml:space="preserve"> rate of 44.5</w:t>
      </w:r>
      <w:r w:rsidRPr="00064185">
        <w:rPr>
          <w:rFonts w:asciiTheme="minorHAnsi" w:eastAsiaTheme="minorHAnsi" w:hAnsiTheme="minorHAnsi" w:cstheme="minorBidi"/>
          <w:sz w:val="22"/>
          <w:szCs w:val="22"/>
          <w:lang w:val="en-US" w:eastAsia="en-US"/>
        </w:rPr>
        <w:t xml:space="preserve"> g/m</w:t>
      </w:r>
      <w:r w:rsidRPr="00064185">
        <w:rPr>
          <w:rFonts w:asciiTheme="minorHAnsi" w:eastAsiaTheme="minorHAnsi" w:hAnsiTheme="minorHAnsi" w:cstheme="minorBidi"/>
          <w:sz w:val="22"/>
          <w:szCs w:val="22"/>
          <w:vertAlign w:val="superscript"/>
          <w:lang w:val="en-US" w:eastAsia="en-US"/>
        </w:rPr>
        <w:t>2</w:t>
      </w:r>
      <w:r w:rsidRPr="00064185">
        <w:rPr>
          <w:rFonts w:asciiTheme="minorHAnsi" w:eastAsiaTheme="minorHAnsi" w:hAnsiTheme="minorHAnsi" w:cstheme="minorBidi"/>
          <w:sz w:val="22"/>
          <w:szCs w:val="22"/>
          <w:lang w:val="en-US" w:eastAsia="en-US"/>
        </w:rPr>
        <w:t xml:space="preserve"> (as established in the document on application rates) divided by the surface area of 8 m</w:t>
      </w:r>
      <w:r w:rsidRPr="00064185">
        <w:rPr>
          <w:rFonts w:asciiTheme="minorHAnsi" w:eastAsiaTheme="minorHAnsi" w:hAnsiTheme="minorHAnsi" w:cstheme="minorBidi"/>
          <w:sz w:val="22"/>
          <w:szCs w:val="22"/>
          <w:vertAlign w:val="superscript"/>
          <w:lang w:val="en-US" w:eastAsia="en-US"/>
        </w:rPr>
        <w:t>2</w:t>
      </w:r>
      <w:r w:rsidRPr="00064185">
        <w:rPr>
          <w:rFonts w:asciiTheme="minorHAnsi" w:eastAsiaTheme="minorHAnsi" w:hAnsiTheme="minorHAnsi" w:cstheme="minorBidi"/>
          <w:sz w:val="22"/>
          <w:szCs w:val="22"/>
          <w:lang w:val="en-US" w:eastAsia="en-US"/>
        </w:rPr>
        <w:t xml:space="preserve"> as done in the PAR. </w:t>
      </w:r>
    </w:p>
    <w:p w14:paraId="2575869A" w14:textId="77777777" w:rsidR="00D94FCC" w:rsidRPr="00064185" w:rsidRDefault="00D94FCC" w:rsidP="00EA61D8">
      <w:pPr>
        <w:pStyle w:val="Absatz"/>
        <w:ind w:left="0"/>
        <w:rPr>
          <w:rFonts w:ascii="Verdana" w:eastAsia="Calibri" w:hAnsi="Verdana"/>
          <w:b/>
          <w:caps/>
          <w:lang w:eastAsia="en-US"/>
        </w:rPr>
      </w:pPr>
    </w:p>
    <w:p w14:paraId="28B9824F" w14:textId="77777777" w:rsidR="00B47EA2" w:rsidRPr="00064185" w:rsidRDefault="00B47EA2" w:rsidP="00EA61D8">
      <w:pPr>
        <w:rPr>
          <w:rFonts w:eastAsia="Calibri"/>
          <w:u w:val="single"/>
          <w:lang w:eastAsia="en-US"/>
        </w:rPr>
      </w:pPr>
    </w:p>
    <w:p w14:paraId="6FC8EBA9" w14:textId="77777777" w:rsidR="00D94FCC" w:rsidRPr="00064185" w:rsidRDefault="00D94FCC" w:rsidP="00EA61D8">
      <w:pPr>
        <w:rPr>
          <w:rFonts w:eastAsia="Calibri"/>
          <w:u w:val="single"/>
          <w:lang w:eastAsia="en-US"/>
        </w:rPr>
      </w:pPr>
      <w:r w:rsidRPr="00064185">
        <w:rPr>
          <w:rFonts w:eastAsia="Calibri"/>
          <w:u w:val="single"/>
          <w:lang w:eastAsia="en-US"/>
        </w:rPr>
        <w:t>Dermal exposure of children via treated surfaces</w:t>
      </w:r>
    </w:p>
    <w:p w14:paraId="0A059FDE" w14:textId="77777777" w:rsidR="003A19B3" w:rsidRPr="00064185" w:rsidRDefault="003A19B3" w:rsidP="00EA61D8">
      <w:pPr>
        <w:rPr>
          <w:rFonts w:eastAsia="Calibri"/>
          <w:lang w:eastAsia="en-US"/>
        </w:rPr>
      </w:pPr>
    </w:p>
    <w:tbl>
      <w:tblPr>
        <w:tblW w:w="5000" w:type="pct"/>
        <w:tblCellMar>
          <w:left w:w="70" w:type="dxa"/>
          <w:right w:w="70" w:type="dxa"/>
        </w:tblCellMar>
        <w:tblLook w:val="0000" w:firstRow="0" w:lastRow="0" w:firstColumn="0" w:lastColumn="0" w:noHBand="0" w:noVBand="0"/>
      </w:tblPr>
      <w:tblGrid>
        <w:gridCol w:w="4465"/>
        <w:gridCol w:w="3665"/>
        <w:gridCol w:w="1224"/>
      </w:tblGrid>
      <w:tr w:rsidR="00064185" w:rsidRPr="00064185" w14:paraId="1BB0AAA4" w14:textId="77777777" w:rsidTr="003A19B3">
        <w:trPr>
          <w:trHeight w:val="396"/>
        </w:trPr>
        <w:tc>
          <w:tcPr>
            <w:tcW w:w="2387" w:type="pct"/>
            <w:tcBorders>
              <w:top w:val="double" w:sz="4" w:space="0" w:color="auto"/>
              <w:left w:val="double" w:sz="4" w:space="0" w:color="auto"/>
              <w:bottom w:val="double" w:sz="4" w:space="0" w:color="auto"/>
              <w:right w:val="single" w:sz="4" w:space="0" w:color="auto"/>
            </w:tcBorders>
            <w:shd w:val="clear" w:color="auto" w:fill="auto"/>
            <w:noWrap/>
            <w:vAlign w:val="center"/>
          </w:tcPr>
          <w:p w14:paraId="14D2C9AA" w14:textId="77777777" w:rsidR="00D94FCC" w:rsidRPr="00064185" w:rsidRDefault="00D94FCC" w:rsidP="00EA61D8">
            <w:pPr>
              <w:keepNext/>
              <w:spacing w:before="40" w:after="60"/>
              <w:rPr>
                <w:b/>
              </w:rPr>
            </w:pPr>
            <w:r w:rsidRPr="00064185">
              <w:rPr>
                <w:b/>
              </w:rPr>
              <w:t>Parameter</w:t>
            </w:r>
          </w:p>
        </w:tc>
        <w:tc>
          <w:tcPr>
            <w:tcW w:w="1959" w:type="pct"/>
            <w:tcBorders>
              <w:top w:val="double" w:sz="4" w:space="0" w:color="auto"/>
              <w:left w:val="nil"/>
              <w:bottom w:val="double" w:sz="4" w:space="0" w:color="auto"/>
              <w:right w:val="single" w:sz="4" w:space="0" w:color="auto"/>
            </w:tcBorders>
            <w:vAlign w:val="center"/>
          </w:tcPr>
          <w:p w14:paraId="758F3334" w14:textId="77777777" w:rsidR="00D94FCC" w:rsidRPr="00064185" w:rsidRDefault="00D94FCC" w:rsidP="00EA61D8">
            <w:pPr>
              <w:keepNext/>
              <w:spacing w:before="40" w:after="60"/>
              <w:rPr>
                <w:b/>
              </w:rPr>
            </w:pPr>
            <w:r w:rsidRPr="00064185">
              <w:rPr>
                <w:b/>
              </w:rPr>
              <w:t>Definition</w:t>
            </w:r>
          </w:p>
        </w:tc>
        <w:tc>
          <w:tcPr>
            <w:tcW w:w="654" w:type="pct"/>
            <w:tcBorders>
              <w:top w:val="double" w:sz="4" w:space="0" w:color="auto"/>
              <w:left w:val="nil"/>
              <w:bottom w:val="double" w:sz="4" w:space="0" w:color="auto"/>
              <w:right w:val="double" w:sz="4" w:space="0" w:color="auto"/>
            </w:tcBorders>
            <w:vAlign w:val="center"/>
          </w:tcPr>
          <w:p w14:paraId="11AC57CA" w14:textId="77777777" w:rsidR="00D94FCC" w:rsidRPr="00064185" w:rsidRDefault="00D94FCC" w:rsidP="00EA61D8">
            <w:pPr>
              <w:keepNext/>
              <w:spacing w:before="40" w:after="60"/>
              <w:rPr>
                <w:b/>
              </w:rPr>
            </w:pPr>
            <w:r w:rsidRPr="00064185">
              <w:rPr>
                <w:b/>
              </w:rPr>
              <w:t>Value</w:t>
            </w:r>
          </w:p>
        </w:tc>
      </w:tr>
      <w:tr w:rsidR="00064185" w:rsidRPr="00064185" w14:paraId="2F7A497C" w14:textId="77777777" w:rsidTr="003A19B3">
        <w:trPr>
          <w:trHeight w:val="396"/>
        </w:trPr>
        <w:tc>
          <w:tcPr>
            <w:tcW w:w="2387" w:type="pct"/>
            <w:tcBorders>
              <w:top w:val="double" w:sz="4" w:space="0" w:color="auto"/>
              <w:left w:val="double" w:sz="4" w:space="0" w:color="auto"/>
              <w:bottom w:val="single" w:sz="4" w:space="0" w:color="auto"/>
              <w:right w:val="single" w:sz="4" w:space="0" w:color="auto"/>
            </w:tcBorders>
            <w:shd w:val="clear" w:color="auto" w:fill="auto"/>
            <w:vAlign w:val="center"/>
          </w:tcPr>
          <w:p w14:paraId="638F0947" w14:textId="77777777" w:rsidR="00D94FCC" w:rsidRPr="00064185" w:rsidRDefault="00D94FCC" w:rsidP="00EA61D8">
            <w:pPr>
              <w:keepNext/>
              <w:spacing w:before="40" w:after="60"/>
            </w:pPr>
            <w:r w:rsidRPr="00064185">
              <w:t>Dislodgeable residue [mg a.s./m²]</w:t>
            </w:r>
          </w:p>
        </w:tc>
        <w:tc>
          <w:tcPr>
            <w:tcW w:w="1959" w:type="pct"/>
            <w:tcBorders>
              <w:top w:val="double" w:sz="4" w:space="0" w:color="auto"/>
              <w:left w:val="single" w:sz="4" w:space="0" w:color="auto"/>
              <w:bottom w:val="single" w:sz="4" w:space="0" w:color="auto"/>
              <w:right w:val="single" w:sz="4" w:space="0" w:color="auto"/>
            </w:tcBorders>
            <w:vAlign w:val="center"/>
          </w:tcPr>
          <w:p w14:paraId="0163CF60" w14:textId="77777777" w:rsidR="00D94FCC" w:rsidRPr="00064185" w:rsidRDefault="00D94FCC" w:rsidP="00EA61D8">
            <w:pPr>
              <w:keepNext/>
              <w:spacing w:before="40" w:after="60"/>
            </w:pPr>
            <w:r w:rsidRPr="00064185">
              <w:t>DR</w:t>
            </w:r>
          </w:p>
        </w:tc>
        <w:tc>
          <w:tcPr>
            <w:tcW w:w="654" w:type="pct"/>
            <w:tcBorders>
              <w:top w:val="double" w:sz="4" w:space="0" w:color="auto"/>
              <w:left w:val="nil"/>
              <w:bottom w:val="single" w:sz="4" w:space="0" w:color="auto"/>
              <w:right w:val="double" w:sz="4" w:space="0" w:color="auto"/>
            </w:tcBorders>
            <w:vAlign w:val="center"/>
          </w:tcPr>
          <w:p w14:paraId="6D173C89" w14:textId="095C8C1B" w:rsidR="00D94FCC" w:rsidRPr="00064185" w:rsidRDefault="003A6D09" w:rsidP="00EA61D8">
            <w:pPr>
              <w:keepNext/>
              <w:spacing w:before="40" w:after="60"/>
            </w:pPr>
            <w:r w:rsidRPr="00064185">
              <w:t>1.67</w:t>
            </w:r>
          </w:p>
        </w:tc>
      </w:tr>
      <w:tr w:rsidR="00064185" w:rsidRPr="00064185" w14:paraId="4DDADF41" w14:textId="77777777" w:rsidTr="003A19B3">
        <w:trPr>
          <w:trHeight w:val="396"/>
        </w:trPr>
        <w:tc>
          <w:tcPr>
            <w:tcW w:w="2387" w:type="pct"/>
            <w:tcBorders>
              <w:top w:val="single" w:sz="4" w:space="0" w:color="auto"/>
              <w:left w:val="double" w:sz="4" w:space="0" w:color="auto"/>
              <w:bottom w:val="single" w:sz="4" w:space="0" w:color="auto"/>
              <w:right w:val="single" w:sz="4" w:space="0" w:color="auto"/>
            </w:tcBorders>
            <w:shd w:val="clear" w:color="auto" w:fill="auto"/>
            <w:vAlign w:val="center"/>
          </w:tcPr>
          <w:p w14:paraId="0161E6DA" w14:textId="77777777" w:rsidR="00D94FCC" w:rsidRPr="00064185" w:rsidRDefault="00D94FCC" w:rsidP="00EA61D8">
            <w:pPr>
              <w:keepNext/>
              <w:spacing w:before="40" w:after="60"/>
            </w:pPr>
            <w:r w:rsidRPr="00064185">
              <w:t>Transfer coefficient [m²/h]</w:t>
            </w:r>
          </w:p>
        </w:tc>
        <w:tc>
          <w:tcPr>
            <w:tcW w:w="1959" w:type="pct"/>
            <w:tcBorders>
              <w:top w:val="single" w:sz="4" w:space="0" w:color="auto"/>
              <w:left w:val="single" w:sz="4" w:space="0" w:color="auto"/>
              <w:bottom w:val="single" w:sz="4" w:space="0" w:color="auto"/>
              <w:right w:val="single" w:sz="4" w:space="0" w:color="auto"/>
            </w:tcBorders>
            <w:vAlign w:val="center"/>
          </w:tcPr>
          <w:p w14:paraId="23E1F3A4" w14:textId="77777777" w:rsidR="00D94FCC" w:rsidRPr="00064185" w:rsidRDefault="00D94FCC" w:rsidP="00EA61D8">
            <w:pPr>
              <w:keepNext/>
              <w:spacing w:before="40" w:after="60"/>
            </w:pPr>
            <w:r w:rsidRPr="00064185">
              <w:t>TC</w:t>
            </w:r>
          </w:p>
        </w:tc>
        <w:tc>
          <w:tcPr>
            <w:tcW w:w="654" w:type="pct"/>
            <w:tcBorders>
              <w:top w:val="single" w:sz="4" w:space="0" w:color="auto"/>
              <w:left w:val="nil"/>
              <w:bottom w:val="single" w:sz="4" w:space="0" w:color="auto"/>
              <w:right w:val="double" w:sz="4" w:space="0" w:color="auto"/>
            </w:tcBorders>
            <w:vAlign w:val="center"/>
          </w:tcPr>
          <w:p w14:paraId="2E4CA822" w14:textId="5D279497" w:rsidR="00D94FCC" w:rsidRPr="00064185" w:rsidRDefault="00F50DEC" w:rsidP="00EA61D8">
            <w:pPr>
              <w:keepNext/>
              <w:spacing w:before="40" w:after="60"/>
            </w:pPr>
            <w:r w:rsidRPr="00064185">
              <w:t>0.2</w:t>
            </w:r>
          </w:p>
        </w:tc>
      </w:tr>
      <w:tr w:rsidR="00064185" w:rsidRPr="00064185" w14:paraId="29A90B7F" w14:textId="77777777" w:rsidTr="003A19B3">
        <w:trPr>
          <w:trHeight w:val="396"/>
        </w:trPr>
        <w:tc>
          <w:tcPr>
            <w:tcW w:w="2387" w:type="pct"/>
            <w:tcBorders>
              <w:top w:val="single" w:sz="4" w:space="0" w:color="auto"/>
              <w:left w:val="double" w:sz="4" w:space="0" w:color="auto"/>
              <w:bottom w:val="single" w:sz="4" w:space="0" w:color="auto"/>
              <w:right w:val="single" w:sz="4" w:space="0" w:color="auto"/>
            </w:tcBorders>
            <w:shd w:val="clear" w:color="auto" w:fill="auto"/>
            <w:vAlign w:val="center"/>
          </w:tcPr>
          <w:p w14:paraId="60B399F7" w14:textId="77777777" w:rsidR="00D94FCC" w:rsidRPr="00064185" w:rsidRDefault="00D94FCC" w:rsidP="00EA61D8">
            <w:pPr>
              <w:keepNext/>
              <w:spacing w:before="40" w:after="60"/>
            </w:pPr>
            <w:r w:rsidRPr="00064185">
              <w:t>Contact duration [h/day]</w:t>
            </w:r>
          </w:p>
        </w:tc>
        <w:tc>
          <w:tcPr>
            <w:tcW w:w="1959" w:type="pct"/>
            <w:tcBorders>
              <w:top w:val="single" w:sz="4" w:space="0" w:color="auto"/>
              <w:left w:val="single" w:sz="4" w:space="0" w:color="auto"/>
              <w:bottom w:val="single" w:sz="4" w:space="0" w:color="auto"/>
              <w:right w:val="single" w:sz="4" w:space="0" w:color="auto"/>
            </w:tcBorders>
            <w:vAlign w:val="center"/>
          </w:tcPr>
          <w:p w14:paraId="652676B0" w14:textId="77777777" w:rsidR="00D94FCC" w:rsidRPr="00064185" w:rsidRDefault="00D94FCC" w:rsidP="00EA61D8">
            <w:pPr>
              <w:keepNext/>
              <w:spacing w:before="40" w:after="60"/>
            </w:pPr>
            <w:r w:rsidRPr="00064185">
              <w:t>T</w:t>
            </w:r>
          </w:p>
        </w:tc>
        <w:tc>
          <w:tcPr>
            <w:tcW w:w="654" w:type="pct"/>
            <w:tcBorders>
              <w:top w:val="single" w:sz="4" w:space="0" w:color="auto"/>
              <w:left w:val="nil"/>
              <w:bottom w:val="single" w:sz="4" w:space="0" w:color="auto"/>
              <w:right w:val="double" w:sz="4" w:space="0" w:color="auto"/>
            </w:tcBorders>
            <w:vAlign w:val="center"/>
          </w:tcPr>
          <w:p w14:paraId="0FA4359A" w14:textId="77777777" w:rsidR="00D94FCC" w:rsidRPr="00064185" w:rsidRDefault="00D94FCC" w:rsidP="00EA61D8">
            <w:pPr>
              <w:keepNext/>
              <w:spacing w:before="40" w:after="60"/>
            </w:pPr>
            <w:r w:rsidRPr="00064185">
              <w:t>1</w:t>
            </w:r>
          </w:p>
        </w:tc>
      </w:tr>
      <w:tr w:rsidR="00064185" w:rsidRPr="00064185" w14:paraId="18FA2100" w14:textId="77777777" w:rsidTr="003A19B3">
        <w:trPr>
          <w:trHeight w:val="396"/>
        </w:trPr>
        <w:tc>
          <w:tcPr>
            <w:tcW w:w="2387" w:type="pct"/>
            <w:tcBorders>
              <w:top w:val="single" w:sz="4" w:space="0" w:color="auto"/>
              <w:left w:val="double" w:sz="4" w:space="0" w:color="auto"/>
              <w:bottom w:val="single" w:sz="4" w:space="0" w:color="auto"/>
              <w:right w:val="single" w:sz="4" w:space="0" w:color="auto"/>
            </w:tcBorders>
            <w:shd w:val="clear" w:color="auto" w:fill="auto"/>
            <w:vAlign w:val="center"/>
          </w:tcPr>
          <w:p w14:paraId="552AC39A" w14:textId="77777777" w:rsidR="00D94FCC" w:rsidRPr="00064185" w:rsidRDefault="00D94FCC" w:rsidP="00EA61D8">
            <w:pPr>
              <w:keepNext/>
              <w:spacing w:before="40" w:after="60"/>
            </w:pPr>
            <w:r w:rsidRPr="00064185">
              <w:t>Dermal absorption [%]</w:t>
            </w:r>
          </w:p>
        </w:tc>
        <w:tc>
          <w:tcPr>
            <w:tcW w:w="1959" w:type="pct"/>
            <w:tcBorders>
              <w:top w:val="single" w:sz="4" w:space="0" w:color="auto"/>
              <w:left w:val="single" w:sz="4" w:space="0" w:color="auto"/>
              <w:bottom w:val="single" w:sz="4" w:space="0" w:color="auto"/>
              <w:right w:val="single" w:sz="4" w:space="0" w:color="auto"/>
            </w:tcBorders>
            <w:vAlign w:val="center"/>
          </w:tcPr>
          <w:p w14:paraId="649EDB30" w14:textId="77777777" w:rsidR="00D94FCC" w:rsidRPr="00064185" w:rsidRDefault="00D94FCC" w:rsidP="00EA61D8">
            <w:pPr>
              <w:keepNext/>
              <w:spacing w:before="40" w:after="60"/>
            </w:pPr>
            <w:r w:rsidRPr="00064185">
              <w:t>DA</w:t>
            </w:r>
          </w:p>
        </w:tc>
        <w:tc>
          <w:tcPr>
            <w:tcW w:w="654" w:type="pct"/>
            <w:tcBorders>
              <w:top w:val="single" w:sz="4" w:space="0" w:color="auto"/>
              <w:left w:val="nil"/>
              <w:bottom w:val="single" w:sz="4" w:space="0" w:color="auto"/>
              <w:right w:val="double" w:sz="4" w:space="0" w:color="auto"/>
            </w:tcBorders>
            <w:vAlign w:val="center"/>
          </w:tcPr>
          <w:p w14:paraId="3D4B9E06" w14:textId="77777777" w:rsidR="00D94FCC" w:rsidRPr="00064185" w:rsidRDefault="00D94FCC" w:rsidP="00EA61D8">
            <w:pPr>
              <w:keepNext/>
              <w:spacing w:before="40" w:after="60"/>
            </w:pPr>
            <w:r w:rsidRPr="00064185">
              <w:t>1</w:t>
            </w:r>
          </w:p>
        </w:tc>
      </w:tr>
      <w:tr w:rsidR="00064185" w:rsidRPr="00064185" w14:paraId="28E0FE0F" w14:textId="77777777" w:rsidTr="003A19B3">
        <w:trPr>
          <w:trHeight w:val="396"/>
        </w:trPr>
        <w:tc>
          <w:tcPr>
            <w:tcW w:w="2387" w:type="pct"/>
            <w:tcBorders>
              <w:top w:val="single" w:sz="4" w:space="0" w:color="auto"/>
              <w:left w:val="double" w:sz="4" w:space="0" w:color="auto"/>
              <w:bottom w:val="double" w:sz="4" w:space="0" w:color="auto"/>
              <w:right w:val="single" w:sz="4" w:space="0" w:color="auto"/>
            </w:tcBorders>
            <w:shd w:val="clear" w:color="auto" w:fill="auto"/>
            <w:vAlign w:val="center"/>
          </w:tcPr>
          <w:p w14:paraId="4ED0C827" w14:textId="77777777" w:rsidR="00D94FCC" w:rsidRPr="00064185" w:rsidRDefault="00D94FCC" w:rsidP="00EA61D8">
            <w:pPr>
              <w:keepNext/>
              <w:spacing w:before="40" w:after="60"/>
            </w:pPr>
            <w:r w:rsidRPr="00064185">
              <w:t>Body weight [kg]</w:t>
            </w:r>
          </w:p>
        </w:tc>
        <w:tc>
          <w:tcPr>
            <w:tcW w:w="1959" w:type="pct"/>
            <w:tcBorders>
              <w:top w:val="single" w:sz="4" w:space="0" w:color="auto"/>
              <w:left w:val="single" w:sz="4" w:space="0" w:color="auto"/>
              <w:bottom w:val="double" w:sz="4" w:space="0" w:color="auto"/>
              <w:right w:val="single" w:sz="4" w:space="0" w:color="auto"/>
            </w:tcBorders>
            <w:vAlign w:val="center"/>
          </w:tcPr>
          <w:p w14:paraId="3A9B6120" w14:textId="77777777" w:rsidR="00D94FCC" w:rsidRPr="00064185" w:rsidRDefault="00D94FCC" w:rsidP="00EA61D8">
            <w:pPr>
              <w:keepNext/>
              <w:spacing w:before="40" w:after="60"/>
            </w:pPr>
            <w:r w:rsidRPr="00064185">
              <w:t>BW</w:t>
            </w:r>
          </w:p>
        </w:tc>
        <w:tc>
          <w:tcPr>
            <w:tcW w:w="654" w:type="pct"/>
            <w:tcBorders>
              <w:top w:val="single" w:sz="4" w:space="0" w:color="auto"/>
              <w:left w:val="nil"/>
              <w:bottom w:val="double" w:sz="4" w:space="0" w:color="auto"/>
              <w:right w:val="double" w:sz="4" w:space="0" w:color="auto"/>
            </w:tcBorders>
            <w:vAlign w:val="center"/>
          </w:tcPr>
          <w:p w14:paraId="75E9E41C" w14:textId="77777777" w:rsidR="00D94FCC" w:rsidRPr="00064185" w:rsidRDefault="00D94FCC" w:rsidP="00EA61D8">
            <w:pPr>
              <w:keepNext/>
              <w:spacing w:before="40" w:after="60"/>
            </w:pPr>
            <w:r w:rsidRPr="00064185">
              <w:t>10</w:t>
            </w:r>
          </w:p>
        </w:tc>
      </w:tr>
      <w:tr w:rsidR="00CB32E6" w:rsidRPr="00064185" w14:paraId="25DDC11E" w14:textId="77777777" w:rsidTr="003A19B3">
        <w:trPr>
          <w:trHeight w:val="396"/>
        </w:trPr>
        <w:tc>
          <w:tcPr>
            <w:tcW w:w="2387" w:type="pct"/>
            <w:tcBorders>
              <w:top w:val="double" w:sz="4" w:space="0" w:color="auto"/>
              <w:left w:val="double" w:sz="4" w:space="0" w:color="auto"/>
              <w:bottom w:val="double" w:sz="4" w:space="0" w:color="auto"/>
              <w:right w:val="single" w:sz="4" w:space="0" w:color="auto"/>
            </w:tcBorders>
            <w:shd w:val="clear" w:color="auto" w:fill="auto"/>
            <w:vAlign w:val="center"/>
          </w:tcPr>
          <w:p w14:paraId="5A7F50E7" w14:textId="77777777" w:rsidR="00D94FCC" w:rsidRPr="00064185" w:rsidRDefault="00D94FCC" w:rsidP="00EA61D8">
            <w:pPr>
              <w:spacing w:before="40" w:after="60"/>
            </w:pPr>
            <w:r w:rsidRPr="00064185">
              <w:t>Systemic dermal exposure [mg/kg/day]</w:t>
            </w:r>
          </w:p>
        </w:tc>
        <w:tc>
          <w:tcPr>
            <w:tcW w:w="1959" w:type="pct"/>
            <w:tcBorders>
              <w:top w:val="double" w:sz="4" w:space="0" w:color="auto"/>
              <w:left w:val="single" w:sz="4" w:space="0" w:color="auto"/>
              <w:bottom w:val="double" w:sz="4" w:space="0" w:color="auto"/>
              <w:right w:val="single" w:sz="4" w:space="0" w:color="auto"/>
            </w:tcBorders>
            <w:vAlign w:val="center"/>
          </w:tcPr>
          <w:p w14:paraId="614F8462" w14:textId="77777777" w:rsidR="00D94FCC" w:rsidRPr="00064185" w:rsidRDefault="00D94FCC" w:rsidP="00EA61D8">
            <w:pPr>
              <w:spacing w:before="40" w:after="60"/>
              <w:rPr>
                <w:vertAlign w:val="superscript"/>
                <w:lang w:val="de-DE"/>
              </w:rPr>
            </w:pPr>
            <w:r w:rsidRPr="00064185">
              <w:rPr>
                <w:lang w:val="de-DE"/>
              </w:rPr>
              <w:t>I</w:t>
            </w:r>
            <w:r w:rsidRPr="00064185">
              <w:rPr>
                <w:vertAlign w:val="subscript"/>
                <w:lang w:val="de-DE"/>
              </w:rPr>
              <w:t>dermal</w:t>
            </w:r>
            <w:r w:rsidRPr="00064185">
              <w:rPr>
                <w:lang w:val="de-DE"/>
              </w:rPr>
              <w:t xml:space="preserve"> = DR × TC × T × DA × SRE × BW</w:t>
            </w:r>
            <w:r w:rsidRPr="00064185">
              <w:rPr>
                <w:vertAlign w:val="superscript"/>
                <w:lang w:val="de-DE"/>
              </w:rPr>
              <w:t>-1</w:t>
            </w:r>
          </w:p>
        </w:tc>
        <w:tc>
          <w:tcPr>
            <w:tcW w:w="654" w:type="pct"/>
            <w:tcBorders>
              <w:top w:val="double" w:sz="4" w:space="0" w:color="auto"/>
              <w:left w:val="nil"/>
              <w:bottom w:val="double" w:sz="4" w:space="0" w:color="auto"/>
              <w:right w:val="double" w:sz="4" w:space="0" w:color="auto"/>
            </w:tcBorders>
            <w:vAlign w:val="center"/>
          </w:tcPr>
          <w:p w14:paraId="429694F8" w14:textId="1340AC7A" w:rsidR="00D94FCC" w:rsidRPr="00064185" w:rsidRDefault="00A80C6D" w:rsidP="00EA61D8">
            <w:pPr>
              <w:keepNext/>
              <w:spacing w:before="40" w:after="60"/>
            </w:pPr>
            <w:r w:rsidRPr="00064185">
              <w:t>0.00</w:t>
            </w:r>
            <w:r w:rsidR="00F50DEC" w:rsidRPr="00064185">
              <w:t>033</w:t>
            </w:r>
            <w:r w:rsidR="004C0FB2" w:rsidRPr="00064185">
              <w:t>4</w:t>
            </w:r>
          </w:p>
        </w:tc>
      </w:tr>
    </w:tbl>
    <w:p w14:paraId="47465944" w14:textId="77777777" w:rsidR="00D94FCC" w:rsidRPr="00064185" w:rsidRDefault="00D94FCC" w:rsidP="00EA61D8">
      <w:pPr>
        <w:rPr>
          <w:rFonts w:eastAsia="Calibri"/>
          <w:lang w:eastAsia="en-US"/>
        </w:rPr>
      </w:pPr>
    </w:p>
    <w:p w14:paraId="70DB5679" w14:textId="77777777" w:rsidR="00303C8B" w:rsidRPr="00064185" w:rsidRDefault="00303C8B" w:rsidP="00EA61D8">
      <w:pPr>
        <w:rPr>
          <w:rFonts w:eastAsia="Calibri"/>
          <w:lang w:eastAsia="en-US"/>
        </w:rPr>
      </w:pPr>
    </w:p>
    <w:p w14:paraId="299158D1" w14:textId="77777777" w:rsidR="00D94FCC" w:rsidRPr="00064185" w:rsidRDefault="00D94FCC" w:rsidP="00403806">
      <w:pPr>
        <w:jc w:val="both"/>
        <w:rPr>
          <w:rFonts w:eastAsia="Calibri"/>
          <w:u w:val="single"/>
          <w:lang w:eastAsia="en-US"/>
        </w:rPr>
      </w:pPr>
      <w:r w:rsidRPr="00064185">
        <w:rPr>
          <w:rFonts w:eastAsia="Calibri"/>
          <w:u w:val="single"/>
          <w:lang w:eastAsia="en-US"/>
        </w:rPr>
        <w:t>Calculation of acute systemic exposure of infants via HTM contact</w:t>
      </w:r>
    </w:p>
    <w:p w14:paraId="48092351" w14:textId="77777777" w:rsidR="00303C8B" w:rsidRPr="00064185" w:rsidRDefault="00303C8B" w:rsidP="00403806">
      <w:pPr>
        <w:jc w:val="both"/>
        <w:rPr>
          <w:rFonts w:eastAsia="Calibri"/>
          <w:lang w:eastAsia="en-US"/>
        </w:rPr>
      </w:pPr>
    </w:p>
    <w:p w14:paraId="219CA8A7" w14:textId="77777777" w:rsidR="00303C8B" w:rsidRPr="00064185" w:rsidRDefault="00303C8B" w:rsidP="00403806">
      <w:pPr>
        <w:spacing w:before="40" w:after="80"/>
        <w:jc w:val="both"/>
      </w:pPr>
      <w:bookmarkStart w:id="2145" w:name="_Toc68518266"/>
      <w:r w:rsidRPr="00064185">
        <w:t xml:space="preserve">Small children exhibit a great deal of hand-to-mouth (HTM) contact. Therefore, a part of the </w:t>
      </w:r>
      <w:proofErr w:type="gramStart"/>
      <w:r w:rsidRPr="00064185">
        <w:t>a.s</w:t>
      </w:r>
      <w:proofErr w:type="gramEnd"/>
      <w:r w:rsidRPr="00064185">
        <w:t xml:space="preserve">. residues present on the hands will be dislodged by saliva and eventually ingested. To provide a realistic estimate of this exposure, data on the frequency and extent of HTM contact of small children was used for the exposure estimate. </w:t>
      </w:r>
    </w:p>
    <w:p w14:paraId="11FEDA6C" w14:textId="77777777" w:rsidR="00303C8B" w:rsidRPr="00064185" w:rsidRDefault="00303C8B" w:rsidP="00403806">
      <w:pPr>
        <w:spacing w:before="40" w:after="80"/>
        <w:jc w:val="both"/>
      </w:pPr>
      <w:r w:rsidRPr="00064185">
        <w:t>Observations of children by videotape and subsequent analyses have shown that the average hand area contacting the mouth is 4.5 cm² per mouthing event for 1-2-year olds (reviewed in HESI, 2004, see following table).</w:t>
      </w:r>
    </w:p>
    <w:p w14:paraId="790E2D35" w14:textId="77777777" w:rsidR="00303C8B" w:rsidRPr="00064185" w:rsidRDefault="00303C8B" w:rsidP="00EA61D8">
      <w:pPr>
        <w:spacing w:before="40" w:after="80"/>
      </w:pPr>
    </w:p>
    <w:p w14:paraId="04212556" w14:textId="77777777" w:rsidR="00303C8B" w:rsidRPr="00064185" w:rsidRDefault="00303C8B" w:rsidP="00EA61D8">
      <w:pPr>
        <w:spacing w:before="40" w:after="80"/>
      </w:pPr>
      <w:bookmarkStart w:id="2146" w:name="_Ref116463621"/>
      <w:r w:rsidRPr="00064185">
        <w:lastRenderedPageBreak/>
        <w:t>Table</w:t>
      </w:r>
      <w:bookmarkEnd w:id="2146"/>
      <w:r w:rsidRPr="00064185">
        <w:t>: Surface area contacting the mouth per event as a function of age</w:t>
      </w:r>
      <w:bookmarkEnd w:id="2145"/>
      <w:r w:rsidRPr="00064185">
        <w:t xml:space="preserve"> (from HESI, 2004)</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30"/>
        <w:gridCol w:w="3700"/>
        <w:gridCol w:w="3700"/>
      </w:tblGrid>
      <w:tr w:rsidR="00064185" w:rsidRPr="00064185" w14:paraId="77B737E4" w14:textId="77777777" w:rsidTr="000E4386">
        <w:trPr>
          <w:trHeight w:val="87"/>
          <w:jc w:val="center"/>
        </w:trPr>
        <w:tc>
          <w:tcPr>
            <w:tcW w:w="1076" w:type="pct"/>
            <w:vMerge w:val="restart"/>
            <w:tcBorders>
              <w:top w:val="double" w:sz="4" w:space="0" w:color="auto"/>
            </w:tcBorders>
            <w:vAlign w:val="center"/>
          </w:tcPr>
          <w:p w14:paraId="06A1F4D7" w14:textId="77777777" w:rsidR="00303C8B" w:rsidRPr="00064185" w:rsidRDefault="00303C8B" w:rsidP="00EA61D8">
            <w:pPr>
              <w:spacing w:before="40" w:after="80"/>
            </w:pPr>
            <w:r w:rsidRPr="00064185">
              <w:t>Age [years]</w:t>
            </w:r>
          </w:p>
        </w:tc>
        <w:tc>
          <w:tcPr>
            <w:tcW w:w="3924" w:type="pct"/>
            <w:gridSpan w:val="2"/>
            <w:tcBorders>
              <w:top w:val="double" w:sz="4" w:space="0" w:color="auto"/>
              <w:bottom w:val="nil"/>
            </w:tcBorders>
            <w:vAlign w:val="center"/>
          </w:tcPr>
          <w:p w14:paraId="0E3A901C" w14:textId="77777777" w:rsidR="00303C8B" w:rsidRPr="00064185" w:rsidRDefault="00303C8B" w:rsidP="00EA61D8">
            <w:pPr>
              <w:spacing w:before="40" w:after="80"/>
            </w:pPr>
            <w:r w:rsidRPr="00064185">
              <w:t>Hand area contacted per HTM event [cm²/event]</w:t>
            </w:r>
          </w:p>
        </w:tc>
      </w:tr>
      <w:tr w:rsidR="00064185" w:rsidRPr="00064185" w14:paraId="7216224A" w14:textId="77777777" w:rsidTr="000E4386">
        <w:trPr>
          <w:trHeight w:val="289"/>
          <w:jc w:val="center"/>
        </w:trPr>
        <w:tc>
          <w:tcPr>
            <w:tcW w:w="1076" w:type="pct"/>
            <w:vMerge/>
            <w:tcBorders>
              <w:bottom w:val="double" w:sz="4" w:space="0" w:color="auto"/>
            </w:tcBorders>
            <w:vAlign w:val="center"/>
          </w:tcPr>
          <w:p w14:paraId="4AE82F19" w14:textId="77777777" w:rsidR="00303C8B" w:rsidRPr="00064185" w:rsidRDefault="00303C8B" w:rsidP="00EA61D8">
            <w:pPr>
              <w:spacing w:before="40" w:after="80"/>
            </w:pPr>
          </w:p>
        </w:tc>
        <w:tc>
          <w:tcPr>
            <w:tcW w:w="1962" w:type="pct"/>
            <w:tcBorders>
              <w:top w:val="nil"/>
              <w:bottom w:val="double" w:sz="4" w:space="0" w:color="auto"/>
            </w:tcBorders>
            <w:vAlign w:val="center"/>
          </w:tcPr>
          <w:p w14:paraId="4863A2EE" w14:textId="77777777" w:rsidR="00303C8B" w:rsidRPr="00064185" w:rsidRDefault="00303C8B" w:rsidP="00EA61D8">
            <w:pPr>
              <w:spacing w:before="40" w:after="80"/>
            </w:pPr>
            <w:r w:rsidRPr="00064185">
              <w:t>Average</w:t>
            </w:r>
          </w:p>
        </w:tc>
        <w:tc>
          <w:tcPr>
            <w:tcW w:w="1962" w:type="pct"/>
            <w:tcBorders>
              <w:top w:val="nil"/>
              <w:bottom w:val="double" w:sz="4" w:space="0" w:color="auto"/>
            </w:tcBorders>
            <w:vAlign w:val="center"/>
          </w:tcPr>
          <w:p w14:paraId="316E5DED" w14:textId="77777777" w:rsidR="00303C8B" w:rsidRPr="00064185" w:rsidRDefault="00303C8B" w:rsidP="00EA61D8">
            <w:pPr>
              <w:spacing w:before="40" w:after="80"/>
            </w:pPr>
            <w:r w:rsidRPr="00064185">
              <w:t>Range</w:t>
            </w:r>
          </w:p>
        </w:tc>
      </w:tr>
      <w:tr w:rsidR="00064185" w:rsidRPr="00064185" w14:paraId="69207FC1" w14:textId="77777777" w:rsidTr="000E4386">
        <w:trPr>
          <w:trHeight w:val="289"/>
          <w:jc w:val="center"/>
        </w:trPr>
        <w:tc>
          <w:tcPr>
            <w:tcW w:w="1076" w:type="pct"/>
            <w:tcBorders>
              <w:top w:val="double" w:sz="4" w:space="0" w:color="auto"/>
            </w:tcBorders>
            <w:vAlign w:val="center"/>
          </w:tcPr>
          <w:p w14:paraId="562E5EE0" w14:textId="77777777" w:rsidR="00303C8B" w:rsidRPr="00064185" w:rsidRDefault="00303C8B" w:rsidP="00EA61D8">
            <w:pPr>
              <w:spacing w:before="40" w:after="80"/>
            </w:pPr>
            <w:r w:rsidRPr="00064185">
              <w:t>1</w:t>
            </w:r>
          </w:p>
        </w:tc>
        <w:tc>
          <w:tcPr>
            <w:tcW w:w="1962" w:type="pct"/>
            <w:tcBorders>
              <w:top w:val="double" w:sz="4" w:space="0" w:color="auto"/>
            </w:tcBorders>
            <w:vAlign w:val="center"/>
          </w:tcPr>
          <w:p w14:paraId="4BFAAA17" w14:textId="77777777" w:rsidR="00303C8B" w:rsidRPr="00064185" w:rsidRDefault="00303C8B" w:rsidP="00EA61D8">
            <w:pPr>
              <w:spacing w:before="40" w:after="80"/>
            </w:pPr>
            <w:r w:rsidRPr="00064185">
              <w:t>4.1</w:t>
            </w:r>
          </w:p>
        </w:tc>
        <w:tc>
          <w:tcPr>
            <w:tcW w:w="1962" w:type="pct"/>
            <w:tcBorders>
              <w:top w:val="double" w:sz="4" w:space="0" w:color="auto"/>
            </w:tcBorders>
            <w:vAlign w:val="center"/>
          </w:tcPr>
          <w:p w14:paraId="6A5C11B7" w14:textId="77777777" w:rsidR="00303C8B" w:rsidRPr="00064185" w:rsidRDefault="00303C8B" w:rsidP="00EA61D8">
            <w:pPr>
              <w:spacing w:before="40" w:after="80"/>
            </w:pPr>
            <w:r w:rsidRPr="00064185">
              <w:t>2.6 - 5.8</w:t>
            </w:r>
          </w:p>
        </w:tc>
      </w:tr>
      <w:tr w:rsidR="00064185" w:rsidRPr="00064185" w14:paraId="11C41A0D" w14:textId="77777777" w:rsidTr="000E4386">
        <w:trPr>
          <w:trHeight w:val="289"/>
          <w:jc w:val="center"/>
        </w:trPr>
        <w:tc>
          <w:tcPr>
            <w:tcW w:w="1076" w:type="pct"/>
            <w:vAlign w:val="center"/>
          </w:tcPr>
          <w:p w14:paraId="1ED20CFF" w14:textId="77777777" w:rsidR="00303C8B" w:rsidRPr="00064185" w:rsidRDefault="00303C8B" w:rsidP="00EA61D8">
            <w:pPr>
              <w:spacing w:before="40" w:after="80"/>
            </w:pPr>
            <w:r w:rsidRPr="00064185">
              <w:t>2</w:t>
            </w:r>
          </w:p>
        </w:tc>
        <w:tc>
          <w:tcPr>
            <w:tcW w:w="1962" w:type="pct"/>
            <w:vAlign w:val="center"/>
          </w:tcPr>
          <w:p w14:paraId="7B494C1A" w14:textId="77777777" w:rsidR="00303C8B" w:rsidRPr="00064185" w:rsidRDefault="00303C8B" w:rsidP="00EA61D8">
            <w:pPr>
              <w:spacing w:before="40" w:after="80"/>
            </w:pPr>
            <w:r w:rsidRPr="00064185">
              <w:t>4.9</w:t>
            </w:r>
          </w:p>
        </w:tc>
        <w:tc>
          <w:tcPr>
            <w:tcW w:w="1962" w:type="pct"/>
            <w:vAlign w:val="center"/>
          </w:tcPr>
          <w:p w14:paraId="45F98DDC" w14:textId="77777777" w:rsidR="00303C8B" w:rsidRPr="00064185" w:rsidRDefault="00303C8B" w:rsidP="00EA61D8">
            <w:pPr>
              <w:spacing w:before="40" w:after="80"/>
            </w:pPr>
            <w:r w:rsidRPr="00064185">
              <w:t>4.0 - 6.7</w:t>
            </w:r>
          </w:p>
        </w:tc>
      </w:tr>
      <w:tr w:rsidR="00064185" w:rsidRPr="00064185" w14:paraId="4BC12C2C" w14:textId="77777777" w:rsidTr="000E4386">
        <w:trPr>
          <w:trHeight w:val="289"/>
          <w:jc w:val="center"/>
        </w:trPr>
        <w:tc>
          <w:tcPr>
            <w:tcW w:w="1076" w:type="pct"/>
            <w:vAlign w:val="center"/>
          </w:tcPr>
          <w:p w14:paraId="2B281221" w14:textId="77777777" w:rsidR="00303C8B" w:rsidRPr="00064185" w:rsidRDefault="00303C8B" w:rsidP="00EA61D8">
            <w:pPr>
              <w:spacing w:before="40" w:after="80"/>
            </w:pPr>
            <w:r w:rsidRPr="00064185">
              <w:t>1 – 2</w:t>
            </w:r>
          </w:p>
        </w:tc>
        <w:tc>
          <w:tcPr>
            <w:tcW w:w="1962" w:type="pct"/>
            <w:vAlign w:val="center"/>
          </w:tcPr>
          <w:p w14:paraId="3B4C58AD" w14:textId="77777777" w:rsidR="00303C8B" w:rsidRPr="00064185" w:rsidRDefault="00303C8B" w:rsidP="00EA61D8">
            <w:pPr>
              <w:spacing w:before="40" w:after="80"/>
            </w:pPr>
            <w:r w:rsidRPr="00064185">
              <w:t>4.5</w:t>
            </w:r>
          </w:p>
        </w:tc>
        <w:tc>
          <w:tcPr>
            <w:tcW w:w="1962" w:type="pct"/>
            <w:vAlign w:val="center"/>
          </w:tcPr>
          <w:p w14:paraId="7AF2B2C5" w14:textId="77777777" w:rsidR="00303C8B" w:rsidRPr="00064185" w:rsidRDefault="00303C8B" w:rsidP="00EA61D8">
            <w:pPr>
              <w:spacing w:before="40" w:after="80"/>
            </w:pPr>
            <w:r w:rsidRPr="00064185">
              <w:t>2.6 - 6.7</w:t>
            </w:r>
          </w:p>
        </w:tc>
      </w:tr>
      <w:tr w:rsidR="00064185" w:rsidRPr="00064185" w14:paraId="4B888005" w14:textId="77777777" w:rsidTr="000E4386">
        <w:trPr>
          <w:trHeight w:val="289"/>
          <w:jc w:val="center"/>
        </w:trPr>
        <w:tc>
          <w:tcPr>
            <w:tcW w:w="1076" w:type="pct"/>
            <w:tcBorders>
              <w:top w:val="single" w:sz="4" w:space="0" w:color="auto"/>
              <w:left w:val="double" w:sz="4" w:space="0" w:color="auto"/>
              <w:bottom w:val="single" w:sz="4" w:space="0" w:color="auto"/>
              <w:right w:val="single" w:sz="4" w:space="0" w:color="auto"/>
            </w:tcBorders>
            <w:vAlign w:val="center"/>
          </w:tcPr>
          <w:p w14:paraId="4CC87085" w14:textId="77777777" w:rsidR="00303C8B" w:rsidRPr="00064185" w:rsidRDefault="00303C8B" w:rsidP="00EA61D8">
            <w:pPr>
              <w:spacing w:before="40" w:after="80"/>
            </w:pPr>
            <w:r w:rsidRPr="00064185">
              <w:t>3</w:t>
            </w:r>
          </w:p>
        </w:tc>
        <w:tc>
          <w:tcPr>
            <w:tcW w:w="1962" w:type="pct"/>
            <w:tcBorders>
              <w:top w:val="single" w:sz="4" w:space="0" w:color="auto"/>
              <w:left w:val="single" w:sz="4" w:space="0" w:color="auto"/>
              <w:bottom w:val="single" w:sz="4" w:space="0" w:color="auto"/>
              <w:right w:val="single" w:sz="4" w:space="0" w:color="auto"/>
            </w:tcBorders>
            <w:vAlign w:val="center"/>
          </w:tcPr>
          <w:p w14:paraId="409184AB" w14:textId="77777777" w:rsidR="00303C8B" w:rsidRPr="00064185" w:rsidRDefault="00303C8B" w:rsidP="00EA61D8">
            <w:pPr>
              <w:spacing w:before="40" w:after="80"/>
            </w:pPr>
            <w:r w:rsidRPr="00064185">
              <w:t>7.9</w:t>
            </w:r>
          </w:p>
        </w:tc>
        <w:tc>
          <w:tcPr>
            <w:tcW w:w="1962" w:type="pct"/>
            <w:tcBorders>
              <w:top w:val="single" w:sz="4" w:space="0" w:color="auto"/>
              <w:left w:val="single" w:sz="4" w:space="0" w:color="auto"/>
              <w:bottom w:val="single" w:sz="4" w:space="0" w:color="auto"/>
              <w:right w:val="double" w:sz="4" w:space="0" w:color="auto"/>
            </w:tcBorders>
            <w:vAlign w:val="center"/>
          </w:tcPr>
          <w:p w14:paraId="299B729B" w14:textId="77777777" w:rsidR="00303C8B" w:rsidRPr="00064185" w:rsidRDefault="00303C8B" w:rsidP="00EA61D8">
            <w:pPr>
              <w:spacing w:before="40" w:after="80"/>
            </w:pPr>
            <w:r w:rsidRPr="00064185">
              <w:t>6.5 - 10.3</w:t>
            </w:r>
          </w:p>
        </w:tc>
      </w:tr>
      <w:tr w:rsidR="00064185" w:rsidRPr="00064185" w14:paraId="42F99DF2" w14:textId="77777777" w:rsidTr="000E4386">
        <w:trPr>
          <w:trHeight w:val="289"/>
          <w:jc w:val="center"/>
        </w:trPr>
        <w:tc>
          <w:tcPr>
            <w:tcW w:w="1076" w:type="pct"/>
            <w:tcBorders>
              <w:top w:val="single" w:sz="4" w:space="0" w:color="auto"/>
              <w:left w:val="double" w:sz="4" w:space="0" w:color="auto"/>
              <w:bottom w:val="single" w:sz="4" w:space="0" w:color="auto"/>
              <w:right w:val="single" w:sz="4" w:space="0" w:color="auto"/>
            </w:tcBorders>
            <w:vAlign w:val="center"/>
          </w:tcPr>
          <w:p w14:paraId="4EA4263E" w14:textId="77777777" w:rsidR="00303C8B" w:rsidRPr="00064185" w:rsidRDefault="00303C8B" w:rsidP="00EA61D8">
            <w:pPr>
              <w:spacing w:before="40" w:after="80"/>
            </w:pPr>
            <w:r w:rsidRPr="00064185">
              <w:t>4</w:t>
            </w:r>
          </w:p>
        </w:tc>
        <w:tc>
          <w:tcPr>
            <w:tcW w:w="1962" w:type="pct"/>
            <w:tcBorders>
              <w:top w:val="single" w:sz="4" w:space="0" w:color="auto"/>
              <w:left w:val="single" w:sz="4" w:space="0" w:color="auto"/>
              <w:bottom w:val="single" w:sz="4" w:space="0" w:color="auto"/>
              <w:right w:val="single" w:sz="4" w:space="0" w:color="auto"/>
            </w:tcBorders>
            <w:vAlign w:val="center"/>
          </w:tcPr>
          <w:p w14:paraId="0A5BFDFB" w14:textId="77777777" w:rsidR="00303C8B" w:rsidRPr="00064185" w:rsidRDefault="00303C8B" w:rsidP="00EA61D8">
            <w:pPr>
              <w:spacing w:before="40" w:after="80"/>
            </w:pPr>
            <w:r w:rsidRPr="00064185">
              <w:t>7.4</w:t>
            </w:r>
          </w:p>
        </w:tc>
        <w:tc>
          <w:tcPr>
            <w:tcW w:w="1962" w:type="pct"/>
            <w:tcBorders>
              <w:top w:val="single" w:sz="4" w:space="0" w:color="auto"/>
              <w:left w:val="single" w:sz="4" w:space="0" w:color="auto"/>
              <w:bottom w:val="single" w:sz="4" w:space="0" w:color="auto"/>
              <w:right w:val="double" w:sz="4" w:space="0" w:color="auto"/>
            </w:tcBorders>
            <w:vAlign w:val="center"/>
          </w:tcPr>
          <w:p w14:paraId="062B376A" w14:textId="77777777" w:rsidR="00303C8B" w:rsidRPr="00064185" w:rsidRDefault="00303C8B" w:rsidP="00EA61D8">
            <w:pPr>
              <w:spacing w:before="40" w:after="80"/>
            </w:pPr>
            <w:r w:rsidRPr="00064185">
              <w:t>4.0 - 10.0</w:t>
            </w:r>
          </w:p>
        </w:tc>
      </w:tr>
      <w:tr w:rsidR="00303C8B" w:rsidRPr="00064185" w14:paraId="6FA05B02" w14:textId="77777777" w:rsidTr="000E4386">
        <w:trPr>
          <w:trHeight w:val="289"/>
          <w:jc w:val="center"/>
        </w:trPr>
        <w:tc>
          <w:tcPr>
            <w:tcW w:w="1076" w:type="pct"/>
            <w:tcBorders>
              <w:top w:val="single" w:sz="4" w:space="0" w:color="auto"/>
              <w:left w:val="double" w:sz="4" w:space="0" w:color="auto"/>
              <w:bottom w:val="double" w:sz="4" w:space="0" w:color="auto"/>
              <w:right w:val="single" w:sz="4" w:space="0" w:color="auto"/>
            </w:tcBorders>
            <w:vAlign w:val="center"/>
          </w:tcPr>
          <w:p w14:paraId="7D2D2ED8" w14:textId="77777777" w:rsidR="00303C8B" w:rsidRPr="00064185" w:rsidRDefault="00303C8B" w:rsidP="00EA61D8">
            <w:pPr>
              <w:spacing w:before="40" w:after="80"/>
            </w:pPr>
            <w:r w:rsidRPr="00064185">
              <w:t>3 – 4</w:t>
            </w:r>
          </w:p>
        </w:tc>
        <w:tc>
          <w:tcPr>
            <w:tcW w:w="1962" w:type="pct"/>
            <w:tcBorders>
              <w:top w:val="single" w:sz="4" w:space="0" w:color="auto"/>
              <w:left w:val="single" w:sz="4" w:space="0" w:color="auto"/>
              <w:bottom w:val="double" w:sz="4" w:space="0" w:color="auto"/>
              <w:right w:val="single" w:sz="4" w:space="0" w:color="auto"/>
            </w:tcBorders>
            <w:vAlign w:val="center"/>
          </w:tcPr>
          <w:p w14:paraId="496AFDD1" w14:textId="77777777" w:rsidR="00303C8B" w:rsidRPr="00064185" w:rsidRDefault="00303C8B" w:rsidP="00EA61D8">
            <w:pPr>
              <w:spacing w:before="40" w:after="80"/>
            </w:pPr>
            <w:r w:rsidRPr="00064185">
              <w:t>7.7</w:t>
            </w:r>
          </w:p>
        </w:tc>
        <w:tc>
          <w:tcPr>
            <w:tcW w:w="1962" w:type="pct"/>
            <w:tcBorders>
              <w:top w:val="single" w:sz="4" w:space="0" w:color="auto"/>
              <w:left w:val="single" w:sz="4" w:space="0" w:color="auto"/>
              <w:bottom w:val="double" w:sz="4" w:space="0" w:color="auto"/>
              <w:right w:val="double" w:sz="4" w:space="0" w:color="auto"/>
            </w:tcBorders>
            <w:vAlign w:val="center"/>
          </w:tcPr>
          <w:p w14:paraId="289823C1" w14:textId="77777777" w:rsidR="00303C8B" w:rsidRPr="00064185" w:rsidRDefault="00303C8B" w:rsidP="00EA61D8">
            <w:pPr>
              <w:spacing w:before="40" w:after="80"/>
            </w:pPr>
            <w:r w:rsidRPr="00064185">
              <w:t>4.0 - 10.3</w:t>
            </w:r>
          </w:p>
        </w:tc>
      </w:tr>
    </w:tbl>
    <w:p w14:paraId="75D048E5" w14:textId="77777777" w:rsidR="00303C8B" w:rsidRPr="00064185" w:rsidRDefault="00303C8B" w:rsidP="00EA61D8">
      <w:pPr>
        <w:spacing w:before="40" w:after="80"/>
      </w:pPr>
    </w:p>
    <w:p w14:paraId="52896C0E" w14:textId="77777777" w:rsidR="00303C8B" w:rsidRPr="00064185" w:rsidRDefault="00303C8B" w:rsidP="00403806">
      <w:pPr>
        <w:spacing w:before="40" w:after="80"/>
        <w:jc w:val="both"/>
      </w:pPr>
      <w:r w:rsidRPr="00064185">
        <w:t xml:space="preserve">This dislodgeable amount can either penetrate through skin or being ingested following hand-to-mouth contact. The low water solubility of the </w:t>
      </w:r>
      <w:proofErr w:type="gramStart"/>
      <w:r w:rsidRPr="00064185">
        <w:t>a.s</w:t>
      </w:r>
      <w:proofErr w:type="gramEnd"/>
      <w:r w:rsidRPr="00064185">
        <w:t>. will not allow for efficient saliva dislodgeability.</w:t>
      </w:r>
    </w:p>
    <w:p w14:paraId="7D034074" w14:textId="77777777" w:rsidR="00303C8B" w:rsidRPr="00064185" w:rsidRDefault="00303C8B" w:rsidP="00403806">
      <w:pPr>
        <w:spacing w:before="40" w:after="80"/>
        <w:jc w:val="both"/>
      </w:pPr>
      <w:r w:rsidRPr="00064185">
        <w:t xml:space="preserve">Measurements of the removal efficiency of pesticide residues by saliva have been carried out for several different chemical classes (Camann et al., 1995). Because saliva is predominantly water, a reasonable assumption is that water solubility may be an important rate limiting factor in saliva removal efficiency; however, competing for solubilisation by saliva is the chemical's adsorption to skin and, to some degree, absorption through skin. </w:t>
      </w:r>
    </w:p>
    <w:p w14:paraId="00CCAD83" w14:textId="77777777" w:rsidR="00303C8B" w:rsidRPr="00064185" w:rsidRDefault="00303C8B" w:rsidP="00403806">
      <w:pPr>
        <w:spacing w:before="40" w:after="80"/>
        <w:jc w:val="both"/>
      </w:pPr>
      <w:r w:rsidRPr="00064185">
        <w:t>Clearly, the amount of a chemical that is adsorbed (e.g., bound to the stratum corneum) and dermally absorbed would no longer be available for saliva removal, and thus, the degree of adsorption is in competition with saliva solubilisation and incidental ingestion. As shown in the following table, summary data for several pesticides suggest that removal efficiency by human saliva or artificial saliva is similar.</w:t>
      </w:r>
    </w:p>
    <w:p w14:paraId="4729285F" w14:textId="77777777" w:rsidR="00303C8B" w:rsidRPr="00064185" w:rsidRDefault="00303C8B" w:rsidP="00EA61D8">
      <w:pPr>
        <w:spacing w:before="40" w:after="80"/>
      </w:pPr>
    </w:p>
    <w:p w14:paraId="10FE9DAE" w14:textId="77777777" w:rsidR="00303C8B" w:rsidRPr="00064185" w:rsidRDefault="00303C8B" w:rsidP="00EA61D8">
      <w:pPr>
        <w:spacing w:before="40" w:after="80"/>
      </w:pPr>
      <w:bookmarkStart w:id="2147" w:name="_Ref311196209"/>
      <w:r w:rsidRPr="00064185">
        <w:t>Table</w:t>
      </w:r>
      <w:bookmarkEnd w:id="2147"/>
      <w:r w:rsidRPr="00064185">
        <w:t>: Saliva removal efficiency for several compounds</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17"/>
        <w:gridCol w:w="2425"/>
        <w:gridCol w:w="1267"/>
        <w:gridCol w:w="1509"/>
        <w:gridCol w:w="2112"/>
      </w:tblGrid>
      <w:tr w:rsidR="00064185" w:rsidRPr="00064185" w14:paraId="237EDA55" w14:textId="77777777" w:rsidTr="000E4386">
        <w:trPr>
          <w:jc w:val="center"/>
        </w:trPr>
        <w:tc>
          <w:tcPr>
            <w:tcW w:w="1122" w:type="pct"/>
            <w:tcBorders>
              <w:top w:val="double" w:sz="4" w:space="0" w:color="auto"/>
              <w:bottom w:val="double" w:sz="4" w:space="0" w:color="auto"/>
            </w:tcBorders>
            <w:shd w:val="clear" w:color="auto" w:fill="auto"/>
            <w:vAlign w:val="center"/>
          </w:tcPr>
          <w:p w14:paraId="12F3E100" w14:textId="77777777" w:rsidR="00303C8B" w:rsidRPr="00064185" w:rsidRDefault="00303C8B" w:rsidP="00EA61D8">
            <w:pPr>
              <w:spacing w:before="40" w:after="80"/>
            </w:pPr>
            <w:r w:rsidRPr="00064185">
              <w:t>Pesticide</w:t>
            </w:r>
          </w:p>
        </w:tc>
        <w:tc>
          <w:tcPr>
            <w:tcW w:w="1286" w:type="pct"/>
            <w:tcBorders>
              <w:top w:val="double" w:sz="4" w:space="0" w:color="auto"/>
              <w:bottom w:val="double" w:sz="4" w:space="0" w:color="auto"/>
              <w:right w:val="nil"/>
            </w:tcBorders>
            <w:shd w:val="clear" w:color="auto" w:fill="auto"/>
            <w:vAlign w:val="center"/>
          </w:tcPr>
          <w:p w14:paraId="310B66BC" w14:textId="77777777" w:rsidR="00303C8B" w:rsidRPr="00064185" w:rsidRDefault="00303C8B" w:rsidP="00EA61D8">
            <w:pPr>
              <w:spacing w:before="40" w:after="80"/>
            </w:pPr>
            <w:r w:rsidRPr="00064185">
              <w:t>Water Solubility [mg/L]</w:t>
            </w:r>
          </w:p>
        </w:tc>
        <w:tc>
          <w:tcPr>
            <w:tcW w:w="672" w:type="pct"/>
            <w:tcBorders>
              <w:top w:val="double" w:sz="4" w:space="0" w:color="auto"/>
              <w:left w:val="nil"/>
              <w:bottom w:val="double" w:sz="4" w:space="0" w:color="auto"/>
            </w:tcBorders>
            <w:shd w:val="clear" w:color="auto" w:fill="auto"/>
            <w:vAlign w:val="center"/>
          </w:tcPr>
          <w:p w14:paraId="1D711ACF" w14:textId="77777777" w:rsidR="00303C8B" w:rsidRPr="00064185" w:rsidRDefault="00303C8B" w:rsidP="00EA61D8">
            <w:pPr>
              <w:spacing w:before="40" w:after="80"/>
            </w:pPr>
            <w:r w:rsidRPr="00064185">
              <w:t>Reference</w:t>
            </w:r>
          </w:p>
        </w:tc>
        <w:tc>
          <w:tcPr>
            <w:tcW w:w="800" w:type="pct"/>
            <w:tcBorders>
              <w:top w:val="double" w:sz="4" w:space="0" w:color="auto"/>
              <w:bottom w:val="double" w:sz="4" w:space="0" w:color="auto"/>
              <w:right w:val="nil"/>
            </w:tcBorders>
            <w:shd w:val="clear" w:color="auto" w:fill="auto"/>
            <w:vAlign w:val="center"/>
          </w:tcPr>
          <w:p w14:paraId="171E28E1" w14:textId="77777777" w:rsidR="00303C8B" w:rsidRPr="00064185" w:rsidRDefault="00303C8B" w:rsidP="00EA61D8">
            <w:pPr>
              <w:spacing w:before="40" w:after="80"/>
            </w:pPr>
            <w:r w:rsidRPr="00064185">
              <w:t>Saliva Removal [%]</w:t>
            </w:r>
          </w:p>
        </w:tc>
        <w:tc>
          <w:tcPr>
            <w:tcW w:w="1122" w:type="pct"/>
            <w:tcBorders>
              <w:top w:val="double" w:sz="4" w:space="0" w:color="auto"/>
              <w:left w:val="nil"/>
              <w:bottom w:val="double" w:sz="4" w:space="0" w:color="auto"/>
            </w:tcBorders>
            <w:shd w:val="clear" w:color="auto" w:fill="auto"/>
            <w:vAlign w:val="center"/>
          </w:tcPr>
          <w:p w14:paraId="7B13039F" w14:textId="77777777" w:rsidR="00303C8B" w:rsidRPr="00064185" w:rsidRDefault="00303C8B" w:rsidP="00EA61D8">
            <w:pPr>
              <w:spacing w:before="40" w:after="80"/>
            </w:pPr>
            <w:r w:rsidRPr="00064185">
              <w:t>Reference</w:t>
            </w:r>
          </w:p>
        </w:tc>
      </w:tr>
      <w:tr w:rsidR="00064185" w:rsidRPr="00064185" w14:paraId="34E10ACD" w14:textId="77777777" w:rsidTr="000E4386">
        <w:trPr>
          <w:jc w:val="center"/>
        </w:trPr>
        <w:tc>
          <w:tcPr>
            <w:tcW w:w="1122" w:type="pct"/>
            <w:tcBorders>
              <w:top w:val="double" w:sz="4" w:space="0" w:color="auto"/>
            </w:tcBorders>
            <w:shd w:val="clear" w:color="auto" w:fill="auto"/>
            <w:vAlign w:val="center"/>
          </w:tcPr>
          <w:p w14:paraId="548AB430" w14:textId="77777777" w:rsidR="00303C8B" w:rsidRPr="00064185" w:rsidRDefault="00303C8B" w:rsidP="00EA61D8">
            <w:pPr>
              <w:spacing w:before="40" w:after="80"/>
            </w:pPr>
            <w:r w:rsidRPr="00064185">
              <w:t>Pyrethrins I</w:t>
            </w:r>
          </w:p>
        </w:tc>
        <w:tc>
          <w:tcPr>
            <w:tcW w:w="1286" w:type="pct"/>
            <w:tcBorders>
              <w:top w:val="double" w:sz="4" w:space="0" w:color="auto"/>
              <w:right w:val="nil"/>
            </w:tcBorders>
            <w:shd w:val="clear" w:color="auto" w:fill="auto"/>
            <w:vAlign w:val="center"/>
          </w:tcPr>
          <w:p w14:paraId="682F6FF3" w14:textId="77777777" w:rsidR="00303C8B" w:rsidRPr="00064185" w:rsidRDefault="00303C8B" w:rsidP="00EA61D8">
            <w:pPr>
              <w:spacing w:before="40" w:after="80"/>
            </w:pPr>
            <w:r w:rsidRPr="00064185">
              <w:t>0.2 (temp. not specified)</w:t>
            </w:r>
          </w:p>
        </w:tc>
        <w:tc>
          <w:tcPr>
            <w:tcW w:w="672" w:type="pct"/>
            <w:tcBorders>
              <w:top w:val="double" w:sz="4" w:space="0" w:color="auto"/>
              <w:left w:val="nil"/>
            </w:tcBorders>
            <w:shd w:val="clear" w:color="auto" w:fill="auto"/>
            <w:vAlign w:val="center"/>
          </w:tcPr>
          <w:p w14:paraId="7EE6A74C" w14:textId="77777777" w:rsidR="00303C8B" w:rsidRPr="00064185" w:rsidRDefault="00303C8B" w:rsidP="00EA61D8">
            <w:pPr>
              <w:spacing w:before="40" w:after="80"/>
            </w:pPr>
            <w:r w:rsidRPr="00064185">
              <w:t>HSDB</w:t>
            </w:r>
            <w:r w:rsidR="00B47EA2" w:rsidRPr="00064185">
              <w:t>*</w:t>
            </w:r>
          </w:p>
        </w:tc>
        <w:tc>
          <w:tcPr>
            <w:tcW w:w="800" w:type="pct"/>
            <w:tcBorders>
              <w:top w:val="double" w:sz="4" w:space="0" w:color="auto"/>
              <w:right w:val="nil"/>
            </w:tcBorders>
            <w:shd w:val="clear" w:color="auto" w:fill="auto"/>
            <w:vAlign w:val="center"/>
          </w:tcPr>
          <w:p w14:paraId="71AD0FA2" w14:textId="77777777" w:rsidR="00303C8B" w:rsidRPr="00064185" w:rsidRDefault="00303C8B" w:rsidP="00EA61D8">
            <w:pPr>
              <w:spacing w:before="40" w:after="80"/>
            </w:pPr>
            <w:r w:rsidRPr="00064185">
              <w:t>50</w:t>
            </w:r>
          </w:p>
        </w:tc>
        <w:tc>
          <w:tcPr>
            <w:tcW w:w="1122" w:type="pct"/>
            <w:tcBorders>
              <w:top w:val="double" w:sz="4" w:space="0" w:color="auto"/>
              <w:left w:val="nil"/>
            </w:tcBorders>
            <w:shd w:val="clear" w:color="auto" w:fill="auto"/>
            <w:vAlign w:val="center"/>
          </w:tcPr>
          <w:p w14:paraId="173DB1F7" w14:textId="77777777" w:rsidR="00303C8B" w:rsidRPr="00064185" w:rsidRDefault="00303C8B" w:rsidP="00EA61D8">
            <w:pPr>
              <w:spacing w:before="40" w:after="80"/>
            </w:pPr>
            <w:r w:rsidRPr="00064185">
              <w:t>Camann et al., 1995</w:t>
            </w:r>
          </w:p>
        </w:tc>
      </w:tr>
      <w:tr w:rsidR="00064185" w:rsidRPr="00064185" w14:paraId="63E28F03" w14:textId="77777777" w:rsidTr="000E4386">
        <w:trPr>
          <w:jc w:val="center"/>
        </w:trPr>
        <w:tc>
          <w:tcPr>
            <w:tcW w:w="1122" w:type="pct"/>
            <w:shd w:val="clear" w:color="auto" w:fill="auto"/>
            <w:vAlign w:val="center"/>
          </w:tcPr>
          <w:p w14:paraId="38682B8C" w14:textId="77777777" w:rsidR="00303C8B" w:rsidRPr="00064185" w:rsidRDefault="00303C8B" w:rsidP="00EA61D8">
            <w:pPr>
              <w:spacing w:before="40" w:after="80"/>
            </w:pPr>
            <w:r w:rsidRPr="00064185">
              <w:t>PBO</w:t>
            </w:r>
          </w:p>
        </w:tc>
        <w:tc>
          <w:tcPr>
            <w:tcW w:w="1286" w:type="pct"/>
            <w:tcBorders>
              <w:right w:val="nil"/>
            </w:tcBorders>
            <w:shd w:val="clear" w:color="auto" w:fill="auto"/>
            <w:vAlign w:val="center"/>
          </w:tcPr>
          <w:p w14:paraId="0F5B61DE" w14:textId="77777777" w:rsidR="00303C8B" w:rsidRPr="00064185" w:rsidRDefault="00303C8B" w:rsidP="00EA61D8">
            <w:pPr>
              <w:spacing w:before="40" w:after="80"/>
            </w:pPr>
            <w:r w:rsidRPr="00064185">
              <w:t>14.3 at 25°C</w:t>
            </w:r>
          </w:p>
        </w:tc>
        <w:tc>
          <w:tcPr>
            <w:tcW w:w="672" w:type="pct"/>
            <w:tcBorders>
              <w:left w:val="nil"/>
            </w:tcBorders>
            <w:shd w:val="clear" w:color="auto" w:fill="auto"/>
            <w:vAlign w:val="center"/>
          </w:tcPr>
          <w:p w14:paraId="3FC64A7B" w14:textId="77777777" w:rsidR="00303C8B" w:rsidRPr="00064185" w:rsidRDefault="00303C8B" w:rsidP="00EA61D8">
            <w:pPr>
              <w:spacing w:before="40" w:after="80"/>
            </w:pPr>
            <w:r w:rsidRPr="00064185">
              <w:t>HSDB</w:t>
            </w:r>
            <w:r w:rsidR="00B47EA2" w:rsidRPr="00064185">
              <w:t>*</w:t>
            </w:r>
          </w:p>
        </w:tc>
        <w:tc>
          <w:tcPr>
            <w:tcW w:w="800" w:type="pct"/>
            <w:tcBorders>
              <w:right w:val="nil"/>
            </w:tcBorders>
            <w:shd w:val="clear" w:color="auto" w:fill="auto"/>
            <w:vAlign w:val="center"/>
          </w:tcPr>
          <w:p w14:paraId="35241971" w14:textId="77777777" w:rsidR="00303C8B" w:rsidRPr="00064185" w:rsidRDefault="00303C8B" w:rsidP="00EA61D8">
            <w:pPr>
              <w:spacing w:before="40" w:after="80"/>
            </w:pPr>
            <w:r w:rsidRPr="00064185">
              <w:t>50</w:t>
            </w:r>
          </w:p>
        </w:tc>
        <w:tc>
          <w:tcPr>
            <w:tcW w:w="1122" w:type="pct"/>
            <w:tcBorders>
              <w:left w:val="nil"/>
            </w:tcBorders>
            <w:shd w:val="clear" w:color="auto" w:fill="auto"/>
            <w:vAlign w:val="center"/>
          </w:tcPr>
          <w:p w14:paraId="44F0C5D6" w14:textId="77777777" w:rsidR="00303C8B" w:rsidRPr="00064185" w:rsidRDefault="00303C8B" w:rsidP="00EA61D8">
            <w:pPr>
              <w:spacing w:before="40" w:after="80"/>
            </w:pPr>
            <w:r w:rsidRPr="00064185">
              <w:t>Camann et al., 1995</w:t>
            </w:r>
          </w:p>
        </w:tc>
      </w:tr>
      <w:tr w:rsidR="00064185" w:rsidRPr="00064185" w14:paraId="2D83E8CC" w14:textId="77777777" w:rsidTr="000E4386">
        <w:trPr>
          <w:jc w:val="center"/>
        </w:trPr>
        <w:tc>
          <w:tcPr>
            <w:tcW w:w="1122" w:type="pct"/>
            <w:shd w:val="clear" w:color="auto" w:fill="auto"/>
            <w:vAlign w:val="center"/>
          </w:tcPr>
          <w:p w14:paraId="059551FE" w14:textId="77777777" w:rsidR="00303C8B" w:rsidRPr="00064185" w:rsidRDefault="00303C8B" w:rsidP="00EA61D8">
            <w:pPr>
              <w:spacing w:before="40" w:after="80"/>
            </w:pPr>
            <w:r w:rsidRPr="00064185">
              <w:t>Chlorpyrifos</w:t>
            </w:r>
          </w:p>
        </w:tc>
        <w:tc>
          <w:tcPr>
            <w:tcW w:w="1286" w:type="pct"/>
            <w:tcBorders>
              <w:right w:val="nil"/>
            </w:tcBorders>
            <w:shd w:val="clear" w:color="auto" w:fill="auto"/>
            <w:vAlign w:val="center"/>
          </w:tcPr>
          <w:p w14:paraId="4C771FF7" w14:textId="77777777" w:rsidR="00303C8B" w:rsidRPr="00064185" w:rsidRDefault="00303C8B" w:rsidP="00EA61D8">
            <w:pPr>
              <w:spacing w:before="40" w:after="80"/>
            </w:pPr>
            <w:r w:rsidRPr="00064185">
              <w:t>1.4 at 25°C</w:t>
            </w:r>
          </w:p>
        </w:tc>
        <w:tc>
          <w:tcPr>
            <w:tcW w:w="672" w:type="pct"/>
            <w:tcBorders>
              <w:left w:val="nil"/>
            </w:tcBorders>
            <w:shd w:val="clear" w:color="auto" w:fill="auto"/>
            <w:vAlign w:val="center"/>
          </w:tcPr>
          <w:p w14:paraId="11122465" w14:textId="77777777" w:rsidR="00303C8B" w:rsidRPr="00064185" w:rsidRDefault="00303C8B" w:rsidP="00EA61D8">
            <w:pPr>
              <w:spacing w:before="40" w:after="80"/>
            </w:pPr>
            <w:r w:rsidRPr="00064185">
              <w:t>HSDB</w:t>
            </w:r>
            <w:r w:rsidR="00B47EA2" w:rsidRPr="00064185">
              <w:t>*</w:t>
            </w:r>
          </w:p>
        </w:tc>
        <w:tc>
          <w:tcPr>
            <w:tcW w:w="800" w:type="pct"/>
            <w:tcBorders>
              <w:right w:val="nil"/>
            </w:tcBorders>
            <w:shd w:val="clear" w:color="auto" w:fill="auto"/>
            <w:vAlign w:val="center"/>
          </w:tcPr>
          <w:p w14:paraId="000AEC1F" w14:textId="77777777" w:rsidR="00303C8B" w:rsidRPr="00064185" w:rsidRDefault="00303C8B" w:rsidP="00EA61D8">
            <w:pPr>
              <w:spacing w:before="40" w:after="80"/>
            </w:pPr>
            <w:r w:rsidRPr="00064185">
              <w:t>50</w:t>
            </w:r>
          </w:p>
        </w:tc>
        <w:tc>
          <w:tcPr>
            <w:tcW w:w="1122" w:type="pct"/>
            <w:tcBorders>
              <w:left w:val="nil"/>
            </w:tcBorders>
            <w:shd w:val="clear" w:color="auto" w:fill="auto"/>
            <w:vAlign w:val="center"/>
          </w:tcPr>
          <w:p w14:paraId="3E1101EE" w14:textId="77777777" w:rsidR="00303C8B" w:rsidRPr="00064185" w:rsidRDefault="00303C8B" w:rsidP="00EA61D8">
            <w:pPr>
              <w:spacing w:before="40" w:after="80"/>
            </w:pPr>
            <w:r w:rsidRPr="00064185">
              <w:t>Camann et al., 1995</w:t>
            </w:r>
          </w:p>
        </w:tc>
      </w:tr>
      <w:tr w:rsidR="00064185" w:rsidRPr="00064185" w14:paraId="3A92392F" w14:textId="77777777" w:rsidTr="000E4386">
        <w:trPr>
          <w:jc w:val="center"/>
        </w:trPr>
        <w:tc>
          <w:tcPr>
            <w:tcW w:w="1122" w:type="pct"/>
            <w:shd w:val="clear" w:color="auto" w:fill="auto"/>
            <w:vAlign w:val="center"/>
          </w:tcPr>
          <w:p w14:paraId="3886995A" w14:textId="77777777" w:rsidR="00303C8B" w:rsidRPr="00064185" w:rsidRDefault="00303C8B" w:rsidP="00EA61D8">
            <w:pPr>
              <w:spacing w:before="40" w:after="80"/>
            </w:pPr>
            <w:r w:rsidRPr="00064185">
              <w:rPr>
                <w:i/>
              </w:rPr>
              <w:t>Lambda</w:t>
            </w:r>
            <w:r w:rsidRPr="00064185">
              <w:t>-cyhalothrin</w:t>
            </w:r>
          </w:p>
        </w:tc>
        <w:tc>
          <w:tcPr>
            <w:tcW w:w="1286" w:type="pct"/>
            <w:tcBorders>
              <w:bottom w:val="double" w:sz="4" w:space="0" w:color="auto"/>
              <w:right w:val="nil"/>
            </w:tcBorders>
            <w:shd w:val="clear" w:color="auto" w:fill="auto"/>
            <w:vAlign w:val="center"/>
          </w:tcPr>
          <w:p w14:paraId="1EB5D0DD" w14:textId="77777777" w:rsidR="00303C8B" w:rsidRPr="00064185" w:rsidRDefault="00303C8B" w:rsidP="00EA61D8">
            <w:pPr>
              <w:spacing w:before="40" w:after="80"/>
            </w:pPr>
            <w:r w:rsidRPr="00064185">
              <w:t>0.005 at 20°C</w:t>
            </w:r>
          </w:p>
        </w:tc>
        <w:tc>
          <w:tcPr>
            <w:tcW w:w="672" w:type="pct"/>
            <w:tcBorders>
              <w:left w:val="nil"/>
            </w:tcBorders>
            <w:shd w:val="clear" w:color="auto" w:fill="auto"/>
            <w:vAlign w:val="center"/>
          </w:tcPr>
          <w:p w14:paraId="401A667B" w14:textId="77777777" w:rsidR="00303C8B" w:rsidRPr="00064185" w:rsidRDefault="00303C8B" w:rsidP="00EA61D8">
            <w:pPr>
              <w:spacing w:before="40" w:after="80"/>
            </w:pPr>
            <w:r w:rsidRPr="00064185">
              <w:t>Doc IIA</w:t>
            </w:r>
          </w:p>
        </w:tc>
        <w:tc>
          <w:tcPr>
            <w:tcW w:w="800" w:type="pct"/>
            <w:tcBorders>
              <w:bottom w:val="double" w:sz="4" w:space="0" w:color="auto"/>
              <w:right w:val="nil"/>
            </w:tcBorders>
            <w:shd w:val="clear" w:color="auto" w:fill="auto"/>
            <w:vAlign w:val="center"/>
          </w:tcPr>
          <w:p w14:paraId="4FDA5F5D" w14:textId="77777777" w:rsidR="00303C8B" w:rsidRPr="00064185" w:rsidRDefault="00303C8B" w:rsidP="00EA61D8">
            <w:pPr>
              <w:spacing w:before="40" w:after="80"/>
            </w:pPr>
            <w:r w:rsidRPr="00064185">
              <w:t>50</w:t>
            </w:r>
          </w:p>
        </w:tc>
        <w:tc>
          <w:tcPr>
            <w:tcW w:w="1122" w:type="pct"/>
            <w:tcBorders>
              <w:left w:val="nil"/>
            </w:tcBorders>
            <w:shd w:val="clear" w:color="auto" w:fill="auto"/>
            <w:vAlign w:val="center"/>
          </w:tcPr>
          <w:p w14:paraId="07895518" w14:textId="77777777" w:rsidR="00303C8B" w:rsidRPr="00064185" w:rsidRDefault="00303C8B" w:rsidP="00EA61D8">
            <w:pPr>
              <w:spacing w:before="40" w:after="80"/>
            </w:pPr>
            <w:r w:rsidRPr="00064185">
              <w:t>assumption</w:t>
            </w:r>
          </w:p>
        </w:tc>
      </w:tr>
    </w:tbl>
    <w:p w14:paraId="16A89426" w14:textId="77777777" w:rsidR="00303C8B" w:rsidRPr="00064185" w:rsidRDefault="00B47EA2" w:rsidP="00EA61D8">
      <w:pPr>
        <w:spacing w:before="40" w:after="80"/>
      </w:pPr>
      <w:r w:rsidRPr="00064185">
        <w:t>*</w:t>
      </w:r>
      <w:hyperlink r:id="rId40" w:history="1">
        <w:r w:rsidR="00303C8B" w:rsidRPr="00064185">
          <w:t>http://toxnet.nlm.nih.gov/cgi-bin/sis/htmlgen?HSDB</w:t>
        </w:r>
      </w:hyperlink>
      <w:r w:rsidR="00303C8B" w:rsidRPr="00064185">
        <w:t xml:space="preserve"> </w:t>
      </w:r>
    </w:p>
    <w:p w14:paraId="5C4821A3" w14:textId="77777777" w:rsidR="00303C8B" w:rsidRPr="00064185" w:rsidRDefault="00303C8B" w:rsidP="00EA61D8">
      <w:pPr>
        <w:spacing w:before="40" w:after="80"/>
      </w:pPr>
    </w:p>
    <w:p w14:paraId="563F4E05" w14:textId="77777777" w:rsidR="00303C8B" w:rsidRPr="00064185" w:rsidRDefault="00303C8B" w:rsidP="00403806">
      <w:pPr>
        <w:spacing w:before="40" w:after="80"/>
        <w:jc w:val="both"/>
      </w:pPr>
      <w:r w:rsidRPr="00064185">
        <w:t xml:space="preserve">Based on the data shown it is surmised that the </w:t>
      </w:r>
      <w:proofErr w:type="gramStart"/>
      <w:r w:rsidRPr="00064185">
        <w:t>a.s</w:t>
      </w:r>
      <w:proofErr w:type="gramEnd"/>
      <w:r w:rsidRPr="00064185">
        <w:t xml:space="preserve">. will not be completely removed via saliva and mouthing (simulated by wiping in Camann et al., 1995) based on data for other </w:t>
      </w:r>
      <w:r w:rsidRPr="00064185">
        <w:lastRenderedPageBreak/>
        <w:t xml:space="preserve">pesticides. Thus, one would expect the saliva removal efficiency of the </w:t>
      </w:r>
      <w:proofErr w:type="gramStart"/>
      <w:r w:rsidRPr="00064185">
        <w:t>a.s</w:t>
      </w:r>
      <w:proofErr w:type="gramEnd"/>
      <w:r w:rsidRPr="00064185">
        <w:t>. to be not higher than 50%.</w:t>
      </w:r>
    </w:p>
    <w:p w14:paraId="55A0ED8E" w14:textId="19F8C55E" w:rsidR="00303C8B" w:rsidRPr="00064185" w:rsidRDefault="00303C8B" w:rsidP="00403806">
      <w:pPr>
        <w:spacing w:before="40" w:after="80"/>
        <w:jc w:val="both"/>
      </w:pPr>
      <w:r w:rsidRPr="00064185">
        <w:t xml:space="preserve">The bioavailability (oral absorption) of ingested </w:t>
      </w:r>
      <w:r w:rsidRPr="00064185">
        <w:rPr>
          <w:i/>
        </w:rPr>
        <w:t>lambda</w:t>
      </w:r>
      <w:r w:rsidRPr="00064185">
        <w:t xml:space="preserve">-cyhalothrin is 50%. HESI (2004) contains data on the frequency of hand-to-mouth events for children during indoor play. In a 2002 study, HTM behaviour in 72 children (37 male, 35 female) was examined. Children (11-60 months) were observed for 5-60 minutes per day for 1-6 days. Eating events were specifically excluded from the post videotaping quantitation of HTM frequency. Children older than 24 months had a lower mouthing frequency than younger children. Therefore, only children below that age were considered for the present exposure assessment. For 1-2-year olds, a mean hand-to-mouth frequency of 18 </w:t>
      </w:r>
      <w:r w:rsidR="00223D0A" w:rsidRPr="00064185">
        <w:t>events per hour was determined for the estimated contact time.</w:t>
      </w:r>
    </w:p>
    <w:p w14:paraId="19C65554" w14:textId="77777777" w:rsidR="00303C8B" w:rsidRPr="00064185" w:rsidRDefault="00303C8B" w:rsidP="00403806">
      <w:pPr>
        <w:spacing w:before="40" w:after="80"/>
        <w:jc w:val="both"/>
      </w:pPr>
      <w:r w:rsidRPr="00064185">
        <w:t>With these assumptions oral exposure</w:t>
      </w:r>
      <w:r w:rsidR="00B47EA2" w:rsidRPr="00064185">
        <w:t xml:space="preserve"> (I</w:t>
      </w:r>
      <w:r w:rsidR="00B47EA2" w:rsidRPr="00064185">
        <w:rPr>
          <w:vertAlign w:val="subscript"/>
        </w:rPr>
        <w:t>oral</w:t>
      </w:r>
      <w:r w:rsidR="00B47EA2" w:rsidRPr="00064185">
        <w:t>)</w:t>
      </w:r>
      <w:r w:rsidRPr="00064185">
        <w:t xml:space="preserve"> of infants via HTM contact can be calculated as presented in the following table.</w:t>
      </w:r>
    </w:p>
    <w:p w14:paraId="68C42AD7" w14:textId="77777777" w:rsidR="003A19B3" w:rsidRPr="00064185" w:rsidRDefault="003A19B3" w:rsidP="00EA61D8">
      <w:pPr>
        <w:spacing w:before="40" w:after="80"/>
      </w:pPr>
    </w:p>
    <w:tbl>
      <w:tblPr>
        <w:tblW w:w="5000" w:type="pct"/>
        <w:tblCellMar>
          <w:left w:w="70" w:type="dxa"/>
          <w:right w:w="70" w:type="dxa"/>
        </w:tblCellMar>
        <w:tblLook w:val="0000" w:firstRow="0" w:lastRow="0" w:firstColumn="0" w:lastColumn="0" w:noHBand="0" w:noVBand="0"/>
      </w:tblPr>
      <w:tblGrid>
        <w:gridCol w:w="4466"/>
        <w:gridCol w:w="3685"/>
        <w:gridCol w:w="1203"/>
      </w:tblGrid>
      <w:tr w:rsidR="00064185" w:rsidRPr="00064185" w14:paraId="3745EB54" w14:textId="77777777" w:rsidTr="003A19B3">
        <w:trPr>
          <w:trHeight w:val="399"/>
        </w:trPr>
        <w:tc>
          <w:tcPr>
            <w:tcW w:w="2387" w:type="pct"/>
            <w:tcBorders>
              <w:top w:val="double" w:sz="4" w:space="0" w:color="auto"/>
              <w:left w:val="double" w:sz="4" w:space="0" w:color="auto"/>
              <w:bottom w:val="double" w:sz="4" w:space="0" w:color="auto"/>
              <w:right w:val="single" w:sz="4" w:space="0" w:color="auto"/>
            </w:tcBorders>
            <w:shd w:val="clear" w:color="auto" w:fill="auto"/>
            <w:noWrap/>
            <w:vAlign w:val="center"/>
          </w:tcPr>
          <w:p w14:paraId="48AC6434" w14:textId="77777777" w:rsidR="00D94FCC" w:rsidRPr="00064185" w:rsidRDefault="00D94FCC" w:rsidP="00EA61D8">
            <w:pPr>
              <w:spacing w:before="40" w:after="80"/>
            </w:pPr>
            <w:r w:rsidRPr="00064185">
              <w:t>Parameter</w:t>
            </w:r>
          </w:p>
        </w:tc>
        <w:tc>
          <w:tcPr>
            <w:tcW w:w="1970" w:type="pct"/>
            <w:tcBorders>
              <w:top w:val="double" w:sz="4" w:space="0" w:color="auto"/>
              <w:left w:val="nil"/>
              <w:bottom w:val="double" w:sz="4" w:space="0" w:color="auto"/>
              <w:right w:val="single" w:sz="4" w:space="0" w:color="auto"/>
            </w:tcBorders>
            <w:vAlign w:val="center"/>
          </w:tcPr>
          <w:p w14:paraId="188D0086" w14:textId="77777777" w:rsidR="00D94FCC" w:rsidRPr="00064185" w:rsidRDefault="00D94FCC" w:rsidP="00EA61D8">
            <w:pPr>
              <w:spacing w:before="40" w:after="80"/>
            </w:pPr>
            <w:r w:rsidRPr="00064185">
              <w:t>Definition</w:t>
            </w:r>
          </w:p>
        </w:tc>
        <w:tc>
          <w:tcPr>
            <w:tcW w:w="644" w:type="pct"/>
            <w:tcBorders>
              <w:top w:val="double" w:sz="4" w:space="0" w:color="auto"/>
              <w:left w:val="nil"/>
              <w:bottom w:val="double" w:sz="4" w:space="0" w:color="auto"/>
              <w:right w:val="double" w:sz="4" w:space="0" w:color="auto"/>
            </w:tcBorders>
            <w:vAlign w:val="center"/>
          </w:tcPr>
          <w:p w14:paraId="7459E227" w14:textId="77777777" w:rsidR="00D94FCC" w:rsidRPr="00064185" w:rsidRDefault="00D94FCC" w:rsidP="00EA61D8">
            <w:pPr>
              <w:spacing w:before="40" w:after="80"/>
            </w:pPr>
            <w:r w:rsidRPr="00064185">
              <w:t>Value</w:t>
            </w:r>
          </w:p>
        </w:tc>
      </w:tr>
      <w:tr w:rsidR="00064185" w:rsidRPr="00064185" w14:paraId="5C90A2C6" w14:textId="77777777" w:rsidTr="003A19B3">
        <w:trPr>
          <w:trHeight w:val="400"/>
        </w:trPr>
        <w:tc>
          <w:tcPr>
            <w:tcW w:w="2387" w:type="pct"/>
            <w:tcBorders>
              <w:top w:val="double" w:sz="4" w:space="0" w:color="auto"/>
              <w:left w:val="double" w:sz="4" w:space="0" w:color="auto"/>
              <w:bottom w:val="single" w:sz="4" w:space="0" w:color="auto"/>
              <w:right w:val="single" w:sz="4" w:space="0" w:color="auto"/>
            </w:tcBorders>
            <w:shd w:val="clear" w:color="auto" w:fill="auto"/>
            <w:vAlign w:val="center"/>
          </w:tcPr>
          <w:p w14:paraId="1061C46B" w14:textId="77777777" w:rsidR="00D94FCC" w:rsidRPr="00064185" w:rsidRDefault="00D94FCC" w:rsidP="00EA61D8">
            <w:pPr>
              <w:spacing w:before="40" w:after="80"/>
            </w:pPr>
            <w:r w:rsidRPr="00064185">
              <w:t>Dermal load [mg a.s./cm²]</w:t>
            </w:r>
          </w:p>
        </w:tc>
        <w:tc>
          <w:tcPr>
            <w:tcW w:w="1970" w:type="pct"/>
            <w:tcBorders>
              <w:top w:val="double" w:sz="4" w:space="0" w:color="auto"/>
              <w:left w:val="single" w:sz="4" w:space="0" w:color="auto"/>
              <w:bottom w:val="single" w:sz="4" w:space="0" w:color="auto"/>
              <w:right w:val="single" w:sz="4" w:space="0" w:color="auto"/>
            </w:tcBorders>
            <w:vAlign w:val="center"/>
          </w:tcPr>
          <w:p w14:paraId="11B8FA9D" w14:textId="77777777" w:rsidR="00D94FCC" w:rsidRPr="00064185" w:rsidRDefault="00D94FCC" w:rsidP="00EA61D8">
            <w:pPr>
              <w:spacing w:before="40" w:after="80"/>
            </w:pPr>
            <w:r w:rsidRPr="00064185">
              <w:t>DL = DR</w:t>
            </w:r>
          </w:p>
        </w:tc>
        <w:tc>
          <w:tcPr>
            <w:tcW w:w="644" w:type="pct"/>
            <w:tcBorders>
              <w:top w:val="double" w:sz="4" w:space="0" w:color="auto"/>
              <w:left w:val="nil"/>
              <w:bottom w:val="single" w:sz="4" w:space="0" w:color="auto"/>
              <w:right w:val="double" w:sz="4" w:space="0" w:color="auto"/>
            </w:tcBorders>
            <w:vAlign w:val="center"/>
          </w:tcPr>
          <w:p w14:paraId="0073264A" w14:textId="0A79A7B4" w:rsidR="00D94FCC" w:rsidRPr="00064185" w:rsidRDefault="00D94FCC" w:rsidP="00EA61D8">
            <w:pPr>
              <w:spacing w:before="40" w:after="80"/>
            </w:pPr>
            <w:r w:rsidRPr="00064185">
              <w:fldChar w:fldCharType="begin" w:fldLock="1"/>
            </w:r>
            <w:r w:rsidRPr="00064185">
              <w:instrText xml:space="preserve"> =DR/10000 \# "0.00000" </w:instrText>
            </w:r>
            <w:r w:rsidRPr="00064185">
              <w:fldChar w:fldCharType="separate"/>
            </w:r>
            <w:r w:rsidRPr="00064185">
              <w:t>0.000</w:t>
            </w:r>
            <w:r w:rsidR="00223D0A" w:rsidRPr="00064185">
              <w:t>1</w:t>
            </w:r>
            <w:r w:rsidR="003A6D09" w:rsidRPr="00064185">
              <w:t>67</w:t>
            </w:r>
            <w:r w:rsidRPr="00064185">
              <w:fldChar w:fldCharType="end"/>
            </w:r>
          </w:p>
        </w:tc>
      </w:tr>
      <w:tr w:rsidR="00064185" w:rsidRPr="00064185" w14:paraId="3A97EF5F" w14:textId="77777777" w:rsidTr="003A19B3">
        <w:trPr>
          <w:trHeight w:val="400"/>
        </w:trPr>
        <w:tc>
          <w:tcPr>
            <w:tcW w:w="2387" w:type="pct"/>
            <w:tcBorders>
              <w:top w:val="single" w:sz="4" w:space="0" w:color="auto"/>
              <w:left w:val="double" w:sz="4" w:space="0" w:color="auto"/>
              <w:bottom w:val="single" w:sz="4" w:space="0" w:color="auto"/>
              <w:right w:val="single" w:sz="4" w:space="0" w:color="auto"/>
            </w:tcBorders>
            <w:shd w:val="clear" w:color="auto" w:fill="auto"/>
            <w:vAlign w:val="center"/>
          </w:tcPr>
          <w:p w14:paraId="33C1611F" w14:textId="2BDF4476" w:rsidR="00D94FCC" w:rsidRPr="00064185" w:rsidRDefault="00A87C58" w:rsidP="00EA61D8">
            <w:pPr>
              <w:spacing w:before="40" w:after="80"/>
            </w:pPr>
            <w:r w:rsidRPr="00064185">
              <w:rPr>
                <w:rFonts w:eastAsia="Arial" w:cs="Arial"/>
                <w:lang w:val="en-US"/>
              </w:rPr>
              <w:t>Hand area contacting the mouth</w:t>
            </w:r>
            <w:r w:rsidR="00D94FCC" w:rsidRPr="00064185">
              <w:t xml:space="preserve"> [cm²]</w:t>
            </w:r>
          </w:p>
        </w:tc>
        <w:tc>
          <w:tcPr>
            <w:tcW w:w="1970" w:type="pct"/>
            <w:tcBorders>
              <w:top w:val="single" w:sz="4" w:space="0" w:color="auto"/>
              <w:left w:val="single" w:sz="4" w:space="0" w:color="auto"/>
              <w:bottom w:val="single" w:sz="4" w:space="0" w:color="auto"/>
              <w:right w:val="single" w:sz="4" w:space="0" w:color="auto"/>
            </w:tcBorders>
            <w:vAlign w:val="center"/>
          </w:tcPr>
          <w:p w14:paraId="1CB7A360" w14:textId="77777777" w:rsidR="00D94FCC" w:rsidRPr="00064185" w:rsidRDefault="00D94FCC" w:rsidP="00EA61D8">
            <w:pPr>
              <w:spacing w:before="40" w:after="80"/>
            </w:pPr>
            <w:r w:rsidRPr="00064185">
              <w:t>SA</w:t>
            </w:r>
          </w:p>
        </w:tc>
        <w:tc>
          <w:tcPr>
            <w:tcW w:w="644" w:type="pct"/>
            <w:tcBorders>
              <w:top w:val="single" w:sz="4" w:space="0" w:color="auto"/>
              <w:left w:val="nil"/>
              <w:bottom w:val="single" w:sz="4" w:space="0" w:color="auto"/>
              <w:right w:val="double" w:sz="4" w:space="0" w:color="auto"/>
            </w:tcBorders>
            <w:vAlign w:val="center"/>
          </w:tcPr>
          <w:p w14:paraId="4C036DCB" w14:textId="77777777" w:rsidR="00D94FCC" w:rsidRPr="00064185" w:rsidRDefault="00D94FCC" w:rsidP="00EA61D8">
            <w:pPr>
              <w:spacing w:before="40" w:after="80"/>
            </w:pPr>
            <w:r w:rsidRPr="00064185">
              <w:t>4.5</w:t>
            </w:r>
          </w:p>
        </w:tc>
      </w:tr>
      <w:tr w:rsidR="00064185" w:rsidRPr="00064185" w14:paraId="0B5EB3C3" w14:textId="77777777" w:rsidTr="003A19B3">
        <w:trPr>
          <w:trHeight w:val="400"/>
        </w:trPr>
        <w:tc>
          <w:tcPr>
            <w:tcW w:w="2387" w:type="pct"/>
            <w:tcBorders>
              <w:top w:val="single" w:sz="4" w:space="0" w:color="auto"/>
              <w:left w:val="double" w:sz="4" w:space="0" w:color="auto"/>
              <w:bottom w:val="single" w:sz="4" w:space="0" w:color="auto"/>
              <w:right w:val="single" w:sz="4" w:space="0" w:color="auto"/>
            </w:tcBorders>
            <w:shd w:val="clear" w:color="auto" w:fill="auto"/>
            <w:vAlign w:val="center"/>
          </w:tcPr>
          <w:p w14:paraId="71C6D531" w14:textId="77777777" w:rsidR="00D94FCC" w:rsidRPr="00064185" w:rsidRDefault="00D94FCC" w:rsidP="00EA61D8">
            <w:pPr>
              <w:spacing w:before="40" w:after="80"/>
            </w:pPr>
            <w:r w:rsidRPr="00064185">
              <w:t>Efficiency of removal by saliva from skin</w:t>
            </w:r>
            <w:r w:rsidR="003A19B3" w:rsidRPr="00064185">
              <w:t xml:space="preserve"> [%]</w:t>
            </w:r>
          </w:p>
        </w:tc>
        <w:tc>
          <w:tcPr>
            <w:tcW w:w="1970" w:type="pct"/>
            <w:tcBorders>
              <w:top w:val="single" w:sz="4" w:space="0" w:color="auto"/>
              <w:left w:val="single" w:sz="4" w:space="0" w:color="auto"/>
              <w:bottom w:val="single" w:sz="4" w:space="0" w:color="auto"/>
              <w:right w:val="single" w:sz="4" w:space="0" w:color="auto"/>
            </w:tcBorders>
            <w:vAlign w:val="center"/>
          </w:tcPr>
          <w:p w14:paraId="73EDB627" w14:textId="77777777" w:rsidR="00D94FCC" w:rsidRPr="00064185" w:rsidRDefault="00D94FCC" w:rsidP="00EA61D8">
            <w:pPr>
              <w:spacing w:before="40" w:after="80"/>
            </w:pPr>
            <w:r w:rsidRPr="00064185">
              <w:t>RE</w:t>
            </w:r>
          </w:p>
        </w:tc>
        <w:tc>
          <w:tcPr>
            <w:tcW w:w="644" w:type="pct"/>
            <w:tcBorders>
              <w:top w:val="single" w:sz="4" w:space="0" w:color="auto"/>
              <w:left w:val="nil"/>
              <w:bottom w:val="single" w:sz="4" w:space="0" w:color="auto"/>
              <w:right w:val="double" w:sz="4" w:space="0" w:color="auto"/>
            </w:tcBorders>
            <w:vAlign w:val="center"/>
          </w:tcPr>
          <w:p w14:paraId="0171F207" w14:textId="77777777" w:rsidR="00D94FCC" w:rsidRPr="00064185" w:rsidRDefault="00D94FCC" w:rsidP="00EA61D8">
            <w:pPr>
              <w:spacing w:before="40" w:after="80"/>
            </w:pPr>
            <w:r w:rsidRPr="00064185">
              <w:t>50</w:t>
            </w:r>
          </w:p>
        </w:tc>
      </w:tr>
      <w:tr w:rsidR="00064185" w:rsidRPr="00064185" w14:paraId="370C6BE7" w14:textId="77777777" w:rsidTr="003A19B3">
        <w:trPr>
          <w:trHeight w:val="400"/>
        </w:trPr>
        <w:tc>
          <w:tcPr>
            <w:tcW w:w="2387" w:type="pct"/>
            <w:tcBorders>
              <w:top w:val="single" w:sz="4" w:space="0" w:color="auto"/>
              <w:left w:val="double" w:sz="4" w:space="0" w:color="auto"/>
              <w:bottom w:val="single" w:sz="4" w:space="0" w:color="auto"/>
              <w:right w:val="single" w:sz="4" w:space="0" w:color="auto"/>
            </w:tcBorders>
            <w:shd w:val="clear" w:color="auto" w:fill="auto"/>
            <w:vAlign w:val="center"/>
          </w:tcPr>
          <w:p w14:paraId="4B2302AD" w14:textId="77777777" w:rsidR="00D94FCC" w:rsidRPr="00064185" w:rsidRDefault="00D94FCC" w:rsidP="00EA61D8">
            <w:pPr>
              <w:spacing w:before="40" w:after="80"/>
            </w:pPr>
            <w:r w:rsidRPr="00064185">
              <w:t>Number of hand to mouth contacts [day–1]</w:t>
            </w:r>
          </w:p>
        </w:tc>
        <w:tc>
          <w:tcPr>
            <w:tcW w:w="1970" w:type="pct"/>
            <w:tcBorders>
              <w:top w:val="single" w:sz="4" w:space="0" w:color="auto"/>
              <w:left w:val="single" w:sz="4" w:space="0" w:color="auto"/>
              <w:bottom w:val="single" w:sz="4" w:space="0" w:color="auto"/>
              <w:right w:val="single" w:sz="4" w:space="0" w:color="auto"/>
            </w:tcBorders>
            <w:vAlign w:val="center"/>
          </w:tcPr>
          <w:p w14:paraId="192A8D17" w14:textId="77777777" w:rsidR="00D94FCC" w:rsidRPr="00064185" w:rsidRDefault="00D94FCC" w:rsidP="00EA61D8">
            <w:pPr>
              <w:spacing w:before="40" w:after="80"/>
            </w:pPr>
            <w:r w:rsidRPr="00064185">
              <w:t>F</w:t>
            </w:r>
          </w:p>
        </w:tc>
        <w:tc>
          <w:tcPr>
            <w:tcW w:w="644" w:type="pct"/>
            <w:tcBorders>
              <w:top w:val="single" w:sz="4" w:space="0" w:color="auto"/>
              <w:left w:val="nil"/>
              <w:bottom w:val="single" w:sz="4" w:space="0" w:color="auto"/>
              <w:right w:val="double" w:sz="4" w:space="0" w:color="auto"/>
            </w:tcBorders>
            <w:vAlign w:val="center"/>
          </w:tcPr>
          <w:p w14:paraId="10736C3F" w14:textId="15500F89" w:rsidR="00D94FCC" w:rsidRPr="00064185" w:rsidRDefault="00223D0A" w:rsidP="00EA61D8">
            <w:pPr>
              <w:spacing w:before="40" w:after="80"/>
            </w:pPr>
            <w:r w:rsidRPr="00064185">
              <w:t>18</w:t>
            </w:r>
          </w:p>
        </w:tc>
      </w:tr>
      <w:tr w:rsidR="00064185" w:rsidRPr="00064185" w14:paraId="7B18D451" w14:textId="77777777" w:rsidTr="003A19B3">
        <w:trPr>
          <w:trHeight w:val="400"/>
        </w:trPr>
        <w:tc>
          <w:tcPr>
            <w:tcW w:w="2387" w:type="pct"/>
            <w:tcBorders>
              <w:top w:val="single" w:sz="4" w:space="0" w:color="auto"/>
              <w:left w:val="double" w:sz="4" w:space="0" w:color="auto"/>
              <w:bottom w:val="single" w:sz="4" w:space="0" w:color="auto"/>
              <w:right w:val="single" w:sz="4" w:space="0" w:color="auto"/>
            </w:tcBorders>
            <w:shd w:val="clear" w:color="auto" w:fill="auto"/>
            <w:vAlign w:val="center"/>
          </w:tcPr>
          <w:p w14:paraId="72944D8A" w14:textId="77777777" w:rsidR="00D94FCC" w:rsidRPr="00064185" w:rsidRDefault="00D94FCC" w:rsidP="00EA61D8">
            <w:pPr>
              <w:spacing w:before="40" w:after="80"/>
            </w:pPr>
            <w:r w:rsidRPr="00064185">
              <w:t>Oral absorption</w:t>
            </w:r>
            <w:r w:rsidR="003A19B3" w:rsidRPr="00064185">
              <w:t xml:space="preserve"> [%]</w:t>
            </w:r>
          </w:p>
        </w:tc>
        <w:tc>
          <w:tcPr>
            <w:tcW w:w="1970" w:type="pct"/>
            <w:tcBorders>
              <w:top w:val="single" w:sz="4" w:space="0" w:color="auto"/>
              <w:left w:val="single" w:sz="4" w:space="0" w:color="auto"/>
              <w:bottom w:val="single" w:sz="4" w:space="0" w:color="auto"/>
              <w:right w:val="single" w:sz="4" w:space="0" w:color="auto"/>
            </w:tcBorders>
            <w:vAlign w:val="center"/>
          </w:tcPr>
          <w:p w14:paraId="3E6F920E" w14:textId="77777777" w:rsidR="00D94FCC" w:rsidRPr="00064185" w:rsidRDefault="00D94FCC" w:rsidP="00EA61D8">
            <w:pPr>
              <w:spacing w:before="40" w:after="80"/>
            </w:pPr>
            <w:r w:rsidRPr="00064185">
              <w:t>OA</w:t>
            </w:r>
          </w:p>
        </w:tc>
        <w:tc>
          <w:tcPr>
            <w:tcW w:w="644" w:type="pct"/>
            <w:tcBorders>
              <w:top w:val="single" w:sz="4" w:space="0" w:color="auto"/>
              <w:left w:val="nil"/>
              <w:bottom w:val="single" w:sz="4" w:space="0" w:color="auto"/>
              <w:right w:val="double" w:sz="4" w:space="0" w:color="auto"/>
            </w:tcBorders>
            <w:vAlign w:val="center"/>
          </w:tcPr>
          <w:p w14:paraId="594304B7" w14:textId="77777777" w:rsidR="00D94FCC" w:rsidRPr="00064185" w:rsidRDefault="00D94FCC" w:rsidP="00EA61D8">
            <w:pPr>
              <w:spacing w:before="40" w:after="80"/>
            </w:pPr>
            <w:r w:rsidRPr="00064185">
              <w:t>50</w:t>
            </w:r>
          </w:p>
        </w:tc>
      </w:tr>
      <w:tr w:rsidR="00064185" w:rsidRPr="00064185" w14:paraId="2005D795" w14:textId="77777777" w:rsidTr="003A19B3">
        <w:trPr>
          <w:trHeight w:val="400"/>
        </w:trPr>
        <w:tc>
          <w:tcPr>
            <w:tcW w:w="2387" w:type="pct"/>
            <w:tcBorders>
              <w:top w:val="single" w:sz="4" w:space="0" w:color="auto"/>
              <w:left w:val="double" w:sz="4" w:space="0" w:color="auto"/>
              <w:bottom w:val="single" w:sz="4" w:space="0" w:color="auto"/>
              <w:right w:val="single" w:sz="4" w:space="0" w:color="auto"/>
            </w:tcBorders>
            <w:shd w:val="clear" w:color="auto" w:fill="auto"/>
            <w:vAlign w:val="center"/>
          </w:tcPr>
          <w:p w14:paraId="02962097" w14:textId="77777777" w:rsidR="00D94FCC" w:rsidRPr="00064185" w:rsidRDefault="00D94FCC" w:rsidP="00EA61D8">
            <w:pPr>
              <w:spacing w:before="40" w:after="80"/>
            </w:pPr>
            <w:r w:rsidRPr="00064185">
              <w:t>Body weight [kg]</w:t>
            </w:r>
          </w:p>
        </w:tc>
        <w:tc>
          <w:tcPr>
            <w:tcW w:w="1970" w:type="pct"/>
            <w:tcBorders>
              <w:top w:val="single" w:sz="4" w:space="0" w:color="auto"/>
              <w:left w:val="single" w:sz="4" w:space="0" w:color="auto"/>
              <w:bottom w:val="single" w:sz="4" w:space="0" w:color="auto"/>
              <w:right w:val="single" w:sz="4" w:space="0" w:color="auto"/>
            </w:tcBorders>
            <w:vAlign w:val="center"/>
          </w:tcPr>
          <w:p w14:paraId="546CE964" w14:textId="77777777" w:rsidR="00D94FCC" w:rsidRPr="00064185" w:rsidRDefault="00D94FCC" w:rsidP="00EA61D8">
            <w:pPr>
              <w:spacing w:before="40" w:after="80"/>
            </w:pPr>
            <w:r w:rsidRPr="00064185">
              <w:t>BW</w:t>
            </w:r>
          </w:p>
        </w:tc>
        <w:tc>
          <w:tcPr>
            <w:tcW w:w="644" w:type="pct"/>
            <w:tcBorders>
              <w:top w:val="single" w:sz="4" w:space="0" w:color="auto"/>
              <w:left w:val="nil"/>
              <w:bottom w:val="single" w:sz="4" w:space="0" w:color="auto"/>
              <w:right w:val="double" w:sz="4" w:space="0" w:color="auto"/>
            </w:tcBorders>
            <w:vAlign w:val="center"/>
          </w:tcPr>
          <w:p w14:paraId="7142856F" w14:textId="77777777" w:rsidR="00D94FCC" w:rsidRPr="00064185" w:rsidRDefault="00D94FCC" w:rsidP="00EA61D8">
            <w:pPr>
              <w:spacing w:before="40" w:after="80"/>
            </w:pPr>
            <w:r w:rsidRPr="00064185">
              <w:t>10</w:t>
            </w:r>
          </w:p>
        </w:tc>
      </w:tr>
      <w:tr w:rsidR="00064185" w:rsidRPr="00064185" w14:paraId="64CA44AE" w14:textId="77777777" w:rsidTr="003A19B3">
        <w:trPr>
          <w:trHeight w:val="400"/>
        </w:trPr>
        <w:tc>
          <w:tcPr>
            <w:tcW w:w="2387" w:type="pct"/>
            <w:tcBorders>
              <w:top w:val="double" w:sz="4" w:space="0" w:color="auto"/>
              <w:left w:val="double" w:sz="4" w:space="0" w:color="auto"/>
              <w:bottom w:val="double" w:sz="4" w:space="0" w:color="auto"/>
              <w:right w:val="single" w:sz="4" w:space="0" w:color="auto"/>
            </w:tcBorders>
            <w:shd w:val="clear" w:color="auto" w:fill="auto"/>
            <w:vAlign w:val="center"/>
          </w:tcPr>
          <w:p w14:paraId="1B2C241B" w14:textId="77777777" w:rsidR="00D94FCC" w:rsidRPr="00064185" w:rsidRDefault="00D94FCC" w:rsidP="00EA61D8">
            <w:pPr>
              <w:spacing w:before="40" w:after="80"/>
            </w:pPr>
            <w:r w:rsidRPr="00064185">
              <w:t>Systemic oral dose [mg/kg bw/day]</w:t>
            </w:r>
          </w:p>
        </w:tc>
        <w:tc>
          <w:tcPr>
            <w:tcW w:w="1970" w:type="pct"/>
            <w:tcBorders>
              <w:top w:val="double" w:sz="4" w:space="0" w:color="auto"/>
              <w:left w:val="single" w:sz="4" w:space="0" w:color="auto"/>
              <w:bottom w:val="double" w:sz="4" w:space="0" w:color="auto"/>
              <w:right w:val="single" w:sz="4" w:space="0" w:color="auto"/>
            </w:tcBorders>
            <w:vAlign w:val="center"/>
          </w:tcPr>
          <w:p w14:paraId="0771E366" w14:textId="77777777" w:rsidR="00D94FCC" w:rsidRPr="00064185" w:rsidRDefault="00D94FCC" w:rsidP="00EA61D8">
            <w:pPr>
              <w:spacing w:before="40" w:after="80"/>
              <w:rPr>
                <w:lang w:val="it-IT"/>
              </w:rPr>
            </w:pPr>
            <w:proofErr w:type="gramStart"/>
            <w:r w:rsidRPr="00064185">
              <w:rPr>
                <w:lang w:val="it-IT"/>
              </w:rPr>
              <w:t>I</w:t>
            </w:r>
            <w:r w:rsidRPr="00064185">
              <w:rPr>
                <w:vertAlign w:val="subscript"/>
                <w:lang w:val="it-IT"/>
              </w:rPr>
              <w:t>oral</w:t>
            </w:r>
            <w:r w:rsidR="003A19B3" w:rsidRPr="00064185">
              <w:rPr>
                <w:lang w:val="it-IT"/>
              </w:rPr>
              <w:t xml:space="preserve"> = DL × SA × RE × F × OA× </w:t>
            </w:r>
            <w:r w:rsidRPr="00064185">
              <w:rPr>
                <w:lang w:val="it-IT"/>
              </w:rPr>
              <w:t xml:space="preserve">BW </w:t>
            </w:r>
            <w:r w:rsidRPr="00064185">
              <w:rPr>
                <w:vertAlign w:val="superscript"/>
                <w:lang w:val="it-IT"/>
              </w:rPr>
              <w:t>–1</w:t>
            </w:r>
            <w:proofErr w:type="gramEnd"/>
          </w:p>
        </w:tc>
        <w:tc>
          <w:tcPr>
            <w:tcW w:w="644" w:type="pct"/>
            <w:tcBorders>
              <w:top w:val="double" w:sz="4" w:space="0" w:color="auto"/>
              <w:left w:val="nil"/>
              <w:bottom w:val="double" w:sz="4" w:space="0" w:color="auto"/>
              <w:right w:val="double" w:sz="4" w:space="0" w:color="auto"/>
            </w:tcBorders>
            <w:vAlign w:val="center"/>
          </w:tcPr>
          <w:p w14:paraId="372D6D63" w14:textId="221FC87E" w:rsidR="00D94FCC" w:rsidRPr="00064185" w:rsidRDefault="003A6D09" w:rsidP="00EA61D8">
            <w:pPr>
              <w:spacing w:before="40" w:after="80"/>
            </w:pPr>
            <w:r w:rsidRPr="00064185">
              <w:t>0.000338</w:t>
            </w:r>
          </w:p>
        </w:tc>
      </w:tr>
    </w:tbl>
    <w:p w14:paraId="3EB9BF9F" w14:textId="77777777" w:rsidR="00E32F68" w:rsidRPr="00064185" w:rsidRDefault="00E32F68" w:rsidP="00EA61D8">
      <w:pPr>
        <w:spacing w:before="40" w:after="80"/>
      </w:pPr>
      <w:r w:rsidRPr="00064185">
        <w:t>The combined oral and dermal exposure after application for infants amounts to</w:t>
      </w:r>
    </w:p>
    <w:p w14:paraId="76F90CA0" w14:textId="1EA613EA" w:rsidR="003A19B3" w:rsidRPr="00064185" w:rsidRDefault="00E32F68" w:rsidP="00EA61D8">
      <w:pPr>
        <w:spacing w:before="40" w:after="80"/>
      </w:pPr>
      <w:r w:rsidRPr="00064185">
        <w:t>I</w:t>
      </w:r>
      <w:r w:rsidRPr="00064185">
        <w:rPr>
          <w:vertAlign w:val="subscript"/>
        </w:rPr>
        <w:t>total</w:t>
      </w:r>
      <w:r w:rsidRPr="00064185">
        <w:t xml:space="preserve"> = I</w:t>
      </w:r>
      <w:r w:rsidRPr="00064185">
        <w:rPr>
          <w:vertAlign w:val="subscript"/>
        </w:rPr>
        <w:t xml:space="preserve">oral </w:t>
      </w:r>
      <w:r w:rsidRPr="00064185">
        <w:t>+ I</w:t>
      </w:r>
      <w:r w:rsidRPr="00064185">
        <w:rPr>
          <w:vertAlign w:val="subscript"/>
        </w:rPr>
        <w:t>dermal</w:t>
      </w:r>
      <w:r w:rsidRPr="00064185">
        <w:t xml:space="preserve"> = </w:t>
      </w:r>
      <w:r w:rsidR="00A80C6D" w:rsidRPr="00064185">
        <w:t>0.00134</w:t>
      </w:r>
      <w:r w:rsidRPr="00064185">
        <w:t xml:space="preserve"> mg/kg bw/day.</w:t>
      </w:r>
    </w:p>
    <w:p w14:paraId="4B665C79" w14:textId="77777777" w:rsidR="00E1207D" w:rsidRPr="00064185" w:rsidRDefault="00E1207D" w:rsidP="00EA61D8">
      <w:pPr>
        <w:spacing w:before="40" w:after="80"/>
      </w:pPr>
    </w:p>
    <w:p w14:paraId="30F65BA9" w14:textId="77777777" w:rsidR="00E1207D" w:rsidRPr="00064185" w:rsidRDefault="00E1207D" w:rsidP="00EA61D8">
      <w:pPr>
        <w:spacing w:before="40" w:after="80" w:line="288" w:lineRule="auto"/>
      </w:pPr>
    </w:p>
    <w:p w14:paraId="762723BB" w14:textId="77777777" w:rsidR="00A53EE0" w:rsidRPr="00064185" w:rsidRDefault="00A53EE0" w:rsidP="00EA61D8">
      <w:pPr>
        <w:pStyle w:val="berschrift2"/>
        <w:rPr>
          <w:color w:val="auto"/>
          <w:lang w:val="en-GB"/>
        </w:rPr>
      </w:pPr>
      <w:bookmarkStart w:id="2148" w:name="_Toc440879688"/>
      <w:bookmarkStart w:id="2149" w:name="_Toc440890001"/>
      <w:bookmarkStart w:id="2150" w:name="_Toc530563701"/>
      <w:r w:rsidRPr="00064185">
        <w:rPr>
          <w:color w:val="auto"/>
          <w:lang w:val="en-GB"/>
        </w:rPr>
        <w:t>New information on the active substance</w:t>
      </w:r>
      <w:bookmarkEnd w:id="2143"/>
      <w:bookmarkEnd w:id="2144"/>
      <w:bookmarkEnd w:id="2148"/>
      <w:bookmarkEnd w:id="2149"/>
      <w:bookmarkEnd w:id="2150"/>
    </w:p>
    <w:p w14:paraId="49614305" w14:textId="4C7749D2" w:rsidR="00464ACE" w:rsidRPr="00064185" w:rsidRDefault="00464ACE" w:rsidP="00EA61D8">
      <w:pPr>
        <w:pStyle w:val="Absatz"/>
        <w:ind w:left="0"/>
        <w:rPr>
          <w:rFonts w:ascii="Verdana" w:hAnsi="Verdana"/>
          <w:lang w:eastAsia="en-US"/>
        </w:rPr>
      </w:pPr>
      <w:r w:rsidRPr="00064185">
        <w:rPr>
          <w:rFonts w:ascii="Verdana" w:hAnsi="Verdana"/>
          <w:lang w:eastAsia="en-US"/>
        </w:rPr>
        <w:t>Not applicable</w:t>
      </w:r>
    </w:p>
    <w:p w14:paraId="5692A5C2" w14:textId="77777777" w:rsidR="00293220" w:rsidRPr="00064185" w:rsidRDefault="00293220" w:rsidP="00EA61D8">
      <w:pPr>
        <w:rPr>
          <w:rFonts w:eastAsia="Calibri"/>
          <w:b/>
          <w:caps/>
          <w:sz w:val="28"/>
          <w:szCs w:val="28"/>
          <w:lang w:eastAsia="en-US"/>
        </w:rPr>
      </w:pPr>
    </w:p>
    <w:p w14:paraId="52EDE1CF" w14:textId="77777777" w:rsidR="00A53EE0" w:rsidRPr="00064185" w:rsidRDefault="00A53EE0" w:rsidP="00EA61D8">
      <w:pPr>
        <w:pStyle w:val="berschrift2"/>
        <w:rPr>
          <w:color w:val="auto"/>
        </w:rPr>
      </w:pPr>
      <w:bookmarkStart w:id="2151" w:name="_Toc389729192"/>
      <w:bookmarkStart w:id="2152" w:name="_Toc403472830"/>
      <w:bookmarkStart w:id="2153" w:name="_Toc440879689"/>
      <w:bookmarkStart w:id="2154" w:name="_Toc440890002"/>
      <w:bookmarkStart w:id="2155" w:name="_Toc530563702"/>
      <w:r w:rsidRPr="00064185">
        <w:rPr>
          <w:color w:val="auto"/>
        </w:rPr>
        <w:t>Residue behaviour</w:t>
      </w:r>
      <w:bookmarkEnd w:id="2151"/>
      <w:bookmarkEnd w:id="2152"/>
      <w:bookmarkEnd w:id="2153"/>
      <w:bookmarkEnd w:id="2154"/>
      <w:bookmarkEnd w:id="2155"/>
    </w:p>
    <w:p w14:paraId="434D0DCB" w14:textId="77777777" w:rsidR="00B0439E" w:rsidRPr="00064185" w:rsidRDefault="00B0439E" w:rsidP="00EA61D8">
      <w:pPr>
        <w:pStyle w:val="Absatz"/>
        <w:ind w:left="0"/>
        <w:rPr>
          <w:rFonts w:ascii="Verdana" w:hAnsi="Verdana"/>
          <w:lang w:eastAsia="en-US"/>
        </w:rPr>
      </w:pPr>
      <w:r w:rsidRPr="00064185">
        <w:rPr>
          <w:rFonts w:ascii="Verdana" w:hAnsi="Verdana"/>
          <w:lang w:eastAsia="en-US"/>
        </w:rPr>
        <w:t>Not applicable</w:t>
      </w:r>
    </w:p>
    <w:p w14:paraId="0AFCB657" w14:textId="77777777" w:rsidR="00293220" w:rsidRPr="00064185" w:rsidRDefault="00293220" w:rsidP="00EA61D8">
      <w:pPr>
        <w:rPr>
          <w:rFonts w:eastAsia="Calibri"/>
          <w:b/>
          <w:caps/>
          <w:sz w:val="28"/>
          <w:szCs w:val="28"/>
          <w:lang w:val="de-DE" w:eastAsia="en-US"/>
        </w:rPr>
      </w:pPr>
    </w:p>
    <w:p w14:paraId="1BEBEFEA" w14:textId="59101632" w:rsidR="00A53EE0" w:rsidRPr="00064185" w:rsidRDefault="00A53EE0" w:rsidP="00EA61D8">
      <w:pPr>
        <w:pStyle w:val="berschrift2"/>
        <w:rPr>
          <w:color w:val="auto"/>
          <w:lang w:val="en-GB"/>
        </w:rPr>
      </w:pPr>
      <w:bookmarkStart w:id="2156" w:name="_Toc389729193"/>
      <w:bookmarkStart w:id="2157" w:name="_Toc403472831"/>
      <w:bookmarkStart w:id="2158" w:name="_Toc440879690"/>
      <w:bookmarkStart w:id="2159" w:name="_Toc440890003"/>
      <w:bookmarkStart w:id="2160" w:name="_Toc530563703"/>
      <w:r w:rsidRPr="00064185">
        <w:rPr>
          <w:color w:val="auto"/>
          <w:lang w:val="en-GB"/>
        </w:rPr>
        <w:lastRenderedPageBreak/>
        <w:t>Summaries of the efficacy studies (B.5.10.1-</w:t>
      </w:r>
      <w:r w:rsidR="007E6C1D" w:rsidRPr="00064185">
        <w:rPr>
          <w:color w:val="auto"/>
          <w:lang w:val="en-GB"/>
        </w:rPr>
        <w:t>5</w:t>
      </w:r>
      <w:r w:rsidRPr="00064185">
        <w:rPr>
          <w:color w:val="auto"/>
          <w:lang w:val="en-GB"/>
        </w:rPr>
        <w:t>)</w:t>
      </w:r>
      <w:bookmarkEnd w:id="2156"/>
      <w:bookmarkEnd w:id="2157"/>
      <w:bookmarkEnd w:id="2158"/>
      <w:bookmarkEnd w:id="2159"/>
      <w:bookmarkEnd w:id="2160"/>
    </w:p>
    <w:tbl>
      <w:tblPr>
        <w:tblW w:w="5000" w:type="pct"/>
        <w:tblCellMar>
          <w:left w:w="70" w:type="dxa"/>
          <w:right w:w="70" w:type="dxa"/>
        </w:tblCellMar>
        <w:tblLook w:val="0000" w:firstRow="0" w:lastRow="0" w:firstColumn="0" w:lastColumn="0" w:noHBand="0" w:noVBand="0"/>
      </w:tblPr>
      <w:tblGrid>
        <w:gridCol w:w="2833"/>
        <w:gridCol w:w="5744"/>
        <w:gridCol w:w="777"/>
      </w:tblGrid>
      <w:tr w:rsidR="00064185" w:rsidRPr="00064185" w14:paraId="206AD792" w14:textId="77777777" w:rsidTr="00E80C20">
        <w:trPr>
          <w:cantSplit/>
          <w:tblHeader/>
        </w:trPr>
        <w:tc>
          <w:tcPr>
            <w:tcW w:w="1403" w:type="pct"/>
            <w:tcBorders>
              <w:bottom w:val="single" w:sz="4" w:space="0" w:color="auto"/>
            </w:tcBorders>
          </w:tcPr>
          <w:p w14:paraId="71894A7F" w14:textId="77777777" w:rsidR="00EA230B" w:rsidRPr="00064185" w:rsidRDefault="00EA230B" w:rsidP="00EA61D8">
            <w:pPr>
              <w:pStyle w:val="SectionHeader"/>
            </w:pPr>
            <w:r w:rsidRPr="00064185">
              <w:t>Section B5.10</w:t>
            </w:r>
            <w:r w:rsidRPr="00064185">
              <w:br/>
            </w:r>
            <w:r w:rsidRPr="00064185">
              <w:rPr>
                <w:sz w:val="20"/>
              </w:rPr>
              <w:t>Annex Point IIB5.10</w:t>
            </w:r>
            <w:r w:rsidRPr="00064185">
              <w:rPr>
                <w:sz w:val="20"/>
              </w:rPr>
              <w:br/>
              <w:t>TNsG: Pt. I-B5.10,</w:t>
            </w:r>
            <w:r w:rsidRPr="00064185">
              <w:rPr>
                <w:sz w:val="20"/>
              </w:rPr>
              <w:br/>
              <w:t>Pt. III-Ch. 6</w:t>
            </w:r>
          </w:p>
        </w:tc>
        <w:tc>
          <w:tcPr>
            <w:tcW w:w="3182" w:type="pct"/>
            <w:tcBorders>
              <w:bottom w:val="single" w:sz="4" w:space="0" w:color="auto"/>
            </w:tcBorders>
            <w:vAlign w:val="center"/>
          </w:tcPr>
          <w:p w14:paraId="3AFBD789" w14:textId="77777777" w:rsidR="00EA230B" w:rsidRPr="00064185" w:rsidRDefault="00EA230B" w:rsidP="00EA61D8">
            <w:pPr>
              <w:pStyle w:val="SectionHeader"/>
            </w:pPr>
            <w:r w:rsidRPr="00064185">
              <w:t xml:space="preserve">Efficacy Data </w:t>
            </w:r>
          </w:p>
          <w:p w14:paraId="6A886946" w14:textId="77777777" w:rsidR="00EA230B" w:rsidRPr="00064185" w:rsidRDefault="00EA230B" w:rsidP="00EA61D8">
            <w:pPr>
              <w:pStyle w:val="SectionHeader"/>
            </w:pPr>
            <w:r w:rsidRPr="00064185">
              <w:rPr>
                <w:b w:val="0"/>
                <w:sz w:val="20"/>
              </w:rPr>
              <w:t>5.10.</w:t>
            </w:r>
            <w:r w:rsidRPr="00064185">
              <w:t xml:space="preserve"> </w:t>
            </w:r>
            <w:r w:rsidRPr="00064185">
              <w:rPr>
                <w:b w:val="0"/>
                <w:sz w:val="20"/>
              </w:rPr>
              <w:t>Effects on target organisms (PT 18; Study 1)</w:t>
            </w:r>
          </w:p>
        </w:tc>
        <w:tc>
          <w:tcPr>
            <w:tcW w:w="414" w:type="pct"/>
            <w:tcBorders>
              <w:bottom w:val="single" w:sz="4" w:space="0" w:color="auto"/>
            </w:tcBorders>
          </w:tcPr>
          <w:p w14:paraId="0E3B9FB7" w14:textId="77777777" w:rsidR="00EA230B" w:rsidRPr="00064185" w:rsidRDefault="00EA230B" w:rsidP="00EA61D8">
            <w:pPr>
              <w:pStyle w:val="Official-Use"/>
              <w:keepNext/>
              <w:jc w:val="left"/>
              <w:rPr>
                <w:b/>
                <w:vanish/>
              </w:rPr>
            </w:pPr>
          </w:p>
        </w:tc>
      </w:tr>
      <w:tr w:rsidR="00064185" w:rsidRPr="00064185" w14:paraId="7A884BA0" w14:textId="77777777" w:rsidTr="00E80C20">
        <w:trPr>
          <w:cantSplit/>
          <w:tblHeader/>
        </w:trPr>
        <w:tc>
          <w:tcPr>
            <w:tcW w:w="1403" w:type="pct"/>
            <w:tcBorders>
              <w:top w:val="single" w:sz="4" w:space="0" w:color="auto"/>
            </w:tcBorders>
          </w:tcPr>
          <w:p w14:paraId="3DDCB655" w14:textId="77777777" w:rsidR="00EA230B" w:rsidRPr="00064185" w:rsidRDefault="00EA230B" w:rsidP="00EA61D8">
            <w:pPr>
              <w:pStyle w:val="HalbeLeerzeile"/>
            </w:pPr>
          </w:p>
        </w:tc>
        <w:tc>
          <w:tcPr>
            <w:tcW w:w="3182" w:type="pct"/>
            <w:tcBorders>
              <w:top w:val="single" w:sz="4" w:space="0" w:color="auto"/>
            </w:tcBorders>
            <w:vAlign w:val="center"/>
          </w:tcPr>
          <w:p w14:paraId="574BC0DB" w14:textId="77777777" w:rsidR="00EA230B" w:rsidRPr="00064185" w:rsidRDefault="00EA230B" w:rsidP="00EA61D8">
            <w:pPr>
              <w:pStyle w:val="HalbeLeerzeile"/>
            </w:pPr>
          </w:p>
        </w:tc>
        <w:tc>
          <w:tcPr>
            <w:tcW w:w="414" w:type="pct"/>
            <w:tcBorders>
              <w:top w:val="single" w:sz="4" w:space="0" w:color="auto"/>
            </w:tcBorders>
          </w:tcPr>
          <w:p w14:paraId="10327391" w14:textId="77777777" w:rsidR="00EA230B" w:rsidRPr="00064185" w:rsidRDefault="00EA230B" w:rsidP="00EA61D8">
            <w:pPr>
              <w:pStyle w:val="HalbeLeerzeile"/>
              <w:rPr>
                <w:b/>
                <w:vanish/>
              </w:rPr>
            </w:pPr>
          </w:p>
        </w:tc>
      </w:tr>
      <w:tr w:rsidR="00064185" w:rsidRPr="00064185" w14:paraId="78539B04" w14:textId="77777777" w:rsidTr="00E80C20">
        <w:tc>
          <w:tcPr>
            <w:tcW w:w="1403" w:type="pct"/>
          </w:tcPr>
          <w:p w14:paraId="59CA440A" w14:textId="77777777" w:rsidR="00EA230B" w:rsidRPr="00064185" w:rsidRDefault="00EA230B" w:rsidP="00EA61D8"/>
        </w:tc>
        <w:tc>
          <w:tcPr>
            <w:tcW w:w="3182" w:type="pct"/>
            <w:vAlign w:val="center"/>
          </w:tcPr>
          <w:p w14:paraId="3FA12AD8" w14:textId="77777777" w:rsidR="00EA230B" w:rsidRPr="00064185" w:rsidRDefault="00EA230B" w:rsidP="00EA61D8">
            <w:pPr>
              <w:pStyle w:val="TEXTTEXT"/>
            </w:pPr>
            <w:r w:rsidRPr="00064185">
              <w:t>Reference</w:t>
            </w:r>
          </w:p>
        </w:tc>
        <w:tc>
          <w:tcPr>
            <w:tcW w:w="414" w:type="pct"/>
            <w:shd w:val="pct10" w:color="auto" w:fill="auto"/>
          </w:tcPr>
          <w:p w14:paraId="24F579EF" w14:textId="77777777" w:rsidR="00EA230B" w:rsidRPr="00064185" w:rsidRDefault="00EA230B" w:rsidP="00EA61D8">
            <w:pPr>
              <w:pStyle w:val="Official-Use"/>
              <w:keepNext/>
              <w:jc w:val="left"/>
              <w:rPr>
                <w:b/>
              </w:rPr>
            </w:pPr>
            <w:r w:rsidRPr="00064185">
              <w:rPr>
                <w:b/>
              </w:rPr>
              <w:t>Official</w:t>
            </w:r>
            <w:r w:rsidRPr="00064185">
              <w:rPr>
                <w:b/>
              </w:rPr>
              <w:br/>
              <w:t>use only</w:t>
            </w:r>
          </w:p>
        </w:tc>
      </w:tr>
      <w:tr w:rsidR="00064185" w:rsidRPr="00064185" w14:paraId="2122E59D" w14:textId="77777777" w:rsidTr="00E80C20">
        <w:tc>
          <w:tcPr>
            <w:tcW w:w="1403" w:type="pct"/>
          </w:tcPr>
          <w:p w14:paraId="3A6ED673" w14:textId="77777777" w:rsidR="00EA230B" w:rsidRPr="00064185" w:rsidRDefault="00EA230B" w:rsidP="00EA61D8">
            <w:pPr>
              <w:pStyle w:val="TextText11"/>
              <w:rPr>
                <w:color w:val="auto"/>
              </w:rPr>
            </w:pPr>
            <w:r w:rsidRPr="00064185">
              <w:rPr>
                <w:color w:val="auto"/>
              </w:rPr>
              <w:t>Reference</w:t>
            </w:r>
          </w:p>
        </w:tc>
        <w:tc>
          <w:tcPr>
            <w:tcW w:w="3182" w:type="pct"/>
            <w:vAlign w:val="center"/>
          </w:tcPr>
          <w:p w14:paraId="4925C621" w14:textId="5A392DA7" w:rsidR="00EA230B" w:rsidRPr="00064185" w:rsidRDefault="00EA230B" w:rsidP="00EA61D8">
            <w:r w:rsidRPr="00064185">
              <w:t>Serrano, B. (2007</w:t>
            </w:r>
            <w:r w:rsidR="00BA543B" w:rsidRPr="00064185">
              <w:t>a</w:t>
            </w:r>
            <w:r w:rsidRPr="00064185">
              <w:t>): Field trial of the efficacy of insecticide products against garden ants. T.E.C. Laboratory, Anglet, France, Report No. 1204b/0707R, Date: 2007-09-11 (unpublished)</w:t>
            </w:r>
          </w:p>
        </w:tc>
        <w:tc>
          <w:tcPr>
            <w:tcW w:w="414" w:type="pct"/>
            <w:shd w:val="pct10" w:color="auto" w:fill="auto"/>
          </w:tcPr>
          <w:p w14:paraId="492EBD59"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5AF3F706" w14:textId="77777777" w:rsidTr="00E80C20">
        <w:tc>
          <w:tcPr>
            <w:tcW w:w="1403" w:type="pct"/>
          </w:tcPr>
          <w:p w14:paraId="52CF6930" w14:textId="77777777" w:rsidR="00EA230B" w:rsidRPr="00064185" w:rsidRDefault="00EA230B" w:rsidP="00EA61D8">
            <w:pPr>
              <w:pStyle w:val="TextText11"/>
              <w:rPr>
                <w:color w:val="auto"/>
              </w:rPr>
            </w:pPr>
            <w:r w:rsidRPr="00064185">
              <w:rPr>
                <w:color w:val="auto"/>
              </w:rPr>
              <w:t>Data protection</w:t>
            </w:r>
          </w:p>
        </w:tc>
        <w:tc>
          <w:tcPr>
            <w:tcW w:w="3182" w:type="pct"/>
            <w:vAlign w:val="center"/>
          </w:tcPr>
          <w:p w14:paraId="7A033644" w14:textId="77777777" w:rsidR="00EA230B" w:rsidRPr="00064185" w:rsidRDefault="00EA230B" w:rsidP="00EA61D8">
            <w:pPr>
              <w:pStyle w:val="Standard-italics"/>
              <w:rPr>
                <w:i w:val="0"/>
              </w:rPr>
            </w:pPr>
            <w:r w:rsidRPr="00064185">
              <w:rPr>
                <w:i w:val="0"/>
              </w:rPr>
              <w:t>Yes</w:t>
            </w:r>
          </w:p>
        </w:tc>
        <w:tc>
          <w:tcPr>
            <w:tcW w:w="414" w:type="pct"/>
            <w:shd w:val="pct10" w:color="auto" w:fill="auto"/>
          </w:tcPr>
          <w:p w14:paraId="6845DB1E"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59FD2A46" w14:textId="77777777" w:rsidTr="00E80C20">
        <w:tc>
          <w:tcPr>
            <w:tcW w:w="1403" w:type="pct"/>
          </w:tcPr>
          <w:p w14:paraId="5C5874F3" w14:textId="77777777" w:rsidR="00EA230B" w:rsidRPr="00064185" w:rsidRDefault="00EA230B" w:rsidP="00EA61D8">
            <w:pPr>
              <w:pStyle w:val="TxtTxtTxt"/>
            </w:pPr>
            <w:r w:rsidRPr="00064185">
              <w:t>Data owner</w:t>
            </w:r>
          </w:p>
        </w:tc>
        <w:tc>
          <w:tcPr>
            <w:tcW w:w="3182" w:type="pct"/>
            <w:vAlign w:val="center"/>
          </w:tcPr>
          <w:p w14:paraId="488B6AF7" w14:textId="77777777" w:rsidR="00EA230B" w:rsidRPr="00064185" w:rsidRDefault="00EA230B" w:rsidP="00EA61D8">
            <w:pPr>
              <w:pStyle w:val="Standard-italics"/>
              <w:rPr>
                <w:i w:val="0"/>
              </w:rPr>
            </w:pPr>
            <w:r w:rsidRPr="00064185">
              <w:rPr>
                <w:i w:val="0"/>
              </w:rPr>
              <w:t>Compo GmbH &amp; Co. KG</w:t>
            </w:r>
          </w:p>
        </w:tc>
        <w:tc>
          <w:tcPr>
            <w:tcW w:w="414" w:type="pct"/>
            <w:shd w:val="pct10" w:color="auto" w:fill="auto"/>
          </w:tcPr>
          <w:p w14:paraId="279353A8"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4AB3190B" w14:textId="77777777" w:rsidTr="00E80C20">
        <w:tc>
          <w:tcPr>
            <w:tcW w:w="1403" w:type="pct"/>
          </w:tcPr>
          <w:p w14:paraId="604B9BE4" w14:textId="77777777" w:rsidR="00EA230B" w:rsidRPr="00064185" w:rsidRDefault="00EA230B" w:rsidP="00EA61D8">
            <w:pPr>
              <w:pStyle w:val="TxtTxtTxt"/>
            </w:pPr>
            <w:r w:rsidRPr="00064185">
              <w:t>Companies with Letter of Access</w:t>
            </w:r>
          </w:p>
        </w:tc>
        <w:tc>
          <w:tcPr>
            <w:tcW w:w="3182" w:type="pct"/>
            <w:vAlign w:val="center"/>
          </w:tcPr>
          <w:p w14:paraId="4FA85936" w14:textId="77777777" w:rsidR="00EA230B" w:rsidRPr="00064185" w:rsidRDefault="00EA230B" w:rsidP="00EA61D8">
            <w:r w:rsidRPr="00064185">
              <w:t xml:space="preserve">– </w:t>
            </w:r>
          </w:p>
        </w:tc>
        <w:tc>
          <w:tcPr>
            <w:tcW w:w="414" w:type="pct"/>
            <w:shd w:val="pct10" w:color="auto" w:fill="auto"/>
          </w:tcPr>
          <w:p w14:paraId="08734F3A"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0714AF61" w14:textId="77777777" w:rsidTr="00E80C20">
        <w:tc>
          <w:tcPr>
            <w:tcW w:w="1403" w:type="pct"/>
          </w:tcPr>
          <w:p w14:paraId="53D4A4F2" w14:textId="77777777" w:rsidR="00EA230B" w:rsidRPr="00064185" w:rsidRDefault="00EA230B" w:rsidP="00EA61D8">
            <w:pPr>
              <w:pStyle w:val="TxtTxtTxt"/>
            </w:pPr>
            <w:r w:rsidRPr="00064185">
              <w:t>Criteria for data protection</w:t>
            </w:r>
          </w:p>
        </w:tc>
        <w:tc>
          <w:tcPr>
            <w:tcW w:w="3182" w:type="pct"/>
          </w:tcPr>
          <w:p w14:paraId="1FC8AB9C" w14:textId="77777777" w:rsidR="00EA230B" w:rsidRPr="00064185" w:rsidRDefault="00EA230B" w:rsidP="00EA61D8">
            <w:r w:rsidRPr="00064185">
              <w:t>Data submitted to the MS after 13 May 2000 on existing b.p. for the purpose of its authorisation.</w:t>
            </w:r>
          </w:p>
        </w:tc>
        <w:tc>
          <w:tcPr>
            <w:tcW w:w="414" w:type="pct"/>
            <w:shd w:val="pct10" w:color="auto" w:fill="auto"/>
          </w:tcPr>
          <w:p w14:paraId="706C5563"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12C4F7A2" w14:textId="77777777" w:rsidTr="00E80C20">
        <w:tc>
          <w:tcPr>
            <w:tcW w:w="1403" w:type="pct"/>
          </w:tcPr>
          <w:p w14:paraId="3F98CBD1" w14:textId="77777777" w:rsidR="00EA230B" w:rsidRPr="00064185" w:rsidRDefault="00EA230B" w:rsidP="00EA61D8">
            <w:pPr>
              <w:pStyle w:val="TextText11"/>
              <w:rPr>
                <w:color w:val="auto"/>
              </w:rPr>
            </w:pPr>
            <w:r w:rsidRPr="00064185">
              <w:rPr>
                <w:color w:val="auto"/>
              </w:rPr>
              <w:t>Guideline study</w:t>
            </w:r>
          </w:p>
        </w:tc>
        <w:tc>
          <w:tcPr>
            <w:tcW w:w="3182" w:type="pct"/>
            <w:vAlign w:val="center"/>
          </w:tcPr>
          <w:p w14:paraId="63CFF7E0" w14:textId="77777777" w:rsidR="00EA230B" w:rsidRPr="00064185" w:rsidRDefault="00EA230B" w:rsidP="00EA61D8">
            <w:pPr>
              <w:pStyle w:val="Standard-italics"/>
              <w:rPr>
                <w:i w:val="0"/>
                <w:vertAlign w:val="subscript"/>
              </w:rPr>
            </w:pPr>
            <w:r w:rsidRPr="00064185">
              <w:rPr>
                <w:i w:val="0"/>
              </w:rPr>
              <w:t>The methodology was based on the French official registration protocol C.E.B no. 1 "Methodology for field testing of a specialty against ants".</w:t>
            </w:r>
          </w:p>
        </w:tc>
        <w:tc>
          <w:tcPr>
            <w:tcW w:w="414" w:type="pct"/>
            <w:shd w:val="pct10" w:color="auto" w:fill="auto"/>
          </w:tcPr>
          <w:p w14:paraId="3C653C3E" w14:textId="77777777" w:rsidR="00EA230B" w:rsidRPr="00064185" w:rsidRDefault="00EA230B" w:rsidP="00EA61D8"/>
        </w:tc>
      </w:tr>
      <w:tr w:rsidR="00064185" w:rsidRPr="00064185" w14:paraId="24E3906B" w14:textId="77777777" w:rsidTr="00E80C20">
        <w:tc>
          <w:tcPr>
            <w:tcW w:w="1403" w:type="pct"/>
          </w:tcPr>
          <w:p w14:paraId="295CC4EA" w14:textId="77777777" w:rsidR="00EA230B" w:rsidRPr="00064185" w:rsidRDefault="00EA230B" w:rsidP="00EA61D8">
            <w:pPr>
              <w:pStyle w:val="TextText11"/>
              <w:rPr>
                <w:color w:val="auto"/>
              </w:rPr>
            </w:pPr>
            <w:r w:rsidRPr="00064185">
              <w:rPr>
                <w:color w:val="auto"/>
              </w:rPr>
              <w:t>Deviations</w:t>
            </w:r>
          </w:p>
        </w:tc>
        <w:tc>
          <w:tcPr>
            <w:tcW w:w="3182" w:type="pct"/>
            <w:vAlign w:val="center"/>
          </w:tcPr>
          <w:p w14:paraId="66FB0E49" w14:textId="77777777" w:rsidR="00EA230B" w:rsidRPr="00064185" w:rsidRDefault="00EA230B" w:rsidP="00EA61D8">
            <w:pPr>
              <w:pStyle w:val="Standard-italics"/>
              <w:rPr>
                <w:i w:val="0"/>
              </w:rPr>
            </w:pPr>
            <w:r w:rsidRPr="00064185">
              <w:rPr>
                <w:i w:val="0"/>
              </w:rPr>
              <w:t>none</w:t>
            </w:r>
          </w:p>
        </w:tc>
        <w:tc>
          <w:tcPr>
            <w:tcW w:w="414" w:type="pct"/>
            <w:shd w:val="pct10" w:color="auto" w:fill="auto"/>
          </w:tcPr>
          <w:p w14:paraId="485FF916" w14:textId="77777777" w:rsidR="00EA230B" w:rsidRPr="00064185" w:rsidRDefault="00EA230B" w:rsidP="00EA61D8"/>
        </w:tc>
      </w:tr>
      <w:tr w:rsidR="00064185" w:rsidRPr="00064185" w14:paraId="753C794D" w14:textId="77777777" w:rsidTr="00E80C20">
        <w:tc>
          <w:tcPr>
            <w:tcW w:w="1403" w:type="pct"/>
          </w:tcPr>
          <w:p w14:paraId="49282107" w14:textId="77777777" w:rsidR="00EA230B" w:rsidRPr="00064185" w:rsidRDefault="00EA230B" w:rsidP="00EA61D8">
            <w:pPr>
              <w:pStyle w:val="Kommentartext"/>
            </w:pPr>
          </w:p>
        </w:tc>
        <w:tc>
          <w:tcPr>
            <w:tcW w:w="3182" w:type="pct"/>
            <w:vAlign w:val="center"/>
          </w:tcPr>
          <w:p w14:paraId="2387E050" w14:textId="77777777" w:rsidR="00EA230B" w:rsidRPr="00064185" w:rsidRDefault="00EA230B" w:rsidP="00EA61D8">
            <w:pPr>
              <w:pStyle w:val="TEXTTEXT"/>
            </w:pPr>
            <w:r w:rsidRPr="00064185">
              <w:t>Method</w:t>
            </w:r>
          </w:p>
        </w:tc>
        <w:tc>
          <w:tcPr>
            <w:tcW w:w="414" w:type="pct"/>
            <w:shd w:val="pct10" w:color="auto" w:fill="auto"/>
          </w:tcPr>
          <w:p w14:paraId="2EB51D94"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7EB5805F"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C066434" w14:textId="77777777" w:rsidR="00EA230B" w:rsidRPr="00064185" w:rsidRDefault="00EA230B" w:rsidP="00EA61D8">
            <w:pPr>
              <w:pStyle w:val="TextText11"/>
              <w:rPr>
                <w:color w:val="auto"/>
              </w:rPr>
            </w:pPr>
            <w:r w:rsidRPr="00064185">
              <w:rPr>
                <w:color w:val="auto"/>
              </w:rPr>
              <w:t xml:space="preserve">Test Substance </w:t>
            </w:r>
          </w:p>
        </w:tc>
        <w:tc>
          <w:tcPr>
            <w:tcW w:w="3182" w:type="pct"/>
            <w:tcBorders>
              <w:top w:val="nil"/>
              <w:left w:val="nil"/>
              <w:bottom w:val="nil"/>
              <w:right w:val="nil"/>
            </w:tcBorders>
            <w:vAlign w:val="center"/>
          </w:tcPr>
          <w:p w14:paraId="0C3EE1A8" w14:textId="77777777" w:rsidR="00EA230B" w:rsidRPr="00064185" w:rsidRDefault="00EA230B" w:rsidP="00EA61D8">
            <w:pPr>
              <w:rPr>
                <w:lang w:val="nb-NO"/>
              </w:rPr>
            </w:pPr>
            <w:r w:rsidRPr="00064185">
              <w:rPr>
                <w:lang w:val="nb-NO"/>
              </w:rPr>
              <w:t>COM 116 02 I AL</w:t>
            </w:r>
          </w:p>
        </w:tc>
        <w:tc>
          <w:tcPr>
            <w:tcW w:w="414" w:type="pct"/>
            <w:tcBorders>
              <w:top w:val="nil"/>
              <w:left w:val="nil"/>
              <w:bottom w:val="nil"/>
              <w:right w:val="nil"/>
            </w:tcBorders>
            <w:shd w:val="pct10" w:color="auto" w:fill="auto"/>
          </w:tcPr>
          <w:p w14:paraId="63639770" w14:textId="77777777" w:rsidR="00EA230B" w:rsidRPr="00064185" w:rsidRDefault="00EA230B" w:rsidP="00EA61D8"/>
        </w:tc>
      </w:tr>
      <w:tr w:rsidR="00064185" w:rsidRPr="00064185" w14:paraId="30411316"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140AB0CE" w14:textId="77777777" w:rsidR="00EA230B" w:rsidRPr="00064185" w:rsidRDefault="00EA230B" w:rsidP="00EA61D8">
            <w:pPr>
              <w:pStyle w:val="TxtTxtTxt"/>
            </w:pPr>
            <w:r w:rsidRPr="00064185">
              <w:t>Purity</w:t>
            </w:r>
          </w:p>
        </w:tc>
        <w:tc>
          <w:tcPr>
            <w:tcW w:w="3182" w:type="pct"/>
            <w:tcBorders>
              <w:top w:val="nil"/>
              <w:left w:val="nil"/>
              <w:bottom w:val="nil"/>
              <w:right w:val="nil"/>
            </w:tcBorders>
            <w:vAlign w:val="center"/>
          </w:tcPr>
          <w:p w14:paraId="792D7EB6" w14:textId="77777777" w:rsidR="00EA230B" w:rsidRPr="00064185" w:rsidRDefault="00EA230B" w:rsidP="00EA61D8">
            <w:pPr>
              <w:pStyle w:val="Standard-italics"/>
              <w:rPr>
                <w:i w:val="0"/>
              </w:rPr>
            </w:pPr>
            <w:r w:rsidRPr="00064185">
              <w:rPr>
                <w:i w:val="0"/>
              </w:rPr>
              <w:t xml:space="preserve">The biocidal product contains </w:t>
            </w:r>
            <w:r w:rsidRPr="00064185">
              <w:rPr>
                <w:i w:val="0"/>
                <w:lang w:val="nb-NO"/>
              </w:rPr>
              <w:t>0.5 g/kg of the active substance lambda-cyhalothrin</w:t>
            </w:r>
            <w:r w:rsidRPr="00064185">
              <w:rPr>
                <w:i w:val="0"/>
              </w:rPr>
              <w:t>.</w:t>
            </w:r>
          </w:p>
        </w:tc>
        <w:tc>
          <w:tcPr>
            <w:tcW w:w="414" w:type="pct"/>
            <w:tcBorders>
              <w:top w:val="nil"/>
              <w:left w:val="nil"/>
              <w:bottom w:val="nil"/>
              <w:right w:val="nil"/>
            </w:tcBorders>
            <w:shd w:val="pct10" w:color="auto" w:fill="auto"/>
          </w:tcPr>
          <w:p w14:paraId="61630EF1" w14:textId="77777777" w:rsidR="00EA230B" w:rsidRPr="00064185" w:rsidRDefault="00EA230B" w:rsidP="00EA61D8"/>
        </w:tc>
      </w:tr>
      <w:tr w:rsidR="00064185" w:rsidRPr="00064185" w14:paraId="68136961"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B85FD2C" w14:textId="77777777" w:rsidR="00EA230B" w:rsidRPr="00064185" w:rsidRDefault="00EA230B" w:rsidP="00EA61D8">
            <w:pPr>
              <w:pStyle w:val="TxtTxtTxt"/>
            </w:pPr>
            <w:r w:rsidRPr="00064185">
              <w:t>Physical state and nature</w:t>
            </w:r>
          </w:p>
        </w:tc>
        <w:tc>
          <w:tcPr>
            <w:tcW w:w="3182" w:type="pct"/>
            <w:tcBorders>
              <w:top w:val="nil"/>
              <w:left w:val="nil"/>
              <w:bottom w:val="nil"/>
              <w:right w:val="nil"/>
            </w:tcBorders>
            <w:vAlign w:val="center"/>
          </w:tcPr>
          <w:p w14:paraId="6E4E5414" w14:textId="77777777" w:rsidR="00EA230B" w:rsidRPr="00064185" w:rsidRDefault="00EA230B" w:rsidP="00EA61D8">
            <w:pPr>
              <w:pStyle w:val="Standard-italics"/>
              <w:rPr>
                <w:i w:val="0"/>
              </w:rPr>
            </w:pPr>
            <w:r w:rsidRPr="00064185">
              <w:rPr>
                <w:i w:val="0"/>
              </w:rPr>
              <w:t>Liquid formulation: cloudy liquid with whitish colour</w:t>
            </w:r>
          </w:p>
        </w:tc>
        <w:tc>
          <w:tcPr>
            <w:tcW w:w="414" w:type="pct"/>
            <w:tcBorders>
              <w:top w:val="nil"/>
              <w:left w:val="nil"/>
              <w:bottom w:val="nil"/>
              <w:right w:val="nil"/>
            </w:tcBorders>
            <w:shd w:val="pct10" w:color="auto" w:fill="auto"/>
          </w:tcPr>
          <w:p w14:paraId="4DFC6DF7" w14:textId="77777777" w:rsidR="00EA230B" w:rsidRPr="00064185" w:rsidRDefault="00EA230B" w:rsidP="00EA61D8"/>
        </w:tc>
      </w:tr>
      <w:tr w:rsidR="00064185" w:rsidRPr="00064185" w14:paraId="2998C8F4"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BBEA779" w14:textId="77777777" w:rsidR="00EA230B" w:rsidRPr="00064185" w:rsidRDefault="00EA230B" w:rsidP="00EA61D8">
            <w:pPr>
              <w:pStyle w:val="TxtTxtTxt"/>
            </w:pPr>
            <w:r w:rsidRPr="00064185">
              <w:t>Method of analysis</w:t>
            </w:r>
          </w:p>
        </w:tc>
        <w:tc>
          <w:tcPr>
            <w:tcW w:w="3182" w:type="pct"/>
            <w:tcBorders>
              <w:top w:val="nil"/>
              <w:left w:val="nil"/>
              <w:bottom w:val="nil"/>
              <w:right w:val="nil"/>
            </w:tcBorders>
            <w:vAlign w:val="center"/>
          </w:tcPr>
          <w:p w14:paraId="6C2BA2BF" w14:textId="77777777" w:rsidR="00EA230B" w:rsidRPr="00064185" w:rsidRDefault="00EA230B" w:rsidP="00EA61D8">
            <w:pPr>
              <w:pStyle w:val="Standard-italics"/>
              <w:rPr>
                <w:i w:val="0"/>
              </w:rPr>
            </w:pPr>
            <w:r w:rsidRPr="00064185">
              <w:rPr>
                <w:i w:val="0"/>
              </w:rPr>
              <w:t>As described in Section 5 of dossier.</w:t>
            </w:r>
          </w:p>
        </w:tc>
        <w:tc>
          <w:tcPr>
            <w:tcW w:w="414" w:type="pct"/>
            <w:tcBorders>
              <w:top w:val="nil"/>
              <w:left w:val="nil"/>
              <w:bottom w:val="nil"/>
              <w:right w:val="nil"/>
            </w:tcBorders>
            <w:shd w:val="pct10" w:color="auto" w:fill="auto"/>
          </w:tcPr>
          <w:p w14:paraId="610F78C3" w14:textId="77777777" w:rsidR="00EA230B" w:rsidRPr="00064185" w:rsidRDefault="00EA230B" w:rsidP="00EA61D8"/>
        </w:tc>
      </w:tr>
      <w:tr w:rsidR="00064185" w:rsidRPr="00064185" w14:paraId="753789D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561F2A2" w14:textId="77777777" w:rsidR="00EA230B" w:rsidRPr="00064185" w:rsidRDefault="00EA230B" w:rsidP="00EA61D8">
            <w:pPr>
              <w:pStyle w:val="TextText11"/>
              <w:rPr>
                <w:color w:val="auto"/>
              </w:rPr>
            </w:pPr>
            <w:r w:rsidRPr="00064185">
              <w:rPr>
                <w:color w:val="auto"/>
              </w:rPr>
              <w:t>Reference substance</w:t>
            </w:r>
          </w:p>
        </w:tc>
        <w:tc>
          <w:tcPr>
            <w:tcW w:w="3182" w:type="pct"/>
            <w:tcBorders>
              <w:top w:val="nil"/>
              <w:left w:val="nil"/>
              <w:bottom w:val="nil"/>
              <w:right w:val="nil"/>
            </w:tcBorders>
            <w:vAlign w:val="center"/>
          </w:tcPr>
          <w:p w14:paraId="79A62151" w14:textId="77777777" w:rsidR="00EA230B" w:rsidRPr="00064185" w:rsidRDefault="00EA230B" w:rsidP="00EA61D8">
            <w:pPr>
              <w:autoSpaceDE w:val="0"/>
              <w:autoSpaceDN w:val="0"/>
              <w:adjustRightInd w:val="0"/>
              <w:rPr>
                <w:rFonts w:ascii="Arial" w:hAnsi="Arial"/>
              </w:rPr>
            </w:pPr>
            <w:r w:rsidRPr="00064185">
              <w:t>AFOURMI SG (0.02 % fipronil, batch 1834Y EMB, AMM 9900344)</w:t>
            </w:r>
          </w:p>
        </w:tc>
        <w:tc>
          <w:tcPr>
            <w:tcW w:w="414" w:type="pct"/>
            <w:tcBorders>
              <w:top w:val="nil"/>
              <w:left w:val="nil"/>
              <w:bottom w:val="nil"/>
              <w:right w:val="nil"/>
            </w:tcBorders>
            <w:shd w:val="pct10" w:color="auto" w:fill="auto"/>
          </w:tcPr>
          <w:p w14:paraId="755912EA" w14:textId="77777777" w:rsidR="00EA230B" w:rsidRPr="00064185" w:rsidRDefault="00EA230B" w:rsidP="00EA61D8"/>
        </w:tc>
      </w:tr>
      <w:tr w:rsidR="00064185" w:rsidRPr="00064185" w14:paraId="33BF2C24"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EAF565D" w14:textId="77777777" w:rsidR="00EA230B" w:rsidRPr="00064185" w:rsidRDefault="00EA230B" w:rsidP="00EA61D8">
            <w:pPr>
              <w:pStyle w:val="TextText11"/>
              <w:rPr>
                <w:color w:val="auto"/>
              </w:rPr>
            </w:pPr>
            <w:r w:rsidRPr="00064185">
              <w:rPr>
                <w:color w:val="auto"/>
              </w:rPr>
              <w:t>Testing procedure</w:t>
            </w:r>
          </w:p>
        </w:tc>
        <w:tc>
          <w:tcPr>
            <w:tcW w:w="3182" w:type="pct"/>
            <w:tcBorders>
              <w:top w:val="nil"/>
              <w:left w:val="nil"/>
              <w:bottom w:val="nil"/>
              <w:right w:val="nil"/>
            </w:tcBorders>
            <w:vAlign w:val="center"/>
          </w:tcPr>
          <w:p w14:paraId="57913195" w14:textId="77777777" w:rsidR="00EA230B" w:rsidRPr="00064185" w:rsidRDefault="00EA230B" w:rsidP="00EA61D8">
            <w:pPr>
              <w:pStyle w:val="Tabellenformat"/>
              <w:spacing w:before="0"/>
            </w:pPr>
          </w:p>
        </w:tc>
        <w:tc>
          <w:tcPr>
            <w:tcW w:w="414" w:type="pct"/>
            <w:tcBorders>
              <w:top w:val="nil"/>
              <w:left w:val="nil"/>
              <w:bottom w:val="nil"/>
              <w:right w:val="nil"/>
            </w:tcBorders>
            <w:shd w:val="pct10" w:color="auto" w:fill="auto"/>
          </w:tcPr>
          <w:p w14:paraId="78280E72" w14:textId="77777777" w:rsidR="00EA230B" w:rsidRPr="00064185" w:rsidRDefault="00EA230B" w:rsidP="00EA61D8">
            <w:pPr>
              <w:keepNext/>
            </w:pPr>
          </w:p>
        </w:tc>
      </w:tr>
      <w:tr w:rsidR="00064185" w:rsidRPr="00064185" w14:paraId="11B200AF"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80D3D51" w14:textId="77777777" w:rsidR="00EA230B" w:rsidRPr="00064185" w:rsidRDefault="00EA230B" w:rsidP="00EA61D8">
            <w:pPr>
              <w:pStyle w:val="TxtTxtTxt"/>
            </w:pPr>
            <w:r w:rsidRPr="00064185">
              <w:t xml:space="preserve">Test population / </w:t>
            </w:r>
            <w:r w:rsidRPr="00064185">
              <w:br/>
              <w:t>inoculum /</w:t>
            </w:r>
            <w:r w:rsidRPr="00064185">
              <w:br/>
              <w:t>test organism</w:t>
            </w:r>
          </w:p>
        </w:tc>
        <w:tc>
          <w:tcPr>
            <w:tcW w:w="3182" w:type="pct"/>
            <w:tcBorders>
              <w:top w:val="nil"/>
              <w:left w:val="nil"/>
              <w:bottom w:val="nil"/>
              <w:right w:val="nil"/>
            </w:tcBorders>
            <w:vAlign w:val="center"/>
          </w:tcPr>
          <w:p w14:paraId="3EF616E8" w14:textId="77777777" w:rsidR="00EA230B" w:rsidRPr="00064185" w:rsidRDefault="00EA230B" w:rsidP="00EA61D8">
            <w:pPr>
              <w:pStyle w:val="Standard-italics"/>
            </w:pPr>
            <w:r w:rsidRPr="00064185">
              <w:t>Lasius niger</w:t>
            </w:r>
          </w:p>
        </w:tc>
        <w:tc>
          <w:tcPr>
            <w:tcW w:w="414" w:type="pct"/>
            <w:tcBorders>
              <w:top w:val="nil"/>
              <w:left w:val="nil"/>
              <w:bottom w:val="nil"/>
              <w:right w:val="nil"/>
            </w:tcBorders>
            <w:shd w:val="pct10" w:color="auto" w:fill="auto"/>
          </w:tcPr>
          <w:p w14:paraId="01D98AE4" w14:textId="77777777" w:rsidR="00EA230B" w:rsidRPr="00064185" w:rsidRDefault="00EA230B" w:rsidP="00EA61D8">
            <w:pPr>
              <w:keepNext/>
            </w:pPr>
          </w:p>
        </w:tc>
      </w:tr>
      <w:tr w:rsidR="00064185" w:rsidRPr="00064185" w14:paraId="111E0188"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4D0E15C" w14:textId="77777777" w:rsidR="00EA230B" w:rsidRPr="00064185" w:rsidRDefault="00EA230B" w:rsidP="00EA61D8">
            <w:pPr>
              <w:pStyle w:val="TxtTxtTxt"/>
            </w:pPr>
            <w:r w:rsidRPr="00064185">
              <w:lastRenderedPageBreak/>
              <w:t>Test system</w:t>
            </w:r>
          </w:p>
        </w:tc>
        <w:tc>
          <w:tcPr>
            <w:tcW w:w="3182" w:type="pct"/>
            <w:tcBorders>
              <w:top w:val="nil"/>
              <w:left w:val="nil"/>
              <w:bottom w:val="nil"/>
              <w:right w:val="nil"/>
            </w:tcBorders>
            <w:vAlign w:val="center"/>
          </w:tcPr>
          <w:p w14:paraId="0C628893" w14:textId="77777777" w:rsidR="00EA230B" w:rsidRPr="00064185" w:rsidRDefault="00EA230B" w:rsidP="00EA61D8">
            <w:pPr>
              <w:pStyle w:val="Standard-italics"/>
              <w:rPr>
                <w:i w:val="0"/>
              </w:rPr>
            </w:pPr>
            <w:r w:rsidRPr="00064185">
              <w:rPr>
                <w:i w:val="0"/>
              </w:rPr>
              <w:t>Effectiveness of insecticide hand sprayer was tested against garden ants.</w:t>
            </w:r>
          </w:p>
        </w:tc>
        <w:tc>
          <w:tcPr>
            <w:tcW w:w="414" w:type="pct"/>
            <w:tcBorders>
              <w:top w:val="nil"/>
              <w:left w:val="nil"/>
              <w:bottom w:val="nil"/>
              <w:right w:val="nil"/>
            </w:tcBorders>
            <w:shd w:val="pct10" w:color="auto" w:fill="auto"/>
          </w:tcPr>
          <w:p w14:paraId="3B1E3683" w14:textId="77777777" w:rsidR="00EA230B" w:rsidRPr="00064185" w:rsidRDefault="00EA230B" w:rsidP="00EA61D8"/>
        </w:tc>
      </w:tr>
      <w:tr w:rsidR="00064185" w:rsidRPr="00064185" w14:paraId="2875F4CB"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72D6BE3" w14:textId="77777777" w:rsidR="00EA230B" w:rsidRPr="00064185" w:rsidRDefault="00EA230B" w:rsidP="00EA61D8">
            <w:pPr>
              <w:pStyle w:val="TxtTxtTxt"/>
            </w:pPr>
            <w:r w:rsidRPr="00064185">
              <w:t>Application of TS</w:t>
            </w:r>
          </w:p>
        </w:tc>
        <w:tc>
          <w:tcPr>
            <w:tcW w:w="3182" w:type="pct"/>
            <w:tcBorders>
              <w:top w:val="nil"/>
              <w:left w:val="nil"/>
              <w:bottom w:val="nil"/>
              <w:right w:val="nil"/>
            </w:tcBorders>
            <w:vAlign w:val="center"/>
          </w:tcPr>
          <w:p w14:paraId="3490C71F" w14:textId="77777777" w:rsidR="00EA230B" w:rsidRPr="00064185" w:rsidRDefault="00EA230B" w:rsidP="00EA61D8">
            <w:pPr>
              <w:pStyle w:val="Standard-italics"/>
              <w:rPr>
                <w:i w:val="0"/>
              </w:rPr>
            </w:pPr>
            <w:r w:rsidRPr="00064185">
              <w:rPr>
                <w:i w:val="0"/>
              </w:rPr>
              <w:t>Hand sprayer: 10 g/m ant pathway (10 strokes per linear meter) and coarse spray directly on nest entries</w:t>
            </w:r>
          </w:p>
        </w:tc>
        <w:tc>
          <w:tcPr>
            <w:tcW w:w="414" w:type="pct"/>
            <w:tcBorders>
              <w:top w:val="nil"/>
              <w:left w:val="nil"/>
              <w:bottom w:val="nil"/>
              <w:right w:val="nil"/>
            </w:tcBorders>
            <w:shd w:val="pct10" w:color="auto" w:fill="auto"/>
          </w:tcPr>
          <w:p w14:paraId="3133BA11" w14:textId="4A4BFCEC" w:rsidR="00EA230B" w:rsidRPr="00064185" w:rsidRDefault="00BA543B" w:rsidP="00EA61D8">
            <w:r w:rsidRPr="00064185">
              <w:t>x</w:t>
            </w:r>
          </w:p>
        </w:tc>
      </w:tr>
      <w:tr w:rsidR="00064185" w:rsidRPr="00064185" w14:paraId="624043BB"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03CE8AF" w14:textId="77777777" w:rsidR="00EA230B" w:rsidRPr="00064185" w:rsidRDefault="00EA230B" w:rsidP="00EA61D8">
            <w:pPr>
              <w:pStyle w:val="TxtTxtTxt"/>
            </w:pPr>
            <w:r w:rsidRPr="00064185">
              <w:t>Test conditions</w:t>
            </w:r>
          </w:p>
        </w:tc>
        <w:tc>
          <w:tcPr>
            <w:tcW w:w="3182" w:type="pct"/>
            <w:tcBorders>
              <w:top w:val="nil"/>
              <w:left w:val="nil"/>
              <w:bottom w:val="nil"/>
              <w:right w:val="nil"/>
            </w:tcBorders>
            <w:vAlign w:val="center"/>
          </w:tcPr>
          <w:p w14:paraId="4BB772B7" w14:textId="77777777" w:rsidR="00EA230B" w:rsidRPr="00064185" w:rsidRDefault="00EA230B" w:rsidP="00EA61D8">
            <w:pPr>
              <w:pStyle w:val="Standard-italics"/>
              <w:rPr>
                <w:i w:val="0"/>
              </w:rPr>
            </w:pPr>
            <w:r w:rsidRPr="00064185">
              <w:rPr>
                <w:i w:val="0"/>
              </w:rPr>
              <w:t>Climatic conditions: 18.9 – 19.9</w:t>
            </w:r>
            <w:r w:rsidRPr="00064185">
              <w:rPr>
                <w:i w:val="0"/>
              </w:rPr>
              <w:sym w:font="Symbol" w:char="F0B0"/>
            </w:r>
            <w:r w:rsidRPr="00064185">
              <w:rPr>
                <w:i w:val="0"/>
              </w:rPr>
              <w:t xml:space="preserve">C (mean values, measured over 3 month) </w:t>
            </w:r>
          </w:p>
          <w:p w14:paraId="57B8BAF5" w14:textId="77777777" w:rsidR="00EA230B" w:rsidRPr="00064185" w:rsidRDefault="00EA230B" w:rsidP="00EA61D8">
            <w:pPr>
              <w:pStyle w:val="Standard-italics"/>
              <w:rPr>
                <w:i w:val="0"/>
              </w:rPr>
            </w:pPr>
            <w:r w:rsidRPr="00064185">
              <w:rPr>
                <w:i w:val="0"/>
              </w:rPr>
              <w:t>The trial was conducted in areas like gardens or orchards where ant nests are well isolated.</w:t>
            </w:r>
          </w:p>
        </w:tc>
        <w:tc>
          <w:tcPr>
            <w:tcW w:w="414" w:type="pct"/>
            <w:tcBorders>
              <w:top w:val="nil"/>
              <w:left w:val="nil"/>
              <w:bottom w:val="nil"/>
              <w:right w:val="nil"/>
            </w:tcBorders>
            <w:shd w:val="pct10" w:color="auto" w:fill="auto"/>
          </w:tcPr>
          <w:p w14:paraId="64E93918" w14:textId="77777777" w:rsidR="00EA230B" w:rsidRPr="00064185" w:rsidRDefault="00EA230B" w:rsidP="00EA61D8"/>
        </w:tc>
      </w:tr>
      <w:tr w:rsidR="00064185" w:rsidRPr="00064185" w14:paraId="043B7631"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67339FE" w14:textId="77777777" w:rsidR="00EA230B" w:rsidRPr="00064185" w:rsidRDefault="00EA230B" w:rsidP="00EA61D8">
            <w:pPr>
              <w:pStyle w:val="TxtTxtTxt"/>
            </w:pPr>
            <w:r w:rsidRPr="00064185">
              <w:t>Duration of the test / Exposure time</w:t>
            </w:r>
          </w:p>
        </w:tc>
        <w:tc>
          <w:tcPr>
            <w:tcW w:w="3182" w:type="pct"/>
            <w:tcBorders>
              <w:top w:val="nil"/>
              <w:left w:val="nil"/>
              <w:bottom w:val="nil"/>
              <w:right w:val="nil"/>
            </w:tcBorders>
            <w:vAlign w:val="center"/>
          </w:tcPr>
          <w:p w14:paraId="1D84B60B" w14:textId="77777777" w:rsidR="00EA230B" w:rsidRPr="00064185" w:rsidRDefault="00EA230B" w:rsidP="00EA61D8">
            <w:pPr>
              <w:pStyle w:val="Tabellenformat"/>
              <w:rPr>
                <w:lang w:val="it-IT"/>
              </w:rPr>
            </w:pPr>
            <w:r w:rsidRPr="00064185">
              <w:rPr>
                <w:lang w:val="it-IT"/>
              </w:rPr>
              <w:t>3 weeks</w:t>
            </w:r>
          </w:p>
        </w:tc>
        <w:tc>
          <w:tcPr>
            <w:tcW w:w="414" w:type="pct"/>
            <w:tcBorders>
              <w:top w:val="nil"/>
              <w:left w:val="nil"/>
              <w:bottom w:val="nil"/>
              <w:right w:val="nil"/>
            </w:tcBorders>
            <w:shd w:val="pct10" w:color="auto" w:fill="auto"/>
          </w:tcPr>
          <w:p w14:paraId="074885A3" w14:textId="77777777" w:rsidR="00EA230B" w:rsidRPr="00064185" w:rsidRDefault="00EA230B" w:rsidP="00EA61D8">
            <w:pPr>
              <w:keepNext/>
            </w:pPr>
          </w:p>
        </w:tc>
      </w:tr>
      <w:tr w:rsidR="00064185" w:rsidRPr="00064185" w14:paraId="33EFB137"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831DD36" w14:textId="77777777" w:rsidR="00EA230B" w:rsidRPr="00064185" w:rsidRDefault="00EA230B" w:rsidP="00EA61D8">
            <w:pPr>
              <w:pStyle w:val="TxtTxtTxt"/>
            </w:pPr>
            <w:r w:rsidRPr="00064185">
              <w:t>Number of replicates performed</w:t>
            </w:r>
          </w:p>
        </w:tc>
        <w:tc>
          <w:tcPr>
            <w:tcW w:w="3182" w:type="pct"/>
            <w:tcBorders>
              <w:top w:val="nil"/>
              <w:left w:val="nil"/>
              <w:bottom w:val="nil"/>
              <w:right w:val="nil"/>
            </w:tcBorders>
            <w:vAlign w:val="center"/>
          </w:tcPr>
          <w:p w14:paraId="2C004F4A" w14:textId="77777777" w:rsidR="00EA230B" w:rsidRPr="00064185" w:rsidRDefault="00EA230B" w:rsidP="00EA61D8">
            <w:pPr>
              <w:pStyle w:val="Standard-italics"/>
              <w:rPr>
                <w:i w:val="0"/>
              </w:rPr>
            </w:pPr>
            <w:r w:rsidRPr="00064185">
              <w:rPr>
                <w:i w:val="0"/>
              </w:rPr>
              <w:t>3 replicates</w:t>
            </w:r>
          </w:p>
        </w:tc>
        <w:tc>
          <w:tcPr>
            <w:tcW w:w="414" w:type="pct"/>
            <w:tcBorders>
              <w:top w:val="nil"/>
              <w:left w:val="nil"/>
              <w:bottom w:val="nil"/>
              <w:right w:val="nil"/>
            </w:tcBorders>
            <w:shd w:val="pct10" w:color="auto" w:fill="auto"/>
          </w:tcPr>
          <w:p w14:paraId="22EE884D" w14:textId="77777777" w:rsidR="00EA230B" w:rsidRPr="00064185" w:rsidRDefault="00EA230B" w:rsidP="00EA61D8"/>
        </w:tc>
      </w:tr>
      <w:tr w:rsidR="00064185" w:rsidRPr="00064185" w14:paraId="330FBB85"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D6E4A26" w14:textId="77777777" w:rsidR="00EA230B" w:rsidRPr="00064185" w:rsidRDefault="00EA230B" w:rsidP="00EA61D8">
            <w:pPr>
              <w:pStyle w:val="TxtTxtTxt"/>
            </w:pPr>
            <w:r w:rsidRPr="00064185">
              <w:t>Controls</w:t>
            </w:r>
          </w:p>
        </w:tc>
        <w:tc>
          <w:tcPr>
            <w:tcW w:w="3182" w:type="pct"/>
            <w:tcBorders>
              <w:top w:val="nil"/>
              <w:left w:val="nil"/>
              <w:bottom w:val="nil"/>
              <w:right w:val="nil"/>
            </w:tcBorders>
            <w:vAlign w:val="center"/>
          </w:tcPr>
          <w:p w14:paraId="5B1F4C00" w14:textId="77777777" w:rsidR="00EA230B" w:rsidRPr="00064185" w:rsidRDefault="00EA230B" w:rsidP="00EA61D8">
            <w:pPr>
              <w:pStyle w:val="Standard-italics"/>
              <w:rPr>
                <w:i w:val="0"/>
              </w:rPr>
            </w:pPr>
            <w:r w:rsidRPr="00064185">
              <w:rPr>
                <w:i w:val="0"/>
              </w:rPr>
              <w:t>Yes (untreated)</w:t>
            </w:r>
          </w:p>
        </w:tc>
        <w:tc>
          <w:tcPr>
            <w:tcW w:w="414" w:type="pct"/>
            <w:tcBorders>
              <w:top w:val="nil"/>
              <w:left w:val="nil"/>
              <w:bottom w:val="nil"/>
              <w:right w:val="nil"/>
            </w:tcBorders>
            <w:shd w:val="pct10" w:color="auto" w:fill="auto"/>
          </w:tcPr>
          <w:p w14:paraId="5AB37EAE" w14:textId="77777777" w:rsidR="00EA230B" w:rsidRPr="00064185" w:rsidRDefault="00EA230B" w:rsidP="00EA61D8">
            <w:pPr>
              <w:keepNext/>
            </w:pPr>
          </w:p>
        </w:tc>
      </w:tr>
      <w:tr w:rsidR="00064185" w:rsidRPr="00064185" w14:paraId="2E5487C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D999CC7" w14:textId="77777777" w:rsidR="00EA230B" w:rsidRPr="00064185" w:rsidRDefault="00EA230B" w:rsidP="00EA61D8">
            <w:pPr>
              <w:pStyle w:val="TextText11"/>
              <w:rPr>
                <w:color w:val="auto"/>
              </w:rPr>
            </w:pPr>
            <w:r w:rsidRPr="00064185">
              <w:rPr>
                <w:color w:val="auto"/>
              </w:rPr>
              <w:t>Examination</w:t>
            </w:r>
          </w:p>
        </w:tc>
        <w:tc>
          <w:tcPr>
            <w:tcW w:w="3182" w:type="pct"/>
            <w:tcBorders>
              <w:top w:val="nil"/>
              <w:left w:val="nil"/>
              <w:bottom w:val="nil"/>
              <w:right w:val="nil"/>
            </w:tcBorders>
            <w:vAlign w:val="center"/>
          </w:tcPr>
          <w:p w14:paraId="092078BB" w14:textId="77777777" w:rsidR="00EA230B" w:rsidRPr="00064185" w:rsidRDefault="00EA230B" w:rsidP="00EA61D8">
            <w:pPr>
              <w:keepNext/>
              <w:rPr>
                <w:i/>
              </w:rPr>
            </w:pPr>
          </w:p>
        </w:tc>
        <w:tc>
          <w:tcPr>
            <w:tcW w:w="414" w:type="pct"/>
            <w:tcBorders>
              <w:top w:val="nil"/>
              <w:left w:val="nil"/>
              <w:bottom w:val="nil"/>
              <w:right w:val="nil"/>
            </w:tcBorders>
            <w:shd w:val="pct10" w:color="auto" w:fill="auto"/>
          </w:tcPr>
          <w:p w14:paraId="3DC449EB" w14:textId="77777777" w:rsidR="00EA230B" w:rsidRPr="00064185" w:rsidRDefault="00EA230B" w:rsidP="00EA61D8">
            <w:pPr>
              <w:keepNext/>
            </w:pPr>
          </w:p>
        </w:tc>
      </w:tr>
      <w:tr w:rsidR="00064185" w:rsidRPr="00064185" w14:paraId="6E504C91"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BE8A03F" w14:textId="77777777" w:rsidR="00EA230B" w:rsidRPr="00064185" w:rsidRDefault="00EA230B" w:rsidP="00EA61D8">
            <w:pPr>
              <w:pStyle w:val="TxtTxtTxt"/>
            </w:pPr>
            <w:r w:rsidRPr="00064185">
              <w:t>Effect investigated</w:t>
            </w:r>
          </w:p>
        </w:tc>
        <w:tc>
          <w:tcPr>
            <w:tcW w:w="3182" w:type="pct"/>
            <w:tcBorders>
              <w:top w:val="nil"/>
              <w:left w:val="nil"/>
              <w:bottom w:val="nil"/>
              <w:right w:val="nil"/>
            </w:tcBorders>
            <w:vAlign w:val="center"/>
          </w:tcPr>
          <w:p w14:paraId="26588660" w14:textId="77777777" w:rsidR="00EA230B" w:rsidRPr="00064185" w:rsidRDefault="00EA230B" w:rsidP="00EA61D8">
            <w:pPr>
              <w:keepNext/>
            </w:pPr>
            <w:r w:rsidRPr="00064185">
              <w:t>The frequency of ants on surface during the test period and mortality of the ants after test termination</w:t>
            </w:r>
          </w:p>
        </w:tc>
        <w:tc>
          <w:tcPr>
            <w:tcW w:w="414" w:type="pct"/>
            <w:tcBorders>
              <w:top w:val="nil"/>
              <w:left w:val="nil"/>
              <w:bottom w:val="nil"/>
              <w:right w:val="nil"/>
            </w:tcBorders>
            <w:shd w:val="pct10" w:color="auto" w:fill="auto"/>
          </w:tcPr>
          <w:p w14:paraId="2D27E386" w14:textId="77777777" w:rsidR="00EA230B" w:rsidRPr="00064185" w:rsidRDefault="00EA230B" w:rsidP="00EA61D8">
            <w:pPr>
              <w:keepNext/>
            </w:pPr>
          </w:p>
        </w:tc>
      </w:tr>
      <w:tr w:rsidR="00064185" w:rsidRPr="00064185" w14:paraId="42FDF74C"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19963C0E" w14:textId="77777777" w:rsidR="00EA230B" w:rsidRPr="00064185" w:rsidRDefault="00EA230B" w:rsidP="00EA61D8">
            <w:pPr>
              <w:pStyle w:val="TxtTxtTxt"/>
            </w:pPr>
            <w:r w:rsidRPr="00064185">
              <w:t xml:space="preserve">Method for recording / scoring of the effect </w:t>
            </w:r>
          </w:p>
        </w:tc>
        <w:tc>
          <w:tcPr>
            <w:tcW w:w="3182" w:type="pct"/>
            <w:tcBorders>
              <w:top w:val="nil"/>
              <w:left w:val="nil"/>
              <w:bottom w:val="nil"/>
              <w:right w:val="nil"/>
            </w:tcBorders>
            <w:vAlign w:val="center"/>
          </w:tcPr>
          <w:p w14:paraId="338AB5C9" w14:textId="77777777" w:rsidR="00EA230B" w:rsidRPr="00064185" w:rsidRDefault="00EA230B" w:rsidP="00EA61D8">
            <w:r w:rsidRPr="00064185">
              <w:t>Alive: the insects are able to move properly</w:t>
            </w:r>
            <w:r w:rsidRPr="00064185">
              <w:br/>
              <w:t>Dead: the insects are unable to move properly</w:t>
            </w:r>
          </w:p>
        </w:tc>
        <w:tc>
          <w:tcPr>
            <w:tcW w:w="414" w:type="pct"/>
            <w:tcBorders>
              <w:top w:val="nil"/>
              <w:left w:val="nil"/>
              <w:bottom w:val="nil"/>
              <w:right w:val="nil"/>
            </w:tcBorders>
            <w:shd w:val="pct10" w:color="auto" w:fill="auto"/>
          </w:tcPr>
          <w:p w14:paraId="6B6CAB8C" w14:textId="77777777" w:rsidR="00EA230B" w:rsidRPr="00064185" w:rsidRDefault="00EA230B" w:rsidP="00EA61D8"/>
        </w:tc>
      </w:tr>
      <w:tr w:rsidR="00064185" w:rsidRPr="00064185" w14:paraId="5809FAD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404E592" w14:textId="77777777" w:rsidR="00EA230B" w:rsidRPr="00064185" w:rsidRDefault="00EA230B" w:rsidP="00EA61D8">
            <w:pPr>
              <w:pStyle w:val="TxtTxtTxt"/>
            </w:pPr>
            <w:r w:rsidRPr="00064185">
              <w:t>Intervals of examination</w:t>
            </w:r>
          </w:p>
        </w:tc>
        <w:tc>
          <w:tcPr>
            <w:tcW w:w="3182" w:type="pct"/>
            <w:tcBorders>
              <w:top w:val="nil"/>
              <w:left w:val="nil"/>
              <w:bottom w:val="nil"/>
              <w:right w:val="nil"/>
            </w:tcBorders>
            <w:vAlign w:val="center"/>
          </w:tcPr>
          <w:p w14:paraId="6AE7C609" w14:textId="77777777" w:rsidR="00EA230B" w:rsidRPr="00064185" w:rsidRDefault="00EA230B" w:rsidP="00EA61D8">
            <w:pPr>
              <w:rPr>
                <w:i/>
              </w:rPr>
            </w:pPr>
            <w:r w:rsidRPr="00064185">
              <w:rPr>
                <w:i/>
              </w:rPr>
              <w:t>–</w:t>
            </w:r>
          </w:p>
        </w:tc>
        <w:tc>
          <w:tcPr>
            <w:tcW w:w="414" w:type="pct"/>
            <w:tcBorders>
              <w:top w:val="nil"/>
              <w:left w:val="nil"/>
              <w:bottom w:val="nil"/>
              <w:right w:val="nil"/>
            </w:tcBorders>
            <w:shd w:val="pct10" w:color="auto" w:fill="auto"/>
          </w:tcPr>
          <w:p w14:paraId="58A549B8" w14:textId="77777777" w:rsidR="00EA230B" w:rsidRPr="00064185" w:rsidRDefault="00EA230B" w:rsidP="00EA61D8"/>
        </w:tc>
      </w:tr>
      <w:tr w:rsidR="00064185" w:rsidRPr="00064185" w14:paraId="1EB6AA97"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11E84879" w14:textId="77777777" w:rsidR="00EA230B" w:rsidRPr="00064185" w:rsidRDefault="00EA230B" w:rsidP="00EA61D8">
            <w:pPr>
              <w:pStyle w:val="TxtTxtTxt"/>
            </w:pPr>
            <w:r w:rsidRPr="00064185">
              <w:t xml:space="preserve">Statistics </w:t>
            </w:r>
          </w:p>
        </w:tc>
        <w:tc>
          <w:tcPr>
            <w:tcW w:w="3182" w:type="pct"/>
            <w:tcBorders>
              <w:top w:val="nil"/>
              <w:left w:val="nil"/>
              <w:bottom w:val="nil"/>
              <w:right w:val="nil"/>
            </w:tcBorders>
            <w:vAlign w:val="center"/>
          </w:tcPr>
          <w:p w14:paraId="1730F8F1" w14:textId="77777777" w:rsidR="00EA230B" w:rsidRPr="00064185" w:rsidRDefault="00EA230B" w:rsidP="00EA61D8">
            <w:r w:rsidRPr="00064185">
              <w:t>–</w:t>
            </w:r>
          </w:p>
        </w:tc>
        <w:tc>
          <w:tcPr>
            <w:tcW w:w="414" w:type="pct"/>
            <w:tcBorders>
              <w:top w:val="nil"/>
              <w:left w:val="nil"/>
              <w:bottom w:val="nil"/>
              <w:right w:val="nil"/>
            </w:tcBorders>
            <w:shd w:val="pct10" w:color="auto" w:fill="auto"/>
          </w:tcPr>
          <w:p w14:paraId="4CCAE4C1" w14:textId="77777777" w:rsidR="00EA230B" w:rsidRPr="00064185" w:rsidRDefault="00EA230B" w:rsidP="00EA61D8"/>
        </w:tc>
      </w:tr>
      <w:tr w:rsidR="00064185" w:rsidRPr="00064185" w14:paraId="0353EED2"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0BB1A9A" w14:textId="77777777" w:rsidR="00EA230B" w:rsidRPr="00064185" w:rsidRDefault="00EA230B" w:rsidP="00EA61D8">
            <w:pPr>
              <w:pStyle w:val="TxtTxtTxt"/>
            </w:pPr>
            <w:r w:rsidRPr="00064185">
              <w:t>Post monitoring of the test organism</w:t>
            </w:r>
          </w:p>
        </w:tc>
        <w:tc>
          <w:tcPr>
            <w:tcW w:w="3182" w:type="pct"/>
            <w:tcBorders>
              <w:top w:val="nil"/>
              <w:left w:val="nil"/>
              <w:bottom w:val="nil"/>
              <w:right w:val="nil"/>
            </w:tcBorders>
            <w:vAlign w:val="center"/>
          </w:tcPr>
          <w:p w14:paraId="04F8652F" w14:textId="77777777" w:rsidR="00EA230B" w:rsidRPr="00064185" w:rsidRDefault="00EA230B" w:rsidP="00EA61D8">
            <w:r w:rsidRPr="00064185">
              <w:t>No</w:t>
            </w:r>
          </w:p>
        </w:tc>
        <w:tc>
          <w:tcPr>
            <w:tcW w:w="414" w:type="pct"/>
            <w:tcBorders>
              <w:top w:val="nil"/>
              <w:left w:val="nil"/>
              <w:bottom w:val="nil"/>
              <w:right w:val="nil"/>
            </w:tcBorders>
            <w:shd w:val="pct10" w:color="auto" w:fill="auto"/>
          </w:tcPr>
          <w:p w14:paraId="484E6A61" w14:textId="77777777" w:rsidR="00EA230B" w:rsidRPr="00064185" w:rsidRDefault="00EA230B" w:rsidP="00EA61D8"/>
        </w:tc>
      </w:tr>
      <w:tr w:rsidR="00064185" w:rsidRPr="00064185" w14:paraId="069D364C"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5FDB120" w14:textId="77777777" w:rsidR="00EA230B" w:rsidRPr="00064185" w:rsidRDefault="00EA230B" w:rsidP="00EA61D8">
            <w:pPr>
              <w:pStyle w:val="TxtTxtTxt"/>
              <w:numPr>
                <w:ilvl w:val="0"/>
                <w:numId w:val="0"/>
              </w:numPr>
              <w:ind w:left="709"/>
            </w:pPr>
          </w:p>
        </w:tc>
        <w:tc>
          <w:tcPr>
            <w:tcW w:w="3182" w:type="pct"/>
            <w:tcBorders>
              <w:top w:val="nil"/>
              <w:left w:val="nil"/>
              <w:bottom w:val="nil"/>
              <w:right w:val="nil"/>
            </w:tcBorders>
            <w:vAlign w:val="center"/>
          </w:tcPr>
          <w:p w14:paraId="3080F35E" w14:textId="77777777" w:rsidR="00EA230B" w:rsidRPr="00064185" w:rsidRDefault="00EA230B" w:rsidP="00EA61D8">
            <w:pPr>
              <w:pStyle w:val="TEXTTEXT"/>
            </w:pPr>
            <w:r w:rsidRPr="00064185">
              <w:t>Results</w:t>
            </w:r>
          </w:p>
        </w:tc>
        <w:tc>
          <w:tcPr>
            <w:tcW w:w="414" w:type="pct"/>
            <w:tcBorders>
              <w:top w:val="nil"/>
              <w:left w:val="nil"/>
              <w:bottom w:val="nil"/>
              <w:right w:val="nil"/>
            </w:tcBorders>
            <w:shd w:val="pct10" w:color="auto" w:fill="auto"/>
          </w:tcPr>
          <w:p w14:paraId="5E05265A"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10D9A40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838AECA" w14:textId="77777777" w:rsidR="00EA230B" w:rsidRPr="00064185" w:rsidRDefault="00EA230B" w:rsidP="00EA61D8">
            <w:pPr>
              <w:pStyle w:val="TextText11"/>
              <w:rPr>
                <w:color w:val="auto"/>
              </w:rPr>
            </w:pPr>
            <w:r w:rsidRPr="00064185">
              <w:rPr>
                <w:color w:val="auto"/>
              </w:rPr>
              <w:t>Efficacy</w:t>
            </w:r>
          </w:p>
        </w:tc>
        <w:tc>
          <w:tcPr>
            <w:tcW w:w="3182" w:type="pct"/>
            <w:tcBorders>
              <w:top w:val="nil"/>
              <w:left w:val="nil"/>
              <w:bottom w:val="nil"/>
              <w:right w:val="nil"/>
            </w:tcBorders>
            <w:vAlign w:val="center"/>
          </w:tcPr>
          <w:p w14:paraId="11966988" w14:textId="77777777" w:rsidR="00EA230B" w:rsidRPr="00064185" w:rsidRDefault="00EA230B" w:rsidP="00EA61D8">
            <w:pPr>
              <w:pStyle w:val="Standard-italics"/>
            </w:pPr>
          </w:p>
        </w:tc>
        <w:tc>
          <w:tcPr>
            <w:tcW w:w="414" w:type="pct"/>
            <w:tcBorders>
              <w:top w:val="nil"/>
              <w:left w:val="nil"/>
              <w:bottom w:val="nil"/>
              <w:right w:val="nil"/>
            </w:tcBorders>
            <w:shd w:val="pct10" w:color="auto" w:fill="auto"/>
          </w:tcPr>
          <w:p w14:paraId="525B3A55" w14:textId="77777777" w:rsidR="00EA230B" w:rsidRPr="00064185" w:rsidRDefault="00EA230B" w:rsidP="00EA61D8"/>
        </w:tc>
      </w:tr>
      <w:tr w:rsidR="00064185" w:rsidRPr="00064185" w14:paraId="065414AC"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87554AB" w14:textId="77777777" w:rsidR="00EA230B" w:rsidRPr="00064185" w:rsidRDefault="00EA230B" w:rsidP="00EA61D8">
            <w:pPr>
              <w:pStyle w:val="TxtTxtTxt"/>
            </w:pPr>
            <w:r w:rsidRPr="00064185">
              <w:t>Dose/Efficacy curve</w:t>
            </w:r>
          </w:p>
        </w:tc>
        <w:tc>
          <w:tcPr>
            <w:tcW w:w="3182" w:type="pct"/>
            <w:tcBorders>
              <w:top w:val="nil"/>
              <w:left w:val="nil"/>
              <w:bottom w:val="nil"/>
              <w:right w:val="nil"/>
            </w:tcBorders>
            <w:vAlign w:val="center"/>
          </w:tcPr>
          <w:p w14:paraId="183DCE3C" w14:textId="77777777" w:rsidR="00EA230B" w:rsidRPr="00064185" w:rsidRDefault="00EA230B" w:rsidP="00EA61D8">
            <w:pPr>
              <w:rPr>
                <w:i/>
              </w:rPr>
            </w:pPr>
            <w:r w:rsidRPr="00064185">
              <w:rPr>
                <w:i/>
              </w:rPr>
              <w:t>–</w:t>
            </w:r>
          </w:p>
        </w:tc>
        <w:tc>
          <w:tcPr>
            <w:tcW w:w="414" w:type="pct"/>
            <w:tcBorders>
              <w:top w:val="nil"/>
              <w:left w:val="nil"/>
              <w:bottom w:val="nil"/>
              <w:right w:val="nil"/>
            </w:tcBorders>
            <w:shd w:val="pct10" w:color="auto" w:fill="auto"/>
          </w:tcPr>
          <w:p w14:paraId="161D8A6C" w14:textId="77777777" w:rsidR="00EA230B" w:rsidRPr="00064185" w:rsidRDefault="00EA230B" w:rsidP="00EA61D8"/>
        </w:tc>
      </w:tr>
      <w:tr w:rsidR="00064185" w:rsidRPr="00064185" w14:paraId="1E6492E2"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2A9D03E" w14:textId="77777777" w:rsidR="00EA230B" w:rsidRPr="00064185" w:rsidRDefault="00EA230B" w:rsidP="00EA61D8">
            <w:pPr>
              <w:pStyle w:val="TxtTxtTxt"/>
            </w:pPr>
            <w:r w:rsidRPr="00064185">
              <w:t>Begin and duration of effects</w:t>
            </w:r>
          </w:p>
        </w:tc>
        <w:tc>
          <w:tcPr>
            <w:tcW w:w="3182" w:type="pct"/>
            <w:tcBorders>
              <w:top w:val="nil"/>
              <w:left w:val="nil"/>
              <w:bottom w:val="nil"/>
              <w:right w:val="nil"/>
            </w:tcBorders>
            <w:vAlign w:val="center"/>
          </w:tcPr>
          <w:p w14:paraId="27A6B87C" w14:textId="77777777" w:rsidR="00EA230B" w:rsidRPr="00064185" w:rsidRDefault="00EA230B" w:rsidP="00EA61D8">
            <w:pPr>
              <w:pStyle w:val="Standard-italics"/>
              <w:rPr>
                <w:i w:val="0"/>
              </w:rPr>
            </w:pPr>
            <w:r w:rsidRPr="00064185">
              <w:rPr>
                <w:i w:val="0"/>
              </w:rPr>
              <w:t>–</w:t>
            </w:r>
          </w:p>
        </w:tc>
        <w:tc>
          <w:tcPr>
            <w:tcW w:w="414" w:type="pct"/>
            <w:tcBorders>
              <w:top w:val="nil"/>
              <w:left w:val="nil"/>
              <w:bottom w:val="nil"/>
              <w:right w:val="nil"/>
            </w:tcBorders>
            <w:shd w:val="pct10" w:color="auto" w:fill="auto"/>
          </w:tcPr>
          <w:p w14:paraId="42003E58" w14:textId="77777777" w:rsidR="00EA230B" w:rsidRPr="00064185" w:rsidRDefault="00EA230B" w:rsidP="00EA61D8"/>
        </w:tc>
      </w:tr>
      <w:tr w:rsidR="00064185" w:rsidRPr="00064185" w14:paraId="3F6C7DE6"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1363A492" w14:textId="77777777" w:rsidR="00EA230B" w:rsidRPr="00064185" w:rsidRDefault="00EA230B" w:rsidP="00EA61D8">
            <w:pPr>
              <w:pStyle w:val="TextText11"/>
              <w:rPr>
                <w:color w:val="auto"/>
              </w:rPr>
            </w:pPr>
            <w:r w:rsidRPr="00064185">
              <w:rPr>
                <w:color w:val="auto"/>
              </w:rPr>
              <w:t xml:space="preserve">Tabular </w:t>
            </w:r>
            <w:r w:rsidRPr="00064185">
              <w:rPr>
                <w:color w:val="auto"/>
              </w:rPr>
              <w:lastRenderedPageBreak/>
              <w:t>and/or graphical presentation of the summarised results</w:t>
            </w:r>
          </w:p>
        </w:tc>
        <w:tc>
          <w:tcPr>
            <w:tcW w:w="3182" w:type="pct"/>
            <w:tcBorders>
              <w:top w:val="nil"/>
              <w:left w:val="nil"/>
              <w:bottom w:val="nil"/>
              <w:right w:val="nil"/>
            </w:tcBorders>
            <w:vAlign w:val="center"/>
          </w:tcPr>
          <w:p w14:paraId="70AD3EEA" w14:textId="77777777" w:rsidR="00EA230B" w:rsidRPr="00064185" w:rsidRDefault="00EA230B" w:rsidP="00EA61D8">
            <w:r w:rsidRPr="00064185">
              <w:lastRenderedPageBreak/>
              <w:t>See Table B5.10_1 and Table B5.10_2.</w:t>
            </w:r>
          </w:p>
        </w:tc>
        <w:tc>
          <w:tcPr>
            <w:tcW w:w="414" w:type="pct"/>
            <w:tcBorders>
              <w:top w:val="nil"/>
              <w:left w:val="nil"/>
              <w:bottom w:val="nil"/>
              <w:right w:val="nil"/>
            </w:tcBorders>
            <w:shd w:val="pct10" w:color="auto" w:fill="auto"/>
          </w:tcPr>
          <w:p w14:paraId="41539AF5" w14:textId="77777777" w:rsidR="00EA230B" w:rsidRPr="00064185" w:rsidRDefault="00EA230B" w:rsidP="00EA61D8"/>
        </w:tc>
      </w:tr>
      <w:tr w:rsidR="00064185" w:rsidRPr="00064185" w14:paraId="621882B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026B2AD" w14:textId="77777777" w:rsidR="00EA230B" w:rsidRPr="00064185" w:rsidRDefault="00EA230B" w:rsidP="00EA61D8">
            <w:pPr>
              <w:pStyle w:val="TextText11"/>
              <w:rPr>
                <w:color w:val="auto"/>
              </w:rPr>
            </w:pPr>
            <w:r w:rsidRPr="00064185">
              <w:rPr>
                <w:color w:val="auto"/>
              </w:rPr>
              <w:lastRenderedPageBreak/>
              <w:t>Efficacy limiting factors</w:t>
            </w:r>
          </w:p>
        </w:tc>
        <w:tc>
          <w:tcPr>
            <w:tcW w:w="3182" w:type="pct"/>
            <w:tcBorders>
              <w:top w:val="nil"/>
              <w:left w:val="nil"/>
              <w:bottom w:val="nil"/>
              <w:right w:val="nil"/>
            </w:tcBorders>
            <w:vAlign w:val="center"/>
          </w:tcPr>
          <w:p w14:paraId="27A173B0" w14:textId="77777777" w:rsidR="00EA230B" w:rsidRPr="00064185" w:rsidRDefault="00EA230B" w:rsidP="00EA61D8">
            <w:pPr>
              <w:rPr>
                <w:i/>
              </w:rPr>
            </w:pPr>
          </w:p>
        </w:tc>
        <w:tc>
          <w:tcPr>
            <w:tcW w:w="414" w:type="pct"/>
            <w:tcBorders>
              <w:top w:val="nil"/>
              <w:left w:val="nil"/>
              <w:bottom w:val="nil"/>
              <w:right w:val="nil"/>
            </w:tcBorders>
            <w:shd w:val="pct10" w:color="auto" w:fill="auto"/>
          </w:tcPr>
          <w:p w14:paraId="77DFDC6F" w14:textId="77777777" w:rsidR="00EA230B" w:rsidRPr="00064185" w:rsidRDefault="00EA230B" w:rsidP="00EA61D8"/>
        </w:tc>
      </w:tr>
      <w:tr w:rsidR="00064185" w:rsidRPr="00064185" w14:paraId="40205FD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15A7739" w14:textId="77777777" w:rsidR="00EA230B" w:rsidRPr="00064185" w:rsidRDefault="00EA230B" w:rsidP="00EA61D8">
            <w:pPr>
              <w:pStyle w:val="TxtTxtTxt"/>
            </w:pPr>
            <w:r w:rsidRPr="00064185">
              <w:t>Occurrences of resistances</w:t>
            </w:r>
          </w:p>
        </w:tc>
        <w:tc>
          <w:tcPr>
            <w:tcW w:w="3182" w:type="pct"/>
            <w:tcBorders>
              <w:top w:val="nil"/>
              <w:left w:val="nil"/>
              <w:bottom w:val="nil"/>
              <w:right w:val="nil"/>
            </w:tcBorders>
            <w:vAlign w:val="center"/>
          </w:tcPr>
          <w:p w14:paraId="669CA504" w14:textId="77777777" w:rsidR="00EA230B" w:rsidRPr="00064185" w:rsidRDefault="00EA230B" w:rsidP="00EA61D8">
            <w:r w:rsidRPr="00064185">
              <w:t>Not applicable</w:t>
            </w:r>
          </w:p>
        </w:tc>
        <w:tc>
          <w:tcPr>
            <w:tcW w:w="414" w:type="pct"/>
            <w:tcBorders>
              <w:top w:val="nil"/>
              <w:left w:val="nil"/>
              <w:bottom w:val="nil"/>
              <w:right w:val="nil"/>
            </w:tcBorders>
            <w:shd w:val="pct10" w:color="auto" w:fill="auto"/>
          </w:tcPr>
          <w:p w14:paraId="22736618" w14:textId="77777777" w:rsidR="00EA230B" w:rsidRPr="00064185" w:rsidRDefault="00EA230B" w:rsidP="00EA61D8"/>
        </w:tc>
      </w:tr>
      <w:tr w:rsidR="00064185" w:rsidRPr="00064185" w14:paraId="7F67283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03" w:type="pct"/>
            <w:tcBorders>
              <w:top w:val="nil"/>
              <w:left w:val="nil"/>
              <w:bottom w:val="nil"/>
              <w:right w:val="nil"/>
            </w:tcBorders>
          </w:tcPr>
          <w:p w14:paraId="35089823" w14:textId="77777777" w:rsidR="00EA230B" w:rsidRPr="00064185" w:rsidRDefault="00EA230B" w:rsidP="00EA61D8">
            <w:pPr>
              <w:pStyle w:val="TxtTxtTxt"/>
            </w:pPr>
            <w:r w:rsidRPr="00064185">
              <w:t>Other limiting factors</w:t>
            </w:r>
          </w:p>
        </w:tc>
        <w:tc>
          <w:tcPr>
            <w:tcW w:w="3182" w:type="pct"/>
            <w:tcBorders>
              <w:top w:val="nil"/>
              <w:left w:val="nil"/>
              <w:bottom w:val="nil"/>
              <w:right w:val="nil"/>
            </w:tcBorders>
            <w:vAlign w:val="center"/>
          </w:tcPr>
          <w:p w14:paraId="25C14DEF" w14:textId="77777777" w:rsidR="00EA230B" w:rsidRPr="00064185" w:rsidRDefault="00EA230B" w:rsidP="00EA61D8">
            <w:r w:rsidRPr="00064185">
              <w:t>Not applicable</w:t>
            </w:r>
          </w:p>
        </w:tc>
        <w:tc>
          <w:tcPr>
            <w:tcW w:w="414" w:type="pct"/>
            <w:tcBorders>
              <w:top w:val="nil"/>
              <w:left w:val="nil"/>
              <w:bottom w:val="nil"/>
              <w:right w:val="nil"/>
            </w:tcBorders>
            <w:shd w:val="pct10" w:color="auto" w:fill="auto"/>
          </w:tcPr>
          <w:p w14:paraId="03D78DCA" w14:textId="77777777" w:rsidR="00EA230B" w:rsidRPr="00064185" w:rsidRDefault="00EA230B" w:rsidP="00EA61D8"/>
        </w:tc>
      </w:tr>
      <w:tr w:rsidR="00064185" w:rsidRPr="00064185" w14:paraId="095D6A9A"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37DC747" w14:textId="77777777" w:rsidR="00EA230B" w:rsidRPr="00064185" w:rsidRDefault="00EA230B" w:rsidP="00EA61D8">
            <w:pPr>
              <w:pStyle w:val="TxtTxtTxt"/>
              <w:numPr>
                <w:ilvl w:val="0"/>
                <w:numId w:val="0"/>
              </w:numPr>
              <w:ind w:left="709"/>
            </w:pPr>
          </w:p>
        </w:tc>
        <w:tc>
          <w:tcPr>
            <w:tcW w:w="3182" w:type="pct"/>
            <w:tcBorders>
              <w:top w:val="nil"/>
              <w:left w:val="nil"/>
              <w:bottom w:val="nil"/>
              <w:right w:val="nil"/>
            </w:tcBorders>
            <w:vAlign w:val="center"/>
          </w:tcPr>
          <w:p w14:paraId="7B52C2C9" w14:textId="77777777" w:rsidR="00EA230B" w:rsidRPr="00064185" w:rsidRDefault="00EA230B" w:rsidP="00EA61D8">
            <w:pPr>
              <w:pStyle w:val="TEXTTEXT"/>
            </w:pPr>
            <w:r w:rsidRPr="00064185">
              <w:t>Relevance of the results compared to field conditions</w:t>
            </w:r>
          </w:p>
        </w:tc>
        <w:tc>
          <w:tcPr>
            <w:tcW w:w="414" w:type="pct"/>
            <w:tcBorders>
              <w:top w:val="nil"/>
              <w:left w:val="nil"/>
              <w:bottom w:val="nil"/>
              <w:right w:val="nil"/>
            </w:tcBorders>
            <w:shd w:val="pct10" w:color="auto" w:fill="auto"/>
          </w:tcPr>
          <w:p w14:paraId="31078A9D" w14:textId="77777777" w:rsidR="00EA230B" w:rsidRPr="00064185" w:rsidRDefault="00EA230B" w:rsidP="00EA61D8">
            <w:pPr>
              <w:keepNext/>
            </w:pPr>
          </w:p>
        </w:tc>
      </w:tr>
      <w:tr w:rsidR="00064185" w:rsidRPr="00064185" w14:paraId="4DC3B405"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FCF46F2" w14:textId="77777777" w:rsidR="00EA230B" w:rsidRPr="00064185" w:rsidRDefault="00EA230B" w:rsidP="00EA61D8">
            <w:pPr>
              <w:pStyle w:val="TextText11"/>
              <w:rPr>
                <w:color w:val="auto"/>
              </w:rPr>
            </w:pPr>
            <w:r w:rsidRPr="00064185">
              <w:rPr>
                <w:color w:val="auto"/>
              </w:rPr>
              <w:t>Reasons for laboratory testing</w:t>
            </w:r>
          </w:p>
        </w:tc>
        <w:tc>
          <w:tcPr>
            <w:tcW w:w="3182" w:type="pct"/>
            <w:tcBorders>
              <w:top w:val="nil"/>
              <w:left w:val="nil"/>
              <w:bottom w:val="nil"/>
              <w:right w:val="nil"/>
            </w:tcBorders>
            <w:vAlign w:val="center"/>
          </w:tcPr>
          <w:p w14:paraId="2DE1AA2D" w14:textId="77777777" w:rsidR="00EA230B" w:rsidRPr="00064185" w:rsidRDefault="00EA230B" w:rsidP="00EA61D8">
            <w:pPr>
              <w:rPr>
                <w:i/>
              </w:rPr>
            </w:pPr>
            <w:r w:rsidRPr="00064185">
              <w:rPr>
                <w:i/>
              </w:rPr>
              <w:t>–</w:t>
            </w:r>
          </w:p>
        </w:tc>
        <w:tc>
          <w:tcPr>
            <w:tcW w:w="414" w:type="pct"/>
            <w:tcBorders>
              <w:top w:val="nil"/>
              <w:left w:val="nil"/>
              <w:bottom w:val="nil"/>
              <w:right w:val="nil"/>
            </w:tcBorders>
            <w:shd w:val="pct10" w:color="auto" w:fill="auto"/>
          </w:tcPr>
          <w:p w14:paraId="454A4847" w14:textId="77777777" w:rsidR="00EA230B" w:rsidRPr="00064185" w:rsidRDefault="00EA230B" w:rsidP="00EA61D8"/>
        </w:tc>
      </w:tr>
      <w:tr w:rsidR="00064185" w:rsidRPr="00064185" w14:paraId="02943CCF"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7DDF0B1" w14:textId="77777777" w:rsidR="00EA230B" w:rsidRPr="00064185" w:rsidRDefault="00EA230B" w:rsidP="00EA61D8">
            <w:pPr>
              <w:pStyle w:val="TextText11"/>
              <w:rPr>
                <w:color w:val="auto"/>
              </w:rPr>
            </w:pPr>
            <w:r w:rsidRPr="00064185">
              <w:rPr>
                <w:color w:val="auto"/>
              </w:rPr>
              <w:t>Intended actual scale of biocide application</w:t>
            </w:r>
          </w:p>
        </w:tc>
        <w:tc>
          <w:tcPr>
            <w:tcW w:w="3182" w:type="pct"/>
            <w:tcBorders>
              <w:top w:val="nil"/>
              <w:left w:val="nil"/>
              <w:bottom w:val="nil"/>
              <w:right w:val="nil"/>
            </w:tcBorders>
            <w:vAlign w:val="center"/>
          </w:tcPr>
          <w:p w14:paraId="48679E14" w14:textId="77777777" w:rsidR="00EA230B" w:rsidRPr="00064185" w:rsidRDefault="00EA230B" w:rsidP="00EA61D8">
            <w:r w:rsidRPr="00064185">
              <w:t>–</w:t>
            </w:r>
          </w:p>
        </w:tc>
        <w:tc>
          <w:tcPr>
            <w:tcW w:w="414" w:type="pct"/>
            <w:tcBorders>
              <w:top w:val="nil"/>
              <w:left w:val="nil"/>
              <w:bottom w:val="nil"/>
              <w:right w:val="nil"/>
            </w:tcBorders>
            <w:shd w:val="pct10" w:color="auto" w:fill="auto"/>
          </w:tcPr>
          <w:p w14:paraId="4A282EB2" w14:textId="77777777" w:rsidR="00EA230B" w:rsidRPr="00064185" w:rsidRDefault="00EA230B" w:rsidP="00EA61D8"/>
        </w:tc>
      </w:tr>
      <w:tr w:rsidR="00064185" w:rsidRPr="00064185" w14:paraId="664714D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BED7205" w14:textId="77777777" w:rsidR="00EA230B" w:rsidRPr="00064185" w:rsidRDefault="00EA230B" w:rsidP="00EA61D8">
            <w:pPr>
              <w:pStyle w:val="TextText11"/>
              <w:rPr>
                <w:color w:val="auto"/>
              </w:rPr>
            </w:pPr>
            <w:r w:rsidRPr="00064185">
              <w:rPr>
                <w:color w:val="auto"/>
              </w:rPr>
              <w:t>Relevance compared to field conditions</w:t>
            </w:r>
          </w:p>
        </w:tc>
        <w:tc>
          <w:tcPr>
            <w:tcW w:w="3182" w:type="pct"/>
            <w:tcBorders>
              <w:top w:val="nil"/>
              <w:left w:val="nil"/>
              <w:bottom w:val="nil"/>
              <w:right w:val="nil"/>
            </w:tcBorders>
            <w:vAlign w:val="center"/>
          </w:tcPr>
          <w:p w14:paraId="2F3BF2BA" w14:textId="77777777" w:rsidR="00EA230B" w:rsidRPr="00064185" w:rsidRDefault="00EA230B" w:rsidP="00EA61D8">
            <w:pPr>
              <w:pStyle w:val="Standard-italics"/>
            </w:pPr>
          </w:p>
        </w:tc>
        <w:tc>
          <w:tcPr>
            <w:tcW w:w="414" w:type="pct"/>
            <w:tcBorders>
              <w:top w:val="nil"/>
              <w:left w:val="nil"/>
              <w:bottom w:val="nil"/>
              <w:right w:val="nil"/>
            </w:tcBorders>
            <w:shd w:val="pct10" w:color="auto" w:fill="auto"/>
          </w:tcPr>
          <w:p w14:paraId="29DB89ED" w14:textId="77777777" w:rsidR="00EA230B" w:rsidRPr="00064185" w:rsidRDefault="00EA230B" w:rsidP="00EA61D8"/>
        </w:tc>
      </w:tr>
      <w:tr w:rsidR="00064185" w:rsidRPr="00064185" w14:paraId="7CE49AA2"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FF64B3D" w14:textId="77777777" w:rsidR="00EA230B" w:rsidRPr="00064185" w:rsidRDefault="00EA230B" w:rsidP="00EA61D8">
            <w:pPr>
              <w:pStyle w:val="TxtTxtTxt"/>
            </w:pPr>
            <w:r w:rsidRPr="00064185">
              <w:t>Application method</w:t>
            </w:r>
          </w:p>
        </w:tc>
        <w:tc>
          <w:tcPr>
            <w:tcW w:w="3182" w:type="pct"/>
            <w:tcBorders>
              <w:top w:val="nil"/>
              <w:left w:val="nil"/>
              <w:bottom w:val="nil"/>
              <w:right w:val="nil"/>
            </w:tcBorders>
            <w:vAlign w:val="center"/>
          </w:tcPr>
          <w:p w14:paraId="36B132E2" w14:textId="77777777" w:rsidR="00EA230B" w:rsidRPr="00064185" w:rsidRDefault="00EA230B" w:rsidP="00EA61D8">
            <w:pPr>
              <w:pStyle w:val="Standard-italics"/>
              <w:rPr>
                <w:i w:val="0"/>
              </w:rPr>
            </w:pPr>
            <w:r w:rsidRPr="00064185">
              <w:rPr>
                <w:i w:val="0"/>
              </w:rPr>
              <w:t>Yes</w:t>
            </w:r>
          </w:p>
        </w:tc>
        <w:tc>
          <w:tcPr>
            <w:tcW w:w="414" w:type="pct"/>
            <w:tcBorders>
              <w:top w:val="nil"/>
              <w:left w:val="nil"/>
              <w:bottom w:val="nil"/>
              <w:right w:val="nil"/>
            </w:tcBorders>
            <w:shd w:val="pct10" w:color="auto" w:fill="auto"/>
          </w:tcPr>
          <w:p w14:paraId="46F9EC21" w14:textId="77777777" w:rsidR="00EA230B" w:rsidRPr="00064185" w:rsidRDefault="00EA230B" w:rsidP="00EA61D8"/>
        </w:tc>
      </w:tr>
      <w:tr w:rsidR="00064185" w:rsidRPr="00064185" w14:paraId="3C071249"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90D2139" w14:textId="77777777" w:rsidR="00EA230B" w:rsidRPr="00064185" w:rsidRDefault="00EA230B" w:rsidP="00EA61D8">
            <w:pPr>
              <w:pStyle w:val="TxtTxtTxt"/>
            </w:pPr>
            <w:r w:rsidRPr="00064185">
              <w:t>Test organism</w:t>
            </w:r>
          </w:p>
        </w:tc>
        <w:tc>
          <w:tcPr>
            <w:tcW w:w="3182" w:type="pct"/>
            <w:tcBorders>
              <w:top w:val="nil"/>
              <w:left w:val="nil"/>
              <w:bottom w:val="nil"/>
              <w:right w:val="nil"/>
            </w:tcBorders>
            <w:vAlign w:val="center"/>
          </w:tcPr>
          <w:p w14:paraId="37C088F6" w14:textId="77777777" w:rsidR="00EA230B" w:rsidRPr="00064185" w:rsidRDefault="00EA230B" w:rsidP="00EA61D8">
            <w:pPr>
              <w:pStyle w:val="Standard-italics"/>
              <w:rPr>
                <w:i w:val="0"/>
              </w:rPr>
            </w:pPr>
            <w:r w:rsidRPr="00064185">
              <w:rPr>
                <w:i w:val="0"/>
              </w:rPr>
              <w:t xml:space="preserve">Yes, ant </w:t>
            </w:r>
            <w:r w:rsidRPr="00064185">
              <w:t>Lasius niger</w:t>
            </w:r>
            <w:r w:rsidRPr="00064185">
              <w:rPr>
                <w:i w:val="0"/>
              </w:rPr>
              <w:t xml:space="preserve"> is a typical pest in gardens.</w:t>
            </w:r>
          </w:p>
        </w:tc>
        <w:tc>
          <w:tcPr>
            <w:tcW w:w="414" w:type="pct"/>
            <w:tcBorders>
              <w:top w:val="nil"/>
              <w:left w:val="nil"/>
              <w:bottom w:val="nil"/>
              <w:right w:val="nil"/>
            </w:tcBorders>
            <w:shd w:val="pct10" w:color="auto" w:fill="auto"/>
          </w:tcPr>
          <w:p w14:paraId="70530581" w14:textId="77777777" w:rsidR="00EA230B" w:rsidRPr="00064185" w:rsidRDefault="00EA230B" w:rsidP="00EA61D8"/>
        </w:tc>
      </w:tr>
      <w:tr w:rsidR="00064185" w:rsidRPr="00064185" w14:paraId="128F301C"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6554E10" w14:textId="77777777" w:rsidR="00EA230B" w:rsidRPr="00064185" w:rsidRDefault="00EA230B" w:rsidP="00EA61D8">
            <w:pPr>
              <w:pStyle w:val="TxtTxtTxt"/>
            </w:pPr>
            <w:r w:rsidRPr="00064185">
              <w:t xml:space="preserve">Observed effect </w:t>
            </w:r>
          </w:p>
        </w:tc>
        <w:tc>
          <w:tcPr>
            <w:tcW w:w="3182" w:type="pct"/>
            <w:tcBorders>
              <w:top w:val="nil"/>
              <w:left w:val="nil"/>
              <w:bottom w:val="nil"/>
              <w:right w:val="nil"/>
            </w:tcBorders>
            <w:vAlign w:val="center"/>
          </w:tcPr>
          <w:p w14:paraId="41A0A9F5" w14:textId="77777777" w:rsidR="00EA230B" w:rsidRPr="00064185" w:rsidRDefault="00EA230B" w:rsidP="00EA61D8">
            <w:r w:rsidRPr="00064185">
              <w:t xml:space="preserve">A complete efficacy (no </w:t>
            </w:r>
            <w:proofErr w:type="gramStart"/>
            <w:r w:rsidRPr="00064185">
              <w:t>alive</w:t>
            </w:r>
            <w:proofErr w:type="gramEnd"/>
            <w:r w:rsidRPr="00064185">
              <w:t xml:space="preserve"> ants after 3 weeks) against the ant </w:t>
            </w:r>
            <w:r w:rsidRPr="00064185">
              <w:rPr>
                <w:i/>
              </w:rPr>
              <w:t>Lasius niger</w:t>
            </w:r>
            <w:r w:rsidRPr="00064185">
              <w:t xml:space="preserve"> could be determined.</w:t>
            </w:r>
          </w:p>
        </w:tc>
        <w:tc>
          <w:tcPr>
            <w:tcW w:w="414" w:type="pct"/>
            <w:tcBorders>
              <w:top w:val="nil"/>
              <w:left w:val="nil"/>
              <w:bottom w:val="nil"/>
              <w:right w:val="nil"/>
            </w:tcBorders>
            <w:shd w:val="pct10" w:color="auto" w:fill="auto"/>
          </w:tcPr>
          <w:p w14:paraId="4BA4F671" w14:textId="77777777" w:rsidR="00EA230B" w:rsidRPr="00064185" w:rsidRDefault="00EA230B" w:rsidP="00EA61D8"/>
        </w:tc>
      </w:tr>
      <w:tr w:rsidR="00064185" w:rsidRPr="00064185" w14:paraId="3DA0453A"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1A355A98" w14:textId="77777777" w:rsidR="00EA230B" w:rsidRPr="00064185" w:rsidRDefault="00EA230B" w:rsidP="00EA61D8">
            <w:pPr>
              <w:pStyle w:val="TextText11"/>
              <w:rPr>
                <w:color w:val="auto"/>
              </w:rPr>
            </w:pPr>
            <w:r w:rsidRPr="00064185">
              <w:rPr>
                <w:color w:val="auto"/>
              </w:rPr>
              <w:t>Relevance for read-across</w:t>
            </w:r>
          </w:p>
        </w:tc>
        <w:tc>
          <w:tcPr>
            <w:tcW w:w="3182" w:type="pct"/>
            <w:tcBorders>
              <w:top w:val="nil"/>
              <w:left w:val="nil"/>
              <w:bottom w:val="nil"/>
              <w:right w:val="nil"/>
            </w:tcBorders>
            <w:vAlign w:val="center"/>
          </w:tcPr>
          <w:p w14:paraId="0BE14A72" w14:textId="77777777" w:rsidR="00EA230B" w:rsidRPr="00064185" w:rsidRDefault="00EA230B" w:rsidP="00EA61D8">
            <w:pPr>
              <w:pStyle w:val="Standard-italics"/>
              <w:rPr>
                <w:i w:val="0"/>
              </w:rPr>
            </w:pPr>
            <w:r w:rsidRPr="00064185">
              <w:rPr>
                <w:i w:val="0"/>
              </w:rPr>
              <w:t xml:space="preserve">Yes </w:t>
            </w:r>
          </w:p>
        </w:tc>
        <w:tc>
          <w:tcPr>
            <w:tcW w:w="414" w:type="pct"/>
            <w:tcBorders>
              <w:top w:val="nil"/>
              <w:left w:val="nil"/>
              <w:bottom w:val="nil"/>
              <w:right w:val="nil"/>
            </w:tcBorders>
            <w:shd w:val="pct10" w:color="auto" w:fill="auto"/>
          </w:tcPr>
          <w:p w14:paraId="5CF1A6FE" w14:textId="77777777" w:rsidR="00EA230B" w:rsidRPr="00064185" w:rsidRDefault="00EA230B" w:rsidP="00EA61D8"/>
        </w:tc>
      </w:tr>
      <w:tr w:rsidR="00064185" w:rsidRPr="00064185" w14:paraId="38C902F3" w14:textId="77777777" w:rsidTr="00E80C20">
        <w:tc>
          <w:tcPr>
            <w:tcW w:w="1403" w:type="pct"/>
          </w:tcPr>
          <w:p w14:paraId="488C8B93" w14:textId="77777777" w:rsidR="00EA230B" w:rsidRPr="00064185" w:rsidRDefault="00EA230B" w:rsidP="00EA61D8">
            <w:pPr>
              <w:pStyle w:val="Kopfzeile"/>
              <w:keepNext/>
              <w:tabs>
                <w:tab w:val="clear" w:pos="4536"/>
                <w:tab w:val="clear" w:pos="9072"/>
              </w:tabs>
              <w:spacing w:before="60" w:after="60"/>
              <w:rPr>
                <w:lang w:val="en-GB"/>
              </w:rPr>
            </w:pPr>
          </w:p>
        </w:tc>
        <w:tc>
          <w:tcPr>
            <w:tcW w:w="3182" w:type="pct"/>
            <w:vAlign w:val="center"/>
          </w:tcPr>
          <w:p w14:paraId="52D36782" w14:textId="77777777" w:rsidR="00EA230B" w:rsidRPr="00064185" w:rsidRDefault="00EA230B" w:rsidP="00EA61D8">
            <w:pPr>
              <w:pStyle w:val="TEXTTEXT"/>
            </w:pPr>
            <w:r w:rsidRPr="00064185">
              <w:t>Applicant's Summary and conclusion</w:t>
            </w:r>
          </w:p>
        </w:tc>
        <w:tc>
          <w:tcPr>
            <w:tcW w:w="414" w:type="pct"/>
            <w:shd w:val="pct10" w:color="auto" w:fill="auto"/>
          </w:tcPr>
          <w:p w14:paraId="1336CFA7" w14:textId="77777777" w:rsidR="00EA230B" w:rsidRPr="00064185" w:rsidRDefault="00EA230B" w:rsidP="00EA61D8">
            <w:pPr>
              <w:pStyle w:val="Kopfzeile"/>
              <w:keepNext/>
              <w:tabs>
                <w:tab w:val="clear" w:pos="4536"/>
                <w:tab w:val="clear" w:pos="9072"/>
              </w:tabs>
              <w:spacing w:before="60" w:after="60"/>
              <w:rPr>
                <w:lang w:val="en-GB"/>
              </w:rPr>
            </w:pPr>
          </w:p>
        </w:tc>
      </w:tr>
      <w:tr w:rsidR="00064185" w:rsidRPr="00064185" w14:paraId="0BBC9D49" w14:textId="77777777" w:rsidTr="00E80C20">
        <w:tc>
          <w:tcPr>
            <w:tcW w:w="1403" w:type="pct"/>
          </w:tcPr>
          <w:p w14:paraId="1282F07C" w14:textId="77777777" w:rsidR="00EA230B" w:rsidRPr="00064185" w:rsidRDefault="00EA230B" w:rsidP="00EA61D8">
            <w:pPr>
              <w:pStyle w:val="TextText11"/>
              <w:rPr>
                <w:color w:val="auto"/>
              </w:rPr>
            </w:pPr>
            <w:r w:rsidRPr="00064185">
              <w:rPr>
                <w:color w:val="auto"/>
              </w:rPr>
              <w:t>Materials and methods</w:t>
            </w:r>
          </w:p>
        </w:tc>
        <w:tc>
          <w:tcPr>
            <w:tcW w:w="3182" w:type="pct"/>
            <w:vAlign w:val="center"/>
          </w:tcPr>
          <w:p w14:paraId="44506E1C" w14:textId="77777777" w:rsidR="00EA230B" w:rsidRPr="00064185" w:rsidRDefault="00EA230B" w:rsidP="00EA61D8">
            <w:pPr>
              <w:pStyle w:val="Standard-italics"/>
              <w:rPr>
                <w:i w:val="0"/>
              </w:rPr>
            </w:pPr>
            <w:r w:rsidRPr="00064185">
              <w:rPr>
                <w:i w:val="0"/>
              </w:rPr>
              <w:t>Assessment of the efficacy of speciality products under field conditions to control garden ants.</w:t>
            </w:r>
          </w:p>
        </w:tc>
        <w:tc>
          <w:tcPr>
            <w:tcW w:w="414" w:type="pct"/>
            <w:shd w:val="pct10" w:color="auto" w:fill="auto"/>
          </w:tcPr>
          <w:p w14:paraId="5C9CF054" w14:textId="77777777" w:rsidR="00EA230B" w:rsidRPr="00064185" w:rsidRDefault="00EA230B" w:rsidP="00EA61D8">
            <w:pPr>
              <w:keepNext/>
            </w:pPr>
          </w:p>
        </w:tc>
      </w:tr>
      <w:tr w:rsidR="00064185" w:rsidRPr="00064185" w14:paraId="4AF557DD" w14:textId="77777777" w:rsidTr="00E80C20">
        <w:tc>
          <w:tcPr>
            <w:tcW w:w="1403" w:type="pct"/>
          </w:tcPr>
          <w:p w14:paraId="5DEABA08" w14:textId="77777777" w:rsidR="00EA230B" w:rsidRPr="00064185" w:rsidRDefault="00EA230B" w:rsidP="00EA61D8">
            <w:pPr>
              <w:pStyle w:val="TextText11"/>
              <w:rPr>
                <w:color w:val="auto"/>
              </w:rPr>
            </w:pPr>
            <w:r w:rsidRPr="00064185">
              <w:rPr>
                <w:color w:val="auto"/>
              </w:rPr>
              <w:t>Reliability</w:t>
            </w:r>
          </w:p>
        </w:tc>
        <w:tc>
          <w:tcPr>
            <w:tcW w:w="3182" w:type="pct"/>
            <w:vAlign w:val="center"/>
          </w:tcPr>
          <w:p w14:paraId="10EFADCF" w14:textId="77777777" w:rsidR="00EA230B" w:rsidRPr="00064185" w:rsidRDefault="00EA230B" w:rsidP="00EA61D8">
            <w:pPr>
              <w:pStyle w:val="Standard-italics"/>
              <w:rPr>
                <w:i w:val="0"/>
              </w:rPr>
            </w:pPr>
            <w:r w:rsidRPr="00064185">
              <w:rPr>
                <w:i w:val="0"/>
              </w:rPr>
              <w:t>1</w:t>
            </w:r>
          </w:p>
        </w:tc>
        <w:tc>
          <w:tcPr>
            <w:tcW w:w="414" w:type="pct"/>
            <w:shd w:val="pct10" w:color="auto" w:fill="auto"/>
          </w:tcPr>
          <w:p w14:paraId="55EB9D10" w14:textId="77777777" w:rsidR="00EA230B" w:rsidRPr="00064185" w:rsidRDefault="00EA230B" w:rsidP="00EA61D8"/>
        </w:tc>
      </w:tr>
      <w:tr w:rsidR="00064185" w:rsidRPr="00064185" w14:paraId="54BA97F1" w14:textId="77777777" w:rsidTr="00E80C20">
        <w:tc>
          <w:tcPr>
            <w:tcW w:w="1403" w:type="pct"/>
          </w:tcPr>
          <w:p w14:paraId="41388616" w14:textId="77777777" w:rsidR="00EA230B" w:rsidRPr="00064185" w:rsidRDefault="00EA230B" w:rsidP="00EA61D8">
            <w:pPr>
              <w:pStyle w:val="TextText11"/>
              <w:rPr>
                <w:color w:val="auto"/>
              </w:rPr>
            </w:pPr>
            <w:r w:rsidRPr="00064185">
              <w:rPr>
                <w:color w:val="auto"/>
              </w:rPr>
              <w:t>Assessment of efficacy, data analysis and interpretation</w:t>
            </w:r>
          </w:p>
        </w:tc>
        <w:tc>
          <w:tcPr>
            <w:tcW w:w="3182" w:type="pct"/>
            <w:vAlign w:val="center"/>
          </w:tcPr>
          <w:p w14:paraId="307CDACD" w14:textId="77777777" w:rsidR="00EA230B" w:rsidRPr="00064185" w:rsidRDefault="00EA230B" w:rsidP="00EA61D8">
            <w:pPr>
              <w:pStyle w:val="Standard-italics"/>
              <w:rPr>
                <w:i w:val="0"/>
              </w:rPr>
            </w:pPr>
            <w:r w:rsidRPr="00064185">
              <w:rPr>
                <w:i w:val="0"/>
              </w:rPr>
              <w:t>In the conditions of this trial, COM 116 02 I AL applied with hand sprayer have proved:</w:t>
            </w:r>
            <w:r w:rsidRPr="00064185">
              <w:rPr>
                <w:i w:val="0"/>
              </w:rPr>
              <w:br/>
              <w:t xml:space="preserve">- a complete and fast efficacy towards the ant </w:t>
            </w:r>
            <w:r w:rsidRPr="00064185">
              <w:t>Lasius niger</w:t>
            </w:r>
            <w:r w:rsidRPr="00064185">
              <w:rPr>
                <w:i w:val="0"/>
              </w:rPr>
              <w:br/>
              <w:t>- an equal efficacy compared to the registered standard product AFOURMI SG (0.02 % fipronil, AMM 9900344), granules applied in drenching or by strewing.</w:t>
            </w:r>
          </w:p>
        </w:tc>
        <w:tc>
          <w:tcPr>
            <w:tcW w:w="414" w:type="pct"/>
            <w:shd w:val="pct10" w:color="auto" w:fill="auto"/>
          </w:tcPr>
          <w:p w14:paraId="40E2B806" w14:textId="77777777" w:rsidR="00EA230B" w:rsidRPr="00064185" w:rsidRDefault="00EA230B" w:rsidP="00EA61D8"/>
        </w:tc>
      </w:tr>
      <w:tr w:rsidR="00064185" w:rsidRPr="00064185" w14:paraId="54539669" w14:textId="77777777" w:rsidTr="00E80C20">
        <w:tc>
          <w:tcPr>
            <w:tcW w:w="1403" w:type="pct"/>
          </w:tcPr>
          <w:p w14:paraId="1563E99F" w14:textId="77777777" w:rsidR="00EA230B" w:rsidRPr="00064185" w:rsidRDefault="00EA230B" w:rsidP="00EA61D8">
            <w:pPr>
              <w:pStyle w:val="TextText11"/>
              <w:rPr>
                <w:color w:val="auto"/>
              </w:rPr>
            </w:pPr>
            <w:r w:rsidRPr="00064185">
              <w:rPr>
                <w:color w:val="auto"/>
              </w:rPr>
              <w:t>Conclusion</w:t>
            </w:r>
          </w:p>
        </w:tc>
        <w:tc>
          <w:tcPr>
            <w:tcW w:w="3182" w:type="pct"/>
            <w:vAlign w:val="center"/>
          </w:tcPr>
          <w:p w14:paraId="35062FE9" w14:textId="77777777" w:rsidR="00EA230B" w:rsidRPr="00064185" w:rsidRDefault="00EA230B" w:rsidP="00EA61D8">
            <w:pPr>
              <w:pStyle w:val="Standard-italics"/>
              <w:rPr>
                <w:i w:val="0"/>
              </w:rPr>
            </w:pPr>
            <w:r w:rsidRPr="00064185">
              <w:rPr>
                <w:i w:val="0"/>
              </w:rPr>
              <w:t xml:space="preserve">The results show that COM 116 02 I AL has a strong efficacy against </w:t>
            </w:r>
            <w:r w:rsidRPr="00064185">
              <w:t>Lasius niger</w:t>
            </w:r>
            <w:r w:rsidRPr="00064185">
              <w:rPr>
                <w:i w:val="0"/>
              </w:rPr>
              <w:t xml:space="preserve">. </w:t>
            </w:r>
          </w:p>
        </w:tc>
        <w:tc>
          <w:tcPr>
            <w:tcW w:w="414" w:type="pct"/>
            <w:shd w:val="pct10" w:color="auto" w:fill="auto"/>
          </w:tcPr>
          <w:p w14:paraId="4968CB7F" w14:textId="77777777" w:rsidR="00EA230B" w:rsidRPr="00064185" w:rsidRDefault="00EA230B" w:rsidP="00EA61D8"/>
        </w:tc>
      </w:tr>
      <w:tr w:rsidR="00064185" w:rsidRPr="00064185" w14:paraId="0408B1C6"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5BE1ABB" w14:textId="77777777" w:rsidR="00EA230B" w:rsidRPr="00064185" w:rsidRDefault="00EA230B" w:rsidP="00EA61D8">
            <w:pPr>
              <w:pStyle w:val="TextText11"/>
              <w:rPr>
                <w:color w:val="auto"/>
              </w:rPr>
            </w:pPr>
            <w:r w:rsidRPr="00064185">
              <w:rPr>
                <w:color w:val="auto"/>
              </w:rPr>
              <w:t>Proposed efficacy specification</w:t>
            </w:r>
          </w:p>
        </w:tc>
        <w:tc>
          <w:tcPr>
            <w:tcW w:w="3182" w:type="pct"/>
            <w:tcBorders>
              <w:top w:val="nil"/>
              <w:left w:val="nil"/>
              <w:bottom w:val="nil"/>
              <w:right w:val="nil"/>
            </w:tcBorders>
            <w:vAlign w:val="center"/>
          </w:tcPr>
          <w:p w14:paraId="09143095" w14:textId="77777777" w:rsidR="00EA230B" w:rsidRPr="00064185" w:rsidRDefault="00EA230B" w:rsidP="00EA61D8">
            <w:pPr>
              <w:rPr>
                <w:i/>
              </w:rPr>
            </w:pPr>
            <w:r w:rsidRPr="00064185">
              <w:rPr>
                <w:i/>
              </w:rPr>
              <w:t>–</w:t>
            </w:r>
          </w:p>
        </w:tc>
        <w:tc>
          <w:tcPr>
            <w:tcW w:w="414" w:type="pct"/>
            <w:tcBorders>
              <w:top w:val="nil"/>
              <w:left w:val="nil"/>
              <w:bottom w:val="nil"/>
              <w:right w:val="nil"/>
            </w:tcBorders>
            <w:shd w:val="pct10" w:color="auto" w:fill="auto"/>
          </w:tcPr>
          <w:p w14:paraId="669883E4" w14:textId="77777777" w:rsidR="00EA230B" w:rsidRPr="00064185" w:rsidRDefault="00EA230B" w:rsidP="00EA61D8"/>
        </w:tc>
      </w:tr>
    </w:tbl>
    <w:p w14:paraId="5C98BAA4" w14:textId="77777777" w:rsidR="00EA230B" w:rsidRPr="00064185" w:rsidRDefault="00EA230B" w:rsidP="00EA61D8">
      <w:pPr>
        <w:rPr>
          <w:b/>
        </w:rPr>
      </w:pPr>
      <w:r w:rsidRPr="00064185">
        <w:rPr>
          <w:b/>
        </w:rPr>
        <w:br w:type="page"/>
      </w:r>
    </w:p>
    <w:tbl>
      <w:tblPr>
        <w:tblW w:w="5000" w:type="pct"/>
        <w:tblCellMar>
          <w:left w:w="70" w:type="dxa"/>
          <w:right w:w="70" w:type="dxa"/>
        </w:tblCellMar>
        <w:tblLook w:val="0000" w:firstRow="0" w:lastRow="0" w:firstColumn="0" w:lastColumn="0" w:noHBand="0" w:noVBand="0"/>
      </w:tblPr>
      <w:tblGrid>
        <w:gridCol w:w="2624"/>
        <w:gridCol w:w="5955"/>
        <w:gridCol w:w="775"/>
      </w:tblGrid>
      <w:tr w:rsidR="00064185" w:rsidRPr="00064185" w14:paraId="07E59983" w14:textId="77777777" w:rsidTr="00E80C20">
        <w:trPr>
          <w:cantSplit/>
          <w:tblHeader/>
        </w:trPr>
        <w:tc>
          <w:tcPr>
            <w:tcW w:w="1403" w:type="pct"/>
            <w:tcBorders>
              <w:bottom w:val="single" w:sz="4" w:space="0" w:color="auto"/>
            </w:tcBorders>
          </w:tcPr>
          <w:p w14:paraId="6A3D0AE1" w14:textId="77777777" w:rsidR="00EA230B" w:rsidRPr="00064185" w:rsidRDefault="00EA230B" w:rsidP="00EA61D8">
            <w:pPr>
              <w:pStyle w:val="SectionHeader"/>
            </w:pPr>
            <w:r w:rsidRPr="00064185">
              <w:lastRenderedPageBreak/>
              <w:t>Section B5.10</w:t>
            </w:r>
            <w:r w:rsidRPr="00064185">
              <w:br/>
            </w:r>
            <w:r w:rsidRPr="00064185">
              <w:rPr>
                <w:sz w:val="20"/>
              </w:rPr>
              <w:t>Annex Point IIB5.10</w:t>
            </w:r>
            <w:r w:rsidRPr="00064185">
              <w:rPr>
                <w:sz w:val="20"/>
              </w:rPr>
              <w:br/>
              <w:t>TNsG: Pt. I-B5.10,</w:t>
            </w:r>
            <w:r w:rsidRPr="00064185">
              <w:rPr>
                <w:sz w:val="20"/>
              </w:rPr>
              <w:br/>
              <w:t>Pt. III-Ch. 6</w:t>
            </w:r>
          </w:p>
        </w:tc>
        <w:tc>
          <w:tcPr>
            <w:tcW w:w="3183" w:type="pct"/>
            <w:tcBorders>
              <w:bottom w:val="single" w:sz="4" w:space="0" w:color="auto"/>
            </w:tcBorders>
            <w:vAlign w:val="center"/>
          </w:tcPr>
          <w:p w14:paraId="42D749C2" w14:textId="77777777" w:rsidR="00EA230B" w:rsidRPr="00064185" w:rsidRDefault="00EA230B" w:rsidP="00EA61D8">
            <w:pPr>
              <w:pStyle w:val="SectionHeader"/>
            </w:pPr>
            <w:r w:rsidRPr="00064185">
              <w:t xml:space="preserve">Efficacy Data </w:t>
            </w:r>
          </w:p>
          <w:p w14:paraId="58356028" w14:textId="77777777" w:rsidR="00EA230B" w:rsidRPr="00064185" w:rsidRDefault="00EA230B" w:rsidP="00EA61D8">
            <w:pPr>
              <w:pStyle w:val="SectionHeader"/>
            </w:pPr>
            <w:r w:rsidRPr="00064185">
              <w:rPr>
                <w:b w:val="0"/>
                <w:sz w:val="20"/>
              </w:rPr>
              <w:t>5.10.</w:t>
            </w:r>
            <w:r w:rsidRPr="00064185">
              <w:t xml:space="preserve"> </w:t>
            </w:r>
            <w:r w:rsidRPr="00064185">
              <w:rPr>
                <w:b w:val="0"/>
                <w:sz w:val="20"/>
              </w:rPr>
              <w:t>Effects on target organisms (PT 18; Study 1)</w:t>
            </w:r>
          </w:p>
        </w:tc>
        <w:tc>
          <w:tcPr>
            <w:tcW w:w="414" w:type="pct"/>
            <w:tcBorders>
              <w:bottom w:val="single" w:sz="4" w:space="0" w:color="auto"/>
            </w:tcBorders>
          </w:tcPr>
          <w:p w14:paraId="12B6BFB7" w14:textId="77777777" w:rsidR="00EA230B" w:rsidRPr="00064185" w:rsidRDefault="00EA230B" w:rsidP="00EA61D8">
            <w:pPr>
              <w:pStyle w:val="Official-Use"/>
              <w:keepNext/>
              <w:jc w:val="left"/>
              <w:rPr>
                <w:b/>
                <w:vanish/>
              </w:rPr>
            </w:pPr>
          </w:p>
        </w:tc>
      </w:tr>
      <w:tr w:rsidR="00064185" w:rsidRPr="00064185" w14:paraId="06A205CA" w14:textId="77777777" w:rsidTr="00E80C20">
        <w:trPr>
          <w:cantSplit/>
          <w:tblHeader/>
        </w:trPr>
        <w:tc>
          <w:tcPr>
            <w:tcW w:w="1403" w:type="pct"/>
            <w:tcBorders>
              <w:top w:val="single" w:sz="4" w:space="0" w:color="auto"/>
            </w:tcBorders>
          </w:tcPr>
          <w:p w14:paraId="0E3EFBC1" w14:textId="77777777" w:rsidR="00EA230B" w:rsidRPr="00064185" w:rsidRDefault="00EA230B" w:rsidP="00EA61D8">
            <w:pPr>
              <w:pStyle w:val="HalbeLeerzeile"/>
            </w:pPr>
          </w:p>
        </w:tc>
        <w:tc>
          <w:tcPr>
            <w:tcW w:w="3183" w:type="pct"/>
            <w:tcBorders>
              <w:top w:val="single" w:sz="4" w:space="0" w:color="auto"/>
            </w:tcBorders>
            <w:vAlign w:val="center"/>
          </w:tcPr>
          <w:p w14:paraId="214CC154" w14:textId="77777777" w:rsidR="00EA230B" w:rsidRPr="00064185" w:rsidRDefault="00EA230B" w:rsidP="00EA61D8">
            <w:pPr>
              <w:pStyle w:val="HalbeLeerzeile"/>
            </w:pPr>
          </w:p>
        </w:tc>
        <w:tc>
          <w:tcPr>
            <w:tcW w:w="414" w:type="pct"/>
            <w:tcBorders>
              <w:top w:val="single" w:sz="4" w:space="0" w:color="auto"/>
            </w:tcBorders>
          </w:tcPr>
          <w:p w14:paraId="18A17F6C" w14:textId="77777777" w:rsidR="00EA230B" w:rsidRPr="00064185" w:rsidRDefault="00EA230B" w:rsidP="00EA61D8">
            <w:pPr>
              <w:pStyle w:val="HalbeLeerzeile"/>
              <w:rPr>
                <w:b/>
                <w:vanish/>
              </w:rPr>
            </w:pPr>
          </w:p>
        </w:tc>
      </w:tr>
      <w:tr w:rsidR="00064185" w:rsidRPr="00064185" w14:paraId="634809A7" w14:textId="77777777" w:rsidTr="00E80C20">
        <w:trPr>
          <w:cantSplit/>
          <w:tblHeader/>
        </w:trPr>
        <w:tc>
          <w:tcPr>
            <w:tcW w:w="1403" w:type="pct"/>
            <w:tcBorders>
              <w:top w:val="single" w:sz="4" w:space="0" w:color="auto"/>
              <w:left w:val="single" w:sz="4" w:space="0" w:color="auto"/>
              <w:bottom w:val="single" w:sz="4" w:space="0" w:color="auto"/>
            </w:tcBorders>
            <w:shd w:val="pct15" w:color="auto" w:fill="auto"/>
          </w:tcPr>
          <w:p w14:paraId="10C4C8AA" w14:textId="77777777" w:rsidR="00EA230B" w:rsidRPr="00064185" w:rsidRDefault="00EA230B" w:rsidP="00EA61D8">
            <w:pPr>
              <w:pStyle w:val="SectionHeader"/>
            </w:pPr>
          </w:p>
        </w:tc>
        <w:tc>
          <w:tcPr>
            <w:tcW w:w="3183" w:type="pct"/>
            <w:tcBorders>
              <w:top w:val="single" w:sz="4" w:space="0" w:color="auto"/>
              <w:bottom w:val="single" w:sz="4" w:space="0" w:color="auto"/>
            </w:tcBorders>
            <w:shd w:val="pct15" w:color="auto" w:fill="auto"/>
            <w:vAlign w:val="center"/>
          </w:tcPr>
          <w:p w14:paraId="6852D0A9" w14:textId="77777777" w:rsidR="00EA230B" w:rsidRPr="00064185" w:rsidRDefault="00EA230B" w:rsidP="00EA61D8">
            <w:pPr>
              <w:pStyle w:val="SectionHeader"/>
            </w:pPr>
            <w:r w:rsidRPr="00064185">
              <w:t>Evaluation by Competent Authorities</w:t>
            </w:r>
          </w:p>
        </w:tc>
        <w:tc>
          <w:tcPr>
            <w:tcW w:w="414" w:type="pct"/>
            <w:tcBorders>
              <w:top w:val="single" w:sz="4" w:space="0" w:color="auto"/>
              <w:bottom w:val="single" w:sz="4" w:space="0" w:color="auto"/>
              <w:right w:val="single" w:sz="4" w:space="0" w:color="auto"/>
            </w:tcBorders>
            <w:shd w:val="pct15" w:color="auto" w:fill="auto"/>
          </w:tcPr>
          <w:p w14:paraId="4C1BD85B" w14:textId="77777777" w:rsidR="00EA230B" w:rsidRPr="00064185" w:rsidRDefault="00EA230B" w:rsidP="00EA61D8">
            <w:pPr>
              <w:pStyle w:val="SectionHeader"/>
              <w:rPr>
                <w:b w:val="0"/>
                <w:vanish/>
              </w:rPr>
            </w:pPr>
          </w:p>
        </w:tc>
      </w:tr>
      <w:tr w:rsidR="00064185" w:rsidRPr="00064185" w14:paraId="6D64D1C1" w14:textId="77777777" w:rsidTr="00E80C20">
        <w:tc>
          <w:tcPr>
            <w:tcW w:w="1403" w:type="pct"/>
            <w:tcBorders>
              <w:left w:val="single" w:sz="4" w:space="0" w:color="auto"/>
            </w:tcBorders>
          </w:tcPr>
          <w:p w14:paraId="5DA72967" w14:textId="77777777" w:rsidR="00EA230B" w:rsidRPr="00064185" w:rsidRDefault="00EA230B" w:rsidP="00EA61D8">
            <w:pPr>
              <w:pStyle w:val="Standard-fett"/>
              <w:keepNext/>
            </w:pPr>
          </w:p>
        </w:tc>
        <w:tc>
          <w:tcPr>
            <w:tcW w:w="3183" w:type="pct"/>
            <w:vAlign w:val="center"/>
          </w:tcPr>
          <w:p w14:paraId="70EC372C" w14:textId="77777777" w:rsidR="00EA230B" w:rsidRPr="00064185" w:rsidRDefault="00EA230B" w:rsidP="00EA61D8">
            <w:pPr>
              <w:pStyle w:val="Textkrper2"/>
              <w:rPr>
                <w:color w:val="auto"/>
              </w:rPr>
            </w:pPr>
            <w:r w:rsidRPr="00064185">
              <w:rPr>
                <w:color w:val="auto"/>
              </w:rPr>
              <w:t>Use separate "evaluation boxes" to provide transparency as to the comments and views submitted</w:t>
            </w:r>
          </w:p>
        </w:tc>
        <w:tc>
          <w:tcPr>
            <w:tcW w:w="414" w:type="pct"/>
            <w:tcBorders>
              <w:right w:val="single" w:sz="4" w:space="0" w:color="auto"/>
            </w:tcBorders>
          </w:tcPr>
          <w:p w14:paraId="310D7C43" w14:textId="77777777" w:rsidR="00EA230B" w:rsidRPr="00064185" w:rsidRDefault="00EA230B" w:rsidP="00EA61D8">
            <w:pPr>
              <w:pStyle w:val="Standard-fett"/>
            </w:pPr>
          </w:p>
        </w:tc>
      </w:tr>
      <w:tr w:rsidR="00064185" w:rsidRPr="00064185" w14:paraId="37ACAA2D" w14:textId="77777777" w:rsidTr="00E80C20">
        <w:trPr>
          <w:cantSplit/>
        </w:trPr>
        <w:tc>
          <w:tcPr>
            <w:tcW w:w="1403" w:type="pct"/>
            <w:tcBorders>
              <w:top w:val="single" w:sz="4" w:space="0" w:color="auto"/>
              <w:left w:val="single" w:sz="4" w:space="0" w:color="auto"/>
            </w:tcBorders>
          </w:tcPr>
          <w:p w14:paraId="4FCFDAE3" w14:textId="77777777" w:rsidR="00EA230B" w:rsidRPr="00064185" w:rsidRDefault="00EA230B" w:rsidP="00EA61D8"/>
        </w:tc>
        <w:tc>
          <w:tcPr>
            <w:tcW w:w="3597" w:type="pct"/>
            <w:gridSpan w:val="2"/>
            <w:tcBorders>
              <w:top w:val="single" w:sz="4" w:space="0" w:color="auto"/>
              <w:right w:val="single" w:sz="4" w:space="0" w:color="auto"/>
            </w:tcBorders>
            <w:vAlign w:val="center"/>
          </w:tcPr>
          <w:p w14:paraId="740D2761" w14:textId="77777777" w:rsidR="00EA230B" w:rsidRPr="00064185" w:rsidRDefault="00EA230B" w:rsidP="00EA61D8">
            <w:pPr>
              <w:rPr>
                <w:b/>
                <w:sz w:val="28"/>
                <w:szCs w:val="28"/>
              </w:rPr>
            </w:pPr>
            <w:r w:rsidRPr="00064185">
              <w:rPr>
                <w:b/>
                <w:sz w:val="28"/>
                <w:szCs w:val="28"/>
              </w:rPr>
              <w:t>Evaluation by Rapporteur Member State</w:t>
            </w:r>
          </w:p>
        </w:tc>
      </w:tr>
      <w:tr w:rsidR="00064185" w:rsidRPr="00064185" w14:paraId="775DF1F5" w14:textId="77777777" w:rsidTr="00E80C20">
        <w:trPr>
          <w:cantSplit/>
        </w:trPr>
        <w:tc>
          <w:tcPr>
            <w:tcW w:w="1403" w:type="pct"/>
            <w:tcBorders>
              <w:left w:val="single" w:sz="4" w:space="0" w:color="auto"/>
            </w:tcBorders>
          </w:tcPr>
          <w:p w14:paraId="76095696" w14:textId="77777777" w:rsidR="00EA230B" w:rsidRPr="00064185" w:rsidRDefault="00EA230B" w:rsidP="00EA61D8">
            <w:pPr>
              <w:rPr>
                <w:b/>
                <w:sz w:val="28"/>
                <w:szCs w:val="28"/>
              </w:rPr>
            </w:pPr>
            <w:r w:rsidRPr="00064185">
              <w:rPr>
                <w:b/>
                <w:sz w:val="28"/>
                <w:szCs w:val="28"/>
              </w:rPr>
              <w:t>Date</w:t>
            </w:r>
          </w:p>
        </w:tc>
        <w:tc>
          <w:tcPr>
            <w:tcW w:w="3597" w:type="pct"/>
            <w:gridSpan w:val="2"/>
            <w:tcBorders>
              <w:right w:val="single" w:sz="4" w:space="0" w:color="auto"/>
            </w:tcBorders>
          </w:tcPr>
          <w:p w14:paraId="5F4BBB51" w14:textId="10386BBA" w:rsidR="00EA230B" w:rsidRPr="00064185" w:rsidRDefault="00EA230B" w:rsidP="00EA61D8">
            <w:r w:rsidRPr="00064185">
              <w:t>July 201</w:t>
            </w:r>
            <w:r w:rsidR="00BA543B" w:rsidRPr="00064185">
              <w:t>8</w:t>
            </w:r>
          </w:p>
        </w:tc>
      </w:tr>
      <w:tr w:rsidR="00064185" w:rsidRPr="00064185" w14:paraId="72518814" w14:textId="77777777" w:rsidTr="00E80C20">
        <w:trPr>
          <w:cantSplit/>
        </w:trPr>
        <w:tc>
          <w:tcPr>
            <w:tcW w:w="1403" w:type="pct"/>
            <w:tcBorders>
              <w:left w:val="single" w:sz="4" w:space="0" w:color="auto"/>
            </w:tcBorders>
          </w:tcPr>
          <w:p w14:paraId="6A18348B" w14:textId="77777777" w:rsidR="00EA230B" w:rsidRPr="00064185" w:rsidRDefault="00EA230B" w:rsidP="00EA61D8">
            <w:pPr>
              <w:rPr>
                <w:b/>
                <w:sz w:val="28"/>
                <w:szCs w:val="28"/>
              </w:rPr>
            </w:pPr>
            <w:r w:rsidRPr="00064185">
              <w:rPr>
                <w:b/>
                <w:sz w:val="28"/>
                <w:szCs w:val="28"/>
              </w:rPr>
              <w:t>Comments</w:t>
            </w:r>
            <w:r w:rsidRPr="00064185">
              <w:rPr>
                <w:b/>
                <w:sz w:val="28"/>
                <w:szCs w:val="28"/>
              </w:rPr>
              <w:br/>
            </w:r>
            <w:r w:rsidRPr="00064185">
              <w:rPr>
                <w:b/>
                <w:sz w:val="28"/>
                <w:szCs w:val="28"/>
              </w:rPr>
              <w:br/>
            </w:r>
          </w:p>
        </w:tc>
        <w:tc>
          <w:tcPr>
            <w:tcW w:w="3597" w:type="pct"/>
            <w:gridSpan w:val="2"/>
            <w:tcBorders>
              <w:right w:val="single" w:sz="4" w:space="0" w:color="auto"/>
            </w:tcBorders>
          </w:tcPr>
          <w:p w14:paraId="436D1E95" w14:textId="77777777" w:rsidR="00BA543B" w:rsidRPr="00064185" w:rsidRDefault="00BA543B" w:rsidP="00EA61D8">
            <w:r w:rsidRPr="00064185">
              <w:t>2.3.3 Application of TS:</w:t>
            </w:r>
          </w:p>
          <w:p w14:paraId="3DA4B21B" w14:textId="34B0F743" w:rsidR="00EA230B" w:rsidRPr="00064185" w:rsidRDefault="00C15781" w:rsidP="00EA61D8">
            <w:r w:rsidRPr="00064185">
              <w:rPr>
                <w:rFonts w:ascii="Arial" w:hAnsi="Arial" w:cs="Arial"/>
                <w:lang w:val="en-US"/>
              </w:rPr>
              <w:t>For application 10 strokes per linear meter and nest entries are used.</w:t>
            </w:r>
          </w:p>
        </w:tc>
      </w:tr>
      <w:tr w:rsidR="00EA230B" w:rsidRPr="00064185" w14:paraId="2AB7F53C" w14:textId="77777777" w:rsidTr="00E80C20">
        <w:trPr>
          <w:cantSplit/>
        </w:trPr>
        <w:tc>
          <w:tcPr>
            <w:tcW w:w="1403" w:type="pct"/>
            <w:tcBorders>
              <w:left w:val="single" w:sz="4" w:space="0" w:color="auto"/>
              <w:bottom w:val="single" w:sz="4" w:space="0" w:color="auto"/>
            </w:tcBorders>
          </w:tcPr>
          <w:p w14:paraId="3CDE520A" w14:textId="4C3B13E5" w:rsidR="00EA230B" w:rsidRPr="00064185" w:rsidRDefault="00EA230B" w:rsidP="00EA61D8">
            <w:pPr>
              <w:rPr>
                <w:b/>
                <w:sz w:val="28"/>
                <w:szCs w:val="28"/>
              </w:rPr>
            </w:pPr>
            <w:r w:rsidRPr="00064185">
              <w:rPr>
                <w:b/>
                <w:sz w:val="28"/>
                <w:szCs w:val="28"/>
              </w:rPr>
              <w:t>Summary and conclusion</w:t>
            </w:r>
            <w:r w:rsidRPr="00064185">
              <w:rPr>
                <w:b/>
                <w:sz w:val="28"/>
                <w:szCs w:val="28"/>
              </w:rPr>
              <w:br/>
            </w:r>
          </w:p>
        </w:tc>
        <w:tc>
          <w:tcPr>
            <w:tcW w:w="3597" w:type="pct"/>
            <w:gridSpan w:val="2"/>
            <w:tcBorders>
              <w:bottom w:val="single" w:sz="4" w:space="0" w:color="auto"/>
              <w:right w:val="single" w:sz="4" w:space="0" w:color="auto"/>
            </w:tcBorders>
          </w:tcPr>
          <w:p w14:paraId="37FE1D54" w14:textId="77777777" w:rsidR="00EA230B" w:rsidRPr="00064185" w:rsidRDefault="00EA230B" w:rsidP="00EA61D8">
            <w:r w:rsidRPr="00064185">
              <w:t>Agree with applicants version</w:t>
            </w:r>
          </w:p>
        </w:tc>
      </w:tr>
    </w:tbl>
    <w:p w14:paraId="6E47D0D7" w14:textId="77777777" w:rsidR="00EA230B" w:rsidRPr="00064185" w:rsidRDefault="00EA230B" w:rsidP="00EA61D8">
      <w:pPr>
        <w:keepNext/>
      </w:pPr>
    </w:p>
    <w:p w14:paraId="5423C456" w14:textId="77777777" w:rsidR="00EA230B" w:rsidRPr="00064185" w:rsidRDefault="00EA230B" w:rsidP="00EA61D8">
      <w:pPr>
        <w:rPr>
          <w:rFonts w:eastAsiaTheme="minorEastAsia"/>
          <w:b/>
        </w:rPr>
      </w:pPr>
      <w:r w:rsidRPr="00064185">
        <w:br w:type="page"/>
      </w:r>
      <w:r w:rsidRPr="00064185">
        <w:rPr>
          <w:rFonts w:eastAsiaTheme="minorEastAsia"/>
          <w:b/>
        </w:rPr>
        <w:lastRenderedPageBreak/>
        <w:t>Table B5.10_1:</w:t>
      </w:r>
      <w:r w:rsidRPr="00064185">
        <w:rPr>
          <w:rFonts w:eastAsiaTheme="minorEastAsia"/>
          <w:b/>
        </w:rPr>
        <w:tab/>
        <w:t>Percentage reductions of the frequency of ants on surface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879"/>
        <w:gridCol w:w="1878"/>
        <w:gridCol w:w="1878"/>
        <w:gridCol w:w="1878"/>
      </w:tblGrid>
      <w:tr w:rsidR="00064185" w:rsidRPr="00064185" w14:paraId="6A3B1653" w14:textId="77777777" w:rsidTr="00E80C20">
        <w:tc>
          <w:tcPr>
            <w:tcW w:w="1016" w:type="pct"/>
            <w:vMerge w:val="restart"/>
            <w:shd w:val="clear" w:color="auto" w:fill="auto"/>
          </w:tcPr>
          <w:p w14:paraId="7B2FF75F" w14:textId="77777777" w:rsidR="00EA230B" w:rsidRPr="00064185" w:rsidRDefault="00EA230B" w:rsidP="00EA61D8">
            <w:pPr>
              <w:rPr>
                <w:b/>
              </w:rPr>
            </w:pPr>
            <w:r w:rsidRPr="00064185">
              <w:rPr>
                <w:b/>
              </w:rPr>
              <w:t>Treatment</w:t>
            </w:r>
          </w:p>
        </w:tc>
        <w:tc>
          <w:tcPr>
            <w:tcW w:w="3984" w:type="pct"/>
            <w:gridSpan w:val="4"/>
            <w:tcBorders>
              <w:bottom w:val="nil"/>
            </w:tcBorders>
          </w:tcPr>
          <w:p w14:paraId="7A31F96F" w14:textId="77777777" w:rsidR="00EA230B" w:rsidRPr="00064185" w:rsidRDefault="00EA230B" w:rsidP="00EA61D8">
            <w:pPr>
              <w:rPr>
                <w:b/>
              </w:rPr>
            </w:pPr>
            <w:r w:rsidRPr="00064185">
              <w:rPr>
                <w:b/>
              </w:rPr>
              <w:t>Days of exposure</w:t>
            </w:r>
          </w:p>
        </w:tc>
      </w:tr>
      <w:tr w:rsidR="00064185" w:rsidRPr="00064185" w14:paraId="798BE544" w14:textId="77777777" w:rsidTr="00E80C20">
        <w:tc>
          <w:tcPr>
            <w:tcW w:w="1016" w:type="pct"/>
            <w:vMerge/>
            <w:shd w:val="clear" w:color="auto" w:fill="auto"/>
          </w:tcPr>
          <w:p w14:paraId="77D469DB" w14:textId="77777777" w:rsidR="00EA230B" w:rsidRPr="00064185" w:rsidRDefault="00EA230B" w:rsidP="00EA61D8">
            <w:pPr>
              <w:pStyle w:val="Standard-fett"/>
              <w:outlineLvl w:val="0"/>
              <w:rPr>
                <w:b w:val="0"/>
              </w:rPr>
            </w:pPr>
          </w:p>
        </w:tc>
        <w:tc>
          <w:tcPr>
            <w:tcW w:w="996" w:type="pct"/>
            <w:tcBorders>
              <w:top w:val="nil"/>
            </w:tcBorders>
          </w:tcPr>
          <w:p w14:paraId="2AEDF27E" w14:textId="77777777" w:rsidR="00EA230B" w:rsidRPr="00064185" w:rsidRDefault="00EA230B" w:rsidP="00EA61D8">
            <w:r w:rsidRPr="00064185">
              <w:t>2</w:t>
            </w:r>
          </w:p>
        </w:tc>
        <w:tc>
          <w:tcPr>
            <w:tcW w:w="996" w:type="pct"/>
            <w:tcBorders>
              <w:top w:val="nil"/>
            </w:tcBorders>
          </w:tcPr>
          <w:p w14:paraId="057C9009" w14:textId="77777777" w:rsidR="00EA230B" w:rsidRPr="00064185" w:rsidRDefault="00EA230B" w:rsidP="00EA61D8">
            <w:r w:rsidRPr="00064185">
              <w:t>7</w:t>
            </w:r>
          </w:p>
        </w:tc>
        <w:tc>
          <w:tcPr>
            <w:tcW w:w="996" w:type="pct"/>
            <w:tcBorders>
              <w:top w:val="nil"/>
            </w:tcBorders>
          </w:tcPr>
          <w:p w14:paraId="16AE6EF5" w14:textId="77777777" w:rsidR="00EA230B" w:rsidRPr="00064185" w:rsidRDefault="00EA230B" w:rsidP="00EA61D8">
            <w:r w:rsidRPr="00064185">
              <w:t>14</w:t>
            </w:r>
          </w:p>
        </w:tc>
        <w:tc>
          <w:tcPr>
            <w:tcW w:w="996" w:type="pct"/>
            <w:tcBorders>
              <w:top w:val="nil"/>
            </w:tcBorders>
            <w:shd w:val="clear" w:color="auto" w:fill="auto"/>
          </w:tcPr>
          <w:p w14:paraId="3CE35DA2" w14:textId="77777777" w:rsidR="00EA230B" w:rsidRPr="00064185" w:rsidRDefault="00EA230B" w:rsidP="00EA61D8">
            <w:r w:rsidRPr="00064185">
              <w:t>21</w:t>
            </w:r>
          </w:p>
        </w:tc>
      </w:tr>
      <w:tr w:rsidR="00064185" w:rsidRPr="00064185" w14:paraId="32B70C92" w14:textId="77777777" w:rsidTr="00E80C20">
        <w:tc>
          <w:tcPr>
            <w:tcW w:w="1016" w:type="pct"/>
            <w:shd w:val="clear" w:color="auto" w:fill="auto"/>
          </w:tcPr>
          <w:p w14:paraId="06E7649B" w14:textId="77777777" w:rsidR="00EA230B" w:rsidRPr="00064185" w:rsidRDefault="00EA230B" w:rsidP="00EA61D8">
            <w:r w:rsidRPr="00064185">
              <w:t>Untreated</w:t>
            </w:r>
          </w:p>
        </w:tc>
        <w:tc>
          <w:tcPr>
            <w:tcW w:w="996" w:type="pct"/>
          </w:tcPr>
          <w:p w14:paraId="760B4E5F" w14:textId="77777777" w:rsidR="00EA230B" w:rsidRPr="00064185" w:rsidRDefault="00EA230B" w:rsidP="00EA61D8">
            <w:r w:rsidRPr="00064185">
              <w:t>-9.8</w:t>
            </w:r>
          </w:p>
        </w:tc>
        <w:tc>
          <w:tcPr>
            <w:tcW w:w="996" w:type="pct"/>
          </w:tcPr>
          <w:p w14:paraId="2ACA77F7" w14:textId="77777777" w:rsidR="00EA230B" w:rsidRPr="00064185" w:rsidRDefault="00EA230B" w:rsidP="00EA61D8">
            <w:r w:rsidRPr="00064185">
              <w:t>23.2</w:t>
            </w:r>
          </w:p>
        </w:tc>
        <w:tc>
          <w:tcPr>
            <w:tcW w:w="996" w:type="pct"/>
          </w:tcPr>
          <w:p w14:paraId="34691679" w14:textId="77777777" w:rsidR="00EA230B" w:rsidRPr="00064185" w:rsidRDefault="00EA230B" w:rsidP="00EA61D8">
            <w:r w:rsidRPr="00064185">
              <w:t>-8.8</w:t>
            </w:r>
          </w:p>
        </w:tc>
        <w:tc>
          <w:tcPr>
            <w:tcW w:w="996" w:type="pct"/>
            <w:shd w:val="clear" w:color="auto" w:fill="auto"/>
          </w:tcPr>
          <w:p w14:paraId="3E8FEE55" w14:textId="77777777" w:rsidR="00EA230B" w:rsidRPr="00064185" w:rsidRDefault="00EA230B" w:rsidP="00EA61D8">
            <w:r w:rsidRPr="00064185">
              <w:t>-10.1</w:t>
            </w:r>
          </w:p>
        </w:tc>
      </w:tr>
      <w:tr w:rsidR="00064185" w:rsidRPr="00064185" w14:paraId="1F7745E8" w14:textId="77777777" w:rsidTr="00E80C20">
        <w:tc>
          <w:tcPr>
            <w:tcW w:w="1016" w:type="pct"/>
            <w:shd w:val="clear" w:color="auto" w:fill="auto"/>
          </w:tcPr>
          <w:p w14:paraId="336A00C6" w14:textId="77777777" w:rsidR="00EA230B" w:rsidRPr="00064185" w:rsidRDefault="00EA230B" w:rsidP="00EA61D8">
            <w:r w:rsidRPr="00064185">
              <w:t>COM 116 02 I AL</w:t>
            </w:r>
          </w:p>
        </w:tc>
        <w:tc>
          <w:tcPr>
            <w:tcW w:w="996" w:type="pct"/>
          </w:tcPr>
          <w:p w14:paraId="04AC8D91" w14:textId="77777777" w:rsidR="00EA230B" w:rsidRPr="00064185" w:rsidRDefault="00EA230B" w:rsidP="00EA61D8">
            <w:r w:rsidRPr="00064185">
              <w:t>66.9</w:t>
            </w:r>
          </w:p>
        </w:tc>
        <w:tc>
          <w:tcPr>
            <w:tcW w:w="996" w:type="pct"/>
          </w:tcPr>
          <w:p w14:paraId="6ABF9AC9" w14:textId="77777777" w:rsidR="00EA230B" w:rsidRPr="00064185" w:rsidRDefault="00EA230B" w:rsidP="00EA61D8">
            <w:r w:rsidRPr="00064185">
              <w:t>90.7</w:t>
            </w:r>
          </w:p>
        </w:tc>
        <w:tc>
          <w:tcPr>
            <w:tcW w:w="996" w:type="pct"/>
          </w:tcPr>
          <w:p w14:paraId="53A20A2D" w14:textId="77777777" w:rsidR="00EA230B" w:rsidRPr="00064185" w:rsidRDefault="00EA230B" w:rsidP="00EA61D8">
            <w:r w:rsidRPr="00064185">
              <w:t>98.9</w:t>
            </w:r>
          </w:p>
        </w:tc>
        <w:tc>
          <w:tcPr>
            <w:tcW w:w="996" w:type="pct"/>
            <w:shd w:val="clear" w:color="auto" w:fill="auto"/>
          </w:tcPr>
          <w:p w14:paraId="0A6D558A" w14:textId="77777777" w:rsidR="00EA230B" w:rsidRPr="00064185" w:rsidRDefault="00EA230B" w:rsidP="00EA61D8">
            <w:r w:rsidRPr="00064185">
              <w:t>100</w:t>
            </w:r>
          </w:p>
        </w:tc>
      </w:tr>
      <w:tr w:rsidR="00064185" w:rsidRPr="00064185" w14:paraId="37345047" w14:textId="77777777" w:rsidTr="00E80C20">
        <w:tc>
          <w:tcPr>
            <w:tcW w:w="1016" w:type="pct"/>
            <w:shd w:val="clear" w:color="auto" w:fill="auto"/>
          </w:tcPr>
          <w:p w14:paraId="3DC1A6A7" w14:textId="77777777" w:rsidR="00EA230B" w:rsidRPr="00064185" w:rsidRDefault="00EA230B" w:rsidP="00EA61D8">
            <w:r w:rsidRPr="00064185">
              <w:t>AFOURMI SG, strewing</w:t>
            </w:r>
          </w:p>
        </w:tc>
        <w:tc>
          <w:tcPr>
            <w:tcW w:w="996" w:type="pct"/>
          </w:tcPr>
          <w:p w14:paraId="4923388C" w14:textId="77777777" w:rsidR="00EA230B" w:rsidRPr="00064185" w:rsidRDefault="00EA230B" w:rsidP="00EA61D8">
            <w:r w:rsidRPr="00064185">
              <w:t>78.9</w:t>
            </w:r>
          </w:p>
        </w:tc>
        <w:tc>
          <w:tcPr>
            <w:tcW w:w="996" w:type="pct"/>
          </w:tcPr>
          <w:p w14:paraId="673D3191" w14:textId="77777777" w:rsidR="00EA230B" w:rsidRPr="00064185" w:rsidRDefault="00EA230B" w:rsidP="00EA61D8">
            <w:r w:rsidRPr="00064185">
              <w:t>92.4</w:t>
            </w:r>
          </w:p>
        </w:tc>
        <w:tc>
          <w:tcPr>
            <w:tcW w:w="996" w:type="pct"/>
          </w:tcPr>
          <w:p w14:paraId="31A3784B" w14:textId="77777777" w:rsidR="00EA230B" w:rsidRPr="00064185" w:rsidRDefault="00EA230B" w:rsidP="00EA61D8">
            <w:r w:rsidRPr="00064185">
              <w:t>100</w:t>
            </w:r>
          </w:p>
        </w:tc>
        <w:tc>
          <w:tcPr>
            <w:tcW w:w="996" w:type="pct"/>
            <w:shd w:val="clear" w:color="auto" w:fill="auto"/>
          </w:tcPr>
          <w:p w14:paraId="674AAF4F" w14:textId="77777777" w:rsidR="00EA230B" w:rsidRPr="00064185" w:rsidRDefault="00EA230B" w:rsidP="00EA61D8">
            <w:r w:rsidRPr="00064185">
              <w:t>100</w:t>
            </w:r>
          </w:p>
        </w:tc>
      </w:tr>
      <w:tr w:rsidR="00EA230B" w:rsidRPr="00064185" w14:paraId="5493AB2F" w14:textId="77777777" w:rsidTr="00E80C20">
        <w:tc>
          <w:tcPr>
            <w:tcW w:w="1016" w:type="pct"/>
            <w:shd w:val="clear" w:color="auto" w:fill="auto"/>
          </w:tcPr>
          <w:p w14:paraId="6CF880D1" w14:textId="77777777" w:rsidR="00EA230B" w:rsidRPr="00064185" w:rsidRDefault="00EA230B" w:rsidP="00EA61D8">
            <w:r w:rsidRPr="00064185">
              <w:t>AFOURMI SG, strewing</w:t>
            </w:r>
          </w:p>
        </w:tc>
        <w:tc>
          <w:tcPr>
            <w:tcW w:w="996" w:type="pct"/>
          </w:tcPr>
          <w:p w14:paraId="1472C7A4" w14:textId="77777777" w:rsidR="00EA230B" w:rsidRPr="00064185" w:rsidRDefault="00EA230B" w:rsidP="00EA61D8">
            <w:r w:rsidRPr="00064185">
              <w:t>93.5</w:t>
            </w:r>
          </w:p>
        </w:tc>
        <w:tc>
          <w:tcPr>
            <w:tcW w:w="996" w:type="pct"/>
          </w:tcPr>
          <w:p w14:paraId="12619FD8" w14:textId="77777777" w:rsidR="00EA230B" w:rsidRPr="00064185" w:rsidRDefault="00EA230B" w:rsidP="00EA61D8">
            <w:r w:rsidRPr="00064185">
              <w:t>100</w:t>
            </w:r>
          </w:p>
        </w:tc>
        <w:tc>
          <w:tcPr>
            <w:tcW w:w="996" w:type="pct"/>
          </w:tcPr>
          <w:p w14:paraId="463DDCF6" w14:textId="77777777" w:rsidR="00EA230B" w:rsidRPr="00064185" w:rsidRDefault="00EA230B" w:rsidP="00EA61D8">
            <w:r w:rsidRPr="00064185">
              <w:t>100</w:t>
            </w:r>
          </w:p>
        </w:tc>
        <w:tc>
          <w:tcPr>
            <w:tcW w:w="996" w:type="pct"/>
            <w:shd w:val="clear" w:color="auto" w:fill="auto"/>
          </w:tcPr>
          <w:p w14:paraId="4E52ABBF" w14:textId="77777777" w:rsidR="00EA230B" w:rsidRPr="00064185" w:rsidRDefault="00EA230B" w:rsidP="00EA61D8">
            <w:r w:rsidRPr="00064185">
              <w:t>100</w:t>
            </w:r>
          </w:p>
        </w:tc>
      </w:tr>
    </w:tbl>
    <w:p w14:paraId="401AFA06" w14:textId="77777777" w:rsidR="00EA230B" w:rsidRPr="00064185" w:rsidRDefault="00EA230B" w:rsidP="00EA61D8">
      <w:pPr>
        <w:rPr>
          <w:rFonts w:eastAsiaTheme="minorEastAsia"/>
          <w:b/>
        </w:rPr>
      </w:pPr>
    </w:p>
    <w:p w14:paraId="65F68AC0" w14:textId="77777777" w:rsidR="00EA230B" w:rsidRPr="00064185" w:rsidRDefault="00EA230B" w:rsidP="00EA61D8">
      <w:pPr>
        <w:rPr>
          <w:rFonts w:eastAsiaTheme="minorEastAsia"/>
          <w:b/>
        </w:rPr>
      </w:pPr>
      <w:r w:rsidRPr="00064185">
        <w:rPr>
          <w:rFonts w:eastAsiaTheme="minorEastAsia"/>
          <w:b/>
        </w:rPr>
        <w:t>Table B5.10_2:</w:t>
      </w:r>
      <w:r w:rsidRPr="00064185">
        <w:rPr>
          <w:rFonts w:eastAsiaTheme="minorEastAsia"/>
          <w:b/>
        </w:rPr>
        <w:tab/>
        <w:t>Number of alive ants after 3 weeks*</w:t>
      </w:r>
    </w:p>
    <w:tbl>
      <w:tblPr>
        <w:tblW w:w="4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1932"/>
        <w:gridCol w:w="2088"/>
      </w:tblGrid>
      <w:tr w:rsidR="00064185" w:rsidRPr="00064185" w14:paraId="4B8FECFD" w14:textId="77777777" w:rsidTr="00E80C20">
        <w:tc>
          <w:tcPr>
            <w:tcW w:w="2457" w:type="pct"/>
            <w:shd w:val="clear" w:color="auto" w:fill="auto"/>
          </w:tcPr>
          <w:p w14:paraId="3E35C809" w14:textId="77777777" w:rsidR="00EA230B" w:rsidRPr="00064185" w:rsidRDefault="00EA230B" w:rsidP="00EA61D8">
            <w:pPr>
              <w:rPr>
                <w:b/>
              </w:rPr>
            </w:pPr>
            <w:r w:rsidRPr="00064185">
              <w:rPr>
                <w:b/>
              </w:rPr>
              <w:t>Treatment</w:t>
            </w:r>
          </w:p>
        </w:tc>
        <w:tc>
          <w:tcPr>
            <w:tcW w:w="1222" w:type="pct"/>
            <w:shd w:val="clear" w:color="auto" w:fill="auto"/>
          </w:tcPr>
          <w:p w14:paraId="3047C468" w14:textId="77777777" w:rsidR="00EA230B" w:rsidRPr="00064185" w:rsidRDefault="00EA230B" w:rsidP="00EA61D8">
            <w:r w:rsidRPr="00064185">
              <w:rPr>
                <w:b/>
              </w:rPr>
              <w:t>Application</w:t>
            </w:r>
          </w:p>
        </w:tc>
        <w:tc>
          <w:tcPr>
            <w:tcW w:w="1321" w:type="pct"/>
            <w:shd w:val="clear" w:color="auto" w:fill="auto"/>
          </w:tcPr>
          <w:p w14:paraId="4C469A07" w14:textId="77777777" w:rsidR="00EA230B" w:rsidRPr="00064185" w:rsidRDefault="00EA230B" w:rsidP="00EA61D8">
            <w:pPr>
              <w:rPr>
                <w:b/>
              </w:rPr>
            </w:pPr>
            <w:r w:rsidRPr="00064185">
              <w:rPr>
                <w:b/>
              </w:rPr>
              <w:t>Number of alive ants</w:t>
            </w:r>
          </w:p>
        </w:tc>
      </w:tr>
      <w:tr w:rsidR="00064185" w:rsidRPr="00064185" w14:paraId="3CDABF2E" w14:textId="77777777" w:rsidTr="00E80C20">
        <w:tc>
          <w:tcPr>
            <w:tcW w:w="2457" w:type="pct"/>
            <w:shd w:val="clear" w:color="auto" w:fill="auto"/>
          </w:tcPr>
          <w:p w14:paraId="6B8375B5" w14:textId="77777777" w:rsidR="00EA230B" w:rsidRPr="00064185" w:rsidRDefault="00EA230B" w:rsidP="00EA61D8">
            <w:r w:rsidRPr="00064185">
              <w:t>Untreated</w:t>
            </w:r>
          </w:p>
        </w:tc>
        <w:tc>
          <w:tcPr>
            <w:tcW w:w="1222" w:type="pct"/>
            <w:shd w:val="clear" w:color="auto" w:fill="auto"/>
          </w:tcPr>
          <w:p w14:paraId="2D478BC1" w14:textId="77777777" w:rsidR="00EA230B" w:rsidRPr="00064185" w:rsidRDefault="00EA230B" w:rsidP="00EA61D8">
            <w:r w:rsidRPr="00064185">
              <w:t>-</w:t>
            </w:r>
          </w:p>
        </w:tc>
        <w:tc>
          <w:tcPr>
            <w:tcW w:w="1321" w:type="pct"/>
            <w:shd w:val="clear" w:color="auto" w:fill="auto"/>
          </w:tcPr>
          <w:p w14:paraId="2CC92D47" w14:textId="77777777" w:rsidR="00EA230B" w:rsidRPr="00064185" w:rsidRDefault="00EA230B" w:rsidP="00EA61D8">
            <w:r w:rsidRPr="00064185">
              <w:t>&gt; 1500</w:t>
            </w:r>
          </w:p>
        </w:tc>
      </w:tr>
      <w:tr w:rsidR="00064185" w:rsidRPr="00064185" w14:paraId="15F16477" w14:textId="77777777" w:rsidTr="00E80C20">
        <w:tc>
          <w:tcPr>
            <w:tcW w:w="2457" w:type="pct"/>
            <w:shd w:val="clear" w:color="auto" w:fill="auto"/>
          </w:tcPr>
          <w:p w14:paraId="2EE51F01" w14:textId="77777777" w:rsidR="00EA230B" w:rsidRPr="00064185" w:rsidRDefault="00EA230B" w:rsidP="00EA61D8">
            <w:r w:rsidRPr="00064185">
              <w:t>COM 116 02 I AL</w:t>
            </w:r>
          </w:p>
        </w:tc>
        <w:tc>
          <w:tcPr>
            <w:tcW w:w="1222" w:type="pct"/>
            <w:shd w:val="clear" w:color="auto" w:fill="auto"/>
          </w:tcPr>
          <w:p w14:paraId="26E3344B" w14:textId="77777777" w:rsidR="00EA230B" w:rsidRPr="00064185" w:rsidRDefault="00EA230B" w:rsidP="00EA61D8">
            <w:r w:rsidRPr="00064185">
              <w:t>10 g/L</w:t>
            </w:r>
          </w:p>
        </w:tc>
        <w:tc>
          <w:tcPr>
            <w:tcW w:w="1321" w:type="pct"/>
            <w:shd w:val="clear" w:color="auto" w:fill="auto"/>
          </w:tcPr>
          <w:p w14:paraId="7559ED4C" w14:textId="77777777" w:rsidR="00EA230B" w:rsidRPr="00064185" w:rsidRDefault="00EA230B" w:rsidP="00EA61D8">
            <w:r w:rsidRPr="00064185">
              <w:t>0</w:t>
            </w:r>
          </w:p>
        </w:tc>
      </w:tr>
      <w:tr w:rsidR="00064185" w:rsidRPr="00064185" w14:paraId="521A19FE" w14:textId="77777777" w:rsidTr="00E80C20">
        <w:tc>
          <w:tcPr>
            <w:tcW w:w="2457" w:type="pct"/>
            <w:shd w:val="clear" w:color="auto" w:fill="auto"/>
          </w:tcPr>
          <w:p w14:paraId="68A7D36A" w14:textId="77777777" w:rsidR="00EA230B" w:rsidRPr="00064185" w:rsidRDefault="00EA230B" w:rsidP="00EA61D8">
            <w:r w:rsidRPr="00064185">
              <w:t>AFOURMI SG, strewing</w:t>
            </w:r>
          </w:p>
        </w:tc>
        <w:tc>
          <w:tcPr>
            <w:tcW w:w="1222" w:type="pct"/>
            <w:shd w:val="clear" w:color="auto" w:fill="auto"/>
          </w:tcPr>
          <w:p w14:paraId="09666D77" w14:textId="77777777" w:rsidR="00EA230B" w:rsidRPr="00064185" w:rsidRDefault="00EA230B" w:rsidP="00EA61D8">
            <w:r w:rsidRPr="00064185">
              <w:t>40 g/nest</w:t>
            </w:r>
          </w:p>
        </w:tc>
        <w:tc>
          <w:tcPr>
            <w:tcW w:w="1321" w:type="pct"/>
            <w:shd w:val="clear" w:color="auto" w:fill="auto"/>
          </w:tcPr>
          <w:p w14:paraId="39822D8C" w14:textId="77777777" w:rsidR="00EA230B" w:rsidRPr="00064185" w:rsidRDefault="00EA230B" w:rsidP="00EA61D8">
            <w:r w:rsidRPr="00064185">
              <w:t>0</w:t>
            </w:r>
          </w:p>
        </w:tc>
      </w:tr>
      <w:tr w:rsidR="00064185" w:rsidRPr="00064185" w14:paraId="38B960DD" w14:textId="77777777" w:rsidTr="00E80C20">
        <w:tc>
          <w:tcPr>
            <w:tcW w:w="2457" w:type="pct"/>
            <w:shd w:val="clear" w:color="auto" w:fill="auto"/>
          </w:tcPr>
          <w:p w14:paraId="4E63FFB6" w14:textId="77777777" w:rsidR="00EA230B" w:rsidRPr="00064185" w:rsidRDefault="00EA230B" w:rsidP="00EA61D8">
            <w:r w:rsidRPr="00064185">
              <w:t>AFOURMI SG, strewing</w:t>
            </w:r>
          </w:p>
        </w:tc>
        <w:tc>
          <w:tcPr>
            <w:tcW w:w="1222" w:type="pct"/>
            <w:shd w:val="clear" w:color="auto" w:fill="auto"/>
          </w:tcPr>
          <w:p w14:paraId="6D55CC2C" w14:textId="77777777" w:rsidR="00EA230B" w:rsidRPr="00064185" w:rsidRDefault="00EA230B" w:rsidP="00EA61D8">
            <w:r w:rsidRPr="00064185">
              <w:t>40 g/2000 mL</w:t>
            </w:r>
          </w:p>
        </w:tc>
        <w:tc>
          <w:tcPr>
            <w:tcW w:w="1321" w:type="pct"/>
            <w:shd w:val="clear" w:color="auto" w:fill="auto"/>
          </w:tcPr>
          <w:p w14:paraId="0F8692C6" w14:textId="77777777" w:rsidR="00EA230B" w:rsidRPr="00064185" w:rsidRDefault="00EA230B" w:rsidP="00EA61D8">
            <w:r w:rsidRPr="00064185">
              <w:t>0</w:t>
            </w:r>
          </w:p>
        </w:tc>
      </w:tr>
    </w:tbl>
    <w:p w14:paraId="3AC5DB32" w14:textId="77777777" w:rsidR="00EA230B" w:rsidRPr="00064185" w:rsidRDefault="00EA230B" w:rsidP="00EA61D8">
      <w:pPr>
        <w:rPr>
          <w:rFonts w:eastAsiaTheme="minorEastAsia"/>
        </w:rPr>
      </w:pPr>
      <w:r w:rsidRPr="00064185">
        <w:rPr>
          <w:rFonts w:eastAsiaTheme="minorEastAsia"/>
        </w:rPr>
        <w:t>* The nest was open and parts of ground are retrieved and observed in the laboratory for insect counts.</w:t>
      </w:r>
    </w:p>
    <w:p w14:paraId="367C4C8A" w14:textId="77777777" w:rsidR="00EA230B" w:rsidRPr="00064185" w:rsidRDefault="00EA230B" w:rsidP="00EA61D8">
      <w:pPr>
        <w:pStyle w:val="Standard-fett"/>
        <w:outlineLvl w:val="0"/>
        <w:sectPr w:rsidR="00EA230B" w:rsidRPr="00064185" w:rsidSect="003E5B50">
          <w:endnotePr>
            <w:numFmt w:val="decimal"/>
          </w:endnotePr>
          <w:pgSz w:w="11907" w:h="16840" w:code="9"/>
          <w:pgMar w:top="1474" w:right="1247" w:bottom="2013" w:left="1446" w:header="850" w:footer="850" w:gutter="0"/>
          <w:cols w:space="720"/>
          <w:titlePg/>
          <w:docGrid w:linePitch="272"/>
        </w:sectPr>
      </w:pPr>
    </w:p>
    <w:tbl>
      <w:tblPr>
        <w:tblW w:w="5000" w:type="pct"/>
        <w:tblCellMar>
          <w:left w:w="70" w:type="dxa"/>
          <w:right w:w="70" w:type="dxa"/>
        </w:tblCellMar>
        <w:tblLook w:val="0000" w:firstRow="0" w:lastRow="0" w:firstColumn="0" w:lastColumn="0" w:noHBand="0" w:noVBand="0"/>
      </w:tblPr>
      <w:tblGrid>
        <w:gridCol w:w="2833"/>
        <w:gridCol w:w="5744"/>
        <w:gridCol w:w="777"/>
      </w:tblGrid>
      <w:tr w:rsidR="00064185" w:rsidRPr="00064185" w14:paraId="3E289137" w14:textId="77777777" w:rsidTr="00E80C20">
        <w:trPr>
          <w:cantSplit/>
          <w:tblHeader/>
        </w:trPr>
        <w:tc>
          <w:tcPr>
            <w:tcW w:w="1403" w:type="pct"/>
            <w:tcBorders>
              <w:bottom w:val="single" w:sz="4" w:space="0" w:color="auto"/>
            </w:tcBorders>
          </w:tcPr>
          <w:p w14:paraId="27B1E9B5" w14:textId="77777777" w:rsidR="00EA230B" w:rsidRPr="00064185" w:rsidRDefault="00EA230B" w:rsidP="00EA61D8">
            <w:pPr>
              <w:pStyle w:val="SectionHeader"/>
            </w:pPr>
            <w:r w:rsidRPr="00064185">
              <w:lastRenderedPageBreak/>
              <w:t>Section B5.10</w:t>
            </w:r>
            <w:r w:rsidRPr="00064185">
              <w:br/>
            </w:r>
            <w:r w:rsidRPr="00064185">
              <w:rPr>
                <w:sz w:val="20"/>
              </w:rPr>
              <w:t>Annex Point IIB5.10</w:t>
            </w:r>
            <w:r w:rsidRPr="00064185">
              <w:rPr>
                <w:sz w:val="20"/>
              </w:rPr>
              <w:br/>
              <w:t>TNsG: Pt. I-B5.10,</w:t>
            </w:r>
            <w:r w:rsidRPr="00064185">
              <w:rPr>
                <w:sz w:val="20"/>
              </w:rPr>
              <w:br/>
              <w:t>Pt. III-Ch. 6</w:t>
            </w:r>
          </w:p>
        </w:tc>
        <w:tc>
          <w:tcPr>
            <w:tcW w:w="3182" w:type="pct"/>
            <w:tcBorders>
              <w:bottom w:val="single" w:sz="4" w:space="0" w:color="auto"/>
            </w:tcBorders>
            <w:vAlign w:val="center"/>
          </w:tcPr>
          <w:p w14:paraId="6F5F79E0" w14:textId="77777777" w:rsidR="00EA230B" w:rsidRPr="00064185" w:rsidRDefault="00EA230B" w:rsidP="00EA61D8">
            <w:pPr>
              <w:pStyle w:val="SectionHeader"/>
            </w:pPr>
            <w:r w:rsidRPr="00064185">
              <w:t xml:space="preserve">Efficacy Data </w:t>
            </w:r>
          </w:p>
          <w:p w14:paraId="3CD37E43" w14:textId="77777777" w:rsidR="00EA230B" w:rsidRPr="00064185" w:rsidRDefault="00EA230B" w:rsidP="00EA61D8">
            <w:pPr>
              <w:pStyle w:val="SectionHeader"/>
            </w:pPr>
            <w:r w:rsidRPr="00064185">
              <w:rPr>
                <w:b w:val="0"/>
                <w:sz w:val="20"/>
              </w:rPr>
              <w:t>5.10.</w:t>
            </w:r>
            <w:r w:rsidRPr="00064185">
              <w:t xml:space="preserve"> </w:t>
            </w:r>
            <w:r w:rsidRPr="00064185">
              <w:rPr>
                <w:b w:val="0"/>
                <w:sz w:val="20"/>
              </w:rPr>
              <w:t>Effects on target organisms (PT 18; Study 2)</w:t>
            </w:r>
          </w:p>
        </w:tc>
        <w:tc>
          <w:tcPr>
            <w:tcW w:w="414" w:type="pct"/>
            <w:tcBorders>
              <w:bottom w:val="single" w:sz="4" w:space="0" w:color="auto"/>
            </w:tcBorders>
          </w:tcPr>
          <w:p w14:paraId="189F9BCC" w14:textId="77777777" w:rsidR="00EA230B" w:rsidRPr="00064185" w:rsidRDefault="00EA230B" w:rsidP="00EA61D8">
            <w:pPr>
              <w:pStyle w:val="Official-Use"/>
              <w:keepNext/>
              <w:jc w:val="left"/>
              <w:rPr>
                <w:b/>
                <w:vanish/>
              </w:rPr>
            </w:pPr>
          </w:p>
        </w:tc>
      </w:tr>
      <w:tr w:rsidR="00064185" w:rsidRPr="00064185" w14:paraId="76B81B8D" w14:textId="77777777" w:rsidTr="00E80C20">
        <w:trPr>
          <w:cantSplit/>
          <w:tblHeader/>
        </w:trPr>
        <w:tc>
          <w:tcPr>
            <w:tcW w:w="1403" w:type="pct"/>
            <w:tcBorders>
              <w:top w:val="single" w:sz="4" w:space="0" w:color="auto"/>
            </w:tcBorders>
          </w:tcPr>
          <w:p w14:paraId="3557B5FC" w14:textId="77777777" w:rsidR="00EA230B" w:rsidRPr="00064185" w:rsidRDefault="00EA230B" w:rsidP="00EA61D8">
            <w:pPr>
              <w:pStyle w:val="HalbeLeerzeile"/>
            </w:pPr>
          </w:p>
        </w:tc>
        <w:tc>
          <w:tcPr>
            <w:tcW w:w="3182" w:type="pct"/>
            <w:tcBorders>
              <w:top w:val="single" w:sz="4" w:space="0" w:color="auto"/>
            </w:tcBorders>
            <w:vAlign w:val="center"/>
          </w:tcPr>
          <w:p w14:paraId="00ED5792" w14:textId="77777777" w:rsidR="00EA230B" w:rsidRPr="00064185" w:rsidRDefault="00EA230B" w:rsidP="00EA61D8">
            <w:pPr>
              <w:pStyle w:val="HalbeLeerzeile"/>
            </w:pPr>
          </w:p>
        </w:tc>
        <w:tc>
          <w:tcPr>
            <w:tcW w:w="414" w:type="pct"/>
            <w:tcBorders>
              <w:top w:val="single" w:sz="4" w:space="0" w:color="auto"/>
            </w:tcBorders>
          </w:tcPr>
          <w:p w14:paraId="2C453968" w14:textId="77777777" w:rsidR="00EA230B" w:rsidRPr="00064185" w:rsidRDefault="00EA230B" w:rsidP="00EA61D8">
            <w:pPr>
              <w:pStyle w:val="HalbeLeerzeile"/>
              <w:rPr>
                <w:b/>
                <w:vanish/>
              </w:rPr>
            </w:pPr>
          </w:p>
        </w:tc>
      </w:tr>
      <w:tr w:rsidR="00064185" w:rsidRPr="00064185" w14:paraId="2C6C17D2" w14:textId="77777777" w:rsidTr="00E80C20">
        <w:tc>
          <w:tcPr>
            <w:tcW w:w="1403" w:type="pct"/>
          </w:tcPr>
          <w:p w14:paraId="1005F496" w14:textId="77777777" w:rsidR="00EA230B" w:rsidRPr="00064185" w:rsidRDefault="00EA230B" w:rsidP="00EA61D8"/>
        </w:tc>
        <w:tc>
          <w:tcPr>
            <w:tcW w:w="3182" w:type="pct"/>
            <w:vAlign w:val="center"/>
          </w:tcPr>
          <w:p w14:paraId="4F84E034" w14:textId="77777777" w:rsidR="00EA230B" w:rsidRPr="00064185" w:rsidRDefault="00EA230B" w:rsidP="00EA61D8">
            <w:pPr>
              <w:pStyle w:val="TEXTTEXT"/>
              <w:numPr>
                <w:ilvl w:val="0"/>
                <w:numId w:val="24"/>
              </w:numPr>
            </w:pPr>
            <w:r w:rsidRPr="00064185">
              <w:t>Reference</w:t>
            </w:r>
          </w:p>
        </w:tc>
        <w:tc>
          <w:tcPr>
            <w:tcW w:w="414" w:type="pct"/>
            <w:shd w:val="pct10" w:color="auto" w:fill="auto"/>
          </w:tcPr>
          <w:p w14:paraId="379A1032" w14:textId="77777777" w:rsidR="00EA230B" w:rsidRPr="00064185" w:rsidRDefault="00EA230B" w:rsidP="00EA61D8">
            <w:pPr>
              <w:pStyle w:val="Official-Use"/>
              <w:keepNext/>
              <w:jc w:val="left"/>
              <w:rPr>
                <w:b/>
              </w:rPr>
            </w:pPr>
            <w:r w:rsidRPr="00064185">
              <w:rPr>
                <w:b/>
              </w:rPr>
              <w:t>Official</w:t>
            </w:r>
            <w:r w:rsidRPr="00064185">
              <w:rPr>
                <w:b/>
              </w:rPr>
              <w:br/>
              <w:t>use only</w:t>
            </w:r>
          </w:p>
        </w:tc>
      </w:tr>
      <w:tr w:rsidR="00064185" w:rsidRPr="00064185" w14:paraId="69A3A6CF" w14:textId="77777777" w:rsidTr="00E80C20">
        <w:tc>
          <w:tcPr>
            <w:tcW w:w="1403" w:type="pct"/>
          </w:tcPr>
          <w:p w14:paraId="49DA9BF8" w14:textId="77777777" w:rsidR="00EA230B" w:rsidRPr="00064185" w:rsidRDefault="00EA230B" w:rsidP="00EA61D8">
            <w:pPr>
              <w:pStyle w:val="TextText11"/>
              <w:rPr>
                <w:color w:val="auto"/>
              </w:rPr>
            </w:pPr>
            <w:r w:rsidRPr="00064185">
              <w:rPr>
                <w:color w:val="auto"/>
              </w:rPr>
              <w:t>Reference</w:t>
            </w:r>
          </w:p>
        </w:tc>
        <w:tc>
          <w:tcPr>
            <w:tcW w:w="3182" w:type="pct"/>
            <w:vAlign w:val="center"/>
          </w:tcPr>
          <w:p w14:paraId="629E5A46" w14:textId="09A60D4D" w:rsidR="00EA230B" w:rsidRPr="00064185" w:rsidRDefault="00EA230B" w:rsidP="00EA61D8">
            <w:r w:rsidRPr="00064185">
              <w:t>Serrano, B. (2007</w:t>
            </w:r>
            <w:r w:rsidR="00BA543B" w:rsidRPr="00064185">
              <w:t>b</w:t>
            </w:r>
            <w:r w:rsidRPr="00064185">
              <w:t>): Laboratory trial of the efficacy of insecticide products against garden ants. T.E.C. Laboratory, Anglet, France, Report No. 1204a/0707R, Date: 2007-09-11 (unpublished)</w:t>
            </w:r>
          </w:p>
        </w:tc>
        <w:tc>
          <w:tcPr>
            <w:tcW w:w="414" w:type="pct"/>
            <w:shd w:val="pct10" w:color="auto" w:fill="auto"/>
          </w:tcPr>
          <w:p w14:paraId="6FFA1FD2"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1C1430ED" w14:textId="77777777" w:rsidTr="00E80C20">
        <w:tc>
          <w:tcPr>
            <w:tcW w:w="1403" w:type="pct"/>
          </w:tcPr>
          <w:p w14:paraId="46434637" w14:textId="77777777" w:rsidR="00EA230B" w:rsidRPr="00064185" w:rsidRDefault="00EA230B" w:rsidP="00EA61D8">
            <w:pPr>
              <w:pStyle w:val="TextText11"/>
              <w:rPr>
                <w:color w:val="auto"/>
              </w:rPr>
            </w:pPr>
            <w:r w:rsidRPr="00064185">
              <w:rPr>
                <w:color w:val="auto"/>
              </w:rPr>
              <w:t>Data protection</w:t>
            </w:r>
          </w:p>
        </w:tc>
        <w:tc>
          <w:tcPr>
            <w:tcW w:w="3182" w:type="pct"/>
            <w:vAlign w:val="center"/>
          </w:tcPr>
          <w:p w14:paraId="1DE97EDB" w14:textId="77777777" w:rsidR="00EA230B" w:rsidRPr="00064185" w:rsidRDefault="00EA230B" w:rsidP="00EA61D8">
            <w:pPr>
              <w:pStyle w:val="Standard-italics"/>
              <w:rPr>
                <w:i w:val="0"/>
              </w:rPr>
            </w:pPr>
            <w:r w:rsidRPr="00064185">
              <w:rPr>
                <w:i w:val="0"/>
              </w:rPr>
              <w:t>Yes</w:t>
            </w:r>
          </w:p>
        </w:tc>
        <w:tc>
          <w:tcPr>
            <w:tcW w:w="414" w:type="pct"/>
            <w:shd w:val="pct10" w:color="auto" w:fill="auto"/>
          </w:tcPr>
          <w:p w14:paraId="21B446FE"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7BEBEB76" w14:textId="77777777" w:rsidTr="00E80C20">
        <w:tc>
          <w:tcPr>
            <w:tcW w:w="1403" w:type="pct"/>
          </w:tcPr>
          <w:p w14:paraId="4DA5C5D8" w14:textId="77777777" w:rsidR="00EA230B" w:rsidRPr="00064185" w:rsidRDefault="00EA230B" w:rsidP="00EA61D8">
            <w:pPr>
              <w:pStyle w:val="TxtTxtTxt"/>
            </w:pPr>
            <w:r w:rsidRPr="00064185">
              <w:t>Data owner</w:t>
            </w:r>
          </w:p>
        </w:tc>
        <w:tc>
          <w:tcPr>
            <w:tcW w:w="3182" w:type="pct"/>
            <w:vAlign w:val="center"/>
          </w:tcPr>
          <w:p w14:paraId="6BA3CFD3" w14:textId="77777777" w:rsidR="00EA230B" w:rsidRPr="00064185" w:rsidRDefault="00EA230B" w:rsidP="00EA61D8">
            <w:pPr>
              <w:pStyle w:val="Standard-italics"/>
              <w:rPr>
                <w:i w:val="0"/>
              </w:rPr>
            </w:pPr>
            <w:r w:rsidRPr="00064185">
              <w:rPr>
                <w:i w:val="0"/>
              </w:rPr>
              <w:t>Compo GmbH &amp; Co. KG</w:t>
            </w:r>
          </w:p>
        </w:tc>
        <w:tc>
          <w:tcPr>
            <w:tcW w:w="414" w:type="pct"/>
            <w:shd w:val="pct10" w:color="auto" w:fill="auto"/>
          </w:tcPr>
          <w:p w14:paraId="0668C220"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271B05C5" w14:textId="77777777" w:rsidTr="00E80C20">
        <w:tc>
          <w:tcPr>
            <w:tcW w:w="1403" w:type="pct"/>
          </w:tcPr>
          <w:p w14:paraId="24B503A8" w14:textId="77777777" w:rsidR="00EA230B" w:rsidRPr="00064185" w:rsidRDefault="00EA230B" w:rsidP="00EA61D8">
            <w:pPr>
              <w:pStyle w:val="TxtTxtTxt"/>
            </w:pPr>
            <w:r w:rsidRPr="00064185">
              <w:t>Companies with Letter of Access</w:t>
            </w:r>
          </w:p>
        </w:tc>
        <w:tc>
          <w:tcPr>
            <w:tcW w:w="3182" w:type="pct"/>
            <w:vAlign w:val="center"/>
          </w:tcPr>
          <w:p w14:paraId="4F5A0C30" w14:textId="77777777" w:rsidR="00EA230B" w:rsidRPr="00064185" w:rsidRDefault="00EA230B" w:rsidP="00EA61D8">
            <w:r w:rsidRPr="00064185">
              <w:t xml:space="preserve">– </w:t>
            </w:r>
          </w:p>
        </w:tc>
        <w:tc>
          <w:tcPr>
            <w:tcW w:w="414" w:type="pct"/>
            <w:shd w:val="pct10" w:color="auto" w:fill="auto"/>
          </w:tcPr>
          <w:p w14:paraId="4C926434"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659EFE92" w14:textId="77777777" w:rsidTr="00E80C20">
        <w:tc>
          <w:tcPr>
            <w:tcW w:w="1403" w:type="pct"/>
          </w:tcPr>
          <w:p w14:paraId="52B9191A" w14:textId="77777777" w:rsidR="00EA230B" w:rsidRPr="00064185" w:rsidRDefault="00EA230B" w:rsidP="00EA61D8">
            <w:pPr>
              <w:pStyle w:val="TxtTxtTxt"/>
            </w:pPr>
            <w:r w:rsidRPr="00064185">
              <w:t>Criteria for data protection</w:t>
            </w:r>
          </w:p>
        </w:tc>
        <w:tc>
          <w:tcPr>
            <w:tcW w:w="3182" w:type="pct"/>
          </w:tcPr>
          <w:p w14:paraId="2204DFAD" w14:textId="77777777" w:rsidR="00EA230B" w:rsidRPr="00064185" w:rsidRDefault="00EA230B" w:rsidP="00EA61D8">
            <w:r w:rsidRPr="00064185">
              <w:t>Data submitted to the MS after 13 May 2000 on existing b.p. for the purpose of its authorisation.</w:t>
            </w:r>
          </w:p>
        </w:tc>
        <w:tc>
          <w:tcPr>
            <w:tcW w:w="414" w:type="pct"/>
            <w:shd w:val="pct10" w:color="auto" w:fill="auto"/>
          </w:tcPr>
          <w:p w14:paraId="3005B289"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75062AD9" w14:textId="77777777" w:rsidTr="00E80C20">
        <w:tc>
          <w:tcPr>
            <w:tcW w:w="1403" w:type="pct"/>
          </w:tcPr>
          <w:p w14:paraId="1F9907D9" w14:textId="77777777" w:rsidR="00EA230B" w:rsidRPr="00064185" w:rsidRDefault="00EA230B" w:rsidP="00EA61D8">
            <w:pPr>
              <w:pStyle w:val="TextText11"/>
              <w:rPr>
                <w:color w:val="auto"/>
              </w:rPr>
            </w:pPr>
            <w:r w:rsidRPr="00064185">
              <w:rPr>
                <w:color w:val="auto"/>
              </w:rPr>
              <w:t>Guideline study</w:t>
            </w:r>
          </w:p>
        </w:tc>
        <w:tc>
          <w:tcPr>
            <w:tcW w:w="3182" w:type="pct"/>
            <w:vAlign w:val="center"/>
          </w:tcPr>
          <w:p w14:paraId="4CCEDD62" w14:textId="77777777" w:rsidR="00EA230B" w:rsidRPr="00064185" w:rsidRDefault="00EA230B" w:rsidP="00EA61D8">
            <w:pPr>
              <w:pStyle w:val="Standard-italics"/>
              <w:rPr>
                <w:i w:val="0"/>
              </w:rPr>
            </w:pPr>
            <w:r w:rsidRPr="00064185">
              <w:rPr>
                <w:i w:val="0"/>
              </w:rPr>
              <w:t>The methodology was based on the French official registration protocol C.E.B no. 196 "Méthode d'étude de l'efficacité des préparations appâts inseciticides sur les espèces communes de fourmis, Novembre 1997".</w:t>
            </w:r>
          </w:p>
        </w:tc>
        <w:tc>
          <w:tcPr>
            <w:tcW w:w="414" w:type="pct"/>
            <w:shd w:val="pct10" w:color="auto" w:fill="auto"/>
          </w:tcPr>
          <w:p w14:paraId="370FD25E" w14:textId="77777777" w:rsidR="00EA230B" w:rsidRPr="00064185" w:rsidRDefault="00EA230B" w:rsidP="00EA61D8"/>
        </w:tc>
      </w:tr>
      <w:tr w:rsidR="00064185" w:rsidRPr="00064185" w14:paraId="66F480B6" w14:textId="77777777" w:rsidTr="00E80C20">
        <w:tc>
          <w:tcPr>
            <w:tcW w:w="1403" w:type="pct"/>
          </w:tcPr>
          <w:p w14:paraId="08A6CAB6" w14:textId="77777777" w:rsidR="00EA230B" w:rsidRPr="00064185" w:rsidRDefault="00EA230B" w:rsidP="00EA61D8">
            <w:pPr>
              <w:pStyle w:val="TextText11"/>
              <w:rPr>
                <w:color w:val="auto"/>
              </w:rPr>
            </w:pPr>
            <w:r w:rsidRPr="00064185">
              <w:rPr>
                <w:color w:val="auto"/>
              </w:rPr>
              <w:t>Deviations</w:t>
            </w:r>
          </w:p>
        </w:tc>
        <w:tc>
          <w:tcPr>
            <w:tcW w:w="3182" w:type="pct"/>
            <w:vAlign w:val="center"/>
          </w:tcPr>
          <w:p w14:paraId="01BB4F9C" w14:textId="77777777" w:rsidR="00EA230B" w:rsidRPr="00064185" w:rsidRDefault="00EA230B" w:rsidP="00EA61D8">
            <w:pPr>
              <w:pStyle w:val="Standard-italics"/>
              <w:rPr>
                <w:i w:val="0"/>
              </w:rPr>
            </w:pPr>
            <w:r w:rsidRPr="00064185">
              <w:rPr>
                <w:i w:val="0"/>
              </w:rPr>
              <w:t>The trial was conducted with and without competition food (sugar wet cotton)</w:t>
            </w:r>
            <w:proofErr w:type="gramStart"/>
            <w:r w:rsidRPr="00064185">
              <w:rPr>
                <w:i w:val="0"/>
              </w:rPr>
              <w:t>,</w:t>
            </w:r>
            <w:proofErr w:type="gramEnd"/>
            <w:r w:rsidRPr="00064185">
              <w:rPr>
                <w:i w:val="0"/>
              </w:rPr>
              <w:t xml:space="preserve"> the species chosen is </w:t>
            </w:r>
            <w:r w:rsidRPr="00064185">
              <w:t>Lasius niger</w:t>
            </w:r>
            <w:r w:rsidRPr="00064185">
              <w:rPr>
                <w:i w:val="0"/>
              </w:rPr>
              <w:t>.</w:t>
            </w:r>
          </w:p>
        </w:tc>
        <w:tc>
          <w:tcPr>
            <w:tcW w:w="414" w:type="pct"/>
            <w:shd w:val="pct10" w:color="auto" w:fill="auto"/>
          </w:tcPr>
          <w:p w14:paraId="09E9BC96" w14:textId="77777777" w:rsidR="00EA230B" w:rsidRPr="00064185" w:rsidRDefault="00EA230B" w:rsidP="00EA61D8"/>
        </w:tc>
      </w:tr>
      <w:tr w:rsidR="00064185" w:rsidRPr="00064185" w14:paraId="554A9DE4" w14:textId="77777777" w:rsidTr="00E80C20">
        <w:tc>
          <w:tcPr>
            <w:tcW w:w="1403" w:type="pct"/>
          </w:tcPr>
          <w:p w14:paraId="4CFABC1F" w14:textId="77777777" w:rsidR="00EA230B" w:rsidRPr="00064185" w:rsidRDefault="00EA230B" w:rsidP="00EA61D8">
            <w:pPr>
              <w:pStyle w:val="TextText11"/>
              <w:numPr>
                <w:ilvl w:val="0"/>
                <w:numId w:val="0"/>
              </w:numPr>
              <w:ind w:left="709"/>
              <w:rPr>
                <w:color w:val="auto"/>
              </w:rPr>
            </w:pPr>
          </w:p>
        </w:tc>
        <w:tc>
          <w:tcPr>
            <w:tcW w:w="3182" w:type="pct"/>
            <w:vAlign w:val="center"/>
          </w:tcPr>
          <w:p w14:paraId="4A0FBF09" w14:textId="77777777" w:rsidR="00EA230B" w:rsidRPr="00064185" w:rsidRDefault="00EA230B" w:rsidP="00EA61D8">
            <w:pPr>
              <w:pStyle w:val="TEXTTEXT"/>
            </w:pPr>
            <w:r w:rsidRPr="00064185">
              <w:t>Method</w:t>
            </w:r>
          </w:p>
        </w:tc>
        <w:tc>
          <w:tcPr>
            <w:tcW w:w="414" w:type="pct"/>
            <w:shd w:val="pct10" w:color="auto" w:fill="auto"/>
          </w:tcPr>
          <w:p w14:paraId="5920AAF0"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10D824EC"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A981277" w14:textId="77777777" w:rsidR="00EA230B" w:rsidRPr="00064185" w:rsidRDefault="00EA230B" w:rsidP="00EA61D8">
            <w:pPr>
              <w:pStyle w:val="TextText11"/>
              <w:rPr>
                <w:color w:val="auto"/>
              </w:rPr>
            </w:pPr>
            <w:r w:rsidRPr="00064185">
              <w:rPr>
                <w:color w:val="auto"/>
              </w:rPr>
              <w:t xml:space="preserve">Test Substance </w:t>
            </w:r>
          </w:p>
        </w:tc>
        <w:tc>
          <w:tcPr>
            <w:tcW w:w="3182" w:type="pct"/>
            <w:tcBorders>
              <w:top w:val="nil"/>
              <w:left w:val="nil"/>
              <w:bottom w:val="nil"/>
              <w:right w:val="nil"/>
            </w:tcBorders>
            <w:vAlign w:val="center"/>
          </w:tcPr>
          <w:p w14:paraId="27092285" w14:textId="77777777" w:rsidR="00EA230B" w:rsidRPr="00064185" w:rsidRDefault="00EA230B" w:rsidP="00EA61D8">
            <w:pPr>
              <w:rPr>
                <w:lang w:val="nb-NO"/>
              </w:rPr>
            </w:pPr>
            <w:r w:rsidRPr="00064185">
              <w:rPr>
                <w:lang w:val="nb-NO"/>
              </w:rPr>
              <w:t>COM 116 02 I AL (batch 45061H)</w:t>
            </w:r>
          </w:p>
        </w:tc>
        <w:tc>
          <w:tcPr>
            <w:tcW w:w="414" w:type="pct"/>
            <w:tcBorders>
              <w:top w:val="nil"/>
              <w:left w:val="nil"/>
              <w:bottom w:val="nil"/>
              <w:right w:val="nil"/>
            </w:tcBorders>
            <w:shd w:val="pct10" w:color="auto" w:fill="auto"/>
          </w:tcPr>
          <w:p w14:paraId="247E0024" w14:textId="77777777" w:rsidR="00EA230B" w:rsidRPr="00064185" w:rsidRDefault="00EA230B" w:rsidP="00EA61D8">
            <w:pPr>
              <w:rPr>
                <w:lang w:val="it-IT"/>
              </w:rPr>
            </w:pPr>
          </w:p>
        </w:tc>
      </w:tr>
      <w:tr w:rsidR="00064185" w:rsidRPr="00064185" w14:paraId="410C4C8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F0D1BEB" w14:textId="77777777" w:rsidR="00EA230B" w:rsidRPr="00064185" w:rsidRDefault="00EA230B" w:rsidP="00EA61D8">
            <w:pPr>
              <w:pStyle w:val="TxtTxtTxt"/>
            </w:pPr>
            <w:r w:rsidRPr="00064185">
              <w:t>Purity</w:t>
            </w:r>
          </w:p>
        </w:tc>
        <w:tc>
          <w:tcPr>
            <w:tcW w:w="3182" w:type="pct"/>
            <w:tcBorders>
              <w:top w:val="nil"/>
              <w:left w:val="nil"/>
              <w:bottom w:val="nil"/>
              <w:right w:val="nil"/>
            </w:tcBorders>
            <w:vAlign w:val="center"/>
          </w:tcPr>
          <w:p w14:paraId="44F4EA53" w14:textId="77777777" w:rsidR="00EA230B" w:rsidRPr="00064185" w:rsidRDefault="00EA230B" w:rsidP="00EA61D8">
            <w:pPr>
              <w:pStyle w:val="Standard-italics"/>
              <w:rPr>
                <w:i w:val="0"/>
              </w:rPr>
            </w:pPr>
            <w:r w:rsidRPr="00064185">
              <w:rPr>
                <w:i w:val="0"/>
              </w:rPr>
              <w:t xml:space="preserve">The biocidal product contains </w:t>
            </w:r>
            <w:r w:rsidRPr="00064185">
              <w:rPr>
                <w:i w:val="0"/>
                <w:lang w:val="nb-NO"/>
              </w:rPr>
              <w:t>0.5 g/kg of the active substance lambda-cyhalothrin</w:t>
            </w:r>
            <w:r w:rsidRPr="00064185">
              <w:rPr>
                <w:i w:val="0"/>
              </w:rPr>
              <w:t>.</w:t>
            </w:r>
          </w:p>
        </w:tc>
        <w:tc>
          <w:tcPr>
            <w:tcW w:w="414" w:type="pct"/>
            <w:tcBorders>
              <w:top w:val="nil"/>
              <w:left w:val="nil"/>
              <w:bottom w:val="nil"/>
              <w:right w:val="nil"/>
            </w:tcBorders>
            <w:shd w:val="pct10" w:color="auto" w:fill="auto"/>
          </w:tcPr>
          <w:p w14:paraId="02CE57D6" w14:textId="77777777" w:rsidR="00EA230B" w:rsidRPr="00064185" w:rsidRDefault="00EA230B" w:rsidP="00EA61D8"/>
        </w:tc>
      </w:tr>
      <w:tr w:rsidR="00064185" w:rsidRPr="00064185" w14:paraId="08591ECF"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FE01809" w14:textId="77777777" w:rsidR="00EA230B" w:rsidRPr="00064185" w:rsidRDefault="00EA230B" w:rsidP="00EA61D8">
            <w:pPr>
              <w:pStyle w:val="TxtTxtTxt"/>
            </w:pPr>
            <w:r w:rsidRPr="00064185">
              <w:t>Physical state and nature</w:t>
            </w:r>
          </w:p>
        </w:tc>
        <w:tc>
          <w:tcPr>
            <w:tcW w:w="3182" w:type="pct"/>
            <w:tcBorders>
              <w:top w:val="nil"/>
              <w:left w:val="nil"/>
              <w:bottom w:val="nil"/>
              <w:right w:val="nil"/>
            </w:tcBorders>
            <w:vAlign w:val="center"/>
          </w:tcPr>
          <w:p w14:paraId="2306BE9A" w14:textId="77777777" w:rsidR="00EA230B" w:rsidRPr="00064185" w:rsidRDefault="00EA230B" w:rsidP="00EA61D8">
            <w:pPr>
              <w:pStyle w:val="Standard-italics"/>
              <w:rPr>
                <w:i w:val="0"/>
              </w:rPr>
            </w:pPr>
            <w:r w:rsidRPr="00064185">
              <w:rPr>
                <w:i w:val="0"/>
              </w:rPr>
              <w:t>Liquid formulation</w:t>
            </w:r>
          </w:p>
        </w:tc>
        <w:tc>
          <w:tcPr>
            <w:tcW w:w="414" w:type="pct"/>
            <w:tcBorders>
              <w:top w:val="nil"/>
              <w:left w:val="nil"/>
              <w:bottom w:val="nil"/>
              <w:right w:val="nil"/>
            </w:tcBorders>
            <w:shd w:val="pct10" w:color="auto" w:fill="auto"/>
          </w:tcPr>
          <w:p w14:paraId="54CAEFAA" w14:textId="77777777" w:rsidR="00EA230B" w:rsidRPr="00064185" w:rsidRDefault="00EA230B" w:rsidP="00EA61D8"/>
        </w:tc>
      </w:tr>
      <w:tr w:rsidR="00064185" w:rsidRPr="00064185" w14:paraId="15ECE23C"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DFF9AB4" w14:textId="77777777" w:rsidR="00EA230B" w:rsidRPr="00064185" w:rsidRDefault="00EA230B" w:rsidP="00EA61D8">
            <w:pPr>
              <w:pStyle w:val="TxtTxtTxt"/>
            </w:pPr>
            <w:r w:rsidRPr="00064185">
              <w:t>Method of analysis</w:t>
            </w:r>
          </w:p>
        </w:tc>
        <w:tc>
          <w:tcPr>
            <w:tcW w:w="3182" w:type="pct"/>
            <w:tcBorders>
              <w:top w:val="nil"/>
              <w:left w:val="nil"/>
              <w:bottom w:val="nil"/>
              <w:right w:val="nil"/>
            </w:tcBorders>
            <w:vAlign w:val="center"/>
          </w:tcPr>
          <w:p w14:paraId="31DECB60" w14:textId="77777777" w:rsidR="00EA230B" w:rsidRPr="00064185" w:rsidRDefault="00EA230B" w:rsidP="00EA61D8">
            <w:pPr>
              <w:pStyle w:val="Standard-italics"/>
              <w:rPr>
                <w:i w:val="0"/>
              </w:rPr>
            </w:pPr>
            <w:r w:rsidRPr="00064185">
              <w:rPr>
                <w:i w:val="0"/>
              </w:rPr>
              <w:t>As described in Section 5 of dossier.</w:t>
            </w:r>
          </w:p>
        </w:tc>
        <w:tc>
          <w:tcPr>
            <w:tcW w:w="414" w:type="pct"/>
            <w:tcBorders>
              <w:top w:val="nil"/>
              <w:left w:val="nil"/>
              <w:bottom w:val="nil"/>
              <w:right w:val="nil"/>
            </w:tcBorders>
            <w:shd w:val="pct10" w:color="auto" w:fill="auto"/>
          </w:tcPr>
          <w:p w14:paraId="4B2CEF80" w14:textId="77777777" w:rsidR="00EA230B" w:rsidRPr="00064185" w:rsidRDefault="00EA230B" w:rsidP="00EA61D8"/>
        </w:tc>
      </w:tr>
      <w:tr w:rsidR="00064185" w:rsidRPr="00064185" w14:paraId="7320C7AC"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BAFDE61" w14:textId="77777777" w:rsidR="00EA230B" w:rsidRPr="00064185" w:rsidRDefault="00EA230B" w:rsidP="00EA61D8">
            <w:pPr>
              <w:pStyle w:val="TextText11"/>
              <w:rPr>
                <w:color w:val="auto"/>
              </w:rPr>
            </w:pPr>
            <w:r w:rsidRPr="00064185">
              <w:rPr>
                <w:color w:val="auto"/>
              </w:rPr>
              <w:t>Reference substance</w:t>
            </w:r>
          </w:p>
        </w:tc>
        <w:tc>
          <w:tcPr>
            <w:tcW w:w="3182" w:type="pct"/>
            <w:tcBorders>
              <w:top w:val="nil"/>
              <w:left w:val="nil"/>
              <w:bottom w:val="nil"/>
              <w:right w:val="nil"/>
            </w:tcBorders>
            <w:vAlign w:val="center"/>
          </w:tcPr>
          <w:p w14:paraId="64F30D1F" w14:textId="77777777" w:rsidR="00EA230B" w:rsidRPr="00064185" w:rsidRDefault="00EA230B" w:rsidP="00EA61D8">
            <w:pPr>
              <w:autoSpaceDE w:val="0"/>
              <w:autoSpaceDN w:val="0"/>
              <w:adjustRightInd w:val="0"/>
              <w:rPr>
                <w:rFonts w:ascii="Arial" w:hAnsi="Arial"/>
              </w:rPr>
            </w:pPr>
            <w:r w:rsidRPr="00064185">
              <w:t>AFOURMI SG (0.02 % fipronil, batch 1834Y EMB, AMM 9900344)</w:t>
            </w:r>
          </w:p>
        </w:tc>
        <w:tc>
          <w:tcPr>
            <w:tcW w:w="414" w:type="pct"/>
            <w:tcBorders>
              <w:top w:val="nil"/>
              <w:left w:val="nil"/>
              <w:bottom w:val="nil"/>
              <w:right w:val="nil"/>
            </w:tcBorders>
            <w:shd w:val="pct10" w:color="auto" w:fill="auto"/>
          </w:tcPr>
          <w:p w14:paraId="5B4B4EF4" w14:textId="77777777" w:rsidR="00EA230B" w:rsidRPr="00064185" w:rsidRDefault="00EA230B" w:rsidP="00EA61D8"/>
        </w:tc>
      </w:tr>
      <w:tr w:rsidR="00064185" w:rsidRPr="00064185" w14:paraId="79408751"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B98F3F1" w14:textId="77777777" w:rsidR="00EA230B" w:rsidRPr="00064185" w:rsidRDefault="00EA230B" w:rsidP="00EA61D8">
            <w:pPr>
              <w:pStyle w:val="TextText11"/>
              <w:rPr>
                <w:color w:val="auto"/>
              </w:rPr>
            </w:pPr>
            <w:r w:rsidRPr="00064185">
              <w:rPr>
                <w:color w:val="auto"/>
              </w:rPr>
              <w:t>Testing procedure</w:t>
            </w:r>
          </w:p>
        </w:tc>
        <w:tc>
          <w:tcPr>
            <w:tcW w:w="3182" w:type="pct"/>
            <w:tcBorders>
              <w:top w:val="nil"/>
              <w:left w:val="nil"/>
              <w:bottom w:val="nil"/>
              <w:right w:val="nil"/>
            </w:tcBorders>
            <w:vAlign w:val="center"/>
          </w:tcPr>
          <w:p w14:paraId="45D3321A" w14:textId="77777777" w:rsidR="00EA230B" w:rsidRPr="00064185" w:rsidRDefault="00EA230B" w:rsidP="00EA61D8">
            <w:pPr>
              <w:pStyle w:val="Tabellenformat"/>
              <w:spacing w:before="0"/>
            </w:pPr>
          </w:p>
        </w:tc>
        <w:tc>
          <w:tcPr>
            <w:tcW w:w="414" w:type="pct"/>
            <w:tcBorders>
              <w:top w:val="nil"/>
              <w:left w:val="nil"/>
              <w:bottom w:val="nil"/>
              <w:right w:val="nil"/>
            </w:tcBorders>
            <w:shd w:val="pct10" w:color="auto" w:fill="auto"/>
          </w:tcPr>
          <w:p w14:paraId="5235E935" w14:textId="77777777" w:rsidR="00EA230B" w:rsidRPr="00064185" w:rsidRDefault="00EA230B" w:rsidP="00EA61D8">
            <w:pPr>
              <w:keepNext/>
            </w:pPr>
          </w:p>
        </w:tc>
      </w:tr>
      <w:tr w:rsidR="00064185" w:rsidRPr="00064185" w14:paraId="60CE46AE"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B94324D" w14:textId="77777777" w:rsidR="00EA230B" w:rsidRPr="00064185" w:rsidRDefault="00EA230B" w:rsidP="00EA61D8">
            <w:pPr>
              <w:pStyle w:val="TxtTxtTxt"/>
            </w:pPr>
            <w:r w:rsidRPr="00064185">
              <w:t xml:space="preserve">Test population / </w:t>
            </w:r>
            <w:r w:rsidRPr="00064185">
              <w:br/>
              <w:t>inoculum /</w:t>
            </w:r>
            <w:r w:rsidRPr="00064185">
              <w:br/>
              <w:t>test organism</w:t>
            </w:r>
          </w:p>
        </w:tc>
        <w:tc>
          <w:tcPr>
            <w:tcW w:w="3182" w:type="pct"/>
            <w:tcBorders>
              <w:top w:val="nil"/>
              <w:left w:val="nil"/>
              <w:bottom w:val="nil"/>
              <w:right w:val="nil"/>
            </w:tcBorders>
            <w:vAlign w:val="center"/>
          </w:tcPr>
          <w:p w14:paraId="3F5A81D3" w14:textId="77777777" w:rsidR="00EA230B" w:rsidRPr="00064185" w:rsidRDefault="00EA230B" w:rsidP="00EA61D8">
            <w:pPr>
              <w:pStyle w:val="Standard-italics"/>
            </w:pPr>
            <w:r w:rsidRPr="00064185">
              <w:t>Lasius niger</w:t>
            </w:r>
          </w:p>
        </w:tc>
        <w:tc>
          <w:tcPr>
            <w:tcW w:w="414" w:type="pct"/>
            <w:tcBorders>
              <w:top w:val="nil"/>
              <w:left w:val="nil"/>
              <w:bottom w:val="nil"/>
              <w:right w:val="nil"/>
            </w:tcBorders>
            <w:shd w:val="pct10" w:color="auto" w:fill="auto"/>
          </w:tcPr>
          <w:p w14:paraId="0E334AEE" w14:textId="77777777" w:rsidR="00EA230B" w:rsidRPr="00064185" w:rsidRDefault="00EA230B" w:rsidP="00EA61D8">
            <w:pPr>
              <w:keepNext/>
            </w:pPr>
          </w:p>
        </w:tc>
      </w:tr>
      <w:tr w:rsidR="00064185" w:rsidRPr="00064185" w14:paraId="6EFBC8D8"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47A6038" w14:textId="77777777" w:rsidR="00EA230B" w:rsidRPr="00064185" w:rsidRDefault="00EA230B" w:rsidP="00EA61D8">
            <w:pPr>
              <w:pStyle w:val="TxtTxtTxt"/>
            </w:pPr>
            <w:r w:rsidRPr="00064185">
              <w:lastRenderedPageBreak/>
              <w:t>Test system</w:t>
            </w:r>
          </w:p>
        </w:tc>
        <w:tc>
          <w:tcPr>
            <w:tcW w:w="3182" w:type="pct"/>
            <w:tcBorders>
              <w:top w:val="nil"/>
              <w:left w:val="nil"/>
              <w:bottom w:val="nil"/>
              <w:right w:val="nil"/>
            </w:tcBorders>
            <w:vAlign w:val="center"/>
          </w:tcPr>
          <w:p w14:paraId="45CA2A79" w14:textId="77777777" w:rsidR="00EA230B" w:rsidRPr="00064185" w:rsidRDefault="00EA230B" w:rsidP="00EA61D8">
            <w:pPr>
              <w:pStyle w:val="Standard-italics"/>
              <w:rPr>
                <w:i w:val="0"/>
              </w:rPr>
            </w:pPr>
            <w:r w:rsidRPr="00064185">
              <w:rPr>
                <w:i w:val="0"/>
              </w:rPr>
              <w:t>Effectiveness of insecticide hand sprayer was tested against garden ants.</w:t>
            </w:r>
          </w:p>
        </w:tc>
        <w:tc>
          <w:tcPr>
            <w:tcW w:w="414" w:type="pct"/>
            <w:tcBorders>
              <w:top w:val="nil"/>
              <w:left w:val="nil"/>
              <w:bottom w:val="nil"/>
              <w:right w:val="nil"/>
            </w:tcBorders>
            <w:shd w:val="pct10" w:color="auto" w:fill="auto"/>
          </w:tcPr>
          <w:p w14:paraId="77CC2D89" w14:textId="77777777" w:rsidR="00EA230B" w:rsidRPr="00064185" w:rsidRDefault="00EA230B" w:rsidP="00EA61D8"/>
        </w:tc>
      </w:tr>
      <w:tr w:rsidR="00064185" w:rsidRPr="00064185" w14:paraId="225EFE4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C54EBD9" w14:textId="77777777" w:rsidR="00EA230B" w:rsidRPr="00064185" w:rsidRDefault="00EA230B" w:rsidP="00EA61D8">
            <w:pPr>
              <w:pStyle w:val="TxtTxtTxt"/>
            </w:pPr>
            <w:r w:rsidRPr="00064185">
              <w:t>Application of TS</w:t>
            </w:r>
          </w:p>
        </w:tc>
        <w:tc>
          <w:tcPr>
            <w:tcW w:w="3182" w:type="pct"/>
            <w:tcBorders>
              <w:top w:val="nil"/>
              <w:left w:val="nil"/>
              <w:bottom w:val="nil"/>
              <w:right w:val="nil"/>
            </w:tcBorders>
            <w:vAlign w:val="center"/>
          </w:tcPr>
          <w:p w14:paraId="70E8B487" w14:textId="77777777" w:rsidR="00EA230B" w:rsidRPr="00064185" w:rsidRDefault="00EA230B" w:rsidP="00EA61D8">
            <w:pPr>
              <w:pStyle w:val="Standard-italics"/>
              <w:rPr>
                <w:i w:val="0"/>
              </w:rPr>
            </w:pPr>
            <w:r w:rsidRPr="00064185">
              <w:rPr>
                <w:i w:val="0"/>
              </w:rPr>
              <w:t>Hand sprayer: 5 g are sprayed onto the ground in arenas.</w:t>
            </w:r>
          </w:p>
        </w:tc>
        <w:tc>
          <w:tcPr>
            <w:tcW w:w="414" w:type="pct"/>
            <w:tcBorders>
              <w:top w:val="nil"/>
              <w:left w:val="nil"/>
              <w:bottom w:val="nil"/>
              <w:right w:val="nil"/>
            </w:tcBorders>
            <w:shd w:val="pct10" w:color="auto" w:fill="auto"/>
          </w:tcPr>
          <w:p w14:paraId="2A6290F0" w14:textId="77777777" w:rsidR="00EA230B" w:rsidRPr="00064185" w:rsidRDefault="00EA230B" w:rsidP="00EA61D8"/>
        </w:tc>
      </w:tr>
      <w:tr w:rsidR="00064185" w:rsidRPr="00064185" w14:paraId="0C1767E6"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14D1739" w14:textId="77777777" w:rsidR="00EA230B" w:rsidRPr="00064185" w:rsidRDefault="00EA230B" w:rsidP="00EA61D8">
            <w:pPr>
              <w:pStyle w:val="TxtTxtTxt"/>
            </w:pPr>
            <w:r w:rsidRPr="00064185">
              <w:t>Test conditions</w:t>
            </w:r>
          </w:p>
        </w:tc>
        <w:tc>
          <w:tcPr>
            <w:tcW w:w="3182" w:type="pct"/>
            <w:tcBorders>
              <w:top w:val="nil"/>
              <w:left w:val="nil"/>
              <w:bottom w:val="nil"/>
              <w:right w:val="nil"/>
            </w:tcBorders>
            <w:vAlign w:val="center"/>
          </w:tcPr>
          <w:p w14:paraId="7580B919" w14:textId="77777777" w:rsidR="00EA230B" w:rsidRPr="00064185" w:rsidRDefault="00EA230B" w:rsidP="00EA61D8">
            <w:pPr>
              <w:pStyle w:val="Standard-italics"/>
              <w:rPr>
                <w:i w:val="0"/>
              </w:rPr>
            </w:pPr>
            <w:r w:rsidRPr="00064185">
              <w:rPr>
                <w:i w:val="0"/>
              </w:rPr>
              <w:t xml:space="preserve">Climatic conditions: 25 °C±1 °C / 65% RH±4% RH / light 1500 lux 8/16 photoperiod </w:t>
            </w:r>
          </w:p>
          <w:p w14:paraId="6649FAA7" w14:textId="77777777" w:rsidR="00EA230B" w:rsidRPr="00064185" w:rsidRDefault="00EA230B" w:rsidP="00EA61D8">
            <w:pPr>
              <w:pStyle w:val="Standard-italics"/>
              <w:rPr>
                <w:i w:val="0"/>
              </w:rPr>
            </w:pPr>
            <w:r w:rsidRPr="00064185">
              <w:rPr>
                <w:i w:val="0"/>
              </w:rPr>
              <w:t xml:space="preserve">The tests were conducted in plastic arenas 30 cm × 30 cm × 15 cm with 5 cm ground retrieved from the nest with or without competition food (sugar wet cotton). Only workers are exposed to the product. </w:t>
            </w:r>
          </w:p>
        </w:tc>
        <w:tc>
          <w:tcPr>
            <w:tcW w:w="414" w:type="pct"/>
            <w:tcBorders>
              <w:top w:val="nil"/>
              <w:left w:val="nil"/>
              <w:bottom w:val="nil"/>
              <w:right w:val="nil"/>
            </w:tcBorders>
            <w:shd w:val="pct10" w:color="auto" w:fill="auto"/>
          </w:tcPr>
          <w:p w14:paraId="3F21BB33" w14:textId="77777777" w:rsidR="00EA230B" w:rsidRPr="00064185" w:rsidRDefault="00EA230B" w:rsidP="00EA61D8"/>
        </w:tc>
      </w:tr>
      <w:tr w:rsidR="00064185" w:rsidRPr="00064185" w14:paraId="33580081"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8F9AA42" w14:textId="77777777" w:rsidR="00EA230B" w:rsidRPr="00064185" w:rsidRDefault="00EA230B" w:rsidP="00EA61D8">
            <w:pPr>
              <w:pStyle w:val="TxtTxtTxt"/>
            </w:pPr>
            <w:r w:rsidRPr="00064185">
              <w:t>Duration of the test / Exposure time</w:t>
            </w:r>
          </w:p>
        </w:tc>
        <w:tc>
          <w:tcPr>
            <w:tcW w:w="3182" w:type="pct"/>
            <w:tcBorders>
              <w:top w:val="nil"/>
              <w:left w:val="nil"/>
              <w:bottom w:val="nil"/>
              <w:right w:val="nil"/>
            </w:tcBorders>
            <w:vAlign w:val="center"/>
          </w:tcPr>
          <w:p w14:paraId="1D059FAA" w14:textId="77777777" w:rsidR="00EA230B" w:rsidRPr="00064185" w:rsidRDefault="00EA230B" w:rsidP="00EA61D8">
            <w:pPr>
              <w:pStyle w:val="Tabellenformat"/>
              <w:rPr>
                <w:lang w:val="it-IT"/>
              </w:rPr>
            </w:pPr>
            <w:r w:rsidRPr="00064185">
              <w:rPr>
                <w:lang w:val="it-IT"/>
              </w:rPr>
              <w:t>8 days</w:t>
            </w:r>
          </w:p>
        </w:tc>
        <w:tc>
          <w:tcPr>
            <w:tcW w:w="414" w:type="pct"/>
            <w:tcBorders>
              <w:top w:val="nil"/>
              <w:left w:val="nil"/>
              <w:bottom w:val="nil"/>
              <w:right w:val="nil"/>
            </w:tcBorders>
            <w:shd w:val="pct10" w:color="auto" w:fill="auto"/>
          </w:tcPr>
          <w:p w14:paraId="7BCAEFA1" w14:textId="77777777" w:rsidR="00EA230B" w:rsidRPr="00064185" w:rsidRDefault="00EA230B" w:rsidP="00EA61D8">
            <w:pPr>
              <w:keepNext/>
            </w:pPr>
          </w:p>
        </w:tc>
      </w:tr>
      <w:tr w:rsidR="00064185" w:rsidRPr="00064185" w14:paraId="48D6F5B5"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2182902" w14:textId="77777777" w:rsidR="00EA230B" w:rsidRPr="00064185" w:rsidRDefault="00EA230B" w:rsidP="00EA61D8">
            <w:pPr>
              <w:pStyle w:val="TxtTxtTxt"/>
            </w:pPr>
            <w:r w:rsidRPr="00064185">
              <w:t>Number of replicates performed</w:t>
            </w:r>
          </w:p>
        </w:tc>
        <w:tc>
          <w:tcPr>
            <w:tcW w:w="3182" w:type="pct"/>
            <w:tcBorders>
              <w:top w:val="nil"/>
              <w:left w:val="nil"/>
              <w:bottom w:val="nil"/>
              <w:right w:val="nil"/>
            </w:tcBorders>
            <w:vAlign w:val="center"/>
          </w:tcPr>
          <w:p w14:paraId="03EA0AE5" w14:textId="77777777" w:rsidR="00EA230B" w:rsidRPr="00064185" w:rsidRDefault="00EA230B" w:rsidP="00EA61D8">
            <w:pPr>
              <w:pStyle w:val="Standard-italics"/>
              <w:rPr>
                <w:i w:val="0"/>
              </w:rPr>
            </w:pPr>
            <w:r w:rsidRPr="00064185">
              <w:rPr>
                <w:i w:val="0"/>
              </w:rPr>
              <w:t>3 replicates</w:t>
            </w:r>
          </w:p>
        </w:tc>
        <w:tc>
          <w:tcPr>
            <w:tcW w:w="414" w:type="pct"/>
            <w:tcBorders>
              <w:top w:val="nil"/>
              <w:left w:val="nil"/>
              <w:bottom w:val="nil"/>
              <w:right w:val="nil"/>
            </w:tcBorders>
            <w:shd w:val="pct10" w:color="auto" w:fill="auto"/>
          </w:tcPr>
          <w:p w14:paraId="44B0AC83" w14:textId="77777777" w:rsidR="00EA230B" w:rsidRPr="00064185" w:rsidRDefault="00EA230B" w:rsidP="00EA61D8"/>
        </w:tc>
      </w:tr>
      <w:tr w:rsidR="00064185" w:rsidRPr="00064185" w14:paraId="71B3F7C1"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99CEB9B" w14:textId="77777777" w:rsidR="00EA230B" w:rsidRPr="00064185" w:rsidRDefault="00EA230B" w:rsidP="00EA61D8">
            <w:pPr>
              <w:pStyle w:val="TxtTxtTxt"/>
            </w:pPr>
            <w:r w:rsidRPr="00064185">
              <w:t>Controls</w:t>
            </w:r>
          </w:p>
        </w:tc>
        <w:tc>
          <w:tcPr>
            <w:tcW w:w="3182" w:type="pct"/>
            <w:tcBorders>
              <w:top w:val="nil"/>
              <w:left w:val="nil"/>
              <w:bottom w:val="nil"/>
              <w:right w:val="nil"/>
            </w:tcBorders>
            <w:vAlign w:val="center"/>
          </w:tcPr>
          <w:p w14:paraId="140784C2" w14:textId="77777777" w:rsidR="00EA230B" w:rsidRPr="00064185" w:rsidRDefault="00EA230B" w:rsidP="00EA61D8">
            <w:pPr>
              <w:pStyle w:val="Standard-italics"/>
              <w:rPr>
                <w:i w:val="0"/>
              </w:rPr>
            </w:pPr>
            <w:r w:rsidRPr="00064185">
              <w:rPr>
                <w:i w:val="0"/>
              </w:rPr>
              <w:t>Yes (untreated)</w:t>
            </w:r>
          </w:p>
        </w:tc>
        <w:tc>
          <w:tcPr>
            <w:tcW w:w="414" w:type="pct"/>
            <w:tcBorders>
              <w:top w:val="nil"/>
              <w:left w:val="nil"/>
              <w:bottom w:val="nil"/>
              <w:right w:val="nil"/>
            </w:tcBorders>
            <w:shd w:val="pct10" w:color="auto" w:fill="auto"/>
          </w:tcPr>
          <w:p w14:paraId="7F7CCC3B" w14:textId="77777777" w:rsidR="00EA230B" w:rsidRPr="00064185" w:rsidRDefault="00EA230B" w:rsidP="00EA61D8">
            <w:pPr>
              <w:keepNext/>
            </w:pPr>
          </w:p>
        </w:tc>
      </w:tr>
      <w:tr w:rsidR="00064185" w:rsidRPr="00064185" w14:paraId="4A921B5D"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0349EED" w14:textId="77777777" w:rsidR="00EA230B" w:rsidRPr="00064185" w:rsidRDefault="00EA230B" w:rsidP="00EA61D8">
            <w:pPr>
              <w:pStyle w:val="TextText11"/>
              <w:rPr>
                <w:color w:val="auto"/>
              </w:rPr>
            </w:pPr>
            <w:r w:rsidRPr="00064185">
              <w:rPr>
                <w:color w:val="auto"/>
              </w:rPr>
              <w:t>Examination</w:t>
            </w:r>
          </w:p>
        </w:tc>
        <w:tc>
          <w:tcPr>
            <w:tcW w:w="3182" w:type="pct"/>
            <w:tcBorders>
              <w:top w:val="nil"/>
              <w:left w:val="nil"/>
              <w:bottom w:val="nil"/>
              <w:right w:val="nil"/>
            </w:tcBorders>
            <w:vAlign w:val="center"/>
          </w:tcPr>
          <w:p w14:paraId="1DC1AEA9" w14:textId="77777777" w:rsidR="00EA230B" w:rsidRPr="00064185" w:rsidRDefault="00EA230B" w:rsidP="00EA61D8">
            <w:pPr>
              <w:keepNext/>
              <w:rPr>
                <w:i/>
              </w:rPr>
            </w:pPr>
          </w:p>
        </w:tc>
        <w:tc>
          <w:tcPr>
            <w:tcW w:w="414" w:type="pct"/>
            <w:tcBorders>
              <w:top w:val="nil"/>
              <w:left w:val="nil"/>
              <w:bottom w:val="nil"/>
              <w:right w:val="nil"/>
            </w:tcBorders>
            <w:shd w:val="pct10" w:color="auto" w:fill="auto"/>
          </w:tcPr>
          <w:p w14:paraId="2A564497" w14:textId="77777777" w:rsidR="00EA230B" w:rsidRPr="00064185" w:rsidRDefault="00EA230B" w:rsidP="00EA61D8">
            <w:pPr>
              <w:keepNext/>
            </w:pPr>
          </w:p>
        </w:tc>
      </w:tr>
      <w:tr w:rsidR="00064185" w:rsidRPr="00064185" w14:paraId="039CFEF9"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23095B3" w14:textId="77777777" w:rsidR="00EA230B" w:rsidRPr="00064185" w:rsidRDefault="00EA230B" w:rsidP="00EA61D8">
            <w:pPr>
              <w:pStyle w:val="TxtTxtTxt"/>
            </w:pPr>
            <w:r w:rsidRPr="00064185">
              <w:t>Effect investigated</w:t>
            </w:r>
          </w:p>
        </w:tc>
        <w:tc>
          <w:tcPr>
            <w:tcW w:w="3182" w:type="pct"/>
            <w:tcBorders>
              <w:top w:val="nil"/>
              <w:left w:val="nil"/>
              <w:bottom w:val="nil"/>
              <w:right w:val="nil"/>
            </w:tcBorders>
            <w:vAlign w:val="center"/>
          </w:tcPr>
          <w:p w14:paraId="7CEBE8D6" w14:textId="77777777" w:rsidR="00EA230B" w:rsidRPr="00064185" w:rsidRDefault="00EA230B" w:rsidP="00EA61D8">
            <w:pPr>
              <w:keepNext/>
            </w:pPr>
            <w:r w:rsidRPr="00064185">
              <w:t>Mortality of ants</w:t>
            </w:r>
          </w:p>
        </w:tc>
        <w:tc>
          <w:tcPr>
            <w:tcW w:w="414" w:type="pct"/>
            <w:tcBorders>
              <w:top w:val="nil"/>
              <w:left w:val="nil"/>
              <w:bottom w:val="nil"/>
              <w:right w:val="nil"/>
            </w:tcBorders>
            <w:shd w:val="pct10" w:color="auto" w:fill="auto"/>
          </w:tcPr>
          <w:p w14:paraId="015060C4" w14:textId="77777777" w:rsidR="00EA230B" w:rsidRPr="00064185" w:rsidRDefault="00EA230B" w:rsidP="00EA61D8">
            <w:pPr>
              <w:keepNext/>
            </w:pPr>
          </w:p>
        </w:tc>
      </w:tr>
      <w:tr w:rsidR="00064185" w:rsidRPr="00064185" w14:paraId="0D3966D4"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8EE39AD" w14:textId="77777777" w:rsidR="00EA230B" w:rsidRPr="00064185" w:rsidRDefault="00EA230B" w:rsidP="00EA61D8">
            <w:pPr>
              <w:pStyle w:val="TxtTxtTxt"/>
            </w:pPr>
            <w:r w:rsidRPr="00064185">
              <w:t xml:space="preserve">Method for recording / scoring of the effect </w:t>
            </w:r>
          </w:p>
        </w:tc>
        <w:tc>
          <w:tcPr>
            <w:tcW w:w="3182" w:type="pct"/>
            <w:tcBorders>
              <w:top w:val="nil"/>
              <w:left w:val="nil"/>
              <w:bottom w:val="nil"/>
              <w:right w:val="nil"/>
            </w:tcBorders>
            <w:vAlign w:val="center"/>
          </w:tcPr>
          <w:p w14:paraId="26276F0F" w14:textId="77777777" w:rsidR="00EA230B" w:rsidRPr="00064185" w:rsidRDefault="00EA230B" w:rsidP="00EA61D8">
            <w:r w:rsidRPr="00064185">
              <w:t>Alive: the insects are able to move properly</w:t>
            </w:r>
            <w:r w:rsidRPr="00064185">
              <w:br/>
              <w:t>Dead: the insects are unable to move properly</w:t>
            </w:r>
          </w:p>
        </w:tc>
        <w:tc>
          <w:tcPr>
            <w:tcW w:w="414" w:type="pct"/>
            <w:tcBorders>
              <w:top w:val="nil"/>
              <w:left w:val="nil"/>
              <w:bottom w:val="nil"/>
              <w:right w:val="nil"/>
            </w:tcBorders>
            <w:shd w:val="pct10" w:color="auto" w:fill="auto"/>
          </w:tcPr>
          <w:p w14:paraId="51DC586E" w14:textId="77777777" w:rsidR="00EA230B" w:rsidRPr="00064185" w:rsidRDefault="00EA230B" w:rsidP="00EA61D8"/>
        </w:tc>
      </w:tr>
      <w:tr w:rsidR="00064185" w:rsidRPr="00064185" w14:paraId="78662B4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E2A97F2" w14:textId="77777777" w:rsidR="00EA230B" w:rsidRPr="00064185" w:rsidRDefault="00EA230B" w:rsidP="00EA61D8">
            <w:pPr>
              <w:pStyle w:val="TxtTxtTxt"/>
            </w:pPr>
            <w:r w:rsidRPr="00064185">
              <w:t>Intervals of examination</w:t>
            </w:r>
          </w:p>
        </w:tc>
        <w:tc>
          <w:tcPr>
            <w:tcW w:w="3182" w:type="pct"/>
            <w:tcBorders>
              <w:top w:val="nil"/>
              <w:left w:val="nil"/>
              <w:bottom w:val="nil"/>
              <w:right w:val="nil"/>
            </w:tcBorders>
            <w:vAlign w:val="center"/>
          </w:tcPr>
          <w:p w14:paraId="7314234F" w14:textId="77777777" w:rsidR="00EA230B" w:rsidRPr="00064185" w:rsidRDefault="00EA230B" w:rsidP="00EA61D8">
            <w:r w:rsidRPr="00064185">
              <w:t>Daily</w:t>
            </w:r>
          </w:p>
        </w:tc>
        <w:tc>
          <w:tcPr>
            <w:tcW w:w="414" w:type="pct"/>
            <w:tcBorders>
              <w:top w:val="nil"/>
              <w:left w:val="nil"/>
              <w:bottom w:val="nil"/>
              <w:right w:val="nil"/>
            </w:tcBorders>
            <w:shd w:val="pct10" w:color="auto" w:fill="auto"/>
          </w:tcPr>
          <w:p w14:paraId="669B8C67" w14:textId="77777777" w:rsidR="00EA230B" w:rsidRPr="00064185" w:rsidRDefault="00EA230B" w:rsidP="00EA61D8"/>
        </w:tc>
      </w:tr>
      <w:tr w:rsidR="00064185" w:rsidRPr="00064185" w14:paraId="6CC67FE2"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2961C4E" w14:textId="77777777" w:rsidR="00EA230B" w:rsidRPr="00064185" w:rsidRDefault="00EA230B" w:rsidP="00EA61D8">
            <w:pPr>
              <w:pStyle w:val="TxtTxtTxt"/>
            </w:pPr>
            <w:r w:rsidRPr="00064185">
              <w:t xml:space="preserve">Statistics </w:t>
            </w:r>
          </w:p>
        </w:tc>
        <w:tc>
          <w:tcPr>
            <w:tcW w:w="3182" w:type="pct"/>
            <w:tcBorders>
              <w:top w:val="nil"/>
              <w:left w:val="nil"/>
              <w:bottom w:val="nil"/>
              <w:right w:val="nil"/>
            </w:tcBorders>
            <w:vAlign w:val="center"/>
          </w:tcPr>
          <w:p w14:paraId="53C89F19" w14:textId="77777777" w:rsidR="00EA230B" w:rsidRPr="00064185" w:rsidRDefault="00EA230B" w:rsidP="00EA61D8">
            <w:r w:rsidRPr="00064185">
              <w:t>–</w:t>
            </w:r>
          </w:p>
        </w:tc>
        <w:tc>
          <w:tcPr>
            <w:tcW w:w="414" w:type="pct"/>
            <w:tcBorders>
              <w:top w:val="nil"/>
              <w:left w:val="nil"/>
              <w:bottom w:val="nil"/>
              <w:right w:val="nil"/>
            </w:tcBorders>
            <w:shd w:val="pct10" w:color="auto" w:fill="auto"/>
          </w:tcPr>
          <w:p w14:paraId="528C55DA" w14:textId="77777777" w:rsidR="00EA230B" w:rsidRPr="00064185" w:rsidRDefault="00EA230B" w:rsidP="00EA61D8"/>
        </w:tc>
      </w:tr>
      <w:tr w:rsidR="00064185" w:rsidRPr="00064185" w14:paraId="3C03E33D"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1624EC54" w14:textId="77777777" w:rsidR="00EA230B" w:rsidRPr="00064185" w:rsidRDefault="00EA230B" w:rsidP="00EA61D8">
            <w:pPr>
              <w:pStyle w:val="TxtTxtTxt"/>
            </w:pPr>
            <w:r w:rsidRPr="00064185">
              <w:t>Post monitoring of the test organism</w:t>
            </w:r>
          </w:p>
        </w:tc>
        <w:tc>
          <w:tcPr>
            <w:tcW w:w="3182" w:type="pct"/>
            <w:tcBorders>
              <w:top w:val="nil"/>
              <w:left w:val="nil"/>
              <w:bottom w:val="nil"/>
              <w:right w:val="nil"/>
            </w:tcBorders>
            <w:vAlign w:val="center"/>
          </w:tcPr>
          <w:p w14:paraId="218B034C" w14:textId="77777777" w:rsidR="00EA230B" w:rsidRPr="00064185" w:rsidRDefault="00EA230B" w:rsidP="00EA61D8">
            <w:r w:rsidRPr="00064185">
              <w:t>No</w:t>
            </w:r>
          </w:p>
        </w:tc>
        <w:tc>
          <w:tcPr>
            <w:tcW w:w="414" w:type="pct"/>
            <w:tcBorders>
              <w:top w:val="nil"/>
              <w:left w:val="nil"/>
              <w:bottom w:val="nil"/>
              <w:right w:val="nil"/>
            </w:tcBorders>
            <w:shd w:val="pct10" w:color="auto" w:fill="auto"/>
          </w:tcPr>
          <w:p w14:paraId="6D0A3799" w14:textId="77777777" w:rsidR="00EA230B" w:rsidRPr="00064185" w:rsidRDefault="00EA230B" w:rsidP="00EA61D8"/>
        </w:tc>
      </w:tr>
      <w:tr w:rsidR="00064185" w:rsidRPr="00064185" w14:paraId="209C48B2"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C318255" w14:textId="77777777" w:rsidR="00EA230B" w:rsidRPr="00064185" w:rsidRDefault="00EA230B" w:rsidP="00EA61D8"/>
        </w:tc>
        <w:tc>
          <w:tcPr>
            <w:tcW w:w="3182" w:type="pct"/>
            <w:tcBorders>
              <w:top w:val="nil"/>
              <w:left w:val="nil"/>
              <w:bottom w:val="nil"/>
              <w:right w:val="nil"/>
            </w:tcBorders>
            <w:vAlign w:val="center"/>
          </w:tcPr>
          <w:p w14:paraId="1261FBA8" w14:textId="77777777" w:rsidR="00EA230B" w:rsidRPr="00064185" w:rsidRDefault="00EA230B" w:rsidP="00EA61D8">
            <w:pPr>
              <w:pStyle w:val="TEXTTEXT"/>
            </w:pPr>
            <w:r w:rsidRPr="00064185">
              <w:t>Results</w:t>
            </w:r>
          </w:p>
        </w:tc>
        <w:tc>
          <w:tcPr>
            <w:tcW w:w="414" w:type="pct"/>
            <w:tcBorders>
              <w:top w:val="nil"/>
              <w:left w:val="nil"/>
              <w:bottom w:val="nil"/>
              <w:right w:val="nil"/>
            </w:tcBorders>
            <w:shd w:val="pct10" w:color="auto" w:fill="auto"/>
          </w:tcPr>
          <w:p w14:paraId="54000A69"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7E0002B7"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69D9362" w14:textId="77777777" w:rsidR="00EA230B" w:rsidRPr="00064185" w:rsidRDefault="00EA230B" w:rsidP="00EA61D8">
            <w:pPr>
              <w:pStyle w:val="TextText11"/>
              <w:rPr>
                <w:color w:val="auto"/>
              </w:rPr>
            </w:pPr>
            <w:r w:rsidRPr="00064185">
              <w:rPr>
                <w:color w:val="auto"/>
              </w:rPr>
              <w:t>Efficacy</w:t>
            </w:r>
          </w:p>
        </w:tc>
        <w:tc>
          <w:tcPr>
            <w:tcW w:w="3182" w:type="pct"/>
            <w:tcBorders>
              <w:top w:val="nil"/>
              <w:left w:val="nil"/>
              <w:bottom w:val="nil"/>
              <w:right w:val="nil"/>
            </w:tcBorders>
            <w:vAlign w:val="center"/>
          </w:tcPr>
          <w:p w14:paraId="062BCB5B" w14:textId="77777777" w:rsidR="00EA230B" w:rsidRPr="00064185" w:rsidRDefault="00EA230B" w:rsidP="00EA61D8">
            <w:pPr>
              <w:pStyle w:val="Standard-italics"/>
            </w:pPr>
          </w:p>
        </w:tc>
        <w:tc>
          <w:tcPr>
            <w:tcW w:w="414" w:type="pct"/>
            <w:tcBorders>
              <w:top w:val="nil"/>
              <w:left w:val="nil"/>
              <w:bottom w:val="nil"/>
              <w:right w:val="nil"/>
            </w:tcBorders>
            <w:shd w:val="pct10" w:color="auto" w:fill="auto"/>
          </w:tcPr>
          <w:p w14:paraId="592510BD" w14:textId="77777777" w:rsidR="00EA230B" w:rsidRPr="00064185" w:rsidRDefault="00EA230B" w:rsidP="00EA61D8"/>
        </w:tc>
      </w:tr>
      <w:tr w:rsidR="00064185" w:rsidRPr="00064185" w14:paraId="615530B7"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1752170" w14:textId="77777777" w:rsidR="00EA230B" w:rsidRPr="00064185" w:rsidRDefault="00EA230B" w:rsidP="00EA61D8">
            <w:pPr>
              <w:pStyle w:val="TxtTxtTxt"/>
            </w:pPr>
            <w:r w:rsidRPr="00064185">
              <w:t>Dose/Efficacy curve</w:t>
            </w:r>
          </w:p>
        </w:tc>
        <w:tc>
          <w:tcPr>
            <w:tcW w:w="3182" w:type="pct"/>
            <w:tcBorders>
              <w:top w:val="nil"/>
              <w:left w:val="nil"/>
              <w:bottom w:val="nil"/>
              <w:right w:val="nil"/>
            </w:tcBorders>
            <w:vAlign w:val="center"/>
          </w:tcPr>
          <w:p w14:paraId="6590A25F" w14:textId="77777777" w:rsidR="00EA230B" w:rsidRPr="00064185" w:rsidRDefault="00EA230B" w:rsidP="00EA61D8">
            <w:pPr>
              <w:rPr>
                <w:i/>
              </w:rPr>
            </w:pPr>
            <w:r w:rsidRPr="00064185">
              <w:rPr>
                <w:i/>
              </w:rPr>
              <w:t>–</w:t>
            </w:r>
          </w:p>
        </w:tc>
        <w:tc>
          <w:tcPr>
            <w:tcW w:w="414" w:type="pct"/>
            <w:tcBorders>
              <w:top w:val="nil"/>
              <w:left w:val="nil"/>
              <w:bottom w:val="nil"/>
              <w:right w:val="nil"/>
            </w:tcBorders>
            <w:shd w:val="pct10" w:color="auto" w:fill="auto"/>
          </w:tcPr>
          <w:p w14:paraId="78B20ACC" w14:textId="77777777" w:rsidR="00EA230B" w:rsidRPr="00064185" w:rsidRDefault="00EA230B" w:rsidP="00EA61D8"/>
        </w:tc>
      </w:tr>
      <w:tr w:rsidR="00064185" w:rsidRPr="00064185" w14:paraId="5614228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1C3AB905" w14:textId="77777777" w:rsidR="00EA230B" w:rsidRPr="00064185" w:rsidRDefault="00EA230B" w:rsidP="00EA61D8">
            <w:pPr>
              <w:pStyle w:val="TxtTxtTxt"/>
            </w:pPr>
            <w:r w:rsidRPr="00064185">
              <w:t>Begin and duration of effects</w:t>
            </w:r>
          </w:p>
        </w:tc>
        <w:tc>
          <w:tcPr>
            <w:tcW w:w="3182" w:type="pct"/>
            <w:tcBorders>
              <w:top w:val="nil"/>
              <w:left w:val="nil"/>
              <w:bottom w:val="nil"/>
              <w:right w:val="nil"/>
            </w:tcBorders>
            <w:vAlign w:val="center"/>
          </w:tcPr>
          <w:p w14:paraId="13D8B4CF" w14:textId="77777777" w:rsidR="00EA230B" w:rsidRPr="00064185" w:rsidRDefault="00EA230B" w:rsidP="00EA61D8">
            <w:pPr>
              <w:pStyle w:val="Standard-italics"/>
              <w:rPr>
                <w:i w:val="0"/>
              </w:rPr>
            </w:pPr>
            <w:r w:rsidRPr="00064185">
              <w:rPr>
                <w:i w:val="0"/>
              </w:rPr>
              <w:t>–</w:t>
            </w:r>
          </w:p>
        </w:tc>
        <w:tc>
          <w:tcPr>
            <w:tcW w:w="414" w:type="pct"/>
            <w:tcBorders>
              <w:top w:val="nil"/>
              <w:left w:val="nil"/>
              <w:bottom w:val="nil"/>
              <w:right w:val="nil"/>
            </w:tcBorders>
            <w:shd w:val="pct10" w:color="auto" w:fill="auto"/>
          </w:tcPr>
          <w:p w14:paraId="7B9D2151" w14:textId="77777777" w:rsidR="00EA230B" w:rsidRPr="00064185" w:rsidRDefault="00EA230B" w:rsidP="00EA61D8"/>
        </w:tc>
      </w:tr>
      <w:tr w:rsidR="00064185" w:rsidRPr="00064185" w14:paraId="2238C15E"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D7C6EED" w14:textId="77777777" w:rsidR="00EA230B" w:rsidRPr="00064185" w:rsidRDefault="00EA230B" w:rsidP="00EA61D8">
            <w:pPr>
              <w:pStyle w:val="TextText11"/>
              <w:rPr>
                <w:color w:val="auto"/>
              </w:rPr>
            </w:pPr>
            <w:r w:rsidRPr="00064185">
              <w:rPr>
                <w:color w:val="auto"/>
              </w:rPr>
              <w:lastRenderedPageBreak/>
              <w:t>Tabular and/or graphical presentation of the summarised results</w:t>
            </w:r>
          </w:p>
        </w:tc>
        <w:tc>
          <w:tcPr>
            <w:tcW w:w="3182" w:type="pct"/>
            <w:tcBorders>
              <w:top w:val="nil"/>
              <w:left w:val="nil"/>
              <w:bottom w:val="nil"/>
              <w:right w:val="nil"/>
            </w:tcBorders>
            <w:vAlign w:val="center"/>
          </w:tcPr>
          <w:p w14:paraId="09B85F8E" w14:textId="77777777" w:rsidR="00EA230B" w:rsidRPr="00064185" w:rsidRDefault="00EA230B" w:rsidP="00EA61D8">
            <w:r w:rsidRPr="00064185">
              <w:t>See Table B5.10_1 and Table B5.10_2.</w:t>
            </w:r>
          </w:p>
        </w:tc>
        <w:tc>
          <w:tcPr>
            <w:tcW w:w="414" w:type="pct"/>
            <w:tcBorders>
              <w:top w:val="nil"/>
              <w:left w:val="nil"/>
              <w:bottom w:val="nil"/>
              <w:right w:val="nil"/>
            </w:tcBorders>
            <w:shd w:val="pct10" w:color="auto" w:fill="auto"/>
          </w:tcPr>
          <w:p w14:paraId="01367BD1" w14:textId="77777777" w:rsidR="00EA230B" w:rsidRPr="00064185" w:rsidRDefault="00EA230B" w:rsidP="00EA61D8"/>
        </w:tc>
      </w:tr>
      <w:tr w:rsidR="00064185" w:rsidRPr="00064185" w14:paraId="638080C6"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65EEEB7" w14:textId="77777777" w:rsidR="00EA230B" w:rsidRPr="00064185" w:rsidRDefault="00EA230B" w:rsidP="00EA61D8">
            <w:pPr>
              <w:pStyle w:val="TextText11"/>
              <w:rPr>
                <w:color w:val="auto"/>
              </w:rPr>
            </w:pPr>
            <w:r w:rsidRPr="00064185">
              <w:rPr>
                <w:color w:val="auto"/>
              </w:rPr>
              <w:t>Efficacy limiting factors</w:t>
            </w:r>
          </w:p>
        </w:tc>
        <w:tc>
          <w:tcPr>
            <w:tcW w:w="3182" w:type="pct"/>
            <w:tcBorders>
              <w:top w:val="nil"/>
              <w:left w:val="nil"/>
              <w:bottom w:val="nil"/>
              <w:right w:val="nil"/>
            </w:tcBorders>
            <w:vAlign w:val="center"/>
          </w:tcPr>
          <w:p w14:paraId="32F8D755" w14:textId="77777777" w:rsidR="00EA230B" w:rsidRPr="00064185" w:rsidRDefault="00EA230B" w:rsidP="00EA61D8">
            <w:pPr>
              <w:rPr>
                <w:i/>
              </w:rPr>
            </w:pPr>
          </w:p>
        </w:tc>
        <w:tc>
          <w:tcPr>
            <w:tcW w:w="414" w:type="pct"/>
            <w:tcBorders>
              <w:top w:val="nil"/>
              <w:left w:val="nil"/>
              <w:bottom w:val="nil"/>
              <w:right w:val="nil"/>
            </w:tcBorders>
            <w:shd w:val="pct10" w:color="auto" w:fill="auto"/>
          </w:tcPr>
          <w:p w14:paraId="0F69A8E1" w14:textId="77777777" w:rsidR="00EA230B" w:rsidRPr="00064185" w:rsidRDefault="00EA230B" w:rsidP="00EA61D8"/>
        </w:tc>
      </w:tr>
      <w:tr w:rsidR="00064185" w:rsidRPr="00064185" w14:paraId="64A5C56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3D91F3E" w14:textId="77777777" w:rsidR="00EA230B" w:rsidRPr="00064185" w:rsidRDefault="00EA230B" w:rsidP="00EA61D8">
            <w:pPr>
              <w:pStyle w:val="TxtTxtTxt"/>
            </w:pPr>
            <w:r w:rsidRPr="00064185">
              <w:t>Occurrences of resistances</w:t>
            </w:r>
          </w:p>
        </w:tc>
        <w:tc>
          <w:tcPr>
            <w:tcW w:w="3182" w:type="pct"/>
            <w:tcBorders>
              <w:top w:val="nil"/>
              <w:left w:val="nil"/>
              <w:bottom w:val="nil"/>
              <w:right w:val="nil"/>
            </w:tcBorders>
            <w:vAlign w:val="center"/>
          </w:tcPr>
          <w:p w14:paraId="4B907C44" w14:textId="77777777" w:rsidR="00EA230B" w:rsidRPr="00064185" w:rsidRDefault="00EA230B" w:rsidP="00EA61D8">
            <w:r w:rsidRPr="00064185">
              <w:t>Due to the mode of action a development of resistance is neither to be expected nor has ever been observed.</w:t>
            </w:r>
          </w:p>
        </w:tc>
        <w:tc>
          <w:tcPr>
            <w:tcW w:w="414" w:type="pct"/>
            <w:tcBorders>
              <w:top w:val="nil"/>
              <w:left w:val="nil"/>
              <w:bottom w:val="nil"/>
              <w:right w:val="nil"/>
            </w:tcBorders>
            <w:shd w:val="pct10" w:color="auto" w:fill="auto"/>
          </w:tcPr>
          <w:p w14:paraId="00FC2861" w14:textId="77777777" w:rsidR="00EA230B" w:rsidRPr="00064185" w:rsidRDefault="00EA230B" w:rsidP="00EA61D8"/>
        </w:tc>
      </w:tr>
      <w:tr w:rsidR="00064185" w:rsidRPr="00064185" w14:paraId="3BEC64D8"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03" w:type="pct"/>
            <w:tcBorders>
              <w:top w:val="nil"/>
              <w:left w:val="nil"/>
              <w:bottom w:val="nil"/>
              <w:right w:val="nil"/>
            </w:tcBorders>
          </w:tcPr>
          <w:p w14:paraId="469250FD" w14:textId="77777777" w:rsidR="00EA230B" w:rsidRPr="00064185" w:rsidRDefault="00EA230B" w:rsidP="00EA61D8">
            <w:pPr>
              <w:pStyle w:val="TxtTxtTxt"/>
            </w:pPr>
            <w:r w:rsidRPr="00064185">
              <w:t>Other limiting factors</w:t>
            </w:r>
          </w:p>
        </w:tc>
        <w:tc>
          <w:tcPr>
            <w:tcW w:w="3182" w:type="pct"/>
            <w:tcBorders>
              <w:top w:val="nil"/>
              <w:left w:val="nil"/>
              <w:bottom w:val="nil"/>
              <w:right w:val="nil"/>
            </w:tcBorders>
            <w:vAlign w:val="center"/>
          </w:tcPr>
          <w:p w14:paraId="7639E009" w14:textId="77777777" w:rsidR="00EA230B" w:rsidRPr="00064185" w:rsidRDefault="00EA230B" w:rsidP="00EA61D8">
            <w:r w:rsidRPr="00064185">
              <w:t>Not applicable</w:t>
            </w:r>
          </w:p>
        </w:tc>
        <w:tc>
          <w:tcPr>
            <w:tcW w:w="414" w:type="pct"/>
            <w:tcBorders>
              <w:top w:val="nil"/>
              <w:left w:val="nil"/>
              <w:bottom w:val="nil"/>
              <w:right w:val="nil"/>
            </w:tcBorders>
            <w:shd w:val="pct10" w:color="auto" w:fill="auto"/>
          </w:tcPr>
          <w:p w14:paraId="2554A937" w14:textId="77777777" w:rsidR="00EA230B" w:rsidRPr="00064185" w:rsidRDefault="00EA230B" w:rsidP="00EA61D8"/>
        </w:tc>
      </w:tr>
      <w:tr w:rsidR="00064185" w:rsidRPr="00064185" w14:paraId="1CD45DF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6E57F58" w14:textId="77777777" w:rsidR="00EA230B" w:rsidRPr="00064185" w:rsidRDefault="00EA230B" w:rsidP="00EA61D8">
            <w:pPr>
              <w:keepNext/>
              <w:tabs>
                <w:tab w:val="left" w:pos="567"/>
              </w:tabs>
              <w:ind w:left="567" w:hanging="567"/>
            </w:pPr>
          </w:p>
        </w:tc>
        <w:tc>
          <w:tcPr>
            <w:tcW w:w="3182" w:type="pct"/>
            <w:tcBorders>
              <w:top w:val="nil"/>
              <w:left w:val="nil"/>
              <w:bottom w:val="nil"/>
              <w:right w:val="nil"/>
            </w:tcBorders>
            <w:vAlign w:val="center"/>
          </w:tcPr>
          <w:p w14:paraId="5D533ABE" w14:textId="77777777" w:rsidR="00EA230B" w:rsidRPr="00064185" w:rsidRDefault="00EA230B" w:rsidP="00EA61D8">
            <w:pPr>
              <w:pStyle w:val="TEXTTEXT"/>
            </w:pPr>
            <w:r w:rsidRPr="00064185">
              <w:t>Relevance of the results compared to field conditions</w:t>
            </w:r>
          </w:p>
        </w:tc>
        <w:tc>
          <w:tcPr>
            <w:tcW w:w="414" w:type="pct"/>
            <w:tcBorders>
              <w:top w:val="nil"/>
              <w:left w:val="nil"/>
              <w:bottom w:val="nil"/>
              <w:right w:val="nil"/>
            </w:tcBorders>
            <w:shd w:val="pct10" w:color="auto" w:fill="auto"/>
          </w:tcPr>
          <w:p w14:paraId="5D017AE4" w14:textId="77777777" w:rsidR="00EA230B" w:rsidRPr="00064185" w:rsidRDefault="00EA230B" w:rsidP="00EA61D8">
            <w:pPr>
              <w:keepNext/>
            </w:pPr>
          </w:p>
        </w:tc>
      </w:tr>
      <w:tr w:rsidR="00064185" w:rsidRPr="00064185" w14:paraId="4E5F7818"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1A248340" w14:textId="77777777" w:rsidR="00EA230B" w:rsidRPr="00064185" w:rsidRDefault="00EA230B" w:rsidP="00EA61D8">
            <w:pPr>
              <w:pStyle w:val="TextText11"/>
              <w:rPr>
                <w:color w:val="auto"/>
              </w:rPr>
            </w:pPr>
            <w:r w:rsidRPr="00064185">
              <w:rPr>
                <w:color w:val="auto"/>
              </w:rPr>
              <w:t>Reasons for laboratory testing</w:t>
            </w:r>
          </w:p>
        </w:tc>
        <w:tc>
          <w:tcPr>
            <w:tcW w:w="3182" w:type="pct"/>
            <w:tcBorders>
              <w:top w:val="nil"/>
              <w:left w:val="nil"/>
              <w:bottom w:val="nil"/>
              <w:right w:val="nil"/>
            </w:tcBorders>
            <w:vAlign w:val="center"/>
          </w:tcPr>
          <w:p w14:paraId="05CBF789" w14:textId="77777777" w:rsidR="00EA230B" w:rsidRPr="00064185" w:rsidRDefault="00EA230B" w:rsidP="00EA61D8">
            <w:r w:rsidRPr="00064185">
              <w:t>It is easier and more precisely to test a product against ants in a laboratory arena. The conditions are comparable and controllable; the number of organisms is defined. The observations and counting are easier and more correct.</w:t>
            </w:r>
          </w:p>
        </w:tc>
        <w:tc>
          <w:tcPr>
            <w:tcW w:w="414" w:type="pct"/>
            <w:tcBorders>
              <w:top w:val="nil"/>
              <w:left w:val="nil"/>
              <w:bottom w:val="nil"/>
              <w:right w:val="nil"/>
            </w:tcBorders>
            <w:shd w:val="pct10" w:color="auto" w:fill="auto"/>
          </w:tcPr>
          <w:p w14:paraId="7CE3E89B" w14:textId="77777777" w:rsidR="00EA230B" w:rsidRPr="00064185" w:rsidRDefault="00EA230B" w:rsidP="00EA61D8"/>
        </w:tc>
      </w:tr>
      <w:tr w:rsidR="00064185" w:rsidRPr="00064185" w14:paraId="4A5BA06E"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F8F1F3D" w14:textId="77777777" w:rsidR="00EA230B" w:rsidRPr="00064185" w:rsidRDefault="00EA230B" w:rsidP="00EA61D8">
            <w:pPr>
              <w:pStyle w:val="TextText11"/>
              <w:rPr>
                <w:color w:val="auto"/>
              </w:rPr>
            </w:pPr>
            <w:r w:rsidRPr="00064185">
              <w:rPr>
                <w:color w:val="auto"/>
              </w:rPr>
              <w:t>Intended actual scale of biocide application</w:t>
            </w:r>
          </w:p>
        </w:tc>
        <w:tc>
          <w:tcPr>
            <w:tcW w:w="3182" w:type="pct"/>
            <w:tcBorders>
              <w:top w:val="nil"/>
              <w:left w:val="nil"/>
              <w:bottom w:val="nil"/>
              <w:right w:val="nil"/>
            </w:tcBorders>
            <w:vAlign w:val="center"/>
          </w:tcPr>
          <w:p w14:paraId="70AE3DED" w14:textId="77777777" w:rsidR="00EA230B" w:rsidRPr="00064185" w:rsidRDefault="00EA230B" w:rsidP="00EA61D8">
            <w:r w:rsidRPr="00064185">
              <w:t>For application in and around domestic and commercial premises.</w:t>
            </w:r>
          </w:p>
        </w:tc>
        <w:tc>
          <w:tcPr>
            <w:tcW w:w="414" w:type="pct"/>
            <w:tcBorders>
              <w:top w:val="nil"/>
              <w:left w:val="nil"/>
              <w:bottom w:val="nil"/>
              <w:right w:val="nil"/>
            </w:tcBorders>
            <w:shd w:val="pct10" w:color="auto" w:fill="auto"/>
          </w:tcPr>
          <w:p w14:paraId="678A93F9" w14:textId="77777777" w:rsidR="00EA230B" w:rsidRPr="00064185" w:rsidRDefault="00EA230B" w:rsidP="00EA61D8"/>
        </w:tc>
      </w:tr>
      <w:tr w:rsidR="00064185" w:rsidRPr="00064185" w14:paraId="56F57248"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8268828" w14:textId="77777777" w:rsidR="00EA230B" w:rsidRPr="00064185" w:rsidRDefault="00EA230B" w:rsidP="00EA61D8">
            <w:pPr>
              <w:pStyle w:val="TextText11"/>
              <w:rPr>
                <w:color w:val="auto"/>
              </w:rPr>
            </w:pPr>
            <w:r w:rsidRPr="00064185">
              <w:rPr>
                <w:color w:val="auto"/>
              </w:rPr>
              <w:t>Relevance compared to field conditions</w:t>
            </w:r>
          </w:p>
        </w:tc>
        <w:tc>
          <w:tcPr>
            <w:tcW w:w="3182" w:type="pct"/>
            <w:tcBorders>
              <w:top w:val="nil"/>
              <w:left w:val="nil"/>
              <w:bottom w:val="nil"/>
              <w:right w:val="nil"/>
            </w:tcBorders>
            <w:vAlign w:val="center"/>
          </w:tcPr>
          <w:p w14:paraId="39424B76" w14:textId="77777777" w:rsidR="00EA230B" w:rsidRPr="00064185" w:rsidRDefault="00EA230B" w:rsidP="00EA61D8">
            <w:pPr>
              <w:pStyle w:val="Standard-italics"/>
            </w:pPr>
          </w:p>
        </w:tc>
        <w:tc>
          <w:tcPr>
            <w:tcW w:w="414" w:type="pct"/>
            <w:tcBorders>
              <w:top w:val="nil"/>
              <w:left w:val="nil"/>
              <w:bottom w:val="nil"/>
              <w:right w:val="nil"/>
            </w:tcBorders>
            <w:shd w:val="pct10" w:color="auto" w:fill="auto"/>
          </w:tcPr>
          <w:p w14:paraId="3F55BB0B" w14:textId="77777777" w:rsidR="00EA230B" w:rsidRPr="00064185" w:rsidRDefault="00EA230B" w:rsidP="00EA61D8"/>
        </w:tc>
      </w:tr>
      <w:tr w:rsidR="00064185" w:rsidRPr="00064185" w14:paraId="64F29888"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12E1378" w14:textId="77777777" w:rsidR="00EA230B" w:rsidRPr="00064185" w:rsidRDefault="00EA230B" w:rsidP="00EA61D8">
            <w:pPr>
              <w:pStyle w:val="TxtTxtTxt"/>
            </w:pPr>
            <w:r w:rsidRPr="00064185">
              <w:t>Application method</w:t>
            </w:r>
          </w:p>
        </w:tc>
        <w:tc>
          <w:tcPr>
            <w:tcW w:w="3182" w:type="pct"/>
            <w:tcBorders>
              <w:top w:val="nil"/>
              <w:left w:val="nil"/>
              <w:bottom w:val="nil"/>
              <w:right w:val="nil"/>
            </w:tcBorders>
            <w:vAlign w:val="center"/>
          </w:tcPr>
          <w:p w14:paraId="7FAD97DD" w14:textId="77777777" w:rsidR="00EA230B" w:rsidRPr="00064185" w:rsidRDefault="00EA230B" w:rsidP="00EA61D8">
            <w:pPr>
              <w:pStyle w:val="Standard-italics"/>
              <w:rPr>
                <w:i w:val="0"/>
              </w:rPr>
            </w:pPr>
            <w:r w:rsidRPr="00064185">
              <w:rPr>
                <w:i w:val="0"/>
              </w:rPr>
              <w:t>Yes, applied according to the label recommendations.</w:t>
            </w:r>
          </w:p>
        </w:tc>
        <w:tc>
          <w:tcPr>
            <w:tcW w:w="414" w:type="pct"/>
            <w:tcBorders>
              <w:top w:val="nil"/>
              <w:left w:val="nil"/>
              <w:bottom w:val="nil"/>
              <w:right w:val="nil"/>
            </w:tcBorders>
            <w:shd w:val="pct10" w:color="auto" w:fill="auto"/>
          </w:tcPr>
          <w:p w14:paraId="41A7FF1B" w14:textId="77777777" w:rsidR="00EA230B" w:rsidRPr="00064185" w:rsidRDefault="00EA230B" w:rsidP="00EA61D8"/>
        </w:tc>
      </w:tr>
      <w:tr w:rsidR="00064185" w:rsidRPr="00064185" w14:paraId="14430274"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9D27E8F" w14:textId="77777777" w:rsidR="00EA230B" w:rsidRPr="00064185" w:rsidRDefault="00EA230B" w:rsidP="00EA61D8">
            <w:pPr>
              <w:pStyle w:val="TxtTxtTxt"/>
            </w:pPr>
            <w:r w:rsidRPr="00064185">
              <w:t>Test organism</w:t>
            </w:r>
          </w:p>
        </w:tc>
        <w:tc>
          <w:tcPr>
            <w:tcW w:w="3182" w:type="pct"/>
            <w:tcBorders>
              <w:top w:val="nil"/>
              <w:left w:val="nil"/>
              <w:bottom w:val="nil"/>
              <w:right w:val="nil"/>
            </w:tcBorders>
            <w:vAlign w:val="center"/>
          </w:tcPr>
          <w:p w14:paraId="2B4E1608" w14:textId="77777777" w:rsidR="00EA230B" w:rsidRPr="00064185" w:rsidRDefault="00EA230B" w:rsidP="00EA61D8">
            <w:pPr>
              <w:pStyle w:val="Standard-italics"/>
              <w:rPr>
                <w:i w:val="0"/>
              </w:rPr>
            </w:pPr>
            <w:r w:rsidRPr="00064185">
              <w:rPr>
                <w:i w:val="0"/>
              </w:rPr>
              <w:t xml:space="preserve">Yes, ant </w:t>
            </w:r>
            <w:r w:rsidRPr="00064185">
              <w:t>Lasius niger</w:t>
            </w:r>
            <w:r w:rsidRPr="00064185">
              <w:rPr>
                <w:i w:val="0"/>
              </w:rPr>
              <w:t xml:space="preserve"> is a typical pest in gardens.</w:t>
            </w:r>
          </w:p>
        </w:tc>
        <w:tc>
          <w:tcPr>
            <w:tcW w:w="414" w:type="pct"/>
            <w:tcBorders>
              <w:top w:val="nil"/>
              <w:left w:val="nil"/>
              <w:bottom w:val="nil"/>
              <w:right w:val="nil"/>
            </w:tcBorders>
            <w:shd w:val="pct10" w:color="auto" w:fill="auto"/>
          </w:tcPr>
          <w:p w14:paraId="6DB001D4" w14:textId="77777777" w:rsidR="00EA230B" w:rsidRPr="00064185" w:rsidRDefault="00EA230B" w:rsidP="00EA61D8"/>
        </w:tc>
      </w:tr>
      <w:tr w:rsidR="00064185" w:rsidRPr="00064185" w14:paraId="59CF622A"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9C1C6EC" w14:textId="77777777" w:rsidR="00EA230B" w:rsidRPr="00064185" w:rsidRDefault="00EA230B" w:rsidP="00EA61D8">
            <w:pPr>
              <w:pStyle w:val="TxtTxtTxt"/>
            </w:pPr>
            <w:r w:rsidRPr="00064185">
              <w:t xml:space="preserve">Observed effect </w:t>
            </w:r>
          </w:p>
        </w:tc>
        <w:tc>
          <w:tcPr>
            <w:tcW w:w="3182" w:type="pct"/>
            <w:tcBorders>
              <w:top w:val="nil"/>
              <w:left w:val="nil"/>
              <w:bottom w:val="nil"/>
              <w:right w:val="nil"/>
            </w:tcBorders>
            <w:vAlign w:val="center"/>
          </w:tcPr>
          <w:p w14:paraId="49F94112" w14:textId="77777777" w:rsidR="00EA230B" w:rsidRPr="00064185" w:rsidRDefault="00EA230B" w:rsidP="00EA61D8">
            <w:r w:rsidRPr="00064185">
              <w:t xml:space="preserve">A complete efficacy against the ant </w:t>
            </w:r>
            <w:r w:rsidRPr="00064185">
              <w:rPr>
                <w:i/>
              </w:rPr>
              <w:t>Lasius niger</w:t>
            </w:r>
            <w:r w:rsidRPr="00064185">
              <w:t xml:space="preserve"> could be determined.</w:t>
            </w:r>
          </w:p>
        </w:tc>
        <w:tc>
          <w:tcPr>
            <w:tcW w:w="414" w:type="pct"/>
            <w:tcBorders>
              <w:top w:val="nil"/>
              <w:left w:val="nil"/>
              <w:bottom w:val="nil"/>
              <w:right w:val="nil"/>
            </w:tcBorders>
            <w:shd w:val="pct10" w:color="auto" w:fill="auto"/>
          </w:tcPr>
          <w:p w14:paraId="7A423A9C" w14:textId="77777777" w:rsidR="00EA230B" w:rsidRPr="00064185" w:rsidRDefault="00EA230B" w:rsidP="00EA61D8"/>
        </w:tc>
      </w:tr>
      <w:tr w:rsidR="00064185" w:rsidRPr="00064185" w14:paraId="6FCD9C49"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3F5C9E4" w14:textId="77777777" w:rsidR="00EA230B" w:rsidRPr="00064185" w:rsidRDefault="00EA230B" w:rsidP="00EA61D8">
            <w:pPr>
              <w:pStyle w:val="TextText11"/>
              <w:rPr>
                <w:color w:val="auto"/>
              </w:rPr>
            </w:pPr>
            <w:r w:rsidRPr="00064185">
              <w:rPr>
                <w:color w:val="auto"/>
              </w:rPr>
              <w:t xml:space="preserve">Relevance </w:t>
            </w:r>
            <w:r w:rsidRPr="00064185">
              <w:rPr>
                <w:color w:val="auto"/>
              </w:rPr>
              <w:lastRenderedPageBreak/>
              <w:t>for read-across</w:t>
            </w:r>
          </w:p>
        </w:tc>
        <w:tc>
          <w:tcPr>
            <w:tcW w:w="3182" w:type="pct"/>
            <w:tcBorders>
              <w:top w:val="nil"/>
              <w:left w:val="nil"/>
              <w:bottom w:val="nil"/>
              <w:right w:val="nil"/>
            </w:tcBorders>
            <w:vAlign w:val="center"/>
          </w:tcPr>
          <w:p w14:paraId="074EE122" w14:textId="77777777" w:rsidR="00EA230B" w:rsidRPr="00064185" w:rsidRDefault="00EA230B" w:rsidP="00EA61D8">
            <w:pPr>
              <w:pStyle w:val="Standard-italics"/>
              <w:rPr>
                <w:i w:val="0"/>
              </w:rPr>
            </w:pPr>
            <w:r w:rsidRPr="00064185">
              <w:rPr>
                <w:i w:val="0"/>
              </w:rPr>
              <w:lastRenderedPageBreak/>
              <w:t xml:space="preserve">Yes </w:t>
            </w:r>
          </w:p>
        </w:tc>
        <w:tc>
          <w:tcPr>
            <w:tcW w:w="414" w:type="pct"/>
            <w:tcBorders>
              <w:top w:val="nil"/>
              <w:left w:val="nil"/>
              <w:bottom w:val="nil"/>
              <w:right w:val="nil"/>
            </w:tcBorders>
            <w:shd w:val="pct10" w:color="auto" w:fill="auto"/>
          </w:tcPr>
          <w:p w14:paraId="781F9CC1" w14:textId="77777777" w:rsidR="00EA230B" w:rsidRPr="00064185" w:rsidRDefault="00EA230B" w:rsidP="00EA61D8"/>
        </w:tc>
      </w:tr>
      <w:tr w:rsidR="00064185" w:rsidRPr="00064185" w14:paraId="37A9406D" w14:textId="77777777" w:rsidTr="00E80C20">
        <w:tc>
          <w:tcPr>
            <w:tcW w:w="1403" w:type="pct"/>
          </w:tcPr>
          <w:p w14:paraId="3DF1863E" w14:textId="77777777" w:rsidR="00EA230B" w:rsidRPr="00064185" w:rsidRDefault="00EA230B" w:rsidP="00EA61D8">
            <w:pPr>
              <w:pStyle w:val="Kopfzeile"/>
              <w:keepNext/>
              <w:tabs>
                <w:tab w:val="clear" w:pos="4536"/>
                <w:tab w:val="clear" w:pos="9072"/>
              </w:tabs>
              <w:spacing w:before="60" w:after="60"/>
              <w:rPr>
                <w:lang w:val="en-GB"/>
              </w:rPr>
            </w:pPr>
          </w:p>
        </w:tc>
        <w:tc>
          <w:tcPr>
            <w:tcW w:w="3182" w:type="pct"/>
            <w:vAlign w:val="center"/>
          </w:tcPr>
          <w:p w14:paraId="75B7DDC0" w14:textId="77777777" w:rsidR="00EA230B" w:rsidRPr="00064185" w:rsidRDefault="00EA230B" w:rsidP="00EA61D8">
            <w:pPr>
              <w:pStyle w:val="TEXTTEXT"/>
            </w:pPr>
            <w:r w:rsidRPr="00064185">
              <w:t>Applicant's Summary and conclusion</w:t>
            </w:r>
          </w:p>
        </w:tc>
        <w:tc>
          <w:tcPr>
            <w:tcW w:w="414" w:type="pct"/>
            <w:shd w:val="pct10" w:color="auto" w:fill="auto"/>
          </w:tcPr>
          <w:p w14:paraId="29C2F7CD" w14:textId="77777777" w:rsidR="00EA230B" w:rsidRPr="00064185" w:rsidRDefault="00EA230B" w:rsidP="00EA61D8">
            <w:pPr>
              <w:pStyle w:val="Kopfzeile"/>
              <w:keepNext/>
              <w:tabs>
                <w:tab w:val="clear" w:pos="4536"/>
                <w:tab w:val="clear" w:pos="9072"/>
              </w:tabs>
              <w:spacing w:before="60" w:after="60"/>
              <w:rPr>
                <w:lang w:val="en-GB"/>
              </w:rPr>
            </w:pPr>
          </w:p>
        </w:tc>
      </w:tr>
      <w:tr w:rsidR="00064185" w:rsidRPr="00064185" w14:paraId="0D99C96B" w14:textId="77777777" w:rsidTr="00E80C20">
        <w:tc>
          <w:tcPr>
            <w:tcW w:w="1403" w:type="pct"/>
          </w:tcPr>
          <w:p w14:paraId="73195DFA" w14:textId="77777777" w:rsidR="00EA230B" w:rsidRPr="00064185" w:rsidRDefault="00EA230B" w:rsidP="00EA61D8">
            <w:pPr>
              <w:pStyle w:val="TextText11"/>
              <w:rPr>
                <w:color w:val="auto"/>
              </w:rPr>
            </w:pPr>
            <w:r w:rsidRPr="00064185">
              <w:rPr>
                <w:color w:val="auto"/>
              </w:rPr>
              <w:t>Materials and methods</w:t>
            </w:r>
          </w:p>
        </w:tc>
        <w:tc>
          <w:tcPr>
            <w:tcW w:w="3182" w:type="pct"/>
            <w:vAlign w:val="center"/>
          </w:tcPr>
          <w:p w14:paraId="2F372B7E" w14:textId="77777777" w:rsidR="00EA230B" w:rsidRPr="00064185" w:rsidRDefault="00EA230B" w:rsidP="00EA61D8">
            <w:pPr>
              <w:pStyle w:val="Standard-italics"/>
              <w:rPr>
                <w:i w:val="0"/>
              </w:rPr>
            </w:pPr>
            <w:r w:rsidRPr="00064185">
              <w:rPr>
                <w:i w:val="0"/>
              </w:rPr>
              <w:t>Assessment of the efficacy of speciality products under laboratory conditions to control garden ants.</w:t>
            </w:r>
          </w:p>
        </w:tc>
        <w:tc>
          <w:tcPr>
            <w:tcW w:w="414" w:type="pct"/>
            <w:shd w:val="pct10" w:color="auto" w:fill="auto"/>
          </w:tcPr>
          <w:p w14:paraId="728C5B5C" w14:textId="77777777" w:rsidR="00EA230B" w:rsidRPr="00064185" w:rsidRDefault="00EA230B" w:rsidP="00EA61D8">
            <w:pPr>
              <w:keepNext/>
            </w:pPr>
          </w:p>
        </w:tc>
      </w:tr>
      <w:tr w:rsidR="00064185" w:rsidRPr="00064185" w14:paraId="438BC16B" w14:textId="77777777" w:rsidTr="00E80C20">
        <w:tc>
          <w:tcPr>
            <w:tcW w:w="1403" w:type="pct"/>
          </w:tcPr>
          <w:p w14:paraId="5FD0BE0C" w14:textId="77777777" w:rsidR="00EA230B" w:rsidRPr="00064185" w:rsidRDefault="00EA230B" w:rsidP="00EA61D8">
            <w:pPr>
              <w:pStyle w:val="TextText11"/>
              <w:rPr>
                <w:color w:val="auto"/>
              </w:rPr>
            </w:pPr>
            <w:r w:rsidRPr="00064185">
              <w:rPr>
                <w:color w:val="auto"/>
              </w:rPr>
              <w:t>Reliability</w:t>
            </w:r>
          </w:p>
        </w:tc>
        <w:tc>
          <w:tcPr>
            <w:tcW w:w="3182" w:type="pct"/>
            <w:vAlign w:val="center"/>
          </w:tcPr>
          <w:p w14:paraId="6617CAB1" w14:textId="77777777" w:rsidR="00EA230B" w:rsidRPr="00064185" w:rsidRDefault="00EA230B" w:rsidP="00EA61D8">
            <w:pPr>
              <w:pStyle w:val="Standard-italics"/>
              <w:rPr>
                <w:i w:val="0"/>
              </w:rPr>
            </w:pPr>
            <w:r w:rsidRPr="00064185">
              <w:rPr>
                <w:i w:val="0"/>
              </w:rPr>
              <w:t>1</w:t>
            </w:r>
          </w:p>
        </w:tc>
        <w:tc>
          <w:tcPr>
            <w:tcW w:w="414" w:type="pct"/>
            <w:shd w:val="pct10" w:color="auto" w:fill="auto"/>
          </w:tcPr>
          <w:p w14:paraId="39C7DD90" w14:textId="77777777" w:rsidR="00EA230B" w:rsidRPr="00064185" w:rsidRDefault="00EA230B" w:rsidP="00EA61D8"/>
        </w:tc>
      </w:tr>
      <w:tr w:rsidR="00064185" w:rsidRPr="00064185" w14:paraId="2888C82B" w14:textId="77777777" w:rsidTr="00E80C20">
        <w:tc>
          <w:tcPr>
            <w:tcW w:w="1403" w:type="pct"/>
          </w:tcPr>
          <w:p w14:paraId="6387F31F" w14:textId="77777777" w:rsidR="00EA230B" w:rsidRPr="00064185" w:rsidRDefault="00EA230B" w:rsidP="00EA61D8">
            <w:pPr>
              <w:pStyle w:val="TextText11"/>
              <w:rPr>
                <w:color w:val="auto"/>
              </w:rPr>
            </w:pPr>
            <w:r w:rsidRPr="00064185">
              <w:rPr>
                <w:color w:val="auto"/>
              </w:rPr>
              <w:t>Assessment of efficacy, data analysis and interpretation</w:t>
            </w:r>
          </w:p>
        </w:tc>
        <w:tc>
          <w:tcPr>
            <w:tcW w:w="3182" w:type="pct"/>
            <w:vAlign w:val="center"/>
          </w:tcPr>
          <w:p w14:paraId="7186D083" w14:textId="77777777" w:rsidR="00EA230B" w:rsidRPr="00064185" w:rsidRDefault="00EA230B" w:rsidP="00EA61D8">
            <w:pPr>
              <w:pStyle w:val="Standard-italics"/>
              <w:rPr>
                <w:i w:val="0"/>
              </w:rPr>
            </w:pPr>
            <w:r w:rsidRPr="00064185">
              <w:rPr>
                <w:i w:val="0"/>
              </w:rPr>
              <w:t>In the conditions of this trial, COM 116 02 I AL applied with hand sprayer have proved:</w:t>
            </w:r>
            <w:r w:rsidRPr="00064185">
              <w:rPr>
                <w:i w:val="0"/>
              </w:rPr>
              <w:br/>
              <w:t xml:space="preserve">- a complete and fast efficacy towards the ant </w:t>
            </w:r>
            <w:r w:rsidRPr="00064185">
              <w:t>Lasius niger</w:t>
            </w:r>
            <w:r w:rsidRPr="00064185">
              <w:rPr>
                <w:i w:val="0"/>
              </w:rPr>
              <w:br/>
              <w:t>- an equal efficacy compared to the registered standard product AFOURMI SG (0.02 % fipronil, AMM 9900344), granules applied in drenching or by strewing.</w:t>
            </w:r>
          </w:p>
        </w:tc>
        <w:tc>
          <w:tcPr>
            <w:tcW w:w="414" w:type="pct"/>
            <w:shd w:val="pct10" w:color="auto" w:fill="auto"/>
          </w:tcPr>
          <w:p w14:paraId="5BFA3324" w14:textId="77777777" w:rsidR="00EA230B" w:rsidRPr="00064185" w:rsidRDefault="00EA230B" w:rsidP="00EA61D8"/>
        </w:tc>
      </w:tr>
      <w:tr w:rsidR="00064185" w:rsidRPr="00064185" w14:paraId="4158ADA0" w14:textId="77777777" w:rsidTr="00E80C20">
        <w:tc>
          <w:tcPr>
            <w:tcW w:w="1403" w:type="pct"/>
          </w:tcPr>
          <w:p w14:paraId="2273D62A" w14:textId="77777777" w:rsidR="00EA230B" w:rsidRPr="00064185" w:rsidRDefault="00EA230B" w:rsidP="00EA61D8">
            <w:pPr>
              <w:pStyle w:val="TextText11"/>
              <w:rPr>
                <w:color w:val="auto"/>
              </w:rPr>
            </w:pPr>
            <w:r w:rsidRPr="00064185">
              <w:rPr>
                <w:color w:val="auto"/>
              </w:rPr>
              <w:t>Conclusion</w:t>
            </w:r>
          </w:p>
        </w:tc>
        <w:tc>
          <w:tcPr>
            <w:tcW w:w="3182" w:type="pct"/>
            <w:vAlign w:val="center"/>
          </w:tcPr>
          <w:p w14:paraId="50EBDA1B" w14:textId="77777777" w:rsidR="00EA230B" w:rsidRPr="00064185" w:rsidRDefault="00EA230B" w:rsidP="00EA61D8">
            <w:pPr>
              <w:pStyle w:val="Standard-italics"/>
              <w:rPr>
                <w:i w:val="0"/>
              </w:rPr>
            </w:pPr>
            <w:r w:rsidRPr="00064185">
              <w:rPr>
                <w:i w:val="0"/>
              </w:rPr>
              <w:t xml:space="preserve">The results show that COM 116 02 I AL has a complete and fast efficacy against </w:t>
            </w:r>
            <w:r w:rsidRPr="00064185">
              <w:t>Lasius niger</w:t>
            </w:r>
            <w:r w:rsidRPr="00064185">
              <w:rPr>
                <w:i w:val="0"/>
              </w:rPr>
              <w:t xml:space="preserve">. </w:t>
            </w:r>
          </w:p>
        </w:tc>
        <w:tc>
          <w:tcPr>
            <w:tcW w:w="414" w:type="pct"/>
            <w:shd w:val="pct10" w:color="auto" w:fill="auto"/>
          </w:tcPr>
          <w:p w14:paraId="031B1747" w14:textId="77777777" w:rsidR="00EA230B" w:rsidRPr="00064185" w:rsidRDefault="00EA230B" w:rsidP="00EA61D8"/>
        </w:tc>
      </w:tr>
      <w:tr w:rsidR="00064185" w:rsidRPr="00064185" w14:paraId="30148697"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2099AC3" w14:textId="77777777" w:rsidR="00EA230B" w:rsidRPr="00064185" w:rsidRDefault="00EA230B" w:rsidP="00EA61D8">
            <w:pPr>
              <w:pStyle w:val="TextText11"/>
              <w:rPr>
                <w:color w:val="auto"/>
              </w:rPr>
            </w:pPr>
            <w:r w:rsidRPr="00064185">
              <w:rPr>
                <w:color w:val="auto"/>
              </w:rPr>
              <w:t>Proposed efficacy specification</w:t>
            </w:r>
          </w:p>
        </w:tc>
        <w:tc>
          <w:tcPr>
            <w:tcW w:w="3182" w:type="pct"/>
            <w:tcBorders>
              <w:top w:val="nil"/>
              <w:left w:val="nil"/>
              <w:bottom w:val="nil"/>
              <w:right w:val="nil"/>
            </w:tcBorders>
            <w:vAlign w:val="center"/>
          </w:tcPr>
          <w:p w14:paraId="4582E7D5" w14:textId="77777777" w:rsidR="00EA230B" w:rsidRPr="00064185" w:rsidRDefault="00EA230B" w:rsidP="00EA61D8">
            <w:pPr>
              <w:rPr>
                <w:i/>
              </w:rPr>
            </w:pPr>
            <w:r w:rsidRPr="00064185">
              <w:rPr>
                <w:i/>
              </w:rPr>
              <w:t>–</w:t>
            </w:r>
          </w:p>
        </w:tc>
        <w:tc>
          <w:tcPr>
            <w:tcW w:w="414" w:type="pct"/>
            <w:tcBorders>
              <w:top w:val="nil"/>
              <w:left w:val="nil"/>
              <w:bottom w:val="nil"/>
              <w:right w:val="nil"/>
            </w:tcBorders>
            <w:shd w:val="pct10" w:color="auto" w:fill="auto"/>
          </w:tcPr>
          <w:p w14:paraId="4A04AAAD" w14:textId="77777777" w:rsidR="00EA230B" w:rsidRPr="00064185" w:rsidRDefault="00EA230B" w:rsidP="00EA61D8"/>
        </w:tc>
      </w:tr>
    </w:tbl>
    <w:p w14:paraId="1E7C1D3C" w14:textId="77777777" w:rsidR="00EA230B" w:rsidRPr="00064185" w:rsidRDefault="00EA230B" w:rsidP="00EA61D8">
      <w:pPr>
        <w:rPr>
          <w:b/>
        </w:rPr>
      </w:pPr>
      <w:r w:rsidRPr="00064185">
        <w:rPr>
          <w:b/>
        </w:rPr>
        <w:br w:type="page"/>
      </w:r>
    </w:p>
    <w:tbl>
      <w:tblPr>
        <w:tblW w:w="5000" w:type="pct"/>
        <w:tblCellMar>
          <w:left w:w="70" w:type="dxa"/>
          <w:right w:w="70" w:type="dxa"/>
        </w:tblCellMar>
        <w:tblLook w:val="0000" w:firstRow="0" w:lastRow="0" w:firstColumn="0" w:lastColumn="0" w:noHBand="0" w:noVBand="0"/>
      </w:tblPr>
      <w:tblGrid>
        <w:gridCol w:w="2624"/>
        <w:gridCol w:w="5955"/>
        <w:gridCol w:w="775"/>
      </w:tblGrid>
      <w:tr w:rsidR="00064185" w:rsidRPr="00064185" w14:paraId="5A0E5D1B" w14:textId="77777777" w:rsidTr="00E80C20">
        <w:trPr>
          <w:cantSplit/>
          <w:tblHeader/>
        </w:trPr>
        <w:tc>
          <w:tcPr>
            <w:tcW w:w="1403" w:type="pct"/>
            <w:tcBorders>
              <w:bottom w:val="single" w:sz="4" w:space="0" w:color="auto"/>
            </w:tcBorders>
          </w:tcPr>
          <w:p w14:paraId="1A7A3A20" w14:textId="77777777" w:rsidR="00EA230B" w:rsidRPr="00064185" w:rsidRDefault="00EA230B" w:rsidP="00EA61D8">
            <w:pPr>
              <w:pStyle w:val="SectionHeader"/>
            </w:pPr>
            <w:r w:rsidRPr="00064185">
              <w:lastRenderedPageBreak/>
              <w:t>Section B5.10</w:t>
            </w:r>
            <w:r w:rsidRPr="00064185">
              <w:br/>
            </w:r>
            <w:r w:rsidRPr="00064185">
              <w:rPr>
                <w:sz w:val="20"/>
              </w:rPr>
              <w:t>Annex Point IIB5.10</w:t>
            </w:r>
            <w:r w:rsidRPr="00064185">
              <w:rPr>
                <w:sz w:val="20"/>
              </w:rPr>
              <w:br/>
              <w:t>TNsG: Pt. I-B5.10,</w:t>
            </w:r>
            <w:r w:rsidRPr="00064185">
              <w:rPr>
                <w:sz w:val="20"/>
              </w:rPr>
              <w:br/>
              <w:t>Pt. III-Ch. 6</w:t>
            </w:r>
          </w:p>
        </w:tc>
        <w:tc>
          <w:tcPr>
            <w:tcW w:w="3183" w:type="pct"/>
            <w:tcBorders>
              <w:bottom w:val="single" w:sz="4" w:space="0" w:color="auto"/>
            </w:tcBorders>
            <w:vAlign w:val="center"/>
          </w:tcPr>
          <w:p w14:paraId="5E14A15C" w14:textId="77777777" w:rsidR="00EA230B" w:rsidRPr="00064185" w:rsidRDefault="00EA230B" w:rsidP="00EA61D8">
            <w:pPr>
              <w:pStyle w:val="SectionHeader"/>
            </w:pPr>
            <w:r w:rsidRPr="00064185">
              <w:t xml:space="preserve">Efficacy Data </w:t>
            </w:r>
          </w:p>
          <w:p w14:paraId="587F280D" w14:textId="77777777" w:rsidR="00EA230B" w:rsidRPr="00064185" w:rsidRDefault="00EA230B" w:rsidP="00EA61D8">
            <w:pPr>
              <w:pStyle w:val="SectionHeader"/>
            </w:pPr>
            <w:r w:rsidRPr="00064185">
              <w:rPr>
                <w:b w:val="0"/>
                <w:sz w:val="20"/>
              </w:rPr>
              <w:t>5.10.</w:t>
            </w:r>
            <w:r w:rsidRPr="00064185">
              <w:t xml:space="preserve"> </w:t>
            </w:r>
            <w:r w:rsidRPr="00064185">
              <w:rPr>
                <w:b w:val="0"/>
                <w:sz w:val="20"/>
              </w:rPr>
              <w:t>Effects on target organisms (PT 18; Study 2)</w:t>
            </w:r>
          </w:p>
        </w:tc>
        <w:tc>
          <w:tcPr>
            <w:tcW w:w="414" w:type="pct"/>
            <w:tcBorders>
              <w:bottom w:val="single" w:sz="4" w:space="0" w:color="auto"/>
            </w:tcBorders>
          </w:tcPr>
          <w:p w14:paraId="21306E90" w14:textId="77777777" w:rsidR="00EA230B" w:rsidRPr="00064185" w:rsidRDefault="00EA230B" w:rsidP="00EA61D8">
            <w:pPr>
              <w:pStyle w:val="Official-Use"/>
              <w:keepNext/>
              <w:jc w:val="left"/>
              <w:rPr>
                <w:b/>
                <w:vanish/>
              </w:rPr>
            </w:pPr>
          </w:p>
        </w:tc>
      </w:tr>
      <w:tr w:rsidR="00064185" w:rsidRPr="00064185" w14:paraId="41B38EB9" w14:textId="77777777" w:rsidTr="00E80C20">
        <w:trPr>
          <w:cantSplit/>
          <w:tblHeader/>
        </w:trPr>
        <w:tc>
          <w:tcPr>
            <w:tcW w:w="1403" w:type="pct"/>
            <w:tcBorders>
              <w:top w:val="single" w:sz="4" w:space="0" w:color="auto"/>
            </w:tcBorders>
          </w:tcPr>
          <w:p w14:paraId="7416C9FE" w14:textId="77777777" w:rsidR="00EA230B" w:rsidRPr="00064185" w:rsidRDefault="00EA230B" w:rsidP="00EA61D8">
            <w:pPr>
              <w:pStyle w:val="HalbeLeerzeile"/>
            </w:pPr>
          </w:p>
        </w:tc>
        <w:tc>
          <w:tcPr>
            <w:tcW w:w="3183" w:type="pct"/>
            <w:tcBorders>
              <w:top w:val="single" w:sz="4" w:space="0" w:color="auto"/>
            </w:tcBorders>
            <w:vAlign w:val="center"/>
          </w:tcPr>
          <w:p w14:paraId="295018C6" w14:textId="77777777" w:rsidR="00EA230B" w:rsidRPr="00064185" w:rsidRDefault="00EA230B" w:rsidP="00EA61D8">
            <w:pPr>
              <w:pStyle w:val="HalbeLeerzeile"/>
            </w:pPr>
          </w:p>
        </w:tc>
        <w:tc>
          <w:tcPr>
            <w:tcW w:w="414" w:type="pct"/>
            <w:tcBorders>
              <w:top w:val="single" w:sz="4" w:space="0" w:color="auto"/>
            </w:tcBorders>
          </w:tcPr>
          <w:p w14:paraId="00D33562" w14:textId="77777777" w:rsidR="00EA230B" w:rsidRPr="00064185" w:rsidRDefault="00EA230B" w:rsidP="00EA61D8">
            <w:pPr>
              <w:pStyle w:val="HalbeLeerzeile"/>
              <w:rPr>
                <w:b/>
                <w:vanish/>
              </w:rPr>
            </w:pPr>
          </w:p>
        </w:tc>
      </w:tr>
      <w:tr w:rsidR="00064185" w:rsidRPr="00064185" w14:paraId="7E86D421" w14:textId="77777777" w:rsidTr="00E80C20">
        <w:trPr>
          <w:cantSplit/>
          <w:tblHeader/>
        </w:trPr>
        <w:tc>
          <w:tcPr>
            <w:tcW w:w="1403" w:type="pct"/>
            <w:tcBorders>
              <w:top w:val="single" w:sz="4" w:space="0" w:color="auto"/>
              <w:left w:val="single" w:sz="4" w:space="0" w:color="auto"/>
              <w:bottom w:val="single" w:sz="4" w:space="0" w:color="auto"/>
            </w:tcBorders>
            <w:shd w:val="pct15" w:color="auto" w:fill="auto"/>
          </w:tcPr>
          <w:p w14:paraId="207729CC" w14:textId="77777777" w:rsidR="00EA230B" w:rsidRPr="00064185" w:rsidRDefault="00EA230B" w:rsidP="00EA61D8">
            <w:pPr>
              <w:pStyle w:val="SectionHeader"/>
            </w:pPr>
          </w:p>
        </w:tc>
        <w:tc>
          <w:tcPr>
            <w:tcW w:w="3183" w:type="pct"/>
            <w:tcBorders>
              <w:top w:val="single" w:sz="4" w:space="0" w:color="auto"/>
              <w:bottom w:val="single" w:sz="4" w:space="0" w:color="auto"/>
            </w:tcBorders>
            <w:shd w:val="pct15" w:color="auto" w:fill="auto"/>
            <w:vAlign w:val="center"/>
          </w:tcPr>
          <w:p w14:paraId="168B4D34" w14:textId="77777777" w:rsidR="00EA230B" w:rsidRPr="00064185" w:rsidRDefault="00EA230B" w:rsidP="00EA61D8">
            <w:pPr>
              <w:pStyle w:val="SectionHeader"/>
            </w:pPr>
            <w:r w:rsidRPr="00064185">
              <w:t>Evaluation by Competent Authorities</w:t>
            </w:r>
          </w:p>
        </w:tc>
        <w:tc>
          <w:tcPr>
            <w:tcW w:w="414" w:type="pct"/>
            <w:tcBorders>
              <w:top w:val="single" w:sz="4" w:space="0" w:color="auto"/>
              <w:bottom w:val="single" w:sz="4" w:space="0" w:color="auto"/>
              <w:right w:val="single" w:sz="4" w:space="0" w:color="auto"/>
            </w:tcBorders>
            <w:shd w:val="pct15" w:color="auto" w:fill="auto"/>
          </w:tcPr>
          <w:p w14:paraId="791D926A" w14:textId="77777777" w:rsidR="00EA230B" w:rsidRPr="00064185" w:rsidRDefault="00EA230B" w:rsidP="00EA61D8">
            <w:pPr>
              <w:pStyle w:val="SectionHeader"/>
              <w:rPr>
                <w:b w:val="0"/>
                <w:vanish/>
              </w:rPr>
            </w:pPr>
          </w:p>
        </w:tc>
      </w:tr>
      <w:tr w:rsidR="00064185" w:rsidRPr="00064185" w14:paraId="2AF79259" w14:textId="77777777" w:rsidTr="00E80C20">
        <w:tc>
          <w:tcPr>
            <w:tcW w:w="1403" w:type="pct"/>
            <w:tcBorders>
              <w:left w:val="single" w:sz="4" w:space="0" w:color="auto"/>
            </w:tcBorders>
          </w:tcPr>
          <w:p w14:paraId="1584FE49" w14:textId="77777777" w:rsidR="00EA230B" w:rsidRPr="00064185" w:rsidRDefault="00EA230B" w:rsidP="00EA61D8">
            <w:pPr>
              <w:pStyle w:val="Standard-fett"/>
              <w:keepNext/>
            </w:pPr>
          </w:p>
        </w:tc>
        <w:tc>
          <w:tcPr>
            <w:tcW w:w="3183" w:type="pct"/>
            <w:vAlign w:val="center"/>
          </w:tcPr>
          <w:p w14:paraId="2A1BF995" w14:textId="77777777" w:rsidR="00EA230B" w:rsidRPr="00064185" w:rsidRDefault="00EA230B" w:rsidP="00EA61D8">
            <w:pPr>
              <w:pStyle w:val="Textkrper2"/>
              <w:rPr>
                <w:color w:val="auto"/>
              </w:rPr>
            </w:pPr>
            <w:r w:rsidRPr="00064185">
              <w:rPr>
                <w:color w:val="auto"/>
              </w:rPr>
              <w:t>Use separate "evaluation boxes" to provide transparency as to the comments and views submitted</w:t>
            </w:r>
          </w:p>
        </w:tc>
        <w:tc>
          <w:tcPr>
            <w:tcW w:w="414" w:type="pct"/>
            <w:tcBorders>
              <w:right w:val="single" w:sz="4" w:space="0" w:color="auto"/>
            </w:tcBorders>
          </w:tcPr>
          <w:p w14:paraId="0E42926A" w14:textId="77777777" w:rsidR="00EA230B" w:rsidRPr="00064185" w:rsidRDefault="00EA230B" w:rsidP="00EA61D8">
            <w:pPr>
              <w:pStyle w:val="Standard-fett"/>
            </w:pPr>
          </w:p>
        </w:tc>
      </w:tr>
      <w:tr w:rsidR="00064185" w:rsidRPr="00064185" w14:paraId="767336B1" w14:textId="77777777" w:rsidTr="006F2554">
        <w:trPr>
          <w:cantSplit/>
          <w:trHeight w:val="868"/>
        </w:trPr>
        <w:tc>
          <w:tcPr>
            <w:tcW w:w="1403" w:type="pct"/>
            <w:tcBorders>
              <w:top w:val="single" w:sz="4" w:space="0" w:color="auto"/>
              <w:left w:val="single" w:sz="4" w:space="0" w:color="auto"/>
            </w:tcBorders>
          </w:tcPr>
          <w:p w14:paraId="76B62FC1" w14:textId="77777777" w:rsidR="00EA230B" w:rsidRPr="00064185" w:rsidRDefault="00EA230B" w:rsidP="00EA61D8"/>
        </w:tc>
        <w:tc>
          <w:tcPr>
            <w:tcW w:w="3597" w:type="pct"/>
            <w:gridSpan w:val="2"/>
            <w:tcBorders>
              <w:top w:val="single" w:sz="4" w:space="0" w:color="auto"/>
              <w:right w:val="single" w:sz="4" w:space="0" w:color="auto"/>
            </w:tcBorders>
            <w:vAlign w:val="center"/>
          </w:tcPr>
          <w:p w14:paraId="4652EDA2" w14:textId="77777777" w:rsidR="00EA230B" w:rsidRPr="00064185" w:rsidRDefault="00EA230B" w:rsidP="00EA61D8">
            <w:pPr>
              <w:rPr>
                <w:b/>
                <w:sz w:val="28"/>
                <w:szCs w:val="28"/>
              </w:rPr>
            </w:pPr>
            <w:r w:rsidRPr="00064185">
              <w:rPr>
                <w:b/>
                <w:sz w:val="28"/>
                <w:szCs w:val="28"/>
              </w:rPr>
              <w:t>Evaluation by Rapporteur Member State</w:t>
            </w:r>
          </w:p>
        </w:tc>
      </w:tr>
      <w:tr w:rsidR="00064185" w:rsidRPr="00064185" w14:paraId="007BDBB1" w14:textId="77777777" w:rsidTr="00E80C20">
        <w:trPr>
          <w:cantSplit/>
        </w:trPr>
        <w:tc>
          <w:tcPr>
            <w:tcW w:w="1403" w:type="pct"/>
            <w:tcBorders>
              <w:left w:val="single" w:sz="4" w:space="0" w:color="auto"/>
            </w:tcBorders>
          </w:tcPr>
          <w:p w14:paraId="3D061225" w14:textId="77777777" w:rsidR="00EA230B" w:rsidRPr="00064185" w:rsidRDefault="00EA230B" w:rsidP="00EA61D8">
            <w:pPr>
              <w:rPr>
                <w:b/>
                <w:sz w:val="28"/>
                <w:szCs w:val="28"/>
              </w:rPr>
            </w:pPr>
            <w:r w:rsidRPr="00064185">
              <w:rPr>
                <w:b/>
                <w:sz w:val="28"/>
                <w:szCs w:val="28"/>
              </w:rPr>
              <w:t>Date</w:t>
            </w:r>
          </w:p>
        </w:tc>
        <w:tc>
          <w:tcPr>
            <w:tcW w:w="3597" w:type="pct"/>
            <w:gridSpan w:val="2"/>
            <w:tcBorders>
              <w:right w:val="single" w:sz="4" w:space="0" w:color="auto"/>
            </w:tcBorders>
            <w:vAlign w:val="center"/>
          </w:tcPr>
          <w:p w14:paraId="2CF2FA5F" w14:textId="77777777" w:rsidR="00EA230B" w:rsidRPr="00064185" w:rsidRDefault="00EA230B" w:rsidP="00EA61D8">
            <w:pPr>
              <w:pStyle w:val="Standard-italics"/>
            </w:pPr>
            <w:r w:rsidRPr="00064185">
              <w:rPr>
                <w:i w:val="0"/>
              </w:rPr>
              <w:t>July 2015</w:t>
            </w:r>
          </w:p>
        </w:tc>
      </w:tr>
      <w:tr w:rsidR="00064185" w:rsidRPr="00064185" w14:paraId="32EC2E98" w14:textId="77777777" w:rsidTr="00E80C20">
        <w:trPr>
          <w:cantSplit/>
        </w:trPr>
        <w:tc>
          <w:tcPr>
            <w:tcW w:w="1403" w:type="pct"/>
            <w:tcBorders>
              <w:left w:val="single" w:sz="4" w:space="0" w:color="auto"/>
            </w:tcBorders>
          </w:tcPr>
          <w:p w14:paraId="2AA7CC3A" w14:textId="77777777" w:rsidR="00EA230B" w:rsidRPr="00064185" w:rsidRDefault="00EA230B" w:rsidP="00EA61D8">
            <w:pPr>
              <w:rPr>
                <w:b/>
                <w:sz w:val="28"/>
                <w:szCs w:val="28"/>
              </w:rPr>
            </w:pPr>
            <w:r w:rsidRPr="00064185">
              <w:rPr>
                <w:b/>
                <w:sz w:val="28"/>
                <w:szCs w:val="28"/>
              </w:rPr>
              <w:t>Comments</w:t>
            </w:r>
            <w:r w:rsidRPr="00064185">
              <w:rPr>
                <w:b/>
                <w:sz w:val="28"/>
                <w:szCs w:val="28"/>
              </w:rPr>
              <w:br/>
            </w:r>
            <w:r w:rsidRPr="00064185">
              <w:rPr>
                <w:b/>
                <w:sz w:val="28"/>
                <w:szCs w:val="28"/>
              </w:rPr>
              <w:br/>
            </w:r>
          </w:p>
        </w:tc>
        <w:tc>
          <w:tcPr>
            <w:tcW w:w="3597" w:type="pct"/>
            <w:gridSpan w:val="2"/>
            <w:tcBorders>
              <w:right w:val="single" w:sz="4" w:space="0" w:color="auto"/>
            </w:tcBorders>
            <w:vAlign w:val="center"/>
          </w:tcPr>
          <w:p w14:paraId="02528605" w14:textId="77777777" w:rsidR="00EA230B" w:rsidRPr="00064185" w:rsidRDefault="00EA230B" w:rsidP="00EA61D8">
            <w:pPr>
              <w:pStyle w:val="Standard-italics"/>
            </w:pPr>
            <w:r w:rsidRPr="00064185">
              <w:t>-</w:t>
            </w:r>
          </w:p>
        </w:tc>
      </w:tr>
      <w:tr w:rsidR="00EA230B" w:rsidRPr="00064185" w14:paraId="50798E5A" w14:textId="77777777" w:rsidTr="00E80C20">
        <w:trPr>
          <w:cantSplit/>
        </w:trPr>
        <w:tc>
          <w:tcPr>
            <w:tcW w:w="1403" w:type="pct"/>
            <w:tcBorders>
              <w:left w:val="single" w:sz="4" w:space="0" w:color="auto"/>
              <w:bottom w:val="single" w:sz="4" w:space="0" w:color="auto"/>
            </w:tcBorders>
          </w:tcPr>
          <w:p w14:paraId="29C444F7" w14:textId="77777777" w:rsidR="00EA230B" w:rsidRPr="00064185" w:rsidRDefault="00EA230B" w:rsidP="00EA61D8">
            <w:pPr>
              <w:rPr>
                <w:b/>
                <w:sz w:val="28"/>
                <w:szCs w:val="28"/>
              </w:rPr>
            </w:pPr>
            <w:r w:rsidRPr="00064185">
              <w:rPr>
                <w:b/>
                <w:sz w:val="28"/>
                <w:szCs w:val="28"/>
              </w:rPr>
              <w:t>Summary and conclusion</w:t>
            </w:r>
            <w:r w:rsidRPr="00064185">
              <w:rPr>
                <w:b/>
                <w:sz w:val="28"/>
                <w:szCs w:val="28"/>
              </w:rPr>
              <w:br/>
            </w:r>
            <w:r w:rsidRPr="00064185">
              <w:rPr>
                <w:b/>
                <w:sz w:val="28"/>
                <w:szCs w:val="28"/>
              </w:rPr>
              <w:br/>
            </w:r>
          </w:p>
        </w:tc>
        <w:tc>
          <w:tcPr>
            <w:tcW w:w="3597" w:type="pct"/>
            <w:gridSpan w:val="2"/>
            <w:tcBorders>
              <w:bottom w:val="single" w:sz="4" w:space="0" w:color="auto"/>
              <w:right w:val="single" w:sz="4" w:space="0" w:color="auto"/>
            </w:tcBorders>
            <w:vAlign w:val="center"/>
          </w:tcPr>
          <w:p w14:paraId="6996925B" w14:textId="77777777" w:rsidR="00EA230B" w:rsidRPr="00064185" w:rsidRDefault="00EA230B" w:rsidP="00EA61D8">
            <w:pPr>
              <w:pStyle w:val="Standard-italics"/>
            </w:pPr>
            <w:r w:rsidRPr="00064185">
              <w:rPr>
                <w:i w:val="0"/>
              </w:rPr>
              <w:t>Agree with applicants version</w:t>
            </w:r>
          </w:p>
        </w:tc>
      </w:tr>
    </w:tbl>
    <w:p w14:paraId="6256FA65" w14:textId="77777777" w:rsidR="00EA230B" w:rsidRPr="00064185" w:rsidRDefault="00EA230B" w:rsidP="00EA61D8">
      <w:pPr>
        <w:keepNext/>
      </w:pPr>
    </w:p>
    <w:p w14:paraId="3DD0DD84" w14:textId="77777777" w:rsidR="00EA230B" w:rsidRPr="00064185" w:rsidRDefault="00EA230B" w:rsidP="00EA61D8">
      <w:pPr>
        <w:rPr>
          <w:rFonts w:eastAsiaTheme="minorEastAsia"/>
          <w:b/>
        </w:rPr>
      </w:pPr>
      <w:r w:rsidRPr="00064185">
        <w:br w:type="page"/>
      </w:r>
      <w:r w:rsidRPr="00064185">
        <w:rPr>
          <w:rFonts w:eastAsiaTheme="minorEastAsia"/>
          <w:b/>
        </w:rPr>
        <w:lastRenderedPageBreak/>
        <w:t>Table B5.10_1:</w:t>
      </w:r>
      <w:r w:rsidRPr="00064185">
        <w:rPr>
          <w:rFonts w:eastAsiaTheme="minorEastAsia"/>
          <w:b/>
        </w:rPr>
        <w:tab/>
        <w:t>Percentage of mortality in arena trials with competition food</w:t>
      </w: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854"/>
        <w:gridCol w:w="853"/>
        <w:gridCol w:w="853"/>
        <w:gridCol w:w="853"/>
        <w:gridCol w:w="853"/>
        <w:gridCol w:w="853"/>
        <w:gridCol w:w="853"/>
        <w:gridCol w:w="848"/>
      </w:tblGrid>
      <w:tr w:rsidR="00064185" w:rsidRPr="00064185" w14:paraId="5A522CCF" w14:textId="77777777" w:rsidTr="00E80C20">
        <w:tc>
          <w:tcPr>
            <w:tcW w:w="1035" w:type="pct"/>
            <w:vMerge w:val="restart"/>
            <w:shd w:val="clear" w:color="auto" w:fill="auto"/>
          </w:tcPr>
          <w:p w14:paraId="10CEEF37" w14:textId="77777777" w:rsidR="00EA230B" w:rsidRPr="00064185" w:rsidRDefault="00EA230B" w:rsidP="00EA61D8">
            <w:pPr>
              <w:rPr>
                <w:b/>
              </w:rPr>
            </w:pPr>
            <w:r w:rsidRPr="00064185">
              <w:rPr>
                <w:b/>
              </w:rPr>
              <w:t>Treatment</w:t>
            </w:r>
          </w:p>
        </w:tc>
        <w:tc>
          <w:tcPr>
            <w:tcW w:w="3965" w:type="pct"/>
            <w:gridSpan w:val="8"/>
          </w:tcPr>
          <w:p w14:paraId="6DBBD7C9" w14:textId="77777777" w:rsidR="00EA230B" w:rsidRPr="00064185" w:rsidRDefault="00EA230B" w:rsidP="00EA61D8">
            <w:pPr>
              <w:rPr>
                <w:b/>
              </w:rPr>
            </w:pPr>
            <w:r w:rsidRPr="00064185">
              <w:rPr>
                <w:b/>
              </w:rPr>
              <w:t>Mortality (%)</w:t>
            </w:r>
          </w:p>
        </w:tc>
      </w:tr>
      <w:tr w:rsidR="00064185" w:rsidRPr="00064185" w14:paraId="5D920B1D" w14:textId="77777777" w:rsidTr="00E80C20">
        <w:tc>
          <w:tcPr>
            <w:tcW w:w="1035" w:type="pct"/>
            <w:vMerge/>
            <w:shd w:val="clear" w:color="auto" w:fill="auto"/>
          </w:tcPr>
          <w:p w14:paraId="1D8DE588" w14:textId="77777777" w:rsidR="00EA230B" w:rsidRPr="00064185" w:rsidRDefault="00EA230B" w:rsidP="00EA61D8">
            <w:pPr>
              <w:pStyle w:val="Standard-fett"/>
              <w:outlineLvl w:val="0"/>
              <w:rPr>
                <w:b w:val="0"/>
              </w:rPr>
            </w:pPr>
          </w:p>
        </w:tc>
        <w:tc>
          <w:tcPr>
            <w:tcW w:w="496" w:type="pct"/>
          </w:tcPr>
          <w:p w14:paraId="67AB4E32" w14:textId="77777777" w:rsidR="00EA230B" w:rsidRPr="00064185" w:rsidRDefault="00EA230B" w:rsidP="00EA61D8">
            <w:r w:rsidRPr="00064185">
              <w:t>1 d</w:t>
            </w:r>
          </w:p>
        </w:tc>
        <w:tc>
          <w:tcPr>
            <w:tcW w:w="496" w:type="pct"/>
          </w:tcPr>
          <w:p w14:paraId="31E3D26B" w14:textId="77777777" w:rsidR="00EA230B" w:rsidRPr="00064185" w:rsidRDefault="00EA230B" w:rsidP="00EA61D8">
            <w:r w:rsidRPr="00064185">
              <w:t>2 d</w:t>
            </w:r>
          </w:p>
        </w:tc>
        <w:tc>
          <w:tcPr>
            <w:tcW w:w="496" w:type="pct"/>
          </w:tcPr>
          <w:p w14:paraId="0C0C2F30" w14:textId="77777777" w:rsidR="00EA230B" w:rsidRPr="00064185" w:rsidRDefault="00EA230B" w:rsidP="00EA61D8">
            <w:r w:rsidRPr="00064185">
              <w:t>3 d</w:t>
            </w:r>
          </w:p>
        </w:tc>
        <w:tc>
          <w:tcPr>
            <w:tcW w:w="496" w:type="pct"/>
          </w:tcPr>
          <w:p w14:paraId="4A7AEF85" w14:textId="77777777" w:rsidR="00EA230B" w:rsidRPr="00064185" w:rsidRDefault="00EA230B" w:rsidP="00EA61D8">
            <w:r w:rsidRPr="00064185">
              <w:t>4 d</w:t>
            </w:r>
          </w:p>
        </w:tc>
        <w:tc>
          <w:tcPr>
            <w:tcW w:w="496" w:type="pct"/>
            <w:tcBorders>
              <w:top w:val="nil"/>
            </w:tcBorders>
          </w:tcPr>
          <w:p w14:paraId="6943AC29" w14:textId="77777777" w:rsidR="00EA230B" w:rsidRPr="00064185" w:rsidRDefault="00EA230B" w:rsidP="00EA61D8">
            <w:r w:rsidRPr="00064185">
              <w:t>5 d</w:t>
            </w:r>
          </w:p>
        </w:tc>
        <w:tc>
          <w:tcPr>
            <w:tcW w:w="496" w:type="pct"/>
            <w:tcBorders>
              <w:top w:val="nil"/>
            </w:tcBorders>
          </w:tcPr>
          <w:p w14:paraId="6430A1D8" w14:textId="77777777" w:rsidR="00EA230B" w:rsidRPr="00064185" w:rsidRDefault="00EA230B" w:rsidP="00EA61D8">
            <w:r w:rsidRPr="00064185">
              <w:t>6 d</w:t>
            </w:r>
          </w:p>
        </w:tc>
        <w:tc>
          <w:tcPr>
            <w:tcW w:w="496" w:type="pct"/>
            <w:tcBorders>
              <w:top w:val="nil"/>
            </w:tcBorders>
          </w:tcPr>
          <w:p w14:paraId="38BDCC76" w14:textId="77777777" w:rsidR="00EA230B" w:rsidRPr="00064185" w:rsidRDefault="00EA230B" w:rsidP="00EA61D8">
            <w:r w:rsidRPr="00064185">
              <w:t>7 d</w:t>
            </w:r>
          </w:p>
        </w:tc>
        <w:tc>
          <w:tcPr>
            <w:tcW w:w="494" w:type="pct"/>
            <w:tcBorders>
              <w:top w:val="nil"/>
            </w:tcBorders>
          </w:tcPr>
          <w:p w14:paraId="6459A168" w14:textId="77777777" w:rsidR="00EA230B" w:rsidRPr="00064185" w:rsidRDefault="00EA230B" w:rsidP="00EA61D8">
            <w:r w:rsidRPr="00064185">
              <w:t>8 d</w:t>
            </w:r>
          </w:p>
        </w:tc>
      </w:tr>
      <w:tr w:rsidR="00064185" w:rsidRPr="00064185" w14:paraId="038D1371" w14:textId="77777777" w:rsidTr="00E80C20">
        <w:tc>
          <w:tcPr>
            <w:tcW w:w="1035" w:type="pct"/>
            <w:shd w:val="clear" w:color="auto" w:fill="auto"/>
          </w:tcPr>
          <w:p w14:paraId="46C14CCC" w14:textId="77777777" w:rsidR="00EA230B" w:rsidRPr="00064185" w:rsidRDefault="00EA230B" w:rsidP="00EA61D8">
            <w:r w:rsidRPr="00064185">
              <w:t>Untreated</w:t>
            </w:r>
          </w:p>
        </w:tc>
        <w:tc>
          <w:tcPr>
            <w:tcW w:w="496" w:type="pct"/>
          </w:tcPr>
          <w:p w14:paraId="00AC1238" w14:textId="77777777" w:rsidR="00EA230B" w:rsidRPr="00064185" w:rsidRDefault="00EA230B" w:rsidP="00EA61D8">
            <w:r w:rsidRPr="00064185">
              <w:t>0.3</w:t>
            </w:r>
          </w:p>
        </w:tc>
        <w:tc>
          <w:tcPr>
            <w:tcW w:w="496" w:type="pct"/>
          </w:tcPr>
          <w:p w14:paraId="6443953B" w14:textId="77777777" w:rsidR="00EA230B" w:rsidRPr="00064185" w:rsidRDefault="00EA230B" w:rsidP="00EA61D8">
            <w:r w:rsidRPr="00064185">
              <w:t>1.0</w:t>
            </w:r>
          </w:p>
        </w:tc>
        <w:tc>
          <w:tcPr>
            <w:tcW w:w="496" w:type="pct"/>
          </w:tcPr>
          <w:p w14:paraId="0FC0DCB1" w14:textId="77777777" w:rsidR="00EA230B" w:rsidRPr="00064185" w:rsidRDefault="00EA230B" w:rsidP="00EA61D8">
            <w:r w:rsidRPr="00064185">
              <w:t>1.6</w:t>
            </w:r>
          </w:p>
        </w:tc>
        <w:tc>
          <w:tcPr>
            <w:tcW w:w="496" w:type="pct"/>
          </w:tcPr>
          <w:p w14:paraId="74DF3296" w14:textId="77777777" w:rsidR="00EA230B" w:rsidRPr="00064185" w:rsidRDefault="00EA230B" w:rsidP="00EA61D8">
            <w:r w:rsidRPr="00064185">
              <w:t>1.6</w:t>
            </w:r>
          </w:p>
        </w:tc>
        <w:tc>
          <w:tcPr>
            <w:tcW w:w="496" w:type="pct"/>
          </w:tcPr>
          <w:p w14:paraId="31A49EDA" w14:textId="77777777" w:rsidR="00EA230B" w:rsidRPr="00064185" w:rsidRDefault="00EA230B" w:rsidP="00EA61D8">
            <w:r w:rsidRPr="00064185">
              <w:t>2.3</w:t>
            </w:r>
          </w:p>
        </w:tc>
        <w:tc>
          <w:tcPr>
            <w:tcW w:w="496" w:type="pct"/>
          </w:tcPr>
          <w:p w14:paraId="136EDC80" w14:textId="77777777" w:rsidR="00EA230B" w:rsidRPr="00064185" w:rsidRDefault="00EA230B" w:rsidP="00EA61D8">
            <w:r w:rsidRPr="00064185">
              <w:t>2.6</w:t>
            </w:r>
          </w:p>
        </w:tc>
        <w:tc>
          <w:tcPr>
            <w:tcW w:w="496" w:type="pct"/>
          </w:tcPr>
          <w:p w14:paraId="1F0DE308" w14:textId="77777777" w:rsidR="00EA230B" w:rsidRPr="00064185" w:rsidRDefault="00EA230B" w:rsidP="00EA61D8">
            <w:r w:rsidRPr="00064185">
              <w:t>2.6</w:t>
            </w:r>
          </w:p>
        </w:tc>
        <w:tc>
          <w:tcPr>
            <w:tcW w:w="494" w:type="pct"/>
          </w:tcPr>
          <w:p w14:paraId="72CB7D26" w14:textId="77777777" w:rsidR="00EA230B" w:rsidRPr="00064185" w:rsidRDefault="00EA230B" w:rsidP="00EA61D8">
            <w:r w:rsidRPr="00064185">
              <w:t>3.0</w:t>
            </w:r>
          </w:p>
        </w:tc>
      </w:tr>
      <w:tr w:rsidR="00064185" w:rsidRPr="00064185" w14:paraId="04E08025" w14:textId="77777777" w:rsidTr="00E80C20">
        <w:tc>
          <w:tcPr>
            <w:tcW w:w="1035" w:type="pct"/>
            <w:shd w:val="clear" w:color="auto" w:fill="auto"/>
          </w:tcPr>
          <w:p w14:paraId="562F9A9C" w14:textId="77777777" w:rsidR="00EA230B" w:rsidRPr="00064185" w:rsidRDefault="00EA230B" w:rsidP="00EA61D8">
            <w:r w:rsidRPr="00064185">
              <w:t>COM 116 02 I AL</w:t>
            </w:r>
          </w:p>
        </w:tc>
        <w:tc>
          <w:tcPr>
            <w:tcW w:w="496" w:type="pct"/>
          </w:tcPr>
          <w:p w14:paraId="7B4B343A" w14:textId="77777777" w:rsidR="00EA230B" w:rsidRPr="00064185" w:rsidRDefault="00EA230B" w:rsidP="00EA61D8">
            <w:r w:rsidRPr="00064185">
              <w:t>0.0</w:t>
            </w:r>
          </w:p>
        </w:tc>
        <w:tc>
          <w:tcPr>
            <w:tcW w:w="496" w:type="pct"/>
          </w:tcPr>
          <w:p w14:paraId="0F1F81F2" w14:textId="77777777" w:rsidR="00EA230B" w:rsidRPr="00064185" w:rsidRDefault="00EA230B" w:rsidP="00EA61D8">
            <w:r w:rsidRPr="00064185">
              <w:t>0.3</w:t>
            </w:r>
          </w:p>
        </w:tc>
        <w:tc>
          <w:tcPr>
            <w:tcW w:w="496" w:type="pct"/>
          </w:tcPr>
          <w:p w14:paraId="46C8D18B" w14:textId="77777777" w:rsidR="00EA230B" w:rsidRPr="00064185" w:rsidRDefault="00EA230B" w:rsidP="00EA61D8">
            <w:r w:rsidRPr="00064185">
              <w:t>15.2</w:t>
            </w:r>
          </w:p>
        </w:tc>
        <w:tc>
          <w:tcPr>
            <w:tcW w:w="496" w:type="pct"/>
          </w:tcPr>
          <w:p w14:paraId="211B96EB" w14:textId="77777777" w:rsidR="00EA230B" w:rsidRPr="00064185" w:rsidRDefault="00EA230B" w:rsidP="00EA61D8">
            <w:r w:rsidRPr="00064185">
              <w:t>31.5</w:t>
            </w:r>
          </w:p>
        </w:tc>
        <w:tc>
          <w:tcPr>
            <w:tcW w:w="496" w:type="pct"/>
          </w:tcPr>
          <w:p w14:paraId="3A796B8B" w14:textId="77777777" w:rsidR="00EA230B" w:rsidRPr="00064185" w:rsidRDefault="00EA230B" w:rsidP="00EA61D8">
            <w:r w:rsidRPr="00064185">
              <w:t>55.4</w:t>
            </w:r>
          </w:p>
        </w:tc>
        <w:tc>
          <w:tcPr>
            <w:tcW w:w="496" w:type="pct"/>
          </w:tcPr>
          <w:p w14:paraId="5F1F99D9" w14:textId="77777777" w:rsidR="00EA230B" w:rsidRPr="00064185" w:rsidRDefault="00EA230B" w:rsidP="00EA61D8">
            <w:r w:rsidRPr="00064185">
              <w:t>75.2</w:t>
            </w:r>
          </w:p>
        </w:tc>
        <w:tc>
          <w:tcPr>
            <w:tcW w:w="496" w:type="pct"/>
          </w:tcPr>
          <w:p w14:paraId="5A5DF851" w14:textId="77777777" w:rsidR="00EA230B" w:rsidRPr="00064185" w:rsidRDefault="00EA230B" w:rsidP="00EA61D8">
            <w:r w:rsidRPr="00064185">
              <w:t>99.0</w:t>
            </w:r>
          </w:p>
        </w:tc>
        <w:tc>
          <w:tcPr>
            <w:tcW w:w="494" w:type="pct"/>
          </w:tcPr>
          <w:p w14:paraId="620C1723" w14:textId="77777777" w:rsidR="00EA230B" w:rsidRPr="00064185" w:rsidRDefault="00EA230B" w:rsidP="00EA61D8">
            <w:r w:rsidRPr="00064185">
              <w:t>100.0</w:t>
            </w:r>
          </w:p>
        </w:tc>
      </w:tr>
      <w:tr w:rsidR="00064185" w:rsidRPr="00064185" w14:paraId="4264E31C" w14:textId="77777777" w:rsidTr="00E80C20">
        <w:tc>
          <w:tcPr>
            <w:tcW w:w="1035" w:type="pct"/>
            <w:shd w:val="clear" w:color="auto" w:fill="auto"/>
          </w:tcPr>
          <w:p w14:paraId="33A0CA88" w14:textId="77777777" w:rsidR="00EA230B" w:rsidRPr="00064185" w:rsidRDefault="00EA230B" w:rsidP="00EA61D8">
            <w:r w:rsidRPr="00064185">
              <w:t>AFOURMI SG, strewing</w:t>
            </w:r>
          </w:p>
        </w:tc>
        <w:tc>
          <w:tcPr>
            <w:tcW w:w="496" w:type="pct"/>
          </w:tcPr>
          <w:p w14:paraId="3A869B00" w14:textId="77777777" w:rsidR="00EA230B" w:rsidRPr="00064185" w:rsidRDefault="00EA230B" w:rsidP="00EA61D8">
            <w:r w:rsidRPr="00064185">
              <w:t>0.0</w:t>
            </w:r>
          </w:p>
        </w:tc>
        <w:tc>
          <w:tcPr>
            <w:tcW w:w="496" w:type="pct"/>
          </w:tcPr>
          <w:p w14:paraId="58F50F70" w14:textId="77777777" w:rsidR="00EA230B" w:rsidRPr="00064185" w:rsidRDefault="00EA230B" w:rsidP="00EA61D8">
            <w:r w:rsidRPr="00064185">
              <w:t>0.0</w:t>
            </w:r>
          </w:p>
        </w:tc>
        <w:tc>
          <w:tcPr>
            <w:tcW w:w="496" w:type="pct"/>
          </w:tcPr>
          <w:p w14:paraId="4C5E1D9E" w14:textId="77777777" w:rsidR="00EA230B" w:rsidRPr="00064185" w:rsidRDefault="00EA230B" w:rsidP="00EA61D8">
            <w:r w:rsidRPr="00064185">
              <w:t>23.3</w:t>
            </w:r>
          </w:p>
        </w:tc>
        <w:tc>
          <w:tcPr>
            <w:tcW w:w="496" w:type="pct"/>
          </w:tcPr>
          <w:p w14:paraId="51A31FBF" w14:textId="77777777" w:rsidR="00EA230B" w:rsidRPr="00064185" w:rsidRDefault="00EA230B" w:rsidP="00EA61D8">
            <w:r w:rsidRPr="00064185">
              <w:t>64.5</w:t>
            </w:r>
          </w:p>
        </w:tc>
        <w:tc>
          <w:tcPr>
            <w:tcW w:w="496" w:type="pct"/>
          </w:tcPr>
          <w:p w14:paraId="7A05CB0F" w14:textId="77777777" w:rsidR="00EA230B" w:rsidRPr="00064185" w:rsidRDefault="00EA230B" w:rsidP="00EA61D8">
            <w:r w:rsidRPr="00064185">
              <w:t>100.0</w:t>
            </w:r>
          </w:p>
        </w:tc>
        <w:tc>
          <w:tcPr>
            <w:tcW w:w="496" w:type="pct"/>
          </w:tcPr>
          <w:p w14:paraId="4B4BF523" w14:textId="77777777" w:rsidR="00EA230B" w:rsidRPr="00064185" w:rsidRDefault="00EA230B" w:rsidP="00EA61D8">
            <w:r w:rsidRPr="00064185">
              <w:t>100.0</w:t>
            </w:r>
          </w:p>
        </w:tc>
        <w:tc>
          <w:tcPr>
            <w:tcW w:w="496" w:type="pct"/>
          </w:tcPr>
          <w:p w14:paraId="3C080EC4" w14:textId="77777777" w:rsidR="00EA230B" w:rsidRPr="00064185" w:rsidRDefault="00EA230B" w:rsidP="00EA61D8">
            <w:r w:rsidRPr="00064185">
              <w:t>100.0</w:t>
            </w:r>
          </w:p>
        </w:tc>
        <w:tc>
          <w:tcPr>
            <w:tcW w:w="494" w:type="pct"/>
          </w:tcPr>
          <w:p w14:paraId="1C2B40E2" w14:textId="77777777" w:rsidR="00EA230B" w:rsidRPr="00064185" w:rsidRDefault="00EA230B" w:rsidP="00EA61D8">
            <w:r w:rsidRPr="00064185">
              <w:t>100.0</w:t>
            </w:r>
          </w:p>
        </w:tc>
      </w:tr>
      <w:tr w:rsidR="00EA230B" w:rsidRPr="00064185" w14:paraId="51E59849" w14:textId="77777777" w:rsidTr="00E80C20">
        <w:tc>
          <w:tcPr>
            <w:tcW w:w="1035" w:type="pct"/>
            <w:shd w:val="clear" w:color="auto" w:fill="auto"/>
          </w:tcPr>
          <w:p w14:paraId="33698E2D" w14:textId="77777777" w:rsidR="00EA230B" w:rsidRPr="00064185" w:rsidRDefault="00EA230B" w:rsidP="00EA61D8">
            <w:r w:rsidRPr="00064185">
              <w:t>AFOURMI SG, strewing</w:t>
            </w:r>
          </w:p>
        </w:tc>
        <w:tc>
          <w:tcPr>
            <w:tcW w:w="496" w:type="pct"/>
          </w:tcPr>
          <w:p w14:paraId="7380287D" w14:textId="77777777" w:rsidR="00EA230B" w:rsidRPr="00064185" w:rsidRDefault="00EA230B" w:rsidP="00EA61D8">
            <w:r w:rsidRPr="00064185">
              <w:t>0.0</w:t>
            </w:r>
          </w:p>
        </w:tc>
        <w:tc>
          <w:tcPr>
            <w:tcW w:w="496" w:type="pct"/>
          </w:tcPr>
          <w:p w14:paraId="169E42F1" w14:textId="77777777" w:rsidR="00EA230B" w:rsidRPr="00064185" w:rsidRDefault="00EA230B" w:rsidP="00EA61D8">
            <w:r w:rsidRPr="00064185">
              <w:t>0.0</w:t>
            </w:r>
          </w:p>
        </w:tc>
        <w:tc>
          <w:tcPr>
            <w:tcW w:w="496" w:type="pct"/>
          </w:tcPr>
          <w:p w14:paraId="507AD105" w14:textId="77777777" w:rsidR="00EA230B" w:rsidRPr="00064185" w:rsidRDefault="00EA230B" w:rsidP="00EA61D8">
            <w:r w:rsidRPr="00064185">
              <w:t>16.5</w:t>
            </w:r>
          </w:p>
        </w:tc>
        <w:tc>
          <w:tcPr>
            <w:tcW w:w="496" w:type="pct"/>
          </w:tcPr>
          <w:p w14:paraId="12B192DF" w14:textId="77777777" w:rsidR="00EA230B" w:rsidRPr="00064185" w:rsidRDefault="00EA230B" w:rsidP="00EA61D8">
            <w:r w:rsidRPr="00064185">
              <w:t>45.2</w:t>
            </w:r>
          </w:p>
        </w:tc>
        <w:tc>
          <w:tcPr>
            <w:tcW w:w="496" w:type="pct"/>
          </w:tcPr>
          <w:p w14:paraId="415C37A0" w14:textId="77777777" w:rsidR="00EA230B" w:rsidRPr="00064185" w:rsidRDefault="00EA230B" w:rsidP="00EA61D8">
            <w:r w:rsidRPr="00064185">
              <w:t>77.7</w:t>
            </w:r>
          </w:p>
        </w:tc>
        <w:tc>
          <w:tcPr>
            <w:tcW w:w="496" w:type="pct"/>
          </w:tcPr>
          <w:p w14:paraId="09CEBAF6" w14:textId="77777777" w:rsidR="00EA230B" w:rsidRPr="00064185" w:rsidRDefault="00EA230B" w:rsidP="00EA61D8">
            <w:r w:rsidRPr="00064185">
              <w:t>94.0</w:t>
            </w:r>
          </w:p>
        </w:tc>
        <w:tc>
          <w:tcPr>
            <w:tcW w:w="496" w:type="pct"/>
          </w:tcPr>
          <w:p w14:paraId="5AE72DEE" w14:textId="77777777" w:rsidR="00EA230B" w:rsidRPr="00064185" w:rsidRDefault="00EA230B" w:rsidP="00EA61D8">
            <w:r w:rsidRPr="00064185">
              <w:t>98.0</w:t>
            </w:r>
          </w:p>
        </w:tc>
        <w:tc>
          <w:tcPr>
            <w:tcW w:w="494" w:type="pct"/>
          </w:tcPr>
          <w:p w14:paraId="71D9F6FF" w14:textId="77777777" w:rsidR="00EA230B" w:rsidRPr="00064185" w:rsidRDefault="00EA230B" w:rsidP="00EA61D8">
            <w:r w:rsidRPr="00064185">
              <w:t>100.0</w:t>
            </w:r>
          </w:p>
        </w:tc>
      </w:tr>
    </w:tbl>
    <w:p w14:paraId="701007E7" w14:textId="77777777" w:rsidR="00EA230B" w:rsidRPr="00064185" w:rsidRDefault="00EA230B" w:rsidP="00EA61D8">
      <w:pPr>
        <w:rPr>
          <w:rFonts w:eastAsiaTheme="minorEastAsia"/>
          <w:b/>
        </w:rPr>
      </w:pPr>
    </w:p>
    <w:p w14:paraId="320C0B86" w14:textId="77777777" w:rsidR="00EA230B" w:rsidRPr="00064185" w:rsidRDefault="00EA230B" w:rsidP="00EA61D8">
      <w:pPr>
        <w:rPr>
          <w:rFonts w:eastAsiaTheme="minorEastAsia"/>
          <w:b/>
        </w:rPr>
      </w:pPr>
      <w:r w:rsidRPr="00064185">
        <w:rPr>
          <w:rFonts w:eastAsiaTheme="minorEastAsia"/>
          <w:b/>
        </w:rPr>
        <w:t>Table B5.10_2:</w:t>
      </w:r>
      <w:r w:rsidRPr="00064185">
        <w:rPr>
          <w:rFonts w:eastAsiaTheme="minorEastAsia"/>
          <w:b/>
        </w:rPr>
        <w:tab/>
        <w:t>Percentage of mortality in arena trials without competition food</w:t>
      </w: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854"/>
        <w:gridCol w:w="853"/>
        <w:gridCol w:w="853"/>
        <w:gridCol w:w="853"/>
        <w:gridCol w:w="853"/>
        <w:gridCol w:w="853"/>
        <w:gridCol w:w="853"/>
        <w:gridCol w:w="848"/>
      </w:tblGrid>
      <w:tr w:rsidR="00064185" w:rsidRPr="00064185" w14:paraId="1257811E" w14:textId="77777777" w:rsidTr="00E80C20">
        <w:tc>
          <w:tcPr>
            <w:tcW w:w="1035" w:type="pct"/>
            <w:vMerge w:val="restart"/>
            <w:shd w:val="clear" w:color="auto" w:fill="auto"/>
          </w:tcPr>
          <w:p w14:paraId="1322EF05" w14:textId="77777777" w:rsidR="00EA230B" w:rsidRPr="00064185" w:rsidRDefault="00EA230B" w:rsidP="00EA61D8">
            <w:pPr>
              <w:rPr>
                <w:b/>
              </w:rPr>
            </w:pPr>
            <w:r w:rsidRPr="00064185">
              <w:rPr>
                <w:b/>
              </w:rPr>
              <w:t>Treatment</w:t>
            </w:r>
          </w:p>
        </w:tc>
        <w:tc>
          <w:tcPr>
            <w:tcW w:w="3965" w:type="pct"/>
            <w:gridSpan w:val="8"/>
          </w:tcPr>
          <w:p w14:paraId="3E385667" w14:textId="77777777" w:rsidR="00EA230B" w:rsidRPr="00064185" w:rsidRDefault="00EA230B" w:rsidP="00EA61D8">
            <w:pPr>
              <w:rPr>
                <w:b/>
              </w:rPr>
            </w:pPr>
            <w:r w:rsidRPr="00064185">
              <w:rPr>
                <w:b/>
              </w:rPr>
              <w:t>Mortality (%)</w:t>
            </w:r>
          </w:p>
        </w:tc>
      </w:tr>
      <w:tr w:rsidR="00064185" w:rsidRPr="00064185" w14:paraId="66AAE867" w14:textId="77777777" w:rsidTr="00E80C20">
        <w:tc>
          <w:tcPr>
            <w:tcW w:w="1035" w:type="pct"/>
            <w:vMerge/>
            <w:shd w:val="clear" w:color="auto" w:fill="auto"/>
          </w:tcPr>
          <w:p w14:paraId="42010B41" w14:textId="77777777" w:rsidR="00EA230B" w:rsidRPr="00064185" w:rsidRDefault="00EA230B" w:rsidP="00EA61D8">
            <w:pPr>
              <w:pStyle w:val="Standard-fett"/>
              <w:outlineLvl w:val="0"/>
              <w:rPr>
                <w:b w:val="0"/>
              </w:rPr>
            </w:pPr>
          </w:p>
        </w:tc>
        <w:tc>
          <w:tcPr>
            <w:tcW w:w="496" w:type="pct"/>
          </w:tcPr>
          <w:p w14:paraId="3D198EA9" w14:textId="77777777" w:rsidR="00EA230B" w:rsidRPr="00064185" w:rsidRDefault="00EA230B" w:rsidP="00EA61D8">
            <w:r w:rsidRPr="00064185">
              <w:t>1 d</w:t>
            </w:r>
          </w:p>
        </w:tc>
        <w:tc>
          <w:tcPr>
            <w:tcW w:w="496" w:type="pct"/>
          </w:tcPr>
          <w:p w14:paraId="1882BF44" w14:textId="77777777" w:rsidR="00EA230B" w:rsidRPr="00064185" w:rsidRDefault="00EA230B" w:rsidP="00EA61D8">
            <w:r w:rsidRPr="00064185">
              <w:t>2 d</w:t>
            </w:r>
          </w:p>
        </w:tc>
        <w:tc>
          <w:tcPr>
            <w:tcW w:w="496" w:type="pct"/>
          </w:tcPr>
          <w:p w14:paraId="6AF04D52" w14:textId="77777777" w:rsidR="00EA230B" w:rsidRPr="00064185" w:rsidRDefault="00EA230B" w:rsidP="00EA61D8">
            <w:r w:rsidRPr="00064185">
              <w:t>3 d</w:t>
            </w:r>
          </w:p>
        </w:tc>
        <w:tc>
          <w:tcPr>
            <w:tcW w:w="496" w:type="pct"/>
          </w:tcPr>
          <w:p w14:paraId="1FD336C8" w14:textId="77777777" w:rsidR="00EA230B" w:rsidRPr="00064185" w:rsidRDefault="00EA230B" w:rsidP="00EA61D8">
            <w:r w:rsidRPr="00064185">
              <w:t>4 d</w:t>
            </w:r>
          </w:p>
        </w:tc>
        <w:tc>
          <w:tcPr>
            <w:tcW w:w="496" w:type="pct"/>
            <w:tcBorders>
              <w:top w:val="nil"/>
            </w:tcBorders>
          </w:tcPr>
          <w:p w14:paraId="04E95108" w14:textId="77777777" w:rsidR="00EA230B" w:rsidRPr="00064185" w:rsidRDefault="00EA230B" w:rsidP="00EA61D8">
            <w:r w:rsidRPr="00064185">
              <w:t>5 d</w:t>
            </w:r>
          </w:p>
        </w:tc>
        <w:tc>
          <w:tcPr>
            <w:tcW w:w="496" w:type="pct"/>
            <w:tcBorders>
              <w:top w:val="nil"/>
            </w:tcBorders>
          </w:tcPr>
          <w:p w14:paraId="05D64021" w14:textId="77777777" w:rsidR="00EA230B" w:rsidRPr="00064185" w:rsidRDefault="00EA230B" w:rsidP="00EA61D8">
            <w:r w:rsidRPr="00064185">
              <w:t>6 d</w:t>
            </w:r>
          </w:p>
        </w:tc>
        <w:tc>
          <w:tcPr>
            <w:tcW w:w="496" w:type="pct"/>
            <w:tcBorders>
              <w:top w:val="nil"/>
            </w:tcBorders>
          </w:tcPr>
          <w:p w14:paraId="0766E984" w14:textId="77777777" w:rsidR="00EA230B" w:rsidRPr="00064185" w:rsidRDefault="00EA230B" w:rsidP="00EA61D8">
            <w:r w:rsidRPr="00064185">
              <w:t>7 d</w:t>
            </w:r>
          </w:p>
        </w:tc>
        <w:tc>
          <w:tcPr>
            <w:tcW w:w="493" w:type="pct"/>
            <w:tcBorders>
              <w:top w:val="nil"/>
            </w:tcBorders>
          </w:tcPr>
          <w:p w14:paraId="121910EC" w14:textId="77777777" w:rsidR="00EA230B" w:rsidRPr="00064185" w:rsidRDefault="00EA230B" w:rsidP="00EA61D8">
            <w:r w:rsidRPr="00064185">
              <w:t>8 d</w:t>
            </w:r>
          </w:p>
        </w:tc>
      </w:tr>
      <w:tr w:rsidR="00064185" w:rsidRPr="00064185" w14:paraId="2A6D3B99" w14:textId="77777777" w:rsidTr="00E80C20">
        <w:tc>
          <w:tcPr>
            <w:tcW w:w="1035" w:type="pct"/>
            <w:shd w:val="clear" w:color="auto" w:fill="auto"/>
          </w:tcPr>
          <w:p w14:paraId="45A299E0" w14:textId="77777777" w:rsidR="00EA230B" w:rsidRPr="00064185" w:rsidRDefault="00EA230B" w:rsidP="00EA61D8">
            <w:r w:rsidRPr="00064185">
              <w:t xml:space="preserve">Untreated* </w:t>
            </w:r>
          </w:p>
        </w:tc>
        <w:tc>
          <w:tcPr>
            <w:tcW w:w="496" w:type="pct"/>
          </w:tcPr>
          <w:p w14:paraId="09F5F3C8" w14:textId="77777777" w:rsidR="00EA230B" w:rsidRPr="00064185" w:rsidRDefault="00EA230B" w:rsidP="00EA61D8">
            <w:r w:rsidRPr="00064185">
              <w:t>0.3</w:t>
            </w:r>
          </w:p>
        </w:tc>
        <w:tc>
          <w:tcPr>
            <w:tcW w:w="496" w:type="pct"/>
          </w:tcPr>
          <w:p w14:paraId="3B95E51F" w14:textId="77777777" w:rsidR="00EA230B" w:rsidRPr="00064185" w:rsidRDefault="00EA230B" w:rsidP="00EA61D8">
            <w:r w:rsidRPr="00064185">
              <w:t>1.0</w:t>
            </w:r>
          </w:p>
        </w:tc>
        <w:tc>
          <w:tcPr>
            <w:tcW w:w="496" w:type="pct"/>
          </w:tcPr>
          <w:p w14:paraId="0083A936" w14:textId="77777777" w:rsidR="00EA230B" w:rsidRPr="00064185" w:rsidRDefault="00EA230B" w:rsidP="00EA61D8">
            <w:r w:rsidRPr="00064185">
              <w:t>1.6</w:t>
            </w:r>
          </w:p>
        </w:tc>
        <w:tc>
          <w:tcPr>
            <w:tcW w:w="496" w:type="pct"/>
          </w:tcPr>
          <w:p w14:paraId="55FF3304" w14:textId="77777777" w:rsidR="00EA230B" w:rsidRPr="00064185" w:rsidRDefault="00EA230B" w:rsidP="00EA61D8">
            <w:r w:rsidRPr="00064185">
              <w:t>1.6</w:t>
            </w:r>
          </w:p>
        </w:tc>
        <w:tc>
          <w:tcPr>
            <w:tcW w:w="496" w:type="pct"/>
          </w:tcPr>
          <w:p w14:paraId="3A54F559" w14:textId="77777777" w:rsidR="00EA230B" w:rsidRPr="00064185" w:rsidRDefault="00EA230B" w:rsidP="00EA61D8">
            <w:r w:rsidRPr="00064185">
              <w:t>2.3</w:t>
            </w:r>
          </w:p>
        </w:tc>
        <w:tc>
          <w:tcPr>
            <w:tcW w:w="496" w:type="pct"/>
          </w:tcPr>
          <w:p w14:paraId="685534EA" w14:textId="77777777" w:rsidR="00EA230B" w:rsidRPr="00064185" w:rsidRDefault="00EA230B" w:rsidP="00EA61D8">
            <w:r w:rsidRPr="00064185">
              <w:t>2.6</w:t>
            </w:r>
          </w:p>
        </w:tc>
        <w:tc>
          <w:tcPr>
            <w:tcW w:w="496" w:type="pct"/>
          </w:tcPr>
          <w:p w14:paraId="27DBF031" w14:textId="77777777" w:rsidR="00EA230B" w:rsidRPr="00064185" w:rsidRDefault="00EA230B" w:rsidP="00EA61D8">
            <w:r w:rsidRPr="00064185">
              <w:t>2.6</w:t>
            </w:r>
          </w:p>
        </w:tc>
        <w:tc>
          <w:tcPr>
            <w:tcW w:w="493" w:type="pct"/>
          </w:tcPr>
          <w:p w14:paraId="3B9A52F4" w14:textId="77777777" w:rsidR="00EA230B" w:rsidRPr="00064185" w:rsidRDefault="00EA230B" w:rsidP="00EA61D8">
            <w:r w:rsidRPr="00064185">
              <w:t>3.0</w:t>
            </w:r>
          </w:p>
        </w:tc>
      </w:tr>
      <w:tr w:rsidR="00064185" w:rsidRPr="00064185" w14:paraId="14F5713E" w14:textId="77777777" w:rsidTr="00E80C20">
        <w:tc>
          <w:tcPr>
            <w:tcW w:w="1035" w:type="pct"/>
            <w:shd w:val="clear" w:color="auto" w:fill="auto"/>
          </w:tcPr>
          <w:p w14:paraId="3B943812" w14:textId="77777777" w:rsidR="00EA230B" w:rsidRPr="00064185" w:rsidRDefault="00EA230B" w:rsidP="00EA61D8">
            <w:r w:rsidRPr="00064185">
              <w:t>COM 116 02 I AL</w:t>
            </w:r>
          </w:p>
        </w:tc>
        <w:tc>
          <w:tcPr>
            <w:tcW w:w="496" w:type="pct"/>
          </w:tcPr>
          <w:p w14:paraId="4037DC10" w14:textId="77777777" w:rsidR="00EA230B" w:rsidRPr="00064185" w:rsidRDefault="00EA230B" w:rsidP="00EA61D8">
            <w:r w:rsidRPr="00064185">
              <w:t>0.0</w:t>
            </w:r>
          </w:p>
        </w:tc>
        <w:tc>
          <w:tcPr>
            <w:tcW w:w="496" w:type="pct"/>
          </w:tcPr>
          <w:p w14:paraId="3A021D44" w14:textId="77777777" w:rsidR="00EA230B" w:rsidRPr="00064185" w:rsidRDefault="00EA230B" w:rsidP="00EA61D8">
            <w:r w:rsidRPr="00064185">
              <w:t>0.3</w:t>
            </w:r>
          </w:p>
        </w:tc>
        <w:tc>
          <w:tcPr>
            <w:tcW w:w="496" w:type="pct"/>
          </w:tcPr>
          <w:p w14:paraId="7E29902B" w14:textId="77777777" w:rsidR="00EA230B" w:rsidRPr="00064185" w:rsidRDefault="00EA230B" w:rsidP="00EA61D8">
            <w:r w:rsidRPr="00064185">
              <w:t>16.3</w:t>
            </w:r>
          </w:p>
        </w:tc>
        <w:tc>
          <w:tcPr>
            <w:tcW w:w="496" w:type="pct"/>
          </w:tcPr>
          <w:p w14:paraId="1B8CB2FD" w14:textId="77777777" w:rsidR="00EA230B" w:rsidRPr="00064185" w:rsidRDefault="00EA230B" w:rsidP="00EA61D8">
            <w:r w:rsidRPr="00064185">
              <w:t>30.6</w:t>
            </w:r>
          </w:p>
        </w:tc>
        <w:tc>
          <w:tcPr>
            <w:tcW w:w="496" w:type="pct"/>
          </w:tcPr>
          <w:p w14:paraId="7FBB6701" w14:textId="77777777" w:rsidR="00EA230B" w:rsidRPr="00064185" w:rsidRDefault="00EA230B" w:rsidP="00EA61D8">
            <w:r w:rsidRPr="00064185">
              <w:t>53.5</w:t>
            </w:r>
          </w:p>
        </w:tc>
        <w:tc>
          <w:tcPr>
            <w:tcW w:w="496" w:type="pct"/>
          </w:tcPr>
          <w:p w14:paraId="536B7C0F" w14:textId="77777777" w:rsidR="00EA230B" w:rsidRPr="00064185" w:rsidRDefault="00EA230B" w:rsidP="00EA61D8">
            <w:r w:rsidRPr="00064185">
              <w:t>74.1</w:t>
            </w:r>
          </w:p>
        </w:tc>
        <w:tc>
          <w:tcPr>
            <w:tcW w:w="496" w:type="pct"/>
          </w:tcPr>
          <w:p w14:paraId="5D833E76" w14:textId="77777777" w:rsidR="00EA230B" w:rsidRPr="00064185" w:rsidRDefault="00EA230B" w:rsidP="00EA61D8">
            <w:r w:rsidRPr="00064185">
              <w:t>100.0</w:t>
            </w:r>
          </w:p>
        </w:tc>
        <w:tc>
          <w:tcPr>
            <w:tcW w:w="493" w:type="pct"/>
          </w:tcPr>
          <w:p w14:paraId="0F002E1B" w14:textId="77777777" w:rsidR="00EA230B" w:rsidRPr="00064185" w:rsidRDefault="00EA230B" w:rsidP="00EA61D8">
            <w:r w:rsidRPr="00064185">
              <w:t>100.0</w:t>
            </w:r>
          </w:p>
        </w:tc>
      </w:tr>
      <w:tr w:rsidR="00064185" w:rsidRPr="00064185" w14:paraId="3F98E6E1" w14:textId="77777777" w:rsidTr="00E80C20">
        <w:tc>
          <w:tcPr>
            <w:tcW w:w="1035" w:type="pct"/>
            <w:shd w:val="clear" w:color="auto" w:fill="auto"/>
          </w:tcPr>
          <w:p w14:paraId="27060A2D" w14:textId="77777777" w:rsidR="00EA230B" w:rsidRPr="00064185" w:rsidRDefault="00EA230B" w:rsidP="00EA61D8">
            <w:r w:rsidRPr="00064185">
              <w:t>AFOURMI SG, strewing</w:t>
            </w:r>
          </w:p>
        </w:tc>
        <w:tc>
          <w:tcPr>
            <w:tcW w:w="496" w:type="pct"/>
          </w:tcPr>
          <w:p w14:paraId="2DC13219" w14:textId="77777777" w:rsidR="00EA230B" w:rsidRPr="00064185" w:rsidRDefault="00EA230B" w:rsidP="00EA61D8">
            <w:r w:rsidRPr="00064185">
              <w:t>0.0</w:t>
            </w:r>
          </w:p>
        </w:tc>
        <w:tc>
          <w:tcPr>
            <w:tcW w:w="496" w:type="pct"/>
          </w:tcPr>
          <w:p w14:paraId="67ABA313" w14:textId="77777777" w:rsidR="00EA230B" w:rsidRPr="00064185" w:rsidRDefault="00EA230B" w:rsidP="00EA61D8">
            <w:r w:rsidRPr="00064185">
              <w:t>0.3</w:t>
            </w:r>
          </w:p>
        </w:tc>
        <w:tc>
          <w:tcPr>
            <w:tcW w:w="496" w:type="pct"/>
          </w:tcPr>
          <w:p w14:paraId="3E9C005F" w14:textId="77777777" w:rsidR="00EA230B" w:rsidRPr="00064185" w:rsidRDefault="00EA230B" w:rsidP="00EA61D8">
            <w:r w:rsidRPr="00064185">
              <w:t>22.9</w:t>
            </w:r>
          </w:p>
        </w:tc>
        <w:tc>
          <w:tcPr>
            <w:tcW w:w="496" w:type="pct"/>
          </w:tcPr>
          <w:p w14:paraId="01C708A5" w14:textId="77777777" w:rsidR="00EA230B" w:rsidRPr="00064185" w:rsidRDefault="00EA230B" w:rsidP="00EA61D8">
            <w:r w:rsidRPr="00064185">
              <w:t>70.9</w:t>
            </w:r>
          </w:p>
        </w:tc>
        <w:tc>
          <w:tcPr>
            <w:tcW w:w="496" w:type="pct"/>
          </w:tcPr>
          <w:p w14:paraId="4BA34409" w14:textId="77777777" w:rsidR="00EA230B" w:rsidRPr="00064185" w:rsidRDefault="00EA230B" w:rsidP="00EA61D8">
            <w:r w:rsidRPr="00064185">
              <w:t>100.0</w:t>
            </w:r>
          </w:p>
        </w:tc>
        <w:tc>
          <w:tcPr>
            <w:tcW w:w="496" w:type="pct"/>
          </w:tcPr>
          <w:p w14:paraId="5175D98C" w14:textId="77777777" w:rsidR="00EA230B" w:rsidRPr="00064185" w:rsidRDefault="00EA230B" w:rsidP="00EA61D8">
            <w:r w:rsidRPr="00064185">
              <w:t>100.0</w:t>
            </w:r>
          </w:p>
        </w:tc>
        <w:tc>
          <w:tcPr>
            <w:tcW w:w="496" w:type="pct"/>
          </w:tcPr>
          <w:p w14:paraId="3127BD42" w14:textId="77777777" w:rsidR="00EA230B" w:rsidRPr="00064185" w:rsidRDefault="00EA230B" w:rsidP="00EA61D8">
            <w:r w:rsidRPr="00064185">
              <w:t>100.0</w:t>
            </w:r>
          </w:p>
        </w:tc>
        <w:tc>
          <w:tcPr>
            <w:tcW w:w="493" w:type="pct"/>
          </w:tcPr>
          <w:p w14:paraId="5C9447F2" w14:textId="77777777" w:rsidR="00EA230B" w:rsidRPr="00064185" w:rsidRDefault="00EA230B" w:rsidP="00EA61D8">
            <w:r w:rsidRPr="00064185">
              <w:t>100.0</w:t>
            </w:r>
          </w:p>
        </w:tc>
      </w:tr>
      <w:tr w:rsidR="00064185" w:rsidRPr="00064185" w14:paraId="737F1B36" w14:textId="77777777" w:rsidTr="00E80C20">
        <w:tc>
          <w:tcPr>
            <w:tcW w:w="1035" w:type="pct"/>
            <w:shd w:val="clear" w:color="auto" w:fill="auto"/>
          </w:tcPr>
          <w:p w14:paraId="67DE2904" w14:textId="77777777" w:rsidR="00EA230B" w:rsidRPr="00064185" w:rsidRDefault="00EA230B" w:rsidP="00EA61D8">
            <w:r w:rsidRPr="00064185">
              <w:t>AFOURMI SG, strewing</w:t>
            </w:r>
          </w:p>
        </w:tc>
        <w:tc>
          <w:tcPr>
            <w:tcW w:w="496" w:type="pct"/>
          </w:tcPr>
          <w:p w14:paraId="50D87224" w14:textId="77777777" w:rsidR="00EA230B" w:rsidRPr="00064185" w:rsidRDefault="00EA230B" w:rsidP="00EA61D8">
            <w:r w:rsidRPr="00064185">
              <w:t>0.0</w:t>
            </w:r>
          </w:p>
        </w:tc>
        <w:tc>
          <w:tcPr>
            <w:tcW w:w="496" w:type="pct"/>
          </w:tcPr>
          <w:p w14:paraId="1A9FBA4E" w14:textId="77777777" w:rsidR="00EA230B" w:rsidRPr="00064185" w:rsidRDefault="00EA230B" w:rsidP="00EA61D8">
            <w:r w:rsidRPr="00064185">
              <w:t>0.7</w:t>
            </w:r>
          </w:p>
        </w:tc>
        <w:tc>
          <w:tcPr>
            <w:tcW w:w="496" w:type="pct"/>
          </w:tcPr>
          <w:p w14:paraId="7CBAF309" w14:textId="77777777" w:rsidR="00EA230B" w:rsidRPr="00064185" w:rsidRDefault="00EA230B" w:rsidP="00EA61D8">
            <w:r w:rsidRPr="00064185">
              <w:t>16.1</w:t>
            </w:r>
          </w:p>
        </w:tc>
        <w:tc>
          <w:tcPr>
            <w:tcW w:w="496" w:type="pct"/>
          </w:tcPr>
          <w:p w14:paraId="2B0AA305" w14:textId="77777777" w:rsidR="00EA230B" w:rsidRPr="00064185" w:rsidRDefault="00EA230B" w:rsidP="00EA61D8">
            <w:r w:rsidRPr="00064185">
              <w:t>42.5</w:t>
            </w:r>
          </w:p>
        </w:tc>
        <w:tc>
          <w:tcPr>
            <w:tcW w:w="496" w:type="pct"/>
          </w:tcPr>
          <w:p w14:paraId="521CCF4E" w14:textId="77777777" w:rsidR="00EA230B" w:rsidRPr="00064185" w:rsidRDefault="00EA230B" w:rsidP="00EA61D8">
            <w:r w:rsidRPr="00064185">
              <w:t>78.2</w:t>
            </w:r>
          </w:p>
        </w:tc>
        <w:tc>
          <w:tcPr>
            <w:tcW w:w="496" w:type="pct"/>
          </w:tcPr>
          <w:p w14:paraId="3649D108" w14:textId="77777777" w:rsidR="00EA230B" w:rsidRPr="00064185" w:rsidRDefault="00EA230B" w:rsidP="00EA61D8">
            <w:r w:rsidRPr="00064185">
              <w:t>96.7</w:t>
            </w:r>
          </w:p>
        </w:tc>
        <w:tc>
          <w:tcPr>
            <w:tcW w:w="496" w:type="pct"/>
          </w:tcPr>
          <w:p w14:paraId="48E4F6BF" w14:textId="77777777" w:rsidR="00EA230B" w:rsidRPr="00064185" w:rsidRDefault="00EA230B" w:rsidP="00EA61D8">
            <w:r w:rsidRPr="00064185">
              <w:t>99.7</w:t>
            </w:r>
          </w:p>
        </w:tc>
        <w:tc>
          <w:tcPr>
            <w:tcW w:w="493" w:type="pct"/>
          </w:tcPr>
          <w:p w14:paraId="12DAEB3C" w14:textId="77777777" w:rsidR="00EA230B" w:rsidRPr="00064185" w:rsidRDefault="00EA230B" w:rsidP="00EA61D8">
            <w:r w:rsidRPr="00064185">
              <w:t>100.0</w:t>
            </w:r>
          </w:p>
        </w:tc>
      </w:tr>
    </w:tbl>
    <w:p w14:paraId="6E43CC38" w14:textId="77777777" w:rsidR="00EA230B" w:rsidRPr="00064185" w:rsidRDefault="00EA230B" w:rsidP="00EA61D8">
      <w:pPr>
        <w:rPr>
          <w:rFonts w:eastAsiaTheme="minorEastAsia"/>
          <w:b/>
        </w:rPr>
      </w:pPr>
      <w:r w:rsidRPr="00064185">
        <w:rPr>
          <w:rFonts w:eastAsiaTheme="minorEastAsia"/>
          <w:b/>
        </w:rPr>
        <w:t xml:space="preserve">* </w:t>
      </w:r>
      <w:proofErr w:type="gramStart"/>
      <w:r w:rsidRPr="00064185">
        <w:rPr>
          <w:rFonts w:eastAsiaTheme="minorEastAsia"/>
          <w:b/>
        </w:rPr>
        <w:t>same</w:t>
      </w:r>
      <w:proofErr w:type="gramEnd"/>
      <w:r w:rsidRPr="00064185">
        <w:rPr>
          <w:rFonts w:eastAsiaTheme="minorEastAsia"/>
          <w:b/>
        </w:rPr>
        <w:t xml:space="preserve"> as for trial with competition food</w:t>
      </w:r>
    </w:p>
    <w:p w14:paraId="38767785" w14:textId="77777777" w:rsidR="00EA230B" w:rsidRPr="00064185" w:rsidRDefault="00EA230B" w:rsidP="00EA61D8">
      <w:pPr>
        <w:rPr>
          <w:rFonts w:eastAsiaTheme="minorEastAsia"/>
          <w:b/>
        </w:rPr>
        <w:sectPr w:rsidR="00EA230B" w:rsidRPr="00064185" w:rsidSect="003E5B50">
          <w:endnotePr>
            <w:numFmt w:val="decimal"/>
          </w:endnotePr>
          <w:pgSz w:w="11907" w:h="16840" w:code="9"/>
          <w:pgMar w:top="1474" w:right="1247" w:bottom="2013" w:left="1446" w:header="850" w:footer="850" w:gutter="0"/>
          <w:cols w:space="720"/>
          <w:titlePg/>
          <w:docGrid w:linePitch="272"/>
        </w:sectPr>
      </w:pPr>
    </w:p>
    <w:tbl>
      <w:tblPr>
        <w:tblW w:w="5000" w:type="pct"/>
        <w:tblCellMar>
          <w:left w:w="70" w:type="dxa"/>
          <w:right w:w="70" w:type="dxa"/>
        </w:tblCellMar>
        <w:tblLook w:val="0000" w:firstRow="0" w:lastRow="0" w:firstColumn="0" w:lastColumn="0" w:noHBand="0" w:noVBand="0"/>
      </w:tblPr>
      <w:tblGrid>
        <w:gridCol w:w="2833"/>
        <w:gridCol w:w="5744"/>
        <w:gridCol w:w="777"/>
      </w:tblGrid>
      <w:tr w:rsidR="00064185" w:rsidRPr="00064185" w14:paraId="470FE109" w14:textId="77777777" w:rsidTr="00E80C20">
        <w:trPr>
          <w:cantSplit/>
          <w:tblHeader/>
        </w:trPr>
        <w:tc>
          <w:tcPr>
            <w:tcW w:w="1403" w:type="pct"/>
            <w:tcBorders>
              <w:bottom w:val="single" w:sz="4" w:space="0" w:color="auto"/>
            </w:tcBorders>
          </w:tcPr>
          <w:p w14:paraId="42120848" w14:textId="77777777" w:rsidR="00EA230B" w:rsidRPr="00064185" w:rsidRDefault="00EA230B" w:rsidP="00EA61D8">
            <w:pPr>
              <w:pStyle w:val="SectionHeader"/>
            </w:pPr>
            <w:r w:rsidRPr="00064185">
              <w:lastRenderedPageBreak/>
              <w:t>Section B5.10</w:t>
            </w:r>
            <w:r w:rsidRPr="00064185">
              <w:br/>
            </w:r>
            <w:r w:rsidRPr="00064185">
              <w:rPr>
                <w:sz w:val="20"/>
              </w:rPr>
              <w:t>Annex Point IIB5.10</w:t>
            </w:r>
            <w:r w:rsidRPr="00064185">
              <w:rPr>
                <w:sz w:val="20"/>
              </w:rPr>
              <w:br/>
              <w:t>TNsG: Pt. I-B5.10,</w:t>
            </w:r>
            <w:r w:rsidRPr="00064185">
              <w:rPr>
                <w:sz w:val="20"/>
              </w:rPr>
              <w:br/>
              <w:t>Pt. III-Ch. 6</w:t>
            </w:r>
          </w:p>
        </w:tc>
        <w:tc>
          <w:tcPr>
            <w:tcW w:w="3182" w:type="pct"/>
            <w:tcBorders>
              <w:bottom w:val="single" w:sz="4" w:space="0" w:color="auto"/>
            </w:tcBorders>
            <w:vAlign w:val="center"/>
          </w:tcPr>
          <w:p w14:paraId="48D4985C" w14:textId="77777777" w:rsidR="00EA230B" w:rsidRPr="00064185" w:rsidRDefault="00EA230B" w:rsidP="00EA61D8">
            <w:pPr>
              <w:pStyle w:val="SectionHeader"/>
            </w:pPr>
            <w:r w:rsidRPr="00064185">
              <w:t xml:space="preserve">Efficacy Data </w:t>
            </w:r>
          </w:p>
          <w:p w14:paraId="1EE5D1F9" w14:textId="77777777" w:rsidR="00EA230B" w:rsidRPr="00064185" w:rsidRDefault="00EA230B" w:rsidP="00EA61D8">
            <w:pPr>
              <w:pStyle w:val="SectionHeader"/>
            </w:pPr>
            <w:r w:rsidRPr="00064185">
              <w:rPr>
                <w:b w:val="0"/>
                <w:sz w:val="20"/>
              </w:rPr>
              <w:t>5.10.</w:t>
            </w:r>
            <w:r w:rsidRPr="00064185">
              <w:t xml:space="preserve"> </w:t>
            </w:r>
            <w:r w:rsidRPr="00064185">
              <w:rPr>
                <w:b w:val="0"/>
                <w:sz w:val="20"/>
              </w:rPr>
              <w:t>Effects on target organisms (PT 18; Study 3)</w:t>
            </w:r>
          </w:p>
        </w:tc>
        <w:tc>
          <w:tcPr>
            <w:tcW w:w="414" w:type="pct"/>
            <w:tcBorders>
              <w:bottom w:val="single" w:sz="4" w:space="0" w:color="auto"/>
            </w:tcBorders>
          </w:tcPr>
          <w:p w14:paraId="71B4FB0C" w14:textId="77777777" w:rsidR="00EA230B" w:rsidRPr="00064185" w:rsidRDefault="00EA230B" w:rsidP="00EA61D8">
            <w:pPr>
              <w:pStyle w:val="Official-Use"/>
              <w:keepNext/>
              <w:jc w:val="left"/>
              <w:rPr>
                <w:b/>
                <w:vanish/>
              </w:rPr>
            </w:pPr>
          </w:p>
        </w:tc>
      </w:tr>
      <w:tr w:rsidR="00064185" w:rsidRPr="00064185" w14:paraId="257A1EEA" w14:textId="77777777" w:rsidTr="00E80C20">
        <w:trPr>
          <w:cantSplit/>
          <w:tblHeader/>
        </w:trPr>
        <w:tc>
          <w:tcPr>
            <w:tcW w:w="1403" w:type="pct"/>
            <w:tcBorders>
              <w:top w:val="single" w:sz="4" w:space="0" w:color="auto"/>
            </w:tcBorders>
          </w:tcPr>
          <w:p w14:paraId="473902D7" w14:textId="77777777" w:rsidR="00EA230B" w:rsidRPr="00064185" w:rsidRDefault="00EA230B" w:rsidP="00EA61D8">
            <w:pPr>
              <w:pStyle w:val="HalbeLeerzeile"/>
            </w:pPr>
          </w:p>
        </w:tc>
        <w:tc>
          <w:tcPr>
            <w:tcW w:w="3182" w:type="pct"/>
            <w:tcBorders>
              <w:top w:val="single" w:sz="4" w:space="0" w:color="auto"/>
            </w:tcBorders>
            <w:vAlign w:val="center"/>
          </w:tcPr>
          <w:p w14:paraId="712ED382" w14:textId="77777777" w:rsidR="00EA230B" w:rsidRPr="00064185" w:rsidRDefault="00EA230B" w:rsidP="00EA61D8">
            <w:pPr>
              <w:pStyle w:val="HalbeLeerzeile"/>
            </w:pPr>
          </w:p>
        </w:tc>
        <w:tc>
          <w:tcPr>
            <w:tcW w:w="414" w:type="pct"/>
            <w:tcBorders>
              <w:top w:val="single" w:sz="4" w:space="0" w:color="auto"/>
            </w:tcBorders>
          </w:tcPr>
          <w:p w14:paraId="2C752787" w14:textId="77777777" w:rsidR="00EA230B" w:rsidRPr="00064185" w:rsidRDefault="00EA230B" w:rsidP="00EA61D8">
            <w:pPr>
              <w:pStyle w:val="HalbeLeerzeile"/>
              <w:rPr>
                <w:b/>
                <w:vanish/>
              </w:rPr>
            </w:pPr>
          </w:p>
        </w:tc>
      </w:tr>
      <w:tr w:rsidR="00064185" w:rsidRPr="00064185" w14:paraId="21A439DA" w14:textId="77777777" w:rsidTr="00E80C20">
        <w:tc>
          <w:tcPr>
            <w:tcW w:w="1403" w:type="pct"/>
          </w:tcPr>
          <w:p w14:paraId="5900CBAD" w14:textId="77777777" w:rsidR="00EA230B" w:rsidRPr="00064185" w:rsidRDefault="00EA230B" w:rsidP="00EA61D8"/>
        </w:tc>
        <w:tc>
          <w:tcPr>
            <w:tcW w:w="3182" w:type="pct"/>
            <w:vAlign w:val="center"/>
          </w:tcPr>
          <w:p w14:paraId="0E928F6E" w14:textId="77777777" w:rsidR="00EA230B" w:rsidRPr="00064185" w:rsidRDefault="00EA230B" w:rsidP="00EA61D8">
            <w:pPr>
              <w:pStyle w:val="TEXTTEXT"/>
              <w:numPr>
                <w:ilvl w:val="0"/>
                <w:numId w:val="25"/>
              </w:numPr>
            </w:pPr>
            <w:r w:rsidRPr="00064185">
              <w:t>Reference</w:t>
            </w:r>
          </w:p>
        </w:tc>
        <w:tc>
          <w:tcPr>
            <w:tcW w:w="414" w:type="pct"/>
            <w:shd w:val="pct10" w:color="auto" w:fill="auto"/>
          </w:tcPr>
          <w:p w14:paraId="279531CC" w14:textId="77777777" w:rsidR="00EA230B" w:rsidRPr="00064185" w:rsidRDefault="00EA230B" w:rsidP="00EA61D8">
            <w:pPr>
              <w:pStyle w:val="Official-Use"/>
              <w:keepNext/>
              <w:jc w:val="left"/>
              <w:rPr>
                <w:b/>
              </w:rPr>
            </w:pPr>
            <w:r w:rsidRPr="00064185">
              <w:rPr>
                <w:b/>
              </w:rPr>
              <w:t>Official</w:t>
            </w:r>
            <w:r w:rsidRPr="00064185">
              <w:rPr>
                <w:b/>
              </w:rPr>
              <w:br/>
              <w:t>use only</w:t>
            </w:r>
          </w:p>
        </w:tc>
      </w:tr>
      <w:tr w:rsidR="00064185" w:rsidRPr="00064185" w14:paraId="59BAAA83" w14:textId="77777777" w:rsidTr="00E80C20">
        <w:tc>
          <w:tcPr>
            <w:tcW w:w="1403" w:type="pct"/>
          </w:tcPr>
          <w:p w14:paraId="344C1266" w14:textId="77777777" w:rsidR="00EA230B" w:rsidRPr="00064185" w:rsidRDefault="00EA230B" w:rsidP="00EA61D8">
            <w:pPr>
              <w:pStyle w:val="TextText11"/>
              <w:rPr>
                <w:color w:val="auto"/>
              </w:rPr>
            </w:pPr>
            <w:r w:rsidRPr="00064185">
              <w:rPr>
                <w:color w:val="auto"/>
              </w:rPr>
              <w:t>Reference</w:t>
            </w:r>
          </w:p>
        </w:tc>
        <w:tc>
          <w:tcPr>
            <w:tcW w:w="3182" w:type="pct"/>
            <w:vAlign w:val="center"/>
          </w:tcPr>
          <w:p w14:paraId="656AA15A" w14:textId="77777777" w:rsidR="00EA230B" w:rsidRPr="00064185" w:rsidRDefault="00EA230B" w:rsidP="00EA61D8">
            <w:r w:rsidRPr="00064185">
              <w:t>Lüpkes, K.-H. (2009): Efficacy of a product against cockroaches, Efficacy after direct spray treatment and residual efficacy of a product against cockroaches. BioGenius GmbH, Bergisch Gladbach, Germany, Report No. BIO027/09, Date: 2009-04-29 (unpublished)</w:t>
            </w:r>
          </w:p>
        </w:tc>
        <w:tc>
          <w:tcPr>
            <w:tcW w:w="414" w:type="pct"/>
            <w:shd w:val="pct10" w:color="auto" w:fill="auto"/>
          </w:tcPr>
          <w:p w14:paraId="46BCF2C8"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043562D4" w14:textId="77777777" w:rsidTr="00E80C20">
        <w:tc>
          <w:tcPr>
            <w:tcW w:w="1403" w:type="pct"/>
          </w:tcPr>
          <w:p w14:paraId="692C44D8" w14:textId="77777777" w:rsidR="00EA230B" w:rsidRPr="00064185" w:rsidRDefault="00EA230B" w:rsidP="00EA61D8">
            <w:pPr>
              <w:pStyle w:val="TextText11"/>
              <w:rPr>
                <w:color w:val="auto"/>
              </w:rPr>
            </w:pPr>
            <w:r w:rsidRPr="00064185">
              <w:rPr>
                <w:color w:val="auto"/>
              </w:rPr>
              <w:t>Data protection</w:t>
            </w:r>
          </w:p>
        </w:tc>
        <w:tc>
          <w:tcPr>
            <w:tcW w:w="3182" w:type="pct"/>
            <w:vAlign w:val="center"/>
          </w:tcPr>
          <w:p w14:paraId="625A09D4" w14:textId="77777777" w:rsidR="00EA230B" w:rsidRPr="00064185" w:rsidRDefault="00EA230B" w:rsidP="00EA61D8">
            <w:pPr>
              <w:pStyle w:val="Standard-italics"/>
              <w:rPr>
                <w:i w:val="0"/>
              </w:rPr>
            </w:pPr>
            <w:r w:rsidRPr="00064185">
              <w:rPr>
                <w:i w:val="0"/>
              </w:rPr>
              <w:t>Yes</w:t>
            </w:r>
          </w:p>
        </w:tc>
        <w:tc>
          <w:tcPr>
            <w:tcW w:w="414" w:type="pct"/>
            <w:shd w:val="pct10" w:color="auto" w:fill="auto"/>
          </w:tcPr>
          <w:p w14:paraId="3337F16B"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7D9608D0" w14:textId="77777777" w:rsidTr="00E80C20">
        <w:tc>
          <w:tcPr>
            <w:tcW w:w="1403" w:type="pct"/>
          </w:tcPr>
          <w:p w14:paraId="0F1D0109" w14:textId="77777777" w:rsidR="00EA230B" w:rsidRPr="00064185" w:rsidRDefault="00EA230B" w:rsidP="00EA61D8">
            <w:pPr>
              <w:pStyle w:val="TxtTxtTxt"/>
            </w:pPr>
            <w:r w:rsidRPr="00064185">
              <w:t>Data owner</w:t>
            </w:r>
          </w:p>
        </w:tc>
        <w:tc>
          <w:tcPr>
            <w:tcW w:w="3182" w:type="pct"/>
            <w:vAlign w:val="center"/>
          </w:tcPr>
          <w:p w14:paraId="66BD7B93" w14:textId="77777777" w:rsidR="00EA230B" w:rsidRPr="00064185" w:rsidRDefault="00EA230B" w:rsidP="00EA61D8">
            <w:pPr>
              <w:pStyle w:val="Standard-italics"/>
              <w:rPr>
                <w:i w:val="0"/>
              </w:rPr>
            </w:pPr>
            <w:r w:rsidRPr="00064185">
              <w:rPr>
                <w:i w:val="0"/>
              </w:rPr>
              <w:t>Compo GmbH &amp; Co. KG</w:t>
            </w:r>
          </w:p>
        </w:tc>
        <w:tc>
          <w:tcPr>
            <w:tcW w:w="414" w:type="pct"/>
            <w:shd w:val="pct10" w:color="auto" w:fill="auto"/>
          </w:tcPr>
          <w:p w14:paraId="0E3AB748"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0852E450" w14:textId="77777777" w:rsidTr="00E80C20">
        <w:tc>
          <w:tcPr>
            <w:tcW w:w="1403" w:type="pct"/>
          </w:tcPr>
          <w:p w14:paraId="7FDD1496" w14:textId="77777777" w:rsidR="00EA230B" w:rsidRPr="00064185" w:rsidRDefault="00EA230B" w:rsidP="00EA61D8">
            <w:pPr>
              <w:pStyle w:val="TxtTxtTxt"/>
            </w:pPr>
            <w:r w:rsidRPr="00064185">
              <w:t>Companies with Letter of Access</w:t>
            </w:r>
          </w:p>
        </w:tc>
        <w:tc>
          <w:tcPr>
            <w:tcW w:w="3182" w:type="pct"/>
            <w:vAlign w:val="center"/>
          </w:tcPr>
          <w:p w14:paraId="5F6BB69A" w14:textId="77777777" w:rsidR="00EA230B" w:rsidRPr="00064185" w:rsidRDefault="00EA230B" w:rsidP="00EA61D8">
            <w:r w:rsidRPr="00064185">
              <w:t xml:space="preserve">– </w:t>
            </w:r>
          </w:p>
        </w:tc>
        <w:tc>
          <w:tcPr>
            <w:tcW w:w="414" w:type="pct"/>
            <w:shd w:val="pct10" w:color="auto" w:fill="auto"/>
          </w:tcPr>
          <w:p w14:paraId="42491261"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4E6879EE" w14:textId="77777777" w:rsidTr="00E80C20">
        <w:tc>
          <w:tcPr>
            <w:tcW w:w="1403" w:type="pct"/>
          </w:tcPr>
          <w:p w14:paraId="6F0D9911" w14:textId="77777777" w:rsidR="00EA230B" w:rsidRPr="00064185" w:rsidRDefault="00EA230B" w:rsidP="00EA61D8">
            <w:pPr>
              <w:pStyle w:val="TxtTxtTxt"/>
            </w:pPr>
            <w:r w:rsidRPr="00064185">
              <w:t>Criteria for data protection</w:t>
            </w:r>
          </w:p>
        </w:tc>
        <w:tc>
          <w:tcPr>
            <w:tcW w:w="3182" w:type="pct"/>
          </w:tcPr>
          <w:p w14:paraId="77B6105E" w14:textId="77777777" w:rsidR="00EA230B" w:rsidRPr="00064185" w:rsidRDefault="00EA230B" w:rsidP="00EA61D8">
            <w:r w:rsidRPr="00064185">
              <w:t>Data submitted to the MS after 13 May 2000 on existing b.p. for the purpose of its authorisation.</w:t>
            </w:r>
          </w:p>
        </w:tc>
        <w:tc>
          <w:tcPr>
            <w:tcW w:w="414" w:type="pct"/>
            <w:shd w:val="pct10" w:color="auto" w:fill="auto"/>
          </w:tcPr>
          <w:p w14:paraId="1E9ED545"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1E2D967A" w14:textId="77777777" w:rsidTr="00E80C20">
        <w:tc>
          <w:tcPr>
            <w:tcW w:w="1403" w:type="pct"/>
          </w:tcPr>
          <w:p w14:paraId="191A6C57" w14:textId="77777777" w:rsidR="00EA230B" w:rsidRPr="00064185" w:rsidRDefault="00EA230B" w:rsidP="00EA61D8">
            <w:pPr>
              <w:pStyle w:val="TextText11"/>
              <w:rPr>
                <w:color w:val="auto"/>
              </w:rPr>
            </w:pPr>
            <w:r w:rsidRPr="00064185">
              <w:rPr>
                <w:color w:val="auto"/>
              </w:rPr>
              <w:t>Guideline study</w:t>
            </w:r>
          </w:p>
        </w:tc>
        <w:tc>
          <w:tcPr>
            <w:tcW w:w="3182" w:type="pct"/>
            <w:vAlign w:val="center"/>
          </w:tcPr>
          <w:p w14:paraId="25BB0705" w14:textId="77777777" w:rsidR="00EA230B" w:rsidRPr="00064185" w:rsidRDefault="00EA230B" w:rsidP="00EA61D8">
            <w:pPr>
              <w:pStyle w:val="Standard-italics"/>
              <w:rPr>
                <w:i w:val="0"/>
              </w:rPr>
            </w:pPr>
            <w:r w:rsidRPr="00064185">
              <w:rPr>
                <w:i w:val="0"/>
              </w:rPr>
              <w:t>The methodology was based on the following in-house methods:</w:t>
            </w:r>
          </w:p>
          <w:p w14:paraId="13091440" w14:textId="77777777" w:rsidR="00EA230B" w:rsidRPr="00064185" w:rsidRDefault="00EA230B" w:rsidP="00EA61D8">
            <w:pPr>
              <w:pStyle w:val="Standard-italics"/>
              <w:rPr>
                <w:i w:val="0"/>
              </w:rPr>
            </w:pPr>
            <w:r w:rsidRPr="00064185">
              <w:rPr>
                <w:i w:val="0"/>
              </w:rPr>
              <w:t>Method BioG B 200-01 (modified): Test of spray can and trigger direct treatment of cockroaches by manual spraying</w:t>
            </w:r>
          </w:p>
          <w:p w14:paraId="5E5A8F06" w14:textId="77777777" w:rsidR="00EA230B" w:rsidRPr="00064185" w:rsidRDefault="00EA230B" w:rsidP="00EA61D8">
            <w:pPr>
              <w:pStyle w:val="Standard-italics"/>
              <w:rPr>
                <w:i w:val="0"/>
              </w:rPr>
            </w:pPr>
            <w:r w:rsidRPr="00064185">
              <w:rPr>
                <w:i w:val="0"/>
              </w:rPr>
              <w:t>Method BioG B008-02 (modified): Test method for finding the residual effect of spray cans (using spray robot)</w:t>
            </w:r>
          </w:p>
        </w:tc>
        <w:tc>
          <w:tcPr>
            <w:tcW w:w="414" w:type="pct"/>
            <w:shd w:val="pct10" w:color="auto" w:fill="auto"/>
          </w:tcPr>
          <w:p w14:paraId="532DC6B9" w14:textId="77777777" w:rsidR="00EA230B" w:rsidRPr="00064185" w:rsidRDefault="00EA230B" w:rsidP="00EA61D8"/>
        </w:tc>
      </w:tr>
      <w:tr w:rsidR="00064185" w:rsidRPr="00064185" w14:paraId="41971907" w14:textId="77777777" w:rsidTr="00E80C20">
        <w:tc>
          <w:tcPr>
            <w:tcW w:w="1403" w:type="pct"/>
          </w:tcPr>
          <w:p w14:paraId="55F2960B" w14:textId="77777777" w:rsidR="00EA230B" w:rsidRPr="00064185" w:rsidRDefault="00EA230B" w:rsidP="00EA61D8">
            <w:pPr>
              <w:pStyle w:val="TextText11"/>
              <w:rPr>
                <w:color w:val="auto"/>
              </w:rPr>
            </w:pPr>
            <w:r w:rsidRPr="00064185">
              <w:rPr>
                <w:color w:val="auto"/>
              </w:rPr>
              <w:t>Deviations</w:t>
            </w:r>
          </w:p>
        </w:tc>
        <w:tc>
          <w:tcPr>
            <w:tcW w:w="3182" w:type="pct"/>
            <w:vAlign w:val="center"/>
          </w:tcPr>
          <w:p w14:paraId="56730806" w14:textId="77777777" w:rsidR="00EA230B" w:rsidRPr="00064185" w:rsidRDefault="00EA230B" w:rsidP="00EA61D8">
            <w:pPr>
              <w:pStyle w:val="Standard-italics"/>
              <w:rPr>
                <w:i w:val="0"/>
              </w:rPr>
            </w:pPr>
            <w:r w:rsidRPr="00064185">
              <w:rPr>
                <w:i w:val="0"/>
              </w:rPr>
              <w:t>Not applicable</w:t>
            </w:r>
          </w:p>
        </w:tc>
        <w:tc>
          <w:tcPr>
            <w:tcW w:w="414" w:type="pct"/>
            <w:shd w:val="pct10" w:color="auto" w:fill="auto"/>
          </w:tcPr>
          <w:p w14:paraId="1607BAD4" w14:textId="77777777" w:rsidR="00EA230B" w:rsidRPr="00064185" w:rsidRDefault="00EA230B" w:rsidP="00EA61D8"/>
        </w:tc>
      </w:tr>
      <w:tr w:rsidR="00064185" w:rsidRPr="00064185" w14:paraId="567FC726" w14:textId="77777777" w:rsidTr="00E80C20">
        <w:tc>
          <w:tcPr>
            <w:tcW w:w="1403" w:type="pct"/>
          </w:tcPr>
          <w:p w14:paraId="5CA7FC5B" w14:textId="77777777" w:rsidR="00EA230B" w:rsidRPr="00064185" w:rsidRDefault="00EA230B" w:rsidP="00EA61D8">
            <w:pPr>
              <w:pStyle w:val="TextText11"/>
              <w:rPr>
                <w:color w:val="auto"/>
              </w:rPr>
            </w:pPr>
          </w:p>
        </w:tc>
        <w:tc>
          <w:tcPr>
            <w:tcW w:w="3182" w:type="pct"/>
            <w:vAlign w:val="center"/>
          </w:tcPr>
          <w:p w14:paraId="33890E98" w14:textId="77777777" w:rsidR="00EA230B" w:rsidRPr="00064185" w:rsidRDefault="00EA230B" w:rsidP="00EA61D8">
            <w:pPr>
              <w:pStyle w:val="TEXTTEXT"/>
            </w:pPr>
            <w:r w:rsidRPr="00064185">
              <w:t>Method</w:t>
            </w:r>
          </w:p>
        </w:tc>
        <w:tc>
          <w:tcPr>
            <w:tcW w:w="414" w:type="pct"/>
            <w:shd w:val="pct10" w:color="auto" w:fill="auto"/>
          </w:tcPr>
          <w:p w14:paraId="2C01A766"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7D19B26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F07E780" w14:textId="77777777" w:rsidR="00EA230B" w:rsidRPr="00064185" w:rsidRDefault="00EA230B" w:rsidP="00EA61D8">
            <w:pPr>
              <w:pStyle w:val="TextText11"/>
              <w:rPr>
                <w:color w:val="auto"/>
              </w:rPr>
            </w:pPr>
            <w:r w:rsidRPr="00064185">
              <w:rPr>
                <w:color w:val="auto"/>
              </w:rPr>
              <w:t xml:space="preserve">Test Substance </w:t>
            </w:r>
          </w:p>
        </w:tc>
        <w:tc>
          <w:tcPr>
            <w:tcW w:w="3182" w:type="pct"/>
            <w:tcBorders>
              <w:top w:val="nil"/>
              <w:left w:val="nil"/>
              <w:bottom w:val="nil"/>
              <w:right w:val="nil"/>
            </w:tcBorders>
            <w:vAlign w:val="center"/>
          </w:tcPr>
          <w:p w14:paraId="6D490C83" w14:textId="77777777" w:rsidR="00EA230B" w:rsidRPr="00064185" w:rsidRDefault="00EA230B" w:rsidP="00EA61D8">
            <w:pPr>
              <w:rPr>
                <w:lang w:val="nb-NO"/>
              </w:rPr>
            </w:pPr>
            <w:r w:rsidRPr="00064185">
              <w:rPr>
                <w:lang w:val="nb-NO"/>
              </w:rPr>
              <w:t>COM 116 02 I AL (batch 05/024)</w:t>
            </w:r>
          </w:p>
        </w:tc>
        <w:tc>
          <w:tcPr>
            <w:tcW w:w="414" w:type="pct"/>
            <w:tcBorders>
              <w:top w:val="nil"/>
              <w:left w:val="nil"/>
              <w:bottom w:val="nil"/>
              <w:right w:val="nil"/>
            </w:tcBorders>
            <w:shd w:val="pct10" w:color="auto" w:fill="auto"/>
          </w:tcPr>
          <w:p w14:paraId="2671F6E7" w14:textId="77777777" w:rsidR="00EA230B" w:rsidRPr="00064185" w:rsidRDefault="00EA230B" w:rsidP="00EA61D8"/>
        </w:tc>
      </w:tr>
      <w:tr w:rsidR="00064185" w:rsidRPr="00064185" w14:paraId="14AC9DB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DDD8230" w14:textId="77777777" w:rsidR="00EA230B" w:rsidRPr="00064185" w:rsidRDefault="00EA230B" w:rsidP="00EA61D8">
            <w:pPr>
              <w:pStyle w:val="TxtTxtTxt"/>
            </w:pPr>
            <w:r w:rsidRPr="00064185">
              <w:t>Purity</w:t>
            </w:r>
          </w:p>
        </w:tc>
        <w:tc>
          <w:tcPr>
            <w:tcW w:w="3182" w:type="pct"/>
            <w:tcBorders>
              <w:top w:val="nil"/>
              <w:left w:val="nil"/>
              <w:bottom w:val="nil"/>
              <w:right w:val="nil"/>
            </w:tcBorders>
            <w:vAlign w:val="center"/>
          </w:tcPr>
          <w:p w14:paraId="15D85FF4" w14:textId="77777777" w:rsidR="00EA230B" w:rsidRPr="00064185" w:rsidRDefault="00EA230B" w:rsidP="00EA61D8">
            <w:pPr>
              <w:pStyle w:val="Standard-italics"/>
              <w:rPr>
                <w:i w:val="0"/>
              </w:rPr>
            </w:pPr>
            <w:r w:rsidRPr="00064185">
              <w:rPr>
                <w:i w:val="0"/>
              </w:rPr>
              <w:t xml:space="preserve">The biocidal product contains </w:t>
            </w:r>
            <w:r w:rsidRPr="00064185">
              <w:rPr>
                <w:i w:val="0"/>
                <w:lang w:val="nb-NO"/>
              </w:rPr>
              <w:t>0.05% of the active substance lambda-cyhalothrin</w:t>
            </w:r>
            <w:r w:rsidRPr="00064185">
              <w:rPr>
                <w:i w:val="0"/>
              </w:rPr>
              <w:t>.</w:t>
            </w:r>
          </w:p>
        </w:tc>
        <w:tc>
          <w:tcPr>
            <w:tcW w:w="414" w:type="pct"/>
            <w:tcBorders>
              <w:top w:val="nil"/>
              <w:left w:val="nil"/>
              <w:bottom w:val="nil"/>
              <w:right w:val="nil"/>
            </w:tcBorders>
            <w:shd w:val="pct10" w:color="auto" w:fill="auto"/>
          </w:tcPr>
          <w:p w14:paraId="28E5D86D" w14:textId="77777777" w:rsidR="00EA230B" w:rsidRPr="00064185" w:rsidRDefault="00EA230B" w:rsidP="00EA61D8"/>
        </w:tc>
      </w:tr>
      <w:tr w:rsidR="00064185" w:rsidRPr="00064185" w14:paraId="40F9B32B"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D2A962C" w14:textId="77777777" w:rsidR="00EA230B" w:rsidRPr="00064185" w:rsidRDefault="00EA230B" w:rsidP="00EA61D8">
            <w:pPr>
              <w:pStyle w:val="TxtTxtTxt"/>
            </w:pPr>
            <w:r w:rsidRPr="00064185">
              <w:t>Physical state and nature</w:t>
            </w:r>
          </w:p>
        </w:tc>
        <w:tc>
          <w:tcPr>
            <w:tcW w:w="3182" w:type="pct"/>
            <w:tcBorders>
              <w:top w:val="nil"/>
              <w:left w:val="nil"/>
              <w:bottom w:val="nil"/>
              <w:right w:val="nil"/>
            </w:tcBorders>
            <w:vAlign w:val="center"/>
          </w:tcPr>
          <w:p w14:paraId="25CFEE07" w14:textId="77777777" w:rsidR="00EA230B" w:rsidRPr="00064185" w:rsidRDefault="00EA230B" w:rsidP="00EA61D8">
            <w:pPr>
              <w:pStyle w:val="Standard-italics"/>
              <w:rPr>
                <w:i w:val="0"/>
              </w:rPr>
            </w:pPr>
            <w:r w:rsidRPr="00064185">
              <w:rPr>
                <w:i w:val="0"/>
              </w:rPr>
              <w:t>Liquid formulation, bag-on-valve system</w:t>
            </w:r>
          </w:p>
        </w:tc>
        <w:tc>
          <w:tcPr>
            <w:tcW w:w="414" w:type="pct"/>
            <w:tcBorders>
              <w:top w:val="nil"/>
              <w:left w:val="nil"/>
              <w:bottom w:val="nil"/>
              <w:right w:val="nil"/>
            </w:tcBorders>
            <w:shd w:val="pct10" w:color="auto" w:fill="auto"/>
          </w:tcPr>
          <w:p w14:paraId="34EB466E" w14:textId="77777777" w:rsidR="00EA230B" w:rsidRPr="00064185" w:rsidRDefault="00EA230B" w:rsidP="00EA61D8"/>
        </w:tc>
      </w:tr>
      <w:tr w:rsidR="00064185" w:rsidRPr="00064185" w14:paraId="02A9E026"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65B3DDB" w14:textId="77777777" w:rsidR="00EA230B" w:rsidRPr="00064185" w:rsidRDefault="00EA230B" w:rsidP="00EA61D8">
            <w:pPr>
              <w:pStyle w:val="TxtTxtTxt"/>
            </w:pPr>
            <w:r w:rsidRPr="00064185">
              <w:t>Method of analysis</w:t>
            </w:r>
          </w:p>
        </w:tc>
        <w:tc>
          <w:tcPr>
            <w:tcW w:w="3182" w:type="pct"/>
            <w:tcBorders>
              <w:top w:val="nil"/>
              <w:left w:val="nil"/>
              <w:bottom w:val="nil"/>
              <w:right w:val="nil"/>
            </w:tcBorders>
            <w:vAlign w:val="center"/>
          </w:tcPr>
          <w:p w14:paraId="3560CE1B" w14:textId="77777777" w:rsidR="00EA230B" w:rsidRPr="00064185" w:rsidRDefault="00EA230B" w:rsidP="00EA61D8">
            <w:pPr>
              <w:pStyle w:val="Standard-italics"/>
              <w:rPr>
                <w:i w:val="0"/>
              </w:rPr>
            </w:pPr>
            <w:r w:rsidRPr="00064185">
              <w:rPr>
                <w:i w:val="0"/>
              </w:rPr>
              <w:t>As described in Section 5 of dossier.</w:t>
            </w:r>
          </w:p>
        </w:tc>
        <w:tc>
          <w:tcPr>
            <w:tcW w:w="414" w:type="pct"/>
            <w:tcBorders>
              <w:top w:val="nil"/>
              <w:left w:val="nil"/>
              <w:bottom w:val="nil"/>
              <w:right w:val="nil"/>
            </w:tcBorders>
            <w:shd w:val="pct10" w:color="auto" w:fill="auto"/>
          </w:tcPr>
          <w:p w14:paraId="5DCFA997" w14:textId="77777777" w:rsidR="00EA230B" w:rsidRPr="00064185" w:rsidRDefault="00EA230B" w:rsidP="00EA61D8"/>
        </w:tc>
      </w:tr>
      <w:tr w:rsidR="00064185" w:rsidRPr="00064185" w14:paraId="507C1187"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A08C08F" w14:textId="77777777" w:rsidR="00EA230B" w:rsidRPr="00064185" w:rsidRDefault="00EA230B" w:rsidP="00EA61D8">
            <w:pPr>
              <w:pStyle w:val="TextText11"/>
              <w:rPr>
                <w:color w:val="auto"/>
              </w:rPr>
            </w:pPr>
            <w:r w:rsidRPr="00064185">
              <w:rPr>
                <w:color w:val="auto"/>
              </w:rPr>
              <w:t>Reference substance</w:t>
            </w:r>
          </w:p>
        </w:tc>
        <w:tc>
          <w:tcPr>
            <w:tcW w:w="3182" w:type="pct"/>
            <w:tcBorders>
              <w:top w:val="nil"/>
              <w:left w:val="nil"/>
              <w:bottom w:val="nil"/>
              <w:right w:val="nil"/>
            </w:tcBorders>
            <w:vAlign w:val="center"/>
          </w:tcPr>
          <w:p w14:paraId="4CD014FA" w14:textId="77777777" w:rsidR="00EA230B" w:rsidRPr="00064185" w:rsidRDefault="00EA230B" w:rsidP="00EA61D8">
            <w:pPr>
              <w:autoSpaceDE w:val="0"/>
              <w:autoSpaceDN w:val="0"/>
              <w:adjustRightInd w:val="0"/>
              <w:rPr>
                <w:rFonts w:ascii="Arial" w:hAnsi="Arial"/>
              </w:rPr>
            </w:pPr>
            <w:r w:rsidRPr="00064185">
              <w:t>no</w:t>
            </w:r>
          </w:p>
        </w:tc>
        <w:tc>
          <w:tcPr>
            <w:tcW w:w="414" w:type="pct"/>
            <w:tcBorders>
              <w:top w:val="nil"/>
              <w:left w:val="nil"/>
              <w:bottom w:val="nil"/>
              <w:right w:val="nil"/>
            </w:tcBorders>
            <w:shd w:val="pct10" w:color="auto" w:fill="auto"/>
          </w:tcPr>
          <w:p w14:paraId="65C1A24B" w14:textId="77777777" w:rsidR="00EA230B" w:rsidRPr="00064185" w:rsidRDefault="00EA230B" w:rsidP="00EA61D8"/>
        </w:tc>
      </w:tr>
      <w:tr w:rsidR="00064185" w:rsidRPr="00064185" w14:paraId="2750427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2B952AB" w14:textId="77777777" w:rsidR="00EA230B" w:rsidRPr="00064185" w:rsidRDefault="00EA230B" w:rsidP="00EA61D8">
            <w:pPr>
              <w:pStyle w:val="TextText11"/>
              <w:rPr>
                <w:color w:val="auto"/>
              </w:rPr>
            </w:pPr>
            <w:r w:rsidRPr="00064185">
              <w:rPr>
                <w:color w:val="auto"/>
              </w:rPr>
              <w:t>Testing procedure</w:t>
            </w:r>
          </w:p>
        </w:tc>
        <w:tc>
          <w:tcPr>
            <w:tcW w:w="3182" w:type="pct"/>
            <w:tcBorders>
              <w:top w:val="nil"/>
              <w:left w:val="nil"/>
              <w:bottom w:val="nil"/>
              <w:right w:val="nil"/>
            </w:tcBorders>
            <w:vAlign w:val="center"/>
          </w:tcPr>
          <w:p w14:paraId="5AA52FCE" w14:textId="77777777" w:rsidR="00EA230B" w:rsidRPr="00064185" w:rsidRDefault="00EA230B" w:rsidP="00EA61D8">
            <w:pPr>
              <w:pStyle w:val="Tabellenformat"/>
              <w:spacing w:before="0"/>
            </w:pPr>
          </w:p>
        </w:tc>
        <w:tc>
          <w:tcPr>
            <w:tcW w:w="414" w:type="pct"/>
            <w:tcBorders>
              <w:top w:val="nil"/>
              <w:left w:val="nil"/>
              <w:bottom w:val="nil"/>
              <w:right w:val="nil"/>
            </w:tcBorders>
            <w:shd w:val="pct10" w:color="auto" w:fill="auto"/>
          </w:tcPr>
          <w:p w14:paraId="0E27C8D5" w14:textId="77777777" w:rsidR="00EA230B" w:rsidRPr="00064185" w:rsidRDefault="00EA230B" w:rsidP="00EA61D8">
            <w:pPr>
              <w:keepNext/>
            </w:pPr>
          </w:p>
        </w:tc>
      </w:tr>
      <w:tr w:rsidR="00064185" w:rsidRPr="00064185" w14:paraId="4F2EA1B8"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D1178DC" w14:textId="77777777" w:rsidR="00EA230B" w:rsidRPr="00064185" w:rsidRDefault="00EA230B" w:rsidP="00EA61D8">
            <w:pPr>
              <w:pStyle w:val="TxtTxtTxt"/>
            </w:pPr>
            <w:r w:rsidRPr="00064185">
              <w:t xml:space="preserve">Test population </w:t>
            </w:r>
            <w:r w:rsidRPr="00064185">
              <w:lastRenderedPageBreak/>
              <w:t xml:space="preserve">/ </w:t>
            </w:r>
            <w:r w:rsidRPr="00064185">
              <w:br/>
              <w:t>inoculum /</w:t>
            </w:r>
            <w:r w:rsidRPr="00064185">
              <w:br/>
              <w:t>test organism</w:t>
            </w:r>
          </w:p>
        </w:tc>
        <w:tc>
          <w:tcPr>
            <w:tcW w:w="3182" w:type="pct"/>
            <w:tcBorders>
              <w:top w:val="nil"/>
              <w:left w:val="nil"/>
              <w:bottom w:val="nil"/>
              <w:right w:val="nil"/>
            </w:tcBorders>
            <w:vAlign w:val="center"/>
          </w:tcPr>
          <w:p w14:paraId="32567646" w14:textId="77777777" w:rsidR="00EA230B" w:rsidRPr="00064185" w:rsidRDefault="00EA230B" w:rsidP="00EA61D8">
            <w:pPr>
              <w:pStyle w:val="Standard-italics"/>
              <w:rPr>
                <w:lang w:val="it-IT"/>
              </w:rPr>
            </w:pPr>
            <w:r w:rsidRPr="00064185">
              <w:rPr>
                <w:lang w:val="it-IT"/>
              </w:rPr>
              <w:lastRenderedPageBreak/>
              <w:t xml:space="preserve">Blattella germanica </w:t>
            </w:r>
            <w:r w:rsidRPr="00064185">
              <w:rPr>
                <w:i w:val="0"/>
                <w:lang w:val="it-IT"/>
              </w:rPr>
              <w:t>(larvae),</w:t>
            </w:r>
            <w:r w:rsidRPr="00064185">
              <w:rPr>
                <w:lang w:val="it-IT"/>
              </w:rPr>
              <w:t xml:space="preserve"> Blatta orientalis (</w:t>
            </w:r>
            <w:r w:rsidRPr="00064185">
              <w:rPr>
                <w:i w:val="0"/>
                <w:lang w:val="it-IT"/>
              </w:rPr>
              <w:t>larvae),</w:t>
            </w:r>
            <w:r w:rsidRPr="00064185">
              <w:rPr>
                <w:lang w:val="it-IT"/>
              </w:rPr>
              <w:t xml:space="preserve"> </w:t>
            </w:r>
            <w:r w:rsidRPr="00064185">
              <w:rPr>
                <w:lang w:val="it-IT"/>
              </w:rPr>
              <w:lastRenderedPageBreak/>
              <w:t xml:space="preserve">Periplaneta americana </w:t>
            </w:r>
            <w:r w:rsidRPr="00064185">
              <w:rPr>
                <w:i w:val="0"/>
                <w:lang w:val="it-IT"/>
              </w:rPr>
              <w:t>(larvae)</w:t>
            </w:r>
          </w:p>
        </w:tc>
        <w:tc>
          <w:tcPr>
            <w:tcW w:w="414" w:type="pct"/>
            <w:tcBorders>
              <w:top w:val="nil"/>
              <w:left w:val="nil"/>
              <w:bottom w:val="nil"/>
              <w:right w:val="nil"/>
            </w:tcBorders>
            <w:shd w:val="pct10" w:color="auto" w:fill="auto"/>
          </w:tcPr>
          <w:p w14:paraId="3A0439EA" w14:textId="77777777" w:rsidR="00EA230B" w:rsidRPr="00064185" w:rsidRDefault="00EA230B" w:rsidP="00EA61D8">
            <w:pPr>
              <w:keepNext/>
              <w:rPr>
                <w:lang w:val="it-IT"/>
              </w:rPr>
            </w:pPr>
          </w:p>
        </w:tc>
      </w:tr>
      <w:tr w:rsidR="00064185" w:rsidRPr="00064185" w14:paraId="6D0A2615"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AFEF645" w14:textId="77777777" w:rsidR="00EA230B" w:rsidRPr="00064185" w:rsidRDefault="00EA230B" w:rsidP="00EA61D8">
            <w:pPr>
              <w:pStyle w:val="TxtTxtTxt"/>
            </w:pPr>
            <w:r w:rsidRPr="00064185">
              <w:lastRenderedPageBreak/>
              <w:t>Test system</w:t>
            </w:r>
          </w:p>
        </w:tc>
        <w:tc>
          <w:tcPr>
            <w:tcW w:w="3182" w:type="pct"/>
            <w:tcBorders>
              <w:top w:val="nil"/>
              <w:left w:val="nil"/>
              <w:bottom w:val="nil"/>
              <w:right w:val="nil"/>
            </w:tcBorders>
            <w:vAlign w:val="center"/>
          </w:tcPr>
          <w:p w14:paraId="323A9A85" w14:textId="77777777" w:rsidR="00EA230B" w:rsidRPr="00064185" w:rsidRDefault="00EA230B" w:rsidP="00EA61D8">
            <w:pPr>
              <w:pStyle w:val="Standard-italics"/>
              <w:rPr>
                <w:i w:val="0"/>
              </w:rPr>
            </w:pPr>
            <w:r w:rsidRPr="00064185">
              <w:rPr>
                <w:i w:val="0"/>
              </w:rPr>
              <w:t>Effectiveness of insecticide bag-on-valve system was tested against garden ants in rooms (indoor).</w:t>
            </w:r>
          </w:p>
        </w:tc>
        <w:tc>
          <w:tcPr>
            <w:tcW w:w="414" w:type="pct"/>
            <w:tcBorders>
              <w:top w:val="nil"/>
              <w:left w:val="nil"/>
              <w:bottom w:val="nil"/>
              <w:right w:val="nil"/>
            </w:tcBorders>
            <w:shd w:val="pct10" w:color="auto" w:fill="auto"/>
          </w:tcPr>
          <w:p w14:paraId="0D46B7E9" w14:textId="77777777" w:rsidR="00EA230B" w:rsidRPr="00064185" w:rsidRDefault="00EA230B" w:rsidP="00EA61D8"/>
        </w:tc>
      </w:tr>
      <w:tr w:rsidR="00064185" w:rsidRPr="00064185" w14:paraId="1CA181B9"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963D590" w14:textId="77777777" w:rsidR="00EA230B" w:rsidRPr="00064185" w:rsidRDefault="00EA230B" w:rsidP="00EA61D8">
            <w:pPr>
              <w:pStyle w:val="TxtTxtTxt"/>
            </w:pPr>
            <w:r w:rsidRPr="00064185">
              <w:t>Application of TS</w:t>
            </w:r>
          </w:p>
        </w:tc>
        <w:tc>
          <w:tcPr>
            <w:tcW w:w="3182" w:type="pct"/>
            <w:tcBorders>
              <w:top w:val="nil"/>
              <w:left w:val="nil"/>
              <w:bottom w:val="nil"/>
              <w:right w:val="nil"/>
            </w:tcBorders>
            <w:vAlign w:val="center"/>
          </w:tcPr>
          <w:p w14:paraId="4604B860" w14:textId="77777777" w:rsidR="00EA230B" w:rsidRPr="00064185" w:rsidRDefault="00EA230B" w:rsidP="00EA61D8">
            <w:pPr>
              <w:pStyle w:val="Standard-italics"/>
              <w:rPr>
                <w:i w:val="0"/>
              </w:rPr>
            </w:pPr>
            <w:r w:rsidRPr="00064185">
              <w:rPr>
                <w:i w:val="0"/>
              </w:rPr>
              <w:t>a) Direct spray treatment: Cockroaches were sprayed with the product for 2 seconds (= 2.6 – 3.0 gram, average 2.8 g) out of a distance of 60 cm.</w:t>
            </w:r>
          </w:p>
          <w:p w14:paraId="3E220428" w14:textId="77777777" w:rsidR="00EA230B" w:rsidRPr="00064185" w:rsidRDefault="00EA230B" w:rsidP="00EA61D8">
            <w:pPr>
              <w:pStyle w:val="Standard-italics"/>
              <w:rPr>
                <w:i w:val="0"/>
              </w:rPr>
            </w:pPr>
            <w:r w:rsidRPr="00064185">
              <w:rPr>
                <w:i w:val="0"/>
              </w:rPr>
              <w:t>b) Residual effects: Surfaces type glazed tiles or PVC were sprayed with a spray rate of 7.0 g per 5 seconds per meter (distance of 25 cm).</w:t>
            </w:r>
          </w:p>
        </w:tc>
        <w:tc>
          <w:tcPr>
            <w:tcW w:w="414" w:type="pct"/>
            <w:tcBorders>
              <w:top w:val="nil"/>
              <w:left w:val="nil"/>
              <w:bottom w:val="nil"/>
              <w:right w:val="nil"/>
            </w:tcBorders>
            <w:shd w:val="pct10" w:color="auto" w:fill="auto"/>
          </w:tcPr>
          <w:p w14:paraId="3A063EBC" w14:textId="77777777" w:rsidR="00EA230B" w:rsidRPr="00064185" w:rsidRDefault="00EA230B" w:rsidP="00EA61D8"/>
        </w:tc>
      </w:tr>
      <w:tr w:rsidR="00064185" w:rsidRPr="00064185" w14:paraId="0C42BC5D"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AFA5E5C" w14:textId="77777777" w:rsidR="00EA230B" w:rsidRPr="00064185" w:rsidRDefault="00EA230B" w:rsidP="00EA61D8">
            <w:pPr>
              <w:pStyle w:val="TxtTxtTxt"/>
            </w:pPr>
            <w:r w:rsidRPr="00064185">
              <w:t>Test conditions</w:t>
            </w:r>
          </w:p>
        </w:tc>
        <w:tc>
          <w:tcPr>
            <w:tcW w:w="3182" w:type="pct"/>
            <w:tcBorders>
              <w:top w:val="nil"/>
              <w:left w:val="nil"/>
              <w:bottom w:val="nil"/>
              <w:right w:val="nil"/>
            </w:tcBorders>
            <w:vAlign w:val="center"/>
          </w:tcPr>
          <w:p w14:paraId="7202EC8D" w14:textId="77777777" w:rsidR="00EA230B" w:rsidRPr="00064185" w:rsidRDefault="00EA230B" w:rsidP="00EA61D8">
            <w:pPr>
              <w:pStyle w:val="Standard-italics"/>
              <w:rPr>
                <w:i w:val="0"/>
              </w:rPr>
            </w:pPr>
            <w:r w:rsidRPr="00064185">
              <w:rPr>
                <w:i w:val="0"/>
              </w:rPr>
              <w:t xml:space="preserve">Climatic conditions: </w:t>
            </w:r>
            <w:r w:rsidRPr="00064185">
              <w:rPr>
                <w:i w:val="0"/>
              </w:rPr>
              <w:br/>
              <w:t>Temperature: a) 21 °C, b) 23 – 25 °C</w:t>
            </w:r>
            <w:r w:rsidRPr="00064185">
              <w:rPr>
                <w:i w:val="0"/>
              </w:rPr>
              <w:br/>
              <w:t>Rel. humidity: a) 28%, b) 55-70%</w:t>
            </w:r>
          </w:p>
          <w:p w14:paraId="7539C43F" w14:textId="77777777" w:rsidR="00EA230B" w:rsidRPr="00064185" w:rsidRDefault="00EA230B" w:rsidP="00EA61D8">
            <w:pPr>
              <w:pStyle w:val="Standard-italics"/>
              <w:rPr>
                <w:i w:val="0"/>
              </w:rPr>
            </w:pPr>
            <w:r w:rsidRPr="00064185">
              <w:rPr>
                <w:i w:val="0"/>
              </w:rPr>
              <w:t>Light cycles during test: a, b) Artificial light during hours of work, additionally day light is given.</w:t>
            </w:r>
          </w:p>
          <w:p w14:paraId="442A9BCC" w14:textId="77777777" w:rsidR="00EA230B" w:rsidRPr="00064185" w:rsidRDefault="00EA230B" w:rsidP="00EA61D8">
            <w:pPr>
              <w:pStyle w:val="Standard-italics"/>
              <w:rPr>
                <w:i w:val="0"/>
              </w:rPr>
            </w:pPr>
            <w:r w:rsidRPr="00064185">
              <w:rPr>
                <w:i w:val="0"/>
              </w:rPr>
              <w:t xml:space="preserve">Type of test chamber: </w:t>
            </w:r>
            <w:r w:rsidRPr="00064185">
              <w:rPr>
                <w:i w:val="0"/>
              </w:rPr>
              <w:br/>
              <w:t>a) Direct spray treatment: glass rings (9.5 cm in diameter, 5.5 cm height)</w:t>
            </w:r>
            <w:r w:rsidRPr="00064185">
              <w:rPr>
                <w:i w:val="0"/>
              </w:rPr>
              <w:br/>
              <w:t>b) Residual effects: Spray robot, residual racks, glazed tiles or PVC</w:t>
            </w:r>
          </w:p>
        </w:tc>
        <w:tc>
          <w:tcPr>
            <w:tcW w:w="414" w:type="pct"/>
            <w:tcBorders>
              <w:top w:val="nil"/>
              <w:left w:val="nil"/>
              <w:bottom w:val="nil"/>
              <w:right w:val="nil"/>
            </w:tcBorders>
            <w:shd w:val="pct10" w:color="auto" w:fill="auto"/>
          </w:tcPr>
          <w:p w14:paraId="31A7C524" w14:textId="77777777" w:rsidR="00EA230B" w:rsidRPr="00064185" w:rsidRDefault="00EA230B" w:rsidP="00EA61D8"/>
        </w:tc>
      </w:tr>
      <w:tr w:rsidR="00064185" w:rsidRPr="00064185" w14:paraId="3D6C073F"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740FDCB" w14:textId="77777777" w:rsidR="00EA230B" w:rsidRPr="00064185" w:rsidRDefault="00EA230B" w:rsidP="00EA61D8">
            <w:pPr>
              <w:pStyle w:val="TxtTxtTxt"/>
            </w:pPr>
            <w:r w:rsidRPr="00064185">
              <w:t>Duration of the test / Exposure time</w:t>
            </w:r>
          </w:p>
        </w:tc>
        <w:tc>
          <w:tcPr>
            <w:tcW w:w="3182" w:type="pct"/>
            <w:tcBorders>
              <w:top w:val="nil"/>
              <w:left w:val="nil"/>
              <w:bottom w:val="nil"/>
              <w:right w:val="nil"/>
            </w:tcBorders>
            <w:vAlign w:val="center"/>
          </w:tcPr>
          <w:p w14:paraId="135555ED" w14:textId="77777777" w:rsidR="00EA230B" w:rsidRPr="00064185" w:rsidRDefault="00EA230B" w:rsidP="00EA61D8">
            <w:pPr>
              <w:pStyle w:val="Tabellenformat"/>
              <w:rPr>
                <w:lang w:val="it-IT"/>
              </w:rPr>
            </w:pPr>
            <w:r w:rsidRPr="00064185">
              <w:rPr>
                <w:lang w:val="it-IT"/>
              </w:rPr>
              <w:t>24 weeks</w:t>
            </w:r>
          </w:p>
        </w:tc>
        <w:tc>
          <w:tcPr>
            <w:tcW w:w="414" w:type="pct"/>
            <w:tcBorders>
              <w:top w:val="nil"/>
              <w:left w:val="nil"/>
              <w:bottom w:val="nil"/>
              <w:right w:val="nil"/>
            </w:tcBorders>
            <w:shd w:val="pct10" w:color="auto" w:fill="auto"/>
          </w:tcPr>
          <w:p w14:paraId="4BCE1E44" w14:textId="77777777" w:rsidR="00EA230B" w:rsidRPr="00064185" w:rsidRDefault="00EA230B" w:rsidP="00EA61D8">
            <w:pPr>
              <w:keepNext/>
            </w:pPr>
          </w:p>
        </w:tc>
      </w:tr>
      <w:tr w:rsidR="00064185" w:rsidRPr="00064185" w14:paraId="6A7A860E"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45ECEFB" w14:textId="77777777" w:rsidR="00EA230B" w:rsidRPr="00064185" w:rsidRDefault="00EA230B" w:rsidP="00EA61D8">
            <w:pPr>
              <w:pStyle w:val="TxtTxtTxt"/>
            </w:pPr>
            <w:r w:rsidRPr="00064185">
              <w:t>Number of replicates performed</w:t>
            </w:r>
          </w:p>
        </w:tc>
        <w:tc>
          <w:tcPr>
            <w:tcW w:w="3182" w:type="pct"/>
            <w:tcBorders>
              <w:top w:val="nil"/>
              <w:left w:val="nil"/>
              <w:bottom w:val="nil"/>
              <w:right w:val="nil"/>
            </w:tcBorders>
            <w:vAlign w:val="center"/>
          </w:tcPr>
          <w:p w14:paraId="74375DE1" w14:textId="77777777" w:rsidR="00EA230B" w:rsidRPr="00064185" w:rsidRDefault="00EA230B" w:rsidP="00EA61D8">
            <w:pPr>
              <w:pStyle w:val="Standard-italics"/>
              <w:rPr>
                <w:i w:val="0"/>
              </w:rPr>
            </w:pPr>
            <w:r w:rsidRPr="00064185">
              <w:rPr>
                <w:i w:val="0"/>
              </w:rPr>
              <w:t>a) 10 replicates b) 3 replicates</w:t>
            </w:r>
          </w:p>
        </w:tc>
        <w:tc>
          <w:tcPr>
            <w:tcW w:w="414" w:type="pct"/>
            <w:tcBorders>
              <w:top w:val="nil"/>
              <w:left w:val="nil"/>
              <w:bottom w:val="nil"/>
              <w:right w:val="nil"/>
            </w:tcBorders>
            <w:shd w:val="pct10" w:color="auto" w:fill="auto"/>
          </w:tcPr>
          <w:p w14:paraId="0B1973C2" w14:textId="77777777" w:rsidR="00EA230B" w:rsidRPr="00064185" w:rsidRDefault="00EA230B" w:rsidP="00EA61D8"/>
        </w:tc>
      </w:tr>
      <w:tr w:rsidR="00064185" w:rsidRPr="00064185" w14:paraId="73CD07D2"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975CA35" w14:textId="77777777" w:rsidR="00EA230B" w:rsidRPr="00064185" w:rsidRDefault="00EA230B" w:rsidP="00EA61D8">
            <w:pPr>
              <w:pStyle w:val="TxtTxtTxt"/>
            </w:pPr>
            <w:r w:rsidRPr="00064185">
              <w:t>Controls</w:t>
            </w:r>
          </w:p>
        </w:tc>
        <w:tc>
          <w:tcPr>
            <w:tcW w:w="3182" w:type="pct"/>
            <w:tcBorders>
              <w:top w:val="nil"/>
              <w:left w:val="nil"/>
              <w:bottom w:val="nil"/>
              <w:right w:val="nil"/>
            </w:tcBorders>
            <w:vAlign w:val="center"/>
          </w:tcPr>
          <w:p w14:paraId="36DB4E83" w14:textId="77777777" w:rsidR="00EA230B" w:rsidRPr="00064185" w:rsidRDefault="00EA230B" w:rsidP="00EA61D8">
            <w:pPr>
              <w:pStyle w:val="Standard-italics"/>
              <w:rPr>
                <w:i w:val="0"/>
              </w:rPr>
            </w:pPr>
            <w:r w:rsidRPr="00064185">
              <w:rPr>
                <w:i w:val="0"/>
              </w:rPr>
              <w:t>Yes, untreated controls: a) 3 replicates, b) 1 replicate</w:t>
            </w:r>
          </w:p>
        </w:tc>
        <w:tc>
          <w:tcPr>
            <w:tcW w:w="414" w:type="pct"/>
            <w:tcBorders>
              <w:top w:val="nil"/>
              <w:left w:val="nil"/>
              <w:bottom w:val="nil"/>
              <w:right w:val="nil"/>
            </w:tcBorders>
            <w:shd w:val="pct10" w:color="auto" w:fill="auto"/>
          </w:tcPr>
          <w:p w14:paraId="165FC9CA" w14:textId="77777777" w:rsidR="00EA230B" w:rsidRPr="00064185" w:rsidRDefault="00EA230B" w:rsidP="00EA61D8">
            <w:pPr>
              <w:keepNext/>
            </w:pPr>
          </w:p>
        </w:tc>
      </w:tr>
      <w:tr w:rsidR="00064185" w:rsidRPr="00064185" w14:paraId="4E296146"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1BB20165" w14:textId="77777777" w:rsidR="00EA230B" w:rsidRPr="00064185" w:rsidRDefault="00EA230B" w:rsidP="00EA61D8">
            <w:pPr>
              <w:pStyle w:val="TextText11"/>
              <w:rPr>
                <w:color w:val="auto"/>
              </w:rPr>
            </w:pPr>
            <w:r w:rsidRPr="00064185">
              <w:rPr>
                <w:color w:val="auto"/>
              </w:rPr>
              <w:t>Examination</w:t>
            </w:r>
          </w:p>
        </w:tc>
        <w:tc>
          <w:tcPr>
            <w:tcW w:w="3182" w:type="pct"/>
            <w:tcBorders>
              <w:top w:val="nil"/>
              <w:left w:val="nil"/>
              <w:bottom w:val="nil"/>
              <w:right w:val="nil"/>
            </w:tcBorders>
            <w:vAlign w:val="center"/>
          </w:tcPr>
          <w:p w14:paraId="16EC4E25" w14:textId="77777777" w:rsidR="00EA230B" w:rsidRPr="00064185" w:rsidRDefault="00EA230B" w:rsidP="00EA61D8">
            <w:pPr>
              <w:keepNext/>
              <w:rPr>
                <w:i/>
              </w:rPr>
            </w:pPr>
          </w:p>
        </w:tc>
        <w:tc>
          <w:tcPr>
            <w:tcW w:w="414" w:type="pct"/>
            <w:tcBorders>
              <w:top w:val="nil"/>
              <w:left w:val="nil"/>
              <w:bottom w:val="nil"/>
              <w:right w:val="nil"/>
            </w:tcBorders>
            <w:shd w:val="pct10" w:color="auto" w:fill="auto"/>
          </w:tcPr>
          <w:p w14:paraId="027E9BBD" w14:textId="77777777" w:rsidR="00EA230B" w:rsidRPr="00064185" w:rsidRDefault="00EA230B" w:rsidP="00EA61D8">
            <w:pPr>
              <w:keepNext/>
            </w:pPr>
          </w:p>
        </w:tc>
      </w:tr>
      <w:tr w:rsidR="00064185" w:rsidRPr="00064185" w14:paraId="7F6D2B7B"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4859C71" w14:textId="77777777" w:rsidR="00EA230B" w:rsidRPr="00064185" w:rsidRDefault="00EA230B" w:rsidP="00EA61D8">
            <w:pPr>
              <w:pStyle w:val="TxtTxtTxt"/>
            </w:pPr>
            <w:r w:rsidRPr="00064185">
              <w:t>Effect investigated</w:t>
            </w:r>
          </w:p>
        </w:tc>
        <w:tc>
          <w:tcPr>
            <w:tcW w:w="3182" w:type="pct"/>
            <w:tcBorders>
              <w:top w:val="nil"/>
              <w:left w:val="nil"/>
              <w:bottom w:val="nil"/>
              <w:right w:val="nil"/>
            </w:tcBorders>
            <w:vAlign w:val="center"/>
          </w:tcPr>
          <w:p w14:paraId="34CF55A5" w14:textId="77777777" w:rsidR="00EA230B" w:rsidRPr="00064185" w:rsidRDefault="00EA230B" w:rsidP="00EA61D8">
            <w:pPr>
              <w:keepNext/>
            </w:pPr>
            <w:r w:rsidRPr="00064185">
              <w:t>a) and b) Knock-down and mortality</w:t>
            </w:r>
          </w:p>
        </w:tc>
        <w:tc>
          <w:tcPr>
            <w:tcW w:w="414" w:type="pct"/>
            <w:tcBorders>
              <w:top w:val="nil"/>
              <w:left w:val="nil"/>
              <w:bottom w:val="nil"/>
              <w:right w:val="nil"/>
            </w:tcBorders>
            <w:shd w:val="pct10" w:color="auto" w:fill="auto"/>
          </w:tcPr>
          <w:p w14:paraId="1115766F" w14:textId="77777777" w:rsidR="00EA230B" w:rsidRPr="00064185" w:rsidRDefault="00EA230B" w:rsidP="00EA61D8">
            <w:pPr>
              <w:keepNext/>
            </w:pPr>
          </w:p>
        </w:tc>
      </w:tr>
      <w:tr w:rsidR="00064185" w:rsidRPr="00064185" w14:paraId="3EFC1BFE"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1A29FF81" w14:textId="77777777" w:rsidR="00EA230B" w:rsidRPr="00064185" w:rsidRDefault="00EA230B" w:rsidP="00EA61D8">
            <w:pPr>
              <w:pStyle w:val="TxtTxtTxt"/>
            </w:pPr>
            <w:r w:rsidRPr="00064185">
              <w:t xml:space="preserve">Method for recording / scoring of the effect </w:t>
            </w:r>
          </w:p>
        </w:tc>
        <w:tc>
          <w:tcPr>
            <w:tcW w:w="3182" w:type="pct"/>
            <w:tcBorders>
              <w:top w:val="nil"/>
              <w:left w:val="nil"/>
              <w:bottom w:val="nil"/>
              <w:right w:val="nil"/>
            </w:tcBorders>
            <w:vAlign w:val="center"/>
          </w:tcPr>
          <w:p w14:paraId="583BA80B" w14:textId="77777777" w:rsidR="00EA230B" w:rsidRPr="00064185" w:rsidRDefault="00EA230B" w:rsidP="00EA61D8">
            <w:r w:rsidRPr="00064185">
              <w:t>Visual observation of test animals</w:t>
            </w:r>
          </w:p>
        </w:tc>
        <w:tc>
          <w:tcPr>
            <w:tcW w:w="414" w:type="pct"/>
            <w:tcBorders>
              <w:top w:val="nil"/>
              <w:left w:val="nil"/>
              <w:bottom w:val="nil"/>
              <w:right w:val="nil"/>
            </w:tcBorders>
            <w:shd w:val="pct10" w:color="auto" w:fill="auto"/>
          </w:tcPr>
          <w:p w14:paraId="03AA7FF9" w14:textId="77777777" w:rsidR="00EA230B" w:rsidRPr="00064185" w:rsidRDefault="00EA230B" w:rsidP="00EA61D8"/>
        </w:tc>
      </w:tr>
      <w:tr w:rsidR="00064185" w:rsidRPr="00064185" w14:paraId="34835C01"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8CAC360" w14:textId="77777777" w:rsidR="00EA230B" w:rsidRPr="00064185" w:rsidRDefault="00EA230B" w:rsidP="00EA61D8">
            <w:pPr>
              <w:pStyle w:val="TxtTxtTxt"/>
            </w:pPr>
            <w:r w:rsidRPr="00064185">
              <w:t>Intervals of examination</w:t>
            </w:r>
          </w:p>
        </w:tc>
        <w:tc>
          <w:tcPr>
            <w:tcW w:w="3182" w:type="pct"/>
            <w:tcBorders>
              <w:top w:val="nil"/>
              <w:left w:val="nil"/>
              <w:bottom w:val="nil"/>
              <w:right w:val="nil"/>
            </w:tcBorders>
            <w:vAlign w:val="center"/>
          </w:tcPr>
          <w:p w14:paraId="45B62D7D" w14:textId="77777777" w:rsidR="00EA230B" w:rsidRPr="00064185" w:rsidRDefault="00EA230B" w:rsidP="00EA61D8">
            <w:r w:rsidRPr="00064185">
              <w:t>a) Continuously up to 2 hours maximum for knock down and for mortality after 24 and 48 hours.</w:t>
            </w:r>
          </w:p>
          <w:p w14:paraId="78FBF8A9" w14:textId="77777777" w:rsidR="00EA230B" w:rsidRPr="00064185" w:rsidRDefault="00EA230B" w:rsidP="00EA61D8">
            <w:r w:rsidRPr="00064185">
              <w:t>b) Exposure of the cockroaches for 72 hours to residues aged 1 day as well as 1, 2, 3, 4, 6, 8, 10, 12, 14, 16, 20 and 24 weeks, evaluation of knock down and mortality was done after 15 and 30 min as well as 1, 2, 6, 12, 24, 48 and 72 hours.</w:t>
            </w:r>
          </w:p>
        </w:tc>
        <w:tc>
          <w:tcPr>
            <w:tcW w:w="414" w:type="pct"/>
            <w:tcBorders>
              <w:top w:val="nil"/>
              <w:left w:val="nil"/>
              <w:bottom w:val="nil"/>
              <w:right w:val="nil"/>
            </w:tcBorders>
            <w:shd w:val="pct10" w:color="auto" w:fill="auto"/>
          </w:tcPr>
          <w:p w14:paraId="757F6CF1" w14:textId="77777777" w:rsidR="00EA230B" w:rsidRPr="00064185" w:rsidRDefault="00EA230B" w:rsidP="00EA61D8"/>
        </w:tc>
      </w:tr>
      <w:tr w:rsidR="00064185" w:rsidRPr="00064185" w14:paraId="5372C989"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E6D4EFB" w14:textId="77777777" w:rsidR="00EA230B" w:rsidRPr="00064185" w:rsidRDefault="00EA230B" w:rsidP="00EA61D8">
            <w:pPr>
              <w:pStyle w:val="TxtTxtTxt"/>
            </w:pPr>
            <w:r w:rsidRPr="00064185">
              <w:lastRenderedPageBreak/>
              <w:t xml:space="preserve">Statistics </w:t>
            </w:r>
          </w:p>
        </w:tc>
        <w:tc>
          <w:tcPr>
            <w:tcW w:w="3182" w:type="pct"/>
            <w:tcBorders>
              <w:top w:val="nil"/>
              <w:left w:val="nil"/>
              <w:bottom w:val="nil"/>
              <w:right w:val="nil"/>
            </w:tcBorders>
            <w:vAlign w:val="center"/>
          </w:tcPr>
          <w:p w14:paraId="327BCB00" w14:textId="77777777" w:rsidR="00EA230B" w:rsidRPr="00064185" w:rsidRDefault="00EA230B" w:rsidP="00EA61D8">
            <w:r w:rsidRPr="00064185">
              <w:t>–</w:t>
            </w:r>
          </w:p>
        </w:tc>
        <w:tc>
          <w:tcPr>
            <w:tcW w:w="414" w:type="pct"/>
            <w:tcBorders>
              <w:top w:val="nil"/>
              <w:left w:val="nil"/>
              <w:bottom w:val="nil"/>
              <w:right w:val="nil"/>
            </w:tcBorders>
            <w:shd w:val="pct10" w:color="auto" w:fill="auto"/>
          </w:tcPr>
          <w:p w14:paraId="52279458" w14:textId="77777777" w:rsidR="00EA230B" w:rsidRPr="00064185" w:rsidRDefault="00EA230B" w:rsidP="00EA61D8"/>
        </w:tc>
      </w:tr>
      <w:tr w:rsidR="00064185" w:rsidRPr="00064185" w14:paraId="016CA9AA"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5AA773D" w14:textId="77777777" w:rsidR="00EA230B" w:rsidRPr="00064185" w:rsidRDefault="00EA230B" w:rsidP="00EA61D8">
            <w:pPr>
              <w:pStyle w:val="TxtTxtTxt"/>
            </w:pPr>
            <w:r w:rsidRPr="00064185">
              <w:t>Post monitoring of the test organism</w:t>
            </w:r>
          </w:p>
        </w:tc>
        <w:tc>
          <w:tcPr>
            <w:tcW w:w="3182" w:type="pct"/>
            <w:tcBorders>
              <w:top w:val="nil"/>
              <w:left w:val="nil"/>
              <w:bottom w:val="nil"/>
              <w:right w:val="nil"/>
            </w:tcBorders>
            <w:vAlign w:val="center"/>
          </w:tcPr>
          <w:p w14:paraId="27AD63A3" w14:textId="77777777" w:rsidR="00EA230B" w:rsidRPr="00064185" w:rsidRDefault="00EA230B" w:rsidP="00EA61D8">
            <w:r w:rsidRPr="00064185">
              <w:t>No</w:t>
            </w:r>
          </w:p>
        </w:tc>
        <w:tc>
          <w:tcPr>
            <w:tcW w:w="414" w:type="pct"/>
            <w:tcBorders>
              <w:top w:val="nil"/>
              <w:left w:val="nil"/>
              <w:bottom w:val="nil"/>
              <w:right w:val="nil"/>
            </w:tcBorders>
            <w:shd w:val="pct10" w:color="auto" w:fill="auto"/>
          </w:tcPr>
          <w:p w14:paraId="41D41D16" w14:textId="77777777" w:rsidR="00EA230B" w:rsidRPr="00064185" w:rsidRDefault="00EA230B" w:rsidP="00EA61D8"/>
        </w:tc>
      </w:tr>
      <w:tr w:rsidR="00064185" w:rsidRPr="00064185" w14:paraId="79E47D57"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0B59BF9" w14:textId="77777777" w:rsidR="00EA230B" w:rsidRPr="00064185" w:rsidRDefault="00EA230B" w:rsidP="00EA61D8">
            <w:pPr>
              <w:pStyle w:val="TxtTxtTxt"/>
              <w:numPr>
                <w:ilvl w:val="0"/>
                <w:numId w:val="0"/>
              </w:numPr>
              <w:ind w:left="709"/>
            </w:pPr>
          </w:p>
        </w:tc>
        <w:tc>
          <w:tcPr>
            <w:tcW w:w="3182" w:type="pct"/>
            <w:tcBorders>
              <w:top w:val="nil"/>
              <w:left w:val="nil"/>
              <w:bottom w:val="nil"/>
              <w:right w:val="nil"/>
            </w:tcBorders>
            <w:vAlign w:val="center"/>
          </w:tcPr>
          <w:p w14:paraId="122D88A9" w14:textId="77777777" w:rsidR="00EA230B" w:rsidRPr="00064185" w:rsidRDefault="00EA230B" w:rsidP="00EA61D8">
            <w:pPr>
              <w:pStyle w:val="TEXTTEXT"/>
            </w:pPr>
            <w:r w:rsidRPr="00064185">
              <w:t>Results</w:t>
            </w:r>
          </w:p>
        </w:tc>
        <w:tc>
          <w:tcPr>
            <w:tcW w:w="414" w:type="pct"/>
            <w:tcBorders>
              <w:top w:val="nil"/>
              <w:left w:val="nil"/>
              <w:bottom w:val="nil"/>
              <w:right w:val="nil"/>
            </w:tcBorders>
            <w:shd w:val="pct10" w:color="auto" w:fill="auto"/>
          </w:tcPr>
          <w:p w14:paraId="77E07B3B"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3F9C374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DA97CFF" w14:textId="77777777" w:rsidR="00EA230B" w:rsidRPr="00064185" w:rsidRDefault="00EA230B" w:rsidP="00EA61D8">
            <w:pPr>
              <w:pStyle w:val="TextText11"/>
              <w:rPr>
                <w:color w:val="auto"/>
              </w:rPr>
            </w:pPr>
            <w:r w:rsidRPr="00064185">
              <w:rPr>
                <w:color w:val="auto"/>
              </w:rPr>
              <w:t>Efficacy</w:t>
            </w:r>
          </w:p>
        </w:tc>
        <w:tc>
          <w:tcPr>
            <w:tcW w:w="3182" w:type="pct"/>
            <w:tcBorders>
              <w:top w:val="nil"/>
              <w:left w:val="nil"/>
              <w:bottom w:val="nil"/>
              <w:right w:val="nil"/>
            </w:tcBorders>
            <w:vAlign w:val="center"/>
          </w:tcPr>
          <w:p w14:paraId="7A2D2F5B" w14:textId="77777777" w:rsidR="00EA230B" w:rsidRPr="00064185" w:rsidRDefault="00EA230B" w:rsidP="00EA61D8">
            <w:pPr>
              <w:pStyle w:val="Standard-italics"/>
            </w:pPr>
          </w:p>
        </w:tc>
        <w:tc>
          <w:tcPr>
            <w:tcW w:w="414" w:type="pct"/>
            <w:tcBorders>
              <w:top w:val="nil"/>
              <w:left w:val="nil"/>
              <w:bottom w:val="nil"/>
              <w:right w:val="nil"/>
            </w:tcBorders>
            <w:shd w:val="pct10" w:color="auto" w:fill="auto"/>
          </w:tcPr>
          <w:p w14:paraId="327EA567" w14:textId="77777777" w:rsidR="00EA230B" w:rsidRPr="00064185" w:rsidRDefault="00EA230B" w:rsidP="00EA61D8"/>
        </w:tc>
      </w:tr>
      <w:tr w:rsidR="00064185" w:rsidRPr="00064185" w14:paraId="7A6EC5D1"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700CCD2" w14:textId="77777777" w:rsidR="00EA230B" w:rsidRPr="00064185" w:rsidRDefault="00EA230B" w:rsidP="00EA61D8">
            <w:pPr>
              <w:pStyle w:val="TxtTxtTxt"/>
            </w:pPr>
            <w:r w:rsidRPr="00064185">
              <w:t>Dose/Efficacy curve</w:t>
            </w:r>
          </w:p>
        </w:tc>
        <w:tc>
          <w:tcPr>
            <w:tcW w:w="3182" w:type="pct"/>
            <w:tcBorders>
              <w:top w:val="nil"/>
              <w:left w:val="nil"/>
              <w:bottom w:val="nil"/>
              <w:right w:val="nil"/>
            </w:tcBorders>
            <w:vAlign w:val="center"/>
          </w:tcPr>
          <w:p w14:paraId="24BE7912" w14:textId="77777777" w:rsidR="00EA230B" w:rsidRPr="00064185" w:rsidRDefault="00EA230B" w:rsidP="00EA61D8">
            <w:pPr>
              <w:rPr>
                <w:i/>
              </w:rPr>
            </w:pPr>
            <w:r w:rsidRPr="00064185">
              <w:rPr>
                <w:i/>
              </w:rPr>
              <w:t>–</w:t>
            </w:r>
          </w:p>
        </w:tc>
        <w:tc>
          <w:tcPr>
            <w:tcW w:w="414" w:type="pct"/>
            <w:tcBorders>
              <w:top w:val="nil"/>
              <w:left w:val="nil"/>
              <w:bottom w:val="nil"/>
              <w:right w:val="nil"/>
            </w:tcBorders>
            <w:shd w:val="pct10" w:color="auto" w:fill="auto"/>
          </w:tcPr>
          <w:p w14:paraId="3A3766C7" w14:textId="77777777" w:rsidR="00EA230B" w:rsidRPr="00064185" w:rsidRDefault="00EA230B" w:rsidP="00EA61D8"/>
        </w:tc>
      </w:tr>
      <w:tr w:rsidR="00064185" w:rsidRPr="00064185" w14:paraId="4DFC702E"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6A7E7DA" w14:textId="77777777" w:rsidR="00EA230B" w:rsidRPr="00064185" w:rsidRDefault="00EA230B" w:rsidP="00EA61D8">
            <w:pPr>
              <w:pStyle w:val="TxtTxtTxt"/>
            </w:pPr>
            <w:r w:rsidRPr="00064185">
              <w:t>Begin and duration of effects</w:t>
            </w:r>
          </w:p>
        </w:tc>
        <w:tc>
          <w:tcPr>
            <w:tcW w:w="3182" w:type="pct"/>
            <w:tcBorders>
              <w:top w:val="nil"/>
              <w:left w:val="nil"/>
              <w:bottom w:val="nil"/>
              <w:right w:val="nil"/>
            </w:tcBorders>
            <w:vAlign w:val="center"/>
          </w:tcPr>
          <w:p w14:paraId="727652A9" w14:textId="77777777" w:rsidR="00EA230B" w:rsidRPr="00064185" w:rsidRDefault="00EA230B" w:rsidP="00EA61D8">
            <w:pPr>
              <w:pStyle w:val="Standard-italics"/>
              <w:rPr>
                <w:i w:val="0"/>
              </w:rPr>
            </w:pPr>
            <w:r w:rsidRPr="00064185">
              <w:rPr>
                <w:i w:val="0"/>
              </w:rPr>
              <w:t xml:space="preserve">a) Direct spray treatment: </w:t>
            </w:r>
            <w:r w:rsidRPr="00064185">
              <w:rPr>
                <w:i w:val="0"/>
              </w:rPr>
              <w:br/>
              <w:t>100% knock down efficacy was given with all tested cockroach species. Mortality after 24 hours was 100% in all cases.</w:t>
            </w:r>
            <w:r w:rsidRPr="00064185">
              <w:rPr>
                <w:i w:val="0"/>
              </w:rPr>
              <w:br/>
              <w:t>Against German cockroaches it took ca. 10 min to achieve 100% of knock down efficacy (ca. 8-11 min. range). Against Oriental cockroaches it took ca. 33 min to achieve 100% of knock down efficacy (ca. 25-47 min. range). Against American cockroaches it took ca. 27 min to achieve 100% of knock down efficacy (ca. 23-36 min. range).</w:t>
            </w:r>
          </w:p>
          <w:p w14:paraId="404E0DA3" w14:textId="77777777" w:rsidR="00EA230B" w:rsidRPr="00064185" w:rsidRDefault="00EA230B" w:rsidP="00EA61D8">
            <w:pPr>
              <w:pStyle w:val="Standard-italics"/>
              <w:rPr>
                <w:i w:val="0"/>
              </w:rPr>
            </w:pPr>
            <w:r w:rsidRPr="00064185">
              <w:rPr>
                <w:i w:val="0"/>
              </w:rPr>
              <w:t>b) Residual effects on glazed tiles</w:t>
            </w:r>
            <w:proofErr w:type="gramStart"/>
            <w:r w:rsidRPr="00064185">
              <w:rPr>
                <w:i w:val="0"/>
              </w:rPr>
              <w:t>:</w:t>
            </w:r>
            <w:proofErr w:type="gramEnd"/>
            <w:r w:rsidRPr="00064185">
              <w:rPr>
                <w:i w:val="0"/>
              </w:rPr>
              <w:br/>
              <w:t>Against German cockroaches it took 15 min up to 60 min to achieve 100% of efficacy for the complete test period of 24 weeks, in 1 out of 39 cases 2 hours. Against Oriental cockroaches, depending on the age of the residues, it took 30 min up to 12 hours to achieve 100% of efficacy. Against American cockroaches, for residues aged 1 day up to 16 weeks, it took 30 min up to 12 hours to achieve 100% of efficacy. At the end of the test period (for residues aged 20 and 24 weeks), in 2 out of 39 cases, 100% efficacy was not achieved during the exposure time of 72 hours.</w:t>
            </w:r>
          </w:p>
          <w:p w14:paraId="0D6E03F4" w14:textId="77777777" w:rsidR="00EA230B" w:rsidRPr="00064185" w:rsidRDefault="00EA230B" w:rsidP="00EA61D8">
            <w:pPr>
              <w:pStyle w:val="Standard-italics"/>
              <w:rPr>
                <w:i w:val="0"/>
              </w:rPr>
            </w:pPr>
            <w:r w:rsidRPr="00064185">
              <w:rPr>
                <w:i w:val="0"/>
              </w:rPr>
              <w:t>Residual effects on PVC: The efficacy was weaker.</w:t>
            </w:r>
            <w:r w:rsidRPr="00064185">
              <w:rPr>
                <w:i w:val="0"/>
              </w:rPr>
              <w:br/>
              <w:t>Against German cockroaches 100% efficacy was achieved for residues up to 3 weeks (within 60 min up to 72 hours after start of exposure).</w:t>
            </w:r>
            <w:r w:rsidRPr="00064185">
              <w:rPr>
                <w:i w:val="0"/>
              </w:rPr>
              <w:br/>
              <w:t>Against Oriental cockroaches 100% efficacy was achieved for residues aged 1 day, in parts for residues aged 1 week and 3 weeks (within 6 hours up to 72 hours after start of exposure).</w:t>
            </w:r>
            <w:r w:rsidRPr="00064185">
              <w:rPr>
                <w:i w:val="0"/>
              </w:rPr>
              <w:br/>
              <w:t>Against American cockroaches 100% efficacy was achieved for residues aged 6 weeks (within 60 min up to 6 hours after start of exposure).</w:t>
            </w:r>
          </w:p>
        </w:tc>
        <w:tc>
          <w:tcPr>
            <w:tcW w:w="414" w:type="pct"/>
            <w:tcBorders>
              <w:top w:val="nil"/>
              <w:left w:val="nil"/>
              <w:bottom w:val="nil"/>
              <w:right w:val="nil"/>
            </w:tcBorders>
            <w:shd w:val="pct10" w:color="auto" w:fill="auto"/>
          </w:tcPr>
          <w:p w14:paraId="509A6408" w14:textId="77777777" w:rsidR="00EA230B" w:rsidRPr="00064185" w:rsidRDefault="00EA230B" w:rsidP="00EA61D8"/>
        </w:tc>
      </w:tr>
      <w:tr w:rsidR="00064185" w:rsidRPr="00064185" w14:paraId="0B1971A6"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868766A" w14:textId="77777777" w:rsidR="00EA230B" w:rsidRPr="00064185" w:rsidRDefault="00EA230B" w:rsidP="00EA61D8">
            <w:pPr>
              <w:pStyle w:val="TextText11"/>
              <w:rPr>
                <w:color w:val="auto"/>
              </w:rPr>
            </w:pPr>
            <w:r w:rsidRPr="00064185">
              <w:rPr>
                <w:color w:val="auto"/>
              </w:rPr>
              <w:t xml:space="preserve">Tabular </w:t>
            </w:r>
            <w:r w:rsidRPr="00064185">
              <w:rPr>
                <w:color w:val="auto"/>
              </w:rPr>
              <w:lastRenderedPageBreak/>
              <w:t>and/or graphical presentation of the summarised results</w:t>
            </w:r>
          </w:p>
        </w:tc>
        <w:tc>
          <w:tcPr>
            <w:tcW w:w="3182" w:type="pct"/>
            <w:tcBorders>
              <w:top w:val="nil"/>
              <w:left w:val="nil"/>
              <w:bottom w:val="nil"/>
              <w:right w:val="nil"/>
            </w:tcBorders>
            <w:vAlign w:val="center"/>
          </w:tcPr>
          <w:p w14:paraId="0A93BB52" w14:textId="77777777" w:rsidR="00EA230B" w:rsidRPr="00064185" w:rsidRDefault="00EA230B" w:rsidP="00EA61D8">
            <w:r w:rsidRPr="00064185">
              <w:lastRenderedPageBreak/>
              <w:t>See Table B5.10_1</w:t>
            </w:r>
          </w:p>
        </w:tc>
        <w:tc>
          <w:tcPr>
            <w:tcW w:w="414" w:type="pct"/>
            <w:tcBorders>
              <w:top w:val="nil"/>
              <w:left w:val="nil"/>
              <w:bottom w:val="nil"/>
              <w:right w:val="nil"/>
            </w:tcBorders>
            <w:shd w:val="pct10" w:color="auto" w:fill="auto"/>
          </w:tcPr>
          <w:p w14:paraId="6085E119" w14:textId="77777777" w:rsidR="00EA230B" w:rsidRPr="00064185" w:rsidRDefault="00EA230B" w:rsidP="00EA61D8"/>
        </w:tc>
      </w:tr>
      <w:tr w:rsidR="00064185" w:rsidRPr="00064185" w14:paraId="498CAEE6"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A29A08E" w14:textId="77777777" w:rsidR="00EA230B" w:rsidRPr="00064185" w:rsidRDefault="00EA230B" w:rsidP="00EA61D8">
            <w:pPr>
              <w:pStyle w:val="TextText11"/>
              <w:rPr>
                <w:color w:val="auto"/>
              </w:rPr>
            </w:pPr>
            <w:r w:rsidRPr="00064185">
              <w:rPr>
                <w:color w:val="auto"/>
              </w:rPr>
              <w:lastRenderedPageBreak/>
              <w:t>Efficacy limiting factors</w:t>
            </w:r>
          </w:p>
        </w:tc>
        <w:tc>
          <w:tcPr>
            <w:tcW w:w="3182" w:type="pct"/>
            <w:tcBorders>
              <w:top w:val="nil"/>
              <w:left w:val="nil"/>
              <w:bottom w:val="nil"/>
              <w:right w:val="nil"/>
            </w:tcBorders>
            <w:vAlign w:val="center"/>
          </w:tcPr>
          <w:p w14:paraId="5A014AB7" w14:textId="77777777" w:rsidR="00EA230B" w:rsidRPr="00064185" w:rsidRDefault="00EA230B" w:rsidP="00EA61D8">
            <w:pPr>
              <w:rPr>
                <w:i/>
              </w:rPr>
            </w:pPr>
          </w:p>
        </w:tc>
        <w:tc>
          <w:tcPr>
            <w:tcW w:w="414" w:type="pct"/>
            <w:tcBorders>
              <w:top w:val="nil"/>
              <w:left w:val="nil"/>
              <w:bottom w:val="nil"/>
              <w:right w:val="nil"/>
            </w:tcBorders>
            <w:shd w:val="pct10" w:color="auto" w:fill="auto"/>
          </w:tcPr>
          <w:p w14:paraId="7E9C343B" w14:textId="77777777" w:rsidR="00EA230B" w:rsidRPr="00064185" w:rsidRDefault="00EA230B" w:rsidP="00EA61D8"/>
        </w:tc>
      </w:tr>
      <w:tr w:rsidR="00064185" w:rsidRPr="00064185" w14:paraId="76155F51"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51E83F3" w14:textId="77777777" w:rsidR="00EA230B" w:rsidRPr="00064185" w:rsidRDefault="00EA230B" w:rsidP="00EA61D8">
            <w:pPr>
              <w:pStyle w:val="TxtTxtTxt"/>
            </w:pPr>
            <w:r w:rsidRPr="00064185">
              <w:t>Occurrences of resistances</w:t>
            </w:r>
          </w:p>
        </w:tc>
        <w:tc>
          <w:tcPr>
            <w:tcW w:w="3182" w:type="pct"/>
            <w:tcBorders>
              <w:top w:val="nil"/>
              <w:left w:val="nil"/>
              <w:bottom w:val="nil"/>
              <w:right w:val="nil"/>
            </w:tcBorders>
            <w:vAlign w:val="center"/>
          </w:tcPr>
          <w:p w14:paraId="6EB8C54F" w14:textId="77777777" w:rsidR="00EA230B" w:rsidRPr="00064185" w:rsidRDefault="00EA230B" w:rsidP="00EA61D8">
            <w:r w:rsidRPr="00064185">
              <w:t>Due to the mode of action a development of resistance is neither to be expected nor has ever been observed.</w:t>
            </w:r>
          </w:p>
        </w:tc>
        <w:tc>
          <w:tcPr>
            <w:tcW w:w="414" w:type="pct"/>
            <w:tcBorders>
              <w:top w:val="nil"/>
              <w:left w:val="nil"/>
              <w:bottom w:val="nil"/>
              <w:right w:val="nil"/>
            </w:tcBorders>
            <w:shd w:val="pct10" w:color="auto" w:fill="auto"/>
          </w:tcPr>
          <w:p w14:paraId="41766534" w14:textId="77777777" w:rsidR="00EA230B" w:rsidRPr="00064185" w:rsidRDefault="00EA230B" w:rsidP="00EA61D8"/>
        </w:tc>
      </w:tr>
      <w:tr w:rsidR="00064185" w:rsidRPr="00064185" w14:paraId="67160C6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03" w:type="pct"/>
            <w:tcBorders>
              <w:top w:val="nil"/>
              <w:left w:val="nil"/>
              <w:bottom w:val="nil"/>
              <w:right w:val="nil"/>
            </w:tcBorders>
          </w:tcPr>
          <w:p w14:paraId="2CF6A80E" w14:textId="77777777" w:rsidR="00EA230B" w:rsidRPr="00064185" w:rsidRDefault="00EA230B" w:rsidP="00EA61D8">
            <w:pPr>
              <w:pStyle w:val="TxtTxtTxt"/>
            </w:pPr>
            <w:r w:rsidRPr="00064185">
              <w:t>Other limiting factors</w:t>
            </w:r>
          </w:p>
        </w:tc>
        <w:tc>
          <w:tcPr>
            <w:tcW w:w="3182" w:type="pct"/>
            <w:tcBorders>
              <w:top w:val="nil"/>
              <w:left w:val="nil"/>
              <w:bottom w:val="nil"/>
              <w:right w:val="nil"/>
            </w:tcBorders>
            <w:vAlign w:val="center"/>
          </w:tcPr>
          <w:p w14:paraId="0D99DDDB" w14:textId="77777777" w:rsidR="00EA230B" w:rsidRPr="00064185" w:rsidRDefault="00EA230B" w:rsidP="00EA61D8">
            <w:r w:rsidRPr="00064185">
              <w:t>Not applicable</w:t>
            </w:r>
          </w:p>
        </w:tc>
        <w:tc>
          <w:tcPr>
            <w:tcW w:w="414" w:type="pct"/>
            <w:tcBorders>
              <w:top w:val="nil"/>
              <w:left w:val="nil"/>
              <w:bottom w:val="nil"/>
              <w:right w:val="nil"/>
            </w:tcBorders>
            <w:shd w:val="pct10" w:color="auto" w:fill="auto"/>
          </w:tcPr>
          <w:p w14:paraId="62E0D9F2" w14:textId="77777777" w:rsidR="00EA230B" w:rsidRPr="00064185" w:rsidRDefault="00EA230B" w:rsidP="00EA61D8"/>
        </w:tc>
      </w:tr>
      <w:tr w:rsidR="00064185" w:rsidRPr="00064185" w14:paraId="496ADD76"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3E5BB8E" w14:textId="77777777" w:rsidR="00EA230B" w:rsidRPr="00064185" w:rsidRDefault="00EA230B" w:rsidP="00EA61D8">
            <w:pPr>
              <w:pStyle w:val="TxtTxtTxt"/>
              <w:numPr>
                <w:ilvl w:val="0"/>
                <w:numId w:val="0"/>
              </w:numPr>
              <w:ind w:left="709"/>
            </w:pPr>
          </w:p>
        </w:tc>
        <w:tc>
          <w:tcPr>
            <w:tcW w:w="3182" w:type="pct"/>
            <w:tcBorders>
              <w:top w:val="nil"/>
              <w:left w:val="nil"/>
              <w:bottom w:val="nil"/>
              <w:right w:val="nil"/>
            </w:tcBorders>
            <w:vAlign w:val="center"/>
          </w:tcPr>
          <w:p w14:paraId="2F591A04" w14:textId="77777777" w:rsidR="00EA230B" w:rsidRPr="00064185" w:rsidRDefault="00EA230B" w:rsidP="00EA61D8">
            <w:pPr>
              <w:pStyle w:val="TEXTTEXT"/>
            </w:pPr>
            <w:r w:rsidRPr="00064185">
              <w:t>Relevance of the results compared to field conditions</w:t>
            </w:r>
          </w:p>
        </w:tc>
        <w:tc>
          <w:tcPr>
            <w:tcW w:w="414" w:type="pct"/>
            <w:tcBorders>
              <w:top w:val="nil"/>
              <w:left w:val="nil"/>
              <w:bottom w:val="nil"/>
              <w:right w:val="nil"/>
            </w:tcBorders>
            <w:shd w:val="pct10" w:color="auto" w:fill="auto"/>
          </w:tcPr>
          <w:p w14:paraId="0847E6B8" w14:textId="77777777" w:rsidR="00EA230B" w:rsidRPr="00064185" w:rsidRDefault="00EA230B" w:rsidP="00EA61D8">
            <w:pPr>
              <w:keepNext/>
            </w:pPr>
          </w:p>
        </w:tc>
      </w:tr>
      <w:tr w:rsidR="00064185" w:rsidRPr="00064185" w14:paraId="17DF46AA"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3BECFAF" w14:textId="77777777" w:rsidR="00EA230B" w:rsidRPr="00064185" w:rsidRDefault="00EA230B" w:rsidP="00EA61D8">
            <w:pPr>
              <w:pStyle w:val="TextText11"/>
              <w:rPr>
                <w:color w:val="auto"/>
              </w:rPr>
            </w:pPr>
            <w:r w:rsidRPr="00064185">
              <w:rPr>
                <w:color w:val="auto"/>
              </w:rPr>
              <w:t>Reasons for laboratory testing</w:t>
            </w:r>
          </w:p>
        </w:tc>
        <w:tc>
          <w:tcPr>
            <w:tcW w:w="3182" w:type="pct"/>
            <w:tcBorders>
              <w:top w:val="nil"/>
              <w:left w:val="nil"/>
              <w:bottom w:val="nil"/>
              <w:right w:val="nil"/>
            </w:tcBorders>
            <w:vAlign w:val="center"/>
          </w:tcPr>
          <w:p w14:paraId="6A3241EA" w14:textId="77777777" w:rsidR="00EA230B" w:rsidRPr="00064185" w:rsidRDefault="00EA230B" w:rsidP="00EA61D8">
            <w:r w:rsidRPr="00064185">
              <w:t>It is easier and more precisely to test a product against cockroaches in a laboratory arena. The conditions are comparable and controllable; the number of organisms is defined. The observations and counting are easier and more correct.</w:t>
            </w:r>
          </w:p>
        </w:tc>
        <w:tc>
          <w:tcPr>
            <w:tcW w:w="414" w:type="pct"/>
            <w:tcBorders>
              <w:top w:val="nil"/>
              <w:left w:val="nil"/>
              <w:bottom w:val="nil"/>
              <w:right w:val="nil"/>
            </w:tcBorders>
            <w:shd w:val="pct10" w:color="auto" w:fill="auto"/>
          </w:tcPr>
          <w:p w14:paraId="2517A9F1" w14:textId="77777777" w:rsidR="00EA230B" w:rsidRPr="00064185" w:rsidRDefault="00EA230B" w:rsidP="00EA61D8"/>
        </w:tc>
      </w:tr>
      <w:tr w:rsidR="00064185" w:rsidRPr="00064185" w14:paraId="1829DF47"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BA69F81" w14:textId="77777777" w:rsidR="00EA230B" w:rsidRPr="00064185" w:rsidRDefault="00EA230B" w:rsidP="00EA61D8">
            <w:pPr>
              <w:pStyle w:val="TextText11"/>
              <w:rPr>
                <w:color w:val="auto"/>
              </w:rPr>
            </w:pPr>
            <w:r w:rsidRPr="00064185">
              <w:rPr>
                <w:color w:val="auto"/>
              </w:rPr>
              <w:t>Intended actual scale of biocide application</w:t>
            </w:r>
          </w:p>
        </w:tc>
        <w:tc>
          <w:tcPr>
            <w:tcW w:w="3182" w:type="pct"/>
            <w:tcBorders>
              <w:top w:val="nil"/>
              <w:left w:val="nil"/>
              <w:bottom w:val="nil"/>
              <w:right w:val="nil"/>
            </w:tcBorders>
            <w:vAlign w:val="center"/>
          </w:tcPr>
          <w:p w14:paraId="7241F718" w14:textId="77777777" w:rsidR="00EA230B" w:rsidRPr="00064185" w:rsidRDefault="00EA230B" w:rsidP="00EA61D8">
            <w:r w:rsidRPr="00064185">
              <w:t>For application in and around domestic and commercial premises.</w:t>
            </w:r>
          </w:p>
        </w:tc>
        <w:tc>
          <w:tcPr>
            <w:tcW w:w="414" w:type="pct"/>
            <w:tcBorders>
              <w:top w:val="nil"/>
              <w:left w:val="nil"/>
              <w:bottom w:val="nil"/>
              <w:right w:val="nil"/>
            </w:tcBorders>
            <w:shd w:val="pct10" w:color="auto" w:fill="auto"/>
          </w:tcPr>
          <w:p w14:paraId="67B14ED3" w14:textId="77777777" w:rsidR="00EA230B" w:rsidRPr="00064185" w:rsidRDefault="00EA230B" w:rsidP="00EA61D8"/>
        </w:tc>
      </w:tr>
      <w:tr w:rsidR="00064185" w:rsidRPr="00064185" w14:paraId="58070838"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19676C7B" w14:textId="77777777" w:rsidR="00EA230B" w:rsidRPr="00064185" w:rsidRDefault="00EA230B" w:rsidP="00EA61D8">
            <w:pPr>
              <w:pStyle w:val="TextText11"/>
              <w:rPr>
                <w:color w:val="auto"/>
              </w:rPr>
            </w:pPr>
            <w:r w:rsidRPr="00064185">
              <w:rPr>
                <w:color w:val="auto"/>
              </w:rPr>
              <w:t>Relevance compared to field conditions</w:t>
            </w:r>
          </w:p>
        </w:tc>
        <w:tc>
          <w:tcPr>
            <w:tcW w:w="3182" w:type="pct"/>
            <w:tcBorders>
              <w:top w:val="nil"/>
              <w:left w:val="nil"/>
              <w:bottom w:val="nil"/>
              <w:right w:val="nil"/>
            </w:tcBorders>
            <w:vAlign w:val="center"/>
          </w:tcPr>
          <w:p w14:paraId="2FB95B50" w14:textId="77777777" w:rsidR="00EA230B" w:rsidRPr="00064185" w:rsidRDefault="00EA230B" w:rsidP="00EA61D8">
            <w:pPr>
              <w:pStyle w:val="Standard-italics"/>
            </w:pPr>
          </w:p>
        </w:tc>
        <w:tc>
          <w:tcPr>
            <w:tcW w:w="414" w:type="pct"/>
            <w:tcBorders>
              <w:top w:val="nil"/>
              <w:left w:val="nil"/>
              <w:bottom w:val="nil"/>
              <w:right w:val="nil"/>
            </w:tcBorders>
            <w:shd w:val="pct10" w:color="auto" w:fill="auto"/>
          </w:tcPr>
          <w:p w14:paraId="74F0E17A" w14:textId="77777777" w:rsidR="00EA230B" w:rsidRPr="00064185" w:rsidRDefault="00EA230B" w:rsidP="00EA61D8"/>
        </w:tc>
      </w:tr>
      <w:tr w:rsidR="00064185" w:rsidRPr="00064185" w14:paraId="46F35495"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0D332C6" w14:textId="77777777" w:rsidR="00EA230B" w:rsidRPr="00064185" w:rsidRDefault="00EA230B" w:rsidP="00EA61D8">
            <w:pPr>
              <w:pStyle w:val="TxtTxtTxt"/>
            </w:pPr>
            <w:r w:rsidRPr="00064185">
              <w:t>Application method</w:t>
            </w:r>
          </w:p>
        </w:tc>
        <w:tc>
          <w:tcPr>
            <w:tcW w:w="3182" w:type="pct"/>
            <w:tcBorders>
              <w:top w:val="nil"/>
              <w:left w:val="nil"/>
              <w:bottom w:val="nil"/>
              <w:right w:val="nil"/>
            </w:tcBorders>
            <w:vAlign w:val="center"/>
          </w:tcPr>
          <w:p w14:paraId="614F9505" w14:textId="77777777" w:rsidR="00EA230B" w:rsidRPr="00064185" w:rsidRDefault="00EA230B" w:rsidP="00EA61D8">
            <w:pPr>
              <w:pStyle w:val="Standard-italics"/>
              <w:rPr>
                <w:i w:val="0"/>
              </w:rPr>
            </w:pPr>
            <w:r w:rsidRPr="00064185">
              <w:rPr>
                <w:i w:val="0"/>
              </w:rPr>
              <w:t>Yes, applied according to the label recommendations.</w:t>
            </w:r>
          </w:p>
        </w:tc>
        <w:tc>
          <w:tcPr>
            <w:tcW w:w="414" w:type="pct"/>
            <w:tcBorders>
              <w:top w:val="nil"/>
              <w:left w:val="nil"/>
              <w:bottom w:val="nil"/>
              <w:right w:val="nil"/>
            </w:tcBorders>
            <w:shd w:val="pct10" w:color="auto" w:fill="auto"/>
          </w:tcPr>
          <w:p w14:paraId="4514B868" w14:textId="77777777" w:rsidR="00EA230B" w:rsidRPr="00064185" w:rsidRDefault="00EA230B" w:rsidP="00EA61D8"/>
        </w:tc>
      </w:tr>
      <w:tr w:rsidR="00064185" w:rsidRPr="00064185" w14:paraId="14D45922"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000BA10" w14:textId="77777777" w:rsidR="00EA230B" w:rsidRPr="00064185" w:rsidRDefault="00EA230B" w:rsidP="00EA61D8">
            <w:pPr>
              <w:pStyle w:val="TxtTxtTxt"/>
            </w:pPr>
            <w:r w:rsidRPr="00064185">
              <w:t>Test organism</w:t>
            </w:r>
          </w:p>
        </w:tc>
        <w:tc>
          <w:tcPr>
            <w:tcW w:w="3182" w:type="pct"/>
            <w:tcBorders>
              <w:top w:val="nil"/>
              <w:left w:val="nil"/>
              <w:bottom w:val="nil"/>
              <w:right w:val="nil"/>
            </w:tcBorders>
            <w:vAlign w:val="center"/>
          </w:tcPr>
          <w:p w14:paraId="36EEBACD" w14:textId="77777777" w:rsidR="00EA230B" w:rsidRPr="00064185" w:rsidRDefault="00EA230B" w:rsidP="00EA61D8">
            <w:pPr>
              <w:pStyle w:val="Standard-italics"/>
              <w:rPr>
                <w:i w:val="0"/>
              </w:rPr>
            </w:pPr>
            <w:r w:rsidRPr="00064185">
              <w:rPr>
                <w:i w:val="0"/>
              </w:rPr>
              <w:t xml:space="preserve">Yes, the cockroaches </w:t>
            </w:r>
            <w:r w:rsidRPr="00064185">
              <w:t xml:space="preserve">Blattella germanica, Blatta orientalis, Periplaneta americana </w:t>
            </w:r>
            <w:r w:rsidRPr="00064185">
              <w:rPr>
                <w:i w:val="0"/>
              </w:rPr>
              <w:t>are typical pests in homes.</w:t>
            </w:r>
          </w:p>
        </w:tc>
        <w:tc>
          <w:tcPr>
            <w:tcW w:w="414" w:type="pct"/>
            <w:tcBorders>
              <w:top w:val="nil"/>
              <w:left w:val="nil"/>
              <w:bottom w:val="nil"/>
              <w:right w:val="nil"/>
            </w:tcBorders>
            <w:shd w:val="pct10" w:color="auto" w:fill="auto"/>
          </w:tcPr>
          <w:p w14:paraId="7F810CC8" w14:textId="77777777" w:rsidR="00EA230B" w:rsidRPr="00064185" w:rsidRDefault="00EA230B" w:rsidP="00EA61D8"/>
        </w:tc>
      </w:tr>
      <w:tr w:rsidR="00064185" w:rsidRPr="00064185" w14:paraId="33220E57"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16C2639" w14:textId="77777777" w:rsidR="00EA230B" w:rsidRPr="00064185" w:rsidRDefault="00EA230B" w:rsidP="00EA61D8">
            <w:pPr>
              <w:pStyle w:val="TxtTxtTxt"/>
            </w:pPr>
            <w:r w:rsidRPr="00064185">
              <w:t xml:space="preserve">Observed effect </w:t>
            </w:r>
          </w:p>
        </w:tc>
        <w:tc>
          <w:tcPr>
            <w:tcW w:w="3182" w:type="pct"/>
            <w:tcBorders>
              <w:top w:val="nil"/>
              <w:left w:val="nil"/>
              <w:bottom w:val="nil"/>
              <w:right w:val="nil"/>
            </w:tcBorders>
            <w:vAlign w:val="center"/>
          </w:tcPr>
          <w:p w14:paraId="1D032D61" w14:textId="77777777" w:rsidR="00EA230B" w:rsidRPr="00064185" w:rsidRDefault="00EA230B" w:rsidP="00EA61D8">
            <w:r w:rsidRPr="00064185">
              <w:t>A complete efficacy against the different cockroach species could be determined.</w:t>
            </w:r>
          </w:p>
        </w:tc>
        <w:tc>
          <w:tcPr>
            <w:tcW w:w="414" w:type="pct"/>
            <w:tcBorders>
              <w:top w:val="nil"/>
              <w:left w:val="nil"/>
              <w:bottom w:val="nil"/>
              <w:right w:val="nil"/>
            </w:tcBorders>
            <w:shd w:val="pct10" w:color="auto" w:fill="auto"/>
          </w:tcPr>
          <w:p w14:paraId="1DF09F75" w14:textId="77777777" w:rsidR="00EA230B" w:rsidRPr="00064185" w:rsidRDefault="00EA230B" w:rsidP="00EA61D8"/>
        </w:tc>
      </w:tr>
      <w:tr w:rsidR="00064185" w:rsidRPr="00064185" w14:paraId="4058ED4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C8CFA58" w14:textId="77777777" w:rsidR="00EA230B" w:rsidRPr="00064185" w:rsidRDefault="00EA230B" w:rsidP="00EA61D8">
            <w:pPr>
              <w:pStyle w:val="TextText11"/>
              <w:rPr>
                <w:color w:val="auto"/>
              </w:rPr>
            </w:pPr>
            <w:r w:rsidRPr="00064185">
              <w:rPr>
                <w:color w:val="auto"/>
              </w:rPr>
              <w:t xml:space="preserve">Relevance </w:t>
            </w:r>
            <w:r w:rsidRPr="00064185">
              <w:rPr>
                <w:color w:val="auto"/>
              </w:rPr>
              <w:lastRenderedPageBreak/>
              <w:t>for read-across</w:t>
            </w:r>
          </w:p>
        </w:tc>
        <w:tc>
          <w:tcPr>
            <w:tcW w:w="3182" w:type="pct"/>
            <w:tcBorders>
              <w:top w:val="nil"/>
              <w:left w:val="nil"/>
              <w:bottom w:val="nil"/>
              <w:right w:val="nil"/>
            </w:tcBorders>
            <w:vAlign w:val="center"/>
          </w:tcPr>
          <w:p w14:paraId="076CDA8A" w14:textId="77777777" w:rsidR="00EA230B" w:rsidRPr="00064185" w:rsidRDefault="00EA230B" w:rsidP="00EA61D8">
            <w:pPr>
              <w:pStyle w:val="Standard-italics"/>
              <w:rPr>
                <w:i w:val="0"/>
              </w:rPr>
            </w:pPr>
            <w:r w:rsidRPr="00064185">
              <w:rPr>
                <w:i w:val="0"/>
              </w:rPr>
              <w:lastRenderedPageBreak/>
              <w:t xml:space="preserve">Yes </w:t>
            </w:r>
          </w:p>
        </w:tc>
        <w:tc>
          <w:tcPr>
            <w:tcW w:w="414" w:type="pct"/>
            <w:tcBorders>
              <w:top w:val="nil"/>
              <w:left w:val="nil"/>
              <w:bottom w:val="nil"/>
              <w:right w:val="nil"/>
            </w:tcBorders>
            <w:shd w:val="pct10" w:color="auto" w:fill="auto"/>
          </w:tcPr>
          <w:p w14:paraId="76088811" w14:textId="77777777" w:rsidR="00EA230B" w:rsidRPr="00064185" w:rsidRDefault="00EA230B" w:rsidP="00EA61D8"/>
        </w:tc>
      </w:tr>
      <w:tr w:rsidR="00064185" w:rsidRPr="00064185" w14:paraId="5236ECD5" w14:textId="77777777" w:rsidTr="00E80C20">
        <w:tc>
          <w:tcPr>
            <w:tcW w:w="1403" w:type="pct"/>
          </w:tcPr>
          <w:p w14:paraId="2E92EB33" w14:textId="77777777" w:rsidR="00EA230B" w:rsidRPr="00064185" w:rsidRDefault="00EA230B" w:rsidP="00EA61D8">
            <w:pPr>
              <w:pStyle w:val="TextText11"/>
              <w:numPr>
                <w:ilvl w:val="0"/>
                <w:numId w:val="0"/>
              </w:numPr>
              <w:ind w:left="709"/>
              <w:rPr>
                <w:color w:val="auto"/>
              </w:rPr>
            </w:pPr>
          </w:p>
        </w:tc>
        <w:tc>
          <w:tcPr>
            <w:tcW w:w="3182" w:type="pct"/>
            <w:vAlign w:val="center"/>
          </w:tcPr>
          <w:p w14:paraId="5555BE6C" w14:textId="77777777" w:rsidR="00EA230B" w:rsidRPr="00064185" w:rsidRDefault="00EA230B" w:rsidP="00EA61D8">
            <w:pPr>
              <w:pStyle w:val="TEXTTEXT"/>
            </w:pPr>
            <w:r w:rsidRPr="00064185">
              <w:t>Applicant's Summary and conclusion</w:t>
            </w:r>
          </w:p>
        </w:tc>
        <w:tc>
          <w:tcPr>
            <w:tcW w:w="414" w:type="pct"/>
            <w:shd w:val="pct10" w:color="auto" w:fill="auto"/>
          </w:tcPr>
          <w:p w14:paraId="5577063B" w14:textId="77777777" w:rsidR="00EA230B" w:rsidRPr="00064185" w:rsidRDefault="00EA230B" w:rsidP="00EA61D8">
            <w:pPr>
              <w:pStyle w:val="Kopfzeile"/>
              <w:keepNext/>
              <w:tabs>
                <w:tab w:val="clear" w:pos="4536"/>
                <w:tab w:val="clear" w:pos="9072"/>
              </w:tabs>
              <w:spacing w:before="60" w:after="60"/>
              <w:rPr>
                <w:lang w:val="en-GB"/>
              </w:rPr>
            </w:pPr>
          </w:p>
        </w:tc>
      </w:tr>
      <w:tr w:rsidR="00064185" w:rsidRPr="00064185" w14:paraId="1E6E06A3" w14:textId="77777777" w:rsidTr="00E80C20">
        <w:tc>
          <w:tcPr>
            <w:tcW w:w="1403" w:type="pct"/>
          </w:tcPr>
          <w:p w14:paraId="20289AB2" w14:textId="77777777" w:rsidR="00EA230B" w:rsidRPr="00064185" w:rsidRDefault="00EA230B" w:rsidP="00EA61D8">
            <w:pPr>
              <w:pStyle w:val="TextText11"/>
              <w:rPr>
                <w:color w:val="auto"/>
              </w:rPr>
            </w:pPr>
            <w:r w:rsidRPr="00064185">
              <w:rPr>
                <w:color w:val="auto"/>
              </w:rPr>
              <w:t>Materials and methods</w:t>
            </w:r>
          </w:p>
        </w:tc>
        <w:tc>
          <w:tcPr>
            <w:tcW w:w="3182" w:type="pct"/>
            <w:vAlign w:val="center"/>
          </w:tcPr>
          <w:p w14:paraId="50C3670B" w14:textId="77777777" w:rsidR="00EA230B" w:rsidRPr="00064185" w:rsidRDefault="00EA230B" w:rsidP="00EA61D8">
            <w:pPr>
              <w:pStyle w:val="Standard-italics"/>
              <w:rPr>
                <w:i w:val="0"/>
              </w:rPr>
            </w:pPr>
            <w:r w:rsidRPr="00064185">
              <w:rPr>
                <w:i w:val="0"/>
              </w:rPr>
              <w:t>Assessment of the efficacy of speciality products under laboratory conditions to control cockroaches by measuring the knock down effect and mortality after direct spray treatment and assessing the residual effects (up to 24 weeks) after spraying of glazed tiles or PVC tiles.</w:t>
            </w:r>
          </w:p>
        </w:tc>
        <w:tc>
          <w:tcPr>
            <w:tcW w:w="414" w:type="pct"/>
            <w:shd w:val="pct10" w:color="auto" w:fill="auto"/>
          </w:tcPr>
          <w:p w14:paraId="7354FCAA" w14:textId="77777777" w:rsidR="00EA230B" w:rsidRPr="00064185" w:rsidRDefault="00EA230B" w:rsidP="00EA61D8">
            <w:pPr>
              <w:keepNext/>
            </w:pPr>
          </w:p>
        </w:tc>
      </w:tr>
      <w:tr w:rsidR="00064185" w:rsidRPr="00064185" w14:paraId="41FA7899" w14:textId="77777777" w:rsidTr="00E80C20">
        <w:tc>
          <w:tcPr>
            <w:tcW w:w="1403" w:type="pct"/>
          </w:tcPr>
          <w:p w14:paraId="7E015EDF" w14:textId="77777777" w:rsidR="00EA230B" w:rsidRPr="00064185" w:rsidRDefault="00EA230B" w:rsidP="00EA61D8">
            <w:pPr>
              <w:pStyle w:val="TextText11"/>
              <w:rPr>
                <w:color w:val="auto"/>
              </w:rPr>
            </w:pPr>
            <w:r w:rsidRPr="00064185">
              <w:rPr>
                <w:color w:val="auto"/>
              </w:rPr>
              <w:t>Reliability</w:t>
            </w:r>
          </w:p>
        </w:tc>
        <w:tc>
          <w:tcPr>
            <w:tcW w:w="3182" w:type="pct"/>
            <w:vAlign w:val="center"/>
          </w:tcPr>
          <w:p w14:paraId="15A1920B" w14:textId="77777777" w:rsidR="00EA230B" w:rsidRPr="00064185" w:rsidRDefault="00EA230B" w:rsidP="00EA61D8">
            <w:pPr>
              <w:pStyle w:val="Standard-italics"/>
              <w:rPr>
                <w:i w:val="0"/>
              </w:rPr>
            </w:pPr>
            <w:r w:rsidRPr="00064185">
              <w:rPr>
                <w:i w:val="0"/>
              </w:rPr>
              <w:t>1</w:t>
            </w:r>
          </w:p>
        </w:tc>
        <w:tc>
          <w:tcPr>
            <w:tcW w:w="414" w:type="pct"/>
            <w:shd w:val="pct10" w:color="auto" w:fill="auto"/>
          </w:tcPr>
          <w:p w14:paraId="726C5B60" w14:textId="77777777" w:rsidR="00EA230B" w:rsidRPr="00064185" w:rsidRDefault="00EA230B" w:rsidP="00EA61D8"/>
        </w:tc>
      </w:tr>
      <w:tr w:rsidR="00064185" w:rsidRPr="00064185" w14:paraId="35734E89" w14:textId="77777777" w:rsidTr="00E80C20">
        <w:tc>
          <w:tcPr>
            <w:tcW w:w="1403" w:type="pct"/>
          </w:tcPr>
          <w:p w14:paraId="40F14FD6" w14:textId="77777777" w:rsidR="00EA230B" w:rsidRPr="00064185" w:rsidRDefault="00EA230B" w:rsidP="00EA61D8">
            <w:pPr>
              <w:pStyle w:val="TextText11"/>
              <w:rPr>
                <w:color w:val="auto"/>
              </w:rPr>
            </w:pPr>
            <w:r w:rsidRPr="00064185">
              <w:rPr>
                <w:color w:val="auto"/>
              </w:rPr>
              <w:t>Assessment of efficacy, data analysis and interpretation</w:t>
            </w:r>
          </w:p>
        </w:tc>
        <w:tc>
          <w:tcPr>
            <w:tcW w:w="3182" w:type="pct"/>
            <w:vAlign w:val="center"/>
          </w:tcPr>
          <w:p w14:paraId="04909ECF" w14:textId="77777777" w:rsidR="00EA230B" w:rsidRPr="00064185" w:rsidRDefault="00EA230B" w:rsidP="00EA61D8">
            <w:pPr>
              <w:pStyle w:val="Standard-italics"/>
              <w:rPr>
                <w:i w:val="0"/>
              </w:rPr>
            </w:pPr>
            <w:r w:rsidRPr="00064185">
              <w:rPr>
                <w:i w:val="0"/>
              </w:rPr>
              <w:t xml:space="preserve">In the conditions of the trial, COM 116 02 I AL (spray) has proved a complete and fast efficacy towards the cockroach species </w:t>
            </w:r>
            <w:r w:rsidRPr="00064185">
              <w:t>Blattela germanica</w:t>
            </w:r>
            <w:r w:rsidRPr="00064185">
              <w:rPr>
                <w:i w:val="0"/>
              </w:rPr>
              <w:t xml:space="preserve">, </w:t>
            </w:r>
            <w:r w:rsidRPr="00064185">
              <w:t>Blatta orientalis</w:t>
            </w:r>
            <w:r w:rsidRPr="00064185">
              <w:rPr>
                <w:i w:val="0"/>
              </w:rPr>
              <w:t xml:space="preserve"> and </w:t>
            </w:r>
            <w:r w:rsidRPr="00064185">
              <w:t>Periplaneta americana.</w:t>
            </w:r>
          </w:p>
        </w:tc>
        <w:tc>
          <w:tcPr>
            <w:tcW w:w="414" w:type="pct"/>
            <w:shd w:val="pct10" w:color="auto" w:fill="auto"/>
          </w:tcPr>
          <w:p w14:paraId="3B292B6A" w14:textId="77777777" w:rsidR="00EA230B" w:rsidRPr="00064185" w:rsidRDefault="00EA230B" w:rsidP="00EA61D8"/>
        </w:tc>
      </w:tr>
      <w:tr w:rsidR="00064185" w:rsidRPr="00064185" w14:paraId="2F72D543" w14:textId="77777777" w:rsidTr="00E80C20">
        <w:tc>
          <w:tcPr>
            <w:tcW w:w="1403" w:type="pct"/>
          </w:tcPr>
          <w:p w14:paraId="2398AD1F" w14:textId="77777777" w:rsidR="00EA230B" w:rsidRPr="00064185" w:rsidRDefault="00EA230B" w:rsidP="00EA61D8">
            <w:pPr>
              <w:pStyle w:val="TextText11"/>
              <w:rPr>
                <w:color w:val="auto"/>
              </w:rPr>
            </w:pPr>
            <w:r w:rsidRPr="00064185">
              <w:rPr>
                <w:color w:val="auto"/>
              </w:rPr>
              <w:t>Conclusion</w:t>
            </w:r>
          </w:p>
        </w:tc>
        <w:tc>
          <w:tcPr>
            <w:tcW w:w="3182" w:type="pct"/>
            <w:vAlign w:val="center"/>
          </w:tcPr>
          <w:p w14:paraId="33363F73" w14:textId="77777777" w:rsidR="00EA230B" w:rsidRPr="00064185" w:rsidRDefault="00EA230B" w:rsidP="00EA61D8">
            <w:pPr>
              <w:pStyle w:val="Standard-italics"/>
              <w:rPr>
                <w:i w:val="0"/>
              </w:rPr>
            </w:pPr>
            <w:r w:rsidRPr="00064185">
              <w:rPr>
                <w:i w:val="0"/>
              </w:rPr>
              <w:t xml:space="preserve">The results show that COM 116 02 I AL has a complete and fast efficacy against </w:t>
            </w:r>
            <w:r w:rsidRPr="00064185">
              <w:t>Blattela germanica</w:t>
            </w:r>
            <w:r w:rsidRPr="00064185">
              <w:rPr>
                <w:i w:val="0"/>
              </w:rPr>
              <w:t xml:space="preserve">, </w:t>
            </w:r>
            <w:r w:rsidRPr="00064185">
              <w:t>Blatta orientalis</w:t>
            </w:r>
            <w:r w:rsidRPr="00064185">
              <w:rPr>
                <w:i w:val="0"/>
              </w:rPr>
              <w:t xml:space="preserve"> and </w:t>
            </w:r>
            <w:r w:rsidRPr="00064185">
              <w:t>Periplaneta americana</w:t>
            </w:r>
          </w:p>
        </w:tc>
        <w:tc>
          <w:tcPr>
            <w:tcW w:w="414" w:type="pct"/>
            <w:shd w:val="pct10" w:color="auto" w:fill="auto"/>
          </w:tcPr>
          <w:p w14:paraId="432CF9AA" w14:textId="77777777" w:rsidR="00EA230B" w:rsidRPr="00064185" w:rsidRDefault="00EA230B" w:rsidP="00EA61D8"/>
        </w:tc>
      </w:tr>
      <w:tr w:rsidR="00064185" w:rsidRPr="00064185" w14:paraId="238DCFF8"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36C3165" w14:textId="77777777" w:rsidR="00EA230B" w:rsidRPr="00064185" w:rsidRDefault="00EA230B" w:rsidP="00EA61D8">
            <w:pPr>
              <w:pStyle w:val="TextText11"/>
              <w:rPr>
                <w:color w:val="auto"/>
              </w:rPr>
            </w:pPr>
            <w:r w:rsidRPr="00064185">
              <w:rPr>
                <w:color w:val="auto"/>
              </w:rPr>
              <w:t>Proposed efficacy specification</w:t>
            </w:r>
          </w:p>
        </w:tc>
        <w:tc>
          <w:tcPr>
            <w:tcW w:w="3182" w:type="pct"/>
            <w:tcBorders>
              <w:top w:val="nil"/>
              <w:left w:val="nil"/>
              <w:bottom w:val="nil"/>
              <w:right w:val="nil"/>
            </w:tcBorders>
            <w:vAlign w:val="center"/>
          </w:tcPr>
          <w:p w14:paraId="48AFE986" w14:textId="77777777" w:rsidR="00EA230B" w:rsidRPr="00064185" w:rsidRDefault="00EA230B" w:rsidP="00EA61D8">
            <w:pPr>
              <w:rPr>
                <w:i/>
              </w:rPr>
            </w:pPr>
            <w:r w:rsidRPr="00064185">
              <w:rPr>
                <w:i/>
              </w:rPr>
              <w:t>–</w:t>
            </w:r>
          </w:p>
        </w:tc>
        <w:tc>
          <w:tcPr>
            <w:tcW w:w="414" w:type="pct"/>
            <w:tcBorders>
              <w:top w:val="nil"/>
              <w:left w:val="nil"/>
              <w:bottom w:val="nil"/>
              <w:right w:val="nil"/>
            </w:tcBorders>
            <w:shd w:val="pct10" w:color="auto" w:fill="auto"/>
          </w:tcPr>
          <w:p w14:paraId="1F9EA0DC" w14:textId="77777777" w:rsidR="00EA230B" w:rsidRPr="00064185" w:rsidRDefault="00EA230B" w:rsidP="00EA61D8"/>
        </w:tc>
      </w:tr>
    </w:tbl>
    <w:p w14:paraId="127031D7" w14:textId="77777777" w:rsidR="00EA230B" w:rsidRPr="00064185" w:rsidRDefault="00EA230B" w:rsidP="00EA61D8">
      <w:pPr>
        <w:rPr>
          <w:b/>
        </w:rPr>
      </w:pPr>
      <w:r w:rsidRPr="00064185">
        <w:rPr>
          <w:b/>
        </w:rPr>
        <w:br w:type="page"/>
      </w:r>
    </w:p>
    <w:tbl>
      <w:tblPr>
        <w:tblW w:w="5000" w:type="pct"/>
        <w:tblCellMar>
          <w:left w:w="70" w:type="dxa"/>
          <w:right w:w="70" w:type="dxa"/>
        </w:tblCellMar>
        <w:tblLook w:val="0000" w:firstRow="0" w:lastRow="0" w:firstColumn="0" w:lastColumn="0" w:noHBand="0" w:noVBand="0"/>
      </w:tblPr>
      <w:tblGrid>
        <w:gridCol w:w="2624"/>
        <w:gridCol w:w="5955"/>
        <w:gridCol w:w="775"/>
      </w:tblGrid>
      <w:tr w:rsidR="00064185" w:rsidRPr="00064185" w14:paraId="1024F886" w14:textId="77777777" w:rsidTr="00E80C20">
        <w:trPr>
          <w:cantSplit/>
          <w:tblHeader/>
        </w:trPr>
        <w:tc>
          <w:tcPr>
            <w:tcW w:w="1403" w:type="pct"/>
            <w:tcBorders>
              <w:bottom w:val="single" w:sz="4" w:space="0" w:color="auto"/>
            </w:tcBorders>
          </w:tcPr>
          <w:p w14:paraId="7534C94A" w14:textId="77777777" w:rsidR="00EA230B" w:rsidRPr="00064185" w:rsidRDefault="00EA230B" w:rsidP="00EA61D8">
            <w:pPr>
              <w:pStyle w:val="SectionHeader"/>
            </w:pPr>
            <w:r w:rsidRPr="00064185">
              <w:lastRenderedPageBreak/>
              <w:t>Section B5.10</w:t>
            </w:r>
            <w:r w:rsidRPr="00064185">
              <w:br/>
            </w:r>
            <w:r w:rsidRPr="00064185">
              <w:rPr>
                <w:sz w:val="20"/>
              </w:rPr>
              <w:t>Annex Point IIB5.10</w:t>
            </w:r>
            <w:r w:rsidRPr="00064185">
              <w:rPr>
                <w:sz w:val="20"/>
              </w:rPr>
              <w:br/>
              <w:t>TNsG: Pt. I-B5.10,</w:t>
            </w:r>
            <w:r w:rsidRPr="00064185">
              <w:rPr>
                <w:sz w:val="20"/>
              </w:rPr>
              <w:br/>
              <w:t>Pt. III-Ch. 6</w:t>
            </w:r>
          </w:p>
        </w:tc>
        <w:tc>
          <w:tcPr>
            <w:tcW w:w="3183" w:type="pct"/>
            <w:tcBorders>
              <w:bottom w:val="single" w:sz="4" w:space="0" w:color="auto"/>
            </w:tcBorders>
            <w:vAlign w:val="center"/>
          </w:tcPr>
          <w:p w14:paraId="051B00F7" w14:textId="77777777" w:rsidR="00EA230B" w:rsidRPr="00064185" w:rsidRDefault="00EA230B" w:rsidP="00EA61D8">
            <w:pPr>
              <w:pStyle w:val="SectionHeader"/>
            </w:pPr>
            <w:r w:rsidRPr="00064185">
              <w:t xml:space="preserve">Efficacy Data </w:t>
            </w:r>
          </w:p>
          <w:p w14:paraId="7800B88D" w14:textId="77777777" w:rsidR="00EA230B" w:rsidRPr="00064185" w:rsidRDefault="00EA230B" w:rsidP="00EA61D8">
            <w:pPr>
              <w:pStyle w:val="SectionHeader"/>
            </w:pPr>
            <w:r w:rsidRPr="00064185">
              <w:rPr>
                <w:b w:val="0"/>
                <w:sz w:val="20"/>
              </w:rPr>
              <w:t>5.10.</w:t>
            </w:r>
            <w:r w:rsidRPr="00064185">
              <w:t xml:space="preserve"> </w:t>
            </w:r>
            <w:r w:rsidRPr="00064185">
              <w:rPr>
                <w:b w:val="0"/>
                <w:sz w:val="20"/>
              </w:rPr>
              <w:t>Effects on target organisms (PT 18; Study 3)</w:t>
            </w:r>
          </w:p>
        </w:tc>
        <w:tc>
          <w:tcPr>
            <w:tcW w:w="414" w:type="pct"/>
            <w:tcBorders>
              <w:bottom w:val="single" w:sz="4" w:space="0" w:color="auto"/>
            </w:tcBorders>
          </w:tcPr>
          <w:p w14:paraId="4EB4FB99" w14:textId="77777777" w:rsidR="00EA230B" w:rsidRPr="00064185" w:rsidRDefault="00EA230B" w:rsidP="00EA61D8">
            <w:pPr>
              <w:pStyle w:val="Official-Use"/>
              <w:keepNext/>
              <w:jc w:val="left"/>
              <w:rPr>
                <w:b/>
                <w:vanish/>
              </w:rPr>
            </w:pPr>
          </w:p>
        </w:tc>
      </w:tr>
      <w:tr w:rsidR="00064185" w:rsidRPr="00064185" w14:paraId="0AC15F13" w14:textId="77777777" w:rsidTr="00E80C20">
        <w:trPr>
          <w:cantSplit/>
          <w:tblHeader/>
        </w:trPr>
        <w:tc>
          <w:tcPr>
            <w:tcW w:w="1403" w:type="pct"/>
            <w:tcBorders>
              <w:top w:val="single" w:sz="4" w:space="0" w:color="auto"/>
            </w:tcBorders>
          </w:tcPr>
          <w:p w14:paraId="755EDB48" w14:textId="77777777" w:rsidR="00EA230B" w:rsidRPr="00064185" w:rsidRDefault="00EA230B" w:rsidP="00EA61D8">
            <w:pPr>
              <w:pStyle w:val="HalbeLeerzeile"/>
            </w:pPr>
          </w:p>
        </w:tc>
        <w:tc>
          <w:tcPr>
            <w:tcW w:w="3183" w:type="pct"/>
            <w:tcBorders>
              <w:top w:val="single" w:sz="4" w:space="0" w:color="auto"/>
            </w:tcBorders>
            <w:vAlign w:val="center"/>
          </w:tcPr>
          <w:p w14:paraId="530F589C" w14:textId="77777777" w:rsidR="00EA230B" w:rsidRPr="00064185" w:rsidRDefault="00EA230B" w:rsidP="00EA61D8">
            <w:pPr>
              <w:pStyle w:val="HalbeLeerzeile"/>
            </w:pPr>
          </w:p>
        </w:tc>
        <w:tc>
          <w:tcPr>
            <w:tcW w:w="414" w:type="pct"/>
            <w:tcBorders>
              <w:top w:val="single" w:sz="4" w:space="0" w:color="auto"/>
            </w:tcBorders>
          </w:tcPr>
          <w:p w14:paraId="0EC73177" w14:textId="77777777" w:rsidR="00EA230B" w:rsidRPr="00064185" w:rsidRDefault="00EA230B" w:rsidP="00EA61D8">
            <w:pPr>
              <w:pStyle w:val="HalbeLeerzeile"/>
              <w:rPr>
                <w:b/>
                <w:vanish/>
              </w:rPr>
            </w:pPr>
          </w:p>
        </w:tc>
      </w:tr>
      <w:tr w:rsidR="00064185" w:rsidRPr="00064185" w14:paraId="77504397" w14:textId="77777777" w:rsidTr="00E80C20">
        <w:trPr>
          <w:cantSplit/>
          <w:tblHeader/>
        </w:trPr>
        <w:tc>
          <w:tcPr>
            <w:tcW w:w="1403" w:type="pct"/>
            <w:tcBorders>
              <w:top w:val="single" w:sz="4" w:space="0" w:color="auto"/>
              <w:left w:val="single" w:sz="4" w:space="0" w:color="auto"/>
              <w:bottom w:val="single" w:sz="4" w:space="0" w:color="auto"/>
            </w:tcBorders>
            <w:shd w:val="pct15" w:color="auto" w:fill="auto"/>
          </w:tcPr>
          <w:p w14:paraId="37692243" w14:textId="77777777" w:rsidR="00EA230B" w:rsidRPr="00064185" w:rsidRDefault="00EA230B" w:rsidP="00EA61D8">
            <w:pPr>
              <w:pStyle w:val="SectionHeader"/>
            </w:pPr>
          </w:p>
        </w:tc>
        <w:tc>
          <w:tcPr>
            <w:tcW w:w="3183" w:type="pct"/>
            <w:tcBorders>
              <w:top w:val="single" w:sz="4" w:space="0" w:color="auto"/>
              <w:bottom w:val="single" w:sz="4" w:space="0" w:color="auto"/>
            </w:tcBorders>
            <w:shd w:val="pct15" w:color="auto" w:fill="auto"/>
            <w:vAlign w:val="center"/>
          </w:tcPr>
          <w:p w14:paraId="57542D52" w14:textId="77777777" w:rsidR="00EA230B" w:rsidRPr="00064185" w:rsidRDefault="00EA230B" w:rsidP="00EA61D8">
            <w:pPr>
              <w:pStyle w:val="SectionHeader"/>
            </w:pPr>
            <w:r w:rsidRPr="00064185">
              <w:t>Evaluation by Competent Authorities</w:t>
            </w:r>
          </w:p>
        </w:tc>
        <w:tc>
          <w:tcPr>
            <w:tcW w:w="414" w:type="pct"/>
            <w:tcBorders>
              <w:top w:val="single" w:sz="4" w:space="0" w:color="auto"/>
              <w:bottom w:val="single" w:sz="4" w:space="0" w:color="auto"/>
              <w:right w:val="single" w:sz="4" w:space="0" w:color="auto"/>
            </w:tcBorders>
            <w:shd w:val="pct15" w:color="auto" w:fill="auto"/>
          </w:tcPr>
          <w:p w14:paraId="535B797B" w14:textId="77777777" w:rsidR="00EA230B" w:rsidRPr="00064185" w:rsidRDefault="00EA230B" w:rsidP="00EA61D8">
            <w:pPr>
              <w:pStyle w:val="SectionHeader"/>
              <w:rPr>
                <w:b w:val="0"/>
                <w:vanish/>
              </w:rPr>
            </w:pPr>
          </w:p>
        </w:tc>
      </w:tr>
      <w:tr w:rsidR="00064185" w:rsidRPr="00064185" w14:paraId="5C8201E0" w14:textId="77777777" w:rsidTr="00E80C20">
        <w:tc>
          <w:tcPr>
            <w:tcW w:w="1403" w:type="pct"/>
            <w:tcBorders>
              <w:left w:val="single" w:sz="4" w:space="0" w:color="auto"/>
            </w:tcBorders>
          </w:tcPr>
          <w:p w14:paraId="5D3DE4E0" w14:textId="77777777" w:rsidR="00EA230B" w:rsidRPr="00064185" w:rsidRDefault="00EA230B" w:rsidP="00EA61D8">
            <w:pPr>
              <w:pStyle w:val="Standard-fett"/>
              <w:keepNext/>
            </w:pPr>
          </w:p>
        </w:tc>
        <w:tc>
          <w:tcPr>
            <w:tcW w:w="3183" w:type="pct"/>
            <w:vAlign w:val="center"/>
          </w:tcPr>
          <w:p w14:paraId="2A824A4E" w14:textId="77777777" w:rsidR="00EA230B" w:rsidRPr="00064185" w:rsidRDefault="00EA230B" w:rsidP="00EA61D8">
            <w:pPr>
              <w:pStyle w:val="Textkrper2"/>
              <w:rPr>
                <w:color w:val="auto"/>
              </w:rPr>
            </w:pPr>
            <w:r w:rsidRPr="00064185">
              <w:rPr>
                <w:color w:val="auto"/>
              </w:rPr>
              <w:t>Use separate "evaluation boxes" to provide transparency as to the comments and views submitted</w:t>
            </w:r>
          </w:p>
        </w:tc>
        <w:tc>
          <w:tcPr>
            <w:tcW w:w="414" w:type="pct"/>
            <w:tcBorders>
              <w:right w:val="single" w:sz="4" w:space="0" w:color="auto"/>
            </w:tcBorders>
          </w:tcPr>
          <w:p w14:paraId="63695F83" w14:textId="77777777" w:rsidR="00EA230B" w:rsidRPr="00064185" w:rsidRDefault="00EA230B" w:rsidP="00EA61D8">
            <w:pPr>
              <w:pStyle w:val="Standard-fett"/>
            </w:pPr>
          </w:p>
        </w:tc>
      </w:tr>
      <w:tr w:rsidR="00064185" w:rsidRPr="00064185" w14:paraId="27DD8D14" w14:textId="77777777" w:rsidTr="00E80C20">
        <w:trPr>
          <w:cantSplit/>
        </w:trPr>
        <w:tc>
          <w:tcPr>
            <w:tcW w:w="1403" w:type="pct"/>
            <w:tcBorders>
              <w:top w:val="single" w:sz="4" w:space="0" w:color="auto"/>
              <w:left w:val="single" w:sz="4" w:space="0" w:color="auto"/>
            </w:tcBorders>
          </w:tcPr>
          <w:p w14:paraId="028ECDB0" w14:textId="77777777" w:rsidR="00EA230B" w:rsidRPr="00064185" w:rsidRDefault="00EA230B" w:rsidP="00EA61D8">
            <w:pPr>
              <w:pStyle w:val="berschrift2"/>
              <w:numPr>
                <w:ilvl w:val="0"/>
                <w:numId w:val="0"/>
              </w:numPr>
              <w:rPr>
                <w:color w:val="auto"/>
                <w:lang w:val="en-GB"/>
              </w:rPr>
            </w:pPr>
          </w:p>
        </w:tc>
        <w:tc>
          <w:tcPr>
            <w:tcW w:w="3597" w:type="pct"/>
            <w:gridSpan w:val="2"/>
            <w:tcBorders>
              <w:top w:val="single" w:sz="4" w:space="0" w:color="auto"/>
              <w:right w:val="single" w:sz="4" w:space="0" w:color="auto"/>
            </w:tcBorders>
            <w:vAlign w:val="center"/>
          </w:tcPr>
          <w:p w14:paraId="3B758E36" w14:textId="77777777" w:rsidR="00EA230B" w:rsidRPr="00064185" w:rsidRDefault="00EA230B" w:rsidP="00EA61D8">
            <w:pPr>
              <w:rPr>
                <w:b/>
                <w:sz w:val="28"/>
                <w:szCs w:val="28"/>
              </w:rPr>
            </w:pPr>
            <w:r w:rsidRPr="00064185">
              <w:rPr>
                <w:b/>
                <w:sz w:val="28"/>
                <w:szCs w:val="28"/>
              </w:rPr>
              <w:t>Evaluation by Rapporteur Member State</w:t>
            </w:r>
          </w:p>
        </w:tc>
      </w:tr>
      <w:tr w:rsidR="00064185" w:rsidRPr="00064185" w14:paraId="068FC49B" w14:textId="77777777" w:rsidTr="00E80C20">
        <w:trPr>
          <w:cantSplit/>
        </w:trPr>
        <w:tc>
          <w:tcPr>
            <w:tcW w:w="1403" w:type="pct"/>
            <w:tcBorders>
              <w:left w:val="single" w:sz="4" w:space="0" w:color="auto"/>
            </w:tcBorders>
          </w:tcPr>
          <w:p w14:paraId="797A127A" w14:textId="77777777" w:rsidR="00EA230B" w:rsidRPr="00064185" w:rsidRDefault="00EA230B" w:rsidP="00EA61D8">
            <w:pPr>
              <w:rPr>
                <w:b/>
                <w:sz w:val="28"/>
                <w:szCs w:val="28"/>
              </w:rPr>
            </w:pPr>
            <w:r w:rsidRPr="00064185">
              <w:rPr>
                <w:b/>
                <w:sz w:val="28"/>
                <w:szCs w:val="28"/>
              </w:rPr>
              <w:t>Date</w:t>
            </w:r>
          </w:p>
        </w:tc>
        <w:tc>
          <w:tcPr>
            <w:tcW w:w="3597" w:type="pct"/>
            <w:gridSpan w:val="2"/>
            <w:tcBorders>
              <w:right w:val="single" w:sz="4" w:space="0" w:color="auto"/>
            </w:tcBorders>
            <w:vAlign w:val="center"/>
          </w:tcPr>
          <w:p w14:paraId="5B23C6D5" w14:textId="77777777" w:rsidR="00EA230B" w:rsidRPr="00064185" w:rsidRDefault="00EA230B" w:rsidP="00EA61D8">
            <w:pPr>
              <w:pStyle w:val="Standard-italics"/>
            </w:pPr>
            <w:r w:rsidRPr="00064185">
              <w:rPr>
                <w:i w:val="0"/>
              </w:rPr>
              <w:t>July 2015</w:t>
            </w:r>
          </w:p>
        </w:tc>
      </w:tr>
      <w:tr w:rsidR="00064185" w:rsidRPr="00064185" w14:paraId="0F502ABD" w14:textId="77777777" w:rsidTr="00E80C20">
        <w:trPr>
          <w:cantSplit/>
        </w:trPr>
        <w:tc>
          <w:tcPr>
            <w:tcW w:w="1403" w:type="pct"/>
            <w:tcBorders>
              <w:left w:val="single" w:sz="4" w:space="0" w:color="auto"/>
            </w:tcBorders>
          </w:tcPr>
          <w:p w14:paraId="54761F03" w14:textId="77777777" w:rsidR="00EA230B" w:rsidRPr="00064185" w:rsidRDefault="00EA230B" w:rsidP="00EA61D8">
            <w:pPr>
              <w:rPr>
                <w:b/>
                <w:sz w:val="28"/>
                <w:szCs w:val="28"/>
              </w:rPr>
            </w:pPr>
            <w:r w:rsidRPr="00064185">
              <w:rPr>
                <w:b/>
                <w:sz w:val="28"/>
                <w:szCs w:val="28"/>
              </w:rPr>
              <w:t>Comments</w:t>
            </w:r>
            <w:r w:rsidRPr="00064185">
              <w:rPr>
                <w:b/>
                <w:sz w:val="28"/>
                <w:szCs w:val="28"/>
              </w:rPr>
              <w:br/>
            </w:r>
            <w:r w:rsidRPr="00064185">
              <w:rPr>
                <w:b/>
                <w:sz w:val="28"/>
                <w:szCs w:val="28"/>
              </w:rPr>
              <w:br/>
            </w:r>
          </w:p>
        </w:tc>
        <w:tc>
          <w:tcPr>
            <w:tcW w:w="3597" w:type="pct"/>
            <w:gridSpan w:val="2"/>
            <w:tcBorders>
              <w:right w:val="single" w:sz="4" w:space="0" w:color="auto"/>
            </w:tcBorders>
            <w:vAlign w:val="center"/>
          </w:tcPr>
          <w:p w14:paraId="5290927A" w14:textId="77777777" w:rsidR="00EA230B" w:rsidRPr="00064185" w:rsidRDefault="00EA230B" w:rsidP="00EA61D8">
            <w:pPr>
              <w:pStyle w:val="Standard-italics"/>
            </w:pPr>
            <w:r w:rsidRPr="00064185">
              <w:t>-</w:t>
            </w:r>
          </w:p>
        </w:tc>
      </w:tr>
      <w:tr w:rsidR="00064185" w:rsidRPr="00064185" w14:paraId="585F2C8C" w14:textId="77777777" w:rsidTr="00E80C20">
        <w:trPr>
          <w:cantSplit/>
        </w:trPr>
        <w:tc>
          <w:tcPr>
            <w:tcW w:w="1403" w:type="pct"/>
            <w:tcBorders>
              <w:left w:val="single" w:sz="4" w:space="0" w:color="auto"/>
              <w:bottom w:val="single" w:sz="4" w:space="0" w:color="auto"/>
            </w:tcBorders>
          </w:tcPr>
          <w:p w14:paraId="11845507" w14:textId="77777777" w:rsidR="00EA230B" w:rsidRPr="00064185" w:rsidRDefault="00EA230B" w:rsidP="00EA61D8">
            <w:pPr>
              <w:rPr>
                <w:b/>
                <w:sz w:val="28"/>
                <w:szCs w:val="28"/>
              </w:rPr>
            </w:pPr>
            <w:r w:rsidRPr="00064185">
              <w:rPr>
                <w:b/>
                <w:sz w:val="28"/>
                <w:szCs w:val="28"/>
              </w:rPr>
              <w:t>Summary and conclusion</w:t>
            </w:r>
            <w:r w:rsidRPr="00064185">
              <w:rPr>
                <w:b/>
                <w:sz w:val="28"/>
                <w:szCs w:val="28"/>
              </w:rPr>
              <w:br/>
            </w:r>
            <w:r w:rsidRPr="00064185">
              <w:rPr>
                <w:b/>
                <w:sz w:val="28"/>
                <w:szCs w:val="28"/>
              </w:rPr>
              <w:br/>
            </w:r>
          </w:p>
        </w:tc>
        <w:tc>
          <w:tcPr>
            <w:tcW w:w="3597" w:type="pct"/>
            <w:gridSpan w:val="2"/>
            <w:tcBorders>
              <w:bottom w:val="single" w:sz="4" w:space="0" w:color="auto"/>
              <w:right w:val="single" w:sz="4" w:space="0" w:color="auto"/>
            </w:tcBorders>
            <w:vAlign w:val="center"/>
          </w:tcPr>
          <w:p w14:paraId="1CBEA225" w14:textId="77777777" w:rsidR="00EA230B" w:rsidRPr="00064185" w:rsidRDefault="00EA230B" w:rsidP="00EA61D8">
            <w:pPr>
              <w:pStyle w:val="Standard-italics"/>
            </w:pPr>
            <w:r w:rsidRPr="00064185">
              <w:rPr>
                <w:i w:val="0"/>
              </w:rPr>
              <w:t>Agree with applicants version</w:t>
            </w:r>
          </w:p>
        </w:tc>
      </w:tr>
    </w:tbl>
    <w:p w14:paraId="563CDF29" w14:textId="77777777" w:rsidR="00EA230B" w:rsidRPr="00064185" w:rsidRDefault="00EA230B" w:rsidP="00EA61D8">
      <w:pPr>
        <w:rPr>
          <w:rFonts w:eastAsiaTheme="minorEastAsia"/>
          <w:b/>
        </w:rPr>
      </w:pPr>
      <w:r w:rsidRPr="00064185">
        <w:br w:type="page"/>
      </w:r>
      <w:r w:rsidRPr="00064185">
        <w:rPr>
          <w:rFonts w:eastAsiaTheme="minorEastAsia"/>
          <w:b/>
        </w:rPr>
        <w:lastRenderedPageBreak/>
        <w:t>Table B5.10_1:</w:t>
      </w:r>
      <w:r w:rsidRPr="00064185">
        <w:rPr>
          <w:rFonts w:eastAsiaTheme="minorEastAsia"/>
          <w:b/>
        </w:rPr>
        <w:tab/>
        <w:t>Percentage of knock down after direct spray treatment against cockroaches</w:t>
      </w:r>
    </w:p>
    <w:tbl>
      <w:tblPr>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2089"/>
        <w:gridCol w:w="1463"/>
        <w:gridCol w:w="1743"/>
        <w:gridCol w:w="1668"/>
      </w:tblGrid>
      <w:tr w:rsidR="00064185" w:rsidRPr="00064185" w14:paraId="1B3BE399" w14:textId="77777777" w:rsidTr="00E80C20">
        <w:tc>
          <w:tcPr>
            <w:tcW w:w="1017" w:type="pct"/>
            <w:vMerge w:val="restart"/>
            <w:shd w:val="clear" w:color="auto" w:fill="auto"/>
          </w:tcPr>
          <w:p w14:paraId="7849FBBC" w14:textId="77777777" w:rsidR="00EA230B" w:rsidRPr="00064185" w:rsidRDefault="00EA230B" w:rsidP="00EA61D8">
            <w:pPr>
              <w:rPr>
                <w:b/>
              </w:rPr>
            </w:pPr>
            <w:r w:rsidRPr="00064185">
              <w:rPr>
                <w:b/>
              </w:rPr>
              <w:t>Treatment</w:t>
            </w:r>
          </w:p>
        </w:tc>
        <w:tc>
          <w:tcPr>
            <w:tcW w:w="1195" w:type="pct"/>
            <w:vMerge w:val="restart"/>
          </w:tcPr>
          <w:p w14:paraId="494B6551" w14:textId="77777777" w:rsidR="00EA230B" w:rsidRPr="00064185" w:rsidRDefault="00EA230B" w:rsidP="00EA61D8">
            <w:pPr>
              <w:rPr>
                <w:b/>
                <w:vertAlign w:val="superscript"/>
              </w:rPr>
            </w:pPr>
            <w:r w:rsidRPr="00064185">
              <w:rPr>
                <w:b/>
              </w:rPr>
              <w:t xml:space="preserve">Test species </w:t>
            </w:r>
            <w:r w:rsidRPr="00064185">
              <w:rPr>
                <w:b/>
              </w:rPr>
              <w:br/>
              <w:t>(5</w:t>
            </w:r>
            <w:r w:rsidRPr="00064185">
              <w:rPr>
                <w:b/>
                <w:vertAlign w:val="superscript"/>
              </w:rPr>
              <w:t xml:space="preserve">th </w:t>
            </w:r>
            <w:r w:rsidRPr="00064185">
              <w:rPr>
                <w:b/>
              </w:rPr>
              <w:t>larval stage)</w:t>
            </w:r>
          </w:p>
        </w:tc>
        <w:tc>
          <w:tcPr>
            <w:tcW w:w="1834" w:type="pct"/>
            <w:gridSpan w:val="2"/>
            <w:tcBorders>
              <w:bottom w:val="nil"/>
            </w:tcBorders>
          </w:tcPr>
          <w:p w14:paraId="6C7A9E61" w14:textId="77777777" w:rsidR="00EA230B" w:rsidRPr="00064185" w:rsidRDefault="00EA230B" w:rsidP="00EA61D8">
            <w:pPr>
              <w:rPr>
                <w:b/>
              </w:rPr>
            </w:pPr>
            <w:r w:rsidRPr="00064185">
              <w:rPr>
                <w:b/>
              </w:rPr>
              <w:t>% knock down after</w:t>
            </w:r>
            <w:r w:rsidRPr="00064185">
              <w:rPr>
                <w:b/>
              </w:rPr>
              <w:br/>
              <w:t>minutes (’) and seconds (’’)</w:t>
            </w:r>
          </w:p>
        </w:tc>
        <w:tc>
          <w:tcPr>
            <w:tcW w:w="954" w:type="pct"/>
            <w:tcBorders>
              <w:bottom w:val="nil"/>
            </w:tcBorders>
          </w:tcPr>
          <w:p w14:paraId="371AD3CB" w14:textId="77777777" w:rsidR="00EA230B" w:rsidRPr="00064185" w:rsidRDefault="00EA230B" w:rsidP="00EA61D8">
            <w:pPr>
              <w:rPr>
                <w:b/>
              </w:rPr>
            </w:pPr>
            <w:r w:rsidRPr="00064185">
              <w:rPr>
                <w:b/>
              </w:rPr>
              <w:t xml:space="preserve">% knock down </w:t>
            </w:r>
            <w:r w:rsidRPr="00064185">
              <w:rPr>
                <w:b/>
              </w:rPr>
              <w:br/>
              <w:t>after</w:t>
            </w:r>
          </w:p>
        </w:tc>
      </w:tr>
      <w:tr w:rsidR="00064185" w:rsidRPr="00064185" w14:paraId="451AF05C" w14:textId="77777777" w:rsidTr="00E80C20">
        <w:tc>
          <w:tcPr>
            <w:tcW w:w="1017" w:type="pct"/>
            <w:vMerge/>
            <w:shd w:val="clear" w:color="auto" w:fill="auto"/>
          </w:tcPr>
          <w:p w14:paraId="639717AE" w14:textId="77777777" w:rsidR="00EA230B" w:rsidRPr="00064185" w:rsidRDefault="00EA230B" w:rsidP="00EA61D8">
            <w:pPr>
              <w:rPr>
                <w:b/>
              </w:rPr>
            </w:pPr>
          </w:p>
        </w:tc>
        <w:tc>
          <w:tcPr>
            <w:tcW w:w="1195" w:type="pct"/>
            <w:vMerge/>
          </w:tcPr>
          <w:p w14:paraId="367469C5" w14:textId="77777777" w:rsidR="00EA230B" w:rsidRPr="00064185" w:rsidRDefault="00EA230B" w:rsidP="00EA61D8">
            <w:pPr>
              <w:rPr>
                <w:b/>
              </w:rPr>
            </w:pPr>
          </w:p>
        </w:tc>
        <w:tc>
          <w:tcPr>
            <w:tcW w:w="837" w:type="pct"/>
            <w:tcBorders>
              <w:top w:val="nil"/>
            </w:tcBorders>
          </w:tcPr>
          <w:p w14:paraId="2B0A7233" w14:textId="77777777" w:rsidR="00EA230B" w:rsidRPr="00064185" w:rsidRDefault="00EA230B" w:rsidP="00EA61D8">
            <w:pPr>
              <w:rPr>
                <w:b/>
              </w:rPr>
            </w:pPr>
            <w:r w:rsidRPr="00064185">
              <w:rPr>
                <w:b/>
              </w:rPr>
              <w:t>mean</w:t>
            </w:r>
          </w:p>
        </w:tc>
        <w:tc>
          <w:tcPr>
            <w:tcW w:w="997" w:type="pct"/>
            <w:tcBorders>
              <w:top w:val="nil"/>
            </w:tcBorders>
          </w:tcPr>
          <w:p w14:paraId="4ACBDAE1" w14:textId="77777777" w:rsidR="00EA230B" w:rsidRPr="00064185" w:rsidRDefault="00EA230B" w:rsidP="00EA61D8">
            <w:pPr>
              <w:rPr>
                <w:b/>
              </w:rPr>
            </w:pPr>
            <w:r w:rsidRPr="00064185">
              <w:rPr>
                <w:b/>
              </w:rPr>
              <w:t>range</w:t>
            </w:r>
          </w:p>
        </w:tc>
        <w:tc>
          <w:tcPr>
            <w:tcW w:w="954" w:type="pct"/>
            <w:tcBorders>
              <w:top w:val="nil"/>
            </w:tcBorders>
          </w:tcPr>
          <w:p w14:paraId="0998C71A" w14:textId="77777777" w:rsidR="00EA230B" w:rsidRPr="00064185" w:rsidRDefault="00EA230B" w:rsidP="00EA61D8">
            <w:pPr>
              <w:rPr>
                <w:b/>
              </w:rPr>
            </w:pPr>
            <w:r w:rsidRPr="00064185">
              <w:rPr>
                <w:b/>
              </w:rPr>
              <w:t>2 h</w:t>
            </w:r>
          </w:p>
        </w:tc>
      </w:tr>
      <w:tr w:rsidR="00064185" w:rsidRPr="00064185" w14:paraId="0DB3A3F0" w14:textId="77777777" w:rsidTr="00E80C20">
        <w:tc>
          <w:tcPr>
            <w:tcW w:w="1017" w:type="pct"/>
            <w:shd w:val="clear" w:color="auto" w:fill="auto"/>
          </w:tcPr>
          <w:p w14:paraId="3583D0F0" w14:textId="77777777" w:rsidR="00EA230B" w:rsidRPr="00064185" w:rsidRDefault="00EA230B" w:rsidP="00EA61D8">
            <w:r w:rsidRPr="00064185">
              <w:t>COM 116 02 I AL</w:t>
            </w:r>
          </w:p>
        </w:tc>
        <w:tc>
          <w:tcPr>
            <w:tcW w:w="1195" w:type="pct"/>
          </w:tcPr>
          <w:p w14:paraId="1CF36706" w14:textId="77777777" w:rsidR="00EA230B" w:rsidRPr="00064185" w:rsidRDefault="00EA230B" w:rsidP="00EA61D8">
            <w:pPr>
              <w:rPr>
                <w:i/>
              </w:rPr>
            </w:pPr>
            <w:r w:rsidRPr="00064185">
              <w:rPr>
                <w:i/>
              </w:rPr>
              <w:t>Blattella germanica</w:t>
            </w:r>
          </w:p>
        </w:tc>
        <w:tc>
          <w:tcPr>
            <w:tcW w:w="837" w:type="pct"/>
          </w:tcPr>
          <w:p w14:paraId="40C410DE" w14:textId="77777777" w:rsidR="00EA230B" w:rsidRPr="00064185" w:rsidRDefault="00EA230B" w:rsidP="00EA61D8">
            <w:r w:rsidRPr="00064185">
              <w:t>9’31’’</w:t>
            </w:r>
          </w:p>
        </w:tc>
        <w:tc>
          <w:tcPr>
            <w:tcW w:w="997" w:type="pct"/>
          </w:tcPr>
          <w:p w14:paraId="3CC7FDA0" w14:textId="77777777" w:rsidR="00EA230B" w:rsidRPr="00064185" w:rsidRDefault="00EA230B" w:rsidP="00EA61D8">
            <w:r w:rsidRPr="00064185">
              <w:t>7’30 -10’50’’</w:t>
            </w:r>
          </w:p>
        </w:tc>
        <w:tc>
          <w:tcPr>
            <w:tcW w:w="954" w:type="pct"/>
          </w:tcPr>
          <w:p w14:paraId="5F59A8F5" w14:textId="77777777" w:rsidR="00EA230B" w:rsidRPr="00064185" w:rsidRDefault="00EA230B" w:rsidP="00EA61D8">
            <w:r w:rsidRPr="00064185">
              <w:t>100</w:t>
            </w:r>
          </w:p>
        </w:tc>
      </w:tr>
      <w:tr w:rsidR="00064185" w:rsidRPr="00064185" w14:paraId="1EC66C12" w14:textId="77777777" w:rsidTr="00E80C20">
        <w:tc>
          <w:tcPr>
            <w:tcW w:w="1017" w:type="pct"/>
            <w:shd w:val="clear" w:color="auto" w:fill="auto"/>
          </w:tcPr>
          <w:p w14:paraId="3FA4D500" w14:textId="77777777" w:rsidR="00EA230B" w:rsidRPr="00064185" w:rsidRDefault="00EA230B" w:rsidP="00EA61D8">
            <w:pPr>
              <w:rPr>
                <w:lang w:val="en-US"/>
              </w:rPr>
            </w:pPr>
            <w:r w:rsidRPr="00064185">
              <w:t>COM 116 02 I AL</w:t>
            </w:r>
          </w:p>
        </w:tc>
        <w:tc>
          <w:tcPr>
            <w:tcW w:w="1195" w:type="pct"/>
          </w:tcPr>
          <w:p w14:paraId="318C3E49" w14:textId="77777777" w:rsidR="00EA230B" w:rsidRPr="00064185" w:rsidRDefault="00EA230B" w:rsidP="00EA61D8">
            <w:pPr>
              <w:rPr>
                <w:i/>
              </w:rPr>
            </w:pPr>
            <w:r w:rsidRPr="00064185">
              <w:rPr>
                <w:i/>
              </w:rPr>
              <w:t>Blatta orientalis</w:t>
            </w:r>
          </w:p>
        </w:tc>
        <w:tc>
          <w:tcPr>
            <w:tcW w:w="837" w:type="pct"/>
          </w:tcPr>
          <w:p w14:paraId="6C3E55D3" w14:textId="77777777" w:rsidR="00EA230B" w:rsidRPr="00064185" w:rsidRDefault="00EA230B" w:rsidP="00EA61D8">
            <w:r w:rsidRPr="00064185">
              <w:t>32’44’’</w:t>
            </w:r>
          </w:p>
        </w:tc>
        <w:tc>
          <w:tcPr>
            <w:tcW w:w="997" w:type="pct"/>
          </w:tcPr>
          <w:p w14:paraId="2E6F81A8" w14:textId="77777777" w:rsidR="00EA230B" w:rsidRPr="00064185" w:rsidRDefault="00EA230B" w:rsidP="00EA61D8">
            <w:r w:rsidRPr="00064185">
              <w:t>25’10 – 47’10’’</w:t>
            </w:r>
          </w:p>
        </w:tc>
        <w:tc>
          <w:tcPr>
            <w:tcW w:w="954" w:type="pct"/>
          </w:tcPr>
          <w:p w14:paraId="06CDC335" w14:textId="77777777" w:rsidR="00EA230B" w:rsidRPr="00064185" w:rsidRDefault="00EA230B" w:rsidP="00EA61D8">
            <w:r w:rsidRPr="00064185">
              <w:t>100</w:t>
            </w:r>
          </w:p>
        </w:tc>
      </w:tr>
      <w:tr w:rsidR="00EA230B" w:rsidRPr="00064185" w14:paraId="3039971E" w14:textId="77777777" w:rsidTr="00E80C20">
        <w:tc>
          <w:tcPr>
            <w:tcW w:w="1017" w:type="pct"/>
            <w:shd w:val="clear" w:color="auto" w:fill="auto"/>
          </w:tcPr>
          <w:p w14:paraId="3D2CC1A3" w14:textId="77777777" w:rsidR="00EA230B" w:rsidRPr="00064185" w:rsidRDefault="00EA230B" w:rsidP="00EA61D8">
            <w:pPr>
              <w:rPr>
                <w:lang w:val="en-US"/>
              </w:rPr>
            </w:pPr>
            <w:r w:rsidRPr="00064185">
              <w:t>COM 116 02 I AL</w:t>
            </w:r>
          </w:p>
        </w:tc>
        <w:tc>
          <w:tcPr>
            <w:tcW w:w="1195" w:type="pct"/>
          </w:tcPr>
          <w:p w14:paraId="790D4E8C" w14:textId="77777777" w:rsidR="00EA230B" w:rsidRPr="00064185" w:rsidRDefault="00EA230B" w:rsidP="00EA61D8">
            <w:pPr>
              <w:rPr>
                <w:i/>
              </w:rPr>
            </w:pPr>
            <w:r w:rsidRPr="00064185">
              <w:rPr>
                <w:i/>
              </w:rPr>
              <w:t>Periplaneta americana</w:t>
            </w:r>
          </w:p>
        </w:tc>
        <w:tc>
          <w:tcPr>
            <w:tcW w:w="837" w:type="pct"/>
          </w:tcPr>
          <w:p w14:paraId="0E8B43E1" w14:textId="77777777" w:rsidR="00EA230B" w:rsidRPr="00064185" w:rsidRDefault="00EA230B" w:rsidP="00EA61D8">
            <w:r w:rsidRPr="00064185">
              <w:t>27’28’’</w:t>
            </w:r>
          </w:p>
        </w:tc>
        <w:tc>
          <w:tcPr>
            <w:tcW w:w="997" w:type="pct"/>
          </w:tcPr>
          <w:p w14:paraId="0FB7BB53" w14:textId="77777777" w:rsidR="00EA230B" w:rsidRPr="00064185" w:rsidRDefault="00EA230B" w:rsidP="00EA61D8">
            <w:r w:rsidRPr="00064185">
              <w:t>23’20 – 35’40’’</w:t>
            </w:r>
          </w:p>
        </w:tc>
        <w:tc>
          <w:tcPr>
            <w:tcW w:w="954" w:type="pct"/>
          </w:tcPr>
          <w:p w14:paraId="169A158E" w14:textId="77777777" w:rsidR="00EA230B" w:rsidRPr="00064185" w:rsidRDefault="00EA230B" w:rsidP="00EA61D8">
            <w:r w:rsidRPr="00064185">
              <w:t>100</w:t>
            </w:r>
          </w:p>
        </w:tc>
      </w:tr>
    </w:tbl>
    <w:p w14:paraId="2C672C05" w14:textId="77777777" w:rsidR="00EA230B" w:rsidRPr="00064185" w:rsidRDefault="00EA230B" w:rsidP="00EA61D8">
      <w:pPr>
        <w:rPr>
          <w:rFonts w:eastAsiaTheme="minorEastAsia"/>
          <w:b/>
        </w:rPr>
      </w:pPr>
    </w:p>
    <w:p w14:paraId="39FE65DF" w14:textId="1678EF06" w:rsidR="00EA230B" w:rsidRPr="00064185" w:rsidRDefault="00EA230B" w:rsidP="00EA61D8">
      <w:pPr>
        <w:rPr>
          <w:rFonts w:eastAsiaTheme="minorEastAsia"/>
          <w:b/>
        </w:rPr>
      </w:pPr>
    </w:p>
    <w:p w14:paraId="2FF290BE" w14:textId="77777777" w:rsidR="00EA230B" w:rsidRPr="00064185" w:rsidRDefault="00EA230B" w:rsidP="00EA61D8">
      <w:pPr>
        <w:pStyle w:val="Standard-fett"/>
        <w:outlineLvl w:val="0"/>
        <w:sectPr w:rsidR="00EA230B" w:rsidRPr="00064185" w:rsidSect="003E5B50">
          <w:endnotePr>
            <w:numFmt w:val="decimal"/>
          </w:endnotePr>
          <w:pgSz w:w="11907" w:h="16840" w:code="9"/>
          <w:pgMar w:top="1474" w:right="1247" w:bottom="2013" w:left="1446" w:header="850" w:footer="850" w:gutter="0"/>
          <w:cols w:space="720"/>
          <w:titlePg/>
          <w:docGrid w:linePitch="272"/>
        </w:sectPr>
      </w:pPr>
    </w:p>
    <w:tbl>
      <w:tblPr>
        <w:tblW w:w="5000" w:type="pct"/>
        <w:tblCellMar>
          <w:left w:w="70" w:type="dxa"/>
          <w:right w:w="70" w:type="dxa"/>
        </w:tblCellMar>
        <w:tblLook w:val="0000" w:firstRow="0" w:lastRow="0" w:firstColumn="0" w:lastColumn="0" w:noHBand="0" w:noVBand="0"/>
      </w:tblPr>
      <w:tblGrid>
        <w:gridCol w:w="2833"/>
        <w:gridCol w:w="5744"/>
        <w:gridCol w:w="777"/>
      </w:tblGrid>
      <w:tr w:rsidR="00064185" w:rsidRPr="00064185" w14:paraId="5C9CA794" w14:textId="77777777" w:rsidTr="00E80C20">
        <w:trPr>
          <w:cantSplit/>
          <w:tblHeader/>
        </w:trPr>
        <w:tc>
          <w:tcPr>
            <w:tcW w:w="1403" w:type="pct"/>
            <w:tcBorders>
              <w:bottom w:val="single" w:sz="4" w:space="0" w:color="auto"/>
            </w:tcBorders>
          </w:tcPr>
          <w:p w14:paraId="4E64A48F" w14:textId="77777777" w:rsidR="00EA230B" w:rsidRPr="00064185" w:rsidRDefault="00EA230B" w:rsidP="00EA61D8">
            <w:pPr>
              <w:pStyle w:val="SectionHeader"/>
            </w:pPr>
            <w:r w:rsidRPr="00064185">
              <w:lastRenderedPageBreak/>
              <w:t>Section B5.10</w:t>
            </w:r>
            <w:r w:rsidRPr="00064185">
              <w:br/>
            </w:r>
            <w:r w:rsidRPr="00064185">
              <w:rPr>
                <w:sz w:val="20"/>
              </w:rPr>
              <w:t>Annex Point IIB5.10</w:t>
            </w:r>
            <w:r w:rsidRPr="00064185">
              <w:rPr>
                <w:sz w:val="20"/>
              </w:rPr>
              <w:br/>
              <w:t>TNsG: Pt. I-B5.10,</w:t>
            </w:r>
            <w:r w:rsidRPr="00064185">
              <w:rPr>
                <w:sz w:val="20"/>
              </w:rPr>
              <w:br/>
              <w:t>Pt. III-Ch. 6</w:t>
            </w:r>
          </w:p>
        </w:tc>
        <w:tc>
          <w:tcPr>
            <w:tcW w:w="3182" w:type="pct"/>
            <w:tcBorders>
              <w:bottom w:val="single" w:sz="4" w:space="0" w:color="auto"/>
            </w:tcBorders>
            <w:vAlign w:val="center"/>
          </w:tcPr>
          <w:p w14:paraId="0609E216" w14:textId="77777777" w:rsidR="00EA230B" w:rsidRPr="00064185" w:rsidRDefault="00EA230B" w:rsidP="00EA61D8">
            <w:pPr>
              <w:pStyle w:val="SectionHeader"/>
            </w:pPr>
            <w:r w:rsidRPr="00064185">
              <w:t xml:space="preserve">Efficacy Data </w:t>
            </w:r>
          </w:p>
          <w:p w14:paraId="44331B31" w14:textId="77777777" w:rsidR="00EA230B" w:rsidRPr="00064185" w:rsidRDefault="00EA230B" w:rsidP="00EA61D8">
            <w:pPr>
              <w:pStyle w:val="SectionHeader"/>
            </w:pPr>
            <w:r w:rsidRPr="00064185">
              <w:rPr>
                <w:b w:val="0"/>
                <w:sz w:val="20"/>
              </w:rPr>
              <w:t>5.10.</w:t>
            </w:r>
            <w:r w:rsidRPr="00064185">
              <w:t xml:space="preserve"> </w:t>
            </w:r>
            <w:r w:rsidRPr="00064185">
              <w:rPr>
                <w:b w:val="0"/>
                <w:sz w:val="20"/>
              </w:rPr>
              <w:t>Effects on target organisms (PT 18; Study 4)</w:t>
            </w:r>
          </w:p>
        </w:tc>
        <w:tc>
          <w:tcPr>
            <w:tcW w:w="414" w:type="pct"/>
            <w:tcBorders>
              <w:bottom w:val="single" w:sz="4" w:space="0" w:color="auto"/>
            </w:tcBorders>
          </w:tcPr>
          <w:p w14:paraId="77A6FF4A" w14:textId="77777777" w:rsidR="00EA230B" w:rsidRPr="00064185" w:rsidRDefault="00EA230B" w:rsidP="00EA61D8">
            <w:pPr>
              <w:pStyle w:val="Official-Use"/>
              <w:keepNext/>
              <w:jc w:val="left"/>
              <w:rPr>
                <w:b/>
                <w:vanish/>
              </w:rPr>
            </w:pPr>
          </w:p>
        </w:tc>
      </w:tr>
      <w:tr w:rsidR="00064185" w:rsidRPr="00064185" w14:paraId="43B75405" w14:textId="77777777" w:rsidTr="00E80C20">
        <w:trPr>
          <w:cantSplit/>
          <w:tblHeader/>
        </w:trPr>
        <w:tc>
          <w:tcPr>
            <w:tcW w:w="1403" w:type="pct"/>
            <w:tcBorders>
              <w:top w:val="single" w:sz="4" w:space="0" w:color="auto"/>
            </w:tcBorders>
          </w:tcPr>
          <w:p w14:paraId="00D5AF9D" w14:textId="77777777" w:rsidR="00EA230B" w:rsidRPr="00064185" w:rsidRDefault="00EA230B" w:rsidP="00EA61D8">
            <w:pPr>
              <w:pStyle w:val="HalbeLeerzeile"/>
            </w:pPr>
          </w:p>
        </w:tc>
        <w:tc>
          <w:tcPr>
            <w:tcW w:w="3182" w:type="pct"/>
            <w:tcBorders>
              <w:top w:val="single" w:sz="4" w:space="0" w:color="auto"/>
            </w:tcBorders>
            <w:vAlign w:val="center"/>
          </w:tcPr>
          <w:p w14:paraId="20BEBB28" w14:textId="77777777" w:rsidR="00EA230B" w:rsidRPr="00064185" w:rsidRDefault="00EA230B" w:rsidP="00EA61D8">
            <w:pPr>
              <w:pStyle w:val="HalbeLeerzeile"/>
            </w:pPr>
          </w:p>
        </w:tc>
        <w:tc>
          <w:tcPr>
            <w:tcW w:w="414" w:type="pct"/>
            <w:tcBorders>
              <w:top w:val="single" w:sz="4" w:space="0" w:color="auto"/>
            </w:tcBorders>
          </w:tcPr>
          <w:p w14:paraId="501EABF2" w14:textId="77777777" w:rsidR="00EA230B" w:rsidRPr="00064185" w:rsidRDefault="00EA230B" w:rsidP="00EA61D8">
            <w:pPr>
              <w:pStyle w:val="HalbeLeerzeile"/>
              <w:rPr>
                <w:b/>
                <w:vanish/>
              </w:rPr>
            </w:pPr>
          </w:p>
        </w:tc>
      </w:tr>
      <w:tr w:rsidR="00064185" w:rsidRPr="00064185" w14:paraId="7B707F1A" w14:textId="77777777" w:rsidTr="00E80C20">
        <w:tc>
          <w:tcPr>
            <w:tcW w:w="1403" w:type="pct"/>
          </w:tcPr>
          <w:p w14:paraId="6B1F1197" w14:textId="77777777" w:rsidR="00EA230B" w:rsidRPr="00064185" w:rsidRDefault="00EA230B" w:rsidP="00EA61D8"/>
        </w:tc>
        <w:tc>
          <w:tcPr>
            <w:tcW w:w="3182" w:type="pct"/>
            <w:vAlign w:val="center"/>
          </w:tcPr>
          <w:p w14:paraId="21F2BC87" w14:textId="77777777" w:rsidR="00EA230B" w:rsidRPr="00064185" w:rsidRDefault="00EA230B" w:rsidP="00EA61D8">
            <w:pPr>
              <w:pStyle w:val="TEXTTEXT"/>
              <w:numPr>
                <w:ilvl w:val="0"/>
                <w:numId w:val="26"/>
              </w:numPr>
            </w:pPr>
            <w:r w:rsidRPr="00064185">
              <w:t>Reference</w:t>
            </w:r>
          </w:p>
        </w:tc>
        <w:tc>
          <w:tcPr>
            <w:tcW w:w="414" w:type="pct"/>
            <w:shd w:val="pct10" w:color="auto" w:fill="auto"/>
          </w:tcPr>
          <w:p w14:paraId="78374575" w14:textId="77777777" w:rsidR="00EA230B" w:rsidRPr="00064185" w:rsidRDefault="00EA230B" w:rsidP="00EA61D8">
            <w:pPr>
              <w:pStyle w:val="Official-Use"/>
              <w:keepNext/>
              <w:jc w:val="left"/>
              <w:rPr>
                <w:b/>
              </w:rPr>
            </w:pPr>
            <w:r w:rsidRPr="00064185">
              <w:rPr>
                <w:b/>
              </w:rPr>
              <w:t>Official</w:t>
            </w:r>
            <w:r w:rsidRPr="00064185">
              <w:rPr>
                <w:b/>
              </w:rPr>
              <w:br/>
              <w:t>use only</w:t>
            </w:r>
          </w:p>
        </w:tc>
      </w:tr>
      <w:tr w:rsidR="00064185" w:rsidRPr="00064185" w14:paraId="7B75605C" w14:textId="77777777" w:rsidTr="00E80C20">
        <w:tc>
          <w:tcPr>
            <w:tcW w:w="1403" w:type="pct"/>
          </w:tcPr>
          <w:p w14:paraId="25C91457" w14:textId="77777777" w:rsidR="00EA230B" w:rsidRPr="00064185" w:rsidRDefault="00EA230B" w:rsidP="00EA61D8">
            <w:pPr>
              <w:pStyle w:val="TextText11"/>
              <w:rPr>
                <w:color w:val="auto"/>
              </w:rPr>
            </w:pPr>
            <w:r w:rsidRPr="00064185">
              <w:rPr>
                <w:color w:val="auto"/>
              </w:rPr>
              <w:t>Reference</w:t>
            </w:r>
          </w:p>
        </w:tc>
        <w:tc>
          <w:tcPr>
            <w:tcW w:w="3182" w:type="pct"/>
            <w:vAlign w:val="center"/>
          </w:tcPr>
          <w:p w14:paraId="2E1E05E1" w14:textId="77777777" w:rsidR="00EA230B" w:rsidRPr="00064185" w:rsidRDefault="00EA230B" w:rsidP="00EA61D8">
            <w:r w:rsidRPr="00064185">
              <w:t>Lüpkes, K.-H. (2008): Efficacy of a product against silverfish, Efficacy after direct spray treatment and residual efficacy of a product against silverfish. BioGenius GmbH, Bergisch Gladbach, Germany, Report No. BIO048/08, Date: 2008-08-19 (unpublished)</w:t>
            </w:r>
          </w:p>
        </w:tc>
        <w:tc>
          <w:tcPr>
            <w:tcW w:w="414" w:type="pct"/>
            <w:shd w:val="pct10" w:color="auto" w:fill="auto"/>
          </w:tcPr>
          <w:p w14:paraId="50D44C06"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1EBB3D2F" w14:textId="77777777" w:rsidTr="00E80C20">
        <w:tc>
          <w:tcPr>
            <w:tcW w:w="1403" w:type="pct"/>
          </w:tcPr>
          <w:p w14:paraId="60FEB5FC" w14:textId="77777777" w:rsidR="00EA230B" w:rsidRPr="00064185" w:rsidRDefault="00EA230B" w:rsidP="00EA61D8">
            <w:pPr>
              <w:pStyle w:val="TextText11"/>
              <w:rPr>
                <w:color w:val="auto"/>
              </w:rPr>
            </w:pPr>
            <w:r w:rsidRPr="00064185">
              <w:rPr>
                <w:color w:val="auto"/>
              </w:rPr>
              <w:t>Data protection</w:t>
            </w:r>
          </w:p>
        </w:tc>
        <w:tc>
          <w:tcPr>
            <w:tcW w:w="3182" w:type="pct"/>
            <w:vAlign w:val="center"/>
          </w:tcPr>
          <w:p w14:paraId="26987B76" w14:textId="77777777" w:rsidR="00EA230B" w:rsidRPr="00064185" w:rsidRDefault="00EA230B" w:rsidP="00EA61D8">
            <w:pPr>
              <w:pStyle w:val="Standard-italics"/>
              <w:rPr>
                <w:i w:val="0"/>
              </w:rPr>
            </w:pPr>
            <w:r w:rsidRPr="00064185">
              <w:rPr>
                <w:i w:val="0"/>
              </w:rPr>
              <w:t>Yes</w:t>
            </w:r>
          </w:p>
        </w:tc>
        <w:tc>
          <w:tcPr>
            <w:tcW w:w="414" w:type="pct"/>
            <w:shd w:val="pct10" w:color="auto" w:fill="auto"/>
          </w:tcPr>
          <w:p w14:paraId="42C51B75"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3646EBD8" w14:textId="77777777" w:rsidTr="00E80C20">
        <w:tc>
          <w:tcPr>
            <w:tcW w:w="1403" w:type="pct"/>
          </w:tcPr>
          <w:p w14:paraId="1026FA36" w14:textId="77777777" w:rsidR="00EA230B" w:rsidRPr="00064185" w:rsidRDefault="00EA230B" w:rsidP="00EA61D8">
            <w:pPr>
              <w:pStyle w:val="TxtTxtTxt"/>
            </w:pPr>
            <w:r w:rsidRPr="00064185">
              <w:t>Data owner</w:t>
            </w:r>
          </w:p>
        </w:tc>
        <w:tc>
          <w:tcPr>
            <w:tcW w:w="3182" w:type="pct"/>
            <w:vAlign w:val="center"/>
          </w:tcPr>
          <w:p w14:paraId="42599DB1" w14:textId="77777777" w:rsidR="00EA230B" w:rsidRPr="00064185" w:rsidRDefault="00EA230B" w:rsidP="00EA61D8">
            <w:pPr>
              <w:pStyle w:val="Standard-italics"/>
              <w:rPr>
                <w:i w:val="0"/>
              </w:rPr>
            </w:pPr>
            <w:r w:rsidRPr="00064185">
              <w:rPr>
                <w:i w:val="0"/>
              </w:rPr>
              <w:t>Compo GmbH &amp; Co. KG</w:t>
            </w:r>
          </w:p>
        </w:tc>
        <w:tc>
          <w:tcPr>
            <w:tcW w:w="414" w:type="pct"/>
            <w:shd w:val="pct10" w:color="auto" w:fill="auto"/>
          </w:tcPr>
          <w:p w14:paraId="0303725C"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4AC5DD55" w14:textId="77777777" w:rsidTr="00E80C20">
        <w:tc>
          <w:tcPr>
            <w:tcW w:w="1403" w:type="pct"/>
          </w:tcPr>
          <w:p w14:paraId="59D28EB1" w14:textId="77777777" w:rsidR="00EA230B" w:rsidRPr="00064185" w:rsidRDefault="00EA230B" w:rsidP="00EA61D8">
            <w:pPr>
              <w:pStyle w:val="TxtTxtTxt"/>
            </w:pPr>
            <w:r w:rsidRPr="00064185">
              <w:t>Companies with Letter of Access</w:t>
            </w:r>
          </w:p>
        </w:tc>
        <w:tc>
          <w:tcPr>
            <w:tcW w:w="3182" w:type="pct"/>
            <w:vAlign w:val="center"/>
          </w:tcPr>
          <w:p w14:paraId="7DB9093E" w14:textId="77777777" w:rsidR="00EA230B" w:rsidRPr="00064185" w:rsidRDefault="00EA230B" w:rsidP="00EA61D8">
            <w:r w:rsidRPr="00064185">
              <w:t xml:space="preserve">– </w:t>
            </w:r>
          </w:p>
        </w:tc>
        <w:tc>
          <w:tcPr>
            <w:tcW w:w="414" w:type="pct"/>
            <w:shd w:val="pct10" w:color="auto" w:fill="auto"/>
          </w:tcPr>
          <w:p w14:paraId="3EA493C6"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6BE090AA" w14:textId="77777777" w:rsidTr="00E80C20">
        <w:tc>
          <w:tcPr>
            <w:tcW w:w="1403" w:type="pct"/>
          </w:tcPr>
          <w:p w14:paraId="23C8EDE2" w14:textId="77777777" w:rsidR="00EA230B" w:rsidRPr="00064185" w:rsidRDefault="00EA230B" w:rsidP="00EA61D8">
            <w:pPr>
              <w:pStyle w:val="TxtTxtTxt"/>
            </w:pPr>
            <w:r w:rsidRPr="00064185">
              <w:t>Criteria for data protection</w:t>
            </w:r>
          </w:p>
        </w:tc>
        <w:tc>
          <w:tcPr>
            <w:tcW w:w="3182" w:type="pct"/>
          </w:tcPr>
          <w:p w14:paraId="6E5AAF12" w14:textId="77777777" w:rsidR="00EA230B" w:rsidRPr="00064185" w:rsidRDefault="00EA230B" w:rsidP="00EA61D8">
            <w:r w:rsidRPr="00064185">
              <w:t>Data submitted to the MS after 13 May 2000 on existing b.p. for the purpose of its authorisation.</w:t>
            </w:r>
          </w:p>
        </w:tc>
        <w:tc>
          <w:tcPr>
            <w:tcW w:w="414" w:type="pct"/>
            <w:shd w:val="pct10" w:color="auto" w:fill="auto"/>
          </w:tcPr>
          <w:p w14:paraId="27FB39AE"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47A1F66B" w14:textId="77777777" w:rsidTr="00E80C20">
        <w:tc>
          <w:tcPr>
            <w:tcW w:w="1403" w:type="pct"/>
          </w:tcPr>
          <w:p w14:paraId="211ABC66" w14:textId="77777777" w:rsidR="00EA230B" w:rsidRPr="00064185" w:rsidRDefault="00EA230B" w:rsidP="00EA61D8">
            <w:pPr>
              <w:pStyle w:val="TextText11"/>
              <w:rPr>
                <w:color w:val="auto"/>
              </w:rPr>
            </w:pPr>
            <w:r w:rsidRPr="00064185">
              <w:rPr>
                <w:color w:val="auto"/>
              </w:rPr>
              <w:t>Guideline study</w:t>
            </w:r>
          </w:p>
        </w:tc>
        <w:tc>
          <w:tcPr>
            <w:tcW w:w="3182" w:type="pct"/>
            <w:vAlign w:val="center"/>
          </w:tcPr>
          <w:p w14:paraId="19BA6B99" w14:textId="77777777" w:rsidR="00EA230B" w:rsidRPr="00064185" w:rsidRDefault="00EA230B" w:rsidP="00EA61D8">
            <w:pPr>
              <w:pStyle w:val="Standard-italics"/>
              <w:rPr>
                <w:i w:val="0"/>
              </w:rPr>
            </w:pPr>
            <w:r w:rsidRPr="00064185">
              <w:rPr>
                <w:i w:val="0"/>
              </w:rPr>
              <w:t>The methodology was based on the following in-house methods:</w:t>
            </w:r>
          </w:p>
          <w:p w14:paraId="1FBE9E8E" w14:textId="77777777" w:rsidR="00EA230B" w:rsidRPr="00064185" w:rsidRDefault="00EA230B" w:rsidP="00EA61D8">
            <w:pPr>
              <w:pStyle w:val="Standard-italics"/>
              <w:rPr>
                <w:i w:val="0"/>
              </w:rPr>
            </w:pPr>
            <w:r w:rsidRPr="00064185">
              <w:rPr>
                <w:i w:val="0"/>
              </w:rPr>
              <w:t>Method BioG B 200-01 (modified): Test of spray can and trigger direct treatment of silverfish by manual spraying</w:t>
            </w:r>
          </w:p>
          <w:p w14:paraId="6ED57C7C" w14:textId="77777777" w:rsidR="00EA230B" w:rsidRPr="00064185" w:rsidRDefault="00EA230B" w:rsidP="00EA61D8">
            <w:pPr>
              <w:pStyle w:val="Standard-italics"/>
              <w:rPr>
                <w:i w:val="0"/>
              </w:rPr>
            </w:pPr>
            <w:r w:rsidRPr="00064185">
              <w:rPr>
                <w:i w:val="0"/>
              </w:rPr>
              <w:t>Method BioG B008-02 (modified): Test method for finding the residual effect of spray cans (using computer controlled spraying apparatus)</w:t>
            </w:r>
          </w:p>
        </w:tc>
        <w:tc>
          <w:tcPr>
            <w:tcW w:w="414" w:type="pct"/>
            <w:shd w:val="pct10" w:color="auto" w:fill="auto"/>
          </w:tcPr>
          <w:p w14:paraId="0F158528" w14:textId="77777777" w:rsidR="00EA230B" w:rsidRPr="00064185" w:rsidRDefault="00EA230B" w:rsidP="00EA61D8"/>
        </w:tc>
      </w:tr>
      <w:tr w:rsidR="00064185" w:rsidRPr="00064185" w14:paraId="02813B58" w14:textId="77777777" w:rsidTr="00E80C20">
        <w:tc>
          <w:tcPr>
            <w:tcW w:w="1403" w:type="pct"/>
          </w:tcPr>
          <w:p w14:paraId="2B774B20" w14:textId="77777777" w:rsidR="00EA230B" w:rsidRPr="00064185" w:rsidRDefault="00EA230B" w:rsidP="00EA61D8">
            <w:pPr>
              <w:pStyle w:val="TextText11"/>
              <w:rPr>
                <w:color w:val="auto"/>
              </w:rPr>
            </w:pPr>
            <w:r w:rsidRPr="00064185">
              <w:rPr>
                <w:color w:val="auto"/>
              </w:rPr>
              <w:t>Deviations</w:t>
            </w:r>
          </w:p>
        </w:tc>
        <w:tc>
          <w:tcPr>
            <w:tcW w:w="3182" w:type="pct"/>
            <w:vAlign w:val="center"/>
          </w:tcPr>
          <w:p w14:paraId="1A89E5D1" w14:textId="77777777" w:rsidR="00EA230B" w:rsidRPr="00064185" w:rsidRDefault="00EA230B" w:rsidP="00EA61D8">
            <w:pPr>
              <w:pStyle w:val="Standard-italics"/>
              <w:rPr>
                <w:i w:val="0"/>
              </w:rPr>
            </w:pPr>
            <w:r w:rsidRPr="00064185">
              <w:rPr>
                <w:i w:val="0"/>
              </w:rPr>
              <w:t>Not applicable</w:t>
            </w:r>
          </w:p>
        </w:tc>
        <w:tc>
          <w:tcPr>
            <w:tcW w:w="414" w:type="pct"/>
            <w:shd w:val="pct10" w:color="auto" w:fill="auto"/>
          </w:tcPr>
          <w:p w14:paraId="37423893" w14:textId="77777777" w:rsidR="00EA230B" w:rsidRPr="00064185" w:rsidRDefault="00EA230B" w:rsidP="00EA61D8"/>
        </w:tc>
      </w:tr>
      <w:tr w:rsidR="00064185" w:rsidRPr="00064185" w14:paraId="7DA602F1" w14:textId="77777777" w:rsidTr="00E80C20">
        <w:tc>
          <w:tcPr>
            <w:tcW w:w="1403" w:type="pct"/>
          </w:tcPr>
          <w:p w14:paraId="32CE4D93" w14:textId="77777777" w:rsidR="00EA230B" w:rsidRPr="00064185" w:rsidRDefault="00EA230B" w:rsidP="00EA61D8">
            <w:pPr>
              <w:pStyle w:val="TextText11"/>
              <w:numPr>
                <w:ilvl w:val="0"/>
                <w:numId w:val="0"/>
              </w:numPr>
              <w:ind w:left="709"/>
              <w:rPr>
                <w:color w:val="auto"/>
              </w:rPr>
            </w:pPr>
          </w:p>
        </w:tc>
        <w:tc>
          <w:tcPr>
            <w:tcW w:w="3182" w:type="pct"/>
            <w:vAlign w:val="center"/>
          </w:tcPr>
          <w:p w14:paraId="2F82D97F" w14:textId="77777777" w:rsidR="00EA230B" w:rsidRPr="00064185" w:rsidRDefault="00EA230B" w:rsidP="00EA61D8">
            <w:pPr>
              <w:pStyle w:val="TEXTTEXT"/>
            </w:pPr>
            <w:r w:rsidRPr="00064185">
              <w:t>Method</w:t>
            </w:r>
          </w:p>
        </w:tc>
        <w:tc>
          <w:tcPr>
            <w:tcW w:w="414" w:type="pct"/>
            <w:shd w:val="pct10" w:color="auto" w:fill="auto"/>
          </w:tcPr>
          <w:p w14:paraId="49DEA67E"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5D3BDCEC"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4CBC937" w14:textId="77777777" w:rsidR="00EA230B" w:rsidRPr="00064185" w:rsidRDefault="00EA230B" w:rsidP="00EA61D8">
            <w:pPr>
              <w:pStyle w:val="TextText11"/>
              <w:rPr>
                <w:color w:val="auto"/>
              </w:rPr>
            </w:pPr>
            <w:r w:rsidRPr="00064185">
              <w:rPr>
                <w:color w:val="auto"/>
              </w:rPr>
              <w:t xml:space="preserve">Test Substance </w:t>
            </w:r>
          </w:p>
        </w:tc>
        <w:tc>
          <w:tcPr>
            <w:tcW w:w="3182" w:type="pct"/>
            <w:tcBorders>
              <w:top w:val="nil"/>
              <w:left w:val="nil"/>
              <w:bottom w:val="nil"/>
              <w:right w:val="nil"/>
            </w:tcBorders>
            <w:vAlign w:val="center"/>
          </w:tcPr>
          <w:p w14:paraId="78F331F2" w14:textId="77777777" w:rsidR="00EA230B" w:rsidRPr="00064185" w:rsidRDefault="00EA230B" w:rsidP="00EA61D8">
            <w:pPr>
              <w:rPr>
                <w:lang w:val="nb-NO"/>
              </w:rPr>
            </w:pPr>
            <w:r w:rsidRPr="00064185">
              <w:rPr>
                <w:lang w:val="nb-NO"/>
              </w:rPr>
              <w:t>COM 116 02 I AL (batch 05/024)</w:t>
            </w:r>
          </w:p>
        </w:tc>
        <w:tc>
          <w:tcPr>
            <w:tcW w:w="414" w:type="pct"/>
            <w:tcBorders>
              <w:top w:val="nil"/>
              <w:left w:val="nil"/>
              <w:bottom w:val="nil"/>
              <w:right w:val="nil"/>
            </w:tcBorders>
            <w:shd w:val="pct10" w:color="auto" w:fill="auto"/>
          </w:tcPr>
          <w:p w14:paraId="24D0117E" w14:textId="77777777" w:rsidR="00EA230B" w:rsidRPr="00064185" w:rsidRDefault="00EA230B" w:rsidP="00EA61D8"/>
        </w:tc>
      </w:tr>
      <w:tr w:rsidR="00064185" w:rsidRPr="00064185" w14:paraId="68F1244F"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C9734E1" w14:textId="77777777" w:rsidR="00EA230B" w:rsidRPr="00064185" w:rsidRDefault="00EA230B" w:rsidP="00EA61D8">
            <w:pPr>
              <w:pStyle w:val="TxtTxtTxt"/>
            </w:pPr>
            <w:r w:rsidRPr="00064185">
              <w:t>Purity</w:t>
            </w:r>
          </w:p>
        </w:tc>
        <w:tc>
          <w:tcPr>
            <w:tcW w:w="3182" w:type="pct"/>
            <w:tcBorders>
              <w:top w:val="nil"/>
              <w:left w:val="nil"/>
              <w:bottom w:val="nil"/>
              <w:right w:val="nil"/>
            </w:tcBorders>
            <w:vAlign w:val="center"/>
          </w:tcPr>
          <w:p w14:paraId="2FD49234" w14:textId="77777777" w:rsidR="00EA230B" w:rsidRPr="00064185" w:rsidRDefault="00EA230B" w:rsidP="00EA61D8">
            <w:pPr>
              <w:pStyle w:val="Standard-italics"/>
              <w:rPr>
                <w:i w:val="0"/>
              </w:rPr>
            </w:pPr>
            <w:r w:rsidRPr="00064185">
              <w:rPr>
                <w:i w:val="0"/>
              </w:rPr>
              <w:t xml:space="preserve">The biocidal product contains </w:t>
            </w:r>
            <w:r w:rsidRPr="00064185">
              <w:rPr>
                <w:i w:val="0"/>
                <w:lang w:val="nb-NO"/>
              </w:rPr>
              <w:t>0.05% of the active substance lambda-cyhalothrin</w:t>
            </w:r>
            <w:r w:rsidRPr="00064185">
              <w:rPr>
                <w:i w:val="0"/>
              </w:rPr>
              <w:t>.</w:t>
            </w:r>
          </w:p>
        </w:tc>
        <w:tc>
          <w:tcPr>
            <w:tcW w:w="414" w:type="pct"/>
            <w:tcBorders>
              <w:top w:val="nil"/>
              <w:left w:val="nil"/>
              <w:bottom w:val="nil"/>
              <w:right w:val="nil"/>
            </w:tcBorders>
            <w:shd w:val="pct10" w:color="auto" w:fill="auto"/>
          </w:tcPr>
          <w:p w14:paraId="08F98F0A" w14:textId="77777777" w:rsidR="00EA230B" w:rsidRPr="00064185" w:rsidRDefault="00EA230B" w:rsidP="00EA61D8"/>
        </w:tc>
      </w:tr>
      <w:tr w:rsidR="00064185" w:rsidRPr="00064185" w14:paraId="25F57EB4"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60AD4F4" w14:textId="77777777" w:rsidR="00EA230B" w:rsidRPr="00064185" w:rsidRDefault="00EA230B" w:rsidP="00EA61D8">
            <w:pPr>
              <w:pStyle w:val="TxtTxtTxt"/>
            </w:pPr>
            <w:r w:rsidRPr="00064185">
              <w:t>Physical state and nature</w:t>
            </w:r>
          </w:p>
        </w:tc>
        <w:tc>
          <w:tcPr>
            <w:tcW w:w="3182" w:type="pct"/>
            <w:tcBorders>
              <w:top w:val="nil"/>
              <w:left w:val="nil"/>
              <w:bottom w:val="nil"/>
              <w:right w:val="nil"/>
            </w:tcBorders>
            <w:vAlign w:val="center"/>
          </w:tcPr>
          <w:p w14:paraId="6898377B" w14:textId="77777777" w:rsidR="00EA230B" w:rsidRPr="00064185" w:rsidRDefault="00EA230B" w:rsidP="00EA61D8">
            <w:pPr>
              <w:pStyle w:val="Standard-italics"/>
              <w:rPr>
                <w:i w:val="0"/>
              </w:rPr>
            </w:pPr>
            <w:r w:rsidRPr="00064185">
              <w:rPr>
                <w:i w:val="0"/>
              </w:rPr>
              <w:t>Liquid formulation, bag-on-valve system</w:t>
            </w:r>
          </w:p>
        </w:tc>
        <w:tc>
          <w:tcPr>
            <w:tcW w:w="414" w:type="pct"/>
            <w:tcBorders>
              <w:top w:val="nil"/>
              <w:left w:val="nil"/>
              <w:bottom w:val="nil"/>
              <w:right w:val="nil"/>
            </w:tcBorders>
            <w:shd w:val="pct10" w:color="auto" w:fill="auto"/>
          </w:tcPr>
          <w:p w14:paraId="32955548" w14:textId="77777777" w:rsidR="00EA230B" w:rsidRPr="00064185" w:rsidRDefault="00EA230B" w:rsidP="00EA61D8"/>
        </w:tc>
      </w:tr>
      <w:tr w:rsidR="00064185" w:rsidRPr="00064185" w14:paraId="40E1D0E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60A872C" w14:textId="77777777" w:rsidR="00EA230B" w:rsidRPr="00064185" w:rsidRDefault="00EA230B" w:rsidP="00EA61D8">
            <w:pPr>
              <w:pStyle w:val="TxtTxtTxt"/>
            </w:pPr>
            <w:r w:rsidRPr="00064185">
              <w:t>Method of analysis</w:t>
            </w:r>
          </w:p>
        </w:tc>
        <w:tc>
          <w:tcPr>
            <w:tcW w:w="3182" w:type="pct"/>
            <w:tcBorders>
              <w:top w:val="nil"/>
              <w:left w:val="nil"/>
              <w:bottom w:val="nil"/>
              <w:right w:val="nil"/>
            </w:tcBorders>
            <w:vAlign w:val="center"/>
          </w:tcPr>
          <w:p w14:paraId="6CF07D45" w14:textId="77777777" w:rsidR="00EA230B" w:rsidRPr="00064185" w:rsidRDefault="00EA230B" w:rsidP="00EA61D8">
            <w:pPr>
              <w:pStyle w:val="Standard-italics"/>
              <w:rPr>
                <w:i w:val="0"/>
              </w:rPr>
            </w:pPr>
            <w:r w:rsidRPr="00064185">
              <w:rPr>
                <w:i w:val="0"/>
              </w:rPr>
              <w:t>As described in Section 5 of dossier.</w:t>
            </w:r>
          </w:p>
        </w:tc>
        <w:tc>
          <w:tcPr>
            <w:tcW w:w="414" w:type="pct"/>
            <w:tcBorders>
              <w:top w:val="nil"/>
              <w:left w:val="nil"/>
              <w:bottom w:val="nil"/>
              <w:right w:val="nil"/>
            </w:tcBorders>
            <w:shd w:val="pct10" w:color="auto" w:fill="auto"/>
          </w:tcPr>
          <w:p w14:paraId="6102BB8C" w14:textId="77777777" w:rsidR="00EA230B" w:rsidRPr="00064185" w:rsidRDefault="00EA230B" w:rsidP="00EA61D8"/>
        </w:tc>
      </w:tr>
      <w:tr w:rsidR="00064185" w:rsidRPr="00064185" w14:paraId="14D629C8"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21764F0" w14:textId="77777777" w:rsidR="00EA230B" w:rsidRPr="00064185" w:rsidRDefault="00EA230B" w:rsidP="00EA61D8">
            <w:pPr>
              <w:pStyle w:val="TextText11"/>
              <w:rPr>
                <w:color w:val="auto"/>
              </w:rPr>
            </w:pPr>
            <w:r w:rsidRPr="00064185">
              <w:rPr>
                <w:color w:val="auto"/>
              </w:rPr>
              <w:t>Reference substance</w:t>
            </w:r>
          </w:p>
        </w:tc>
        <w:tc>
          <w:tcPr>
            <w:tcW w:w="3182" w:type="pct"/>
            <w:tcBorders>
              <w:top w:val="nil"/>
              <w:left w:val="nil"/>
              <w:bottom w:val="nil"/>
              <w:right w:val="nil"/>
            </w:tcBorders>
            <w:vAlign w:val="center"/>
          </w:tcPr>
          <w:p w14:paraId="4688282C" w14:textId="77777777" w:rsidR="00EA230B" w:rsidRPr="00064185" w:rsidRDefault="00EA230B" w:rsidP="00EA61D8">
            <w:pPr>
              <w:autoSpaceDE w:val="0"/>
              <w:autoSpaceDN w:val="0"/>
              <w:adjustRightInd w:val="0"/>
              <w:rPr>
                <w:rFonts w:ascii="Arial" w:hAnsi="Arial"/>
              </w:rPr>
            </w:pPr>
            <w:r w:rsidRPr="00064185">
              <w:t>no</w:t>
            </w:r>
          </w:p>
        </w:tc>
        <w:tc>
          <w:tcPr>
            <w:tcW w:w="414" w:type="pct"/>
            <w:tcBorders>
              <w:top w:val="nil"/>
              <w:left w:val="nil"/>
              <w:bottom w:val="nil"/>
              <w:right w:val="nil"/>
            </w:tcBorders>
            <w:shd w:val="pct10" w:color="auto" w:fill="auto"/>
          </w:tcPr>
          <w:p w14:paraId="707A09C8" w14:textId="77777777" w:rsidR="00EA230B" w:rsidRPr="00064185" w:rsidRDefault="00EA230B" w:rsidP="00EA61D8"/>
        </w:tc>
      </w:tr>
      <w:tr w:rsidR="00064185" w:rsidRPr="00064185" w14:paraId="3290EC5D"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70D9553" w14:textId="77777777" w:rsidR="00EA230B" w:rsidRPr="00064185" w:rsidRDefault="00EA230B" w:rsidP="00EA61D8">
            <w:pPr>
              <w:pStyle w:val="TextText11"/>
              <w:rPr>
                <w:color w:val="auto"/>
              </w:rPr>
            </w:pPr>
            <w:r w:rsidRPr="00064185">
              <w:rPr>
                <w:color w:val="auto"/>
              </w:rPr>
              <w:t>Testing procedure</w:t>
            </w:r>
          </w:p>
        </w:tc>
        <w:tc>
          <w:tcPr>
            <w:tcW w:w="3182" w:type="pct"/>
            <w:tcBorders>
              <w:top w:val="nil"/>
              <w:left w:val="nil"/>
              <w:bottom w:val="nil"/>
              <w:right w:val="nil"/>
            </w:tcBorders>
            <w:vAlign w:val="center"/>
          </w:tcPr>
          <w:p w14:paraId="5F268FC8" w14:textId="77777777" w:rsidR="00EA230B" w:rsidRPr="00064185" w:rsidRDefault="00EA230B" w:rsidP="00EA61D8">
            <w:pPr>
              <w:pStyle w:val="Tabellenformat"/>
              <w:spacing w:before="0"/>
            </w:pPr>
          </w:p>
        </w:tc>
        <w:tc>
          <w:tcPr>
            <w:tcW w:w="414" w:type="pct"/>
            <w:tcBorders>
              <w:top w:val="nil"/>
              <w:left w:val="nil"/>
              <w:bottom w:val="nil"/>
              <w:right w:val="nil"/>
            </w:tcBorders>
            <w:shd w:val="pct10" w:color="auto" w:fill="auto"/>
          </w:tcPr>
          <w:p w14:paraId="6566C498" w14:textId="77777777" w:rsidR="00EA230B" w:rsidRPr="00064185" w:rsidRDefault="00EA230B" w:rsidP="00EA61D8">
            <w:pPr>
              <w:keepNext/>
            </w:pPr>
          </w:p>
        </w:tc>
      </w:tr>
      <w:tr w:rsidR="00064185" w:rsidRPr="00064185" w14:paraId="4D10ECB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CC869E6" w14:textId="77777777" w:rsidR="00EA230B" w:rsidRPr="00064185" w:rsidRDefault="00EA230B" w:rsidP="00EA61D8">
            <w:pPr>
              <w:pStyle w:val="TxtTxtTxt"/>
            </w:pPr>
            <w:r w:rsidRPr="00064185">
              <w:t xml:space="preserve">Test population </w:t>
            </w:r>
            <w:r w:rsidRPr="00064185">
              <w:lastRenderedPageBreak/>
              <w:t xml:space="preserve">/ </w:t>
            </w:r>
            <w:r w:rsidRPr="00064185">
              <w:br/>
              <w:t>inoculum /</w:t>
            </w:r>
            <w:r w:rsidRPr="00064185">
              <w:br/>
              <w:t>test organism</w:t>
            </w:r>
          </w:p>
        </w:tc>
        <w:tc>
          <w:tcPr>
            <w:tcW w:w="3182" w:type="pct"/>
            <w:tcBorders>
              <w:top w:val="nil"/>
              <w:left w:val="nil"/>
              <w:bottom w:val="nil"/>
              <w:right w:val="nil"/>
            </w:tcBorders>
            <w:vAlign w:val="center"/>
          </w:tcPr>
          <w:p w14:paraId="2F938CA6" w14:textId="77777777" w:rsidR="00EA230B" w:rsidRPr="00064185" w:rsidRDefault="00EA230B" w:rsidP="00EA61D8">
            <w:pPr>
              <w:pStyle w:val="Standard-italics"/>
            </w:pPr>
            <w:r w:rsidRPr="00064185">
              <w:lastRenderedPageBreak/>
              <w:t xml:space="preserve">Lepisma saccharina </w:t>
            </w:r>
            <w:r w:rsidRPr="00064185">
              <w:rPr>
                <w:i w:val="0"/>
              </w:rPr>
              <w:t>(adults)</w:t>
            </w:r>
          </w:p>
        </w:tc>
        <w:tc>
          <w:tcPr>
            <w:tcW w:w="414" w:type="pct"/>
            <w:tcBorders>
              <w:top w:val="nil"/>
              <w:left w:val="nil"/>
              <w:bottom w:val="nil"/>
              <w:right w:val="nil"/>
            </w:tcBorders>
            <w:shd w:val="pct10" w:color="auto" w:fill="auto"/>
          </w:tcPr>
          <w:p w14:paraId="4A878BF4" w14:textId="77777777" w:rsidR="00EA230B" w:rsidRPr="00064185" w:rsidRDefault="00EA230B" w:rsidP="00EA61D8">
            <w:pPr>
              <w:keepNext/>
            </w:pPr>
          </w:p>
        </w:tc>
      </w:tr>
      <w:tr w:rsidR="00064185" w:rsidRPr="00064185" w14:paraId="6AF7960E"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1D557FCC" w14:textId="77777777" w:rsidR="00EA230B" w:rsidRPr="00064185" w:rsidRDefault="00EA230B" w:rsidP="00EA61D8">
            <w:pPr>
              <w:pStyle w:val="TxtTxtTxt"/>
            </w:pPr>
            <w:r w:rsidRPr="00064185">
              <w:lastRenderedPageBreak/>
              <w:t>Test system</w:t>
            </w:r>
          </w:p>
        </w:tc>
        <w:tc>
          <w:tcPr>
            <w:tcW w:w="3182" w:type="pct"/>
            <w:tcBorders>
              <w:top w:val="nil"/>
              <w:left w:val="nil"/>
              <w:bottom w:val="nil"/>
              <w:right w:val="nil"/>
            </w:tcBorders>
            <w:vAlign w:val="center"/>
          </w:tcPr>
          <w:p w14:paraId="741476BE" w14:textId="77777777" w:rsidR="00EA230B" w:rsidRPr="00064185" w:rsidRDefault="00EA230B" w:rsidP="00EA61D8">
            <w:pPr>
              <w:pStyle w:val="Standard-italics"/>
              <w:rPr>
                <w:i w:val="0"/>
              </w:rPr>
            </w:pPr>
            <w:r w:rsidRPr="00064185">
              <w:rPr>
                <w:i w:val="0"/>
              </w:rPr>
              <w:t>Effectiveness of insecticide bag-on-valve system was tested against silverfishes in rooms (indoor).</w:t>
            </w:r>
          </w:p>
        </w:tc>
        <w:tc>
          <w:tcPr>
            <w:tcW w:w="414" w:type="pct"/>
            <w:tcBorders>
              <w:top w:val="nil"/>
              <w:left w:val="nil"/>
              <w:bottom w:val="nil"/>
              <w:right w:val="nil"/>
            </w:tcBorders>
            <w:shd w:val="pct10" w:color="auto" w:fill="auto"/>
          </w:tcPr>
          <w:p w14:paraId="501C5BB9" w14:textId="77777777" w:rsidR="00EA230B" w:rsidRPr="00064185" w:rsidRDefault="00EA230B" w:rsidP="00EA61D8"/>
        </w:tc>
      </w:tr>
      <w:tr w:rsidR="00064185" w:rsidRPr="00064185" w14:paraId="36749991"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7448CB9" w14:textId="77777777" w:rsidR="00EA230B" w:rsidRPr="00064185" w:rsidRDefault="00EA230B" w:rsidP="00EA61D8">
            <w:pPr>
              <w:pStyle w:val="TxtTxtTxt"/>
            </w:pPr>
            <w:r w:rsidRPr="00064185">
              <w:t>Application of TS</w:t>
            </w:r>
          </w:p>
        </w:tc>
        <w:tc>
          <w:tcPr>
            <w:tcW w:w="3182" w:type="pct"/>
            <w:tcBorders>
              <w:top w:val="nil"/>
              <w:left w:val="nil"/>
              <w:bottom w:val="nil"/>
              <w:right w:val="nil"/>
            </w:tcBorders>
            <w:vAlign w:val="center"/>
          </w:tcPr>
          <w:p w14:paraId="5BD775F0" w14:textId="77777777" w:rsidR="00EA230B" w:rsidRPr="00064185" w:rsidRDefault="00EA230B" w:rsidP="00EA61D8">
            <w:pPr>
              <w:pStyle w:val="Standard-italics"/>
              <w:rPr>
                <w:i w:val="0"/>
              </w:rPr>
            </w:pPr>
            <w:r w:rsidRPr="00064185">
              <w:rPr>
                <w:i w:val="0"/>
              </w:rPr>
              <w:t>a) Direct spray treatment: Silverfishes were sprayed with the product for 2 seconds (= 2.6 – 3.0 gram, average 2.8 g) out of a distance of 60 cm.</w:t>
            </w:r>
          </w:p>
          <w:p w14:paraId="73D46521" w14:textId="77777777" w:rsidR="00EA230B" w:rsidRPr="00064185" w:rsidRDefault="00EA230B" w:rsidP="00EA61D8">
            <w:pPr>
              <w:pStyle w:val="Standard-italics"/>
              <w:rPr>
                <w:i w:val="0"/>
              </w:rPr>
            </w:pPr>
            <w:r w:rsidRPr="00064185">
              <w:rPr>
                <w:i w:val="0"/>
              </w:rPr>
              <w:t>b) Residual effects: Surfaces type glazed tiles or PVC were sprayed with a spray rate of 7.0 g per 5 seconds per meter (distance of 25 cm).</w:t>
            </w:r>
          </w:p>
        </w:tc>
        <w:tc>
          <w:tcPr>
            <w:tcW w:w="414" w:type="pct"/>
            <w:tcBorders>
              <w:top w:val="nil"/>
              <w:left w:val="nil"/>
              <w:bottom w:val="nil"/>
              <w:right w:val="nil"/>
            </w:tcBorders>
            <w:shd w:val="pct10" w:color="auto" w:fill="auto"/>
          </w:tcPr>
          <w:p w14:paraId="3638A73D" w14:textId="77777777" w:rsidR="00EA230B" w:rsidRPr="00064185" w:rsidRDefault="00EA230B" w:rsidP="00EA61D8"/>
        </w:tc>
      </w:tr>
      <w:tr w:rsidR="00064185" w:rsidRPr="00064185" w14:paraId="08D4E96E"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2341150" w14:textId="77777777" w:rsidR="00EA230B" w:rsidRPr="00064185" w:rsidRDefault="00EA230B" w:rsidP="00EA61D8">
            <w:pPr>
              <w:pStyle w:val="TxtTxtTxt"/>
            </w:pPr>
            <w:r w:rsidRPr="00064185">
              <w:t>Test conditions</w:t>
            </w:r>
          </w:p>
        </w:tc>
        <w:tc>
          <w:tcPr>
            <w:tcW w:w="3182" w:type="pct"/>
            <w:tcBorders>
              <w:top w:val="nil"/>
              <w:left w:val="nil"/>
              <w:bottom w:val="nil"/>
              <w:right w:val="nil"/>
            </w:tcBorders>
            <w:vAlign w:val="center"/>
          </w:tcPr>
          <w:p w14:paraId="12890866" w14:textId="77777777" w:rsidR="00EA230B" w:rsidRPr="00064185" w:rsidRDefault="00EA230B" w:rsidP="00EA61D8">
            <w:pPr>
              <w:pStyle w:val="Standard-italics"/>
              <w:rPr>
                <w:i w:val="0"/>
              </w:rPr>
            </w:pPr>
            <w:r w:rsidRPr="00064185">
              <w:rPr>
                <w:i w:val="0"/>
              </w:rPr>
              <w:t xml:space="preserve">Climatic conditions: </w:t>
            </w:r>
            <w:r w:rsidRPr="00064185">
              <w:rPr>
                <w:i w:val="0"/>
              </w:rPr>
              <w:br/>
              <w:t>Temperature: a) 22 °C, b) 24 – 26 °C</w:t>
            </w:r>
            <w:r w:rsidRPr="00064185">
              <w:rPr>
                <w:i w:val="0"/>
              </w:rPr>
              <w:br/>
              <w:t>Rel. humidity: a) 68%, b) 50-70%</w:t>
            </w:r>
          </w:p>
          <w:p w14:paraId="2E13FED5" w14:textId="77777777" w:rsidR="00EA230B" w:rsidRPr="00064185" w:rsidRDefault="00EA230B" w:rsidP="00EA61D8">
            <w:pPr>
              <w:pStyle w:val="Standard-italics"/>
              <w:rPr>
                <w:i w:val="0"/>
              </w:rPr>
            </w:pPr>
            <w:r w:rsidRPr="00064185">
              <w:rPr>
                <w:i w:val="0"/>
              </w:rPr>
              <w:t xml:space="preserve">Light cycles during test: a, b) </w:t>
            </w:r>
            <w:r w:rsidRPr="00064185">
              <w:rPr>
                <w:i w:val="0"/>
                <w:lang w:val="en-US"/>
              </w:rPr>
              <w:t>Additionally to the day light about 10 hours of artificial light (day light for about 14 hours), rest darkness.</w:t>
            </w:r>
          </w:p>
          <w:p w14:paraId="5023F9AF" w14:textId="77777777" w:rsidR="00EA230B" w:rsidRPr="00064185" w:rsidRDefault="00EA230B" w:rsidP="00EA61D8">
            <w:pPr>
              <w:pStyle w:val="Standard-italics"/>
              <w:rPr>
                <w:i w:val="0"/>
              </w:rPr>
            </w:pPr>
            <w:r w:rsidRPr="00064185">
              <w:rPr>
                <w:i w:val="0"/>
              </w:rPr>
              <w:t xml:space="preserve">Type of test chamber: </w:t>
            </w:r>
            <w:r w:rsidRPr="00064185">
              <w:rPr>
                <w:i w:val="0"/>
              </w:rPr>
              <w:br/>
              <w:t>a) Direct spray treatment: glass rings (9.5 cm in diameter, 5.5 cm height), 1 silverfish per test unit</w:t>
            </w:r>
            <w:r w:rsidRPr="00064185">
              <w:rPr>
                <w:i w:val="0"/>
              </w:rPr>
              <w:br/>
              <w:t>b) Residual effects: Spray robot, residual racks, glazed tiles or PVC, 5 silverfish per surface</w:t>
            </w:r>
          </w:p>
        </w:tc>
        <w:tc>
          <w:tcPr>
            <w:tcW w:w="414" w:type="pct"/>
            <w:tcBorders>
              <w:top w:val="nil"/>
              <w:left w:val="nil"/>
              <w:bottom w:val="nil"/>
              <w:right w:val="nil"/>
            </w:tcBorders>
            <w:shd w:val="pct10" w:color="auto" w:fill="auto"/>
          </w:tcPr>
          <w:p w14:paraId="0F2E9348" w14:textId="77777777" w:rsidR="00EA230B" w:rsidRPr="00064185" w:rsidRDefault="00EA230B" w:rsidP="00EA61D8"/>
        </w:tc>
      </w:tr>
      <w:tr w:rsidR="00064185" w:rsidRPr="00064185" w14:paraId="3B98DC71"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B0BE43F" w14:textId="77777777" w:rsidR="00EA230B" w:rsidRPr="00064185" w:rsidRDefault="00EA230B" w:rsidP="00EA61D8">
            <w:pPr>
              <w:pStyle w:val="TxtTxtTxt"/>
            </w:pPr>
            <w:r w:rsidRPr="00064185">
              <w:t>Duration of the test / Exposure time</w:t>
            </w:r>
          </w:p>
        </w:tc>
        <w:tc>
          <w:tcPr>
            <w:tcW w:w="3182" w:type="pct"/>
            <w:tcBorders>
              <w:top w:val="nil"/>
              <w:left w:val="nil"/>
              <w:bottom w:val="nil"/>
              <w:right w:val="nil"/>
            </w:tcBorders>
            <w:vAlign w:val="center"/>
          </w:tcPr>
          <w:p w14:paraId="42402312" w14:textId="77777777" w:rsidR="00EA230B" w:rsidRPr="00064185" w:rsidRDefault="00EA230B" w:rsidP="00EA61D8">
            <w:pPr>
              <w:pStyle w:val="Tabellenformat"/>
              <w:rPr>
                <w:lang w:val="it-IT"/>
              </w:rPr>
            </w:pPr>
            <w:r w:rsidRPr="00064185">
              <w:rPr>
                <w:lang w:val="it-IT"/>
              </w:rPr>
              <w:t>2 weeks</w:t>
            </w:r>
          </w:p>
        </w:tc>
        <w:tc>
          <w:tcPr>
            <w:tcW w:w="414" w:type="pct"/>
            <w:tcBorders>
              <w:top w:val="nil"/>
              <w:left w:val="nil"/>
              <w:bottom w:val="nil"/>
              <w:right w:val="nil"/>
            </w:tcBorders>
            <w:shd w:val="pct10" w:color="auto" w:fill="auto"/>
          </w:tcPr>
          <w:p w14:paraId="318E4FD1" w14:textId="77777777" w:rsidR="00EA230B" w:rsidRPr="00064185" w:rsidRDefault="00EA230B" w:rsidP="00EA61D8">
            <w:pPr>
              <w:keepNext/>
            </w:pPr>
          </w:p>
        </w:tc>
      </w:tr>
      <w:tr w:rsidR="00064185" w:rsidRPr="00064185" w14:paraId="16CEB405"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24DBAE2" w14:textId="77777777" w:rsidR="00EA230B" w:rsidRPr="00064185" w:rsidRDefault="00EA230B" w:rsidP="00EA61D8">
            <w:pPr>
              <w:pStyle w:val="TxtTxtTxt"/>
            </w:pPr>
            <w:r w:rsidRPr="00064185">
              <w:t>Number of replicates performed</w:t>
            </w:r>
          </w:p>
        </w:tc>
        <w:tc>
          <w:tcPr>
            <w:tcW w:w="3182" w:type="pct"/>
            <w:tcBorders>
              <w:top w:val="nil"/>
              <w:left w:val="nil"/>
              <w:bottom w:val="nil"/>
              <w:right w:val="nil"/>
            </w:tcBorders>
            <w:vAlign w:val="center"/>
          </w:tcPr>
          <w:p w14:paraId="2B075628" w14:textId="77777777" w:rsidR="00EA230B" w:rsidRPr="00064185" w:rsidRDefault="00EA230B" w:rsidP="00EA61D8">
            <w:pPr>
              <w:pStyle w:val="Standard-italics"/>
              <w:rPr>
                <w:i w:val="0"/>
              </w:rPr>
            </w:pPr>
            <w:r w:rsidRPr="00064185">
              <w:rPr>
                <w:i w:val="0"/>
              </w:rPr>
              <w:t>a) 10 replicates b) 3 replicates</w:t>
            </w:r>
          </w:p>
        </w:tc>
        <w:tc>
          <w:tcPr>
            <w:tcW w:w="414" w:type="pct"/>
            <w:tcBorders>
              <w:top w:val="nil"/>
              <w:left w:val="nil"/>
              <w:bottom w:val="nil"/>
              <w:right w:val="nil"/>
            </w:tcBorders>
            <w:shd w:val="pct10" w:color="auto" w:fill="auto"/>
          </w:tcPr>
          <w:p w14:paraId="5380FF4B" w14:textId="77777777" w:rsidR="00EA230B" w:rsidRPr="00064185" w:rsidRDefault="00EA230B" w:rsidP="00EA61D8"/>
        </w:tc>
      </w:tr>
      <w:tr w:rsidR="00064185" w:rsidRPr="00064185" w14:paraId="30D4EFC5"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12DCDA24" w14:textId="77777777" w:rsidR="00EA230B" w:rsidRPr="00064185" w:rsidRDefault="00EA230B" w:rsidP="00EA61D8">
            <w:pPr>
              <w:pStyle w:val="TxtTxtTxt"/>
            </w:pPr>
            <w:r w:rsidRPr="00064185">
              <w:t>Controls</w:t>
            </w:r>
          </w:p>
        </w:tc>
        <w:tc>
          <w:tcPr>
            <w:tcW w:w="3182" w:type="pct"/>
            <w:tcBorders>
              <w:top w:val="nil"/>
              <w:left w:val="nil"/>
              <w:bottom w:val="nil"/>
              <w:right w:val="nil"/>
            </w:tcBorders>
            <w:vAlign w:val="center"/>
          </w:tcPr>
          <w:p w14:paraId="3DA96501" w14:textId="77777777" w:rsidR="00EA230B" w:rsidRPr="00064185" w:rsidRDefault="00EA230B" w:rsidP="00EA61D8">
            <w:pPr>
              <w:pStyle w:val="Standard-italics"/>
              <w:rPr>
                <w:i w:val="0"/>
              </w:rPr>
            </w:pPr>
            <w:r w:rsidRPr="00064185">
              <w:rPr>
                <w:i w:val="0"/>
              </w:rPr>
              <w:t>Yes, untreated controls: a) 3 replicates, b) 1 replicate</w:t>
            </w:r>
          </w:p>
        </w:tc>
        <w:tc>
          <w:tcPr>
            <w:tcW w:w="414" w:type="pct"/>
            <w:tcBorders>
              <w:top w:val="nil"/>
              <w:left w:val="nil"/>
              <w:bottom w:val="nil"/>
              <w:right w:val="nil"/>
            </w:tcBorders>
            <w:shd w:val="pct10" w:color="auto" w:fill="auto"/>
          </w:tcPr>
          <w:p w14:paraId="2694AD9C" w14:textId="77777777" w:rsidR="00EA230B" w:rsidRPr="00064185" w:rsidRDefault="00EA230B" w:rsidP="00EA61D8">
            <w:pPr>
              <w:keepNext/>
            </w:pPr>
          </w:p>
        </w:tc>
      </w:tr>
      <w:tr w:rsidR="00064185" w:rsidRPr="00064185" w14:paraId="5951A6A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3FF37F3" w14:textId="77777777" w:rsidR="00EA230B" w:rsidRPr="00064185" w:rsidRDefault="00EA230B" w:rsidP="00EA61D8">
            <w:pPr>
              <w:pStyle w:val="TextText11"/>
              <w:rPr>
                <w:color w:val="auto"/>
              </w:rPr>
            </w:pPr>
            <w:r w:rsidRPr="00064185">
              <w:rPr>
                <w:color w:val="auto"/>
              </w:rPr>
              <w:t>Examination</w:t>
            </w:r>
          </w:p>
        </w:tc>
        <w:tc>
          <w:tcPr>
            <w:tcW w:w="3182" w:type="pct"/>
            <w:tcBorders>
              <w:top w:val="nil"/>
              <w:left w:val="nil"/>
              <w:bottom w:val="nil"/>
              <w:right w:val="nil"/>
            </w:tcBorders>
            <w:vAlign w:val="center"/>
          </w:tcPr>
          <w:p w14:paraId="211247E3" w14:textId="77777777" w:rsidR="00EA230B" w:rsidRPr="00064185" w:rsidRDefault="00EA230B" w:rsidP="00EA61D8">
            <w:pPr>
              <w:keepNext/>
              <w:rPr>
                <w:i/>
              </w:rPr>
            </w:pPr>
          </w:p>
        </w:tc>
        <w:tc>
          <w:tcPr>
            <w:tcW w:w="414" w:type="pct"/>
            <w:tcBorders>
              <w:top w:val="nil"/>
              <w:left w:val="nil"/>
              <w:bottom w:val="nil"/>
              <w:right w:val="nil"/>
            </w:tcBorders>
            <w:shd w:val="pct10" w:color="auto" w:fill="auto"/>
          </w:tcPr>
          <w:p w14:paraId="555C8470" w14:textId="77777777" w:rsidR="00EA230B" w:rsidRPr="00064185" w:rsidRDefault="00EA230B" w:rsidP="00EA61D8">
            <w:pPr>
              <w:keepNext/>
            </w:pPr>
          </w:p>
        </w:tc>
      </w:tr>
      <w:tr w:rsidR="00064185" w:rsidRPr="00064185" w14:paraId="2CF5644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C728EE9" w14:textId="77777777" w:rsidR="00EA230B" w:rsidRPr="00064185" w:rsidRDefault="00EA230B" w:rsidP="00EA61D8">
            <w:pPr>
              <w:pStyle w:val="TxtTxtTxt"/>
            </w:pPr>
            <w:r w:rsidRPr="00064185">
              <w:t>Effect investigated</w:t>
            </w:r>
          </w:p>
        </w:tc>
        <w:tc>
          <w:tcPr>
            <w:tcW w:w="3182" w:type="pct"/>
            <w:tcBorders>
              <w:top w:val="nil"/>
              <w:left w:val="nil"/>
              <w:bottom w:val="nil"/>
              <w:right w:val="nil"/>
            </w:tcBorders>
            <w:vAlign w:val="center"/>
          </w:tcPr>
          <w:p w14:paraId="41E1565D" w14:textId="77777777" w:rsidR="00EA230B" w:rsidRPr="00064185" w:rsidRDefault="00EA230B" w:rsidP="00EA61D8">
            <w:pPr>
              <w:keepNext/>
            </w:pPr>
            <w:r w:rsidRPr="00064185">
              <w:t>a) and b) Knock-down and mortality</w:t>
            </w:r>
          </w:p>
        </w:tc>
        <w:tc>
          <w:tcPr>
            <w:tcW w:w="414" w:type="pct"/>
            <w:tcBorders>
              <w:top w:val="nil"/>
              <w:left w:val="nil"/>
              <w:bottom w:val="nil"/>
              <w:right w:val="nil"/>
            </w:tcBorders>
            <w:shd w:val="pct10" w:color="auto" w:fill="auto"/>
          </w:tcPr>
          <w:p w14:paraId="7CBAFFD4" w14:textId="77777777" w:rsidR="00EA230B" w:rsidRPr="00064185" w:rsidRDefault="00EA230B" w:rsidP="00EA61D8">
            <w:pPr>
              <w:keepNext/>
            </w:pPr>
          </w:p>
        </w:tc>
      </w:tr>
      <w:tr w:rsidR="00064185" w:rsidRPr="00064185" w14:paraId="1BE8F645"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D13A505" w14:textId="77777777" w:rsidR="00EA230B" w:rsidRPr="00064185" w:rsidRDefault="00EA230B" w:rsidP="00EA61D8">
            <w:pPr>
              <w:pStyle w:val="TxtTxtTxt"/>
            </w:pPr>
            <w:r w:rsidRPr="00064185">
              <w:t xml:space="preserve">Method for recording / scoring of the effect </w:t>
            </w:r>
          </w:p>
        </w:tc>
        <w:tc>
          <w:tcPr>
            <w:tcW w:w="3182" w:type="pct"/>
            <w:tcBorders>
              <w:top w:val="nil"/>
              <w:left w:val="nil"/>
              <w:bottom w:val="nil"/>
              <w:right w:val="nil"/>
            </w:tcBorders>
            <w:vAlign w:val="center"/>
          </w:tcPr>
          <w:p w14:paraId="55AE8C61" w14:textId="77777777" w:rsidR="00EA230B" w:rsidRPr="00064185" w:rsidRDefault="00EA230B" w:rsidP="00EA61D8">
            <w:r w:rsidRPr="00064185">
              <w:t>Visual observation of test animals</w:t>
            </w:r>
          </w:p>
        </w:tc>
        <w:tc>
          <w:tcPr>
            <w:tcW w:w="414" w:type="pct"/>
            <w:tcBorders>
              <w:top w:val="nil"/>
              <w:left w:val="nil"/>
              <w:bottom w:val="nil"/>
              <w:right w:val="nil"/>
            </w:tcBorders>
            <w:shd w:val="pct10" w:color="auto" w:fill="auto"/>
          </w:tcPr>
          <w:p w14:paraId="244C3DBB" w14:textId="77777777" w:rsidR="00EA230B" w:rsidRPr="00064185" w:rsidRDefault="00EA230B" w:rsidP="00EA61D8"/>
        </w:tc>
      </w:tr>
      <w:tr w:rsidR="00064185" w:rsidRPr="00064185" w14:paraId="3873EE6B"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33C658B" w14:textId="77777777" w:rsidR="00EA230B" w:rsidRPr="00064185" w:rsidRDefault="00EA230B" w:rsidP="00EA61D8">
            <w:pPr>
              <w:pStyle w:val="TxtTxtTxt"/>
            </w:pPr>
            <w:r w:rsidRPr="00064185">
              <w:t>Intervals of examination</w:t>
            </w:r>
          </w:p>
        </w:tc>
        <w:tc>
          <w:tcPr>
            <w:tcW w:w="3182" w:type="pct"/>
            <w:tcBorders>
              <w:top w:val="nil"/>
              <w:left w:val="nil"/>
              <w:bottom w:val="nil"/>
              <w:right w:val="nil"/>
            </w:tcBorders>
            <w:vAlign w:val="center"/>
          </w:tcPr>
          <w:p w14:paraId="4F107357" w14:textId="77777777" w:rsidR="00EA230B" w:rsidRPr="00064185" w:rsidRDefault="00EA230B" w:rsidP="00EA61D8">
            <w:r w:rsidRPr="00064185">
              <w:t>a) Continuously up to 2 hours maximum for knock down and for mortality after 24 and 48 hours.</w:t>
            </w:r>
          </w:p>
          <w:p w14:paraId="4525B562" w14:textId="77777777" w:rsidR="00EA230B" w:rsidRPr="00064185" w:rsidRDefault="00EA230B" w:rsidP="00EA61D8">
            <w:r w:rsidRPr="00064185">
              <w:t>b) Exposure of the silverfishes for 72 hours to residues aged 1 day as well as 1 and 2 weeks, evaluation of knock down and mortality was done after 15 and 30 min as well as 1, 2, 6, 12, 24, 48 and 72 hours.</w:t>
            </w:r>
          </w:p>
        </w:tc>
        <w:tc>
          <w:tcPr>
            <w:tcW w:w="414" w:type="pct"/>
            <w:tcBorders>
              <w:top w:val="nil"/>
              <w:left w:val="nil"/>
              <w:bottom w:val="nil"/>
              <w:right w:val="nil"/>
            </w:tcBorders>
            <w:shd w:val="pct10" w:color="auto" w:fill="auto"/>
          </w:tcPr>
          <w:p w14:paraId="52AC5634" w14:textId="77777777" w:rsidR="00EA230B" w:rsidRPr="00064185" w:rsidRDefault="00EA230B" w:rsidP="00EA61D8"/>
        </w:tc>
      </w:tr>
      <w:tr w:rsidR="00064185" w:rsidRPr="00064185" w14:paraId="1E0CE3EE"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28E5D6E" w14:textId="77777777" w:rsidR="00EA230B" w:rsidRPr="00064185" w:rsidRDefault="00EA230B" w:rsidP="00EA61D8">
            <w:pPr>
              <w:pStyle w:val="TxtTxtTxt"/>
            </w:pPr>
            <w:r w:rsidRPr="00064185">
              <w:lastRenderedPageBreak/>
              <w:t xml:space="preserve">Statistics </w:t>
            </w:r>
          </w:p>
        </w:tc>
        <w:tc>
          <w:tcPr>
            <w:tcW w:w="3182" w:type="pct"/>
            <w:tcBorders>
              <w:top w:val="nil"/>
              <w:left w:val="nil"/>
              <w:bottom w:val="nil"/>
              <w:right w:val="nil"/>
            </w:tcBorders>
            <w:vAlign w:val="center"/>
          </w:tcPr>
          <w:p w14:paraId="3AA327A4" w14:textId="77777777" w:rsidR="00EA230B" w:rsidRPr="00064185" w:rsidRDefault="00EA230B" w:rsidP="00EA61D8">
            <w:r w:rsidRPr="00064185">
              <w:t>–</w:t>
            </w:r>
          </w:p>
        </w:tc>
        <w:tc>
          <w:tcPr>
            <w:tcW w:w="414" w:type="pct"/>
            <w:tcBorders>
              <w:top w:val="nil"/>
              <w:left w:val="nil"/>
              <w:bottom w:val="nil"/>
              <w:right w:val="nil"/>
            </w:tcBorders>
            <w:shd w:val="pct10" w:color="auto" w:fill="auto"/>
          </w:tcPr>
          <w:p w14:paraId="2034A0E3" w14:textId="77777777" w:rsidR="00EA230B" w:rsidRPr="00064185" w:rsidRDefault="00EA230B" w:rsidP="00EA61D8"/>
        </w:tc>
      </w:tr>
      <w:tr w:rsidR="00064185" w:rsidRPr="00064185" w14:paraId="06DC0C5E"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F90F587" w14:textId="77777777" w:rsidR="00EA230B" w:rsidRPr="00064185" w:rsidRDefault="00EA230B" w:rsidP="00EA61D8">
            <w:pPr>
              <w:pStyle w:val="TxtTxtTxt"/>
            </w:pPr>
            <w:r w:rsidRPr="00064185">
              <w:t>Post monitoring of the test organism</w:t>
            </w:r>
          </w:p>
        </w:tc>
        <w:tc>
          <w:tcPr>
            <w:tcW w:w="3182" w:type="pct"/>
            <w:tcBorders>
              <w:top w:val="nil"/>
              <w:left w:val="nil"/>
              <w:bottom w:val="nil"/>
              <w:right w:val="nil"/>
            </w:tcBorders>
            <w:vAlign w:val="center"/>
          </w:tcPr>
          <w:p w14:paraId="2728349B" w14:textId="77777777" w:rsidR="00EA230B" w:rsidRPr="00064185" w:rsidRDefault="00EA230B" w:rsidP="00EA61D8">
            <w:r w:rsidRPr="00064185">
              <w:t>No</w:t>
            </w:r>
          </w:p>
        </w:tc>
        <w:tc>
          <w:tcPr>
            <w:tcW w:w="414" w:type="pct"/>
            <w:tcBorders>
              <w:top w:val="nil"/>
              <w:left w:val="nil"/>
              <w:bottom w:val="nil"/>
              <w:right w:val="nil"/>
            </w:tcBorders>
            <w:shd w:val="pct10" w:color="auto" w:fill="auto"/>
          </w:tcPr>
          <w:p w14:paraId="4C76DBD3" w14:textId="77777777" w:rsidR="00EA230B" w:rsidRPr="00064185" w:rsidRDefault="00EA230B" w:rsidP="00EA61D8"/>
        </w:tc>
      </w:tr>
      <w:tr w:rsidR="00064185" w:rsidRPr="00064185" w14:paraId="6E90CD8C"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2D3160A" w14:textId="77777777" w:rsidR="00EA230B" w:rsidRPr="00064185" w:rsidRDefault="00EA230B" w:rsidP="00EA61D8">
            <w:pPr>
              <w:pStyle w:val="TxtTxtTxt"/>
              <w:numPr>
                <w:ilvl w:val="0"/>
                <w:numId w:val="0"/>
              </w:numPr>
              <w:ind w:left="709"/>
            </w:pPr>
          </w:p>
        </w:tc>
        <w:tc>
          <w:tcPr>
            <w:tcW w:w="3182" w:type="pct"/>
            <w:tcBorders>
              <w:top w:val="nil"/>
              <w:left w:val="nil"/>
              <w:bottom w:val="nil"/>
              <w:right w:val="nil"/>
            </w:tcBorders>
            <w:vAlign w:val="center"/>
          </w:tcPr>
          <w:p w14:paraId="370157B3" w14:textId="77777777" w:rsidR="00EA230B" w:rsidRPr="00064185" w:rsidRDefault="00EA230B" w:rsidP="00EA61D8">
            <w:pPr>
              <w:pStyle w:val="TEXTTEXT"/>
            </w:pPr>
            <w:r w:rsidRPr="00064185">
              <w:t>Results</w:t>
            </w:r>
          </w:p>
        </w:tc>
        <w:tc>
          <w:tcPr>
            <w:tcW w:w="414" w:type="pct"/>
            <w:tcBorders>
              <w:top w:val="nil"/>
              <w:left w:val="nil"/>
              <w:bottom w:val="nil"/>
              <w:right w:val="nil"/>
            </w:tcBorders>
            <w:shd w:val="pct10" w:color="auto" w:fill="auto"/>
          </w:tcPr>
          <w:p w14:paraId="498E2E3E"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5F688D6A"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42A6992" w14:textId="77777777" w:rsidR="00EA230B" w:rsidRPr="00064185" w:rsidRDefault="00EA230B" w:rsidP="00EA61D8">
            <w:pPr>
              <w:pStyle w:val="TextText11"/>
              <w:rPr>
                <w:color w:val="auto"/>
              </w:rPr>
            </w:pPr>
            <w:r w:rsidRPr="00064185">
              <w:rPr>
                <w:color w:val="auto"/>
              </w:rPr>
              <w:t>Efficacy</w:t>
            </w:r>
          </w:p>
        </w:tc>
        <w:tc>
          <w:tcPr>
            <w:tcW w:w="3182" w:type="pct"/>
            <w:tcBorders>
              <w:top w:val="nil"/>
              <w:left w:val="nil"/>
              <w:bottom w:val="nil"/>
              <w:right w:val="nil"/>
            </w:tcBorders>
            <w:vAlign w:val="center"/>
          </w:tcPr>
          <w:p w14:paraId="2A20EDAB" w14:textId="77777777" w:rsidR="00EA230B" w:rsidRPr="00064185" w:rsidRDefault="00EA230B" w:rsidP="00EA61D8">
            <w:pPr>
              <w:pStyle w:val="Standard-italics"/>
            </w:pPr>
          </w:p>
        </w:tc>
        <w:tc>
          <w:tcPr>
            <w:tcW w:w="414" w:type="pct"/>
            <w:tcBorders>
              <w:top w:val="nil"/>
              <w:left w:val="nil"/>
              <w:bottom w:val="nil"/>
              <w:right w:val="nil"/>
            </w:tcBorders>
            <w:shd w:val="pct10" w:color="auto" w:fill="auto"/>
          </w:tcPr>
          <w:p w14:paraId="4C4A749D" w14:textId="77777777" w:rsidR="00EA230B" w:rsidRPr="00064185" w:rsidRDefault="00EA230B" w:rsidP="00EA61D8"/>
        </w:tc>
      </w:tr>
      <w:tr w:rsidR="00064185" w:rsidRPr="00064185" w14:paraId="11BED1A4"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906084E" w14:textId="77777777" w:rsidR="00EA230B" w:rsidRPr="00064185" w:rsidRDefault="00EA230B" w:rsidP="00EA61D8">
            <w:pPr>
              <w:pStyle w:val="TxtTxtTxt"/>
            </w:pPr>
            <w:r w:rsidRPr="00064185">
              <w:t>Dose/Efficacy curve</w:t>
            </w:r>
          </w:p>
        </w:tc>
        <w:tc>
          <w:tcPr>
            <w:tcW w:w="3182" w:type="pct"/>
            <w:tcBorders>
              <w:top w:val="nil"/>
              <w:left w:val="nil"/>
              <w:bottom w:val="nil"/>
              <w:right w:val="nil"/>
            </w:tcBorders>
            <w:vAlign w:val="center"/>
          </w:tcPr>
          <w:p w14:paraId="0779684A" w14:textId="77777777" w:rsidR="00EA230B" w:rsidRPr="00064185" w:rsidRDefault="00EA230B" w:rsidP="00EA61D8">
            <w:pPr>
              <w:rPr>
                <w:i/>
              </w:rPr>
            </w:pPr>
            <w:r w:rsidRPr="00064185">
              <w:rPr>
                <w:i/>
              </w:rPr>
              <w:t>–</w:t>
            </w:r>
          </w:p>
        </w:tc>
        <w:tc>
          <w:tcPr>
            <w:tcW w:w="414" w:type="pct"/>
            <w:tcBorders>
              <w:top w:val="nil"/>
              <w:left w:val="nil"/>
              <w:bottom w:val="nil"/>
              <w:right w:val="nil"/>
            </w:tcBorders>
            <w:shd w:val="pct10" w:color="auto" w:fill="auto"/>
          </w:tcPr>
          <w:p w14:paraId="57A28B17" w14:textId="77777777" w:rsidR="00EA230B" w:rsidRPr="00064185" w:rsidRDefault="00EA230B" w:rsidP="00EA61D8"/>
        </w:tc>
      </w:tr>
      <w:tr w:rsidR="00064185" w:rsidRPr="00064185" w14:paraId="088D444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07D43B6" w14:textId="77777777" w:rsidR="00EA230B" w:rsidRPr="00064185" w:rsidRDefault="00EA230B" w:rsidP="00EA61D8">
            <w:pPr>
              <w:pStyle w:val="TxtTxtTxt"/>
            </w:pPr>
            <w:r w:rsidRPr="00064185">
              <w:t>Begin and duration of effects</w:t>
            </w:r>
          </w:p>
        </w:tc>
        <w:tc>
          <w:tcPr>
            <w:tcW w:w="3182" w:type="pct"/>
            <w:tcBorders>
              <w:top w:val="nil"/>
              <w:left w:val="nil"/>
              <w:bottom w:val="nil"/>
              <w:right w:val="nil"/>
            </w:tcBorders>
            <w:vAlign w:val="center"/>
          </w:tcPr>
          <w:p w14:paraId="409B93BB" w14:textId="77777777" w:rsidR="00EA230B" w:rsidRPr="00064185" w:rsidRDefault="00EA230B" w:rsidP="00EA61D8">
            <w:r w:rsidRPr="00064185">
              <w:t xml:space="preserve">a) Direct spray treatment: </w:t>
            </w:r>
            <w:r w:rsidRPr="00064185">
              <w:br/>
              <w:t>100% knock down efficacy was achieved 2 minutes and 47 seconds after treatment. Mortality was 100% after 24 hours.</w:t>
            </w:r>
          </w:p>
          <w:p w14:paraId="2B7F3504" w14:textId="77777777" w:rsidR="00EA230B" w:rsidRPr="00064185" w:rsidRDefault="00EA230B" w:rsidP="00EA61D8">
            <w:pPr>
              <w:rPr>
                <w:i/>
                <w:lang w:val="en-US"/>
              </w:rPr>
            </w:pPr>
            <w:r w:rsidRPr="00064185">
              <w:t>b) Residual effects:</w:t>
            </w:r>
            <w:r w:rsidRPr="00064185">
              <w:br/>
              <w:t>On glazed tiles 100% of knock down followed by mortality was given after 15 min up to 30 min, on PVC after 30 min up to 60 min.</w:t>
            </w:r>
          </w:p>
        </w:tc>
        <w:tc>
          <w:tcPr>
            <w:tcW w:w="414" w:type="pct"/>
            <w:tcBorders>
              <w:top w:val="nil"/>
              <w:left w:val="nil"/>
              <w:bottom w:val="nil"/>
              <w:right w:val="nil"/>
            </w:tcBorders>
            <w:shd w:val="pct10" w:color="auto" w:fill="auto"/>
          </w:tcPr>
          <w:p w14:paraId="4A21AA40" w14:textId="77777777" w:rsidR="00EA230B" w:rsidRPr="00064185" w:rsidRDefault="00EA230B" w:rsidP="00EA61D8"/>
        </w:tc>
      </w:tr>
      <w:tr w:rsidR="00064185" w:rsidRPr="00064185" w14:paraId="6F69ECF9"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E800D6A" w14:textId="77777777" w:rsidR="00EA230B" w:rsidRPr="00064185" w:rsidRDefault="00EA230B" w:rsidP="00EA61D8">
            <w:pPr>
              <w:pStyle w:val="TextText11"/>
              <w:rPr>
                <w:color w:val="auto"/>
              </w:rPr>
            </w:pPr>
            <w:r w:rsidRPr="00064185">
              <w:rPr>
                <w:color w:val="auto"/>
              </w:rPr>
              <w:t>Tabular and/or graphical presentation of the summarised results</w:t>
            </w:r>
          </w:p>
        </w:tc>
        <w:tc>
          <w:tcPr>
            <w:tcW w:w="3182" w:type="pct"/>
            <w:tcBorders>
              <w:top w:val="nil"/>
              <w:left w:val="nil"/>
              <w:bottom w:val="nil"/>
              <w:right w:val="nil"/>
            </w:tcBorders>
            <w:vAlign w:val="center"/>
          </w:tcPr>
          <w:p w14:paraId="018F5DE6" w14:textId="77777777" w:rsidR="00EA230B" w:rsidRPr="00064185" w:rsidRDefault="00EA230B" w:rsidP="00EA61D8">
            <w:r w:rsidRPr="00064185">
              <w:t>See Table B5.10_1 and Table B5.10_2</w:t>
            </w:r>
          </w:p>
        </w:tc>
        <w:tc>
          <w:tcPr>
            <w:tcW w:w="414" w:type="pct"/>
            <w:tcBorders>
              <w:top w:val="nil"/>
              <w:left w:val="nil"/>
              <w:bottom w:val="nil"/>
              <w:right w:val="nil"/>
            </w:tcBorders>
            <w:shd w:val="pct10" w:color="auto" w:fill="auto"/>
          </w:tcPr>
          <w:p w14:paraId="7411F17B" w14:textId="77777777" w:rsidR="00EA230B" w:rsidRPr="00064185" w:rsidRDefault="00EA230B" w:rsidP="00EA61D8"/>
        </w:tc>
      </w:tr>
      <w:tr w:rsidR="00064185" w:rsidRPr="00064185" w14:paraId="333A86B6"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DB50A69" w14:textId="77777777" w:rsidR="00EA230B" w:rsidRPr="00064185" w:rsidRDefault="00EA230B" w:rsidP="00EA61D8">
            <w:pPr>
              <w:pStyle w:val="TextText11"/>
              <w:rPr>
                <w:color w:val="auto"/>
              </w:rPr>
            </w:pPr>
            <w:r w:rsidRPr="00064185">
              <w:rPr>
                <w:color w:val="auto"/>
              </w:rPr>
              <w:t>Efficacy limiting factors</w:t>
            </w:r>
          </w:p>
        </w:tc>
        <w:tc>
          <w:tcPr>
            <w:tcW w:w="3182" w:type="pct"/>
            <w:tcBorders>
              <w:top w:val="nil"/>
              <w:left w:val="nil"/>
              <w:bottom w:val="nil"/>
              <w:right w:val="nil"/>
            </w:tcBorders>
            <w:vAlign w:val="center"/>
          </w:tcPr>
          <w:p w14:paraId="355D4506" w14:textId="77777777" w:rsidR="00EA230B" w:rsidRPr="00064185" w:rsidRDefault="00EA230B" w:rsidP="00EA61D8">
            <w:pPr>
              <w:rPr>
                <w:i/>
              </w:rPr>
            </w:pPr>
          </w:p>
        </w:tc>
        <w:tc>
          <w:tcPr>
            <w:tcW w:w="414" w:type="pct"/>
            <w:tcBorders>
              <w:top w:val="nil"/>
              <w:left w:val="nil"/>
              <w:bottom w:val="nil"/>
              <w:right w:val="nil"/>
            </w:tcBorders>
            <w:shd w:val="pct10" w:color="auto" w:fill="auto"/>
          </w:tcPr>
          <w:p w14:paraId="562DB9B7" w14:textId="77777777" w:rsidR="00EA230B" w:rsidRPr="00064185" w:rsidRDefault="00EA230B" w:rsidP="00EA61D8"/>
        </w:tc>
      </w:tr>
      <w:tr w:rsidR="00064185" w:rsidRPr="00064185" w14:paraId="2D70DABB"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74EB6CD" w14:textId="77777777" w:rsidR="00EA230B" w:rsidRPr="00064185" w:rsidRDefault="00EA230B" w:rsidP="00EA61D8">
            <w:pPr>
              <w:pStyle w:val="TxtTxtTxt"/>
            </w:pPr>
            <w:r w:rsidRPr="00064185">
              <w:t>Occurrences of resistances</w:t>
            </w:r>
          </w:p>
        </w:tc>
        <w:tc>
          <w:tcPr>
            <w:tcW w:w="3182" w:type="pct"/>
            <w:tcBorders>
              <w:top w:val="nil"/>
              <w:left w:val="nil"/>
              <w:bottom w:val="nil"/>
              <w:right w:val="nil"/>
            </w:tcBorders>
            <w:vAlign w:val="center"/>
          </w:tcPr>
          <w:p w14:paraId="51C7C9A3" w14:textId="77777777" w:rsidR="00EA230B" w:rsidRPr="00064185" w:rsidRDefault="00EA230B" w:rsidP="00EA61D8">
            <w:r w:rsidRPr="00064185">
              <w:t>Due to the mode of action a development of resistance is neither to be expected nor has ever been observed.</w:t>
            </w:r>
          </w:p>
        </w:tc>
        <w:tc>
          <w:tcPr>
            <w:tcW w:w="414" w:type="pct"/>
            <w:tcBorders>
              <w:top w:val="nil"/>
              <w:left w:val="nil"/>
              <w:bottom w:val="nil"/>
              <w:right w:val="nil"/>
            </w:tcBorders>
            <w:shd w:val="pct10" w:color="auto" w:fill="auto"/>
          </w:tcPr>
          <w:p w14:paraId="788F5305" w14:textId="77777777" w:rsidR="00EA230B" w:rsidRPr="00064185" w:rsidRDefault="00EA230B" w:rsidP="00EA61D8"/>
        </w:tc>
      </w:tr>
      <w:tr w:rsidR="00064185" w:rsidRPr="00064185" w14:paraId="45D64478"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03" w:type="pct"/>
            <w:tcBorders>
              <w:top w:val="nil"/>
              <w:left w:val="nil"/>
              <w:bottom w:val="nil"/>
              <w:right w:val="nil"/>
            </w:tcBorders>
          </w:tcPr>
          <w:p w14:paraId="5D8411C5" w14:textId="77777777" w:rsidR="00EA230B" w:rsidRPr="00064185" w:rsidRDefault="00EA230B" w:rsidP="00EA61D8">
            <w:pPr>
              <w:pStyle w:val="TxtTxtTxt"/>
            </w:pPr>
            <w:r w:rsidRPr="00064185">
              <w:t>Other limiting factors</w:t>
            </w:r>
          </w:p>
        </w:tc>
        <w:tc>
          <w:tcPr>
            <w:tcW w:w="3182" w:type="pct"/>
            <w:tcBorders>
              <w:top w:val="nil"/>
              <w:left w:val="nil"/>
              <w:bottom w:val="nil"/>
              <w:right w:val="nil"/>
            </w:tcBorders>
            <w:vAlign w:val="center"/>
          </w:tcPr>
          <w:p w14:paraId="2EAAAA9A" w14:textId="77777777" w:rsidR="00EA230B" w:rsidRPr="00064185" w:rsidRDefault="00EA230B" w:rsidP="00EA61D8">
            <w:r w:rsidRPr="00064185">
              <w:t>Not applicable</w:t>
            </w:r>
          </w:p>
        </w:tc>
        <w:tc>
          <w:tcPr>
            <w:tcW w:w="414" w:type="pct"/>
            <w:tcBorders>
              <w:top w:val="nil"/>
              <w:left w:val="nil"/>
              <w:bottom w:val="nil"/>
              <w:right w:val="nil"/>
            </w:tcBorders>
            <w:shd w:val="pct10" w:color="auto" w:fill="auto"/>
          </w:tcPr>
          <w:p w14:paraId="645FAF55" w14:textId="77777777" w:rsidR="00EA230B" w:rsidRPr="00064185" w:rsidRDefault="00EA230B" w:rsidP="00EA61D8"/>
        </w:tc>
      </w:tr>
      <w:tr w:rsidR="00064185" w:rsidRPr="00064185" w14:paraId="6041BCA5"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80D7B59" w14:textId="77777777" w:rsidR="00EA230B" w:rsidRPr="00064185" w:rsidRDefault="00EA230B" w:rsidP="00EA61D8">
            <w:pPr>
              <w:pStyle w:val="TxtTxtTxt"/>
              <w:numPr>
                <w:ilvl w:val="0"/>
                <w:numId w:val="0"/>
              </w:numPr>
              <w:ind w:left="709"/>
            </w:pPr>
          </w:p>
        </w:tc>
        <w:tc>
          <w:tcPr>
            <w:tcW w:w="3182" w:type="pct"/>
            <w:tcBorders>
              <w:top w:val="nil"/>
              <w:left w:val="nil"/>
              <w:bottom w:val="nil"/>
              <w:right w:val="nil"/>
            </w:tcBorders>
            <w:vAlign w:val="center"/>
          </w:tcPr>
          <w:p w14:paraId="4841D14F" w14:textId="77777777" w:rsidR="00EA230B" w:rsidRPr="00064185" w:rsidRDefault="00EA230B" w:rsidP="00EA61D8">
            <w:pPr>
              <w:pStyle w:val="TEXTTEXT"/>
            </w:pPr>
            <w:r w:rsidRPr="00064185">
              <w:t>Relevance of the results compared to field conditions</w:t>
            </w:r>
          </w:p>
        </w:tc>
        <w:tc>
          <w:tcPr>
            <w:tcW w:w="414" w:type="pct"/>
            <w:tcBorders>
              <w:top w:val="nil"/>
              <w:left w:val="nil"/>
              <w:bottom w:val="nil"/>
              <w:right w:val="nil"/>
            </w:tcBorders>
            <w:shd w:val="pct10" w:color="auto" w:fill="auto"/>
          </w:tcPr>
          <w:p w14:paraId="2007A495" w14:textId="77777777" w:rsidR="00EA230B" w:rsidRPr="00064185" w:rsidRDefault="00EA230B" w:rsidP="00EA61D8">
            <w:pPr>
              <w:keepNext/>
            </w:pPr>
          </w:p>
        </w:tc>
      </w:tr>
      <w:tr w:rsidR="00064185" w:rsidRPr="00064185" w14:paraId="4F72B70B"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4EF01F2" w14:textId="77777777" w:rsidR="00EA230B" w:rsidRPr="00064185" w:rsidRDefault="00EA230B" w:rsidP="00EA61D8">
            <w:pPr>
              <w:pStyle w:val="TextText11"/>
              <w:rPr>
                <w:color w:val="auto"/>
              </w:rPr>
            </w:pPr>
            <w:r w:rsidRPr="00064185">
              <w:rPr>
                <w:color w:val="auto"/>
              </w:rPr>
              <w:t>Reasons for laboratory testing</w:t>
            </w:r>
          </w:p>
        </w:tc>
        <w:tc>
          <w:tcPr>
            <w:tcW w:w="3182" w:type="pct"/>
            <w:tcBorders>
              <w:top w:val="nil"/>
              <w:left w:val="nil"/>
              <w:bottom w:val="nil"/>
              <w:right w:val="nil"/>
            </w:tcBorders>
            <w:vAlign w:val="center"/>
          </w:tcPr>
          <w:p w14:paraId="702A925A" w14:textId="77777777" w:rsidR="00EA230B" w:rsidRPr="00064185" w:rsidRDefault="00EA230B" w:rsidP="00EA61D8">
            <w:r w:rsidRPr="00064185">
              <w:t>It is easier and more precisely to test a product against silverfishes in a laboratory arena. The conditions are comparable and controllable; the number of organisms is defined. The observations and counting are easier and more correct.</w:t>
            </w:r>
          </w:p>
        </w:tc>
        <w:tc>
          <w:tcPr>
            <w:tcW w:w="414" w:type="pct"/>
            <w:tcBorders>
              <w:top w:val="nil"/>
              <w:left w:val="nil"/>
              <w:bottom w:val="nil"/>
              <w:right w:val="nil"/>
            </w:tcBorders>
            <w:shd w:val="pct10" w:color="auto" w:fill="auto"/>
          </w:tcPr>
          <w:p w14:paraId="2C3D870D" w14:textId="77777777" w:rsidR="00EA230B" w:rsidRPr="00064185" w:rsidRDefault="00EA230B" w:rsidP="00EA61D8"/>
        </w:tc>
      </w:tr>
      <w:tr w:rsidR="00064185" w:rsidRPr="00064185" w14:paraId="2F26FCFD"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EE4F91C" w14:textId="77777777" w:rsidR="00EA230B" w:rsidRPr="00064185" w:rsidRDefault="00EA230B" w:rsidP="00EA61D8">
            <w:pPr>
              <w:pStyle w:val="TextText11"/>
              <w:rPr>
                <w:color w:val="auto"/>
              </w:rPr>
            </w:pPr>
            <w:r w:rsidRPr="00064185">
              <w:rPr>
                <w:color w:val="auto"/>
              </w:rPr>
              <w:lastRenderedPageBreak/>
              <w:t>Intended actual scale of biocide application</w:t>
            </w:r>
          </w:p>
        </w:tc>
        <w:tc>
          <w:tcPr>
            <w:tcW w:w="3182" w:type="pct"/>
            <w:tcBorders>
              <w:top w:val="nil"/>
              <w:left w:val="nil"/>
              <w:bottom w:val="nil"/>
              <w:right w:val="nil"/>
            </w:tcBorders>
            <w:vAlign w:val="center"/>
          </w:tcPr>
          <w:p w14:paraId="31359864" w14:textId="77777777" w:rsidR="00EA230B" w:rsidRPr="00064185" w:rsidRDefault="00EA230B" w:rsidP="00EA61D8">
            <w:r w:rsidRPr="00064185">
              <w:t>For application in and around domestic and commercial premises.</w:t>
            </w:r>
          </w:p>
        </w:tc>
        <w:tc>
          <w:tcPr>
            <w:tcW w:w="414" w:type="pct"/>
            <w:tcBorders>
              <w:top w:val="nil"/>
              <w:left w:val="nil"/>
              <w:bottom w:val="nil"/>
              <w:right w:val="nil"/>
            </w:tcBorders>
            <w:shd w:val="pct10" w:color="auto" w:fill="auto"/>
          </w:tcPr>
          <w:p w14:paraId="7023F97C" w14:textId="77777777" w:rsidR="00EA230B" w:rsidRPr="00064185" w:rsidRDefault="00EA230B" w:rsidP="00EA61D8"/>
        </w:tc>
      </w:tr>
      <w:tr w:rsidR="00064185" w:rsidRPr="00064185" w14:paraId="2DB7250B"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5C441F7" w14:textId="77777777" w:rsidR="00EA230B" w:rsidRPr="00064185" w:rsidRDefault="00EA230B" w:rsidP="00EA61D8">
            <w:pPr>
              <w:pStyle w:val="TextText11"/>
              <w:rPr>
                <w:color w:val="auto"/>
              </w:rPr>
            </w:pPr>
            <w:r w:rsidRPr="00064185">
              <w:rPr>
                <w:color w:val="auto"/>
              </w:rPr>
              <w:t>Relevance compared to field conditions</w:t>
            </w:r>
          </w:p>
        </w:tc>
        <w:tc>
          <w:tcPr>
            <w:tcW w:w="3182" w:type="pct"/>
            <w:tcBorders>
              <w:top w:val="nil"/>
              <w:left w:val="nil"/>
              <w:bottom w:val="nil"/>
              <w:right w:val="nil"/>
            </w:tcBorders>
            <w:vAlign w:val="center"/>
          </w:tcPr>
          <w:p w14:paraId="55236238" w14:textId="77777777" w:rsidR="00EA230B" w:rsidRPr="00064185" w:rsidRDefault="00EA230B" w:rsidP="00EA61D8">
            <w:pPr>
              <w:pStyle w:val="Standard-italics"/>
            </w:pPr>
          </w:p>
        </w:tc>
        <w:tc>
          <w:tcPr>
            <w:tcW w:w="414" w:type="pct"/>
            <w:tcBorders>
              <w:top w:val="nil"/>
              <w:left w:val="nil"/>
              <w:bottom w:val="nil"/>
              <w:right w:val="nil"/>
            </w:tcBorders>
            <w:shd w:val="pct10" w:color="auto" w:fill="auto"/>
          </w:tcPr>
          <w:p w14:paraId="497BCEBE" w14:textId="77777777" w:rsidR="00EA230B" w:rsidRPr="00064185" w:rsidRDefault="00EA230B" w:rsidP="00EA61D8"/>
        </w:tc>
      </w:tr>
      <w:tr w:rsidR="00064185" w:rsidRPr="00064185" w14:paraId="1462AE4F"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614DE8D" w14:textId="77777777" w:rsidR="00EA230B" w:rsidRPr="00064185" w:rsidRDefault="00EA230B" w:rsidP="00EA61D8">
            <w:pPr>
              <w:pStyle w:val="TxtTxtTxt"/>
            </w:pPr>
            <w:r w:rsidRPr="00064185">
              <w:t>Application method</w:t>
            </w:r>
          </w:p>
        </w:tc>
        <w:tc>
          <w:tcPr>
            <w:tcW w:w="3182" w:type="pct"/>
            <w:tcBorders>
              <w:top w:val="nil"/>
              <w:left w:val="nil"/>
              <w:bottom w:val="nil"/>
              <w:right w:val="nil"/>
            </w:tcBorders>
            <w:vAlign w:val="center"/>
          </w:tcPr>
          <w:p w14:paraId="49AAB2F8" w14:textId="77777777" w:rsidR="00EA230B" w:rsidRPr="00064185" w:rsidRDefault="00EA230B" w:rsidP="00EA61D8">
            <w:pPr>
              <w:pStyle w:val="Standard-italics"/>
              <w:rPr>
                <w:i w:val="0"/>
              </w:rPr>
            </w:pPr>
            <w:r w:rsidRPr="00064185">
              <w:rPr>
                <w:i w:val="0"/>
              </w:rPr>
              <w:t>Yes, applied according to the label recommendations.</w:t>
            </w:r>
          </w:p>
        </w:tc>
        <w:tc>
          <w:tcPr>
            <w:tcW w:w="414" w:type="pct"/>
            <w:tcBorders>
              <w:top w:val="nil"/>
              <w:left w:val="nil"/>
              <w:bottom w:val="nil"/>
              <w:right w:val="nil"/>
            </w:tcBorders>
            <w:shd w:val="pct10" w:color="auto" w:fill="auto"/>
          </w:tcPr>
          <w:p w14:paraId="34A0B594" w14:textId="77777777" w:rsidR="00EA230B" w:rsidRPr="00064185" w:rsidRDefault="00EA230B" w:rsidP="00EA61D8"/>
        </w:tc>
      </w:tr>
      <w:tr w:rsidR="00064185" w:rsidRPr="00064185" w14:paraId="560927B9"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8C5C160" w14:textId="77777777" w:rsidR="00EA230B" w:rsidRPr="00064185" w:rsidRDefault="00EA230B" w:rsidP="00EA61D8">
            <w:pPr>
              <w:pStyle w:val="TxtTxtTxt"/>
            </w:pPr>
            <w:r w:rsidRPr="00064185">
              <w:t>Test organism</w:t>
            </w:r>
          </w:p>
        </w:tc>
        <w:tc>
          <w:tcPr>
            <w:tcW w:w="3182" w:type="pct"/>
            <w:tcBorders>
              <w:top w:val="nil"/>
              <w:left w:val="nil"/>
              <w:bottom w:val="nil"/>
              <w:right w:val="nil"/>
            </w:tcBorders>
            <w:vAlign w:val="center"/>
          </w:tcPr>
          <w:p w14:paraId="45984DF3" w14:textId="77777777" w:rsidR="00EA230B" w:rsidRPr="00064185" w:rsidRDefault="00EA230B" w:rsidP="00EA61D8">
            <w:pPr>
              <w:pStyle w:val="Standard-italics"/>
              <w:rPr>
                <w:i w:val="0"/>
              </w:rPr>
            </w:pPr>
            <w:r w:rsidRPr="00064185">
              <w:rPr>
                <w:i w:val="0"/>
              </w:rPr>
              <w:t xml:space="preserve">Yes, the silverfishes </w:t>
            </w:r>
            <w:r w:rsidRPr="00064185">
              <w:t xml:space="preserve">Lepisma saccharina </w:t>
            </w:r>
            <w:r w:rsidRPr="00064185">
              <w:rPr>
                <w:i w:val="0"/>
              </w:rPr>
              <w:t>are typical pests in homes.</w:t>
            </w:r>
          </w:p>
        </w:tc>
        <w:tc>
          <w:tcPr>
            <w:tcW w:w="414" w:type="pct"/>
            <w:tcBorders>
              <w:top w:val="nil"/>
              <w:left w:val="nil"/>
              <w:bottom w:val="nil"/>
              <w:right w:val="nil"/>
            </w:tcBorders>
            <w:shd w:val="pct10" w:color="auto" w:fill="auto"/>
          </w:tcPr>
          <w:p w14:paraId="7EF34774" w14:textId="77777777" w:rsidR="00EA230B" w:rsidRPr="00064185" w:rsidRDefault="00EA230B" w:rsidP="00EA61D8"/>
        </w:tc>
      </w:tr>
      <w:tr w:rsidR="00064185" w:rsidRPr="00064185" w14:paraId="34F1A2DE"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845C457" w14:textId="77777777" w:rsidR="00EA230B" w:rsidRPr="00064185" w:rsidRDefault="00EA230B" w:rsidP="00EA61D8">
            <w:pPr>
              <w:pStyle w:val="TxtTxtTxt"/>
            </w:pPr>
            <w:r w:rsidRPr="00064185">
              <w:t xml:space="preserve">Observed effect </w:t>
            </w:r>
          </w:p>
        </w:tc>
        <w:tc>
          <w:tcPr>
            <w:tcW w:w="3182" w:type="pct"/>
            <w:tcBorders>
              <w:top w:val="nil"/>
              <w:left w:val="nil"/>
              <w:bottom w:val="nil"/>
              <w:right w:val="nil"/>
            </w:tcBorders>
            <w:vAlign w:val="center"/>
          </w:tcPr>
          <w:p w14:paraId="678A192A" w14:textId="77777777" w:rsidR="00EA230B" w:rsidRPr="00064185" w:rsidRDefault="00EA230B" w:rsidP="00EA61D8">
            <w:r w:rsidRPr="00064185">
              <w:t>A complete efficacy against silverfishes could be determined.</w:t>
            </w:r>
          </w:p>
        </w:tc>
        <w:tc>
          <w:tcPr>
            <w:tcW w:w="414" w:type="pct"/>
            <w:tcBorders>
              <w:top w:val="nil"/>
              <w:left w:val="nil"/>
              <w:bottom w:val="nil"/>
              <w:right w:val="nil"/>
            </w:tcBorders>
            <w:shd w:val="pct10" w:color="auto" w:fill="auto"/>
          </w:tcPr>
          <w:p w14:paraId="37F45F1D" w14:textId="77777777" w:rsidR="00EA230B" w:rsidRPr="00064185" w:rsidRDefault="00EA230B" w:rsidP="00EA61D8"/>
        </w:tc>
      </w:tr>
      <w:tr w:rsidR="00064185" w:rsidRPr="00064185" w14:paraId="107335EF"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501F57E" w14:textId="77777777" w:rsidR="00EA230B" w:rsidRPr="00064185" w:rsidRDefault="00EA230B" w:rsidP="00EA61D8">
            <w:pPr>
              <w:pStyle w:val="TextText11"/>
              <w:rPr>
                <w:color w:val="auto"/>
              </w:rPr>
            </w:pPr>
            <w:r w:rsidRPr="00064185">
              <w:rPr>
                <w:color w:val="auto"/>
              </w:rPr>
              <w:t>Relevance for read-across</w:t>
            </w:r>
          </w:p>
        </w:tc>
        <w:tc>
          <w:tcPr>
            <w:tcW w:w="3182" w:type="pct"/>
            <w:tcBorders>
              <w:top w:val="nil"/>
              <w:left w:val="nil"/>
              <w:bottom w:val="nil"/>
              <w:right w:val="nil"/>
            </w:tcBorders>
            <w:vAlign w:val="center"/>
          </w:tcPr>
          <w:p w14:paraId="2733AA42" w14:textId="77777777" w:rsidR="00EA230B" w:rsidRPr="00064185" w:rsidRDefault="00EA230B" w:rsidP="00EA61D8">
            <w:pPr>
              <w:pStyle w:val="Standard-italics"/>
              <w:rPr>
                <w:i w:val="0"/>
              </w:rPr>
            </w:pPr>
            <w:r w:rsidRPr="00064185">
              <w:rPr>
                <w:i w:val="0"/>
              </w:rPr>
              <w:t xml:space="preserve">Yes </w:t>
            </w:r>
          </w:p>
        </w:tc>
        <w:tc>
          <w:tcPr>
            <w:tcW w:w="414" w:type="pct"/>
            <w:tcBorders>
              <w:top w:val="nil"/>
              <w:left w:val="nil"/>
              <w:bottom w:val="nil"/>
              <w:right w:val="nil"/>
            </w:tcBorders>
            <w:shd w:val="pct10" w:color="auto" w:fill="auto"/>
          </w:tcPr>
          <w:p w14:paraId="04176465" w14:textId="77777777" w:rsidR="00EA230B" w:rsidRPr="00064185" w:rsidRDefault="00EA230B" w:rsidP="00EA61D8"/>
        </w:tc>
      </w:tr>
      <w:tr w:rsidR="00064185" w:rsidRPr="00064185" w14:paraId="57D51DBC" w14:textId="77777777" w:rsidTr="00E80C20">
        <w:tc>
          <w:tcPr>
            <w:tcW w:w="1403" w:type="pct"/>
          </w:tcPr>
          <w:p w14:paraId="2EE8D0FD" w14:textId="77777777" w:rsidR="00EA230B" w:rsidRPr="00064185" w:rsidRDefault="00EA230B" w:rsidP="00EA61D8">
            <w:pPr>
              <w:pStyle w:val="TextText11"/>
              <w:numPr>
                <w:ilvl w:val="0"/>
                <w:numId w:val="0"/>
              </w:numPr>
              <w:ind w:left="709"/>
              <w:rPr>
                <w:color w:val="auto"/>
              </w:rPr>
            </w:pPr>
          </w:p>
        </w:tc>
        <w:tc>
          <w:tcPr>
            <w:tcW w:w="3182" w:type="pct"/>
            <w:vAlign w:val="center"/>
          </w:tcPr>
          <w:p w14:paraId="34A65878" w14:textId="77777777" w:rsidR="00EA230B" w:rsidRPr="00064185" w:rsidRDefault="00EA230B" w:rsidP="00EA61D8">
            <w:pPr>
              <w:pStyle w:val="TEXTTEXT"/>
            </w:pPr>
            <w:r w:rsidRPr="00064185">
              <w:t>Applicant's Summary and conclusion</w:t>
            </w:r>
          </w:p>
        </w:tc>
        <w:tc>
          <w:tcPr>
            <w:tcW w:w="414" w:type="pct"/>
            <w:shd w:val="pct10" w:color="auto" w:fill="auto"/>
          </w:tcPr>
          <w:p w14:paraId="6C9CD646" w14:textId="77777777" w:rsidR="00EA230B" w:rsidRPr="00064185" w:rsidRDefault="00EA230B" w:rsidP="00EA61D8">
            <w:pPr>
              <w:pStyle w:val="Kopfzeile"/>
              <w:keepNext/>
              <w:tabs>
                <w:tab w:val="clear" w:pos="4536"/>
                <w:tab w:val="clear" w:pos="9072"/>
              </w:tabs>
              <w:spacing w:before="60" w:after="60"/>
              <w:rPr>
                <w:lang w:val="en-GB"/>
              </w:rPr>
            </w:pPr>
          </w:p>
        </w:tc>
      </w:tr>
      <w:tr w:rsidR="00064185" w:rsidRPr="00064185" w14:paraId="40F87FBA" w14:textId="77777777" w:rsidTr="00E80C20">
        <w:tc>
          <w:tcPr>
            <w:tcW w:w="1403" w:type="pct"/>
          </w:tcPr>
          <w:p w14:paraId="25E29B20" w14:textId="77777777" w:rsidR="00EA230B" w:rsidRPr="00064185" w:rsidRDefault="00EA230B" w:rsidP="00EA61D8">
            <w:pPr>
              <w:pStyle w:val="TextText11"/>
              <w:rPr>
                <w:color w:val="auto"/>
              </w:rPr>
            </w:pPr>
            <w:r w:rsidRPr="00064185">
              <w:rPr>
                <w:color w:val="auto"/>
              </w:rPr>
              <w:t>Materials and methods</w:t>
            </w:r>
          </w:p>
        </w:tc>
        <w:tc>
          <w:tcPr>
            <w:tcW w:w="3182" w:type="pct"/>
            <w:vAlign w:val="center"/>
          </w:tcPr>
          <w:p w14:paraId="0165EEB3" w14:textId="77777777" w:rsidR="00EA230B" w:rsidRPr="00064185" w:rsidRDefault="00EA230B" w:rsidP="00EA61D8">
            <w:pPr>
              <w:pStyle w:val="Standard-italics"/>
              <w:rPr>
                <w:i w:val="0"/>
              </w:rPr>
            </w:pPr>
            <w:r w:rsidRPr="00064185">
              <w:rPr>
                <w:i w:val="0"/>
              </w:rPr>
              <w:t>Assessment of the efficacy of speciality products under laboratory conditions to control silverfishes by measuring the knock down effect and mortality after direct spray treatment and assessing the residual effects (up to 2 weeks) after spraying of glazed tiles or PVC tiles.</w:t>
            </w:r>
          </w:p>
        </w:tc>
        <w:tc>
          <w:tcPr>
            <w:tcW w:w="414" w:type="pct"/>
            <w:shd w:val="pct10" w:color="auto" w:fill="auto"/>
          </w:tcPr>
          <w:p w14:paraId="3E82F4DC" w14:textId="77777777" w:rsidR="00EA230B" w:rsidRPr="00064185" w:rsidRDefault="00EA230B" w:rsidP="00EA61D8">
            <w:pPr>
              <w:keepNext/>
            </w:pPr>
          </w:p>
        </w:tc>
      </w:tr>
      <w:tr w:rsidR="00064185" w:rsidRPr="00064185" w14:paraId="6E99BAFF" w14:textId="77777777" w:rsidTr="00E80C20">
        <w:tc>
          <w:tcPr>
            <w:tcW w:w="1403" w:type="pct"/>
          </w:tcPr>
          <w:p w14:paraId="1848E5C7" w14:textId="77777777" w:rsidR="00EA230B" w:rsidRPr="00064185" w:rsidRDefault="00EA230B" w:rsidP="00EA61D8">
            <w:pPr>
              <w:pStyle w:val="TextText11"/>
              <w:rPr>
                <w:color w:val="auto"/>
              </w:rPr>
            </w:pPr>
            <w:r w:rsidRPr="00064185">
              <w:rPr>
                <w:color w:val="auto"/>
              </w:rPr>
              <w:t>Reliability</w:t>
            </w:r>
          </w:p>
        </w:tc>
        <w:tc>
          <w:tcPr>
            <w:tcW w:w="3182" w:type="pct"/>
            <w:vAlign w:val="center"/>
          </w:tcPr>
          <w:p w14:paraId="3FA3C9A7" w14:textId="77777777" w:rsidR="00EA230B" w:rsidRPr="00064185" w:rsidRDefault="00EA230B" w:rsidP="00EA61D8">
            <w:pPr>
              <w:pStyle w:val="Standard-italics"/>
              <w:rPr>
                <w:i w:val="0"/>
              </w:rPr>
            </w:pPr>
            <w:r w:rsidRPr="00064185">
              <w:rPr>
                <w:i w:val="0"/>
              </w:rPr>
              <w:t>1</w:t>
            </w:r>
          </w:p>
        </w:tc>
        <w:tc>
          <w:tcPr>
            <w:tcW w:w="414" w:type="pct"/>
            <w:shd w:val="pct10" w:color="auto" w:fill="auto"/>
          </w:tcPr>
          <w:p w14:paraId="097BD4A7" w14:textId="77777777" w:rsidR="00EA230B" w:rsidRPr="00064185" w:rsidRDefault="00EA230B" w:rsidP="00EA61D8"/>
        </w:tc>
      </w:tr>
      <w:tr w:rsidR="00064185" w:rsidRPr="00064185" w14:paraId="00161869" w14:textId="77777777" w:rsidTr="00E80C20">
        <w:tc>
          <w:tcPr>
            <w:tcW w:w="1403" w:type="pct"/>
          </w:tcPr>
          <w:p w14:paraId="1AA7A88C" w14:textId="77777777" w:rsidR="00EA230B" w:rsidRPr="00064185" w:rsidRDefault="00EA230B" w:rsidP="00EA61D8">
            <w:pPr>
              <w:pStyle w:val="TextText11"/>
              <w:rPr>
                <w:color w:val="auto"/>
              </w:rPr>
            </w:pPr>
            <w:r w:rsidRPr="00064185">
              <w:rPr>
                <w:color w:val="auto"/>
              </w:rPr>
              <w:t>Assessment of efficacy, data analysis and interpretation</w:t>
            </w:r>
          </w:p>
        </w:tc>
        <w:tc>
          <w:tcPr>
            <w:tcW w:w="3182" w:type="pct"/>
            <w:vAlign w:val="center"/>
          </w:tcPr>
          <w:p w14:paraId="2CF9C985" w14:textId="77777777" w:rsidR="00EA230B" w:rsidRPr="00064185" w:rsidRDefault="00EA230B" w:rsidP="00EA61D8">
            <w:pPr>
              <w:pStyle w:val="Standard-italics"/>
              <w:rPr>
                <w:i w:val="0"/>
              </w:rPr>
            </w:pPr>
            <w:r w:rsidRPr="00064185">
              <w:rPr>
                <w:i w:val="0"/>
              </w:rPr>
              <w:t xml:space="preserve">In the conditions of the trial, COM 116 02 I AL (spray) has proved a complete and fast efficacy towards the silverfish species </w:t>
            </w:r>
            <w:r w:rsidRPr="00064185">
              <w:t>Lepisma saccharina.</w:t>
            </w:r>
          </w:p>
        </w:tc>
        <w:tc>
          <w:tcPr>
            <w:tcW w:w="414" w:type="pct"/>
            <w:shd w:val="pct10" w:color="auto" w:fill="auto"/>
          </w:tcPr>
          <w:p w14:paraId="05B4B1CF" w14:textId="77777777" w:rsidR="00EA230B" w:rsidRPr="00064185" w:rsidRDefault="00EA230B" w:rsidP="00EA61D8"/>
        </w:tc>
      </w:tr>
      <w:tr w:rsidR="00064185" w:rsidRPr="00064185" w14:paraId="4DD506A6" w14:textId="77777777" w:rsidTr="00E80C20">
        <w:tc>
          <w:tcPr>
            <w:tcW w:w="1403" w:type="pct"/>
          </w:tcPr>
          <w:p w14:paraId="6AB32F30" w14:textId="77777777" w:rsidR="00EA230B" w:rsidRPr="00064185" w:rsidRDefault="00EA230B" w:rsidP="00EA61D8">
            <w:pPr>
              <w:pStyle w:val="TextText11"/>
              <w:rPr>
                <w:color w:val="auto"/>
              </w:rPr>
            </w:pPr>
            <w:r w:rsidRPr="00064185">
              <w:rPr>
                <w:color w:val="auto"/>
              </w:rPr>
              <w:t>Conclusion</w:t>
            </w:r>
          </w:p>
        </w:tc>
        <w:tc>
          <w:tcPr>
            <w:tcW w:w="3182" w:type="pct"/>
            <w:vAlign w:val="center"/>
          </w:tcPr>
          <w:p w14:paraId="7726235F" w14:textId="77777777" w:rsidR="00EA230B" w:rsidRPr="00064185" w:rsidRDefault="00EA230B" w:rsidP="00EA61D8">
            <w:pPr>
              <w:pStyle w:val="Standard-italics"/>
              <w:rPr>
                <w:i w:val="0"/>
              </w:rPr>
            </w:pPr>
            <w:r w:rsidRPr="00064185">
              <w:rPr>
                <w:i w:val="0"/>
              </w:rPr>
              <w:t xml:space="preserve">The results show that COM 116 02 I AL has a complete and fast efficacy against </w:t>
            </w:r>
            <w:r w:rsidRPr="00064185">
              <w:t>Lepisma saccharina.</w:t>
            </w:r>
          </w:p>
        </w:tc>
        <w:tc>
          <w:tcPr>
            <w:tcW w:w="414" w:type="pct"/>
            <w:shd w:val="pct10" w:color="auto" w:fill="auto"/>
          </w:tcPr>
          <w:p w14:paraId="0D27E050" w14:textId="77777777" w:rsidR="00EA230B" w:rsidRPr="00064185" w:rsidRDefault="00EA230B" w:rsidP="00EA61D8"/>
        </w:tc>
      </w:tr>
      <w:tr w:rsidR="00064185" w:rsidRPr="00064185" w14:paraId="403F5432"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06CE0E1" w14:textId="77777777" w:rsidR="00EA230B" w:rsidRPr="00064185" w:rsidRDefault="00EA230B" w:rsidP="00EA61D8">
            <w:pPr>
              <w:pStyle w:val="TextText11"/>
              <w:rPr>
                <w:color w:val="auto"/>
              </w:rPr>
            </w:pPr>
            <w:r w:rsidRPr="00064185">
              <w:rPr>
                <w:color w:val="auto"/>
              </w:rPr>
              <w:t xml:space="preserve">Proposed efficacy </w:t>
            </w:r>
            <w:r w:rsidRPr="00064185">
              <w:rPr>
                <w:color w:val="auto"/>
              </w:rPr>
              <w:lastRenderedPageBreak/>
              <w:t>specification</w:t>
            </w:r>
          </w:p>
        </w:tc>
        <w:tc>
          <w:tcPr>
            <w:tcW w:w="3182" w:type="pct"/>
            <w:tcBorders>
              <w:top w:val="nil"/>
              <w:left w:val="nil"/>
              <w:bottom w:val="nil"/>
              <w:right w:val="nil"/>
            </w:tcBorders>
            <w:vAlign w:val="center"/>
          </w:tcPr>
          <w:p w14:paraId="6BFBD1A8" w14:textId="77777777" w:rsidR="00EA230B" w:rsidRPr="00064185" w:rsidRDefault="00EA230B" w:rsidP="00EA61D8">
            <w:pPr>
              <w:rPr>
                <w:i/>
              </w:rPr>
            </w:pPr>
            <w:r w:rsidRPr="00064185">
              <w:rPr>
                <w:i/>
              </w:rPr>
              <w:lastRenderedPageBreak/>
              <w:t>–</w:t>
            </w:r>
          </w:p>
        </w:tc>
        <w:tc>
          <w:tcPr>
            <w:tcW w:w="414" w:type="pct"/>
            <w:tcBorders>
              <w:top w:val="nil"/>
              <w:left w:val="nil"/>
              <w:bottom w:val="nil"/>
              <w:right w:val="nil"/>
            </w:tcBorders>
            <w:shd w:val="pct10" w:color="auto" w:fill="auto"/>
          </w:tcPr>
          <w:p w14:paraId="36A70388" w14:textId="77777777" w:rsidR="00EA230B" w:rsidRPr="00064185" w:rsidRDefault="00EA230B" w:rsidP="00EA61D8"/>
        </w:tc>
      </w:tr>
    </w:tbl>
    <w:p w14:paraId="588DC932" w14:textId="77777777" w:rsidR="00EA230B" w:rsidRPr="00064185" w:rsidRDefault="00EA230B" w:rsidP="00EA61D8">
      <w:pPr>
        <w:rPr>
          <w:b/>
        </w:rPr>
      </w:pPr>
      <w:r w:rsidRPr="00064185">
        <w:rPr>
          <w:b/>
        </w:rPr>
        <w:lastRenderedPageBreak/>
        <w:br w:type="page"/>
      </w:r>
    </w:p>
    <w:tbl>
      <w:tblPr>
        <w:tblW w:w="5000" w:type="pct"/>
        <w:tblCellMar>
          <w:left w:w="70" w:type="dxa"/>
          <w:right w:w="70" w:type="dxa"/>
        </w:tblCellMar>
        <w:tblLook w:val="0000" w:firstRow="0" w:lastRow="0" w:firstColumn="0" w:lastColumn="0" w:noHBand="0" w:noVBand="0"/>
      </w:tblPr>
      <w:tblGrid>
        <w:gridCol w:w="2624"/>
        <w:gridCol w:w="5955"/>
        <w:gridCol w:w="775"/>
      </w:tblGrid>
      <w:tr w:rsidR="00064185" w:rsidRPr="00064185" w14:paraId="53ABC46A" w14:textId="77777777" w:rsidTr="00E80C20">
        <w:trPr>
          <w:cantSplit/>
          <w:tblHeader/>
        </w:trPr>
        <w:tc>
          <w:tcPr>
            <w:tcW w:w="1403" w:type="pct"/>
            <w:tcBorders>
              <w:bottom w:val="single" w:sz="4" w:space="0" w:color="auto"/>
            </w:tcBorders>
          </w:tcPr>
          <w:p w14:paraId="526C647F" w14:textId="77777777" w:rsidR="00EA230B" w:rsidRPr="00064185" w:rsidRDefault="00EA230B" w:rsidP="00EA61D8">
            <w:pPr>
              <w:pStyle w:val="SectionHeader"/>
            </w:pPr>
            <w:r w:rsidRPr="00064185">
              <w:lastRenderedPageBreak/>
              <w:t>Section B5.10</w:t>
            </w:r>
            <w:r w:rsidRPr="00064185">
              <w:br/>
            </w:r>
            <w:r w:rsidRPr="00064185">
              <w:rPr>
                <w:sz w:val="20"/>
              </w:rPr>
              <w:t>Annex Point IIB5.10</w:t>
            </w:r>
            <w:r w:rsidRPr="00064185">
              <w:rPr>
                <w:sz w:val="20"/>
              </w:rPr>
              <w:br/>
              <w:t>TNsG: Pt. I-B5.10,</w:t>
            </w:r>
            <w:r w:rsidRPr="00064185">
              <w:rPr>
                <w:sz w:val="20"/>
              </w:rPr>
              <w:br/>
              <w:t>Pt. III-Ch. 6</w:t>
            </w:r>
          </w:p>
        </w:tc>
        <w:tc>
          <w:tcPr>
            <w:tcW w:w="3183" w:type="pct"/>
            <w:tcBorders>
              <w:bottom w:val="single" w:sz="4" w:space="0" w:color="auto"/>
            </w:tcBorders>
            <w:vAlign w:val="center"/>
          </w:tcPr>
          <w:p w14:paraId="2358341B" w14:textId="77777777" w:rsidR="00EA230B" w:rsidRPr="00064185" w:rsidRDefault="00EA230B" w:rsidP="00EA61D8">
            <w:pPr>
              <w:pStyle w:val="SectionHeader"/>
            </w:pPr>
            <w:r w:rsidRPr="00064185">
              <w:t xml:space="preserve">Efficacy Data </w:t>
            </w:r>
          </w:p>
          <w:p w14:paraId="09D3ACBB" w14:textId="77777777" w:rsidR="00EA230B" w:rsidRPr="00064185" w:rsidRDefault="00EA230B" w:rsidP="00EA61D8">
            <w:pPr>
              <w:pStyle w:val="SectionHeader"/>
            </w:pPr>
            <w:r w:rsidRPr="00064185">
              <w:rPr>
                <w:b w:val="0"/>
                <w:sz w:val="20"/>
              </w:rPr>
              <w:t>5.10.</w:t>
            </w:r>
            <w:r w:rsidRPr="00064185">
              <w:t xml:space="preserve"> </w:t>
            </w:r>
            <w:r w:rsidRPr="00064185">
              <w:rPr>
                <w:b w:val="0"/>
                <w:sz w:val="20"/>
              </w:rPr>
              <w:t>Effects on target organisms (PT 18; Study 4)</w:t>
            </w:r>
          </w:p>
        </w:tc>
        <w:tc>
          <w:tcPr>
            <w:tcW w:w="414" w:type="pct"/>
            <w:tcBorders>
              <w:bottom w:val="single" w:sz="4" w:space="0" w:color="auto"/>
            </w:tcBorders>
          </w:tcPr>
          <w:p w14:paraId="189628E6" w14:textId="77777777" w:rsidR="00EA230B" w:rsidRPr="00064185" w:rsidRDefault="00EA230B" w:rsidP="00EA61D8">
            <w:pPr>
              <w:pStyle w:val="Official-Use"/>
              <w:keepNext/>
              <w:jc w:val="left"/>
              <w:rPr>
                <w:b/>
                <w:vanish/>
              </w:rPr>
            </w:pPr>
          </w:p>
        </w:tc>
      </w:tr>
      <w:tr w:rsidR="00064185" w:rsidRPr="00064185" w14:paraId="2B4FBDC9" w14:textId="77777777" w:rsidTr="00E80C20">
        <w:trPr>
          <w:cantSplit/>
          <w:tblHeader/>
        </w:trPr>
        <w:tc>
          <w:tcPr>
            <w:tcW w:w="1403" w:type="pct"/>
            <w:tcBorders>
              <w:top w:val="single" w:sz="4" w:space="0" w:color="auto"/>
            </w:tcBorders>
          </w:tcPr>
          <w:p w14:paraId="7F9AED92" w14:textId="77777777" w:rsidR="00EA230B" w:rsidRPr="00064185" w:rsidRDefault="00EA230B" w:rsidP="00EA61D8">
            <w:pPr>
              <w:pStyle w:val="HalbeLeerzeile"/>
            </w:pPr>
          </w:p>
        </w:tc>
        <w:tc>
          <w:tcPr>
            <w:tcW w:w="3183" w:type="pct"/>
            <w:tcBorders>
              <w:top w:val="single" w:sz="4" w:space="0" w:color="auto"/>
            </w:tcBorders>
            <w:vAlign w:val="center"/>
          </w:tcPr>
          <w:p w14:paraId="7598FCC9" w14:textId="77777777" w:rsidR="00EA230B" w:rsidRPr="00064185" w:rsidRDefault="00EA230B" w:rsidP="00EA61D8">
            <w:pPr>
              <w:pStyle w:val="HalbeLeerzeile"/>
            </w:pPr>
          </w:p>
        </w:tc>
        <w:tc>
          <w:tcPr>
            <w:tcW w:w="414" w:type="pct"/>
            <w:tcBorders>
              <w:top w:val="single" w:sz="4" w:space="0" w:color="auto"/>
            </w:tcBorders>
          </w:tcPr>
          <w:p w14:paraId="0926A9E0" w14:textId="77777777" w:rsidR="00EA230B" w:rsidRPr="00064185" w:rsidRDefault="00EA230B" w:rsidP="00EA61D8">
            <w:pPr>
              <w:pStyle w:val="HalbeLeerzeile"/>
              <w:rPr>
                <w:b/>
                <w:vanish/>
              </w:rPr>
            </w:pPr>
          </w:p>
        </w:tc>
      </w:tr>
      <w:tr w:rsidR="00064185" w:rsidRPr="00064185" w14:paraId="051477D5" w14:textId="77777777" w:rsidTr="00E80C20">
        <w:trPr>
          <w:cantSplit/>
          <w:tblHeader/>
        </w:trPr>
        <w:tc>
          <w:tcPr>
            <w:tcW w:w="1403" w:type="pct"/>
            <w:tcBorders>
              <w:top w:val="single" w:sz="4" w:space="0" w:color="auto"/>
              <w:left w:val="single" w:sz="4" w:space="0" w:color="auto"/>
              <w:bottom w:val="single" w:sz="4" w:space="0" w:color="auto"/>
            </w:tcBorders>
            <w:shd w:val="pct15" w:color="auto" w:fill="auto"/>
          </w:tcPr>
          <w:p w14:paraId="2D307F78" w14:textId="77777777" w:rsidR="00EA230B" w:rsidRPr="00064185" w:rsidRDefault="00EA230B" w:rsidP="00EA61D8">
            <w:pPr>
              <w:pStyle w:val="SectionHeader"/>
            </w:pPr>
          </w:p>
        </w:tc>
        <w:tc>
          <w:tcPr>
            <w:tcW w:w="3183" w:type="pct"/>
            <w:tcBorders>
              <w:top w:val="single" w:sz="4" w:space="0" w:color="auto"/>
              <w:bottom w:val="single" w:sz="4" w:space="0" w:color="auto"/>
            </w:tcBorders>
            <w:shd w:val="pct15" w:color="auto" w:fill="auto"/>
            <w:vAlign w:val="center"/>
          </w:tcPr>
          <w:p w14:paraId="3896E1F4" w14:textId="77777777" w:rsidR="00EA230B" w:rsidRPr="00064185" w:rsidRDefault="00EA230B" w:rsidP="00EA61D8">
            <w:pPr>
              <w:pStyle w:val="SectionHeader"/>
            </w:pPr>
            <w:r w:rsidRPr="00064185">
              <w:t>Evaluation by Competent Authorities</w:t>
            </w:r>
          </w:p>
        </w:tc>
        <w:tc>
          <w:tcPr>
            <w:tcW w:w="414" w:type="pct"/>
            <w:tcBorders>
              <w:top w:val="single" w:sz="4" w:space="0" w:color="auto"/>
              <w:bottom w:val="single" w:sz="4" w:space="0" w:color="auto"/>
              <w:right w:val="single" w:sz="4" w:space="0" w:color="auto"/>
            </w:tcBorders>
            <w:shd w:val="pct15" w:color="auto" w:fill="auto"/>
          </w:tcPr>
          <w:p w14:paraId="0F6732CC" w14:textId="77777777" w:rsidR="00EA230B" w:rsidRPr="00064185" w:rsidRDefault="00EA230B" w:rsidP="00EA61D8">
            <w:pPr>
              <w:pStyle w:val="SectionHeader"/>
              <w:rPr>
                <w:b w:val="0"/>
                <w:vanish/>
              </w:rPr>
            </w:pPr>
          </w:p>
        </w:tc>
      </w:tr>
      <w:tr w:rsidR="00064185" w:rsidRPr="00064185" w14:paraId="25C82CB2" w14:textId="77777777" w:rsidTr="00E80C20">
        <w:tc>
          <w:tcPr>
            <w:tcW w:w="1403" w:type="pct"/>
            <w:tcBorders>
              <w:left w:val="single" w:sz="4" w:space="0" w:color="auto"/>
            </w:tcBorders>
          </w:tcPr>
          <w:p w14:paraId="7D45D0EF" w14:textId="77777777" w:rsidR="00EA230B" w:rsidRPr="00064185" w:rsidRDefault="00EA230B" w:rsidP="00EA61D8">
            <w:pPr>
              <w:pStyle w:val="Standard-fett"/>
              <w:keepNext/>
            </w:pPr>
          </w:p>
        </w:tc>
        <w:tc>
          <w:tcPr>
            <w:tcW w:w="3183" w:type="pct"/>
            <w:vAlign w:val="center"/>
          </w:tcPr>
          <w:p w14:paraId="7A6D679E" w14:textId="77777777" w:rsidR="00EA230B" w:rsidRPr="00064185" w:rsidRDefault="00EA230B" w:rsidP="00EA61D8">
            <w:pPr>
              <w:pStyle w:val="Textkrper2"/>
              <w:rPr>
                <w:color w:val="auto"/>
              </w:rPr>
            </w:pPr>
            <w:r w:rsidRPr="00064185">
              <w:rPr>
                <w:color w:val="auto"/>
              </w:rPr>
              <w:t>Use separate "evaluation boxes" to provide transparency as to the comments and views submitted</w:t>
            </w:r>
          </w:p>
        </w:tc>
        <w:tc>
          <w:tcPr>
            <w:tcW w:w="414" w:type="pct"/>
            <w:tcBorders>
              <w:right w:val="single" w:sz="4" w:space="0" w:color="auto"/>
            </w:tcBorders>
          </w:tcPr>
          <w:p w14:paraId="522D0FE9" w14:textId="77777777" w:rsidR="00EA230B" w:rsidRPr="00064185" w:rsidRDefault="00EA230B" w:rsidP="00EA61D8">
            <w:pPr>
              <w:pStyle w:val="Standard-fett"/>
            </w:pPr>
          </w:p>
        </w:tc>
      </w:tr>
      <w:tr w:rsidR="00064185" w:rsidRPr="00064185" w14:paraId="2EB613D3" w14:textId="77777777" w:rsidTr="00E80C20">
        <w:trPr>
          <w:cantSplit/>
        </w:trPr>
        <w:tc>
          <w:tcPr>
            <w:tcW w:w="1403" w:type="pct"/>
            <w:tcBorders>
              <w:top w:val="single" w:sz="4" w:space="0" w:color="auto"/>
              <w:left w:val="single" w:sz="4" w:space="0" w:color="auto"/>
            </w:tcBorders>
          </w:tcPr>
          <w:p w14:paraId="0B677458" w14:textId="77777777" w:rsidR="00EA230B" w:rsidRPr="00064185" w:rsidRDefault="00EA230B" w:rsidP="00EA61D8">
            <w:pPr>
              <w:rPr>
                <w:b/>
                <w:sz w:val="28"/>
                <w:szCs w:val="28"/>
              </w:rPr>
            </w:pPr>
          </w:p>
        </w:tc>
        <w:tc>
          <w:tcPr>
            <w:tcW w:w="3597" w:type="pct"/>
            <w:gridSpan w:val="2"/>
            <w:tcBorders>
              <w:top w:val="single" w:sz="4" w:space="0" w:color="auto"/>
              <w:right w:val="single" w:sz="4" w:space="0" w:color="auto"/>
            </w:tcBorders>
            <w:vAlign w:val="center"/>
          </w:tcPr>
          <w:p w14:paraId="1AE718FB" w14:textId="77777777" w:rsidR="00EA230B" w:rsidRPr="00064185" w:rsidRDefault="00EA230B" w:rsidP="00EA61D8">
            <w:pPr>
              <w:rPr>
                <w:b/>
                <w:sz w:val="28"/>
                <w:szCs w:val="28"/>
              </w:rPr>
            </w:pPr>
            <w:r w:rsidRPr="00064185">
              <w:rPr>
                <w:b/>
                <w:sz w:val="28"/>
                <w:szCs w:val="28"/>
              </w:rPr>
              <w:t>Evaluation by Rapporteur Member State</w:t>
            </w:r>
          </w:p>
        </w:tc>
      </w:tr>
      <w:tr w:rsidR="00064185" w:rsidRPr="00064185" w14:paraId="71351D1C" w14:textId="77777777" w:rsidTr="00E80C20">
        <w:trPr>
          <w:cantSplit/>
        </w:trPr>
        <w:tc>
          <w:tcPr>
            <w:tcW w:w="1403" w:type="pct"/>
            <w:tcBorders>
              <w:left w:val="single" w:sz="4" w:space="0" w:color="auto"/>
            </w:tcBorders>
          </w:tcPr>
          <w:p w14:paraId="1A2359CD" w14:textId="77777777" w:rsidR="00EA230B" w:rsidRPr="00064185" w:rsidRDefault="00EA230B" w:rsidP="00EA61D8">
            <w:pPr>
              <w:rPr>
                <w:b/>
                <w:sz w:val="28"/>
                <w:szCs w:val="28"/>
              </w:rPr>
            </w:pPr>
            <w:r w:rsidRPr="00064185">
              <w:rPr>
                <w:b/>
                <w:sz w:val="28"/>
                <w:szCs w:val="28"/>
              </w:rPr>
              <w:t>Date</w:t>
            </w:r>
          </w:p>
        </w:tc>
        <w:tc>
          <w:tcPr>
            <w:tcW w:w="3597" w:type="pct"/>
            <w:gridSpan w:val="2"/>
            <w:tcBorders>
              <w:right w:val="single" w:sz="4" w:space="0" w:color="auto"/>
            </w:tcBorders>
            <w:vAlign w:val="center"/>
          </w:tcPr>
          <w:p w14:paraId="5938C046" w14:textId="77777777" w:rsidR="00EA230B" w:rsidRPr="00064185" w:rsidRDefault="00EA230B" w:rsidP="00EA61D8">
            <w:pPr>
              <w:pStyle w:val="Standard-italics"/>
            </w:pPr>
            <w:r w:rsidRPr="00064185">
              <w:rPr>
                <w:i w:val="0"/>
              </w:rPr>
              <w:t>July 2015</w:t>
            </w:r>
          </w:p>
        </w:tc>
      </w:tr>
      <w:tr w:rsidR="00064185" w:rsidRPr="00064185" w14:paraId="718407C3" w14:textId="77777777" w:rsidTr="00E80C20">
        <w:trPr>
          <w:cantSplit/>
        </w:trPr>
        <w:tc>
          <w:tcPr>
            <w:tcW w:w="1403" w:type="pct"/>
            <w:tcBorders>
              <w:left w:val="single" w:sz="4" w:space="0" w:color="auto"/>
            </w:tcBorders>
          </w:tcPr>
          <w:p w14:paraId="1DAAB9A7" w14:textId="77777777" w:rsidR="00EA230B" w:rsidRPr="00064185" w:rsidRDefault="00EA230B" w:rsidP="00EA61D8">
            <w:pPr>
              <w:rPr>
                <w:b/>
                <w:sz w:val="28"/>
                <w:szCs w:val="28"/>
              </w:rPr>
            </w:pPr>
            <w:r w:rsidRPr="00064185">
              <w:rPr>
                <w:b/>
                <w:sz w:val="28"/>
                <w:szCs w:val="28"/>
              </w:rPr>
              <w:t>Comments</w:t>
            </w:r>
            <w:r w:rsidRPr="00064185">
              <w:rPr>
                <w:b/>
                <w:sz w:val="28"/>
                <w:szCs w:val="28"/>
              </w:rPr>
              <w:br/>
            </w:r>
          </w:p>
        </w:tc>
        <w:tc>
          <w:tcPr>
            <w:tcW w:w="3597" w:type="pct"/>
            <w:gridSpan w:val="2"/>
            <w:tcBorders>
              <w:right w:val="single" w:sz="4" w:space="0" w:color="auto"/>
            </w:tcBorders>
            <w:vAlign w:val="center"/>
          </w:tcPr>
          <w:p w14:paraId="39A10686" w14:textId="77777777" w:rsidR="00EA230B" w:rsidRPr="00064185" w:rsidRDefault="00EA230B" w:rsidP="00EA61D8">
            <w:pPr>
              <w:pStyle w:val="Standard-italics"/>
            </w:pPr>
            <w:r w:rsidRPr="00064185">
              <w:t>-</w:t>
            </w:r>
          </w:p>
        </w:tc>
      </w:tr>
      <w:tr w:rsidR="00064185" w:rsidRPr="00064185" w14:paraId="7018C9F9" w14:textId="77777777" w:rsidTr="00E80C20">
        <w:trPr>
          <w:cantSplit/>
        </w:trPr>
        <w:tc>
          <w:tcPr>
            <w:tcW w:w="1403" w:type="pct"/>
            <w:tcBorders>
              <w:left w:val="single" w:sz="4" w:space="0" w:color="auto"/>
            </w:tcBorders>
          </w:tcPr>
          <w:p w14:paraId="712AAFCF" w14:textId="77777777" w:rsidR="00EA230B" w:rsidRPr="00064185" w:rsidRDefault="00EA230B" w:rsidP="00EA61D8">
            <w:pPr>
              <w:rPr>
                <w:b/>
                <w:sz w:val="28"/>
                <w:szCs w:val="28"/>
              </w:rPr>
            </w:pPr>
            <w:r w:rsidRPr="00064185">
              <w:rPr>
                <w:b/>
                <w:sz w:val="28"/>
                <w:szCs w:val="28"/>
              </w:rPr>
              <w:t>Summary and conclusion</w:t>
            </w:r>
            <w:r w:rsidRPr="00064185">
              <w:rPr>
                <w:b/>
                <w:sz w:val="28"/>
                <w:szCs w:val="28"/>
              </w:rPr>
              <w:br/>
            </w:r>
          </w:p>
        </w:tc>
        <w:tc>
          <w:tcPr>
            <w:tcW w:w="3597" w:type="pct"/>
            <w:gridSpan w:val="2"/>
            <w:tcBorders>
              <w:right w:val="single" w:sz="4" w:space="0" w:color="auto"/>
            </w:tcBorders>
            <w:vAlign w:val="center"/>
          </w:tcPr>
          <w:p w14:paraId="0DA78EAA" w14:textId="37FFDBAA" w:rsidR="00EA230B" w:rsidRPr="00064185" w:rsidRDefault="00EA230B" w:rsidP="00EA61D8">
            <w:pPr>
              <w:pStyle w:val="Standard-italics"/>
            </w:pPr>
            <w:r w:rsidRPr="00064185">
              <w:rPr>
                <w:i w:val="0"/>
              </w:rPr>
              <w:t>Agree with applicant</w:t>
            </w:r>
            <w:r w:rsidR="008F32C9" w:rsidRPr="00064185">
              <w:rPr>
                <w:i w:val="0"/>
              </w:rPr>
              <w:t>´</w:t>
            </w:r>
            <w:r w:rsidRPr="00064185">
              <w:rPr>
                <w:i w:val="0"/>
              </w:rPr>
              <w:t>s version</w:t>
            </w:r>
          </w:p>
        </w:tc>
      </w:tr>
      <w:tr w:rsidR="00EA230B" w:rsidRPr="00064185" w14:paraId="42781E06" w14:textId="77777777" w:rsidTr="00E80C20">
        <w:trPr>
          <w:cantSplit/>
        </w:trPr>
        <w:tc>
          <w:tcPr>
            <w:tcW w:w="1403" w:type="pct"/>
            <w:tcBorders>
              <w:left w:val="single" w:sz="4" w:space="0" w:color="auto"/>
              <w:bottom w:val="single" w:sz="4" w:space="0" w:color="auto"/>
            </w:tcBorders>
          </w:tcPr>
          <w:p w14:paraId="02095AD5" w14:textId="77777777" w:rsidR="00EA230B" w:rsidRPr="00064185" w:rsidRDefault="00EA230B" w:rsidP="00EA61D8">
            <w:pPr>
              <w:rPr>
                <w:b/>
                <w:sz w:val="28"/>
                <w:szCs w:val="28"/>
              </w:rPr>
            </w:pPr>
          </w:p>
        </w:tc>
        <w:tc>
          <w:tcPr>
            <w:tcW w:w="3597" w:type="pct"/>
            <w:gridSpan w:val="2"/>
            <w:tcBorders>
              <w:bottom w:val="single" w:sz="4" w:space="0" w:color="auto"/>
              <w:right w:val="single" w:sz="4" w:space="0" w:color="auto"/>
            </w:tcBorders>
          </w:tcPr>
          <w:p w14:paraId="3BEE5D25" w14:textId="77777777" w:rsidR="00EA230B" w:rsidRPr="00064185" w:rsidRDefault="00EA230B" w:rsidP="00EA61D8">
            <w:pPr>
              <w:rPr>
                <w:i/>
              </w:rPr>
            </w:pPr>
          </w:p>
        </w:tc>
      </w:tr>
    </w:tbl>
    <w:p w14:paraId="1524A4E6" w14:textId="77777777" w:rsidR="00EA230B" w:rsidRPr="00064185" w:rsidRDefault="00EA230B" w:rsidP="00EA61D8">
      <w:pPr>
        <w:keepNext/>
      </w:pPr>
    </w:p>
    <w:p w14:paraId="39D6C16E" w14:textId="77777777" w:rsidR="00EA230B" w:rsidRPr="00064185" w:rsidRDefault="00EA230B" w:rsidP="00EA61D8">
      <w:pPr>
        <w:rPr>
          <w:rFonts w:eastAsiaTheme="minorEastAsia"/>
          <w:b/>
        </w:rPr>
      </w:pPr>
      <w:r w:rsidRPr="00064185">
        <w:br w:type="page"/>
      </w:r>
      <w:r w:rsidRPr="00064185">
        <w:rPr>
          <w:rFonts w:eastAsiaTheme="minorEastAsia"/>
          <w:b/>
        </w:rPr>
        <w:lastRenderedPageBreak/>
        <w:t>Table B5.10_1:</w:t>
      </w:r>
      <w:r w:rsidRPr="00064185">
        <w:rPr>
          <w:rFonts w:eastAsiaTheme="minorEastAsia"/>
          <w:b/>
        </w:rPr>
        <w:tab/>
        <w:t>Percentage of knock down after direct spray treatment against adults of silverfishes</w:t>
      </w:r>
    </w:p>
    <w:tbl>
      <w:tblPr>
        <w:tblW w:w="35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463"/>
        <w:gridCol w:w="1743"/>
        <w:gridCol w:w="1667"/>
      </w:tblGrid>
      <w:tr w:rsidR="00064185" w:rsidRPr="00064185" w14:paraId="38A047E9" w14:textId="77777777" w:rsidTr="00E80C20">
        <w:tc>
          <w:tcPr>
            <w:tcW w:w="1337" w:type="pct"/>
            <w:vMerge w:val="restart"/>
            <w:shd w:val="clear" w:color="auto" w:fill="auto"/>
          </w:tcPr>
          <w:p w14:paraId="7EC76370" w14:textId="77777777" w:rsidR="00EA230B" w:rsidRPr="00064185" w:rsidRDefault="00EA230B" w:rsidP="00EA61D8">
            <w:pPr>
              <w:rPr>
                <w:b/>
              </w:rPr>
            </w:pPr>
            <w:r w:rsidRPr="00064185">
              <w:rPr>
                <w:b/>
              </w:rPr>
              <w:t>Treatment</w:t>
            </w:r>
          </w:p>
        </w:tc>
        <w:tc>
          <w:tcPr>
            <w:tcW w:w="2410" w:type="pct"/>
            <w:gridSpan w:val="2"/>
            <w:tcBorders>
              <w:bottom w:val="nil"/>
            </w:tcBorders>
          </w:tcPr>
          <w:p w14:paraId="423EAEA8" w14:textId="77777777" w:rsidR="00EA230B" w:rsidRPr="00064185" w:rsidRDefault="00EA230B" w:rsidP="00EA61D8">
            <w:pPr>
              <w:rPr>
                <w:b/>
              </w:rPr>
            </w:pPr>
            <w:r w:rsidRPr="00064185">
              <w:rPr>
                <w:b/>
              </w:rPr>
              <w:t>% knock down after</w:t>
            </w:r>
            <w:r w:rsidRPr="00064185">
              <w:rPr>
                <w:b/>
              </w:rPr>
              <w:br/>
              <w:t>minutes (’) and seconds (’’)</w:t>
            </w:r>
          </w:p>
        </w:tc>
        <w:tc>
          <w:tcPr>
            <w:tcW w:w="1253" w:type="pct"/>
            <w:tcBorders>
              <w:bottom w:val="nil"/>
            </w:tcBorders>
          </w:tcPr>
          <w:p w14:paraId="79BF3D51" w14:textId="7439608F" w:rsidR="00EA230B" w:rsidRPr="00064185" w:rsidRDefault="00EA230B" w:rsidP="00EA61D8">
            <w:pPr>
              <w:rPr>
                <w:b/>
              </w:rPr>
            </w:pPr>
            <w:r w:rsidRPr="00064185">
              <w:rPr>
                <w:b/>
              </w:rPr>
              <w:t>% knock down</w:t>
            </w:r>
          </w:p>
        </w:tc>
      </w:tr>
      <w:tr w:rsidR="00064185" w:rsidRPr="00064185" w14:paraId="03D97EBC" w14:textId="77777777" w:rsidTr="00E80C20">
        <w:tc>
          <w:tcPr>
            <w:tcW w:w="1337" w:type="pct"/>
            <w:vMerge/>
            <w:shd w:val="clear" w:color="auto" w:fill="auto"/>
          </w:tcPr>
          <w:p w14:paraId="77F3764E" w14:textId="77777777" w:rsidR="00EA230B" w:rsidRPr="00064185" w:rsidRDefault="00EA230B" w:rsidP="00EA61D8">
            <w:pPr>
              <w:rPr>
                <w:b/>
              </w:rPr>
            </w:pPr>
          </w:p>
        </w:tc>
        <w:tc>
          <w:tcPr>
            <w:tcW w:w="1100" w:type="pct"/>
            <w:tcBorders>
              <w:top w:val="nil"/>
            </w:tcBorders>
          </w:tcPr>
          <w:p w14:paraId="520E852C" w14:textId="77777777" w:rsidR="00EA230B" w:rsidRPr="00064185" w:rsidRDefault="00EA230B" w:rsidP="00EA61D8">
            <w:pPr>
              <w:rPr>
                <w:b/>
              </w:rPr>
            </w:pPr>
            <w:r w:rsidRPr="00064185">
              <w:rPr>
                <w:b/>
              </w:rPr>
              <w:t>mean</w:t>
            </w:r>
          </w:p>
        </w:tc>
        <w:tc>
          <w:tcPr>
            <w:tcW w:w="1310" w:type="pct"/>
            <w:tcBorders>
              <w:top w:val="nil"/>
            </w:tcBorders>
          </w:tcPr>
          <w:p w14:paraId="1217C620" w14:textId="77777777" w:rsidR="00EA230B" w:rsidRPr="00064185" w:rsidRDefault="00EA230B" w:rsidP="00EA61D8">
            <w:pPr>
              <w:rPr>
                <w:b/>
              </w:rPr>
            </w:pPr>
            <w:r w:rsidRPr="00064185">
              <w:rPr>
                <w:b/>
              </w:rPr>
              <w:t>range</w:t>
            </w:r>
          </w:p>
        </w:tc>
        <w:tc>
          <w:tcPr>
            <w:tcW w:w="1253" w:type="pct"/>
            <w:tcBorders>
              <w:top w:val="nil"/>
            </w:tcBorders>
          </w:tcPr>
          <w:p w14:paraId="351864A3" w14:textId="77777777" w:rsidR="00EA230B" w:rsidRPr="00064185" w:rsidRDefault="00EA230B" w:rsidP="00EA61D8">
            <w:pPr>
              <w:rPr>
                <w:b/>
              </w:rPr>
            </w:pPr>
            <w:r w:rsidRPr="00064185">
              <w:rPr>
                <w:b/>
              </w:rPr>
              <w:t>after 2 h</w:t>
            </w:r>
          </w:p>
        </w:tc>
      </w:tr>
      <w:tr w:rsidR="00EA230B" w:rsidRPr="00064185" w14:paraId="4633FE55" w14:textId="77777777" w:rsidTr="00E80C20">
        <w:tc>
          <w:tcPr>
            <w:tcW w:w="1337" w:type="pct"/>
            <w:shd w:val="clear" w:color="auto" w:fill="auto"/>
          </w:tcPr>
          <w:p w14:paraId="49DFAAA5" w14:textId="77777777" w:rsidR="00EA230B" w:rsidRPr="00064185" w:rsidRDefault="00EA230B" w:rsidP="00EA61D8">
            <w:r w:rsidRPr="00064185">
              <w:t>COM 116 02 I AL</w:t>
            </w:r>
          </w:p>
        </w:tc>
        <w:tc>
          <w:tcPr>
            <w:tcW w:w="1100" w:type="pct"/>
          </w:tcPr>
          <w:p w14:paraId="24A24633" w14:textId="77777777" w:rsidR="00EA230B" w:rsidRPr="00064185" w:rsidRDefault="00EA230B" w:rsidP="00EA61D8">
            <w:r w:rsidRPr="00064185">
              <w:t>2’47’’</w:t>
            </w:r>
          </w:p>
        </w:tc>
        <w:tc>
          <w:tcPr>
            <w:tcW w:w="1310" w:type="pct"/>
          </w:tcPr>
          <w:p w14:paraId="006BC63B" w14:textId="77777777" w:rsidR="00EA230B" w:rsidRPr="00064185" w:rsidRDefault="00EA230B" w:rsidP="00EA61D8">
            <w:r w:rsidRPr="00064185">
              <w:t>2’05 -3’24’’</w:t>
            </w:r>
          </w:p>
        </w:tc>
        <w:tc>
          <w:tcPr>
            <w:tcW w:w="1253" w:type="pct"/>
          </w:tcPr>
          <w:p w14:paraId="41A085A6" w14:textId="77777777" w:rsidR="00EA230B" w:rsidRPr="00064185" w:rsidRDefault="00EA230B" w:rsidP="00EA61D8">
            <w:r w:rsidRPr="00064185">
              <w:t>100</w:t>
            </w:r>
          </w:p>
        </w:tc>
      </w:tr>
    </w:tbl>
    <w:p w14:paraId="53B0DDB1" w14:textId="77777777" w:rsidR="00EA230B" w:rsidRPr="00064185" w:rsidRDefault="00EA230B" w:rsidP="00EA61D8">
      <w:pPr>
        <w:rPr>
          <w:rFonts w:eastAsiaTheme="minorEastAsia"/>
          <w:b/>
        </w:rPr>
      </w:pPr>
    </w:p>
    <w:p w14:paraId="4335AED6" w14:textId="77777777" w:rsidR="00EA230B" w:rsidRPr="00064185" w:rsidRDefault="00EA230B" w:rsidP="00EA61D8">
      <w:pPr>
        <w:rPr>
          <w:rFonts w:eastAsiaTheme="minorEastAsia"/>
          <w:b/>
        </w:rPr>
      </w:pPr>
      <w:r w:rsidRPr="00064185">
        <w:rPr>
          <w:rFonts w:eastAsiaTheme="minorEastAsia"/>
          <w:b/>
        </w:rPr>
        <w:t>Table B5.10_2:</w:t>
      </w:r>
      <w:r w:rsidRPr="00064185">
        <w:rPr>
          <w:rFonts w:eastAsiaTheme="minorEastAsia"/>
          <w:b/>
        </w:rPr>
        <w:tab/>
        <w:t>Residual efficacy after spray treatment against adults of silverfishes</w:t>
      </w:r>
    </w:p>
    <w:tbl>
      <w:tblPr>
        <w:tblW w:w="4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253"/>
        <w:gridCol w:w="1762"/>
        <w:gridCol w:w="1762"/>
        <w:gridCol w:w="1764"/>
      </w:tblGrid>
      <w:tr w:rsidR="00064185" w:rsidRPr="00064185" w14:paraId="2473B101" w14:textId="77777777" w:rsidTr="00E80C20">
        <w:tc>
          <w:tcPr>
            <w:tcW w:w="1069" w:type="pct"/>
            <w:vMerge w:val="restart"/>
            <w:shd w:val="clear" w:color="auto" w:fill="auto"/>
          </w:tcPr>
          <w:p w14:paraId="7D8111EB" w14:textId="77777777" w:rsidR="00EA230B" w:rsidRPr="00064185" w:rsidRDefault="00EA230B" w:rsidP="00EA61D8">
            <w:r w:rsidRPr="00064185">
              <w:t>Treatment</w:t>
            </w:r>
          </w:p>
        </w:tc>
        <w:tc>
          <w:tcPr>
            <w:tcW w:w="753" w:type="pct"/>
            <w:vMerge w:val="restart"/>
          </w:tcPr>
          <w:p w14:paraId="5B995DD4" w14:textId="77777777" w:rsidR="00EA230B" w:rsidRPr="00064185" w:rsidRDefault="00EA230B" w:rsidP="00EA61D8">
            <w:r w:rsidRPr="00064185">
              <w:t>Tiles</w:t>
            </w:r>
          </w:p>
        </w:tc>
        <w:tc>
          <w:tcPr>
            <w:tcW w:w="3178" w:type="pct"/>
            <w:gridSpan w:val="3"/>
            <w:tcBorders>
              <w:bottom w:val="nil"/>
            </w:tcBorders>
          </w:tcPr>
          <w:p w14:paraId="25B178CA" w14:textId="77777777" w:rsidR="00EA230B" w:rsidRPr="00064185" w:rsidRDefault="00EA230B" w:rsidP="00EA61D8">
            <w:r w:rsidRPr="00064185">
              <w:t>100% knock down, followed by mortality, after minutes during an exposure time of 72 h after</w:t>
            </w:r>
          </w:p>
        </w:tc>
      </w:tr>
      <w:tr w:rsidR="00064185" w:rsidRPr="00064185" w14:paraId="632759E2" w14:textId="77777777" w:rsidTr="00E80C20">
        <w:tc>
          <w:tcPr>
            <w:tcW w:w="1069" w:type="pct"/>
            <w:vMerge/>
            <w:shd w:val="clear" w:color="auto" w:fill="auto"/>
          </w:tcPr>
          <w:p w14:paraId="055A421E" w14:textId="77777777" w:rsidR="00EA230B" w:rsidRPr="00064185" w:rsidRDefault="00EA230B" w:rsidP="00EA61D8"/>
        </w:tc>
        <w:tc>
          <w:tcPr>
            <w:tcW w:w="753" w:type="pct"/>
            <w:vMerge/>
          </w:tcPr>
          <w:p w14:paraId="72A728B3" w14:textId="77777777" w:rsidR="00EA230B" w:rsidRPr="00064185" w:rsidRDefault="00EA230B" w:rsidP="00EA61D8"/>
        </w:tc>
        <w:tc>
          <w:tcPr>
            <w:tcW w:w="1059" w:type="pct"/>
            <w:tcBorders>
              <w:top w:val="nil"/>
            </w:tcBorders>
          </w:tcPr>
          <w:p w14:paraId="11D156E3" w14:textId="77777777" w:rsidR="00EA230B" w:rsidRPr="00064185" w:rsidRDefault="00EA230B" w:rsidP="00EA61D8">
            <w:r w:rsidRPr="00064185">
              <w:t>1 day</w:t>
            </w:r>
          </w:p>
        </w:tc>
        <w:tc>
          <w:tcPr>
            <w:tcW w:w="1059" w:type="pct"/>
            <w:tcBorders>
              <w:top w:val="nil"/>
            </w:tcBorders>
          </w:tcPr>
          <w:p w14:paraId="26FEFFAF" w14:textId="77777777" w:rsidR="00EA230B" w:rsidRPr="00064185" w:rsidRDefault="00EA230B" w:rsidP="00EA61D8">
            <w:r w:rsidRPr="00064185">
              <w:t>1 week</w:t>
            </w:r>
          </w:p>
        </w:tc>
        <w:tc>
          <w:tcPr>
            <w:tcW w:w="1060" w:type="pct"/>
            <w:tcBorders>
              <w:top w:val="nil"/>
            </w:tcBorders>
          </w:tcPr>
          <w:p w14:paraId="1FA39F6A" w14:textId="77777777" w:rsidR="00EA230B" w:rsidRPr="00064185" w:rsidRDefault="00EA230B" w:rsidP="00EA61D8">
            <w:r w:rsidRPr="00064185">
              <w:t>2 weeks</w:t>
            </w:r>
          </w:p>
        </w:tc>
      </w:tr>
      <w:tr w:rsidR="00064185" w:rsidRPr="00064185" w14:paraId="2628CAFD" w14:textId="77777777" w:rsidTr="00E80C20">
        <w:tc>
          <w:tcPr>
            <w:tcW w:w="1069" w:type="pct"/>
            <w:shd w:val="clear" w:color="auto" w:fill="auto"/>
          </w:tcPr>
          <w:p w14:paraId="77B00BAA" w14:textId="77777777" w:rsidR="00EA230B" w:rsidRPr="00064185" w:rsidRDefault="00EA230B" w:rsidP="00EA61D8">
            <w:r w:rsidRPr="00064185">
              <w:t>COM 116 02 I AL</w:t>
            </w:r>
          </w:p>
        </w:tc>
        <w:tc>
          <w:tcPr>
            <w:tcW w:w="753" w:type="pct"/>
          </w:tcPr>
          <w:p w14:paraId="37BC6D6C" w14:textId="77777777" w:rsidR="00EA230B" w:rsidRPr="00064185" w:rsidRDefault="00EA230B" w:rsidP="00EA61D8">
            <w:r w:rsidRPr="00064185">
              <w:t>Glazed tiles</w:t>
            </w:r>
          </w:p>
        </w:tc>
        <w:tc>
          <w:tcPr>
            <w:tcW w:w="1059" w:type="pct"/>
          </w:tcPr>
          <w:p w14:paraId="52BE9B08" w14:textId="77777777" w:rsidR="00EA230B" w:rsidRPr="00064185" w:rsidRDefault="00EA230B" w:rsidP="00EA61D8">
            <w:r w:rsidRPr="00064185">
              <w:t>25 *</w:t>
            </w:r>
          </w:p>
        </w:tc>
        <w:tc>
          <w:tcPr>
            <w:tcW w:w="1059" w:type="pct"/>
          </w:tcPr>
          <w:p w14:paraId="754E50BA" w14:textId="77777777" w:rsidR="00EA230B" w:rsidRPr="00064185" w:rsidRDefault="00EA230B" w:rsidP="00EA61D8">
            <w:r w:rsidRPr="00064185">
              <w:t>25 *</w:t>
            </w:r>
          </w:p>
        </w:tc>
        <w:tc>
          <w:tcPr>
            <w:tcW w:w="1060" w:type="pct"/>
          </w:tcPr>
          <w:p w14:paraId="587BF311" w14:textId="77777777" w:rsidR="00EA230B" w:rsidRPr="00064185" w:rsidRDefault="00EA230B" w:rsidP="00EA61D8">
            <w:r w:rsidRPr="00064185">
              <w:t>20 *</w:t>
            </w:r>
          </w:p>
        </w:tc>
      </w:tr>
      <w:tr w:rsidR="00064185" w:rsidRPr="00064185" w14:paraId="55DF6B6C" w14:textId="77777777" w:rsidTr="00E80C20">
        <w:tc>
          <w:tcPr>
            <w:tcW w:w="1069" w:type="pct"/>
            <w:shd w:val="clear" w:color="auto" w:fill="auto"/>
          </w:tcPr>
          <w:p w14:paraId="06001066" w14:textId="77777777" w:rsidR="00EA230B" w:rsidRPr="00064185" w:rsidRDefault="00EA230B" w:rsidP="00EA61D8">
            <w:r w:rsidRPr="00064185">
              <w:t>COM 116 02 I AL</w:t>
            </w:r>
          </w:p>
        </w:tc>
        <w:tc>
          <w:tcPr>
            <w:tcW w:w="753" w:type="pct"/>
          </w:tcPr>
          <w:p w14:paraId="4B81CD48" w14:textId="77777777" w:rsidR="00EA230B" w:rsidRPr="00064185" w:rsidRDefault="00EA230B" w:rsidP="00EA61D8">
            <w:r w:rsidRPr="00064185">
              <w:t>PVC</w:t>
            </w:r>
          </w:p>
        </w:tc>
        <w:tc>
          <w:tcPr>
            <w:tcW w:w="1059" w:type="pct"/>
          </w:tcPr>
          <w:p w14:paraId="4DAD0DC9" w14:textId="77777777" w:rsidR="00EA230B" w:rsidRPr="00064185" w:rsidRDefault="00EA230B" w:rsidP="00EA61D8">
            <w:r w:rsidRPr="00064185">
              <w:t>60 *</w:t>
            </w:r>
          </w:p>
        </w:tc>
        <w:tc>
          <w:tcPr>
            <w:tcW w:w="1059" w:type="pct"/>
          </w:tcPr>
          <w:p w14:paraId="02F6AE91" w14:textId="77777777" w:rsidR="00EA230B" w:rsidRPr="00064185" w:rsidRDefault="00EA230B" w:rsidP="00EA61D8">
            <w:r w:rsidRPr="00064185">
              <w:t>60 *</w:t>
            </w:r>
          </w:p>
        </w:tc>
        <w:tc>
          <w:tcPr>
            <w:tcW w:w="1060" w:type="pct"/>
          </w:tcPr>
          <w:p w14:paraId="4C939C49" w14:textId="77777777" w:rsidR="00EA230B" w:rsidRPr="00064185" w:rsidRDefault="00EA230B" w:rsidP="00EA61D8">
            <w:r w:rsidRPr="00064185">
              <w:t>50 *</w:t>
            </w:r>
          </w:p>
        </w:tc>
      </w:tr>
      <w:tr w:rsidR="00064185" w:rsidRPr="00064185" w14:paraId="02480742" w14:textId="77777777" w:rsidTr="00E80C20">
        <w:tc>
          <w:tcPr>
            <w:tcW w:w="1069" w:type="pct"/>
            <w:shd w:val="clear" w:color="auto" w:fill="auto"/>
          </w:tcPr>
          <w:p w14:paraId="7728E2FA" w14:textId="77777777" w:rsidR="00EA230B" w:rsidRPr="00064185" w:rsidRDefault="00EA230B" w:rsidP="00EA61D8">
            <w:r w:rsidRPr="00064185">
              <w:t>Untreated control</w:t>
            </w:r>
          </w:p>
        </w:tc>
        <w:tc>
          <w:tcPr>
            <w:tcW w:w="753" w:type="pct"/>
          </w:tcPr>
          <w:p w14:paraId="76987B5E" w14:textId="77777777" w:rsidR="00EA230B" w:rsidRPr="00064185" w:rsidRDefault="00EA230B" w:rsidP="00EA61D8">
            <w:r w:rsidRPr="00064185">
              <w:t>Glazed tiles</w:t>
            </w:r>
          </w:p>
        </w:tc>
        <w:tc>
          <w:tcPr>
            <w:tcW w:w="1059" w:type="pct"/>
          </w:tcPr>
          <w:p w14:paraId="52C1AA60" w14:textId="77777777" w:rsidR="00EA230B" w:rsidRPr="00064185" w:rsidRDefault="00EA230B" w:rsidP="00EA61D8">
            <w:r w:rsidRPr="00064185">
              <w:t>72 h 20%</w:t>
            </w:r>
          </w:p>
        </w:tc>
        <w:tc>
          <w:tcPr>
            <w:tcW w:w="1059" w:type="pct"/>
          </w:tcPr>
          <w:p w14:paraId="6AB20DFF" w14:textId="77777777" w:rsidR="00EA230B" w:rsidRPr="00064185" w:rsidRDefault="00EA230B" w:rsidP="00EA61D8">
            <w:r w:rsidRPr="00064185">
              <w:t>72 h 0%</w:t>
            </w:r>
          </w:p>
        </w:tc>
        <w:tc>
          <w:tcPr>
            <w:tcW w:w="1060" w:type="pct"/>
          </w:tcPr>
          <w:p w14:paraId="4BCFE9C5" w14:textId="77777777" w:rsidR="00EA230B" w:rsidRPr="00064185" w:rsidRDefault="00EA230B" w:rsidP="00EA61D8">
            <w:r w:rsidRPr="00064185">
              <w:t>72 h 0%</w:t>
            </w:r>
          </w:p>
        </w:tc>
      </w:tr>
      <w:tr w:rsidR="00064185" w:rsidRPr="00064185" w14:paraId="3A571469" w14:textId="77777777" w:rsidTr="00E80C20">
        <w:tc>
          <w:tcPr>
            <w:tcW w:w="1069" w:type="pct"/>
            <w:shd w:val="clear" w:color="auto" w:fill="auto"/>
          </w:tcPr>
          <w:p w14:paraId="204B168A" w14:textId="77777777" w:rsidR="00EA230B" w:rsidRPr="00064185" w:rsidRDefault="00EA230B" w:rsidP="00EA61D8">
            <w:r w:rsidRPr="00064185">
              <w:t>Untreated control</w:t>
            </w:r>
          </w:p>
        </w:tc>
        <w:tc>
          <w:tcPr>
            <w:tcW w:w="753" w:type="pct"/>
          </w:tcPr>
          <w:p w14:paraId="7BAC8260" w14:textId="77777777" w:rsidR="00EA230B" w:rsidRPr="00064185" w:rsidRDefault="00EA230B" w:rsidP="00EA61D8">
            <w:r w:rsidRPr="00064185">
              <w:t>PVC</w:t>
            </w:r>
          </w:p>
        </w:tc>
        <w:tc>
          <w:tcPr>
            <w:tcW w:w="1059" w:type="pct"/>
          </w:tcPr>
          <w:p w14:paraId="24129057" w14:textId="77777777" w:rsidR="00EA230B" w:rsidRPr="00064185" w:rsidRDefault="00EA230B" w:rsidP="00EA61D8">
            <w:r w:rsidRPr="00064185">
              <w:t>72 h 0%</w:t>
            </w:r>
          </w:p>
        </w:tc>
        <w:tc>
          <w:tcPr>
            <w:tcW w:w="1059" w:type="pct"/>
          </w:tcPr>
          <w:p w14:paraId="77382FFF" w14:textId="77777777" w:rsidR="00EA230B" w:rsidRPr="00064185" w:rsidRDefault="00EA230B" w:rsidP="00EA61D8">
            <w:r w:rsidRPr="00064185">
              <w:t>72 h 0%</w:t>
            </w:r>
          </w:p>
        </w:tc>
        <w:tc>
          <w:tcPr>
            <w:tcW w:w="1060" w:type="pct"/>
          </w:tcPr>
          <w:p w14:paraId="41963409" w14:textId="77777777" w:rsidR="00EA230B" w:rsidRPr="00064185" w:rsidRDefault="00EA230B" w:rsidP="00EA61D8">
            <w:r w:rsidRPr="00064185">
              <w:t>72 h 0%</w:t>
            </w:r>
          </w:p>
        </w:tc>
      </w:tr>
    </w:tbl>
    <w:p w14:paraId="39B6E380" w14:textId="77777777" w:rsidR="00EA230B" w:rsidRPr="00064185" w:rsidRDefault="00EA230B" w:rsidP="00EA61D8">
      <w:pPr>
        <w:rPr>
          <w:rFonts w:eastAsiaTheme="minorEastAsia"/>
          <w:b/>
        </w:rPr>
      </w:pPr>
      <w:r w:rsidRPr="00064185">
        <w:rPr>
          <w:rFonts w:eastAsiaTheme="minorEastAsia"/>
          <w:b/>
        </w:rPr>
        <w:t>* mean value of 3 replicates</w:t>
      </w:r>
    </w:p>
    <w:p w14:paraId="66C95763" w14:textId="77777777" w:rsidR="00EA230B" w:rsidRPr="00064185" w:rsidRDefault="00EA230B" w:rsidP="00EA61D8">
      <w:pPr>
        <w:pStyle w:val="Standard-fett"/>
        <w:outlineLvl w:val="0"/>
        <w:sectPr w:rsidR="00EA230B" w:rsidRPr="00064185" w:rsidSect="003E5B50">
          <w:endnotePr>
            <w:numFmt w:val="decimal"/>
          </w:endnotePr>
          <w:pgSz w:w="11907" w:h="16840" w:code="9"/>
          <w:pgMar w:top="1474" w:right="1247" w:bottom="2013" w:left="1446" w:header="850" w:footer="850" w:gutter="0"/>
          <w:cols w:space="720"/>
          <w:titlePg/>
          <w:docGrid w:linePitch="272"/>
        </w:sectPr>
      </w:pPr>
    </w:p>
    <w:tbl>
      <w:tblPr>
        <w:tblW w:w="5000" w:type="pct"/>
        <w:tblCellMar>
          <w:left w:w="70" w:type="dxa"/>
          <w:right w:w="70" w:type="dxa"/>
        </w:tblCellMar>
        <w:tblLook w:val="0000" w:firstRow="0" w:lastRow="0" w:firstColumn="0" w:lastColumn="0" w:noHBand="0" w:noVBand="0"/>
      </w:tblPr>
      <w:tblGrid>
        <w:gridCol w:w="2833"/>
        <w:gridCol w:w="5744"/>
        <w:gridCol w:w="777"/>
      </w:tblGrid>
      <w:tr w:rsidR="00064185" w:rsidRPr="00064185" w14:paraId="7D3CD993" w14:textId="77777777" w:rsidTr="00E80C20">
        <w:trPr>
          <w:cantSplit/>
          <w:tblHeader/>
        </w:trPr>
        <w:tc>
          <w:tcPr>
            <w:tcW w:w="1403" w:type="pct"/>
            <w:tcBorders>
              <w:bottom w:val="single" w:sz="4" w:space="0" w:color="auto"/>
            </w:tcBorders>
          </w:tcPr>
          <w:p w14:paraId="79ABADAF" w14:textId="77777777" w:rsidR="00EA230B" w:rsidRPr="00064185" w:rsidRDefault="00EA230B" w:rsidP="00EA61D8">
            <w:pPr>
              <w:pStyle w:val="SectionHeader"/>
            </w:pPr>
            <w:r w:rsidRPr="00064185">
              <w:lastRenderedPageBreak/>
              <w:t>Section B5.10</w:t>
            </w:r>
            <w:r w:rsidRPr="00064185">
              <w:br/>
            </w:r>
            <w:r w:rsidRPr="00064185">
              <w:rPr>
                <w:sz w:val="20"/>
              </w:rPr>
              <w:t>Annex Point IIB5.10</w:t>
            </w:r>
            <w:r w:rsidRPr="00064185">
              <w:rPr>
                <w:sz w:val="20"/>
              </w:rPr>
              <w:br/>
              <w:t>TNsG: Pt. I-B5.10,</w:t>
            </w:r>
            <w:r w:rsidRPr="00064185">
              <w:rPr>
                <w:sz w:val="20"/>
              </w:rPr>
              <w:br/>
              <w:t>Pt. III-Ch. 6</w:t>
            </w:r>
          </w:p>
        </w:tc>
        <w:tc>
          <w:tcPr>
            <w:tcW w:w="3182" w:type="pct"/>
            <w:tcBorders>
              <w:bottom w:val="single" w:sz="4" w:space="0" w:color="auto"/>
            </w:tcBorders>
            <w:vAlign w:val="center"/>
          </w:tcPr>
          <w:p w14:paraId="4A330FDB" w14:textId="77777777" w:rsidR="00EA230B" w:rsidRPr="00064185" w:rsidRDefault="00EA230B" w:rsidP="00EA61D8">
            <w:pPr>
              <w:pStyle w:val="SectionHeader"/>
            </w:pPr>
            <w:r w:rsidRPr="00064185">
              <w:t xml:space="preserve">Efficacy Data </w:t>
            </w:r>
          </w:p>
          <w:p w14:paraId="23F41303" w14:textId="77777777" w:rsidR="00EA230B" w:rsidRPr="00064185" w:rsidRDefault="00EA230B" w:rsidP="00EA61D8">
            <w:pPr>
              <w:pStyle w:val="SectionHeader"/>
            </w:pPr>
            <w:r w:rsidRPr="00064185">
              <w:rPr>
                <w:b w:val="0"/>
                <w:sz w:val="20"/>
              </w:rPr>
              <w:t>5.10.</w:t>
            </w:r>
            <w:r w:rsidRPr="00064185">
              <w:t xml:space="preserve"> </w:t>
            </w:r>
            <w:r w:rsidRPr="00064185">
              <w:rPr>
                <w:b w:val="0"/>
                <w:sz w:val="20"/>
              </w:rPr>
              <w:t>Effects on target organisms (PT 18; Study 5)</w:t>
            </w:r>
          </w:p>
        </w:tc>
        <w:tc>
          <w:tcPr>
            <w:tcW w:w="414" w:type="pct"/>
            <w:tcBorders>
              <w:bottom w:val="single" w:sz="4" w:space="0" w:color="auto"/>
            </w:tcBorders>
          </w:tcPr>
          <w:p w14:paraId="658A1462" w14:textId="77777777" w:rsidR="00EA230B" w:rsidRPr="00064185" w:rsidRDefault="00EA230B" w:rsidP="00EA61D8">
            <w:pPr>
              <w:pStyle w:val="Official-Use"/>
              <w:keepNext/>
              <w:jc w:val="left"/>
              <w:rPr>
                <w:b/>
                <w:vanish/>
              </w:rPr>
            </w:pPr>
          </w:p>
        </w:tc>
      </w:tr>
      <w:tr w:rsidR="00064185" w:rsidRPr="00064185" w14:paraId="0608C8BC" w14:textId="77777777" w:rsidTr="00E80C20">
        <w:trPr>
          <w:cantSplit/>
          <w:tblHeader/>
        </w:trPr>
        <w:tc>
          <w:tcPr>
            <w:tcW w:w="1403" w:type="pct"/>
            <w:tcBorders>
              <w:top w:val="single" w:sz="4" w:space="0" w:color="auto"/>
            </w:tcBorders>
          </w:tcPr>
          <w:p w14:paraId="2273E4C6" w14:textId="77777777" w:rsidR="00EA230B" w:rsidRPr="00064185" w:rsidRDefault="00EA230B" w:rsidP="00EA61D8">
            <w:pPr>
              <w:pStyle w:val="HalbeLeerzeile"/>
            </w:pPr>
          </w:p>
        </w:tc>
        <w:tc>
          <w:tcPr>
            <w:tcW w:w="3182" w:type="pct"/>
            <w:tcBorders>
              <w:top w:val="single" w:sz="4" w:space="0" w:color="auto"/>
            </w:tcBorders>
            <w:vAlign w:val="center"/>
          </w:tcPr>
          <w:p w14:paraId="531C49E2" w14:textId="77777777" w:rsidR="00EA230B" w:rsidRPr="00064185" w:rsidRDefault="00EA230B" w:rsidP="00EA61D8">
            <w:pPr>
              <w:pStyle w:val="HalbeLeerzeile"/>
            </w:pPr>
          </w:p>
        </w:tc>
        <w:tc>
          <w:tcPr>
            <w:tcW w:w="414" w:type="pct"/>
            <w:tcBorders>
              <w:top w:val="single" w:sz="4" w:space="0" w:color="auto"/>
            </w:tcBorders>
          </w:tcPr>
          <w:p w14:paraId="7F4B47A7" w14:textId="77777777" w:rsidR="00EA230B" w:rsidRPr="00064185" w:rsidRDefault="00EA230B" w:rsidP="00EA61D8">
            <w:pPr>
              <w:pStyle w:val="HalbeLeerzeile"/>
              <w:rPr>
                <w:b/>
                <w:vanish/>
              </w:rPr>
            </w:pPr>
          </w:p>
        </w:tc>
      </w:tr>
      <w:tr w:rsidR="00064185" w:rsidRPr="00064185" w14:paraId="07FE0C05" w14:textId="77777777" w:rsidTr="00E80C20">
        <w:tc>
          <w:tcPr>
            <w:tcW w:w="1403" w:type="pct"/>
          </w:tcPr>
          <w:p w14:paraId="1A09798A" w14:textId="77777777" w:rsidR="00EA230B" w:rsidRPr="00064185" w:rsidRDefault="00EA230B" w:rsidP="00EA61D8"/>
        </w:tc>
        <w:tc>
          <w:tcPr>
            <w:tcW w:w="3182" w:type="pct"/>
            <w:vAlign w:val="center"/>
          </w:tcPr>
          <w:p w14:paraId="7888612C" w14:textId="77777777" w:rsidR="00EA230B" w:rsidRPr="00064185" w:rsidRDefault="00EA230B" w:rsidP="00EA61D8">
            <w:pPr>
              <w:pStyle w:val="TEXTTEXT"/>
              <w:numPr>
                <w:ilvl w:val="0"/>
                <w:numId w:val="27"/>
              </w:numPr>
            </w:pPr>
            <w:r w:rsidRPr="00064185">
              <w:t>Reference</w:t>
            </w:r>
          </w:p>
        </w:tc>
        <w:tc>
          <w:tcPr>
            <w:tcW w:w="414" w:type="pct"/>
            <w:shd w:val="pct10" w:color="auto" w:fill="auto"/>
          </w:tcPr>
          <w:p w14:paraId="2304BE1C" w14:textId="77777777" w:rsidR="00EA230B" w:rsidRPr="00064185" w:rsidRDefault="00EA230B" w:rsidP="00EA61D8">
            <w:pPr>
              <w:pStyle w:val="Official-Use"/>
              <w:keepNext/>
              <w:jc w:val="left"/>
              <w:rPr>
                <w:b/>
              </w:rPr>
            </w:pPr>
            <w:r w:rsidRPr="00064185">
              <w:rPr>
                <w:b/>
              </w:rPr>
              <w:t>Official</w:t>
            </w:r>
            <w:r w:rsidRPr="00064185">
              <w:rPr>
                <w:b/>
              </w:rPr>
              <w:br/>
              <w:t>use only</w:t>
            </w:r>
          </w:p>
        </w:tc>
      </w:tr>
      <w:tr w:rsidR="00064185" w:rsidRPr="00064185" w14:paraId="579CEAA0" w14:textId="77777777" w:rsidTr="00E80C20">
        <w:tc>
          <w:tcPr>
            <w:tcW w:w="1403" w:type="pct"/>
          </w:tcPr>
          <w:p w14:paraId="381FD91C" w14:textId="77777777" w:rsidR="00EA230B" w:rsidRPr="00064185" w:rsidRDefault="00EA230B" w:rsidP="00EA61D8">
            <w:pPr>
              <w:pStyle w:val="TextText11"/>
              <w:rPr>
                <w:color w:val="auto"/>
              </w:rPr>
            </w:pPr>
            <w:r w:rsidRPr="00064185">
              <w:rPr>
                <w:color w:val="auto"/>
              </w:rPr>
              <w:t>Reference</w:t>
            </w:r>
          </w:p>
        </w:tc>
        <w:tc>
          <w:tcPr>
            <w:tcW w:w="3182" w:type="pct"/>
            <w:vAlign w:val="center"/>
          </w:tcPr>
          <w:p w14:paraId="38D8D0FA" w14:textId="77777777" w:rsidR="00EA230B" w:rsidRPr="00064185" w:rsidRDefault="00EA230B" w:rsidP="00EA61D8">
            <w:r w:rsidRPr="00064185">
              <w:t>Felke, M. (2009): Contact toxicity and residual activity of COM 116 02 I AL on woodlice (</w:t>
            </w:r>
            <w:r w:rsidRPr="00064185">
              <w:rPr>
                <w:i/>
              </w:rPr>
              <w:t>Porcellio scaber</w:t>
            </w:r>
            <w:r w:rsidRPr="00064185">
              <w:t>). Institut für Schädlingskunde, Groß-Zimmern, Germany, Date: 2009-05-23 (unpublished)</w:t>
            </w:r>
          </w:p>
        </w:tc>
        <w:tc>
          <w:tcPr>
            <w:tcW w:w="414" w:type="pct"/>
            <w:shd w:val="pct10" w:color="auto" w:fill="auto"/>
          </w:tcPr>
          <w:p w14:paraId="70D5DD6F"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5A5620B0" w14:textId="77777777" w:rsidTr="00E80C20">
        <w:tc>
          <w:tcPr>
            <w:tcW w:w="1403" w:type="pct"/>
          </w:tcPr>
          <w:p w14:paraId="39E1ED58" w14:textId="77777777" w:rsidR="00EA230B" w:rsidRPr="00064185" w:rsidRDefault="00EA230B" w:rsidP="00EA61D8">
            <w:pPr>
              <w:pStyle w:val="TextText11"/>
              <w:rPr>
                <w:color w:val="auto"/>
              </w:rPr>
            </w:pPr>
            <w:r w:rsidRPr="00064185">
              <w:rPr>
                <w:color w:val="auto"/>
              </w:rPr>
              <w:t>Data protection</w:t>
            </w:r>
          </w:p>
        </w:tc>
        <w:tc>
          <w:tcPr>
            <w:tcW w:w="3182" w:type="pct"/>
            <w:vAlign w:val="center"/>
          </w:tcPr>
          <w:p w14:paraId="2B5B0E0E" w14:textId="77777777" w:rsidR="00EA230B" w:rsidRPr="00064185" w:rsidRDefault="00EA230B" w:rsidP="00EA61D8">
            <w:pPr>
              <w:pStyle w:val="Standard-italics"/>
              <w:rPr>
                <w:i w:val="0"/>
              </w:rPr>
            </w:pPr>
            <w:r w:rsidRPr="00064185">
              <w:rPr>
                <w:i w:val="0"/>
              </w:rPr>
              <w:t>Yes</w:t>
            </w:r>
          </w:p>
        </w:tc>
        <w:tc>
          <w:tcPr>
            <w:tcW w:w="414" w:type="pct"/>
            <w:shd w:val="pct10" w:color="auto" w:fill="auto"/>
          </w:tcPr>
          <w:p w14:paraId="5F36F4B1"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5018B3AD" w14:textId="77777777" w:rsidTr="00E80C20">
        <w:tc>
          <w:tcPr>
            <w:tcW w:w="1403" w:type="pct"/>
          </w:tcPr>
          <w:p w14:paraId="3530D97A" w14:textId="77777777" w:rsidR="00EA230B" w:rsidRPr="00064185" w:rsidRDefault="00EA230B" w:rsidP="00EA61D8">
            <w:pPr>
              <w:pStyle w:val="TxtTxtTxt"/>
            </w:pPr>
            <w:r w:rsidRPr="00064185">
              <w:t>Data owner</w:t>
            </w:r>
          </w:p>
        </w:tc>
        <w:tc>
          <w:tcPr>
            <w:tcW w:w="3182" w:type="pct"/>
            <w:vAlign w:val="center"/>
          </w:tcPr>
          <w:p w14:paraId="2E13F97C" w14:textId="77777777" w:rsidR="00EA230B" w:rsidRPr="00064185" w:rsidRDefault="00EA230B" w:rsidP="00EA61D8">
            <w:pPr>
              <w:pStyle w:val="Standard-italics"/>
              <w:rPr>
                <w:i w:val="0"/>
              </w:rPr>
            </w:pPr>
            <w:r w:rsidRPr="00064185">
              <w:rPr>
                <w:i w:val="0"/>
              </w:rPr>
              <w:t>Compo GmbH &amp; Co. KG</w:t>
            </w:r>
          </w:p>
        </w:tc>
        <w:tc>
          <w:tcPr>
            <w:tcW w:w="414" w:type="pct"/>
            <w:shd w:val="pct10" w:color="auto" w:fill="auto"/>
          </w:tcPr>
          <w:p w14:paraId="4F56CD8F"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6067C009" w14:textId="77777777" w:rsidTr="00E80C20">
        <w:tc>
          <w:tcPr>
            <w:tcW w:w="1403" w:type="pct"/>
          </w:tcPr>
          <w:p w14:paraId="5EB1CDAF" w14:textId="77777777" w:rsidR="00EA230B" w:rsidRPr="00064185" w:rsidRDefault="00EA230B" w:rsidP="00EA61D8">
            <w:pPr>
              <w:pStyle w:val="TxtTxtTxt"/>
            </w:pPr>
            <w:r w:rsidRPr="00064185">
              <w:t>Companies with Letter of Access</w:t>
            </w:r>
          </w:p>
        </w:tc>
        <w:tc>
          <w:tcPr>
            <w:tcW w:w="3182" w:type="pct"/>
            <w:vAlign w:val="center"/>
          </w:tcPr>
          <w:p w14:paraId="662CAA9B" w14:textId="77777777" w:rsidR="00EA230B" w:rsidRPr="00064185" w:rsidRDefault="00EA230B" w:rsidP="00EA61D8">
            <w:r w:rsidRPr="00064185">
              <w:t xml:space="preserve">– </w:t>
            </w:r>
          </w:p>
        </w:tc>
        <w:tc>
          <w:tcPr>
            <w:tcW w:w="414" w:type="pct"/>
            <w:shd w:val="pct10" w:color="auto" w:fill="auto"/>
          </w:tcPr>
          <w:p w14:paraId="5A99FC0F"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04FF5CD9" w14:textId="77777777" w:rsidTr="00E80C20">
        <w:tc>
          <w:tcPr>
            <w:tcW w:w="1403" w:type="pct"/>
          </w:tcPr>
          <w:p w14:paraId="073F0B64" w14:textId="77777777" w:rsidR="00EA230B" w:rsidRPr="00064185" w:rsidRDefault="00EA230B" w:rsidP="00EA61D8">
            <w:pPr>
              <w:pStyle w:val="TxtTxtTxt"/>
            </w:pPr>
            <w:r w:rsidRPr="00064185">
              <w:t>Criteria for data protection</w:t>
            </w:r>
          </w:p>
        </w:tc>
        <w:tc>
          <w:tcPr>
            <w:tcW w:w="3182" w:type="pct"/>
          </w:tcPr>
          <w:p w14:paraId="18A4A0F2" w14:textId="77777777" w:rsidR="00EA230B" w:rsidRPr="00064185" w:rsidRDefault="00EA230B" w:rsidP="00EA61D8">
            <w:r w:rsidRPr="00064185">
              <w:t>Data submitted to the MS after 13 May 2000 on existing b.p. for the purpose of its authorisation.</w:t>
            </w:r>
          </w:p>
        </w:tc>
        <w:tc>
          <w:tcPr>
            <w:tcW w:w="414" w:type="pct"/>
            <w:shd w:val="pct10" w:color="auto" w:fill="auto"/>
          </w:tcPr>
          <w:p w14:paraId="7EBF1E6E"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68F69DC9" w14:textId="77777777" w:rsidTr="00E80C20">
        <w:tc>
          <w:tcPr>
            <w:tcW w:w="1403" w:type="pct"/>
          </w:tcPr>
          <w:p w14:paraId="5399A01C" w14:textId="77777777" w:rsidR="00EA230B" w:rsidRPr="00064185" w:rsidRDefault="00EA230B" w:rsidP="00EA61D8">
            <w:pPr>
              <w:pStyle w:val="TextText11"/>
              <w:rPr>
                <w:color w:val="auto"/>
              </w:rPr>
            </w:pPr>
            <w:r w:rsidRPr="00064185">
              <w:rPr>
                <w:color w:val="auto"/>
              </w:rPr>
              <w:t>Guideline study</w:t>
            </w:r>
          </w:p>
        </w:tc>
        <w:tc>
          <w:tcPr>
            <w:tcW w:w="3182" w:type="pct"/>
            <w:vAlign w:val="center"/>
          </w:tcPr>
          <w:p w14:paraId="47A0439D" w14:textId="77777777" w:rsidR="00EA230B" w:rsidRPr="00064185" w:rsidRDefault="00EA230B" w:rsidP="00EA61D8">
            <w:pPr>
              <w:pStyle w:val="Standard-italics"/>
              <w:rPr>
                <w:i w:val="0"/>
              </w:rPr>
            </w:pPr>
            <w:r w:rsidRPr="00064185">
              <w:rPr>
                <w:i w:val="0"/>
              </w:rPr>
              <w:t>No</w:t>
            </w:r>
          </w:p>
        </w:tc>
        <w:tc>
          <w:tcPr>
            <w:tcW w:w="414" w:type="pct"/>
            <w:shd w:val="pct10" w:color="auto" w:fill="auto"/>
          </w:tcPr>
          <w:p w14:paraId="6A4EB806" w14:textId="77777777" w:rsidR="00EA230B" w:rsidRPr="00064185" w:rsidRDefault="00EA230B" w:rsidP="00EA61D8"/>
        </w:tc>
      </w:tr>
      <w:tr w:rsidR="00064185" w:rsidRPr="00064185" w14:paraId="02513546" w14:textId="77777777" w:rsidTr="00E80C20">
        <w:tc>
          <w:tcPr>
            <w:tcW w:w="1403" w:type="pct"/>
          </w:tcPr>
          <w:p w14:paraId="58101F87" w14:textId="77777777" w:rsidR="00EA230B" w:rsidRPr="00064185" w:rsidRDefault="00EA230B" w:rsidP="00EA61D8">
            <w:pPr>
              <w:pStyle w:val="TextText11"/>
              <w:rPr>
                <w:color w:val="auto"/>
              </w:rPr>
            </w:pPr>
            <w:r w:rsidRPr="00064185">
              <w:rPr>
                <w:color w:val="auto"/>
              </w:rPr>
              <w:t>Deviations</w:t>
            </w:r>
          </w:p>
        </w:tc>
        <w:tc>
          <w:tcPr>
            <w:tcW w:w="3182" w:type="pct"/>
            <w:vAlign w:val="center"/>
          </w:tcPr>
          <w:p w14:paraId="7D967361" w14:textId="77777777" w:rsidR="00EA230B" w:rsidRPr="00064185" w:rsidRDefault="00EA230B" w:rsidP="00EA61D8">
            <w:pPr>
              <w:pStyle w:val="Standard-italics"/>
              <w:rPr>
                <w:i w:val="0"/>
              </w:rPr>
            </w:pPr>
            <w:r w:rsidRPr="00064185">
              <w:rPr>
                <w:i w:val="0"/>
              </w:rPr>
              <w:t>Not applicable</w:t>
            </w:r>
          </w:p>
        </w:tc>
        <w:tc>
          <w:tcPr>
            <w:tcW w:w="414" w:type="pct"/>
            <w:shd w:val="pct10" w:color="auto" w:fill="auto"/>
          </w:tcPr>
          <w:p w14:paraId="0FD53B50" w14:textId="77777777" w:rsidR="00EA230B" w:rsidRPr="00064185" w:rsidRDefault="00EA230B" w:rsidP="00EA61D8"/>
        </w:tc>
      </w:tr>
      <w:tr w:rsidR="00064185" w:rsidRPr="00064185" w14:paraId="5425CC29" w14:textId="77777777" w:rsidTr="00E80C20">
        <w:tc>
          <w:tcPr>
            <w:tcW w:w="1403" w:type="pct"/>
          </w:tcPr>
          <w:p w14:paraId="00755D4E" w14:textId="77777777" w:rsidR="00EA230B" w:rsidRPr="00064185" w:rsidRDefault="00EA230B" w:rsidP="00EA61D8">
            <w:pPr>
              <w:pStyle w:val="TextText11"/>
              <w:numPr>
                <w:ilvl w:val="0"/>
                <w:numId w:val="0"/>
              </w:numPr>
              <w:ind w:left="709"/>
              <w:rPr>
                <w:color w:val="auto"/>
              </w:rPr>
            </w:pPr>
          </w:p>
        </w:tc>
        <w:tc>
          <w:tcPr>
            <w:tcW w:w="3182" w:type="pct"/>
            <w:vAlign w:val="center"/>
          </w:tcPr>
          <w:p w14:paraId="31892685" w14:textId="77777777" w:rsidR="00EA230B" w:rsidRPr="00064185" w:rsidRDefault="00EA230B" w:rsidP="00EA61D8">
            <w:pPr>
              <w:pStyle w:val="TEXTTEXT"/>
            </w:pPr>
            <w:r w:rsidRPr="00064185">
              <w:t>Method</w:t>
            </w:r>
          </w:p>
        </w:tc>
        <w:tc>
          <w:tcPr>
            <w:tcW w:w="414" w:type="pct"/>
            <w:shd w:val="pct10" w:color="auto" w:fill="auto"/>
          </w:tcPr>
          <w:p w14:paraId="75979B18"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54416089"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9161A6F" w14:textId="77777777" w:rsidR="00EA230B" w:rsidRPr="00064185" w:rsidRDefault="00EA230B" w:rsidP="00EA61D8">
            <w:pPr>
              <w:pStyle w:val="TextText11"/>
              <w:rPr>
                <w:color w:val="auto"/>
              </w:rPr>
            </w:pPr>
            <w:r w:rsidRPr="00064185">
              <w:rPr>
                <w:color w:val="auto"/>
              </w:rPr>
              <w:t xml:space="preserve">Test Substance </w:t>
            </w:r>
          </w:p>
        </w:tc>
        <w:tc>
          <w:tcPr>
            <w:tcW w:w="3182" w:type="pct"/>
            <w:tcBorders>
              <w:top w:val="nil"/>
              <w:left w:val="nil"/>
              <w:bottom w:val="nil"/>
              <w:right w:val="nil"/>
            </w:tcBorders>
            <w:vAlign w:val="center"/>
          </w:tcPr>
          <w:p w14:paraId="7000F07C" w14:textId="77777777" w:rsidR="00EA230B" w:rsidRPr="00064185" w:rsidRDefault="00EA230B" w:rsidP="00EA61D8">
            <w:pPr>
              <w:rPr>
                <w:lang w:val="nb-NO"/>
              </w:rPr>
            </w:pPr>
            <w:r w:rsidRPr="00064185">
              <w:rPr>
                <w:lang w:val="nb-NO"/>
              </w:rPr>
              <w:t>COM 116 02 I AL</w:t>
            </w:r>
          </w:p>
        </w:tc>
        <w:tc>
          <w:tcPr>
            <w:tcW w:w="414" w:type="pct"/>
            <w:tcBorders>
              <w:top w:val="nil"/>
              <w:left w:val="nil"/>
              <w:bottom w:val="nil"/>
              <w:right w:val="nil"/>
            </w:tcBorders>
            <w:shd w:val="pct10" w:color="auto" w:fill="auto"/>
          </w:tcPr>
          <w:p w14:paraId="6F16AEEB" w14:textId="77777777" w:rsidR="00EA230B" w:rsidRPr="00064185" w:rsidRDefault="00EA230B" w:rsidP="00EA61D8"/>
        </w:tc>
      </w:tr>
      <w:tr w:rsidR="00064185" w:rsidRPr="00064185" w14:paraId="02AED6C9"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B2148A6" w14:textId="77777777" w:rsidR="00EA230B" w:rsidRPr="00064185" w:rsidRDefault="00EA230B" w:rsidP="00EA61D8">
            <w:pPr>
              <w:pStyle w:val="TxtTxtTxt"/>
            </w:pPr>
            <w:r w:rsidRPr="00064185">
              <w:t>Purity</w:t>
            </w:r>
          </w:p>
        </w:tc>
        <w:tc>
          <w:tcPr>
            <w:tcW w:w="3182" w:type="pct"/>
            <w:tcBorders>
              <w:top w:val="nil"/>
              <w:left w:val="nil"/>
              <w:bottom w:val="nil"/>
              <w:right w:val="nil"/>
            </w:tcBorders>
            <w:vAlign w:val="center"/>
          </w:tcPr>
          <w:p w14:paraId="76ED032F" w14:textId="77777777" w:rsidR="00EA230B" w:rsidRPr="00064185" w:rsidRDefault="00EA230B" w:rsidP="00EA61D8">
            <w:pPr>
              <w:pStyle w:val="Standard-italics"/>
              <w:rPr>
                <w:i w:val="0"/>
              </w:rPr>
            </w:pPr>
            <w:r w:rsidRPr="00064185">
              <w:rPr>
                <w:i w:val="0"/>
              </w:rPr>
              <w:t xml:space="preserve">The biocidal product contains </w:t>
            </w:r>
            <w:r w:rsidRPr="00064185">
              <w:rPr>
                <w:i w:val="0"/>
                <w:lang w:val="nb-NO"/>
              </w:rPr>
              <w:t>0.05% of the active substance lambda-cyhalothrin</w:t>
            </w:r>
            <w:r w:rsidRPr="00064185">
              <w:rPr>
                <w:i w:val="0"/>
              </w:rPr>
              <w:t>.</w:t>
            </w:r>
          </w:p>
        </w:tc>
        <w:tc>
          <w:tcPr>
            <w:tcW w:w="414" w:type="pct"/>
            <w:tcBorders>
              <w:top w:val="nil"/>
              <w:left w:val="nil"/>
              <w:bottom w:val="nil"/>
              <w:right w:val="nil"/>
            </w:tcBorders>
            <w:shd w:val="pct10" w:color="auto" w:fill="auto"/>
          </w:tcPr>
          <w:p w14:paraId="7DA01E14" w14:textId="77777777" w:rsidR="00EA230B" w:rsidRPr="00064185" w:rsidRDefault="00EA230B" w:rsidP="00EA61D8"/>
        </w:tc>
      </w:tr>
      <w:tr w:rsidR="00064185" w:rsidRPr="00064185" w14:paraId="4E0A75DE"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87297B1" w14:textId="77777777" w:rsidR="00EA230B" w:rsidRPr="00064185" w:rsidRDefault="00EA230B" w:rsidP="00EA61D8">
            <w:pPr>
              <w:pStyle w:val="TxtTxtTxt"/>
            </w:pPr>
            <w:r w:rsidRPr="00064185">
              <w:t>Physical state and nature</w:t>
            </w:r>
          </w:p>
        </w:tc>
        <w:tc>
          <w:tcPr>
            <w:tcW w:w="3182" w:type="pct"/>
            <w:tcBorders>
              <w:top w:val="nil"/>
              <w:left w:val="nil"/>
              <w:bottom w:val="nil"/>
              <w:right w:val="nil"/>
            </w:tcBorders>
            <w:vAlign w:val="center"/>
          </w:tcPr>
          <w:p w14:paraId="2F321D66" w14:textId="77777777" w:rsidR="00EA230B" w:rsidRPr="00064185" w:rsidRDefault="00EA230B" w:rsidP="00EA61D8">
            <w:pPr>
              <w:pStyle w:val="Standard-italics"/>
              <w:rPr>
                <w:i w:val="0"/>
              </w:rPr>
            </w:pPr>
            <w:r w:rsidRPr="00064185">
              <w:rPr>
                <w:i w:val="0"/>
              </w:rPr>
              <w:t>Liquid formulation</w:t>
            </w:r>
          </w:p>
        </w:tc>
        <w:tc>
          <w:tcPr>
            <w:tcW w:w="414" w:type="pct"/>
            <w:tcBorders>
              <w:top w:val="nil"/>
              <w:left w:val="nil"/>
              <w:bottom w:val="nil"/>
              <w:right w:val="nil"/>
            </w:tcBorders>
            <w:shd w:val="pct10" w:color="auto" w:fill="auto"/>
          </w:tcPr>
          <w:p w14:paraId="309E9016" w14:textId="77777777" w:rsidR="00EA230B" w:rsidRPr="00064185" w:rsidRDefault="00EA230B" w:rsidP="00EA61D8"/>
        </w:tc>
      </w:tr>
      <w:tr w:rsidR="00064185" w:rsidRPr="00064185" w14:paraId="63DAEC39"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258ADFD" w14:textId="77777777" w:rsidR="00EA230B" w:rsidRPr="00064185" w:rsidRDefault="00EA230B" w:rsidP="00EA61D8">
            <w:pPr>
              <w:pStyle w:val="TxtTxtTxt"/>
            </w:pPr>
            <w:r w:rsidRPr="00064185">
              <w:t>Method of analysis</w:t>
            </w:r>
          </w:p>
        </w:tc>
        <w:tc>
          <w:tcPr>
            <w:tcW w:w="3182" w:type="pct"/>
            <w:tcBorders>
              <w:top w:val="nil"/>
              <w:left w:val="nil"/>
              <w:bottom w:val="nil"/>
              <w:right w:val="nil"/>
            </w:tcBorders>
            <w:vAlign w:val="center"/>
          </w:tcPr>
          <w:p w14:paraId="1F178719" w14:textId="77777777" w:rsidR="00EA230B" w:rsidRPr="00064185" w:rsidRDefault="00EA230B" w:rsidP="00EA61D8">
            <w:pPr>
              <w:pStyle w:val="Standard-italics"/>
              <w:rPr>
                <w:i w:val="0"/>
              </w:rPr>
            </w:pPr>
            <w:r w:rsidRPr="00064185">
              <w:rPr>
                <w:i w:val="0"/>
              </w:rPr>
              <w:t>As described in Section 5 of dossier.</w:t>
            </w:r>
          </w:p>
        </w:tc>
        <w:tc>
          <w:tcPr>
            <w:tcW w:w="414" w:type="pct"/>
            <w:tcBorders>
              <w:top w:val="nil"/>
              <w:left w:val="nil"/>
              <w:bottom w:val="nil"/>
              <w:right w:val="nil"/>
            </w:tcBorders>
            <w:shd w:val="pct10" w:color="auto" w:fill="auto"/>
          </w:tcPr>
          <w:p w14:paraId="64A688CC" w14:textId="77777777" w:rsidR="00EA230B" w:rsidRPr="00064185" w:rsidRDefault="00EA230B" w:rsidP="00EA61D8"/>
        </w:tc>
      </w:tr>
      <w:tr w:rsidR="00064185" w:rsidRPr="00064185" w14:paraId="54B2B0A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0A5390C" w14:textId="77777777" w:rsidR="00EA230B" w:rsidRPr="00064185" w:rsidRDefault="00EA230B" w:rsidP="00EA61D8">
            <w:pPr>
              <w:pStyle w:val="TextText11"/>
              <w:rPr>
                <w:color w:val="auto"/>
              </w:rPr>
            </w:pPr>
            <w:r w:rsidRPr="00064185">
              <w:rPr>
                <w:color w:val="auto"/>
              </w:rPr>
              <w:t>Reference substance</w:t>
            </w:r>
          </w:p>
        </w:tc>
        <w:tc>
          <w:tcPr>
            <w:tcW w:w="3182" w:type="pct"/>
            <w:tcBorders>
              <w:top w:val="nil"/>
              <w:left w:val="nil"/>
              <w:bottom w:val="nil"/>
              <w:right w:val="nil"/>
            </w:tcBorders>
            <w:vAlign w:val="center"/>
          </w:tcPr>
          <w:p w14:paraId="3D8A623E" w14:textId="77777777" w:rsidR="00EA230B" w:rsidRPr="00064185" w:rsidRDefault="00EA230B" w:rsidP="00EA61D8">
            <w:pPr>
              <w:autoSpaceDE w:val="0"/>
              <w:autoSpaceDN w:val="0"/>
              <w:adjustRightInd w:val="0"/>
              <w:rPr>
                <w:rFonts w:ascii="Arial" w:hAnsi="Arial"/>
              </w:rPr>
            </w:pPr>
            <w:r w:rsidRPr="00064185">
              <w:t>no</w:t>
            </w:r>
          </w:p>
        </w:tc>
        <w:tc>
          <w:tcPr>
            <w:tcW w:w="414" w:type="pct"/>
            <w:tcBorders>
              <w:top w:val="nil"/>
              <w:left w:val="nil"/>
              <w:bottom w:val="nil"/>
              <w:right w:val="nil"/>
            </w:tcBorders>
            <w:shd w:val="pct10" w:color="auto" w:fill="auto"/>
          </w:tcPr>
          <w:p w14:paraId="00E7B90C" w14:textId="77777777" w:rsidR="00EA230B" w:rsidRPr="00064185" w:rsidRDefault="00EA230B" w:rsidP="00EA61D8"/>
        </w:tc>
      </w:tr>
      <w:tr w:rsidR="00064185" w:rsidRPr="00064185" w14:paraId="37A23804"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62F4EA8" w14:textId="77777777" w:rsidR="00EA230B" w:rsidRPr="00064185" w:rsidRDefault="00EA230B" w:rsidP="00EA61D8">
            <w:pPr>
              <w:pStyle w:val="TextText11"/>
              <w:rPr>
                <w:color w:val="auto"/>
              </w:rPr>
            </w:pPr>
            <w:r w:rsidRPr="00064185">
              <w:rPr>
                <w:color w:val="auto"/>
              </w:rPr>
              <w:t>Testing procedure</w:t>
            </w:r>
          </w:p>
        </w:tc>
        <w:tc>
          <w:tcPr>
            <w:tcW w:w="3182" w:type="pct"/>
            <w:tcBorders>
              <w:top w:val="nil"/>
              <w:left w:val="nil"/>
              <w:bottom w:val="nil"/>
              <w:right w:val="nil"/>
            </w:tcBorders>
            <w:vAlign w:val="center"/>
          </w:tcPr>
          <w:p w14:paraId="3FE9687C" w14:textId="77777777" w:rsidR="00EA230B" w:rsidRPr="00064185" w:rsidRDefault="00EA230B" w:rsidP="00EA61D8">
            <w:pPr>
              <w:pStyle w:val="Tabellenformat"/>
              <w:spacing w:before="0"/>
            </w:pPr>
          </w:p>
        </w:tc>
        <w:tc>
          <w:tcPr>
            <w:tcW w:w="414" w:type="pct"/>
            <w:tcBorders>
              <w:top w:val="nil"/>
              <w:left w:val="nil"/>
              <w:bottom w:val="nil"/>
              <w:right w:val="nil"/>
            </w:tcBorders>
            <w:shd w:val="pct10" w:color="auto" w:fill="auto"/>
          </w:tcPr>
          <w:p w14:paraId="785A34A3" w14:textId="77777777" w:rsidR="00EA230B" w:rsidRPr="00064185" w:rsidRDefault="00EA230B" w:rsidP="00EA61D8">
            <w:pPr>
              <w:keepNext/>
            </w:pPr>
          </w:p>
        </w:tc>
      </w:tr>
      <w:tr w:rsidR="00064185" w:rsidRPr="00064185" w14:paraId="7E7DA1F6"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54BD362" w14:textId="77777777" w:rsidR="00EA230B" w:rsidRPr="00064185" w:rsidRDefault="00EA230B" w:rsidP="00EA61D8">
            <w:pPr>
              <w:pStyle w:val="TxtTxtTxt"/>
            </w:pPr>
            <w:r w:rsidRPr="00064185">
              <w:t xml:space="preserve">Test population / </w:t>
            </w:r>
            <w:r w:rsidRPr="00064185">
              <w:br/>
              <w:t>inoculum /</w:t>
            </w:r>
            <w:r w:rsidRPr="00064185">
              <w:br/>
              <w:t>test organism</w:t>
            </w:r>
          </w:p>
        </w:tc>
        <w:tc>
          <w:tcPr>
            <w:tcW w:w="3182" w:type="pct"/>
            <w:tcBorders>
              <w:top w:val="nil"/>
              <w:left w:val="nil"/>
              <w:bottom w:val="nil"/>
              <w:right w:val="nil"/>
            </w:tcBorders>
            <w:vAlign w:val="center"/>
          </w:tcPr>
          <w:p w14:paraId="28F93FF4" w14:textId="77777777" w:rsidR="00EA230B" w:rsidRPr="00064185" w:rsidRDefault="00EA230B" w:rsidP="00EA61D8">
            <w:pPr>
              <w:pStyle w:val="Standard-italics"/>
            </w:pPr>
            <w:r w:rsidRPr="00064185">
              <w:t xml:space="preserve">Porcellio scaber </w:t>
            </w:r>
            <w:r w:rsidRPr="00064185">
              <w:rPr>
                <w:i w:val="0"/>
              </w:rPr>
              <w:t>(adults)</w:t>
            </w:r>
          </w:p>
        </w:tc>
        <w:tc>
          <w:tcPr>
            <w:tcW w:w="414" w:type="pct"/>
            <w:tcBorders>
              <w:top w:val="nil"/>
              <w:left w:val="nil"/>
              <w:bottom w:val="nil"/>
              <w:right w:val="nil"/>
            </w:tcBorders>
            <w:shd w:val="pct10" w:color="auto" w:fill="auto"/>
          </w:tcPr>
          <w:p w14:paraId="7D1735F3" w14:textId="77777777" w:rsidR="00EA230B" w:rsidRPr="00064185" w:rsidRDefault="00EA230B" w:rsidP="00EA61D8">
            <w:pPr>
              <w:keepNext/>
            </w:pPr>
          </w:p>
        </w:tc>
      </w:tr>
      <w:tr w:rsidR="00064185" w:rsidRPr="00064185" w14:paraId="4E475D25"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4BB4FC8" w14:textId="77777777" w:rsidR="00EA230B" w:rsidRPr="00064185" w:rsidRDefault="00EA230B" w:rsidP="00EA61D8">
            <w:pPr>
              <w:pStyle w:val="TxtTxtTxt"/>
            </w:pPr>
            <w:r w:rsidRPr="00064185">
              <w:t>Test system</w:t>
            </w:r>
          </w:p>
        </w:tc>
        <w:tc>
          <w:tcPr>
            <w:tcW w:w="3182" w:type="pct"/>
            <w:tcBorders>
              <w:top w:val="nil"/>
              <w:left w:val="nil"/>
              <w:bottom w:val="nil"/>
              <w:right w:val="nil"/>
            </w:tcBorders>
            <w:vAlign w:val="center"/>
          </w:tcPr>
          <w:p w14:paraId="10F07769" w14:textId="77777777" w:rsidR="00EA230B" w:rsidRPr="00064185" w:rsidRDefault="00EA230B" w:rsidP="00EA61D8">
            <w:pPr>
              <w:pStyle w:val="Standard-italics"/>
              <w:rPr>
                <w:i w:val="0"/>
              </w:rPr>
            </w:pPr>
            <w:r w:rsidRPr="00064185">
              <w:rPr>
                <w:i w:val="0"/>
              </w:rPr>
              <w:t>Effectiveness of insecticide spray treatment was tested against woodlice in rooms (indoor).</w:t>
            </w:r>
          </w:p>
        </w:tc>
        <w:tc>
          <w:tcPr>
            <w:tcW w:w="414" w:type="pct"/>
            <w:tcBorders>
              <w:top w:val="nil"/>
              <w:left w:val="nil"/>
              <w:bottom w:val="nil"/>
              <w:right w:val="nil"/>
            </w:tcBorders>
            <w:shd w:val="pct10" w:color="auto" w:fill="auto"/>
          </w:tcPr>
          <w:p w14:paraId="7421C31E" w14:textId="77777777" w:rsidR="00EA230B" w:rsidRPr="00064185" w:rsidRDefault="00EA230B" w:rsidP="00EA61D8"/>
        </w:tc>
      </w:tr>
      <w:tr w:rsidR="00064185" w:rsidRPr="00064185" w14:paraId="67C23631"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2CD290A" w14:textId="77777777" w:rsidR="00EA230B" w:rsidRPr="00064185" w:rsidRDefault="00EA230B" w:rsidP="00EA61D8">
            <w:pPr>
              <w:pStyle w:val="TxtTxtTxt"/>
            </w:pPr>
            <w:r w:rsidRPr="00064185">
              <w:t xml:space="preserve">Application of </w:t>
            </w:r>
            <w:r w:rsidRPr="00064185">
              <w:lastRenderedPageBreak/>
              <w:t>TS</w:t>
            </w:r>
          </w:p>
        </w:tc>
        <w:tc>
          <w:tcPr>
            <w:tcW w:w="3182" w:type="pct"/>
            <w:tcBorders>
              <w:top w:val="nil"/>
              <w:left w:val="nil"/>
              <w:bottom w:val="nil"/>
              <w:right w:val="nil"/>
            </w:tcBorders>
            <w:vAlign w:val="center"/>
          </w:tcPr>
          <w:p w14:paraId="33AC1AE2" w14:textId="77777777" w:rsidR="00EA230B" w:rsidRPr="00064185" w:rsidRDefault="00EA230B" w:rsidP="00EA61D8">
            <w:pPr>
              <w:pStyle w:val="Standard-italics"/>
              <w:rPr>
                <w:i w:val="0"/>
              </w:rPr>
            </w:pPr>
            <w:r w:rsidRPr="00064185">
              <w:rPr>
                <w:i w:val="0"/>
              </w:rPr>
              <w:lastRenderedPageBreak/>
              <w:t xml:space="preserve">a) Direct spray treatment: Product was sprayed </w:t>
            </w:r>
            <w:r w:rsidRPr="00064185">
              <w:rPr>
                <w:i w:val="0"/>
              </w:rPr>
              <w:lastRenderedPageBreak/>
              <w:t>directly on the woodlice for 2 seconds from a distance of 40 cm.</w:t>
            </w:r>
          </w:p>
          <w:p w14:paraId="6C90170E" w14:textId="77777777" w:rsidR="00EA230B" w:rsidRPr="00064185" w:rsidRDefault="00EA230B" w:rsidP="00EA61D8">
            <w:pPr>
              <w:pStyle w:val="Standard-italics"/>
              <w:rPr>
                <w:i w:val="0"/>
              </w:rPr>
            </w:pPr>
            <w:r w:rsidRPr="00064185">
              <w:rPr>
                <w:i w:val="0"/>
              </w:rPr>
              <w:t>b) Residual effects: Ceramic or PVC tiles (19.5 × 19.5 cm) were sprayed with the product for 2 seconds (distance of 40 cm).</w:t>
            </w:r>
          </w:p>
        </w:tc>
        <w:tc>
          <w:tcPr>
            <w:tcW w:w="414" w:type="pct"/>
            <w:tcBorders>
              <w:top w:val="nil"/>
              <w:left w:val="nil"/>
              <w:bottom w:val="nil"/>
              <w:right w:val="nil"/>
            </w:tcBorders>
            <w:shd w:val="pct10" w:color="auto" w:fill="auto"/>
          </w:tcPr>
          <w:p w14:paraId="6ED174CF" w14:textId="77777777" w:rsidR="00EA230B" w:rsidRPr="00064185" w:rsidRDefault="00EA230B" w:rsidP="00EA61D8">
            <w:r w:rsidRPr="00064185">
              <w:lastRenderedPageBreak/>
              <w:t>x</w:t>
            </w:r>
          </w:p>
          <w:p w14:paraId="747B2BCC" w14:textId="77777777" w:rsidR="00EA230B" w:rsidRPr="00064185" w:rsidRDefault="00EA230B" w:rsidP="00EA61D8"/>
          <w:p w14:paraId="344C2207" w14:textId="77777777" w:rsidR="00EA230B" w:rsidRPr="00064185" w:rsidRDefault="00EA230B" w:rsidP="00EA61D8">
            <w:r w:rsidRPr="00064185">
              <w:t>x</w:t>
            </w:r>
          </w:p>
        </w:tc>
      </w:tr>
      <w:tr w:rsidR="00064185" w:rsidRPr="00064185" w14:paraId="5169D5E7"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0A5D2DD" w14:textId="77777777" w:rsidR="00EA230B" w:rsidRPr="00064185" w:rsidRDefault="00EA230B" w:rsidP="00EA61D8">
            <w:pPr>
              <w:pStyle w:val="TxtTxtTxt"/>
            </w:pPr>
            <w:r w:rsidRPr="00064185">
              <w:lastRenderedPageBreak/>
              <w:t>Test conditions</w:t>
            </w:r>
          </w:p>
        </w:tc>
        <w:tc>
          <w:tcPr>
            <w:tcW w:w="3182" w:type="pct"/>
            <w:tcBorders>
              <w:top w:val="nil"/>
              <w:left w:val="nil"/>
              <w:bottom w:val="nil"/>
              <w:right w:val="nil"/>
            </w:tcBorders>
            <w:vAlign w:val="center"/>
          </w:tcPr>
          <w:p w14:paraId="149732B1" w14:textId="77777777" w:rsidR="00EA230B" w:rsidRPr="00064185" w:rsidRDefault="00EA230B" w:rsidP="00EA61D8">
            <w:pPr>
              <w:pStyle w:val="Standard-italics"/>
              <w:rPr>
                <w:i w:val="0"/>
              </w:rPr>
            </w:pPr>
            <w:r w:rsidRPr="00064185">
              <w:rPr>
                <w:i w:val="0"/>
              </w:rPr>
              <w:t xml:space="preserve">Climatic conditions: </w:t>
            </w:r>
            <w:r w:rsidRPr="00064185">
              <w:rPr>
                <w:i w:val="0"/>
              </w:rPr>
              <w:br/>
              <w:t>Temperature: a, b) 20 – 25 °C</w:t>
            </w:r>
          </w:p>
          <w:p w14:paraId="078071F1" w14:textId="77777777" w:rsidR="00EA230B" w:rsidRPr="00064185" w:rsidRDefault="00EA230B" w:rsidP="00EA61D8">
            <w:pPr>
              <w:pStyle w:val="Standard-italics"/>
              <w:rPr>
                <w:i w:val="0"/>
              </w:rPr>
            </w:pPr>
            <w:r w:rsidRPr="00064185">
              <w:rPr>
                <w:i w:val="0"/>
              </w:rPr>
              <w:t xml:space="preserve">Light cycles during test: a, b) </w:t>
            </w:r>
            <w:r w:rsidRPr="00064185">
              <w:rPr>
                <w:i w:val="0"/>
                <w:lang w:val="en-US"/>
              </w:rPr>
              <w:t>Natural daylight</w:t>
            </w:r>
          </w:p>
          <w:p w14:paraId="659FE285" w14:textId="77777777" w:rsidR="00EA230B" w:rsidRPr="00064185" w:rsidRDefault="00EA230B" w:rsidP="00EA61D8">
            <w:pPr>
              <w:pStyle w:val="Standard-italics"/>
              <w:rPr>
                <w:bCs/>
                <w:i w:val="0"/>
                <w:lang w:val="en-US"/>
              </w:rPr>
            </w:pPr>
            <w:r w:rsidRPr="00064185">
              <w:rPr>
                <w:i w:val="0"/>
              </w:rPr>
              <w:t xml:space="preserve">Type of test chamber: </w:t>
            </w:r>
            <w:r w:rsidRPr="00064185">
              <w:rPr>
                <w:i w:val="0"/>
              </w:rPr>
              <w:br/>
            </w:r>
            <w:r w:rsidRPr="00064185">
              <w:rPr>
                <w:bCs/>
                <w:i w:val="0"/>
                <w:lang w:val="en-US"/>
              </w:rPr>
              <w:t>a) Petri dishes (145 mm diameter, 20 mm height), after 2 hours transfer of test animals to other petri dishes (90 mm diameter, 15 mm height), containing a moistened paper circle, a carrot slice and a shelter (moistened piece of paper formed as cave).</w:t>
            </w:r>
          </w:p>
          <w:p w14:paraId="41C1FC75" w14:textId="77777777" w:rsidR="00EA230B" w:rsidRPr="00064185" w:rsidRDefault="00EA230B" w:rsidP="00EA61D8">
            <w:pPr>
              <w:pStyle w:val="Standard-italics"/>
              <w:rPr>
                <w:i w:val="0"/>
              </w:rPr>
            </w:pPr>
            <w:r w:rsidRPr="00064185">
              <w:rPr>
                <w:bCs/>
                <w:i w:val="0"/>
                <w:lang w:val="en-US"/>
              </w:rPr>
              <w:t>b) Ceramic or PVC tiles (19.5 × 19.5 cm) were placed inside covered plastic boxes (20 × 20 cm × 7 cm)</w:t>
            </w:r>
            <w:proofErr w:type="gramStart"/>
            <w:r w:rsidRPr="00064185">
              <w:rPr>
                <w:bCs/>
                <w:i w:val="0"/>
                <w:lang w:val="en-US"/>
              </w:rPr>
              <w:t>,</w:t>
            </w:r>
            <w:proofErr w:type="gramEnd"/>
            <w:r w:rsidRPr="00064185">
              <w:rPr>
                <w:bCs/>
                <w:i w:val="0"/>
                <w:lang w:val="en-US"/>
              </w:rPr>
              <w:t xml:space="preserve"> the gap between edge of tile and plastic box was sealed up with adhesive tape.</w:t>
            </w:r>
          </w:p>
        </w:tc>
        <w:tc>
          <w:tcPr>
            <w:tcW w:w="414" w:type="pct"/>
            <w:tcBorders>
              <w:top w:val="nil"/>
              <w:left w:val="nil"/>
              <w:bottom w:val="nil"/>
              <w:right w:val="nil"/>
            </w:tcBorders>
            <w:shd w:val="pct10" w:color="auto" w:fill="auto"/>
          </w:tcPr>
          <w:p w14:paraId="49FEDCCF" w14:textId="77777777" w:rsidR="00EA230B" w:rsidRPr="00064185" w:rsidRDefault="00EA230B" w:rsidP="00EA61D8"/>
        </w:tc>
      </w:tr>
      <w:tr w:rsidR="00064185" w:rsidRPr="00064185" w14:paraId="3FBE145E"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643FDD8D" w14:textId="77777777" w:rsidR="00EA230B" w:rsidRPr="00064185" w:rsidRDefault="00EA230B" w:rsidP="00EA61D8">
            <w:pPr>
              <w:pStyle w:val="TxtTxtTxt"/>
            </w:pPr>
            <w:r w:rsidRPr="00064185">
              <w:t>Duration of the test / Exposure time</w:t>
            </w:r>
          </w:p>
        </w:tc>
        <w:tc>
          <w:tcPr>
            <w:tcW w:w="3182" w:type="pct"/>
            <w:tcBorders>
              <w:top w:val="nil"/>
              <w:left w:val="nil"/>
              <w:bottom w:val="nil"/>
              <w:right w:val="nil"/>
            </w:tcBorders>
            <w:vAlign w:val="center"/>
          </w:tcPr>
          <w:p w14:paraId="012353E0" w14:textId="77777777" w:rsidR="00EA230B" w:rsidRPr="00064185" w:rsidRDefault="00EA230B" w:rsidP="00EA61D8">
            <w:pPr>
              <w:pStyle w:val="Tabellenformat"/>
              <w:rPr>
                <w:lang w:val="it-IT"/>
              </w:rPr>
            </w:pPr>
            <w:r w:rsidRPr="00064185">
              <w:rPr>
                <w:lang w:val="it-IT"/>
              </w:rPr>
              <w:t>26 weeks</w:t>
            </w:r>
          </w:p>
        </w:tc>
        <w:tc>
          <w:tcPr>
            <w:tcW w:w="414" w:type="pct"/>
            <w:tcBorders>
              <w:top w:val="nil"/>
              <w:left w:val="nil"/>
              <w:bottom w:val="nil"/>
              <w:right w:val="nil"/>
            </w:tcBorders>
            <w:shd w:val="pct10" w:color="auto" w:fill="auto"/>
          </w:tcPr>
          <w:p w14:paraId="43557032" w14:textId="77777777" w:rsidR="00EA230B" w:rsidRPr="00064185" w:rsidRDefault="00EA230B" w:rsidP="00EA61D8">
            <w:pPr>
              <w:keepNext/>
            </w:pPr>
          </w:p>
        </w:tc>
      </w:tr>
      <w:tr w:rsidR="00064185" w:rsidRPr="00064185" w14:paraId="769ADD4A"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A203628" w14:textId="77777777" w:rsidR="00EA230B" w:rsidRPr="00064185" w:rsidRDefault="00EA230B" w:rsidP="00EA61D8">
            <w:pPr>
              <w:pStyle w:val="TxtTxtTxt"/>
            </w:pPr>
            <w:r w:rsidRPr="00064185">
              <w:t>Number of replicates performed</w:t>
            </w:r>
          </w:p>
        </w:tc>
        <w:tc>
          <w:tcPr>
            <w:tcW w:w="3182" w:type="pct"/>
            <w:tcBorders>
              <w:top w:val="nil"/>
              <w:left w:val="nil"/>
              <w:bottom w:val="nil"/>
              <w:right w:val="nil"/>
            </w:tcBorders>
            <w:vAlign w:val="center"/>
          </w:tcPr>
          <w:p w14:paraId="40CA9ED5" w14:textId="77777777" w:rsidR="00EA230B" w:rsidRPr="00064185" w:rsidRDefault="00EA230B" w:rsidP="00EA61D8">
            <w:pPr>
              <w:pStyle w:val="Standard-italics"/>
              <w:rPr>
                <w:i w:val="0"/>
              </w:rPr>
            </w:pPr>
            <w:r w:rsidRPr="00064185">
              <w:rPr>
                <w:i w:val="0"/>
              </w:rPr>
              <w:t>a, b) 5 replicates</w:t>
            </w:r>
          </w:p>
        </w:tc>
        <w:tc>
          <w:tcPr>
            <w:tcW w:w="414" w:type="pct"/>
            <w:tcBorders>
              <w:top w:val="nil"/>
              <w:left w:val="nil"/>
              <w:bottom w:val="nil"/>
              <w:right w:val="nil"/>
            </w:tcBorders>
            <w:shd w:val="pct10" w:color="auto" w:fill="auto"/>
          </w:tcPr>
          <w:p w14:paraId="383C266C" w14:textId="77777777" w:rsidR="00EA230B" w:rsidRPr="00064185" w:rsidRDefault="00EA230B" w:rsidP="00EA61D8"/>
        </w:tc>
      </w:tr>
      <w:tr w:rsidR="00064185" w:rsidRPr="00064185" w14:paraId="0992C7BB"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E285AD7" w14:textId="77777777" w:rsidR="00EA230B" w:rsidRPr="00064185" w:rsidRDefault="00EA230B" w:rsidP="00EA61D8">
            <w:pPr>
              <w:pStyle w:val="TxtTxtTxt"/>
            </w:pPr>
            <w:r w:rsidRPr="00064185">
              <w:t>Controls</w:t>
            </w:r>
          </w:p>
        </w:tc>
        <w:tc>
          <w:tcPr>
            <w:tcW w:w="3182" w:type="pct"/>
            <w:tcBorders>
              <w:top w:val="nil"/>
              <w:left w:val="nil"/>
              <w:bottom w:val="nil"/>
              <w:right w:val="nil"/>
            </w:tcBorders>
            <w:vAlign w:val="center"/>
          </w:tcPr>
          <w:p w14:paraId="5D31C6CA" w14:textId="77777777" w:rsidR="00EA230B" w:rsidRPr="00064185" w:rsidRDefault="00EA230B" w:rsidP="00EA61D8">
            <w:pPr>
              <w:pStyle w:val="Standard-italics"/>
              <w:rPr>
                <w:i w:val="0"/>
              </w:rPr>
            </w:pPr>
            <w:r w:rsidRPr="00064185">
              <w:rPr>
                <w:i w:val="0"/>
              </w:rPr>
              <w:t>Yes, untreated controls: a, b) 5 replicates</w:t>
            </w:r>
          </w:p>
        </w:tc>
        <w:tc>
          <w:tcPr>
            <w:tcW w:w="414" w:type="pct"/>
            <w:tcBorders>
              <w:top w:val="nil"/>
              <w:left w:val="nil"/>
              <w:bottom w:val="nil"/>
              <w:right w:val="nil"/>
            </w:tcBorders>
            <w:shd w:val="pct10" w:color="auto" w:fill="auto"/>
          </w:tcPr>
          <w:p w14:paraId="59A427AC" w14:textId="77777777" w:rsidR="00EA230B" w:rsidRPr="00064185" w:rsidRDefault="00EA230B" w:rsidP="00EA61D8">
            <w:pPr>
              <w:keepNext/>
            </w:pPr>
          </w:p>
        </w:tc>
      </w:tr>
      <w:tr w:rsidR="00064185" w:rsidRPr="00064185" w14:paraId="1EB250C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F050708" w14:textId="77777777" w:rsidR="00EA230B" w:rsidRPr="00064185" w:rsidRDefault="00EA230B" w:rsidP="00EA61D8">
            <w:pPr>
              <w:pStyle w:val="TextText11"/>
              <w:rPr>
                <w:color w:val="auto"/>
              </w:rPr>
            </w:pPr>
            <w:r w:rsidRPr="00064185">
              <w:rPr>
                <w:color w:val="auto"/>
              </w:rPr>
              <w:t>Examination</w:t>
            </w:r>
          </w:p>
        </w:tc>
        <w:tc>
          <w:tcPr>
            <w:tcW w:w="3182" w:type="pct"/>
            <w:tcBorders>
              <w:top w:val="nil"/>
              <w:left w:val="nil"/>
              <w:bottom w:val="nil"/>
              <w:right w:val="nil"/>
            </w:tcBorders>
            <w:vAlign w:val="center"/>
          </w:tcPr>
          <w:p w14:paraId="5EEB9D4A" w14:textId="77777777" w:rsidR="00EA230B" w:rsidRPr="00064185" w:rsidRDefault="00EA230B" w:rsidP="00EA61D8">
            <w:pPr>
              <w:keepNext/>
              <w:rPr>
                <w:i/>
              </w:rPr>
            </w:pPr>
          </w:p>
        </w:tc>
        <w:tc>
          <w:tcPr>
            <w:tcW w:w="414" w:type="pct"/>
            <w:tcBorders>
              <w:top w:val="nil"/>
              <w:left w:val="nil"/>
              <w:bottom w:val="nil"/>
              <w:right w:val="nil"/>
            </w:tcBorders>
            <w:shd w:val="pct10" w:color="auto" w:fill="auto"/>
          </w:tcPr>
          <w:p w14:paraId="0FFE027E" w14:textId="77777777" w:rsidR="00EA230B" w:rsidRPr="00064185" w:rsidRDefault="00EA230B" w:rsidP="00EA61D8">
            <w:pPr>
              <w:keepNext/>
            </w:pPr>
          </w:p>
        </w:tc>
      </w:tr>
      <w:tr w:rsidR="00064185" w:rsidRPr="00064185" w14:paraId="7A5A955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9D09956" w14:textId="77777777" w:rsidR="00EA230B" w:rsidRPr="00064185" w:rsidRDefault="00EA230B" w:rsidP="00EA61D8">
            <w:pPr>
              <w:pStyle w:val="TxtTxtTxt"/>
            </w:pPr>
            <w:r w:rsidRPr="00064185">
              <w:t>Effect investigated</w:t>
            </w:r>
          </w:p>
        </w:tc>
        <w:tc>
          <w:tcPr>
            <w:tcW w:w="3182" w:type="pct"/>
            <w:tcBorders>
              <w:top w:val="nil"/>
              <w:left w:val="nil"/>
              <w:bottom w:val="nil"/>
              <w:right w:val="nil"/>
            </w:tcBorders>
            <w:vAlign w:val="center"/>
          </w:tcPr>
          <w:p w14:paraId="12974BF1" w14:textId="77777777" w:rsidR="00EA230B" w:rsidRPr="00064185" w:rsidRDefault="00EA230B" w:rsidP="00EA61D8">
            <w:pPr>
              <w:keepNext/>
            </w:pPr>
            <w:r w:rsidRPr="00064185">
              <w:t>a, b) Knock-down and mortality</w:t>
            </w:r>
          </w:p>
        </w:tc>
        <w:tc>
          <w:tcPr>
            <w:tcW w:w="414" w:type="pct"/>
            <w:tcBorders>
              <w:top w:val="nil"/>
              <w:left w:val="nil"/>
              <w:bottom w:val="nil"/>
              <w:right w:val="nil"/>
            </w:tcBorders>
            <w:shd w:val="pct10" w:color="auto" w:fill="auto"/>
          </w:tcPr>
          <w:p w14:paraId="51490BE8" w14:textId="77777777" w:rsidR="00EA230B" w:rsidRPr="00064185" w:rsidRDefault="00EA230B" w:rsidP="00EA61D8">
            <w:pPr>
              <w:keepNext/>
            </w:pPr>
          </w:p>
        </w:tc>
      </w:tr>
      <w:tr w:rsidR="00064185" w:rsidRPr="00064185" w14:paraId="401B71CC"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01F8D63" w14:textId="77777777" w:rsidR="00EA230B" w:rsidRPr="00064185" w:rsidRDefault="00EA230B" w:rsidP="00EA61D8">
            <w:pPr>
              <w:pStyle w:val="TxtTxtTxt"/>
            </w:pPr>
            <w:r w:rsidRPr="00064185">
              <w:t xml:space="preserve">Method for recording / scoring of the effect </w:t>
            </w:r>
          </w:p>
        </w:tc>
        <w:tc>
          <w:tcPr>
            <w:tcW w:w="3182" w:type="pct"/>
            <w:tcBorders>
              <w:top w:val="nil"/>
              <w:left w:val="nil"/>
              <w:bottom w:val="nil"/>
              <w:right w:val="nil"/>
            </w:tcBorders>
            <w:vAlign w:val="center"/>
          </w:tcPr>
          <w:p w14:paraId="557FC8BC" w14:textId="77777777" w:rsidR="00EA230B" w:rsidRPr="00064185" w:rsidRDefault="00EA230B" w:rsidP="00EA61D8">
            <w:r w:rsidRPr="00064185">
              <w:t>Visual observation of test animals</w:t>
            </w:r>
          </w:p>
        </w:tc>
        <w:tc>
          <w:tcPr>
            <w:tcW w:w="414" w:type="pct"/>
            <w:tcBorders>
              <w:top w:val="nil"/>
              <w:left w:val="nil"/>
              <w:bottom w:val="nil"/>
              <w:right w:val="nil"/>
            </w:tcBorders>
            <w:shd w:val="pct10" w:color="auto" w:fill="auto"/>
          </w:tcPr>
          <w:p w14:paraId="2244AFDD" w14:textId="77777777" w:rsidR="00EA230B" w:rsidRPr="00064185" w:rsidRDefault="00EA230B" w:rsidP="00EA61D8"/>
        </w:tc>
      </w:tr>
      <w:tr w:rsidR="00064185" w:rsidRPr="00064185" w14:paraId="149CD25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77E98802" w14:textId="77777777" w:rsidR="00EA230B" w:rsidRPr="00064185" w:rsidRDefault="00EA230B" w:rsidP="00EA61D8">
            <w:pPr>
              <w:pStyle w:val="TxtTxtTxt"/>
            </w:pPr>
            <w:r w:rsidRPr="00064185">
              <w:t>Intervals of examination</w:t>
            </w:r>
          </w:p>
        </w:tc>
        <w:tc>
          <w:tcPr>
            <w:tcW w:w="3182" w:type="pct"/>
            <w:tcBorders>
              <w:top w:val="nil"/>
              <w:left w:val="nil"/>
              <w:bottom w:val="nil"/>
              <w:right w:val="nil"/>
            </w:tcBorders>
            <w:vAlign w:val="center"/>
          </w:tcPr>
          <w:p w14:paraId="551399F4" w14:textId="77777777" w:rsidR="00EA230B" w:rsidRPr="00064185" w:rsidRDefault="00EA230B" w:rsidP="00EA61D8">
            <w:r w:rsidRPr="00064185">
              <w:t xml:space="preserve">a) </w:t>
            </w:r>
            <w:r w:rsidRPr="00064185">
              <w:rPr>
                <w:lang w:val="en-US"/>
              </w:rPr>
              <w:t>15 min, 30 min, 1 h, 2 h, 24, 48 and 72 hours</w:t>
            </w:r>
          </w:p>
          <w:p w14:paraId="6C060EC3" w14:textId="77777777" w:rsidR="00EA230B" w:rsidRPr="00064185" w:rsidRDefault="00EA230B" w:rsidP="00EA61D8">
            <w:r w:rsidRPr="00064185">
              <w:t>b) Intervals of examination: evaluation of knock down and mortality was done after 15 and 30 min as well as 1, 2, 6, 12, 24, 48 and 72 hours</w:t>
            </w:r>
          </w:p>
          <w:p w14:paraId="3F7148F9" w14:textId="77777777" w:rsidR="00EA230B" w:rsidRPr="00064185" w:rsidRDefault="00EA230B" w:rsidP="00EA61D8">
            <w:r w:rsidRPr="00064185">
              <w:t>Ceramic tiles: Assessment of residues aged 1 day as well as 1, 2, 4, 6, 9, 13, 17, 21 and 25 weeks after treatment,</w:t>
            </w:r>
          </w:p>
          <w:p w14:paraId="7809554A" w14:textId="77777777" w:rsidR="00EA230B" w:rsidRPr="00064185" w:rsidRDefault="00EA230B" w:rsidP="00EA61D8">
            <w:r w:rsidRPr="00064185">
              <w:t>PVC tiles: Assessment of residues aged 1 day as well as 1, 2, 4, 6, 9, 14, 18, 22 and 26 weeks after treatment</w:t>
            </w:r>
          </w:p>
        </w:tc>
        <w:tc>
          <w:tcPr>
            <w:tcW w:w="414" w:type="pct"/>
            <w:tcBorders>
              <w:top w:val="nil"/>
              <w:left w:val="nil"/>
              <w:bottom w:val="nil"/>
              <w:right w:val="nil"/>
            </w:tcBorders>
            <w:shd w:val="pct10" w:color="auto" w:fill="auto"/>
          </w:tcPr>
          <w:p w14:paraId="1919FA1C" w14:textId="77777777" w:rsidR="00EA230B" w:rsidRPr="00064185" w:rsidRDefault="00EA230B" w:rsidP="00EA61D8"/>
        </w:tc>
      </w:tr>
      <w:tr w:rsidR="00064185" w:rsidRPr="00064185" w14:paraId="11958696"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5F3D7EEF" w14:textId="77777777" w:rsidR="00EA230B" w:rsidRPr="00064185" w:rsidRDefault="00EA230B" w:rsidP="00EA61D8">
            <w:pPr>
              <w:pStyle w:val="TxtTxtTxt"/>
            </w:pPr>
            <w:r w:rsidRPr="00064185">
              <w:lastRenderedPageBreak/>
              <w:t xml:space="preserve">Statistics </w:t>
            </w:r>
          </w:p>
        </w:tc>
        <w:tc>
          <w:tcPr>
            <w:tcW w:w="3182" w:type="pct"/>
            <w:tcBorders>
              <w:top w:val="nil"/>
              <w:left w:val="nil"/>
              <w:bottom w:val="nil"/>
              <w:right w:val="nil"/>
            </w:tcBorders>
            <w:vAlign w:val="center"/>
          </w:tcPr>
          <w:p w14:paraId="553B8D49" w14:textId="77777777" w:rsidR="00EA230B" w:rsidRPr="00064185" w:rsidRDefault="00EA230B" w:rsidP="00EA61D8">
            <w:r w:rsidRPr="00064185">
              <w:t>–</w:t>
            </w:r>
          </w:p>
        </w:tc>
        <w:tc>
          <w:tcPr>
            <w:tcW w:w="414" w:type="pct"/>
            <w:tcBorders>
              <w:top w:val="nil"/>
              <w:left w:val="nil"/>
              <w:bottom w:val="nil"/>
              <w:right w:val="nil"/>
            </w:tcBorders>
            <w:shd w:val="pct10" w:color="auto" w:fill="auto"/>
          </w:tcPr>
          <w:p w14:paraId="68A80A06" w14:textId="77777777" w:rsidR="00EA230B" w:rsidRPr="00064185" w:rsidRDefault="00EA230B" w:rsidP="00EA61D8"/>
        </w:tc>
      </w:tr>
      <w:tr w:rsidR="00064185" w:rsidRPr="00064185" w14:paraId="7373E3D9"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058EC61" w14:textId="77777777" w:rsidR="00EA230B" w:rsidRPr="00064185" w:rsidRDefault="00EA230B" w:rsidP="00EA61D8">
            <w:pPr>
              <w:pStyle w:val="TxtTxtTxt"/>
            </w:pPr>
            <w:r w:rsidRPr="00064185">
              <w:t>Post monitoring of the test organism</w:t>
            </w:r>
          </w:p>
        </w:tc>
        <w:tc>
          <w:tcPr>
            <w:tcW w:w="3182" w:type="pct"/>
            <w:tcBorders>
              <w:top w:val="nil"/>
              <w:left w:val="nil"/>
              <w:bottom w:val="nil"/>
              <w:right w:val="nil"/>
            </w:tcBorders>
            <w:vAlign w:val="center"/>
          </w:tcPr>
          <w:p w14:paraId="5E710E71" w14:textId="77777777" w:rsidR="00EA230B" w:rsidRPr="00064185" w:rsidRDefault="00EA230B" w:rsidP="00EA61D8">
            <w:r w:rsidRPr="00064185">
              <w:t>No</w:t>
            </w:r>
          </w:p>
        </w:tc>
        <w:tc>
          <w:tcPr>
            <w:tcW w:w="414" w:type="pct"/>
            <w:tcBorders>
              <w:top w:val="nil"/>
              <w:left w:val="nil"/>
              <w:bottom w:val="nil"/>
              <w:right w:val="nil"/>
            </w:tcBorders>
            <w:shd w:val="pct10" w:color="auto" w:fill="auto"/>
          </w:tcPr>
          <w:p w14:paraId="3243F0A6" w14:textId="77777777" w:rsidR="00EA230B" w:rsidRPr="00064185" w:rsidRDefault="00EA230B" w:rsidP="00EA61D8"/>
        </w:tc>
      </w:tr>
      <w:tr w:rsidR="00064185" w:rsidRPr="00064185" w14:paraId="041182B2"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FF8E9FA" w14:textId="77777777" w:rsidR="00EA230B" w:rsidRPr="00064185" w:rsidRDefault="00EA230B" w:rsidP="00EA61D8">
            <w:pPr>
              <w:pStyle w:val="TxtTxtTxt"/>
              <w:numPr>
                <w:ilvl w:val="0"/>
                <w:numId w:val="0"/>
              </w:numPr>
              <w:ind w:left="709"/>
            </w:pPr>
          </w:p>
        </w:tc>
        <w:tc>
          <w:tcPr>
            <w:tcW w:w="3182" w:type="pct"/>
            <w:tcBorders>
              <w:top w:val="nil"/>
              <w:left w:val="nil"/>
              <w:bottom w:val="nil"/>
              <w:right w:val="nil"/>
            </w:tcBorders>
            <w:vAlign w:val="center"/>
          </w:tcPr>
          <w:p w14:paraId="4B34F642" w14:textId="77777777" w:rsidR="00EA230B" w:rsidRPr="00064185" w:rsidRDefault="00EA230B" w:rsidP="00EA61D8">
            <w:pPr>
              <w:pStyle w:val="TEXTTEXT"/>
            </w:pPr>
            <w:r w:rsidRPr="00064185">
              <w:t>Results</w:t>
            </w:r>
          </w:p>
        </w:tc>
        <w:tc>
          <w:tcPr>
            <w:tcW w:w="414" w:type="pct"/>
            <w:tcBorders>
              <w:top w:val="nil"/>
              <w:left w:val="nil"/>
              <w:bottom w:val="nil"/>
              <w:right w:val="nil"/>
            </w:tcBorders>
            <w:shd w:val="pct10" w:color="auto" w:fill="auto"/>
          </w:tcPr>
          <w:p w14:paraId="49D82508" w14:textId="77777777" w:rsidR="00EA230B" w:rsidRPr="00064185" w:rsidRDefault="00EA230B" w:rsidP="00EA61D8">
            <w:pPr>
              <w:pStyle w:val="Kopfzeile"/>
              <w:tabs>
                <w:tab w:val="clear" w:pos="4536"/>
                <w:tab w:val="clear" w:pos="9072"/>
              </w:tabs>
              <w:spacing w:before="60" w:after="60"/>
              <w:rPr>
                <w:lang w:val="en-GB"/>
              </w:rPr>
            </w:pPr>
          </w:p>
        </w:tc>
      </w:tr>
      <w:tr w:rsidR="00064185" w:rsidRPr="00064185" w14:paraId="310B572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ECF9186" w14:textId="77777777" w:rsidR="00EA230B" w:rsidRPr="00064185" w:rsidRDefault="00EA230B" w:rsidP="00EA61D8">
            <w:pPr>
              <w:pStyle w:val="TextText11"/>
              <w:rPr>
                <w:color w:val="auto"/>
              </w:rPr>
            </w:pPr>
            <w:r w:rsidRPr="00064185">
              <w:rPr>
                <w:color w:val="auto"/>
              </w:rPr>
              <w:t>Efficacy</w:t>
            </w:r>
          </w:p>
        </w:tc>
        <w:tc>
          <w:tcPr>
            <w:tcW w:w="3182" w:type="pct"/>
            <w:tcBorders>
              <w:top w:val="nil"/>
              <w:left w:val="nil"/>
              <w:bottom w:val="nil"/>
              <w:right w:val="nil"/>
            </w:tcBorders>
            <w:vAlign w:val="center"/>
          </w:tcPr>
          <w:p w14:paraId="6C0E979F" w14:textId="77777777" w:rsidR="00EA230B" w:rsidRPr="00064185" w:rsidRDefault="00EA230B" w:rsidP="00EA61D8">
            <w:pPr>
              <w:pStyle w:val="Standard-italics"/>
            </w:pPr>
          </w:p>
        </w:tc>
        <w:tc>
          <w:tcPr>
            <w:tcW w:w="414" w:type="pct"/>
            <w:tcBorders>
              <w:top w:val="nil"/>
              <w:left w:val="nil"/>
              <w:bottom w:val="nil"/>
              <w:right w:val="nil"/>
            </w:tcBorders>
            <w:shd w:val="pct10" w:color="auto" w:fill="auto"/>
          </w:tcPr>
          <w:p w14:paraId="06DB95B8" w14:textId="77777777" w:rsidR="00EA230B" w:rsidRPr="00064185" w:rsidRDefault="00EA230B" w:rsidP="00EA61D8"/>
        </w:tc>
      </w:tr>
      <w:tr w:rsidR="00064185" w:rsidRPr="00064185" w14:paraId="6CBFEEF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1B1AA266" w14:textId="77777777" w:rsidR="00EA230B" w:rsidRPr="00064185" w:rsidRDefault="00EA230B" w:rsidP="00EA61D8">
            <w:pPr>
              <w:pStyle w:val="TxtTxtTxt"/>
            </w:pPr>
            <w:r w:rsidRPr="00064185">
              <w:t>Dose/Efficacy curve</w:t>
            </w:r>
          </w:p>
        </w:tc>
        <w:tc>
          <w:tcPr>
            <w:tcW w:w="3182" w:type="pct"/>
            <w:tcBorders>
              <w:top w:val="nil"/>
              <w:left w:val="nil"/>
              <w:bottom w:val="nil"/>
              <w:right w:val="nil"/>
            </w:tcBorders>
            <w:vAlign w:val="center"/>
          </w:tcPr>
          <w:p w14:paraId="67D4DDDF" w14:textId="77777777" w:rsidR="00EA230B" w:rsidRPr="00064185" w:rsidRDefault="00EA230B" w:rsidP="00EA61D8">
            <w:pPr>
              <w:rPr>
                <w:i/>
              </w:rPr>
            </w:pPr>
            <w:r w:rsidRPr="00064185">
              <w:rPr>
                <w:i/>
              </w:rPr>
              <w:t>–</w:t>
            </w:r>
          </w:p>
        </w:tc>
        <w:tc>
          <w:tcPr>
            <w:tcW w:w="414" w:type="pct"/>
            <w:tcBorders>
              <w:top w:val="nil"/>
              <w:left w:val="nil"/>
              <w:bottom w:val="nil"/>
              <w:right w:val="nil"/>
            </w:tcBorders>
            <w:shd w:val="pct10" w:color="auto" w:fill="auto"/>
          </w:tcPr>
          <w:p w14:paraId="6C50A467" w14:textId="77777777" w:rsidR="00EA230B" w:rsidRPr="00064185" w:rsidRDefault="00EA230B" w:rsidP="00EA61D8"/>
        </w:tc>
      </w:tr>
      <w:tr w:rsidR="00064185" w:rsidRPr="00064185" w14:paraId="7FC7826A"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1A3E6034" w14:textId="77777777" w:rsidR="00EA230B" w:rsidRPr="00064185" w:rsidRDefault="00EA230B" w:rsidP="00EA61D8">
            <w:pPr>
              <w:pStyle w:val="TxtTxtTxt"/>
            </w:pPr>
            <w:r w:rsidRPr="00064185">
              <w:t>Begin and duration of effects</w:t>
            </w:r>
          </w:p>
        </w:tc>
        <w:tc>
          <w:tcPr>
            <w:tcW w:w="3182" w:type="pct"/>
            <w:tcBorders>
              <w:top w:val="nil"/>
              <w:left w:val="nil"/>
              <w:bottom w:val="nil"/>
              <w:right w:val="nil"/>
            </w:tcBorders>
            <w:vAlign w:val="center"/>
          </w:tcPr>
          <w:p w14:paraId="65FD7DD6" w14:textId="77777777" w:rsidR="00EA230B" w:rsidRPr="00064185" w:rsidRDefault="00EA230B" w:rsidP="00EA61D8">
            <w:r w:rsidRPr="00064185">
              <w:t xml:space="preserve">a) Direct spray treatment: </w:t>
            </w:r>
            <w:r w:rsidRPr="00064185">
              <w:br/>
              <w:t>70% knock down efficacy was given within 15 minutes. After 24 hours mortality was 100%.</w:t>
            </w:r>
          </w:p>
          <w:p w14:paraId="48D15781" w14:textId="77777777" w:rsidR="00EA230B" w:rsidRPr="00064185" w:rsidRDefault="00EA230B" w:rsidP="00EA61D8">
            <w:r w:rsidRPr="00064185">
              <w:t xml:space="preserve">b) Residual effects on glazed tiles: </w:t>
            </w:r>
            <w:r w:rsidRPr="00064185">
              <w:br/>
              <w:t>It took 2 h (for residues aged 1 or 2 weeks) up to 6 h (for all other residues) to achieve 100% of efficacy (knock down and / or mortality).</w:t>
            </w:r>
          </w:p>
          <w:p w14:paraId="2216C4C2" w14:textId="77777777" w:rsidR="00EA230B" w:rsidRPr="00064185" w:rsidRDefault="00EA230B" w:rsidP="00EA61D8">
            <w:pPr>
              <w:rPr>
                <w:i/>
                <w:lang w:val="en-US"/>
              </w:rPr>
            </w:pPr>
            <w:r w:rsidRPr="00064185">
              <w:t xml:space="preserve">Residual effects on PVC: </w:t>
            </w:r>
            <w:r w:rsidRPr="00064185">
              <w:br/>
              <w:t>The efficacy was weaker. It took 1 h (for residues aged 1 day or 1 week) or up to 24 h (for residues aged 22 weeks) to achieve 100% of efficacy (knock down and / or mortality).</w:t>
            </w:r>
          </w:p>
        </w:tc>
        <w:tc>
          <w:tcPr>
            <w:tcW w:w="414" w:type="pct"/>
            <w:tcBorders>
              <w:top w:val="nil"/>
              <w:left w:val="nil"/>
              <w:bottom w:val="nil"/>
              <w:right w:val="nil"/>
            </w:tcBorders>
            <w:shd w:val="pct10" w:color="auto" w:fill="auto"/>
          </w:tcPr>
          <w:p w14:paraId="5E871899" w14:textId="77777777" w:rsidR="00EA230B" w:rsidRPr="00064185" w:rsidRDefault="00EA230B" w:rsidP="00EA61D8"/>
        </w:tc>
      </w:tr>
      <w:tr w:rsidR="00064185" w:rsidRPr="00064185" w14:paraId="5FA64469"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3E31EBC" w14:textId="77777777" w:rsidR="00EA230B" w:rsidRPr="00064185" w:rsidRDefault="00EA230B" w:rsidP="00EA61D8">
            <w:pPr>
              <w:pStyle w:val="TextText11"/>
              <w:rPr>
                <w:color w:val="auto"/>
              </w:rPr>
            </w:pPr>
            <w:r w:rsidRPr="00064185">
              <w:rPr>
                <w:color w:val="auto"/>
              </w:rPr>
              <w:t>Tabular and/or graphical presentation of the summarised results</w:t>
            </w:r>
          </w:p>
        </w:tc>
        <w:tc>
          <w:tcPr>
            <w:tcW w:w="3182" w:type="pct"/>
            <w:tcBorders>
              <w:top w:val="nil"/>
              <w:left w:val="nil"/>
              <w:bottom w:val="nil"/>
              <w:right w:val="nil"/>
            </w:tcBorders>
          </w:tcPr>
          <w:p w14:paraId="5B1EE072" w14:textId="77777777" w:rsidR="00EA230B" w:rsidRPr="00064185" w:rsidRDefault="00EA230B" w:rsidP="00EA61D8">
            <w:r w:rsidRPr="00064185">
              <w:t>Graphical presentation of the results is shown in the report.</w:t>
            </w:r>
          </w:p>
        </w:tc>
        <w:tc>
          <w:tcPr>
            <w:tcW w:w="414" w:type="pct"/>
            <w:tcBorders>
              <w:top w:val="nil"/>
              <w:left w:val="nil"/>
              <w:bottom w:val="nil"/>
              <w:right w:val="nil"/>
            </w:tcBorders>
            <w:shd w:val="pct10" w:color="auto" w:fill="auto"/>
          </w:tcPr>
          <w:p w14:paraId="4A956090" w14:textId="77777777" w:rsidR="00EA230B" w:rsidRPr="00064185" w:rsidRDefault="00EA230B" w:rsidP="00EA61D8"/>
        </w:tc>
      </w:tr>
      <w:tr w:rsidR="00064185" w:rsidRPr="00064185" w14:paraId="433E6F91"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89B50A8" w14:textId="77777777" w:rsidR="00EA230B" w:rsidRPr="00064185" w:rsidRDefault="00EA230B" w:rsidP="00EA61D8">
            <w:pPr>
              <w:pStyle w:val="TextText11"/>
              <w:rPr>
                <w:color w:val="auto"/>
              </w:rPr>
            </w:pPr>
            <w:r w:rsidRPr="00064185">
              <w:rPr>
                <w:color w:val="auto"/>
              </w:rPr>
              <w:t>Efficacy limiting factors</w:t>
            </w:r>
          </w:p>
        </w:tc>
        <w:tc>
          <w:tcPr>
            <w:tcW w:w="3182" w:type="pct"/>
            <w:tcBorders>
              <w:top w:val="nil"/>
              <w:left w:val="nil"/>
              <w:bottom w:val="nil"/>
              <w:right w:val="nil"/>
            </w:tcBorders>
            <w:vAlign w:val="center"/>
          </w:tcPr>
          <w:p w14:paraId="4971EEB5" w14:textId="77777777" w:rsidR="00EA230B" w:rsidRPr="00064185" w:rsidRDefault="00EA230B" w:rsidP="00EA61D8">
            <w:pPr>
              <w:rPr>
                <w:i/>
              </w:rPr>
            </w:pPr>
            <w:r w:rsidRPr="00064185">
              <w:t>–</w:t>
            </w:r>
          </w:p>
        </w:tc>
        <w:tc>
          <w:tcPr>
            <w:tcW w:w="414" w:type="pct"/>
            <w:tcBorders>
              <w:top w:val="nil"/>
              <w:left w:val="nil"/>
              <w:bottom w:val="nil"/>
              <w:right w:val="nil"/>
            </w:tcBorders>
            <w:shd w:val="pct10" w:color="auto" w:fill="auto"/>
          </w:tcPr>
          <w:p w14:paraId="32DF8001" w14:textId="77777777" w:rsidR="00EA230B" w:rsidRPr="00064185" w:rsidRDefault="00EA230B" w:rsidP="00EA61D8"/>
        </w:tc>
      </w:tr>
      <w:tr w:rsidR="00064185" w:rsidRPr="00064185" w14:paraId="6CF5213B"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D4AF946" w14:textId="77777777" w:rsidR="00EA230B" w:rsidRPr="00064185" w:rsidRDefault="00EA230B" w:rsidP="00EA61D8">
            <w:pPr>
              <w:pStyle w:val="TxtTxtTxt"/>
            </w:pPr>
            <w:r w:rsidRPr="00064185">
              <w:t>Occurrences of resistances</w:t>
            </w:r>
          </w:p>
        </w:tc>
        <w:tc>
          <w:tcPr>
            <w:tcW w:w="3182" w:type="pct"/>
            <w:tcBorders>
              <w:top w:val="nil"/>
              <w:left w:val="nil"/>
              <w:bottom w:val="nil"/>
              <w:right w:val="nil"/>
            </w:tcBorders>
            <w:vAlign w:val="center"/>
          </w:tcPr>
          <w:p w14:paraId="5049C5F9" w14:textId="77777777" w:rsidR="00EA230B" w:rsidRPr="00064185" w:rsidRDefault="00EA230B" w:rsidP="00EA61D8">
            <w:r w:rsidRPr="00064185">
              <w:t>Due to the mode of action a development of resistance is neither to be expected nor has ever been observed.</w:t>
            </w:r>
          </w:p>
        </w:tc>
        <w:tc>
          <w:tcPr>
            <w:tcW w:w="414" w:type="pct"/>
            <w:tcBorders>
              <w:top w:val="nil"/>
              <w:left w:val="nil"/>
              <w:bottom w:val="nil"/>
              <w:right w:val="nil"/>
            </w:tcBorders>
            <w:shd w:val="pct10" w:color="auto" w:fill="auto"/>
          </w:tcPr>
          <w:p w14:paraId="393CCF9A" w14:textId="77777777" w:rsidR="00EA230B" w:rsidRPr="00064185" w:rsidRDefault="00EA230B" w:rsidP="00EA61D8"/>
        </w:tc>
      </w:tr>
      <w:tr w:rsidR="00064185" w:rsidRPr="00064185" w14:paraId="3209FE0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03" w:type="pct"/>
            <w:tcBorders>
              <w:top w:val="nil"/>
              <w:left w:val="nil"/>
              <w:bottom w:val="nil"/>
              <w:right w:val="nil"/>
            </w:tcBorders>
          </w:tcPr>
          <w:p w14:paraId="1308CFEB" w14:textId="77777777" w:rsidR="00EA230B" w:rsidRPr="00064185" w:rsidRDefault="00EA230B" w:rsidP="00EA61D8">
            <w:pPr>
              <w:pStyle w:val="TxtTxtTxt"/>
            </w:pPr>
            <w:r w:rsidRPr="00064185">
              <w:t>Other limiting factors</w:t>
            </w:r>
          </w:p>
        </w:tc>
        <w:tc>
          <w:tcPr>
            <w:tcW w:w="3182" w:type="pct"/>
            <w:tcBorders>
              <w:top w:val="nil"/>
              <w:left w:val="nil"/>
              <w:bottom w:val="nil"/>
              <w:right w:val="nil"/>
            </w:tcBorders>
            <w:vAlign w:val="center"/>
          </w:tcPr>
          <w:p w14:paraId="541D2B09" w14:textId="77777777" w:rsidR="00EA230B" w:rsidRPr="00064185" w:rsidRDefault="00EA230B" w:rsidP="00EA61D8">
            <w:r w:rsidRPr="00064185">
              <w:t>Not applicable</w:t>
            </w:r>
          </w:p>
        </w:tc>
        <w:tc>
          <w:tcPr>
            <w:tcW w:w="414" w:type="pct"/>
            <w:tcBorders>
              <w:top w:val="nil"/>
              <w:left w:val="nil"/>
              <w:bottom w:val="nil"/>
              <w:right w:val="nil"/>
            </w:tcBorders>
            <w:shd w:val="pct10" w:color="auto" w:fill="auto"/>
          </w:tcPr>
          <w:p w14:paraId="7E08C8BD" w14:textId="77777777" w:rsidR="00EA230B" w:rsidRPr="00064185" w:rsidRDefault="00EA230B" w:rsidP="00EA61D8"/>
        </w:tc>
      </w:tr>
      <w:tr w:rsidR="00064185" w:rsidRPr="00064185" w14:paraId="1A38ADD4"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4627C9A" w14:textId="77777777" w:rsidR="00EA230B" w:rsidRPr="00064185" w:rsidRDefault="00EA230B" w:rsidP="00EA61D8">
            <w:pPr>
              <w:pStyle w:val="TxtTxtTxt"/>
              <w:numPr>
                <w:ilvl w:val="0"/>
                <w:numId w:val="0"/>
              </w:numPr>
              <w:ind w:left="709"/>
            </w:pPr>
          </w:p>
        </w:tc>
        <w:tc>
          <w:tcPr>
            <w:tcW w:w="3182" w:type="pct"/>
            <w:tcBorders>
              <w:top w:val="nil"/>
              <w:left w:val="nil"/>
              <w:bottom w:val="nil"/>
              <w:right w:val="nil"/>
            </w:tcBorders>
            <w:vAlign w:val="center"/>
          </w:tcPr>
          <w:p w14:paraId="1152ECAD" w14:textId="77777777" w:rsidR="00EA230B" w:rsidRPr="00064185" w:rsidRDefault="00EA230B" w:rsidP="00EA61D8">
            <w:pPr>
              <w:pStyle w:val="TEXTTEXT"/>
            </w:pPr>
            <w:r w:rsidRPr="00064185">
              <w:t>Relevance of the results compared to field conditions</w:t>
            </w:r>
          </w:p>
        </w:tc>
        <w:tc>
          <w:tcPr>
            <w:tcW w:w="414" w:type="pct"/>
            <w:tcBorders>
              <w:top w:val="nil"/>
              <w:left w:val="nil"/>
              <w:bottom w:val="nil"/>
              <w:right w:val="nil"/>
            </w:tcBorders>
            <w:shd w:val="pct10" w:color="auto" w:fill="auto"/>
          </w:tcPr>
          <w:p w14:paraId="354E5C53" w14:textId="77777777" w:rsidR="00EA230B" w:rsidRPr="00064185" w:rsidRDefault="00EA230B" w:rsidP="00EA61D8">
            <w:pPr>
              <w:keepNext/>
            </w:pPr>
          </w:p>
        </w:tc>
      </w:tr>
      <w:tr w:rsidR="00064185" w:rsidRPr="00064185" w14:paraId="161E61D9"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B71510C" w14:textId="77777777" w:rsidR="00EA230B" w:rsidRPr="00064185" w:rsidRDefault="00EA230B" w:rsidP="00EA61D8">
            <w:pPr>
              <w:pStyle w:val="TextText11"/>
              <w:rPr>
                <w:color w:val="auto"/>
              </w:rPr>
            </w:pPr>
            <w:r w:rsidRPr="00064185">
              <w:rPr>
                <w:color w:val="auto"/>
              </w:rPr>
              <w:lastRenderedPageBreak/>
              <w:t>Reasons for laboratory testing</w:t>
            </w:r>
          </w:p>
        </w:tc>
        <w:tc>
          <w:tcPr>
            <w:tcW w:w="3182" w:type="pct"/>
            <w:tcBorders>
              <w:top w:val="nil"/>
              <w:left w:val="nil"/>
              <w:bottom w:val="nil"/>
              <w:right w:val="nil"/>
            </w:tcBorders>
            <w:vAlign w:val="center"/>
          </w:tcPr>
          <w:p w14:paraId="153EE139" w14:textId="77777777" w:rsidR="00EA230B" w:rsidRPr="00064185" w:rsidRDefault="00EA230B" w:rsidP="00EA61D8">
            <w:r w:rsidRPr="00064185">
              <w:t>It is easier and more precisely to test a product against woodlice in a laboratory arena. The conditions are comparable and controllable; the number of organisms is defined. The observations and counting are easier and more correct.</w:t>
            </w:r>
          </w:p>
        </w:tc>
        <w:tc>
          <w:tcPr>
            <w:tcW w:w="414" w:type="pct"/>
            <w:tcBorders>
              <w:top w:val="nil"/>
              <w:left w:val="nil"/>
              <w:bottom w:val="nil"/>
              <w:right w:val="nil"/>
            </w:tcBorders>
            <w:shd w:val="pct10" w:color="auto" w:fill="auto"/>
          </w:tcPr>
          <w:p w14:paraId="28531376" w14:textId="77777777" w:rsidR="00EA230B" w:rsidRPr="00064185" w:rsidRDefault="00EA230B" w:rsidP="00EA61D8"/>
        </w:tc>
      </w:tr>
      <w:tr w:rsidR="00064185" w:rsidRPr="00064185" w14:paraId="6D03B13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269C7C5A" w14:textId="77777777" w:rsidR="00EA230B" w:rsidRPr="00064185" w:rsidRDefault="00EA230B" w:rsidP="00EA61D8">
            <w:pPr>
              <w:pStyle w:val="TextText11"/>
              <w:rPr>
                <w:color w:val="auto"/>
              </w:rPr>
            </w:pPr>
            <w:r w:rsidRPr="00064185">
              <w:rPr>
                <w:color w:val="auto"/>
              </w:rPr>
              <w:t>Intended actual scale of biocide application</w:t>
            </w:r>
          </w:p>
        </w:tc>
        <w:tc>
          <w:tcPr>
            <w:tcW w:w="3182" w:type="pct"/>
            <w:tcBorders>
              <w:top w:val="nil"/>
              <w:left w:val="nil"/>
              <w:bottom w:val="nil"/>
              <w:right w:val="nil"/>
            </w:tcBorders>
            <w:vAlign w:val="center"/>
          </w:tcPr>
          <w:p w14:paraId="5C5B5D37" w14:textId="77777777" w:rsidR="00EA230B" w:rsidRPr="00064185" w:rsidRDefault="00EA230B" w:rsidP="00EA61D8">
            <w:r w:rsidRPr="00064185">
              <w:t>For application in and around domestic and commercial premises.</w:t>
            </w:r>
          </w:p>
        </w:tc>
        <w:tc>
          <w:tcPr>
            <w:tcW w:w="414" w:type="pct"/>
            <w:tcBorders>
              <w:top w:val="nil"/>
              <w:left w:val="nil"/>
              <w:bottom w:val="nil"/>
              <w:right w:val="nil"/>
            </w:tcBorders>
            <w:shd w:val="pct10" w:color="auto" w:fill="auto"/>
          </w:tcPr>
          <w:p w14:paraId="3813DCA0" w14:textId="77777777" w:rsidR="00EA230B" w:rsidRPr="00064185" w:rsidRDefault="00EA230B" w:rsidP="00EA61D8"/>
        </w:tc>
      </w:tr>
      <w:tr w:rsidR="00064185" w:rsidRPr="00064185" w14:paraId="1981168D"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1B1F1E1" w14:textId="77777777" w:rsidR="00EA230B" w:rsidRPr="00064185" w:rsidRDefault="00EA230B" w:rsidP="00EA61D8">
            <w:pPr>
              <w:pStyle w:val="TextText11"/>
              <w:rPr>
                <w:color w:val="auto"/>
              </w:rPr>
            </w:pPr>
            <w:r w:rsidRPr="00064185">
              <w:rPr>
                <w:color w:val="auto"/>
              </w:rPr>
              <w:t>Relevance compared to field conditions</w:t>
            </w:r>
          </w:p>
        </w:tc>
        <w:tc>
          <w:tcPr>
            <w:tcW w:w="3182" w:type="pct"/>
            <w:tcBorders>
              <w:top w:val="nil"/>
              <w:left w:val="nil"/>
              <w:bottom w:val="nil"/>
              <w:right w:val="nil"/>
            </w:tcBorders>
            <w:vAlign w:val="center"/>
          </w:tcPr>
          <w:p w14:paraId="6299246C" w14:textId="77777777" w:rsidR="00EA230B" w:rsidRPr="00064185" w:rsidRDefault="00EA230B" w:rsidP="00EA61D8">
            <w:pPr>
              <w:pStyle w:val="Standard-italics"/>
            </w:pPr>
          </w:p>
        </w:tc>
        <w:tc>
          <w:tcPr>
            <w:tcW w:w="414" w:type="pct"/>
            <w:tcBorders>
              <w:top w:val="nil"/>
              <w:left w:val="nil"/>
              <w:bottom w:val="nil"/>
              <w:right w:val="nil"/>
            </w:tcBorders>
            <w:shd w:val="pct10" w:color="auto" w:fill="auto"/>
          </w:tcPr>
          <w:p w14:paraId="28171B5A" w14:textId="77777777" w:rsidR="00EA230B" w:rsidRPr="00064185" w:rsidRDefault="00EA230B" w:rsidP="00EA61D8"/>
        </w:tc>
      </w:tr>
      <w:tr w:rsidR="00064185" w:rsidRPr="00064185" w14:paraId="08D5D0C0"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84AE44F" w14:textId="77777777" w:rsidR="00EA230B" w:rsidRPr="00064185" w:rsidRDefault="00EA230B" w:rsidP="00EA61D8">
            <w:pPr>
              <w:pStyle w:val="TxtTxtTxt"/>
            </w:pPr>
            <w:r w:rsidRPr="00064185">
              <w:t>Application method</w:t>
            </w:r>
          </w:p>
        </w:tc>
        <w:tc>
          <w:tcPr>
            <w:tcW w:w="3182" w:type="pct"/>
            <w:tcBorders>
              <w:top w:val="nil"/>
              <w:left w:val="nil"/>
              <w:bottom w:val="nil"/>
              <w:right w:val="nil"/>
            </w:tcBorders>
            <w:vAlign w:val="center"/>
          </w:tcPr>
          <w:p w14:paraId="3C25704F" w14:textId="77777777" w:rsidR="00EA230B" w:rsidRPr="00064185" w:rsidRDefault="00EA230B" w:rsidP="00EA61D8">
            <w:pPr>
              <w:pStyle w:val="Standard-italics"/>
              <w:rPr>
                <w:i w:val="0"/>
              </w:rPr>
            </w:pPr>
            <w:r w:rsidRPr="00064185">
              <w:rPr>
                <w:i w:val="0"/>
              </w:rPr>
              <w:t>Yes, applied according to the label recommendations.</w:t>
            </w:r>
          </w:p>
        </w:tc>
        <w:tc>
          <w:tcPr>
            <w:tcW w:w="414" w:type="pct"/>
            <w:tcBorders>
              <w:top w:val="nil"/>
              <w:left w:val="nil"/>
              <w:bottom w:val="nil"/>
              <w:right w:val="nil"/>
            </w:tcBorders>
            <w:shd w:val="pct10" w:color="auto" w:fill="auto"/>
          </w:tcPr>
          <w:p w14:paraId="035256BA" w14:textId="77777777" w:rsidR="00EA230B" w:rsidRPr="00064185" w:rsidRDefault="00EA230B" w:rsidP="00EA61D8"/>
        </w:tc>
      </w:tr>
      <w:tr w:rsidR="00064185" w:rsidRPr="00064185" w14:paraId="3BA4FB33"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DB60B8E" w14:textId="77777777" w:rsidR="00EA230B" w:rsidRPr="00064185" w:rsidRDefault="00EA230B" w:rsidP="00EA61D8">
            <w:pPr>
              <w:pStyle w:val="TxtTxtTxt"/>
            </w:pPr>
            <w:r w:rsidRPr="00064185">
              <w:t>Test organism</w:t>
            </w:r>
          </w:p>
        </w:tc>
        <w:tc>
          <w:tcPr>
            <w:tcW w:w="3182" w:type="pct"/>
            <w:tcBorders>
              <w:top w:val="nil"/>
              <w:left w:val="nil"/>
              <w:bottom w:val="nil"/>
              <w:right w:val="nil"/>
            </w:tcBorders>
            <w:vAlign w:val="center"/>
          </w:tcPr>
          <w:p w14:paraId="1BE5FABB" w14:textId="77777777" w:rsidR="00EA230B" w:rsidRPr="00064185" w:rsidRDefault="00EA230B" w:rsidP="00EA61D8">
            <w:pPr>
              <w:pStyle w:val="Standard-italics"/>
              <w:rPr>
                <w:i w:val="0"/>
              </w:rPr>
            </w:pPr>
            <w:r w:rsidRPr="00064185">
              <w:rPr>
                <w:i w:val="0"/>
              </w:rPr>
              <w:t xml:space="preserve">Yes, woodlice </w:t>
            </w:r>
            <w:r w:rsidRPr="00064185">
              <w:t xml:space="preserve">Porcellio scaber </w:t>
            </w:r>
            <w:r w:rsidRPr="00064185">
              <w:rPr>
                <w:i w:val="0"/>
              </w:rPr>
              <w:t>as would be encountered under field conditions.</w:t>
            </w:r>
          </w:p>
        </w:tc>
        <w:tc>
          <w:tcPr>
            <w:tcW w:w="414" w:type="pct"/>
            <w:tcBorders>
              <w:top w:val="nil"/>
              <w:left w:val="nil"/>
              <w:bottom w:val="nil"/>
              <w:right w:val="nil"/>
            </w:tcBorders>
            <w:shd w:val="pct10" w:color="auto" w:fill="auto"/>
          </w:tcPr>
          <w:p w14:paraId="60D08C58" w14:textId="77777777" w:rsidR="00EA230B" w:rsidRPr="00064185" w:rsidRDefault="00EA230B" w:rsidP="00EA61D8"/>
        </w:tc>
      </w:tr>
      <w:tr w:rsidR="00064185" w:rsidRPr="00064185" w14:paraId="59D08DA4"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4345B2FC" w14:textId="77777777" w:rsidR="00EA230B" w:rsidRPr="00064185" w:rsidRDefault="00EA230B" w:rsidP="00EA61D8">
            <w:pPr>
              <w:pStyle w:val="TxtTxtTxt"/>
            </w:pPr>
            <w:r w:rsidRPr="00064185">
              <w:t xml:space="preserve">Observed effect </w:t>
            </w:r>
          </w:p>
        </w:tc>
        <w:tc>
          <w:tcPr>
            <w:tcW w:w="3182" w:type="pct"/>
            <w:tcBorders>
              <w:top w:val="nil"/>
              <w:left w:val="nil"/>
              <w:bottom w:val="nil"/>
              <w:right w:val="nil"/>
            </w:tcBorders>
            <w:vAlign w:val="center"/>
          </w:tcPr>
          <w:p w14:paraId="63F0571E" w14:textId="77777777" w:rsidR="00EA230B" w:rsidRPr="00064185" w:rsidRDefault="00EA230B" w:rsidP="00EA61D8">
            <w:r w:rsidRPr="00064185">
              <w:t>A complete efficacy against woodlice could be determined.</w:t>
            </w:r>
          </w:p>
        </w:tc>
        <w:tc>
          <w:tcPr>
            <w:tcW w:w="414" w:type="pct"/>
            <w:tcBorders>
              <w:top w:val="nil"/>
              <w:left w:val="nil"/>
              <w:bottom w:val="nil"/>
              <w:right w:val="nil"/>
            </w:tcBorders>
            <w:shd w:val="pct10" w:color="auto" w:fill="auto"/>
          </w:tcPr>
          <w:p w14:paraId="164B177B" w14:textId="77777777" w:rsidR="00EA230B" w:rsidRPr="00064185" w:rsidRDefault="00EA230B" w:rsidP="00EA61D8"/>
        </w:tc>
      </w:tr>
      <w:tr w:rsidR="00064185" w:rsidRPr="00064185" w14:paraId="19BF115A"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30D6C31E" w14:textId="77777777" w:rsidR="00EA230B" w:rsidRPr="00064185" w:rsidRDefault="00EA230B" w:rsidP="00EA61D8">
            <w:pPr>
              <w:pStyle w:val="TextText11"/>
              <w:rPr>
                <w:color w:val="auto"/>
              </w:rPr>
            </w:pPr>
            <w:r w:rsidRPr="00064185">
              <w:rPr>
                <w:color w:val="auto"/>
              </w:rPr>
              <w:t>Relevance for read-across</w:t>
            </w:r>
          </w:p>
        </w:tc>
        <w:tc>
          <w:tcPr>
            <w:tcW w:w="3182" w:type="pct"/>
            <w:tcBorders>
              <w:top w:val="nil"/>
              <w:left w:val="nil"/>
              <w:bottom w:val="nil"/>
              <w:right w:val="nil"/>
            </w:tcBorders>
            <w:vAlign w:val="center"/>
          </w:tcPr>
          <w:p w14:paraId="3A081703" w14:textId="77777777" w:rsidR="00EA230B" w:rsidRPr="00064185" w:rsidRDefault="00EA230B" w:rsidP="00EA61D8">
            <w:pPr>
              <w:pStyle w:val="Standard-italics"/>
              <w:rPr>
                <w:i w:val="0"/>
              </w:rPr>
            </w:pPr>
            <w:r w:rsidRPr="00064185">
              <w:rPr>
                <w:i w:val="0"/>
              </w:rPr>
              <w:t xml:space="preserve">Yes </w:t>
            </w:r>
          </w:p>
        </w:tc>
        <w:tc>
          <w:tcPr>
            <w:tcW w:w="414" w:type="pct"/>
            <w:tcBorders>
              <w:top w:val="nil"/>
              <w:left w:val="nil"/>
              <w:bottom w:val="nil"/>
              <w:right w:val="nil"/>
            </w:tcBorders>
            <w:shd w:val="pct10" w:color="auto" w:fill="auto"/>
          </w:tcPr>
          <w:p w14:paraId="6367A202" w14:textId="77777777" w:rsidR="00EA230B" w:rsidRPr="00064185" w:rsidRDefault="00EA230B" w:rsidP="00EA61D8"/>
        </w:tc>
      </w:tr>
      <w:tr w:rsidR="00064185" w:rsidRPr="00064185" w14:paraId="3DDA8EBB" w14:textId="77777777" w:rsidTr="00E80C20">
        <w:tc>
          <w:tcPr>
            <w:tcW w:w="1403" w:type="pct"/>
          </w:tcPr>
          <w:p w14:paraId="52096F61" w14:textId="77777777" w:rsidR="00EA230B" w:rsidRPr="00064185" w:rsidRDefault="00EA230B" w:rsidP="00EA61D8">
            <w:pPr>
              <w:pStyle w:val="Kopfzeile"/>
              <w:keepNext/>
              <w:tabs>
                <w:tab w:val="clear" w:pos="4536"/>
                <w:tab w:val="clear" w:pos="9072"/>
              </w:tabs>
              <w:spacing w:before="60" w:after="60"/>
              <w:rPr>
                <w:lang w:val="en-GB"/>
              </w:rPr>
            </w:pPr>
          </w:p>
        </w:tc>
        <w:tc>
          <w:tcPr>
            <w:tcW w:w="3182" w:type="pct"/>
            <w:vAlign w:val="center"/>
          </w:tcPr>
          <w:p w14:paraId="4F02B33B" w14:textId="77777777" w:rsidR="00EA230B" w:rsidRPr="00064185" w:rsidRDefault="00EA230B" w:rsidP="00EA61D8">
            <w:pPr>
              <w:pStyle w:val="TEXTTEXT"/>
            </w:pPr>
            <w:r w:rsidRPr="00064185">
              <w:t>Applicant's Summary and conclusion</w:t>
            </w:r>
          </w:p>
        </w:tc>
        <w:tc>
          <w:tcPr>
            <w:tcW w:w="414" w:type="pct"/>
            <w:shd w:val="pct10" w:color="auto" w:fill="auto"/>
          </w:tcPr>
          <w:p w14:paraId="35A2B3DA" w14:textId="77777777" w:rsidR="00EA230B" w:rsidRPr="00064185" w:rsidRDefault="00EA230B" w:rsidP="00EA61D8">
            <w:pPr>
              <w:pStyle w:val="Kopfzeile"/>
              <w:keepNext/>
              <w:tabs>
                <w:tab w:val="clear" w:pos="4536"/>
                <w:tab w:val="clear" w:pos="9072"/>
              </w:tabs>
              <w:spacing w:before="60" w:after="60"/>
              <w:rPr>
                <w:lang w:val="en-GB"/>
              </w:rPr>
            </w:pPr>
          </w:p>
        </w:tc>
      </w:tr>
      <w:tr w:rsidR="00064185" w:rsidRPr="00064185" w14:paraId="5A568A54" w14:textId="77777777" w:rsidTr="00E80C20">
        <w:tc>
          <w:tcPr>
            <w:tcW w:w="1403" w:type="pct"/>
          </w:tcPr>
          <w:p w14:paraId="04A2824A" w14:textId="77777777" w:rsidR="00EA230B" w:rsidRPr="00064185" w:rsidRDefault="00EA230B" w:rsidP="00EA61D8">
            <w:pPr>
              <w:pStyle w:val="TextText11"/>
              <w:rPr>
                <w:color w:val="auto"/>
              </w:rPr>
            </w:pPr>
            <w:r w:rsidRPr="00064185">
              <w:rPr>
                <w:color w:val="auto"/>
              </w:rPr>
              <w:t>Materials and methods</w:t>
            </w:r>
          </w:p>
        </w:tc>
        <w:tc>
          <w:tcPr>
            <w:tcW w:w="3182" w:type="pct"/>
            <w:vAlign w:val="center"/>
          </w:tcPr>
          <w:p w14:paraId="696D0900" w14:textId="77777777" w:rsidR="00EA230B" w:rsidRPr="00064185" w:rsidRDefault="00EA230B" w:rsidP="00EA61D8">
            <w:pPr>
              <w:pStyle w:val="Standard-italics"/>
              <w:rPr>
                <w:i w:val="0"/>
              </w:rPr>
            </w:pPr>
            <w:r w:rsidRPr="00064185">
              <w:rPr>
                <w:i w:val="0"/>
              </w:rPr>
              <w:t>Assessment of the efficacy of speciality products under laboratory conditions to control woodlice by measuring the knock down effect and mortality after direct spray treatment and assessing the residual effects (up to 26 weeks) after spraying of ceramic or PVC tiles.</w:t>
            </w:r>
          </w:p>
        </w:tc>
        <w:tc>
          <w:tcPr>
            <w:tcW w:w="414" w:type="pct"/>
            <w:shd w:val="pct10" w:color="auto" w:fill="auto"/>
          </w:tcPr>
          <w:p w14:paraId="16FF4714" w14:textId="77777777" w:rsidR="00EA230B" w:rsidRPr="00064185" w:rsidRDefault="00EA230B" w:rsidP="00EA61D8">
            <w:pPr>
              <w:keepNext/>
            </w:pPr>
            <w:r w:rsidRPr="00064185">
              <w:t>x</w:t>
            </w:r>
          </w:p>
        </w:tc>
      </w:tr>
      <w:tr w:rsidR="00064185" w:rsidRPr="00064185" w14:paraId="6DD5BECE" w14:textId="77777777" w:rsidTr="00E80C20">
        <w:tc>
          <w:tcPr>
            <w:tcW w:w="1403" w:type="pct"/>
          </w:tcPr>
          <w:p w14:paraId="45059DF8" w14:textId="77777777" w:rsidR="00EA230B" w:rsidRPr="00064185" w:rsidRDefault="00EA230B" w:rsidP="00EA61D8">
            <w:pPr>
              <w:pStyle w:val="TextText11"/>
              <w:rPr>
                <w:color w:val="auto"/>
              </w:rPr>
            </w:pPr>
            <w:r w:rsidRPr="00064185">
              <w:rPr>
                <w:color w:val="auto"/>
              </w:rPr>
              <w:t>Reliability</w:t>
            </w:r>
          </w:p>
        </w:tc>
        <w:tc>
          <w:tcPr>
            <w:tcW w:w="3182" w:type="pct"/>
            <w:vAlign w:val="center"/>
          </w:tcPr>
          <w:p w14:paraId="038A0AB0" w14:textId="77777777" w:rsidR="00EA230B" w:rsidRPr="00064185" w:rsidRDefault="00EA230B" w:rsidP="00EA61D8">
            <w:pPr>
              <w:pStyle w:val="Standard-italics"/>
              <w:rPr>
                <w:i w:val="0"/>
              </w:rPr>
            </w:pPr>
            <w:r w:rsidRPr="00064185">
              <w:rPr>
                <w:i w:val="0"/>
              </w:rPr>
              <w:t>2</w:t>
            </w:r>
          </w:p>
        </w:tc>
        <w:tc>
          <w:tcPr>
            <w:tcW w:w="414" w:type="pct"/>
            <w:shd w:val="pct10" w:color="auto" w:fill="auto"/>
          </w:tcPr>
          <w:p w14:paraId="61C8C260" w14:textId="77777777" w:rsidR="00EA230B" w:rsidRPr="00064185" w:rsidRDefault="00EA230B" w:rsidP="00EA61D8">
            <w:r w:rsidRPr="00064185">
              <w:t>x</w:t>
            </w:r>
          </w:p>
        </w:tc>
      </w:tr>
      <w:tr w:rsidR="00064185" w:rsidRPr="00064185" w14:paraId="4B19CABC" w14:textId="77777777" w:rsidTr="00E80C20">
        <w:tc>
          <w:tcPr>
            <w:tcW w:w="1403" w:type="pct"/>
          </w:tcPr>
          <w:p w14:paraId="3C05CE30" w14:textId="77777777" w:rsidR="00EA230B" w:rsidRPr="00064185" w:rsidRDefault="00EA230B" w:rsidP="00EA61D8">
            <w:pPr>
              <w:pStyle w:val="TextText11"/>
              <w:rPr>
                <w:color w:val="auto"/>
              </w:rPr>
            </w:pPr>
            <w:r w:rsidRPr="00064185">
              <w:rPr>
                <w:color w:val="auto"/>
              </w:rPr>
              <w:t>Assessment of efficacy, data analysis and interpretation</w:t>
            </w:r>
          </w:p>
        </w:tc>
        <w:tc>
          <w:tcPr>
            <w:tcW w:w="3182" w:type="pct"/>
            <w:vAlign w:val="center"/>
          </w:tcPr>
          <w:p w14:paraId="45C3C9E6" w14:textId="77777777" w:rsidR="00EA230B" w:rsidRPr="00064185" w:rsidRDefault="00EA230B" w:rsidP="00EA61D8">
            <w:pPr>
              <w:pStyle w:val="Standard-italics"/>
              <w:rPr>
                <w:i w:val="0"/>
              </w:rPr>
            </w:pPr>
            <w:r w:rsidRPr="00064185">
              <w:rPr>
                <w:i w:val="0"/>
              </w:rPr>
              <w:t xml:space="preserve">In the conditions of the trial, COM 116 02 I AL (spray) has proved a complete and fast efficacy towards the woodlice species </w:t>
            </w:r>
            <w:r w:rsidRPr="00064185">
              <w:t>Porcellio scaber.</w:t>
            </w:r>
          </w:p>
        </w:tc>
        <w:tc>
          <w:tcPr>
            <w:tcW w:w="414" w:type="pct"/>
            <w:shd w:val="pct10" w:color="auto" w:fill="auto"/>
          </w:tcPr>
          <w:p w14:paraId="03255AD2" w14:textId="77777777" w:rsidR="00EA230B" w:rsidRPr="00064185" w:rsidRDefault="00EA230B" w:rsidP="00EA61D8"/>
        </w:tc>
      </w:tr>
      <w:tr w:rsidR="00064185" w:rsidRPr="00064185" w14:paraId="7E07846B" w14:textId="77777777" w:rsidTr="00E80C20">
        <w:tc>
          <w:tcPr>
            <w:tcW w:w="1403" w:type="pct"/>
          </w:tcPr>
          <w:p w14:paraId="37835ABA" w14:textId="77777777" w:rsidR="00EA230B" w:rsidRPr="00064185" w:rsidRDefault="00EA230B" w:rsidP="00EA61D8">
            <w:pPr>
              <w:pStyle w:val="TextText11"/>
              <w:rPr>
                <w:color w:val="auto"/>
              </w:rPr>
            </w:pPr>
            <w:r w:rsidRPr="00064185">
              <w:rPr>
                <w:color w:val="auto"/>
              </w:rPr>
              <w:lastRenderedPageBreak/>
              <w:t>Conclusion</w:t>
            </w:r>
          </w:p>
        </w:tc>
        <w:tc>
          <w:tcPr>
            <w:tcW w:w="3182" w:type="pct"/>
            <w:vAlign w:val="center"/>
          </w:tcPr>
          <w:p w14:paraId="453C668A" w14:textId="77777777" w:rsidR="00EA230B" w:rsidRPr="00064185" w:rsidRDefault="00EA230B" w:rsidP="00EA61D8">
            <w:pPr>
              <w:pStyle w:val="Standard-italics"/>
              <w:rPr>
                <w:i w:val="0"/>
              </w:rPr>
            </w:pPr>
            <w:r w:rsidRPr="00064185">
              <w:rPr>
                <w:i w:val="0"/>
              </w:rPr>
              <w:t xml:space="preserve">The results show that COM 116 02 I AL has a complete and fast efficacy against </w:t>
            </w:r>
            <w:r w:rsidRPr="00064185">
              <w:t>Porcellio scaber.</w:t>
            </w:r>
          </w:p>
        </w:tc>
        <w:tc>
          <w:tcPr>
            <w:tcW w:w="414" w:type="pct"/>
            <w:shd w:val="pct10" w:color="auto" w:fill="auto"/>
          </w:tcPr>
          <w:p w14:paraId="39369539" w14:textId="77777777" w:rsidR="00EA230B" w:rsidRPr="00064185" w:rsidRDefault="00EA230B" w:rsidP="00EA61D8"/>
        </w:tc>
      </w:tr>
      <w:tr w:rsidR="00064185" w:rsidRPr="00064185" w14:paraId="2D8D80D1" w14:textId="77777777" w:rsidTr="00E8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pct"/>
            <w:tcBorders>
              <w:top w:val="nil"/>
              <w:left w:val="nil"/>
              <w:bottom w:val="nil"/>
              <w:right w:val="nil"/>
            </w:tcBorders>
          </w:tcPr>
          <w:p w14:paraId="016FFF7A" w14:textId="77777777" w:rsidR="00EA230B" w:rsidRPr="00064185" w:rsidRDefault="00EA230B" w:rsidP="00EA61D8">
            <w:pPr>
              <w:pStyle w:val="TextText11"/>
              <w:rPr>
                <w:color w:val="auto"/>
              </w:rPr>
            </w:pPr>
            <w:r w:rsidRPr="00064185">
              <w:rPr>
                <w:color w:val="auto"/>
              </w:rPr>
              <w:t>Proposed efficacy specification</w:t>
            </w:r>
          </w:p>
        </w:tc>
        <w:tc>
          <w:tcPr>
            <w:tcW w:w="3182" w:type="pct"/>
            <w:tcBorders>
              <w:top w:val="nil"/>
              <w:left w:val="nil"/>
              <w:bottom w:val="nil"/>
              <w:right w:val="nil"/>
            </w:tcBorders>
            <w:vAlign w:val="center"/>
          </w:tcPr>
          <w:p w14:paraId="40A88F83" w14:textId="77777777" w:rsidR="00EA230B" w:rsidRPr="00064185" w:rsidRDefault="00EA230B" w:rsidP="00EA61D8">
            <w:pPr>
              <w:rPr>
                <w:i/>
              </w:rPr>
            </w:pPr>
            <w:r w:rsidRPr="00064185">
              <w:rPr>
                <w:i/>
              </w:rPr>
              <w:t>–</w:t>
            </w:r>
          </w:p>
        </w:tc>
        <w:tc>
          <w:tcPr>
            <w:tcW w:w="414" w:type="pct"/>
            <w:tcBorders>
              <w:top w:val="nil"/>
              <w:left w:val="nil"/>
              <w:bottom w:val="nil"/>
              <w:right w:val="nil"/>
            </w:tcBorders>
            <w:shd w:val="pct10" w:color="auto" w:fill="auto"/>
          </w:tcPr>
          <w:p w14:paraId="1D96642B" w14:textId="77777777" w:rsidR="00EA230B" w:rsidRPr="00064185" w:rsidRDefault="00EA230B" w:rsidP="00EA61D8"/>
        </w:tc>
      </w:tr>
    </w:tbl>
    <w:p w14:paraId="2893986F" w14:textId="77777777" w:rsidR="00EA230B" w:rsidRPr="00064185" w:rsidRDefault="00EA230B" w:rsidP="00EA61D8">
      <w:pPr>
        <w:rPr>
          <w:b/>
        </w:rPr>
      </w:pPr>
      <w:r w:rsidRPr="00064185">
        <w:rPr>
          <w:b/>
        </w:rPr>
        <w:br w:type="page"/>
      </w:r>
    </w:p>
    <w:tbl>
      <w:tblPr>
        <w:tblW w:w="5000" w:type="pct"/>
        <w:tblCellMar>
          <w:left w:w="70" w:type="dxa"/>
          <w:right w:w="70" w:type="dxa"/>
        </w:tblCellMar>
        <w:tblLook w:val="0000" w:firstRow="0" w:lastRow="0" w:firstColumn="0" w:lastColumn="0" w:noHBand="0" w:noVBand="0"/>
      </w:tblPr>
      <w:tblGrid>
        <w:gridCol w:w="2624"/>
        <w:gridCol w:w="5955"/>
        <w:gridCol w:w="775"/>
      </w:tblGrid>
      <w:tr w:rsidR="00064185" w:rsidRPr="00064185" w14:paraId="7FBB4667" w14:textId="77777777" w:rsidTr="00E80C20">
        <w:trPr>
          <w:cantSplit/>
          <w:tblHeader/>
        </w:trPr>
        <w:tc>
          <w:tcPr>
            <w:tcW w:w="1403" w:type="pct"/>
            <w:tcBorders>
              <w:bottom w:val="single" w:sz="4" w:space="0" w:color="auto"/>
            </w:tcBorders>
          </w:tcPr>
          <w:p w14:paraId="414BB13E" w14:textId="77777777" w:rsidR="00EA230B" w:rsidRPr="00064185" w:rsidRDefault="00EA230B" w:rsidP="00EA61D8">
            <w:pPr>
              <w:pStyle w:val="SectionHeader"/>
            </w:pPr>
            <w:r w:rsidRPr="00064185">
              <w:lastRenderedPageBreak/>
              <w:t>Section B5.10</w:t>
            </w:r>
            <w:r w:rsidRPr="00064185">
              <w:br/>
            </w:r>
            <w:r w:rsidRPr="00064185">
              <w:rPr>
                <w:sz w:val="20"/>
              </w:rPr>
              <w:t>Annex Point IIB5.10</w:t>
            </w:r>
            <w:r w:rsidRPr="00064185">
              <w:rPr>
                <w:sz w:val="20"/>
              </w:rPr>
              <w:br/>
              <w:t>TNsG: Pt. I-B5.10,</w:t>
            </w:r>
            <w:r w:rsidRPr="00064185">
              <w:rPr>
                <w:sz w:val="20"/>
              </w:rPr>
              <w:br/>
              <w:t>Pt. III-Ch. 6</w:t>
            </w:r>
          </w:p>
        </w:tc>
        <w:tc>
          <w:tcPr>
            <w:tcW w:w="3183" w:type="pct"/>
            <w:tcBorders>
              <w:bottom w:val="single" w:sz="4" w:space="0" w:color="auto"/>
            </w:tcBorders>
            <w:vAlign w:val="center"/>
          </w:tcPr>
          <w:p w14:paraId="0FDB65FA" w14:textId="77777777" w:rsidR="00EA230B" w:rsidRPr="00064185" w:rsidRDefault="00EA230B" w:rsidP="00EA61D8">
            <w:pPr>
              <w:pStyle w:val="SectionHeader"/>
            </w:pPr>
            <w:r w:rsidRPr="00064185">
              <w:t xml:space="preserve">Efficacy Data </w:t>
            </w:r>
          </w:p>
          <w:p w14:paraId="6EE3E21D" w14:textId="77777777" w:rsidR="00EA230B" w:rsidRPr="00064185" w:rsidRDefault="00EA230B" w:rsidP="00EA61D8">
            <w:pPr>
              <w:pStyle w:val="SectionHeader"/>
              <w:rPr>
                <w:b w:val="0"/>
                <w:sz w:val="20"/>
              </w:rPr>
            </w:pPr>
            <w:r w:rsidRPr="00064185">
              <w:rPr>
                <w:b w:val="0"/>
                <w:sz w:val="20"/>
              </w:rPr>
              <w:t>5.10.</w:t>
            </w:r>
            <w:r w:rsidRPr="00064185">
              <w:t xml:space="preserve"> </w:t>
            </w:r>
            <w:r w:rsidRPr="00064185">
              <w:rPr>
                <w:b w:val="0"/>
                <w:sz w:val="20"/>
              </w:rPr>
              <w:t>Effects on target organisms (PT 18; Study 5)</w:t>
            </w:r>
          </w:p>
          <w:p w14:paraId="37665883" w14:textId="77777777" w:rsidR="00EA230B" w:rsidRPr="00064185" w:rsidRDefault="00EA230B" w:rsidP="00EA61D8">
            <w:pPr>
              <w:pStyle w:val="SectionHeader"/>
            </w:pPr>
          </w:p>
        </w:tc>
        <w:tc>
          <w:tcPr>
            <w:tcW w:w="414" w:type="pct"/>
            <w:tcBorders>
              <w:bottom w:val="single" w:sz="4" w:space="0" w:color="auto"/>
            </w:tcBorders>
          </w:tcPr>
          <w:p w14:paraId="6C5E7BAB" w14:textId="77777777" w:rsidR="00EA230B" w:rsidRPr="00064185" w:rsidRDefault="00EA230B" w:rsidP="00EA61D8">
            <w:pPr>
              <w:pStyle w:val="Official-Use"/>
              <w:keepNext/>
              <w:jc w:val="left"/>
              <w:rPr>
                <w:b/>
                <w:vanish/>
              </w:rPr>
            </w:pPr>
          </w:p>
        </w:tc>
      </w:tr>
      <w:tr w:rsidR="00064185" w:rsidRPr="00064185" w14:paraId="7A8CC396" w14:textId="77777777" w:rsidTr="00E80C20">
        <w:trPr>
          <w:cantSplit/>
          <w:tblHeader/>
        </w:trPr>
        <w:tc>
          <w:tcPr>
            <w:tcW w:w="1403" w:type="pct"/>
            <w:tcBorders>
              <w:top w:val="single" w:sz="4" w:space="0" w:color="auto"/>
            </w:tcBorders>
          </w:tcPr>
          <w:p w14:paraId="4E88E437" w14:textId="77777777" w:rsidR="00EA230B" w:rsidRPr="00064185" w:rsidRDefault="00EA230B" w:rsidP="00EA61D8">
            <w:pPr>
              <w:pStyle w:val="HalbeLeerzeile"/>
            </w:pPr>
          </w:p>
        </w:tc>
        <w:tc>
          <w:tcPr>
            <w:tcW w:w="3183" w:type="pct"/>
            <w:tcBorders>
              <w:top w:val="single" w:sz="4" w:space="0" w:color="auto"/>
            </w:tcBorders>
            <w:vAlign w:val="center"/>
          </w:tcPr>
          <w:p w14:paraId="74A7E320" w14:textId="77777777" w:rsidR="00EA230B" w:rsidRPr="00064185" w:rsidRDefault="00EA230B" w:rsidP="00EA61D8">
            <w:pPr>
              <w:pStyle w:val="HalbeLeerzeile"/>
            </w:pPr>
          </w:p>
        </w:tc>
        <w:tc>
          <w:tcPr>
            <w:tcW w:w="414" w:type="pct"/>
            <w:tcBorders>
              <w:top w:val="single" w:sz="4" w:space="0" w:color="auto"/>
            </w:tcBorders>
          </w:tcPr>
          <w:p w14:paraId="67C137F6" w14:textId="77777777" w:rsidR="00EA230B" w:rsidRPr="00064185" w:rsidRDefault="00EA230B" w:rsidP="00EA61D8">
            <w:pPr>
              <w:pStyle w:val="HalbeLeerzeile"/>
              <w:rPr>
                <w:b/>
                <w:vanish/>
              </w:rPr>
            </w:pPr>
          </w:p>
        </w:tc>
      </w:tr>
      <w:tr w:rsidR="00064185" w:rsidRPr="00064185" w14:paraId="0055205C" w14:textId="77777777" w:rsidTr="00E80C20">
        <w:trPr>
          <w:cantSplit/>
          <w:tblHeader/>
        </w:trPr>
        <w:tc>
          <w:tcPr>
            <w:tcW w:w="1403" w:type="pct"/>
            <w:tcBorders>
              <w:top w:val="single" w:sz="4" w:space="0" w:color="auto"/>
              <w:left w:val="single" w:sz="4" w:space="0" w:color="auto"/>
              <w:bottom w:val="single" w:sz="4" w:space="0" w:color="auto"/>
            </w:tcBorders>
            <w:shd w:val="pct15" w:color="auto" w:fill="auto"/>
          </w:tcPr>
          <w:p w14:paraId="05384EED" w14:textId="77777777" w:rsidR="00EA230B" w:rsidRPr="00064185" w:rsidRDefault="00EA230B" w:rsidP="00EA61D8">
            <w:pPr>
              <w:pStyle w:val="SectionHeader"/>
            </w:pPr>
          </w:p>
        </w:tc>
        <w:tc>
          <w:tcPr>
            <w:tcW w:w="3183" w:type="pct"/>
            <w:tcBorders>
              <w:top w:val="single" w:sz="4" w:space="0" w:color="auto"/>
              <w:bottom w:val="single" w:sz="4" w:space="0" w:color="auto"/>
            </w:tcBorders>
            <w:shd w:val="pct15" w:color="auto" w:fill="auto"/>
            <w:vAlign w:val="center"/>
          </w:tcPr>
          <w:p w14:paraId="5C389045" w14:textId="77777777" w:rsidR="00EA230B" w:rsidRPr="00064185" w:rsidRDefault="00EA230B" w:rsidP="00EA61D8">
            <w:pPr>
              <w:pStyle w:val="SectionHeader"/>
            </w:pPr>
            <w:r w:rsidRPr="00064185">
              <w:t>Evaluation by Competent Authorities</w:t>
            </w:r>
          </w:p>
        </w:tc>
        <w:tc>
          <w:tcPr>
            <w:tcW w:w="414" w:type="pct"/>
            <w:tcBorders>
              <w:top w:val="single" w:sz="4" w:space="0" w:color="auto"/>
              <w:bottom w:val="single" w:sz="4" w:space="0" w:color="auto"/>
              <w:right w:val="single" w:sz="4" w:space="0" w:color="auto"/>
            </w:tcBorders>
            <w:shd w:val="pct15" w:color="auto" w:fill="auto"/>
          </w:tcPr>
          <w:p w14:paraId="01038D6C" w14:textId="77777777" w:rsidR="00EA230B" w:rsidRPr="00064185" w:rsidRDefault="00EA230B" w:rsidP="00EA61D8">
            <w:pPr>
              <w:pStyle w:val="SectionHeader"/>
              <w:rPr>
                <w:b w:val="0"/>
                <w:vanish/>
              </w:rPr>
            </w:pPr>
          </w:p>
        </w:tc>
      </w:tr>
      <w:tr w:rsidR="00064185" w:rsidRPr="00064185" w14:paraId="3CDF021A" w14:textId="77777777" w:rsidTr="00E80C20">
        <w:tc>
          <w:tcPr>
            <w:tcW w:w="1403" w:type="pct"/>
            <w:tcBorders>
              <w:left w:val="single" w:sz="4" w:space="0" w:color="auto"/>
            </w:tcBorders>
          </w:tcPr>
          <w:p w14:paraId="5CC71EC5" w14:textId="77777777" w:rsidR="00EA230B" w:rsidRPr="00064185" w:rsidRDefault="00EA230B" w:rsidP="00EA61D8">
            <w:pPr>
              <w:pStyle w:val="Standard-fett"/>
              <w:keepNext/>
            </w:pPr>
          </w:p>
        </w:tc>
        <w:tc>
          <w:tcPr>
            <w:tcW w:w="3183" w:type="pct"/>
            <w:vAlign w:val="center"/>
          </w:tcPr>
          <w:p w14:paraId="5DF45D7E" w14:textId="77777777" w:rsidR="00EA230B" w:rsidRPr="00064185" w:rsidRDefault="00EA230B" w:rsidP="00EA61D8">
            <w:pPr>
              <w:pStyle w:val="Textkrper2"/>
              <w:rPr>
                <w:color w:val="auto"/>
              </w:rPr>
            </w:pPr>
            <w:r w:rsidRPr="00064185">
              <w:rPr>
                <w:color w:val="auto"/>
              </w:rPr>
              <w:t>Use separate "evaluation boxes" to provide transparency as to the comments and views submitted</w:t>
            </w:r>
          </w:p>
        </w:tc>
        <w:tc>
          <w:tcPr>
            <w:tcW w:w="414" w:type="pct"/>
            <w:tcBorders>
              <w:right w:val="single" w:sz="4" w:space="0" w:color="auto"/>
            </w:tcBorders>
          </w:tcPr>
          <w:p w14:paraId="02B38AC3" w14:textId="77777777" w:rsidR="00EA230B" w:rsidRPr="00064185" w:rsidRDefault="00EA230B" w:rsidP="00EA61D8">
            <w:pPr>
              <w:pStyle w:val="Standard-fett"/>
            </w:pPr>
          </w:p>
        </w:tc>
      </w:tr>
      <w:tr w:rsidR="00064185" w:rsidRPr="00064185" w14:paraId="4C56326E" w14:textId="77777777" w:rsidTr="00E80C20">
        <w:trPr>
          <w:cantSplit/>
        </w:trPr>
        <w:tc>
          <w:tcPr>
            <w:tcW w:w="1403" w:type="pct"/>
            <w:tcBorders>
              <w:top w:val="single" w:sz="4" w:space="0" w:color="auto"/>
              <w:left w:val="single" w:sz="4" w:space="0" w:color="auto"/>
            </w:tcBorders>
          </w:tcPr>
          <w:p w14:paraId="5260802E" w14:textId="77777777" w:rsidR="00EA230B" w:rsidRPr="00064185" w:rsidRDefault="00EA230B" w:rsidP="00EA61D8">
            <w:pPr>
              <w:rPr>
                <w:b/>
                <w:sz w:val="28"/>
                <w:szCs w:val="28"/>
              </w:rPr>
            </w:pPr>
          </w:p>
        </w:tc>
        <w:tc>
          <w:tcPr>
            <w:tcW w:w="3597" w:type="pct"/>
            <w:gridSpan w:val="2"/>
            <w:tcBorders>
              <w:top w:val="single" w:sz="4" w:space="0" w:color="auto"/>
              <w:right w:val="single" w:sz="4" w:space="0" w:color="auto"/>
            </w:tcBorders>
            <w:vAlign w:val="center"/>
          </w:tcPr>
          <w:p w14:paraId="5B22424C" w14:textId="77777777" w:rsidR="00EA230B" w:rsidRPr="00064185" w:rsidRDefault="00EA230B" w:rsidP="00EA61D8">
            <w:pPr>
              <w:rPr>
                <w:b/>
                <w:sz w:val="28"/>
                <w:szCs w:val="28"/>
              </w:rPr>
            </w:pPr>
            <w:r w:rsidRPr="00064185">
              <w:rPr>
                <w:b/>
                <w:sz w:val="28"/>
                <w:szCs w:val="28"/>
              </w:rPr>
              <w:t>Evaluation by Rapporteur Member State</w:t>
            </w:r>
          </w:p>
        </w:tc>
      </w:tr>
      <w:tr w:rsidR="00064185" w:rsidRPr="00064185" w14:paraId="69FE2B42" w14:textId="77777777" w:rsidTr="00E80C20">
        <w:trPr>
          <w:cantSplit/>
        </w:trPr>
        <w:tc>
          <w:tcPr>
            <w:tcW w:w="1403" w:type="pct"/>
            <w:tcBorders>
              <w:left w:val="single" w:sz="4" w:space="0" w:color="auto"/>
            </w:tcBorders>
          </w:tcPr>
          <w:p w14:paraId="21D9711E" w14:textId="77777777" w:rsidR="00EA230B" w:rsidRPr="00064185" w:rsidRDefault="00EA230B" w:rsidP="00EA61D8">
            <w:pPr>
              <w:rPr>
                <w:b/>
                <w:sz w:val="28"/>
                <w:szCs w:val="28"/>
              </w:rPr>
            </w:pPr>
            <w:r w:rsidRPr="00064185">
              <w:rPr>
                <w:b/>
                <w:sz w:val="28"/>
                <w:szCs w:val="28"/>
              </w:rPr>
              <w:t>Date</w:t>
            </w:r>
          </w:p>
        </w:tc>
        <w:tc>
          <w:tcPr>
            <w:tcW w:w="3597" w:type="pct"/>
            <w:gridSpan w:val="2"/>
            <w:tcBorders>
              <w:right w:val="single" w:sz="4" w:space="0" w:color="auto"/>
            </w:tcBorders>
            <w:vAlign w:val="center"/>
          </w:tcPr>
          <w:p w14:paraId="2DD5467E" w14:textId="77777777" w:rsidR="00EA230B" w:rsidRPr="00064185" w:rsidRDefault="00EA230B" w:rsidP="00EA61D8">
            <w:pPr>
              <w:pStyle w:val="Standard-italics"/>
              <w:rPr>
                <w:i w:val="0"/>
              </w:rPr>
            </w:pPr>
            <w:r w:rsidRPr="00064185">
              <w:rPr>
                <w:i w:val="0"/>
              </w:rPr>
              <w:t>July 2015</w:t>
            </w:r>
          </w:p>
        </w:tc>
      </w:tr>
      <w:tr w:rsidR="00064185" w:rsidRPr="00064185" w14:paraId="02B7874C" w14:textId="77777777" w:rsidTr="00E80C20">
        <w:trPr>
          <w:cantSplit/>
        </w:trPr>
        <w:tc>
          <w:tcPr>
            <w:tcW w:w="1403" w:type="pct"/>
            <w:tcBorders>
              <w:left w:val="single" w:sz="4" w:space="0" w:color="auto"/>
            </w:tcBorders>
          </w:tcPr>
          <w:p w14:paraId="56CE7ADC" w14:textId="77777777" w:rsidR="00EA230B" w:rsidRPr="00064185" w:rsidRDefault="00EA230B" w:rsidP="00EA61D8">
            <w:pPr>
              <w:rPr>
                <w:b/>
                <w:sz w:val="28"/>
                <w:szCs w:val="28"/>
              </w:rPr>
            </w:pPr>
            <w:r w:rsidRPr="00064185">
              <w:rPr>
                <w:b/>
                <w:sz w:val="28"/>
                <w:szCs w:val="28"/>
              </w:rPr>
              <w:t>Comments</w:t>
            </w:r>
            <w:r w:rsidRPr="00064185">
              <w:rPr>
                <w:b/>
                <w:sz w:val="28"/>
                <w:szCs w:val="28"/>
              </w:rPr>
              <w:br/>
            </w:r>
            <w:r w:rsidRPr="00064185">
              <w:rPr>
                <w:b/>
                <w:sz w:val="28"/>
                <w:szCs w:val="28"/>
              </w:rPr>
              <w:br/>
            </w:r>
          </w:p>
        </w:tc>
        <w:tc>
          <w:tcPr>
            <w:tcW w:w="3597" w:type="pct"/>
            <w:gridSpan w:val="2"/>
            <w:tcBorders>
              <w:right w:val="single" w:sz="4" w:space="0" w:color="auto"/>
            </w:tcBorders>
            <w:vAlign w:val="center"/>
          </w:tcPr>
          <w:p w14:paraId="4A4C3BBD" w14:textId="77777777" w:rsidR="00EA230B" w:rsidRPr="00064185" w:rsidRDefault="00EA230B" w:rsidP="00EA61D8">
            <w:pPr>
              <w:pStyle w:val="Standard-italics"/>
              <w:rPr>
                <w:i w:val="0"/>
              </w:rPr>
            </w:pPr>
            <w:r w:rsidRPr="00064185">
              <w:rPr>
                <w:i w:val="0"/>
              </w:rPr>
              <w:t xml:space="preserve">2.3.3 </w:t>
            </w:r>
            <w:r w:rsidRPr="00064185">
              <w:rPr>
                <w:i w:val="0"/>
              </w:rPr>
              <w:tab/>
              <w:t>Application of TS: 2 seconds spray corresponds to an application of 2.8g product (information of the applicant)</w:t>
            </w:r>
          </w:p>
          <w:p w14:paraId="699C9820" w14:textId="77777777" w:rsidR="00EA230B" w:rsidRPr="00064185" w:rsidRDefault="00EA230B" w:rsidP="00EA61D8">
            <w:pPr>
              <w:pStyle w:val="Standard-italics"/>
              <w:rPr>
                <w:i w:val="0"/>
              </w:rPr>
            </w:pPr>
            <w:r w:rsidRPr="00064185">
              <w:rPr>
                <w:i w:val="0"/>
              </w:rPr>
              <w:t>5.1</w:t>
            </w:r>
            <w:r w:rsidRPr="00064185">
              <w:t xml:space="preserve"> </w:t>
            </w:r>
            <w:r w:rsidRPr="00064185">
              <w:rPr>
                <w:i w:val="0"/>
              </w:rPr>
              <w:t>5.1</w:t>
            </w:r>
            <w:r w:rsidRPr="00064185">
              <w:rPr>
                <w:i w:val="0"/>
              </w:rPr>
              <w:tab/>
              <w:t>Materials and methods Ceramic tiles were assessed for a maximum of 25 and 26 weeks, respectively. In both cases all test animals were reported as dead after 12 h</w:t>
            </w:r>
          </w:p>
          <w:p w14:paraId="3784F4FE" w14:textId="77777777" w:rsidR="00EA230B" w:rsidRPr="00064185" w:rsidRDefault="00EA230B" w:rsidP="00EA61D8">
            <w:pPr>
              <w:pStyle w:val="Standard-italics"/>
              <w:rPr>
                <w:i w:val="0"/>
              </w:rPr>
            </w:pPr>
            <w:r w:rsidRPr="00064185">
              <w:rPr>
                <w:i w:val="0"/>
              </w:rPr>
              <w:t xml:space="preserve">5.2. Reliability: Agreed, because of the weak documentation. </w:t>
            </w:r>
          </w:p>
        </w:tc>
      </w:tr>
      <w:tr w:rsidR="00EA230B" w:rsidRPr="00064185" w14:paraId="1C903EB8" w14:textId="77777777" w:rsidTr="00E80C20">
        <w:trPr>
          <w:cantSplit/>
        </w:trPr>
        <w:tc>
          <w:tcPr>
            <w:tcW w:w="1403" w:type="pct"/>
            <w:tcBorders>
              <w:left w:val="single" w:sz="4" w:space="0" w:color="auto"/>
              <w:bottom w:val="single" w:sz="4" w:space="0" w:color="auto"/>
            </w:tcBorders>
          </w:tcPr>
          <w:p w14:paraId="55CE2BFA" w14:textId="77777777" w:rsidR="00EA230B" w:rsidRPr="00064185" w:rsidRDefault="00EA230B" w:rsidP="00EA61D8">
            <w:pPr>
              <w:rPr>
                <w:b/>
                <w:sz w:val="28"/>
                <w:szCs w:val="28"/>
              </w:rPr>
            </w:pPr>
            <w:r w:rsidRPr="00064185">
              <w:rPr>
                <w:b/>
                <w:sz w:val="28"/>
                <w:szCs w:val="28"/>
              </w:rPr>
              <w:t>Summary and conclusion</w:t>
            </w:r>
            <w:r w:rsidRPr="00064185">
              <w:rPr>
                <w:b/>
                <w:sz w:val="28"/>
                <w:szCs w:val="28"/>
              </w:rPr>
              <w:br/>
            </w:r>
            <w:r w:rsidRPr="00064185">
              <w:rPr>
                <w:b/>
                <w:sz w:val="28"/>
                <w:szCs w:val="28"/>
              </w:rPr>
              <w:br/>
            </w:r>
          </w:p>
        </w:tc>
        <w:tc>
          <w:tcPr>
            <w:tcW w:w="3597" w:type="pct"/>
            <w:gridSpan w:val="2"/>
            <w:tcBorders>
              <w:bottom w:val="single" w:sz="4" w:space="0" w:color="auto"/>
              <w:right w:val="single" w:sz="4" w:space="0" w:color="auto"/>
            </w:tcBorders>
            <w:vAlign w:val="center"/>
          </w:tcPr>
          <w:p w14:paraId="6179E698" w14:textId="77777777" w:rsidR="00EA230B" w:rsidRPr="00064185" w:rsidRDefault="00EA230B" w:rsidP="00EA61D8">
            <w:pPr>
              <w:pStyle w:val="Standard-italics"/>
            </w:pPr>
            <w:r w:rsidRPr="00064185">
              <w:rPr>
                <w:i w:val="0"/>
              </w:rPr>
              <w:t>Agree with applicant´s version.</w:t>
            </w:r>
          </w:p>
        </w:tc>
      </w:tr>
    </w:tbl>
    <w:p w14:paraId="64C2E917" w14:textId="77777777" w:rsidR="00EA230B" w:rsidRPr="00064185" w:rsidRDefault="00EA230B" w:rsidP="00EA61D8">
      <w:pPr>
        <w:keepNext/>
      </w:pPr>
    </w:p>
    <w:p w14:paraId="3909CD8E" w14:textId="77777777" w:rsidR="00EA230B" w:rsidRPr="00064185" w:rsidRDefault="00EA230B" w:rsidP="00EA61D8">
      <w:pPr>
        <w:pStyle w:val="Standard-fett"/>
        <w:outlineLvl w:val="0"/>
        <w:sectPr w:rsidR="00EA230B" w:rsidRPr="00064185" w:rsidSect="003E5B50">
          <w:endnotePr>
            <w:numFmt w:val="decimal"/>
          </w:endnotePr>
          <w:pgSz w:w="11907" w:h="16840" w:code="9"/>
          <w:pgMar w:top="1474" w:right="1247" w:bottom="2013" w:left="1446" w:header="850" w:footer="850" w:gutter="0"/>
          <w:cols w:space="720"/>
          <w:titlePg/>
          <w:docGrid w:linePitch="272"/>
        </w:sectPr>
      </w:pPr>
    </w:p>
    <w:p w14:paraId="00E40EF8" w14:textId="77777777" w:rsidR="00234984" w:rsidRPr="00064185" w:rsidRDefault="00234984" w:rsidP="00EA61D8">
      <w:pPr>
        <w:rPr>
          <w:rFonts w:eastAsia="Calibri"/>
          <w:b/>
          <w:caps/>
          <w:sz w:val="28"/>
          <w:szCs w:val="28"/>
          <w:lang w:eastAsia="en-US"/>
        </w:rPr>
      </w:pPr>
    </w:p>
    <w:p w14:paraId="481F0361" w14:textId="77777777" w:rsidR="00A53EE0" w:rsidRPr="00064185" w:rsidRDefault="00A53EE0" w:rsidP="00EA61D8">
      <w:pPr>
        <w:pStyle w:val="berschrift2"/>
        <w:rPr>
          <w:color w:val="auto"/>
        </w:rPr>
      </w:pPr>
      <w:bookmarkStart w:id="2161" w:name="_Toc530563704"/>
      <w:r w:rsidRPr="00064185">
        <w:rPr>
          <w:color w:val="auto"/>
        </w:rPr>
        <w:t>Confidential annex</w:t>
      </w:r>
      <w:bookmarkEnd w:id="2161"/>
      <w:r w:rsidRPr="00064185">
        <w:rPr>
          <w:color w:val="auto"/>
        </w:rPr>
        <w:t xml:space="preserve"> </w:t>
      </w:r>
    </w:p>
    <w:p w14:paraId="2419CA9B" w14:textId="16CEC9F0" w:rsidR="001E561F" w:rsidRPr="00064185" w:rsidRDefault="001E561F" w:rsidP="001E561F">
      <w:pPr>
        <w:pStyle w:val="Absatz"/>
        <w:ind w:left="0"/>
        <w:rPr>
          <w:rFonts w:ascii="Verdana" w:eastAsia="Calibri" w:hAnsi="Verdana" w:cs="Arial"/>
          <w:lang w:val="en-US" w:eastAsia="en-US"/>
        </w:rPr>
      </w:pPr>
      <w:bookmarkStart w:id="2162" w:name="_Toc389729200"/>
      <w:bookmarkStart w:id="2163" w:name="_Toc403472833"/>
      <w:bookmarkStart w:id="2164" w:name="_Toc495912779"/>
      <w:bookmarkStart w:id="2165" w:name="_Toc495915348"/>
      <w:bookmarkStart w:id="2166" w:name="_Toc508609274"/>
      <w:bookmarkStart w:id="2167" w:name="_Toc511907836"/>
      <w:bookmarkStart w:id="2168" w:name="_Toc530563705"/>
      <w:r w:rsidRPr="00064185">
        <w:rPr>
          <w:rFonts w:ascii="Verdana" w:eastAsia="Calibri" w:hAnsi="Verdana" w:cs="Arial"/>
          <w:lang w:val="en-US" w:eastAsia="en-US"/>
        </w:rPr>
        <w:t xml:space="preserve">See </w:t>
      </w:r>
      <w:r w:rsidR="004E30ED" w:rsidRPr="00064185">
        <w:rPr>
          <w:rFonts w:ascii="Verdana" w:eastAsia="Calibri" w:hAnsi="Verdana" w:cs="Arial"/>
          <w:lang w:val="en-US" w:eastAsia="en-US"/>
        </w:rPr>
        <w:t xml:space="preserve">final </w:t>
      </w:r>
      <w:r w:rsidRPr="00064185">
        <w:rPr>
          <w:rFonts w:ascii="Verdana" w:eastAsia="Calibri" w:hAnsi="Verdana" w:cs="Arial"/>
          <w:lang w:val="en-US" w:eastAsia="en-US"/>
        </w:rPr>
        <w:t>PAR COM 116 02 I AL confidential Annex</w:t>
      </w:r>
    </w:p>
    <w:p w14:paraId="0C7E6445" w14:textId="77777777" w:rsidR="001E561F" w:rsidRPr="00064185" w:rsidRDefault="001E561F" w:rsidP="001E561F">
      <w:pPr>
        <w:pStyle w:val="Absatz"/>
        <w:ind w:left="0"/>
        <w:rPr>
          <w:rFonts w:ascii="Verdana" w:eastAsia="Calibri" w:hAnsi="Verdana" w:cs="Arial"/>
          <w:lang w:val="en-US" w:eastAsia="en-US"/>
        </w:rPr>
      </w:pPr>
    </w:p>
    <w:p w14:paraId="0304B5B6" w14:textId="77777777" w:rsidR="00331884" w:rsidRPr="00064185" w:rsidRDefault="00331884" w:rsidP="00EA61D8">
      <w:pPr>
        <w:pStyle w:val="berschrift2"/>
        <w:rPr>
          <w:color w:val="auto"/>
        </w:rPr>
      </w:pPr>
      <w:r w:rsidRPr="00064185">
        <w:rPr>
          <w:color w:val="auto"/>
        </w:rPr>
        <w:t>Other</w:t>
      </w:r>
      <w:bookmarkEnd w:id="2162"/>
      <w:bookmarkEnd w:id="2163"/>
      <w:bookmarkEnd w:id="2164"/>
      <w:bookmarkEnd w:id="2165"/>
      <w:bookmarkEnd w:id="2166"/>
      <w:bookmarkEnd w:id="2167"/>
      <w:bookmarkEnd w:id="2168"/>
    </w:p>
    <w:p w14:paraId="59A0A5C7" w14:textId="77777777" w:rsidR="00331884" w:rsidRPr="00064185" w:rsidRDefault="00331884" w:rsidP="00331884">
      <w:pPr>
        <w:pStyle w:val="Absatz"/>
        <w:ind w:left="0"/>
        <w:jc w:val="both"/>
        <w:rPr>
          <w:lang w:val="de-DE" w:eastAsia="en-US"/>
        </w:rPr>
      </w:pPr>
    </w:p>
    <w:sectPr w:rsidR="00331884" w:rsidRPr="00064185" w:rsidSect="003E5B50">
      <w:endnotePr>
        <w:numFmt w:val="decimal"/>
      </w:endnotePr>
      <w:pgSz w:w="11907" w:h="16840" w:code="9"/>
      <w:pgMar w:top="1474" w:right="1247" w:bottom="2013" w:left="1446" w:header="850" w:footer="85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58735" w14:textId="77777777" w:rsidR="000E17AE" w:rsidRDefault="000E17AE">
      <w:pPr>
        <w:spacing w:before="510"/>
        <w:rPr>
          <w:color w:val="FFFFFF"/>
        </w:rPr>
      </w:pPr>
      <w:r>
        <w:rPr>
          <w:color w:val="FFFFFF"/>
        </w:rPr>
        <w:separator/>
      </w:r>
    </w:p>
  </w:endnote>
  <w:endnote w:type="continuationSeparator" w:id="0">
    <w:p w14:paraId="48B3C4C9" w14:textId="77777777" w:rsidR="000E17AE" w:rsidRDefault="000E17AE">
      <w:pPr>
        <w:spacing w:before="510"/>
        <w:rPr>
          <w:color w:val="FFFFFF"/>
        </w:rPr>
      </w:pPr>
      <w:r>
        <w:rPr>
          <w:color w:val="FFFFFF"/>
        </w:rPr>
        <w:separator/>
      </w:r>
    </w:p>
  </w:endnote>
  <w:endnote w:type="continuationNotice" w:id="1">
    <w:p w14:paraId="6455DB60" w14:textId="77777777" w:rsidR="000E17AE" w:rsidRDefault="000E1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F6BD" w14:textId="77777777" w:rsidR="000E17AE" w:rsidRDefault="000E17AE">
    <w:pPr>
      <w:pStyle w:val="Fuzeile"/>
      <w:jc w:val="center"/>
    </w:pPr>
    <w:r>
      <w:fldChar w:fldCharType="begin"/>
    </w:r>
    <w:r>
      <w:instrText xml:space="preserve"> PAGE   \* MERGEFORMAT </w:instrText>
    </w:r>
    <w:r>
      <w:fldChar w:fldCharType="separate"/>
    </w:r>
    <w:r w:rsidR="00002033">
      <w:rPr>
        <w:noProof/>
      </w:rPr>
      <w:t>174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7BF5" w14:textId="49DF01BA" w:rsidR="000E17AE" w:rsidRDefault="000E17AE" w:rsidP="00331884">
    <w:pPr>
      <w:pStyle w:val="Fuzeile"/>
      <w:jc w:val="center"/>
    </w:pPr>
    <w:r>
      <w:fldChar w:fldCharType="begin"/>
    </w:r>
    <w:r>
      <w:instrText>PAGE   \* MERGEFORMAT</w:instrText>
    </w:r>
    <w:r>
      <w:fldChar w:fldCharType="separate"/>
    </w:r>
    <w:r w:rsidR="00002033" w:rsidRPr="00002033">
      <w:rPr>
        <w:noProof/>
        <w:lang w:val="de-DE"/>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518FE" w14:textId="77777777" w:rsidR="000E17AE" w:rsidRDefault="000E17AE">
      <w:pPr>
        <w:spacing w:before="510"/>
        <w:rPr>
          <w:color w:val="FFFFFF"/>
        </w:rPr>
      </w:pPr>
      <w:r>
        <w:separator/>
      </w:r>
    </w:p>
  </w:footnote>
  <w:footnote w:type="continuationSeparator" w:id="0">
    <w:p w14:paraId="65741F29" w14:textId="77777777" w:rsidR="000E17AE" w:rsidRDefault="000E17AE">
      <w:pPr>
        <w:spacing w:before="510"/>
        <w:rPr>
          <w:color w:val="FFFFFF"/>
        </w:rPr>
      </w:pPr>
      <w:r>
        <w:rPr>
          <w:color w:val="FFFFFF"/>
        </w:rPr>
        <w:separator/>
      </w:r>
    </w:p>
  </w:footnote>
  <w:footnote w:type="continuationNotice" w:id="1">
    <w:p w14:paraId="4B6A4613" w14:textId="77777777" w:rsidR="000E17AE" w:rsidRDefault="000E17AE"/>
  </w:footnote>
  <w:footnote w:id="2">
    <w:p w14:paraId="21C99BD9" w14:textId="77777777" w:rsidR="000E17AE" w:rsidRPr="00993B58" w:rsidRDefault="000E17AE" w:rsidP="0087527B">
      <w:pPr>
        <w:pStyle w:val="Funotentext"/>
        <w:ind w:left="360" w:hanging="360"/>
      </w:pPr>
      <w:r w:rsidRPr="00993B58">
        <w:rPr>
          <w:rStyle w:val="Funotenzeichen"/>
        </w:rPr>
        <w:footnoteRef/>
      </w:r>
      <w:r w:rsidRPr="00993B58">
        <w:t xml:space="preserve"> </w:t>
      </w:r>
      <w:r w:rsidRPr="00993B58">
        <w:tab/>
        <w:t xml:space="preserve">OECD (2008): Emission scenario document for insecticides, acaricides and products to control other arthropods for household and professional uses. </w:t>
      </w:r>
      <w:proofErr w:type="gramStart"/>
      <w:r w:rsidRPr="00993B58">
        <w:t>OECD series on Emission scenario documents, number 18; ENV/JM/MONO (2008)14; 17-Jul-2008.</w:t>
      </w:r>
      <w:proofErr w:type="gramEnd"/>
    </w:p>
  </w:footnote>
  <w:footnote w:id="3">
    <w:p w14:paraId="67C55D83" w14:textId="77777777" w:rsidR="000E17AE" w:rsidRPr="00B16CBC" w:rsidRDefault="000E17AE" w:rsidP="00A53EE0">
      <w:pPr>
        <w:pStyle w:val="Funotentext"/>
        <w:jc w:val="both"/>
        <w:rPr>
          <w:sz w:val="16"/>
          <w:szCs w:val="16"/>
          <w:lang w:val="en-US"/>
        </w:rPr>
      </w:pPr>
      <w:r w:rsidRPr="00770B33">
        <w:rPr>
          <w:rStyle w:val="Funotenzeichen"/>
          <w:szCs w:val="16"/>
        </w:rPr>
        <w:footnoteRef/>
      </w:r>
      <w:r w:rsidRPr="00770B33">
        <w:rPr>
          <w:sz w:val="16"/>
          <w:szCs w:val="16"/>
        </w:rPr>
        <w:t xml:space="preserve"> In case the product would have more than one name, all names can be provided in this field, if the other elements of the SPC are identical. Otherwise additional SPCs would have to be provided (one SPC per name).</w:t>
      </w:r>
    </w:p>
  </w:footnote>
  <w:footnote w:id="4">
    <w:p w14:paraId="0D602F3C" w14:textId="77777777" w:rsidR="000E17AE" w:rsidRPr="00E370A6" w:rsidRDefault="000E17AE">
      <w:pPr>
        <w:pStyle w:val="Funotentext"/>
      </w:pPr>
      <w:r>
        <w:rPr>
          <w:rStyle w:val="Funotenzeichen"/>
        </w:rPr>
        <w:footnoteRef/>
      </w:r>
      <w:r>
        <w:t xml:space="preserve"> Committee for veterinary Medicinal Products, Cyhalothrin, Summary Report, 2001, EMEA/MRL/699/99-Final (</w:t>
      </w:r>
      <w:r w:rsidRPr="00E370A6">
        <w:t>http://www.ema.europa.eu/ema/index.jsp?curl=pages/includes/document/document_detail.jsp?webContentId=WC500013070&amp;mid=</w:t>
      </w:r>
      <w:r>
        <w:t>)</w:t>
      </w:r>
    </w:p>
  </w:footnote>
  <w:footnote w:id="5">
    <w:p w14:paraId="3E00D6DB" w14:textId="77777777" w:rsidR="000E17AE" w:rsidRPr="00AE5344" w:rsidRDefault="000E17AE" w:rsidP="00F3486E">
      <w:pPr>
        <w:pStyle w:val="Funotentext"/>
        <w:rPr>
          <w:lang w:val="de-DE"/>
        </w:rPr>
      </w:pPr>
      <w:r>
        <w:rPr>
          <w:rStyle w:val="Funotenzeichen"/>
        </w:rPr>
        <w:footnoteRef/>
      </w:r>
      <w:r w:rsidRPr="00D76C14">
        <w:rPr>
          <w:lang w:val="it-IT"/>
        </w:rPr>
        <w:t xml:space="preserve"> EU Pesticides data base, Reg. </w:t>
      </w:r>
      <w:r w:rsidRPr="00AE5344">
        <w:rPr>
          <w:lang w:val="de-DE"/>
        </w:rPr>
        <w:t>(EU) No 834/2013, (http://ec.europa.eu/sanco_pesticides/public/?event=pesticide.residue.CurrentMRL&amp;language=EN&amp;pestResidueId=140)</w:t>
      </w:r>
    </w:p>
  </w:footnote>
  <w:footnote w:id="6">
    <w:p w14:paraId="413F6307" w14:textId="77777777" w:rsidR="000E17AE" w:rsidRPr="00993B58" w:rsidRDefault="000E17AE" w:rsidP="008C7A22">
      <w:pPr>
        <w:pStyle w:val="Funotentext"/>
        <w:ind w:left="360" w:hanging="360"/>
      </w:pPr>
      <w:r w:rsidRPr="00993B58">
        <w:rPr>
          <w:rStyle w:val="Funotenzeichen"/>
        </w:rPr>
        <w:footnoteRef/>
      </w:r>
      <w:r w:rsidRPr="00993B58">
        <w:t xml:space="preserve"> </w:t>
      </w:r>
      <w:r w:rsidRPr="00993B58">
        <w:tab/>
        <w:t xml:space="preserve">OECD (2008): Emission scenario document for insecticides, acaricides and products to control other arthropods for household and professional uses. </w:t>
      </w:r>
      <w:proofErr w:type="gramStart"/>
      <w:r w:rsidRPr="00993B58">
        <w:t>OECD series on Emission scenario documents, number 18; ENV/JM/MONO (2008)14; 17-Jul-2008.</w:t>
      </w:r>
      <w:proofErr w:type="gramEnd"/>
    </w:p>
  </w:footnote>
  <w:footnote w:id="7">
    <w:p w14:paraId="23DB106C" w14:textId="77777777" w:rsidR="000E17AE" w:rsidRPr="00993B58" w:rsidRDefault="000E17AE" w:rsidP="000239A1">
      <w:pPr>
        <w:pStyle w:val="Funotentext"/>
        <w:ind w:left="360" w:hanging="360"/>
      </w:pPr>
      <w:r w:rsidRPr="00993B58">
        <w:rPr>
          <w:rStyle w:val="Funotenzeichen"/>
        </w:rPr>
        <w:footnoteRef/>
      </w:r>
      <w:r w:rsidRPr="00993B58">
        <w:t xml:space="preserve"> OECD (2008): Emission scenario document for insecticides, acaricides and products to control other arthropods for household and professional uses. </w:t>
      </w:r>
      <w:proofErr w:type="gramStart"/>
      <w:r w:rsidRPr="00993B58">
        <w:t>OECD series on Emission scenario documents, number 18; ENV/JM/MONO (2008)14; 17-Jul-2008.</w:t>
      </w:r>
      <w:proofErr w:type="gramEnd"/>
    </w:p>
    <w:p w14:paraId="3F85AA56" w14:textId="2C0B61DC" w:rsidR="000E17AE" w:rsidRPr="00993B58" w:rsidRDefault="000E17AE">
      <w:pPr>
        <w:pStyle w:val="Funotentext"/>
      </w:pPr>
    </w:p>
  </w:footnote>
  <w:footnote w:id="8">
    <w:p w14:paraId="47E3B5BD" w14:textId="77777777" w:rsidR="000E17AE" w:rsidRPr="004E4C35" w:rsidRDefault="000E17AE" w:rsidP="00A81B6D">
      <w:pPr>
        <w:spacing w:line="260" w:lineRule="atLeast"/>
        <w:ind w:left="1134" w:hanging="1134"/>
        <w:rPr>
          <w:rFonts w:eastAsia="Calibri"/>
          <w:lang w:eastAsia="en-US"/>
        </w:rPr>
      </w:pPr>
      <w:r w:rsidRPr="0002054B">
        <w:rPr>
          <w:rStyle w:val="Funotenzeichen"/>
          <w:vertAlign w:val="superscript"/>
        </w:rPr>
        <w:footnoteRef/>
      </w:r>
      <w:r>
        <w:t xml:space="preserve"> </w:t>
      </w:r>
      <w:proofErr w:type="gramStart"/>
      <w:r w:rsidRPr="0002054B">
        <w:rPr>
          <w:rFonts w:eastAsia="Calibri"/>
          <w:color w:val="CC66FF"/>
          <w:sz w:val="16"/>
          <w:szCs w:val="16"/>
          <w:lang w:val="en-US" w:eastAsia="en-US"/>
        </w:rPr>
        <w:t>Technical Guidance Document on Risk Assessment.</w:t>
      </w:r>
      <w:proofErr w:type="gramEnd"/>
      <w:r w:rsidRPr="0002054B">
        <w:rPr>
          <w:rFonts w:eastAsia="Calibri"/>
          <w:color w:val="CC66FF"/>
          <w:sz w:val="16"/>
          <w:szCs w:val="16"/>
          <w:lang w:val="en-US" w:eastAsia="en-US"/>
        </w:rPr>
        <w:t xml:space="preserve"> European Commission Joint Research Centre, EUR 20418</w:t>
      </w:r>
    </w:p>
    <w:p w14:paraId="05BFEB08" w14:textId="77777777" w:rsidR="000E17AE" w:rsidRPr="0002054B" w:rsidRDefault="000E17AE" w:rsidP="00A81B6D">
      <w:pPr>
        <w:pStyle w:val="Funotentext"/>
      </w:pPr>
    </w:p>
  </w:footnote>
  <w:footnote w:id="9">
    <w:p w14:paraId="33EDB7B2" w14:textId="0CEF569A" w:rsidR="000E17AE" w:rsidRPr="00E1432E" w:rsidRDefault="000E17AE" w:rsidP="006A7704">
      <w:pPr>
        <w:pStyle w:val="Funotentext"/>
        <w:jc w:val="both"/>
      </w:pPr>
      <w:r>
        <w:rPr>
          <w:rStyle w:val="Funotenzeichen"/>
        </w:rPr>
        <w:footnoteRef/>
      </w:r>
      <w:r>
        <w:t xml:space="preserve"> </w:t>
      </w:r>
      <w:r w:rsidRPr="00993B58">
        <w:t xml:space="preserve">OECD (2008): Emission scenario document for insecticides, acaricides and products to control other arthropods for household and professional uses. </w:t>
      </w:r>
      <w:proofErr w:type="gramStart"/>
      <w:r w:rsidRPr="00993B58">
        <w:t>OECD series on Emission scenario documents, number 18; ENV/JM/MONO (2008)14; 17-Jul-2008.</w:t>
      </w:r>
      <w:proofErr w:type="gramEnd"/>
    </w:p>
  </w:footnote>
  <w:footnote w:id="10">
    <w:p w14:paraId="0B927D34" w14:textId="77777777" w:rsidR="000E17AE" w:rsidRPr="00993B58" w:rsidRDefault="000E17AE" w:rsidP="006A7704">
      <w:pPr>
        <w:pStyle w:val="Funotentext"/>
        <w:jc w:val="both"/>
      </w:pPr>
      <w:r w:rsidRPr="00993B58">
        <w:rPr>
          <w:rStyle w:val="Funotenzeichen"/>
        </w:rPr>
        <w:footnoteRef/>
      </w:r>
      <w:r w:rsidRPr="00993B58">
        <w:t xml:space="preserve"> </w:t>
      </w:r>
      <w:r w:rsidRPr="00993B58">
        <w:tab/>
        <w:t>European Commission, 2002: Guidance document on risk assessment for birds and mammals under council directive 91/414/EEC; SANCO/4145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3119"/>
      <w:gridCol w:w="4307"/>
      <w:gridCol w:w="1788"/>
    </w:tblGrid>
    <w:tr w:rsidR="000E17AE" w:rsidRPr="00A53BD0" w14:paraId="2CC0A55F" w14:textId="77777777" w:rsidTr="00F46EB6">
      <w:tc>
        <w:tcPr>
          <w:tcW w:w="1693" w:type="pct"/>
          <w:tcBorders>
            <w:top w:val="nil"/>
            <w:left w:val="nil"/>
            <w:bottom w:val="single" w:sz="4" w:space="0" w:color="000000"/>
            <w:right w:val="nil"/>
          </w:tcBorders>
          <w:vAlign w:val="center"/>
        </w:tcPr>
        <w:p w14:paraId="72459A4E" w14:textId="10487A33" w:rsidR="000E17AE" w:rsidRDefault="000E17AE" w:rsidP="00922E8F">
          <w:pPr>
            <w:widowControl w:val="0"/>
            <w:autoSpaceDE w:val="0"/>
            <w:autoSpaceDN w:val="0"/>
            <w:adjustRightInd w:val="0"/>
            <w:jc w:val="center"/>
            <w:rPr>
              <w:rFonts w:cs="Times"/>
              <w:color w:val="000000"/>
              <w:sz w:val="18"/>
              <w:szCs w:val="18"/>
            </w:rPr>
          </w:pPr>
        </w:p>
        <w:p w14:paraId="4A8A8873" w14:textId="3C2400C4" w:rsidR="000E17AE" w:rsidRPr="00A53BD0" w:rsidRDefault="000E17AE" w:rsidP="00922E8F">
          <w:pPr>
            <w:widowControl w:val="0"/>
            <w:autoSpaceDE w:val="0"/>
            <w:autoSpaceDN w:val="0"/>
            <w:adjustRightInd w:val="0"/>
            <w:jc w:val="center"/>
            <w:rPr>
              <w:rFonts w:cs="Times"/>
              <w:sz w:val="18"/>
              <w:szCs w:val="18"/>
            </w:rPr>
          </w:pPr>
          <w:r w:rsidRPr="00F46EB6">
            <w:rPr>
              <w:rFonts w:cs="Times"/>
              <w:sz w:val="18"/>
              <w:szCs w:val="18"/>
            </w:rPr>
            <w:t>Competent Authority Austria</w:t>
          </w:r>
        </w:p>
      </w:tc>
      <w:tc>
        <w:tcPr>
          <w:tcW w:w="2337" w:type="pct"/>
          <w:tcBorders>
            <w:top w:val="nil"/>
            <w:left w:val="nil"/>
            <w:bottom w:val="single" w:sz="4" w:space="0" w:color="000000"/>
            <w:right w:val="nil"/>
          </w:tcBorders>
          <w:vAlign w:val="center"/>
        </w:tcPr>
        <w:p w14:paraId="3FA1821D" w14:textId="726C5E7B" w:rsidR="000E17AE" w:rsidRPr="00A53BD0" w:rsidRDefault="000E17AE" w:rsidP="00922E8F">
          <w:pPr>
            <w:widowControl w:val="0"/>
            <w:autoSpaceDE w:val="0"/>
            <w:autoSpaceDN w:val="0"/>
            <w:adjustRightInd w:val="0"/>
            <w:jc w:val="center"/>
            <w:rPr>
              <w:rFonts w:cs="Times"/>
              <w:sz w:val="18"/>
              <w:szCs w:val="18"/>
            </w:rPr>
          </w:pPr>
          <w:r w:rsidRPr="002B5D85">
            <w:rPr>
              <w:rFonts w:cs="Times"/>
              <w:i/>
              <w:color w:val="000000"/>
              <w:sz w:val="18"/>
              <w:szCs w:val="18"/>
            </w:rPr>
            <w:t>COM 116 02 I AL</w:t>
          </w:r>
        </w:p>
      </w:tc>
      <w:tc>
        <w:tcPr>
          <w:tcW w:w="970" w:type="pct"/>
          <w:tcBorders>
            <w:top w:val="nil"/>
            <w:left w:val="nil"/>
            <w:bottom w:val="single" w:sz="4" w:space="0" w:color="000000"/>
            <w:right w:val="nil"/>
          </w:tcBorders>
          <w:vAlign w:val="center"/>
        </w:tcPr>
        <w:p w14:paraId="32096050" w14:textId="3DE6F815" w:rsidR="000E17AE" w:rsidRPr="00A53BD0" w:rsidRDefault="000E17AE" w:rsidP="00922E8F">
          <w:pPr>
            <w:widowControl w:val="0"/>
            <w:autoSpaceDE w:val="0"/>
            <w:autoSpaceDN w:val="0"/>
            <w:adjustRightInd w:val="0"/>
            <w:jc w:val="center"/>
            <w:rPr>
              <w:rFonts w:cs="Times"/>
              <w:sz w:val="18"/>
              <w:szCs w:val="18"/>
            </w:rPr>
          </w:pPr>
          <w:r>
            <w:rPr>
              <w:rFonts w:cs="Times"/>
              <w:sz w:val="18"/>
              <w:szCs w:val="18"/>
            </w:rPr>
            <w:t>PT 18</w:t>
          </w:r>
        </w:p>
      </w:tc>
    </w:tr>
  </w:tbl>
  <w:p w14:paraId="7594EBD9" w14:textId="77777777" w:rsidR="000E17AE" w:rsidRDefault="000E17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3119"/>
      <w:gridCol w:w="4307"/>
      <w:gridCol w:w="1788"/>
    </w:tblGrid>
    <w:tr w:rsidR="000E17AE" w:rsidRPr="00A53BD0" w14:paraId="6C2DE508" w14:textId="77777777" w:rsidTr="00F46EB6">
      <w:tc>
        <w:tcPr>
          <w:tcW w:w="1693" w:type="pct"/>
          <w:tcBorders>
            <w:top w:val="nil"/>
            <w:left w:val="nil"/>
            <w:bottom w:val="single" w:sz="4" w:space="0" w:color="000000"/>
            <w:right w:val="nil"/>
          </w:tcBorders>
          <w:vAlign w:val="center"/>
        </w:tcPr>
        <w:p w14:paraId="271EC9D6" w14:textId="77777777" w:rsidR="000E17AE" w:rsidRDefault="000E17AE" w:rsidP="00922E8F">
          <w:pPr>
            <w:widowControl w:val="0"/>
            <w:autoSpaceDE w:val="0"/>
            <w:autoSpaceDN w:val="0"/>
            <w:adjustRightInd w:val="0"/>
            <w:jc w:val="center"/>
            <w:rPr>
              <w:rFonts w:cs="Times"/>
              <w:color w:val="000000"/>
              <w:sz w:val="18"/>
              <w:szCs w:val="18"/>
            </w:rPr>
          </w:pPr>
        </w:p>
        <w:p w14:paraId="6331DE4C" w14:textId="77777777" w:rsidR="000E17AE" w:rsidRPr="00A53BD0" w:rsidRDefault="000E17AE" w:rsidP="00922E8F">
          <w:pPr>
            <w:widowControl w:val="0"/>
            <w:autoSpaceDE w:val="0"/>
            <w:autoSpaceDN w:val="0"/>
            <w:adjustRightInd w:val="0"/>
            <w:jc w:val="center"/>
            <w:rPr>
              <w:rFonts w:cs="Times"/>
              <w:sz w:val="18"/>
              <w:szCs w:val="18"/>
            </w:rPr>
          </w:pPr>
          <w:r w:rsidRPr="00F46EB6">
            <w:rPr>
              <w:rFonts w:cs="Times"/>
              <w:sz w:val="18"/>
              <w:szCs w:val="18"/>
            </w:rPr>
            <w:t>Competent Authority Austria</w:t>
          </w:r>
        </w:p>
      </w:tc>
      <w:tc>
        <w:tcPr>
          <w:tcW w:w="2337" w:type="pct"/>
          <w:tcBorders>
            <w:top w:val="nil"/>
            <w:left w:val="nil"/>
            <w:bottom w:val="single" w:sz="4" w:space="0" w:color="000000"/>
            <w:right w:val="nil"/>
          </w:tcBorders>
          <w:vAlign w:val="center"/>
        </w:tcPr>
        <w:p w14:paraId="0B29F55C" w14:textId="77777777" w:rsidR="000E17AE" w:rsidRPr="00A53BD0" w:rsidRDefault="000E17AE" w:rsidP="00922E8F">
          <w:pPr>
            <w:widowControl w:val="0"/>
            <w:autoSpaceDE w:val="0"/>
            <w:autoSpaceDN w:val="0"/>
            <w:adjustRightInd w:val="0"/>
            <w:jc w:val="center"/>
            <w:rPr>
              <w:rFonts w:cs="Times"/>
              <w:sz w:val="18"/>
              <w:szCs w:val="18"/>
            </w:rPr>
          </w:pPr>
          <w:r w:rsidRPr="002B5D85">
            <w:rPr>
              <w:rFonts w:cs="Times"/>
              <w:i/>
              <w:color w:val="000000"/>
              <w:sz w:val="18"/>
              <w:szCs w:val="18"/>
            </w:rPr>
            <w:t>COM 116 02 I AL</w:t>
          </w:r>
        </w:p>
      </w:tc>
      <w:tc>
        <w:tcPr>
          <w:tcW w:w="970" w:type="pct"/>
          <w:tcBorders>
            <w:top w:val="nil"/>
            <w:left w:val="nil"/>
            <w:bottom w:val="single" w:sz="4" w:space="0" w:color="000000"/>
            <w:right w:val="nil"/>
          </w:tcBorders>
          <w:vAlign w:val="center"/>
        </w:tcPr>
        <w:p w14:paraId="63B6858A" w14:textId="77777777" w:rsidR="000E17AE" w:rsidRPr="00A53BD0" w:rsidRDefault="000E17AE" w:rsidP="00922E8F">
          <w:pPr>
            <w:widowControl w:val="0"/>
            <w:autoSpaceDE w:val="0"/>
            <w:autoSpaceDN w:val="0"/>
            <w:adjustRightInd w:val="0"/>
            <w:jc w:val="center"/>
            <w:rPr>
              <w:rFonts w:cs="Times"/>
              <w:sz w:val="18"/>
              <w:szCs w:val="18"/>
            </w:rPr>
          </w:pPr>
          <w:r>
            <w:rPr>
              <w:rFonts w:cs="Times"/>
              <w:sz w:val="18"/>
              <w:szCs w:val="18"/>
            </w:rPr>
            <w:t>PT 18</w:t>
          </w:r>
        </w:p>
      </w:tc>
    </w:tr>
  </w:tbl>
  <w:p w14:paraId="37B8654F" w14:textId="77777777" w:rsidR="000E17AE" w:rsidRPr="00F74543" w:rsidRDefault="000E17AE">
    <w:pP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C7D47" w14:textId="77777777" w:rsidR="000E17AE" w:rsidRDefault="000E17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DA3FC4"/>
    <w:lvl w:ilvl="0">
      <w:start w:val="1"/>
      <w:numFmt w:val="decimal"/>
      <w:pStyle w:val="TEXTTEXT"/>
      <w:lvlText w:val="%1"/>
      <w:lvlJc w:val="left"/>
      <w:pPr>
        <w:tabs>
          <w:tab w:val="num" w:pos="709"/>
        </w:tabs>
        <w:ind w:left="709" w:hanging="709"/>
      </w:pPr>
      <w:rPr>
        <w:rFonts w:hint="default"/>
      </w:rPr>
    </w:lvl>
    <w:lvl w:ilvl="1">
      <w:start w:val="1"/>
      <w:numFmt w:val="decimal"/>
      <w:pStyle w:val="TextText11"/>
      <w:lvlText w:val="%1.%2"/>
      <w:lvlJc w:val="left"/>
      <w:pPr>
        <w:tabs>
          <w:tab w:val="num" w:pos="709"/>
        </w:tabs>
        <w:ind w:left="709" w:hanging="709"/>
      </w:pPr>
      <w:rPr>
        <w:rFonts w:hint="default"/>
      </w:rPr>
    </w:lvl>
    <w:lvl w:ilvl="2">
      <w:start w:val="1"/>
      <w:numFmt w:val="decimal"/>
      <w:pStyle w:val="TxtTxtTxt"/>
      <w:lvlText w:val="%1.%2.%3"/>
      <w:lvlJc w:val="left"/>
      <w:pPr>
        <w:tabs>
          <w:tab w:val="num" w:pos="709"/>
        </w:tabs>
        <w:ind w:left="709" w:hanging="709"/>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
    <w:nsid w:val="016828BA"/>
    <w:multiLevelType w:val="hybridMultilevel"/>
    <w:tmpl w:val="5A38AA90"/>
    <w:lvl w:ilvl="0" w:tplc="5D2020E6">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8F5A97"/>
    <w:multiLevelType w:val="hybridMultilevel"/>
    <w:tmpl w:val="4C0CF8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4">
    <w:nsid w:val="0C194F55"/>
    <w:multiLevelType w:val="hybridMultilevel"/>
    <w:tmpl w:val="8A26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2309E"/>
    <w:multiLevelType w:val="hybridMultilevel"/>
    <w:tmpl w:val="A920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D6878"/>
    <w:multiLevelType w:val="hybridMultilevel"/>
    <w:tmpl w:val="144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FC048A"/>
    <w:multiLevelType w:val="hybridMultilevel"/>
    <w:tmpl w:val="7F8A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3325E0"/>
    <w:multiLevelType w:val="hybridMultilevel"/>
    <w:tmpl w:val="25A4687A"/>
    <w:lvl w:ilvl="0" w:tplc="76368244">
      <w:start w:val="1"/>
      <w:numFmt w:val="upperLetter"/>
      <w:pStyle w:val="berschrif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7B1185"/>
    <w:multiLevelType w:val="multilevel"/>
    <w:tmpl w:val="53E84F9E"/>
    <w:lvl w:ilvl="0">
      <w:start w:val="1"/>
      <w:numFmt w:val="decimal"/>
      <w:pStyle w:val="berschrift1"/>
      <w:lvlText w:val="%1"/>
      <w:lvlJc w:val="left"/>
      <w:pPr>
        <w:tabs>
          <w:tab w:val="num" w:pos="567"/>
        </w:tabs>
        <w:ind w:left="567" w:hanging="567"/>
      </w:pPr>
      <w:rPr>
        <w:rFonts w:hint="default"/>
      </w:rPr>
    </w:lvl>
    <w:lvl w:ilvl="1">
      <w:start w:val="2"/>
      <w:numFmt w:val="decimal"/>
      <w:pStyle w:val="berschrift2"/>
      <w:lvlText w:val="%1.%2"/>
      <w:lvlJc w:val="left"/>
      <w:pPr>
        <w:tabs>
          <w:tab w:val="num" w:pos="567"/>
        </w:tabs>
        <w:ind w:left="567" w:hanging="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1701"/>
        </w:tabs>
        <w:ind w:left="0" w:firstLine="567"/>
      </w:pPr>
      <w:rPr>
        <w:rFonts w:hint="default"/>
        <w:lang w:val="en-GB"/>
      </w:rPr>
    </w:lvl>
    <w:lvl w:ilvl="3">
      <w:start w:val="1"/>
      <w:numFmt w:val="decimal"/>
      <w:lvlText w:val="%1.%2.%3.%4"/>
      <w:lvlJc w:val="left"/>
      <w:pPr>
        <w:tabs>
          <w:tab w:val="num" w:pos="0"/>
        </w:tabs>
        <w:ind w:left="709" w:hanging="709"/>
      </w:pPr>
      <w:rPr>
        <w:rFonts w:hint="default"/>
      </w:rPr>
    </w:lvl>
    <w:lvl w:ilvl="4">
      <w:start w:val="1"/>
      <w:numFmt w:val="decimal"/>
      <w:pStyle w:val="berschrift5"/>
      <w:lvlText w:val="%1.%2.%3.%4.%5"/>
      <w:lvlJc w:val="left"/>
      <w:pPr>
        <w:tabs>
          <w:tab w:val="num" w:pos="0"/>
        </w:tabs>
        <w:ind w:left="709" w:hanging="709"/>
      </w:pPr>
      <w:rPr>
        <w:rFonts w:hint="default"/>
      </w:rPr>
    </w:lvl>
    <w:lvl w:ilvl="5">
      <w:start w:val="1"/>
      <w:numFmt w:val="decimal"/>
      <w:pStyle w:val="berschrift6"/>
      <w:lvlText w:val="%1.%2.%3.%4.%5.%6"/>
      <w:lvlJc w:val="left"/>
      <w:pPr>
        <w:tabs>
          <w:tab w:val="num" w:pos="0"/>
        </w:tabs>
        <w:ind w:left="709" w:hanging="709"/>
      </w:pPr>
      <w:rPr>
        <w:rFonts w:hint="default"/>
      </w:rPr>
    </w:lvl>
    <w:lvl w:ilvl="6">
      <w:start w:val="1"/>
      <w:numFmt w:val="decimal"/>
      <w:pStyle w:val="berschrift7"/>
      <w:lvlText w:val="%1.%2.%3.%4.%5.%6.%7"/>
      <w:lvlJc w:val="left"/>
      <w:pPr>
        <w:tabs>
          <w:tab w:val="num" w:pos="0"/>
        </w:tabs>
        <w:ind w:left="709" w:hanging="709"/>
      </w:pPr>
      <w:rPr>
        <w:rFonts w:hint="default"/>
      </w:rPr>
    </w:lvl>
    <w:lvl w:ilvl="7">
      <w:start w:val="1"/>
      <w:numFmt w:val="decimal"/>
      <w:pStyle w:val="berschrift8"/>
      <w:lvlText w:val="%1.%2.%3.%4.%5.%6.%7.%8"/>
      <w:lvlJc w:val="left"/>
      <w:pPr>
        <w:tabs>
          <w:tab w:val="num" w:pos="0"/>
        </w:tabs>
        <w:ind w:left="709" w:hanging="709"/>
      </w:pPr>
      <w:rPr>
        <w:rFonts w:hint="default"/>
      </w:rPr>
    </w:lvl>
    <w:lvl w:ilvl="8">
      <w:start w:val="1"/>
      <w:numFmt w:val="decimal"/>
      <w:pStyle w:val="berschrift9"/>
      <w:lvlText w:val="%1.%2.%3.%4.%5.%6.%7.%8.%9"/>
      <w:lvlJc w:val="left"/>
      <w:pPr>
        <w:tabs>
          <w:tab w:val="num" w:pos="0"/>
        </w:tabs>
        <w:ind w:left="709" w:hanging="709"/>
      </w:pPr>
      <w:rPr>
        <w:rFonts w:hint="default"/>
      </w:rPr>
    </w:lvl>
  </w:abstractNum>
  <w:abstractNum w:abstractNumId="10">
    <w:nsid w:val="65220DC2"/>
    <w:multiLevelType w:val="hybridMultilevel"/>
    <w:tmpl w:val="9D88F3EC"/>
    <w:lvl w:ilvl="0" w:tplc="A364CE6C">
      <w:start w:val="1"/>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4259B5"/>
    <w:multiLevelType w:val="hybridMultilevel"/>
    <w:tmpl w:val="A9186860"/>
    <w:lvl w:ilvl="0" w:tplc="39B2CB88">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num w:numId="1">
    <w:abstractNumId w:val="12"/>
  </w:num>
  <w:num w:numId="2">
    <w:abstractNumId w:val="3"/>
  </w:num>
  <w:num w:numId="3">
    <w:abstractNumId w:val="9"/>
  </w:num>
  <w:num w:numId="4">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5"/>
  </w:num>
  <w:num w:numId="20">
    <w:abstractNumId w:val="9"/>
    <w:lvlOverride w:ilvl="0">
      <w:startOverride w:val="2"/>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7"/>
  </w:num>
  <w:num w:numId="23">
    <w:abstractNumId w:val="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693249">
      <o:colormru v:ext="edit" colors="#eaeaea,#f8f8f8"/>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48"/>
    <w:rsid w:val="000001B2"/>
    <w:rsid w:val="00000258"/>
    <w:rsid w:val="00000510"/>
    <w:rsid w:val="00000A9F"/>
    <w:rsid w:val="00000BEF"/>
    <w:rsid w:val="00001699"/>
    <w:rsid w:val="00001FDF"/>
    <w:rsid w:val="00002033"/>
    <w:rsid w:val="00002A42"/>
    <w:rsid w:val="00002BB0"/>
    <w:rsid w:val="000032D1"/>
    <w:rsid w:val="00003F37"/>
    <w:rsid w:val="00004759"/>
    <w:rsid w:val="00004C2B"/>
    <w:rsid w:val="00004E3B"/>
    <w:rsid w:val="0000535F"/>
    <w:rsid w:val="000058C6"/>
    <w:rsid w:val="00005999"/>
    <w:rsid w:val="00005FE9"/>
    <w:rsid w:val="0000636A"/>
    <w:rsid w:val="00006C2B"/>
    <w:rsid w:val="00007554"/>
    <w:rsid w:val="00007575"/>
    <w:rsid w:val="00007BB6"/>
    <w:rsid w:val="00007C0A"/>
    <w:rsid w:val="00007C61"/>
    <w:rsid w:val="00010810"/>
    <w:rsid w:val="00010D45"/>
    <w:rsid w:val="0001110A"/>
    <w:rsid w:val="00011361"/>
    <w:rsid w:val="0001179D"/>
    <w:rsid w:val="00011B87"/>
    <w:rsid w:val="00011DAC"/>
    <w:rsid w:val="00012442"/>
    <w:rsid w:val="00012668"/>
    <w:rsid w:val="00012BA8"/>
    <w:rsid w:val="00012CFC"/>
    <w:rsid w:val="00013203"/>
    <w:rsid w:val="00013EA0"/>
    <w:rsid w:val="00014580"/>
    <w:rsid w:val="000146F7"/>
    <w:rsid w:val="000147E1"/>
    <w:rsid w:val="00014913"/>
    <w:rsid w:val="00014EAE"/>
    <w:rsid w:val="00014ECA"/>
    <w:rsid w:val="00015BB6"/>
    <w:rsid w:val="00016422"/>
    <w:rsid w:val="00017297"/>
    <w:rsid w:val="00017BA7"/>
    <w:rsid w:val="00020375"/>
    <w:rsid w:val="00020701"/>
    <w:rsid w:val="00020896"/>
    <w:rsid w:val="00021B21"/>
    <w:rsid w:val="000227FF"/>
    <w:rsid w:val="0002313C"/>
    <w:rsid w:val="000233D1"/>
    <w:rsid w:val="000238AB"/>
    <w:rsid w:val="000239A1"/>
    <w:rsid w:val="000258CA"/>
    <w:rsid w:val="00026184"/>
    <w:rsid w:val="00026762"/>
    <w:rsid w:val="00026BE5"/>
    <w:rsid w:val="000304A3"/>
    <w:rsid w:val="00030B81"/>
    <w:rsid w:val="00030F50"/>
    <w:rsid w:val="00031BEC"/>
    <w:rsid w:val="0003221B"/>
    <w:rsid w:val="000323AC"/>
    <w:rsid w:val="000325D4"/>
    <w:rsid w:val="000329F8"/>
    <w:rsid w:val="00032B57"/>
    <w:rsid w:val="00032B9D"/>
    <w:rsid w:val="00033510"/>
    <w:rsid w:val="000336D4"/>
    <w:rsid w:val="00033C3D"/>
    <w:rsid w:val="00033D49"/>
    <w:rsid w:val="00033EA1"/>
    <w:rsid w:val="0003466D"/>
    <w:rsid w:val="00034A89"/>
    <w:rsid w:val="00034AB0"/>
    <w:rsid w:val="00034CBD"/>
    <w:rsid w:val="00035362"/>
    <w:rsid w:val="00035B29"/>
    <w:rsid w:val="00035DB8"/>
    <w:rsid w:val="00035EA8"/>
    <w:rsid w:val="00035F57"/>
    <w:rsid w:val="00036571"/>
    <w:rsid w:val="00036961"/>
    <w:rsid w:val="00036AF1"/>
    <w:rsid w:val="00036DE4"/>
    <w:rsid w:val="000406CC"/>
    <w:rsid w:val="00040797"/>
    <w:rsid w:val="00040AA8"/>
    <w:rsid w:val="00040BDC"/>
    <w:rsid w:val="00040E12"/>
    <w:rsid w:val="00042DD6"/>
    <w:rsid w:val="00042E61"/>
    <w:rsid w:val="000439ED"/>
    <w:rsid w:val="00043B93"/>
    <w:rsid w:val="0004440A"/>
    <w:rsid w:val="00044420"/>
    <w:rsid w:val="000446FE"/>
    <w:rsid w:val="000454AE"/>
    <w:rsid w:val="00045694"/>
    <w:rsid w:val="000456CD"/>
    <w:rsid w:val="000457B9"/>
    <w:rsid w:val="00045894"/>
    <w:rsid w:val="000459B9"/>
    <w:rsid w:val="00045DB2"/>
    <w:rsid w:val="0004638B"/>
    <w:rsid w:val="00046CED"/>
    <w:rsid w:val="00046D43"/>
    <w:rsid w:val="00047534"/>
    <w:rsid w:val="000479FD"/>
    <w:rsid w:val="00047E71"/>
    <w:rsid w:val="00050B66"/>
    <w:rsid w:val="00050D88"/>
    <w:rsid w:val="000512C8"/>
    <w:rsid w:val="00051E88"/>
    <w:rsid w:val="00052833"/>
    <w:rsid w:val="00052BF5"/>
    <w:rsid w:val="00052C74"/>
    <w:rsid w:val="00052D38"/>
    <w:rsid w:val="00052E4E"/>
    <w:rsid w:val="000531A4"/>
    <w:rsid w:val="000538EE"/>
    <w:rsid w:val="00053BC0"/>
    <w:rsid w:val="00053EAE"/>
    <w:rsid w:val="00054AB2"/>
    <w:rsid w:val="00054FA7"/>
    <w:rsid w:val="00055155"/>
    <w:rsid w:val="000553E1"/>
    <w:rsid w:val="000557B0"/>
    <w:rsid w:val="000560D9"/>
    <w:rsid w:val="000561D9"/>
    <w:rsid w:val="00056784"/>
    <w:rsid w:val="000571B0"/>
    <w:rsid w:val="000576EE"/>
    <w:rsid w:val="000600E4"/>
    <w:rsid w:val="000601CE"/>
    <w:rsid w:val="0006037C"/>
    <w:rsid w:val="0006046F"/>
    <w:rsid w:val="000610FF"/>
    <w:rsid w:val="00061409"/>
    <w:rsid w:val="0006180A"/>
    <w:rsid w:val="000618A4"/>
    <w:rsid w:val="0006206C"/>
    <w:rsid w:val="00062B38"/>
    <w:rsid w:val="000630A6"/>
    <w:rsid w:val="000630E7"/>
    <w:rsid w:val="00064185"/>
    <w:rsid w:val="00064759"/>
    <w:rsid w:val="00064BB5"/>
    <w:rsid w:val="000654B7"/>
    <w:rsid w:val="0006564F"/>
    <w:rsid w:val="00065D3E"/>
    <w:rsid w:val="000668D5"/>
    <w:rsid w:val="00066A5D"/>
    <w:rsid w:val="00066BE6"/>
    <w:rsid w:val="00066E75"/>
    <w:rsid w:val="00066FC7"/>
    <w:rsid w:val="00067CD2"/>
    <w:rsid w:val="0007026C"/>
    <w:rsid w:val="0007028C"/>
    <w:rsid w:val="00070627"/>
    <w:rsid w:val="00070694"/>
    <w:rsid w:val="00070715"/>
    <w:rsid w:val="0007146F"/>
    <w:rsid w:val="0007315F"/>
    <w:rsid w:val="000731C8"/>
    <w:rsid w:val="0007398B"/>
    <w:rsid w:val="00073CA0"/>
    <w:rsid w:val="0007421D"/>
    <w:rsid w:val="000744C6"/>
    <w:rsid w:val="00074ABB"/>
    <w:rsid w:val="0007510A"/>
    <w:rsid w:val="00075AAB"/>
    <w:rsid w:val="00075CBB"/>
    <w:rsid w:val="00076312"/>
    <w:rsid w:val="000768A8"/>
    <w:rsid w:val="0008031A"/>
    <w:rsid w:val="00080688"/>
    <w:rsid w:val="00080921"/>
    <w:rsid w:val="00080944"/>
    <w:rsid w:val="00080D3A"/>
    <w:rsid w:val="000822B2"/>
    <w:rsid w:val="000835FA"/>
    <w:rsid w:val="000838A7"/>
    <w:rsid w:val="00083C35"/>
    <w:rsid w:val="00083D86"/>
    <w:rsid w:val="0008404F"/>
    <w:rsid w:val="000842D1"/>
    <w:rsid w:val="0008440E"/>
    <w:rsid w:val="000844F4"/>
    <w:rsid w:val="00084FF5"/>
    <w:rsid w:val="000856DB"/>
    <w:rsid w:val="00085AE7"/>
    <w:rsid w:val="0008626F"/>
    <w:rsid w:val="000868C9"/>
    <w:rsid w:val="00086A39"/>
    <w:rsid w:val="00086EF7"/>
    <w:rsid w:val="00087893"/>
    <w:rsid w:val="000878D8"/>
    <w:rsid w:val="00087957"/>
    <w:rsid w:val="00087E8C"/>
    <w:rsid w:val="00090005"/>
    <w:rsid w:val="000903A0"/>
    <w:rsid w:val="000911BA"/>
    <w:rsid w:val="00091A2E"/>
    <w:rsid w:val="000923D1"/>
    <w:rsid w:val="00093148"/>
    <w:rsid w:val="0009354A"/>
    <w:rsid w:val="00093AEE"/>
    <w:rsid w:val="00094255"/>
    <w:rsid w:val="00094769"/>
    <w:rsid w:val="00094EF5"/>
    <w:rsid w:val="000950D7"/>
    <w:rsid w:val="0009510C"/>
    <w:rsid w:val="00095569"/>
    <w:rsid w:val="0009565B"/>
    <w:rsid w:val="000960E4"/>
    <w:rsid w:val="00096DAB"/>
    <w:rsid w:val="00096E89"/>
    <w:rsid w:val="000970EB"/>
    <w:rsid w:val="00097977"/>
    <w:rsid w:val="00097987"/>
    <w:rsid w:val="000A1099"/>
    <w:rsid w:val="000A1883"/>
    <w:rsid w:val="000A1DE3"/>
    <w:rsid w:val="000A21F7"/>
    <w:rsid w:val="000A229F"/>
    <w:rsid w:val="000A2AFB"/>
    <w:rsid w:val="000A2EE1"/>
    <w:rsid w:val="000A3694"/>
    <w:rsid w:val="000A3DB5"/>
    <w:rsid w:val="000A54E6"/>
    <w:rsid w:val="000A60AE"/>
    <w:rsid w:val="000A6957"/>
    <w:rsid w:val="000A6E4F"/>
    <w:rsid w:val="000A721B"/>
    <w:rsid w:val="000A7429"/>
    <w:rsid w:val="000A765F"/>
    <w:rsid w:val="000A7A55"/>
    <w:rsid w:val="000B0BCF"/>
    <w:rsid w:val="000B0ECA"/>
    <w:rsid w:val="000B0EDF"/>
    <w:rsid w:val="000B1650"/>
    <w:rsid w:val="000B1807"/>
    <w:rsid w:val="000B2228"/>
    <w:rsid w:val="000B299B"/>
    <w:rsid w:val="000B3960"/>
    <w:rsid w:val="000B3E3F"/>
    <w:rsid w:val="000B4014"/>
    <w:rsid w:val="000B41AB"/>
    <w:rsid w:val="000B4D4D"/>
    <w:rsid w:val="000B52CF"/>
    <w:rsid w:val="000B5328"/>
    <w:rsid w:val="000B636C"/>
    <w:rsid w:val="000B6507"/>
    <w:rsid w:val="000B7B58"/>
    <w:rsid w:val="000B7C35"/>
    <w:rsid w:val="000B7D3E"/>
    <w:rsid w:val="000B7DC1"/>
    <w:rsid w:val="000C06B5"/>
    <w:rsid w:val="000C08FA"/>
    <w:rsid w:val="000C0F96"/>
    <w:rsid w:val="000C1634"/>
    <w:rsid w:val="000C19C9"/>
    <w:rsid w:val="000C1EE1"/>
    <w:rsid w:val="000C2393"/>
    <w:rsid w:val="000C26A0"/>
    <w:rsid w:val="000C2AA8"/>
    <w:rsid w:val="000C2C3E"/>
    <w:rsid w:val="000C2EB4"/>
    <w:rsid w:val="000C3056"/>
    <w:rsid w:val="000C350A"/>
    <w:rsid w:val="000C3B9B"/>
    <w:rsid w:val="000C4389"/>
    <w:rsid w:val="000C5393"/>
    <w:rsid w:val="000C6DF7"/>
    <w:rsid w:val="000C7118"/>
    <w:rsid w:val="000D097E"/>
    <w:rsid w:val="000D0F59"/>
    <w:rsid w:val="000D1265"/>
    <w:rsid w:val="000D1CE8"/>
    <w:rsid w:val="000D2597"/>
    <w:rsid w:val="000D2B0C"/>
    <w:rsid w:val="000D3429"/>
    <w:rsid w:val="000D4149"/>
    <w:rsid w:val="000D41C6"/>
    <w:rsid w:val="000D437F"/>
    <w:rsid w:val="000D4499"/>
    <w:rsid w:val="000D4863"/>
    <w:rsid w:val="000D4BFE"/>
    <w:rsid w:val="000D6738"/>
    <w:rsid w:val="000D74F2"/>
    <w:rsid w:val="000D7C01"/>
    <w:rsid w:val="000E0567"/>
    <w:rsid w:val="000E0A4C"/>
    <w:rsid w:val="000E0D43"/>
    <w:rsid w:val="000E1356"/>
    <w:rsid w:val="000E158D"/>
    <w:rsid w:val="000E172D"/>
    <w:rsid w:val="000E17AE"/>
    <w:rsid w:val="000E2119"/>
    <w:rsid w:val="000E25CB"/>
    <w:rsid w:val="000E2E17"/>
    <w:rsid w:val="000E33D2"/>
    <w:rsid w:val="000E3CF6"/>
    <w:rsid w:val="000E4386"/>
    <w:rsid w:val="000E462F"/>
    <w:rsid w:val="000E485E"/>
    <w:rsid w:val="000E4BFD"/>
    <w:rsid w:val="000E5130"/>
    <w:rsid w:val="000E542E"/>
    <w:rsid w:val="000E57F8"/>
    <w:rsid w:val="000E5A03"/>
    <w:rsid w:val="000E7586"/>
    <w:rsid w:val="000F0A44"/>
    <w:rsid w:val="000F1F7E"/>
    <w:rsid w:val="000F276A"/>
    <w:rsid w:val="000F3F14"/>
    <w:rsid w:val="000F4206"/>
    <w:rsid w:val="000F5B29"/>
    <w:rsid w:val="000F635C"/>
    <w:rsid w:val="000F65DE"/>
    <w:rsid w:val="000F6A10"/>
    <w:rsid w:val="000F6A13"/>
    <w:rsid w:val="000F6B11"/>
    <w:rsid w:val="000F6FC3"/>
    <w:rsid w:val="000F7EE5"/>
    <w:rsid w:val="00101611"/>
    <w:rsid w:val="001020A4"/>
    <w:rsid w:val="00102159"/>
    <w:rsid w:val="00102B56"/>
    <w:rsid w:val="00104D76"/>
    <w:rsid w:val="001052E6"/>
    <w:rsid w:val="0010556E"/>
    <w:rsid w:val="00105771"/>
    <w:rsid w:val="0010600A"/>
    <w:rsid w:val="001062A5"/>
    <w:rsid w:val="001068D7"/>
    <w:rsid w:val="001069CA"/>
    <w:rsid w:val="00106BAF"/>
    <w:rsid w:val="0010757A"/>
    <w:rsid w:val="00110220"/>
    <w:rsid w:val="00110A05"/>
    <w:rsid w:val="00110D08"/>
    <w:rsid w:val="00110ECE"/>
    <w:rsid w:val="00110F51"/>
    <w:rsid w:val="001110B3"/>
    <w:rsid w:val="001112EB"/>
    <w:rsid w:val="001115C8"/>
    <w:rsid w:val="00112033"/>
    <w:rsid w:val="0011233C"/>
    <w:rsid w:val="001133E0"/>
    <w:rsid w:val="00113965"/>
    <w:rsid w:val="00113CC8"/>
    <w:rsid w:val="00113EF3"/>
    <w:rsid w:val="00114656"/>
    <w:rsid w:val="00114AE2"/>
    <w:rsid w:val="001153D1"/>
    <w:rsid w:val="00115599"/>
    <w:rsid w:val="00115805"/>
    <w:rsid w:val="00115A8B"/>
    <w:rsid w:val="00115B53"/>
    <w:rsid w:val="00115D30"/>
    <w:rsid w:val="00116309"/>
    <w:rsid w:val="00116BF9"/>
    <w:rsid w:val="00116F1C"/>
    <w:rsid w:val="0011725A"/>
    <w:rsid w:val="0011759C"/>
    <w:rsid w:val="00117787"/>
    <w:rsid w:val="00120590"/>
    <w:rsid w:val="00120DB8"/>
    <w:rsid w:val="00122533"/>
    <w:rsid w:val="00122A0D"/>
    <w:rsid w:val="00122D33"/>
    <w:rsid w:val="00123035"/>
    <w:rsid w:val="0012332D"/>
    <w:rsid w:val="001235F9"/>
    <w:rsid w:val="00123654"/>
    <w:rsid w:val="0012387D"/>
    <w:rsid w:val="00125491"/>
    <w:rsid w:val="001255D0"/>
    <w:rsid w:val="00125C6A"/>
    <w:rsid w:val="00125D9F"/>
    <w:rsid w:val="00125E3A"/>
    <w:rsid w:val="001260CD"/>
    <w:rsid w:val="00126150"/>
    <w:rsid w:val="00126163"/>
    <w:rsid w:val="001262AD"/>
    <w:rsid w:val="0012716F"/>
    <w:rsid w:val="00127191"/>
    <w:rsid w:val="001272D6"/>
    <w:rsid w:val="0013091F"/>
    <w:rsid w:val="00131C4E"/>
    <w:rsid w:val="00132026"/>
    <w:rsid w:val="001321E2"/>
    <w:rsid w:val="00132FFB"/>
    <w:rsid w:val="00133189"/>
    <w:rsid w:val="00133767"/>
    <w:rsid w:val="001343CA"/>
    <w:rsid w:val="001348AB"/>
    <w:rsid w:val="00134F21"/>
    <w:rsid w:val="001350D5"/>
    <w:rsid w:val="00135888"/>
    <w:rsid w:val="00135DC3"/>
    <w:rsid w:val="00136298"/>
    <w:rsid w:val="00137D21"/>
    <w:rsid w:val="00141301"/>
    <w:rsid w:val="00141F6B"/>
    <w:rsid w:val="001422E1"/>
    <w:rsid w:val="00143765"/>
    <w:rsid w:val="001437D9"/>
    <w:rsid w:val="001439DA"/>
    <w:rsid w:val="00143D44"/>
    <w:rsid w:val="0014412B"/>
    <w:rsid w:val="00144408"/>
    <w:rsid w:val="00144CE6"/>
    <w:rsid w:val="00144F5B"/>
    <w:rsid w:val="001454D7"/>
    <w:rsid w:val="0014559D"/>
    <w:rsid w:val="00145681"/>
    <w:rsid w:val="00145DB5"/>
    <w:rsid w:val="0014609F"/>
    <w:rsid w:val="001476F6"/>
    <w:rsid w:val="0014784A"/>
    <w:rsid w:val="001479A9"/>
    <w:rsid w:val="00147A0B"/>
    <w:rsid w:val="00147B7D"/>
    <w:rsid w:val="001506DB"/>
    <w:rsid w:val="00151897"/>
    <w:rsid w:val="00151FEF"/>
    <w:rsid w:val="0015283A"/>
    <w:rsid w:val="00153013"/>
    <w:rsid w:val="001535E0"/>
    <w:rsid w:val="001538F8"/>
    <w:rsid w:val="00154320"/>
    <w:rsid w:val="00154890"/>
    <w:rsid w:val="001549FD"/>
    <w:rsid w:val="00154DD3"/>
    <w:rsid w:val="0015549B"/>
    <w:rsid w:val="00155661"/>
    <w:rsid w:val="0015590F"/>
    <w:rsid w:val="00155D82"/>
    <w:rsid w:val="00156123"/>
    <w:rsid w:val="00156377"/>
    <w:rsid w:val="00156570"/>
    <w:rsid w:val="0015689F"/>
    <w:rsid w:val="00156ED9"/>
    <w:rsid w:val="00156F4A"/>
    <w:rsid w:val="00161168"/>
    <w:rsid w:val="0016143E"/>
    <w:rsid w:val="001614EC"/>
    <w:rsid w:val="001620C3"/>
    <w:rsid w:val="00162994"/>
    <w:rsid w:val="00162F23"/>
    <w:rsid w:val="00163128"/>
    <w:rsid w:val="0016323A"/>
    <w:rsid w:val="00163903"/>
    <w:rsid w:val="00163EDD"/>
    <w:rsid w:val="00164A54"/>
    <w:rsid w:val="00164E37"/>
    <w:rsid w:val="0016571D"/>
    <w:rsid w:val="001659DB"/>
    <w:rsid w:val="00166AF4"/>
    <w:rsid w:val="00166C2B"/>
    <w:rsid w:val="001670E4"/>
    <w:rsid w:val="001674C9"/>
    <w:rsid w:val="001701FC"/>
    <w:rsid w:val="00170A34"/>
    <w:rsid w:val="00170CE8"/>
    <w:rsid w:val="001712F5"/>
    <w:rsid w:val="00172135"/>
    <w:rsid w:val="00172467"/>
    <w:rsid w:val="00172594"/>
    <w:rsid w:val="001726FD"/>
    <w:rsid w:val="00172BCA"/>
    <w:rsid w:val="00172F48"/>
    <w:rsid w:val="00172FF1"/>
    <w:rsid w:val="00173866"/>
    <w:rsid w:val="001738A3"/>
    <w:rsid w:val="00174FC5"/>
    <w:rsid w:val="001767CF"/>
    <w:rsid w:val="001767D6"/>
    <w:rsid w:val="0017698B"/>
    <w:rsid w:val="00176A6C"/>
    <w:rsid w:val="001770CA"/>
    <w:rsid w:val="001776D8"/>
    <w:rsid w:val="001777AE"/>
    <w:rsid w:val="001777F7"/>
    <w:rsid w:val="00177ED1"/>
    <w:rsid w:val="0018008F"/>
    <w:rsid w:val="0018045E"/>
    <w:rsid w:val="00180A31"/>
    <w:rsid w:val="00182389"/>
    <w:rsid w:val="00182AB2"/>
    <w:rsid w:val="00182FD9"/>
    <w:rsid w:val="001833D2"/>
    <w:rsid w:val="0018384C"/>
    <w:rsid w:val="00183870"/>
    <w:rsid w:val="00183D3A"/>
    <w:rsid w:val="00183F17"/>
    <w:rsid w:val="0018468F"/>
    <w:rsid w:val="001857B0"/>
    <w:rsid w:val="00186962"/>
    <w:rsid w:val="00186C4C"/>
    <w:rsid w:val="001870A3"/>
    <w:rsid w:val="001875C7"/>
    <w:rsid w:val="00187838"/>
    <w:rsid w:val="00187BE3"/>
    <w:rsid w:val="00187C0A"/>
    <w:rsid w:val="00190331"/>
    <w:rsid w:val="00191196"/>
    <w:rsid w:val="00191AED"/>
    <w:rsid w:val="00192687"/>
    <w:rsid w:val="00192C78"/>
    <w:rsid w:val="00192EB8"/>
    <w:rsid w:val="0019375A"/>
    <w:rsid w:val="00193C6D"/>
    <w:rsid w:val="00193D7F"/>
    <w:rsid w:val="00194BD1"/>
    <w:rsid w:val="00194DDF"/>
    <w:rsid w:val="0019563F"/>
    <w:rsid w:val="00196C13"/>
    <w:rsid w:val="001979BC"/>
    <w:rsid w:val="00197C43"/>
    <w:rsid w:val="00197CB8"/>
    <w:rsid w:val="001A0090"/>
    <w:rsid w:val="001A0672"/>
    <w:rsid w:val="001A07B7"/>
    <w:rsid w:val="001A2903"/>
    <w:rsid w:val="001A318F"/>
    <w:rsid w:val="001A33AE"/>
    <w:rsid w:val="001A40B0"/>
    <w:rsid w:val="001A42C1"/>
    <w:rsid w:val="001A48F4"/>
    <w:rsid w:val="001A492D"/>
    <w:rsid w:val="001A59FF"/>
    <w:rsid w:val="001A5B29"/>
    <w:rsid w:val="001A5FDF"/>
    <w:rsid w:val="001A6012"/>
    <w:rsid w:val="001A6EF7"/>
    <w:rsid w:val="001A73A8"/>
    <w:rsid w:val="001A7856"/>
    <w:rsid w:val="001A7973"/>
    <w:rsid w:val="001B0188"/>
    <w:rsid w:val="001B0412"/>
    <w:rsid w:val="001B04AF"/>
    <w:rsid w:val="001B154B"/>
    <w:rsid w:val="001B1FFE"/>
    <w:rsid w:val="001B33AA"/>
    <w:rsid w:val="001B3868"/>
    <w:rsid w:val="001B4208"/>
    <w:rsid w:val="001B4ACA"/>
    <w:rsid w:val="001B4C1B"/>
    <w:rsid w:val="001B4FFB"/>
    <w:rsid w:val="001B599A"/>
    <w:rsid w:val="001B59EF"/>
    <w:rsid w:val="001B65F0"/>
    <w:rsid w:val="001B6905"/>
    <w:rsid w:val="001B6A0A"/>
    <w:rsid w:val="001B6D16"/>
    <w:rsid w:val="001B6EE1"/>
    <w:rsid w:val="001B705C"/>
    <w:rsid w:val="001B7A91"/>
    <w:rsid w:val="001B7B07"/>
    <w:rsid w:val="001C08E0"/>
    <w:rsid w:val="001C1455"/>
    <w:rsid w:val="001C1E2C"/>
    <w:rsid w:val="001C209B"/>
    <w:rsid w:val="001C2A2D"/>
    <w:rsid w:val="001C31BC"/>
    <w:rsid w:val="001C393A"/>
    <w:rsid w:val="001C4137"/>
    <w:rsid w:val="001C4602"/>
    <w:rsid w:val="001C46CA"/>
    <w:rsid w:val="001C49FF"/>
    <w:rsid w:val="001C4A58"/>
    <w:rsid w:val="001C5127"/>
    <w:rsid w:val="001C52A9"/>
    <w:rsid w:val="001C56F0"/>
    <w:rsid w:val="001C6A15"/>
    <w:rsid w:val="001C6DC4"/>
    <w:rsid w:val="001C6DF8"/>
    <w:rsid w:val="001D020A"/>
    <w:rsid w:val="001D0307"/>
    <w:rsid w:val="001D05D6"/>
    <w:rsid w:val="001D1BB0"/>
    <w:rsid w:val="001D1EA2"/>
    <w:rsid w:val="001D1F17"/>
    <w:rsid w:val="001D35C0"/>
    <w:rsid w:val="001D374C"/>
    <w:rsid w:val="001D45B3"/>
    <w:rsid w:val="001D547E"/>
    <w:rsid w:val="001D6028"/>
    <w:rsid w:val="001D681D"/>
    <w:rsid w:val="001D6B24"/>
    <w:rsid w:val="001D7368"/>
    <w:rsid w:val="001D7919"/>
    <w:rsid w:val="001D7CDB"/>
    <w:rsid w:val="001D7F1D"/>
    <w:rsid w:val="001E002E"/>
    <w:rsid w:val="001E0D78"/>
    <w:rsid w:val="001E112A"/>
    <w:rsid w:val="001E11DB"/>
    <w:rsid w:val="001E1B11"/>
    <w:rsid w:val="001E1C88"/>
    <w:rsid w:val="001E25C3"/>
    <w:rsid w:val="001E2AFE"/>
    <w:rsid w:val="001E2C42"/>
    <w:rsid w:val="001E3532"/>
    <w:rsid w:val="001E3AAF"/>
    <w:rsid w:val="001E3B9A"/>
    <w:rsid w:val="001E3E54"/>
    <w:rsid w:val="001E41A1"/>
    <w:rsid w:val="001E421C"/>
    <w:rsid w:val="001E4261"/>
    <w:rsid w:val="001E4C4F"/>
    <w:rsid w:val="001E561F"/>
    <w:rsid w:val="001E5D58"/>
    <w:rsid w:val="001E6220"/>
    <w:rsid w:val="001E6A0F"/>
    <w:rsid w:val="001E71C7"/>
    <w:rsid w:val="001E78C5"/>
    <w:rsid w:val="001E7AA5"/>
    <w:rsid w:val="001F02C4"/>
    <w:rsid w:val="001F02D9"/>
    <w:rsid w:val="001F0C50"/>
    <w:rsid w:val="001F1859"/>
    <w:rsid w:val="001F1AF8"/>
    <w:rsid w:val="001F1B32"/>
    <w:rsid w:val="001F1C05"/>
    <w:rsid w:val="001F26AE"/>
    <w:rsid w:val="001F26C7"/>
    <w:rsid w:val="001F2DF3"/>
    <w:rsid w:val="001F3182"/>
    <w:rsid w:val="001F3BB9"/>
    <w:rsid w:val="001F3E7D"/>
    <w:rsid w:val="001F4D19"/>
    <w:rsid w:val="001F5772"/>
    <w:rsid w:val="001F5920"/>
    <w:rsid w:val="001F5B0E"/>
    <w:rsid w:val="001F5D01"/>
    <w:rsid w:val="001F5F0A"/>
    <w:rsid w:val="001F6735"/>
    <w:rsid w:val="001F67A4"/>
    <w:rsid w:val="001F67D0"/>
    <w:rsid w:val="001F7079"/>
    <w:rsid w:val="001F767B"/>
    <w:rsid w:val="001F76A4"/>
    <w:rsid w:val="001F790E"/>
    <w:rsid w:val="001F795D"/>
    <w:rsid w:val="00200140"/>
    <w:rsid w:val="00200395"/>
    <w:rsid w:val="00200987"/>
    <w:rsid w:val="00200C9F"/>
    <w:rsid w:val="00200ED8"/>
    <w:rsid w:val="0020221D"/>
    <w:rsid w:val="00202BF2"/>
    <w:rsid w:val="00202C79"/>
    <w:rsid w:val="00202D96"/>
    <w:rsid w:val="00202F82"/>
    <w:rsid w:val="00203227"/>
    <w:rsid w:val="00203455"/>
    <w:rsid w:val="00203978"/>
    <w:rsid w:val="00203EF0"/>
    <w:rsid w:val="00204A3B"/>
    <w:rsid w:val="00204CF0"/>
    <w:rsid w:val="002050C3"/>
    <w:rsid w:val="0020562E"/>
    <w:rsid w:val="00205779"/>
    <w:rsid w:val="0020580C"/>
    <w:rsid w:val="00206088"/>
    <w:rsid w:val="00206CBE"/>
    <w:rsid w:val="00210651"/>
    <w:rsid w:val="00211463"/>
    <w:rsid w:val="002115FD"/>
    <w:rsid w:val="002116D7"/>
    <w:rsid w:val="00212131"/>
    <w:rsid w:val="002121AF"/>
    <w:rsid w:val="002124EC"/>
    <w:rsid w:val="00212949"/>
    <w:rsid w:val="00212980"/>
    <w:rsid w:val="00212A30"/>
    <w:rsid w:val="00212B75"/>
    <w:rsid w:val="00212CD0"/>
    <w:rsid w:val="00213E87"/>
    <w:rsid w:val="0021459D"/>
    <w:rsid w:val="002147CF"/>
    <w:rsid w:val="00214D01"/>
    <w:rsid w:val="0021524A"/>
    <w:rsid w:val="00215513"/>
    <w:rsid w:val="00215BE8"/>
    <w:rsid w:val="00215C61"/>
    <w:rsid w:val="00215D6D"/>
    <w:rsid w:val="00216ACA"/>
    <w:rsid w:val="00217FEF"/>
    <w:rsid w:val="00220165"/>
    <w:rsid w:val="0022063B"/>
    <w:rsid w:val="00220E4F"/>
    <w:rsid w:val="0022233C"/>
    <w:rsid w:val="00222375"/>
    <w:rsid w:val="00222B5C"/>
    <w:rsid w:val="00222CE6"/>
    <w:rsid w:val="00222D95"/>
    <w:rsid w:val="00223707"/>
    <w:rsid w:val="00223D0A"/>
    <w:rsid w:val="002245E3"/>
    <w:rsid w:val="00224DB9"/>
    <w:rsid w:val="002259CE"/>
    <w:rsid w:val="002259E8"/>
    <w:rsid w:val="00225E67"/>
    <w:rsid w:val="00227160"/>
    <w:rsid w:val="00227191"/>
    <w:rsid w:val="00227BDF"/>
    <w:rsid w:val="00230578"/>
    <w:rsid w:val="0023064E"/>
    <w:rsid w:val="002307AB"/>
    <w:rsid w:val="00230CE1"/>
    <w:rsid w:val="00231C1B"/>
    <w:rsid w:val="002323CB"/>
    <w:rsid w:val="002333B2"/>
    <w:rsid w:val="0023354B"/>
    <w:rsid w:val="002339D8"/>
    <w:rsid w:val="002340AD"/>
    <w:rsid w:val="002345A2"/>
    <w:rsid w:val="0023493B"/>
    <w:rsid w:val="00234984"/>
    <w:rsid w:val="002349A6"/>
    <w:rsid w:val="00234BD1"/>
    <w:rsid w:val="0023540B"/>
    <w:rsid w:val="0023555A"/>
    <w:rsid w:val="002356C7"/>
    <w:rsid w:val="002358BE"/>
    <w:rsid w:val="00235CE4"/>
    <w:rsid w:val="002361AE"/>
    <w:rsid w:val="00236236"/>
    <w:rsid w:val="00236722"/>
    <w:rsid w:val="002368C1"/>
    <w:rsid w:val="00236D99"/>
    <w:rsid w:val="0023756A"/>
    <w:rsid w:val="00237933"/>
    <w:rsid w:val="00237EAD"/>
    <w:rsid w:val="00240574"/>
    <w:rsid w:val="0024067F"/>
    <w:rsid w:val="002406E2"/>
    <w:rsid w:val="00240768"/>
    <w:rsid w:val="00240966"/>
    <w:rsid w:val="002409F0"/>
    <w:rsid w:val="00240C2D"/>
    <w:rsid w:val="00240EC7"/>
    <w:rsid w:val="0024103A"/>
    <w:rsid w:val="0024133C"/>
    <w:rsid w:val="00241807"/>
    <w:rsid w:val="00241E0C"/>
    <w:rsid w:val="00241FBA"/>
    <w:rsid w:val="00242357"/>
    <w:rsid w:val="00242845"/>
    <w:rsid w:val="00242C4A"/>
    <w:rsid w:val="00243700"/>
    <w:rsid w:val="0024400D"/>
    <w:rsid w:val="00244BE4"/>
    <w:rsid w:val="00244D7F"/>
    <w:rsid w:val="0024552F"/>
    <w:rsid w:val="00246488"/>
    <w:rsid w:val="002468C3"/>
    <w:rsid w:val="00246B5B"/>
    <w:rsid w:val="00247388"/>
    <w:rsid w:val="0024756C"/>
    <w:rsid w:val="002477FC"/>
    <w:rsid w:val="0025038F"/>
    <w:rsid w:val="00250466"/>
    <w:rsid w:val="00250997"/>
    <w:rsid w:val="00251193"/>
    <w:rsid w:val="002539BB"/>
    <w:rsid w:val="00253B68"/>
    <w:rsid w:val="002541F3"/>
    <w:rsid w:val="00254AFE"/>
    <w:rsid w:val="00255318"/>
    <w:rsid w:val="00255417"/>
    <w:rsid w:val="0025617C"/>
    <w:rsid w:val="00256211"/>
    <w:rsid w:val="0025634A"/>
    <w:rsid w:val="002564CA"/>
    <w:rsid w:val="0025711F"/>
    <w:rsid w:val="00257200"/>
    <w:rsid w:val="00257201"/>
    <w:rsid w:val="00261ED2"/>
    <w:rsid w:val="00261F51"/>
    <w:rsid w:val="00262944"/>
    <w:rsid w:val="002633C2"/>
    <w:rsid w:val="002648A9"/>
    <w:rsid w:val="002657B0"/>
    <w:rsid w:val="00265CA6"/>
    <w:rsid w:val="0026780A"/>
    <w:rsid w:val="00267EDD"/>
    <w:rsid w:val="00270D17"/>
    <w:rsid w:val="00270DC8"/>
    <w:rsid w:val="00271549"/>
    <w:rsid w:val="002717D0"/>
    <w:rsid w:val="002718EB"/>
    <w:rsid w:val="00271A19"/>
    <w:rsid w:val="00271B02"/>
    <w:rsid w:val="0027331D"/>
    <w:rsid w:val="00273A48"/>
    <w:rsid w:val="00273F70"/>
    <w:rsid w:val="00274213"/>
    <w:rsid w:val="002749E5"/>
    <w:rsid w:val="00274A36"/>
    <w:rsid w:val="00275566"/>
    <w:rsid w:val="00275B6E"/>
    <w:rsid w:val="002762A6"/>
    <w:rsid w:val="002762B6"/>
    <w:rsid w:val="002764B4"/>
    <w:rsid w:val="002764C7"/>
    <w:rsid w:val="002767F9"/>
    <w:rsid w:val="00277006"/>
    <w:rsid w:val="00277D5D"/>
    <w:rsid w:val="00280047"/>
    <w:rsid w:val="00280A62"/>
    <w:rsid w:val="00280D70"/>
    <w:rsid w:val="00280DA0"/>
    <w:rsid w:val="00280F32"/>
    <w:rsid w:val="002821CE"/>
    <w:rsid w:val="002826D4"/>
    <w:rsid w:val="00282F35"/>
    <w:rsid w:val="00283E71"/>
    <w:rsid w:val="00284573"/>
    <w:rsid w:val="00284828"/>
    <w:rsid w:val="00284D2F"/>
    <w:rsid w:val="0028540D"/>
    <w:rsid w:val="002854BD"/>
    <w:rsid w:val="00285B03"/>
    <w:rsid w:val="00286163"/>
    <w:rsid w:val="002861B9"/>
    <w:rsid w:val="002872A4"/>
    <w:rsid w:val="002874EC"/>
    <w:rsid w:val="00287CBD"/>
    <w:rsid w:val="00287F9E"/>
    <w:rsid w:val="002902F0"/>
    <w:rsid w:val="0029034D"/>
    <w:rsid w:val="00290A73"/>
    <w:rsid w:val="00290ABE"/>
    <w:rsid w:val="00290B20"/>
    <w:rsid w:val="002910B0"/>
    <w:rsid w:val="0029141A"/>
    <w:rsid w:val="002915DC"/>
    <w:rsid w:val="00291CA7"/>
    <w:rsid w:val="00291EA2"/>
    <w:rsid w:val="002923B2"/>
    <w:rsid w:val="002924B9"/>
    <w:rsid w:val="00292CEE"/>
    <w:rsid w:val="00293220"/>
    <w:rsid w:val="002937C2"/>
    <w:rsid w:val="0029428F"/>
    <w:rsid w:val="00294476"/>
    <w:rsid w:val="00294F1F"/>
    <w:rsid w:val="002952A1"/>
    <w:rsid w:val="00295483"/>
    <w:rsid w:val="00295499"/>
    <w:rsid w:val="00296405"/>
    <w:rsid w:val="00296996"/>
    <w:rsid w:val="00296F35"/>
    <w:rsid w:val="00296F40"/>
    <w:rsid w:val="002A0320"/>
    <w:rsid w:val="002A038F"/>
    <w:rsid w:val="002A080C"/>
    <w:rsid w:val="002A0CA0"/>
    <w:rsid w:val="002A0EB1"/>
    <w:rsid w:val="002A1A57"/>
    <w:rsid w:val="002A28BB"/>
    <w:rsid w:val="002A2AB8"/>
    <w:rsid w:val="002A2F06"/>
    <w:rsid w:val="002A3D1C"/>
    <w:rsid w:val="002A4018"/>
    <w:rsid w:val="002A413D"/>
    <w:rsid w:val="002A43A7"/>
    <w:rsid w:val="002A4DA4"/>
    <w:rsid w:val="002A5321"/>
    <w:rsid w:val="002A5AEF"/>
    <w:rsid w:val="002A63EB"/>
    <w:rsid w:val="002A6649"/>
    <w:rsid w:val="002A69A5"/>
    <w:rsid w:val="002A768E"/>
    <w:rsid w:val="002A7E5D"/>
    <w:rsid w:val="002B09F4"/>
    <w:rsid w:val="002B0AA3"/>
    <w:rsid w:val="002B0C0B"/>
    <w:rsid w:val="002B1112"/>
    <w:rsid w:val="002B148F"/>
    <w:rsid w:val="002B18AF"/>
    <w:rsid w:val="002B2315"/>
    <w:rsid w:val="002B2E70"/>
    <w:rsid w:val="002B36BF"/>
    <w:rsid w:val="002B373C"/>
    <w:rsid w:val="002B3C29"/>
    <w:rsid w:val="002B4970"/>
    <w:rsid w:val="002B4973"/>
    <w:rsid w:val="002B4B44"/>
    <w:rsid w:val="002B4BFB"/>
    <w:rsid w:val="002B4C46"/>
    <w:rsid w:val="002B4F36"/>
    <w:rsid w:val="002B5D85"/>
    <w:rsid w:val="002B61FC"/>
    <w:rsid w:val="002B6723"/>
    <w:rsid w:val="002B697E"/>
    <w:rsid w:val="002B6CF3"/>
    <w:rsid w:val="002B71BD"/>
    <w:rsid w:val="002B738A"/>
    <w:rsid w:val="002B7C52"/>
    <w:rsid w:val="002C0C95"/>
    <w:rsid w:val="002C0EE7"/>
    <w:rsid w:val="002C0F35"/>
    <w:rsid w:val="002C1CE5"/>
    <w:rsid w:val="002C1DBE"/>
    <w:rsid w:val="002C23DC"/>
    <w:rsid w:val="002C28B5"/>
    <w:rsid w:val="002C2A64"/>
    <w:rsid w:val="002C343E"/>
    <w:rsid w:val="002C3D69"/>
    <w:rsid w:val="002C4001"/>
    <w:rsid w:val="002C40A1"/>
    <w:rsid w:val="002C4E0C"/>
    <w:rsid w:val="002C4F34"/>
    <w:rsid w:val="002C58B1"/>
    <w:rsid w:val="002C5AB0"/>
    <w:rsid w:val="002C5F07"/>
    <w:rsid w:val="002C640D"/>
    <w:rsid w:val="002C777E"/>
    <w:rsid w:val="002C7AC4"/>
    <w:rsid w:val="002D0138"/>
    <w:rsid w:val="002D0391"/>
    <w:rsid w:val="002D05DB"/>
    <w:rsid w:val="002D0D6D"/>
    <w:rsid w:val="002D0FCB"/>
    <w:rsid w:val="002D18DD"/>
    <w:rsid w:val="002D1AD0"/>
    <w:rsid w:val="002D1D3B"/>
    <w:rsid w:val="002D222E"/>
    <w:rsid w:val="002D2F9E"/>
    <w:rsid w:val="002D3116"/>
    <w:rsid w:val="002D33D1"/>
    <w:rsid w:val="002D34B3"/>
    <w:rsid w:val="002D34C5"/>
    <w:rsid w:val="002D38B8"/>
    <w:rsid w:val="002D3E77"/>
    <w:rsid w:val="002D47A3"/>
    <w:rsid w:val="002D4810"/>
    <w:rsid w:val="002D50EA"/>
    <w:rsid w:val="002D5222"/>
    <w:rsid w:val="002D5371"/>
    <w:rsid w:val="002D5FA5"/>
    <w:rsid w:val="002D6387"/>
    <w:rsid w:val="002D697F"/>
    <w:rsid w:val="002D71B1"/>
    <w:rsid w:val="002D7324"/>
    <w:rsid w:val="002D7766"/>
    <w:rsid w:val="002E0021"/>
    <w:rsid w:val="002E10C8"/>
    <w:rsid w:val="002E1681"/>
    <w:rsid w:val="002E187D"/>
    <w:rsid w:val="002E19EB"/>
    <w:rsid w:val="002E1F93"/>
    <w:rsid w:val="002E208D"/>
    <w:rsid w:val="002E25A4"/>
    <w:rsid w:val="002E2749"/>
    <w:rsid w:val="002E274C"/>
    <w:rsid w:val="002E2B99"/>
    <w:rsid w:val="002E340B"/>
    <w:rsid w:val="002E3F7F"/>
    <w:rsid w:val="002E4201"/>
    <w:rsid w:val="002E4C74"/>
    <w:rsid w:val="002E643B"/>
    <w:rsid w:val="002E64D6"/>
    <w:rsid w:val="002E6ABF"/>
    <w:rsid w:val="002E7A18"/>
    <w:rsid w:val="002F02EA"/>
    <w:rsid w:val="002F0B9D"/>
    <w:rsid w:val="002F1352"/>
    <w:rsid w:val="002F2B54"/>
    <w:rsid w:val="002F2DA0"/>
    <w:rsid w:val="002F33D3"/>
    <w:rsid w:val="002F34BF"/>
    <w:rsid w:val="002F3DF5"/>
    <w:rsid w:val="002F4515"/>
    <w:rsid w:val="002F499B"/>
    <w:rsid w:val="002F4B0F"/>
    <w:rsid w:val="002F4FDA"/>
    <w:rsid w:val="002F51BF"/>
    <w:rsid w:val="002F522D"/>
    <w:rsid w:val="002F59BC"/>
    <w:rsid w:val="002F5BB7"/>
    <w:rsid w:val="002F5D47"/>
    <w:rsid w:val="002F5E2D"/>
    <w:rsid w:val="002F6794"/>
    <w:rsid w:val="002F6EFF"/>
    <w:rsid w:val="002F7BBB"/>
    <w:rsid w:val="002F7E55"/>
    <w:rsid w:val="00300143"/>
    <w:rsid w:val="0030039B"/>
    <w:rsid w:val="003010A0"/>
    <w:rsid w:val="00302532"/>
    <w:rsid w:val="003026EE"/>
    <w:rsid w:val="00302C69"/>
    <w:rsid w:val="003030EB"/>
    <w:rsid w:val="0030392E"/>
    <w:rsid w:val="003039A4"/>
    <w:rsid w:val="00303C8B"/>
    <w:rsid w:val="003041A8"/>
    <w:rsid w:val="0030434F"/>
    <w:rsid w:val="00304924"/>
    <w:rsid w:val="00305B18"/>
    <w:rsid w:val="00305B19"/>
    <w:rsid w:val="00305CA4"/>
    <w:rsid w:val="00305F45"/>
    <w:rsid w:val="003061C1"/>
    <w:rsid w:val="00306645"/>
    <w:rsid w:val="00306C30"/>
    <w:rsid w:val="00306DB1"/>
    <w:rsid w:val="00307AA0"/>
    <w:rsid w:val="003101D5"/>
    <w:rsid w:val="003112DC"/>
    <w:rsid w:val="003121F4"/>
    <w:rsid w:val="003122FA"/>
    <w:rsid w:val="0031259D"/>
    <w:rsid w:val="00312850"/>
    <w:rsid w:val="00314373"/>
    <w:rsid w:val="003144A3"/>
    <w:rsid w:val="00314805"/>
    <w:rsid w:val="0031480C"/>
    <w:rsid w:val="00314D5B"/>
    <w:rsid w:val="00314E59"/>
    <w:rsid w:val="00315281"/>
    <w:rsid w:val="00315774"/>
    <w:rsid w:val="0031578D"/>
    <w:rsid w:val="00315A7C"/>
    <w:rsid w:val="00315F3C"/>
    <w:rsid w:val="00316419"/>
    <w:rsid w:val="0031666F"/>
    <w:rsid w:val="00316AA6"/>
    <w:rsid w:val="00316CED"/>
    <w:rsid w:val="00316E58"/>
    <w:rsid w:val="00317169"/>
    <w:rsid w:val="003205DE"/>
    <w:rsid w:val="00321500"/>
    <w:rsid w:val="00321B91"/>
    <w:rsid w:val="00321C8B"/>
    <w:rsid w:val="00321CD4"/>
    <w:rsid w:val="00322855"/>
    <w:rsid w:val="00322FEB"/>
    <w:rsid w:val="00323734"/>
    <w:rsid w:val="0032389D"/>
    <w:rsid w:val="003239E0"/>
    <w:rsid w:val="00323E86"/>
    <w:rsid w:val="00323F16"/>
    <w:rsid w:val="00323FC7"/>
    <w:rsid w:val="00324036"/>
    <w:rsid w:val="00324129"/>
    <w:rsid w:val="00324147"/>
    <w:rsid w:val="00325E02"/>
    <w:rsid w:val="00325F2F"/>
    <w:rsid w:val="00326011"/>
    <w:rsid w:val="003264AC"/>
    <w:rsid w:val="00326A78"/>
    <w:rsid w:val="00326CF9"/>
    <w:rsid w:val="00326DBC"/>
    <w:rsid w:val="00327133"/>
    <w:rsid w:val="00327451"/>
    <w:rsid w:val="0032761B"/>
    <w:rsid w:val="00327943"/>
    <w:rsid w:val="003302A9"/>
    <w:rsid w:val="00330824"/>
    <w:rsid w:val="00330AA2"/>
    <w:rsid w:val="00330F90"/>
    <w:rsid w:val="00331770"/>
    <w:rsid w:val="00331884"/>
    <w:rsid w:val="0033223D"/>
    <w:rsid w:val="0033277E"/>
    <w:rsid w:val="00332B2B"/>
    <w:rsid w:val="00332D67"/>
    <w:rsid w:val="00332EC4"/>
    <w:rsid w:val="003333FE"/>
    <w:rsid w:val="00333C62"/>
    <w:rsid w:val="00334C0D"/>
    <w:rsid w:val="0033567A"/>
    <w:rsid w:val="00335C90"/>
    <w:rsid w:val="00335CA4"/>
    <w:rsid w:val="003364D6"/>
    <w:rsid w:val="00336873"/>
    <w:rsid w:val="0033732D"/>
    <w:rsid w:val="00337819"/>
    <w:rsid w:val="003379E0"/>
    <w:rsid w:val="00337E0F"/>
    <w:rsid w:val="00340E39"/>
    <w:rsid w:val="00341866"/>
    <w:rsid w:val="00341F6D"/>
    <w:rsid w:val="00342365"/>
    <w:rsid w:val="00342AA5"/>
    <w:rsid w:val="00343483"/>
    <w:rsid w:val="003436C7"/>
    <w:rsid w:val="003439B3"/>
    <w:rsid w:val="00344733"/>
    <w:rsid w:val="00344919"/>
    <w:rsid w:val="00344BAF"/>
    <w:rsid w:val="0034538F"/>
    <w:rsid w:val="00346270"/>
    <w:rsid w:val="00346905"/>
    <w:rsid w:val="00347058"/>
    <w:rsid w:val="00347E04"/>
    <w:rsid w:val="003509ED"/>
    <w:rsid w:val="0035138D"/>
    <w:rsid w:val="0035178B"/>
    <w:rsid w:val="00353702"/>
    <w:rsid w:val="00353FE6"/>
    <w:rsid w:val="0035427E"/>
    <w:rsid w:val="0035486B"/>
    <w:rsid w:val="00354C1C"/>
    <w:rsid w:val="003569ED"/>
    <w:rsid w:val="00360246"/>
    <w:rsid w:val="00360AD4"/>
    <w:rsid w:val="00360BEE"/>
    <w:rsid w:val="00360D92"/>
    <w:rsid w:val="00360FA1"/>
    <w:rsid w:val="00362062"/>
    <w:rsid w:val="003625D8"/>
    <w:rsid w:val="00362667"/>
    <w:rsid w:val="00362784"/>
    <w:rsid w:val="003633A0"/>
    <w:rsid w:val="00363D7B"/>
    <w:rsid w:val="00363E93"/>
    <w:rsid w:val="0036419A"/>
    <w:rsid w:val="00364474"/>
    <w:rsid w:val="003653A9"/>
    <w:rsid w:val="00365523"/>
    <w:rsid w:val="00367AF7"/>
    <w:rsid w:val="00367BC4"/>
    <w:rsid w:val="00367CFE"/>
    <w:rsid w:val="00370195"/>
    <w:rsid w:val="003702AF"/>
    <w:rsid w:val="0037041B"/>
    <w:rsid w:val="0037053D"/>
    <w:rsid w:val="003709F7"/>
    <w:rsid w:val="00370BCC"/>
    <w:rsid w:val="00371394"/>
    <w:rsid w:val="003714AF"/>
    <w:rsid w:val="00371531"/>
    <w:rsid w:val="0037170F"/>
    <w:rsid w:val="00371F44"/>
    <w:rsid w:val="00372401"/>
    <w:rsid w:val="00373618"/>
    <w:rsid w:val="00373814"/>
    <w:rsid w:val="00373CB3"/>
    <w:rsid w:val="00373F04"/>
    <w:rsid w:val="00376DDC"/>
    <w:rsid w:val="00376E82"/>
    <w:rsid w:val="00376F27"/>
    <w:rsid w:val="00377E62"/>
    <w:rsid w:val="0038010D"/>
    <w:rsid w:val="00380505"/>
    <w:rsid w:val="00380DB1"/>
    <w:rsid w:val="003811AD"/>
    <w:rsid w:val="003814E8"/>
    <w:rsid w:val="0038227C"/>
    <w:rsid w:val="00382AF5"/>
    <w:rsid w:val="00382C3A"/>
    <w:rsid w:val="00382C8B"/>
    <w:rsid w:val="00383082"/>
    <w:rsid w:val="00383638"/>
    <w:rsid w:val="003838C2"/>
    <w:rsid w:val="00383B96"/>
    <w:rsid w:val="00384384"/>
    <w:rsid w:val="0038443F"/>
    <w:rsid w:val="00384C98"/>
    <w:rsid w:val="00384F35"/>
    <w:rsid w:val="00385DCD"/>
    <w:rsid w:val="00385DE5"/>
    <w:rsid w:val="003862F5"/>
    <w:rsid w:val="003863AF"/>
    <w:rsid w:val="00386FB8"/>
    <w:rsid w:val="00387110"/>
    <w:rsid w:val="00387328"/>
    <w:rsid w:val="00387703"/>
    <w:rsid w:val="003877B6"/>
    <w:rsid w:val="003879FE"/>
    <w:rsid w:val="00387BCA"/>
    <w:rsid w:val="00387BEB"/>
    <w:rsid w:val="003903A1"/>
    <w:rsid w:val="00390E06"/>
    <w:rsid w:val="003917F5"/>
    <w:rsid w:val="00392382"/>
    <w:rsid w:val="003923B0"/>
    <w:rsid w:val="00392C84"/>
    <w:rsid w:val="00392DC0"/>
    <w:rsid w:val="00393015"/>
    <w:rsid w:val="00393AF4"/>
    <w:rsid w:val="00395759"/>
    <w:rsid w:val="00396558"/>
    <w:rsid w:val="003968AD"/>
    <w:rsid w:val="0039706B"/>
    <w:rsid w:val="003A081E"/>
    <w:rsid w:val="003A0E14"/>
    <w:rsid w:val="003A1541"/>
    <w:rsid w:val="003A19B3"/>
    <w:rsid w:val="003A1CC9"/>
    <w:rsid w:val="003A2184"/>
    <w:rsid w:val="003A24E4"/>
    <w:rsid w:val="003A2EB4"/>
    <w:rsid w:val="003A318A"/>
    <w:rsid w:val="003A3570"/>
    <w:rsid w:val="003A4611"/>
    <w:rsid w:val="003A4EE8"/>
    <w:rsid w:val="003A5C03"/>
    <w:rsid w:val="003A61BD"/>
    <w:rsid w:val="003A64E6"/>
    <w:rsid w:val="003A69F2"/>
    <w:rsid w:val="003A6C43"/>
    <w:rsid w:val="003A6D09"/>
    <w:rsid w:val="003A72DE"/>
    <w:rsid w:val="003A7335"/>
    <w:rsid w:val="003A75FF"/>
    <w:rsid w:val="003A7B72"/>
    <w:rsid w:val="003B09BC"/>
    <w:rsid w:val="003B0AE9"/>
    <w:rsid w:val="003B0E7A"/>
    <w:rsid w:val="003B102C"/>
    <w:rsid w:val="003B116C"/>
    <w:rsid w:val="003B1558"/>
    <w:rsid w:val="003B17E2"/>
    <w:rsid w:val="003B1879"/>
    <w:rsid w:val="003B30E2"/>
    <w:rsid w:val="003B3541"/>
    <w:rsid w:val="003B3EC0"/>
    <w:rsid w:val="003B4BD7"/>
    <w:rsid w:val="003B4C10"/>
    <w:rsid w:val="003B5A7F"/>
    <w:rsid w:val="003B5EEB"/>
    <w:rsid w:val="003B5F10"/>
    <w:rsid w:val="003B6340"/>
    <w:rsid w:val="003B68A6"/>
    <w:rsid w:val="003B6AD9"/>
    <w:rsid w:val="003B6C84"/>
    <w:rsid w:val="003B713C"/>
    <w:rsid w:val="003B73A6"/>
    <w:rsid w:val="003C0208"/>
    <w:rsid w:val="003C0679"/>
    <w:rsid w:val="003C0D6A"/>
    <w:rsid w:val="003C0F8B"/>
    <w:rsid w:val="003C1277"/>
    <w:rsid w:val="003C18D0"/>
    <w:rsid w:val="003C1CE4"/>
    <w:rsid w:val="003C249A"/>
    <w:rsid w:val="003C39B1"/>
    <w:rsid w:val="003C4033"/>
    <w:rsid w:val="003C4505"/>
    <w:rsid w:val="003C4FB8"/>
    <w:rsid w:val="003C5361"/>
    <w:rsid w:val="003C53EC"/>
    <w:rsid w:val="003C6064"/>
    <w:rsid w:val="003C6170"/>
    <w:rsid w:val="003C67C2"/>
    <w:rsid w:val="003C6942"/>
    <w:rsid w:val="003C69D1"/>
    <w:rsid w:val="003C7307"/>
    <w:rsid w:val="003C73C5"/>
    <w:rsid w:val="003C743B"/>
    <w:rsid w:val="003C7954"/>
    <w:rsid w:val="003D1218"/>
    <w:rsid w:val="003D1576"/>
    <w:rsid w:val="003D1979"/>
    <w:rsid w:val="003D1A7C"/>
    <w:rsid w:val="003D230D"/>
    <w:rsid w:val="003D24F6"/>
    <w:rsid w:val="003D2677"/>
    <w:rsid w:val="003D2973"/>
    <w:rsid w:val="003D2F16"/>
    <w:rsid w:val="003D393F"/>
    <w:rsid w:val="003D3CD8"/>
    <w:rsid w:val="003D3FE8"/>
    <w:rsid w:val="003D4F02"/>
    <w:rsid w:val="003D5865"/>
    <w:rsid w:val="003D5D1E"/>
    <w:rsid w:val="003D65EF"/>
    <w:rsid w:val="003D6873"/>
    <w:rsid w:val="003D7795"/>
    <w:rsid w:val="003D7BEC"/>
    <w:rsid w:val="003D7CCA"/>
    <w:rsid w:val="003E0003"/>
    <w:rsid w:val="003E0836"/>
    <w:rsid w:val="003E0CBC"/>
    <w:rsid w:val="003E0D95"/>
    <w:rsid w:val="003E1954"/>
    <w:rsid w:val="003E2FFB"/>
    <w:rsid w:val="003E307B"/>
    <w:rsid w:val="003E3FB7"/>
    <w:rsid w:val="003E4A05"/>
    <w:rsid w:val="003E56FA"/>
    <w:rsid w:val="003E5B50"/>
    <w:rsid w:val="003E646B"/>
    <w:rsid w:val="003E64E6"/>
    <w:rsid w:val="003E6739"/>
    <w:rsid w:val="003E6760"/>
    <w:rsid w:val="003E69D0"/>
    <w:rsid w:val="003E7824"/>
    <w:rsid w:val="003E7DAC"/>
    <w:rsid w:val="003E7FE3"/>
    <w:rsid w:val="003F0338"/>
    <w:rsid w:val="003F11F0"/>
    <w:rsid w:val="003F12FB"/>
    <w:rsid w:val="003F1774"/>
    <w:rsid w:val="003F2FA7"/>
    <w:rsid w:val="003F4565"/>
    <w:rsid w:val="003F4FAE"/>
    <w:rsid w:val="003F54D0"/>
    <w:rsid w:val="003F575C"/>
    <w:rsid w:val="003F5C56"/>
    <w:rsid w:val="003F7216"/>
    <w:rsid w:val="003F77A7"/>
    <w:rsid w:val="003F791F"/>
    <w:rsid w:val="00400297"/>
    <w:rsid w:val="00400AA8"/>
    <w:rsid w:val="00401135"/>
    <w:rsid w:val="00401AD5"/>
    <w:rsid w:val="0040242D"/>
    <w:rsid w:val="0040263B"/>
    <w:rsid w:val="00403806"/>
    <w:rsid w:val="004039DA"/>
    <w:rsid w:val="00404409"/>
    <w:rsid w:val="00404685"/>
    <w:rsid w:val="00404EBA"/>
    <w:rsid w:val="004050C2"/>
    <w:rsid w:val="004054E6"/>
    <w:rsid w:val="00405F92"/>
    <w:rsid w:val="00406157"/>
    <w:rsid w:val="004067F7"/>
    <w:rsid w:val="00406F80"/>
    <w:rsid w:val="00406FE0"/>
    <w:rsid w:val="004071BE"/>
    <w:rsid w:val="0040774D"/>
    <w:rsid w:val="0041057C"/>
    <w:rsid w:val="00410994"/>
    <w:rsid w:val="004113ED"/>
    <w:rsid w:val="00411860"/>
    <w:rsid w:val="00411E53"/>
    <w:rsid w:val="00411F0D"/>
    <w:rsid w:val="004122CE"/>
    <w:rsid w:val="00412495"/>
    <w:rsid w:val="004127BC"/>
    <w:rsid w:val="004128BA"/>
    <w:rsid w:val="00412FF6"/>
    <w:rsid w:val="00413E36"/>
    <w:rsid w:val="0041406F"/>
    <w:rsid w:val="00414FDE"/>
    <w:rsid w:val="00415696"/>
    <w:rsid w:val="0041649E"/>
    <w:rsid w:val="00416840"/>
    <w:rsid w:val="0041702D"/>
    <w:rsid w:val="004170DA"/>
    <w:rsid w:val="004173DD"/>
    <w:rsid w:val="00417772"/>
    <w:rsid w:val="00417F71"/>
    <w:rsid w:val="004216E7"/>
    <w:rsid w:val="00421C66"/>
    <w:rsid w:val="00421F43"/>
    <w:rsid w:val="00422384"/>
    <w:rsid w:val="004223AC"/>
    <w:rsid w:val="00422B48"/>
    <w:rsid w:val="00422CAE"/>
    <w:rsid w:val="00422E44"/>
    <w:rsid w:val="0042306D"/>
    <w:rsid w:val="004237EF"/>
    <w:rsid w:val="00424068"/>
    <w:rsid w:val="00424148"/>
    <w:rsid w:val="004241D8"/>
    <w:rsid w:val="00424378"/>
    <w:rsid w:val="0042457C"/>
    <w:rsid w:val="004255B7"/>
    <w:rsid w:val="004256EE"/>
    <w:rsid w:val="004259C2"/>
    <w:rsid w:val="00426973"/>
    <w:rsid w:val="00426EC4"/>
    <w:rsid w:val="00427317"/>
    <w:rsid w:val="004276EF"/>
    <w:rsid w:val="004278CC"/>
    <w:rsid w:val="00427AFF"/>
    <w:rsid w:val="00427F78"/>
    <w:rsid w:val="004307F0"/>
    <w:rsid w:val="004316D8"/>
    <w:rsid w:val="00431AF3"/>
    <w:rsid w:val="00431D29"/>
    <w:rsid w:val="0043231A"/>
    <w:rsid w:val="00432447"/>
    <w:rsid w:val="0043258F"/>
    <w:rsid w:val="00432815"/>
    <w:rsid w:val="00432AAE"/>
    <w:rsid w:val="00432AD8"/>
    <w:rsid w:val="00432D82"/>
    <w:rsid w:val="00433009"/>
    <w:rsid w:val="004331A3"/>
    <w:rsid w:val="004332C5"/>
    <w:rsid w:val="00433498"/>
    <w:rsid w:val="00433886"/>
    <w:rsid w:val="0043389F"/>
    <w:rsid w:val="00433FB1"/>
    <w:rsid w:val="0043423F"/>
    <w:rsid w:val="00434E84"/>
    <w:rsid w:val="00435CBF"/>
    <w:rsid w:val="00436259"/>
    <w:rsid w:val="00436570"/>
    <w:rsid w:val="0043674A"/>
    <w:rsid w:val="004372C3"/>
    <w:rsid w:val="00437D69"/>
    <w:rsid w:val="00437E77"/>
    <w:rsid w:val="0044041B"/>
    <w:rsid w:val="004407F5"/>
    <w:rsid w:val="00441432"/>
    <w:rsid w:val="0044146C"/>
    <w:rsid w:val="004416C1"/>
    <w:rsid w:val="004417EB"/>
    <w:rsid w:val="00441A12"/>
    <w:rsid w:val="00441AAB"/>
    <w:rsid w:val="0044259A"/>
    <w:rsid w:val="004425C9"/>
    <w:rsid w:val="00442C5D"/>
    <w:rsid w:val="00442CAC"/>
    <w:rsid w:val="00442F00"/>
    <w:rsid w:val="00443174"/>
    <w:rsid w:val="00445885"/>
    <w:rsid w:val="004461A1"/>
    <w:rsid w:val="004464FD"/>
    <w:rsid w:val="004468EA"/>
    <w:rsid w:val="0044743A"/>
    <w:rsid w:val="00450654"/>
    <w:rsid w:val="00450CBF"/>
    <w:rsid w:val="004511B0"/>
    <w:rsid w:val="00451971"/>
    <w:rsid w:val="00451A88"/>
    <w:rsid w:val="0045226F"/>
    <w:rsid w:val="004524A6"/>
    <w:rsid w:val="00452BDD"/>
    <w:rsid w:val="004534C0"/>
    <w:rsid w:val="004534D4"/>
    <w:rsid w:val="004536C6"/>
    <w:rsid w:val="00454149"/>
    <w:rsid w:val="004541AD"/>
    <w:rsid w:val="00454240"/>
    <w:rsid w:val="00454791"/>
    <w:rsid w:val="00454F09"/>
    <w:rsid w:val="00455918"/>
    <w:rsid w:val="00455BCC"/>
    <w:rsid w:val="004563E4"/>
    <w:rsid w:val="00456594"/>
    <w:rsid w:val="0045678E"/>
    <w:rsid w:val="00456BFD"/>
    <w:rsid w:val="00456C11"/>
    <w:rsid w:val="00456C58"/>
    <w:rsid w:val="00456DDA"/>
    <w:rsid w:val="00457188"/>
    <w:rsid w:val="004578DE"/>
    <w:rsid w:val="00457C74"/>
    <w:rsid w:val="00462006"/>
    <w:rsid w:val="00462784"/>
    <w:rsid w:val="00462920"/>
    <w:rsid w:val="00464ACE"/>
    <w:rsid w:val="00465789"/>
    <w:rsid w:val="00465BB6"/>
    <w:rsid w:val="0046672B"/>
    <w:rsid w:val="00467500"/>
    <w:rsid w:val="00467EEA"/>
    <w:rsid w:val="00470146"/>
    <w:rsid w:val="00470F7F"/>
    <w:rsid w:val="00471036"/>
    <w:rsid w:val="0047150A"/>
    <w:rsid w:val="0047238E"/>
    <w:rsid w:val="004726D6"/>
    <w:rsid w:val="004727C7"/>
    <w:rsid w:val="00472821"/>
    <w:rsid w:val="00472FF5"/>
    <w:rsid w:val="004731CE"/>
    <w:rsid w:val="004734DE"/>
    <w:rsid w:val="004735A5"/>
    <w:rsid w:val="00473A3D"/>
    <w:rsid w:val="0047428A"/>
    <w:rsid w:val="00474BF1"/>
    <w:rsid w:val="00474CE8"/>
    <w:rsid w:val="00475181"/>
    <w:rsid w:val="00475AC8"/>
    <w:rsid w:val="00476296"/>
    <w:rsid w:val="00476609"/>
    <w:rsid w:val="004766A9"/>
    <w:rsid w:val="00476824"/>
    <w:rsid w:val="00476A5F"/>
    <w:rsid w:val="00477157"/>
    <w:rsid w:val="00477DE8"/>
    <w:rsid w:val="00477F3C"/>
    <w:rsid w:val="004800C2"/>
    <w:rsid w:val="004804F2"/>
    <w:rsid w:val="00481637"/>
    <w:rsid w:val="00481776"/>
    <w:rsid w:val="00482233"/>
    <w:rsid w:val="004828FE"/>
    <w:rsid w:val="004829D4"/>
    <w:rsid w:val="00483E8B"/>
    <w:rsid w:val="00484072"/>
    <w:rsid w:val="004852AC"/>
    <w:rsid w:val="00485906"/>
    <w:rsid w:val="00485B0F"/>
    <w:rsid w:val="00486045"/>
    <w:rsid w:val="00486609"/>
    <w:rsid w:val="004866B1"/>
    <w:rsid w:val="00486B75"/>
    <w:rsid w:val="00486EB7"/>
    <w:rsid w:val="004871C0"/>
    <w:rsid w:val="00487988"/>
    <w:rsid w:val="00487BD1"/>
    <w:rsid w:val="00490425"/>
    <w:rsid w:val="00490609"/>
    <w:rsid w:val="00490CD8"/>
    <w:rsid w:val="00490DF9"/>
    <w:rsid w:val="00491292"/>
    <w:rsid w:val="00491C79"/>
    <w:rsid w:val="00492C27"/>
    <w:rsid w:val="00493552"/>
    <w:rsid w:val="0049383C"/>
    <w:rsid w:val="00493A4C"/>
    <w:rsid w:val="00493C92"/>
    <w:rsid w:val="00493CB7"/>
    <w:rsid w:val="00493FA0"/>
    <w:rsid w:val="00495EE7"/>
    <w:rsid w:val="0049628C"/>
    <w:rsid w:val="00496674"/>
    <w:rsid w:val="00496CDD"/>
    <w:rsid w:val="00497884"/>
    <w:rsid w:val="00497FF9"/>
    <w:rsid w:val="004A010D"/>
    <w:rsid w:val="004A0FDB"/>
    <w:rsid w:val="004A1176"/>
    <w:rsid w:val="004A11CD"/>
    <w:rsid w:val="004A1651"/>
    <w:rsid w:val="004A1798"/>
    <w:rsid w:val="004A259A"/>
    <w:rsid w:val="004A2FC5"/>
    <w:rsid w:val="004A315D"/>
    <w:rsid w:val="004A326F"/>
    <w:rsid w:val="004A3405"/>
    <w:rsid w:val="004A3B39"/>
    <w:rsid w:val="004A3EF4"/>
    <w:rsid w:val="004A432F"/>
    <w:rsid w:val="004A4603"/>
    <w:rsid w:val="004A4EF1"/>
    <w:rsid w:val="004A500C"/>
    <w:rsid w:val="004A56B6"/>
    <w:rsid w:val="004A5A0B"/>
    <w:rsid w:val="004A5E4F"/>
    <w:rsid w:val="004A6B19"/>
    <w:rsid w:val="004A6D7D"/>
    <w:rsid w:val="004A6E1E"/>
    <w:rsid w:val="004B2175"/>
    <w:rsid w:val="004B22B1"/>
    <w:rsid w:val="004B2368"/>
    <w:rsid w:val="004B2B8B"/>
    <w:rsid w:val="004B2BCF"/>
    <w:rsid w:val="004B318B"/>
    <w:rsid w:val="004B3313"/>
    <w:rsid w:val="004B33F7"/>
    <w:rsid w:val="004B38B8"/>
    <w:rsid w:val="004B398C"/>
    <w:rsid w:val="004B3F85"/>
    <w:rsid w:val="004B4EFA"/>
    <w:rsid w:val="004B5DD5"/>
    <w:rsid w:val="004B6249"/>
    <w:rsid w:val="004B6435"/>
    <w:rsid w:val="004B64DD"/>
    <w:rsid w:val="004B66C6"/>
    <w:rsid w:val="004B68DA"/>
    <w:rsid w:val="004B6D76"/>
    <w:rsid w:val="004B74F5"/>
    <w:rsid w:val="004B7651"/>
    <w:rsid w:val="004B786F"/>
    <w:rsid w:val="004C0014"/>
    <w:rsid w:val="004C01B5"/>
    <w:rsid w:val="004C052E"/>
    <w:rsid w:val="004C0B61"/>
    <w:rsid w:val="004C0F08"/>
    <w:rsid w:val="004C0FB2"/>
    <w:rsid w:val="004C122B"/>
    <w:rsid w:val="004C2459"/>
    <w:rsid w:val="004C259B"/>
    <w:rsid w:val="004C26B8"/>
    <w:rsid w:val="004C28F3"/>
    <w:rsid w:val="004C2A00"/>
    <w:rsid w:val="004C3689"/>
    <w:rsid w:val="004C37C4"/>
    <w:rsid w:val="004C3B1C"/>
    <w:rsid w:val="004C42F6"/>
    <w:rsid w:val="004C5483"/>
    <w:rsid w:val="004C54C7"/>
    <w:rsid w:val="004C5F2E"/>
    <w:rsid w:val="004C62A7"/>
    <w:rsid w:val="004C6ADC"/>
    <w:rsid w:val="004C6BFD"/>
    <w:rsid w:val="004C709C"/>
    <w:rsid w:val="004C79C9"/>
    <w:rsid w:val="004C7E7D"/>
    <w:rsid w:val="004C7EB8"/>
    <w:rsid w:val="004D0F09"/>
    <w:rsid w:val="004D10A7"/>
    <w:rsid w:val="004D1566"/>
    <w:rsid w:val="004D21DE"/>
    <w:rsid w:val="004D2989"/>
    <w:rsid w:val="004D35C7"/>
    <w:rsid w:val="004D4AEC"/>
    <w:rsid w:val="004D4CD8"/>
    <w:rsid w:val="004D690F"/>
    <w:rsid w:val="004D7152"/>
    <w:rsid w:val="004D72F8"/>
    <w:rsid w:val="004D756E"/>
    <w:rsid w:val="004D76B8"/>
    <w:rsid w:val="004D7728"/>
    <w:rsid w:val="004E0C05"/>
    <w:rsid w:val="004E27AF"/>
    <w:rsid w:val="004E28A0"/>
    <w:rsid w:val="004E2D01"/>
    <w:rsid w:val="004E2F78"/>
    <w:rsid w:val="004E2FCD"/>
    <w:rsid w:val="004E2FD6"/>
    <w:rsid w:val="004E30ED"/>
    <w:rsid w:val="004E3921"/>
    <w:rsid w:val="004E3D42"/>
    <w:rsid w:val="004E44E4"/>
    <w:rsid w:val="004E4657"/>
    <w:rsid w:val="004E4C82"/>
    <w:rsid w:val="004E4F37"/>
    <w:rsid w:val="004E55A8"/>
    <w:rsid w:val="004E59FD"/>
    <w:rsid w:val="004E653E"/>
    <w:rsid w:val="004E6765"/>
    <w:rsid w:val="004E7125"/>
    <w:rsid w:val="004E78D9"/>
    <w:rsid w:val="004E7DCF"/>
    <w:rsid w:val="004E7F50"/>
    <w:rsid w:val="004F010B"/>
    <w:rsid w:val="004F1874"/>
    <w:rsid w:val="004F213A"/>
    <w:rsid w:val="004F22D1"/>
    <w:rsid w:val="004F2573"/>
    <w:rsid w:val="004F2649"/>
    <w:rsid w:val="004F2739"/>
    <w:rsid w:val="004F294E"/>
    <w:rsid w:val="004F2C2F"/>
    <w:rsid w:val="004F32E9"/>
    <w:rsid w:val="004F41F1"/>
    <w:rsid w:val="004F5033"/>
    <w:rsid w:val="004F5121"/>
    <w:rsid w:val="004F57D4"/>
    <w:rsid w:val="004F5929"/>
    <w:rsid w:val="004F5F12"/>
    <w:rsid w:val="004F66FE"/>
    <w:rsid w:val="004F67DF"/>
    <w:rsid w:val="004F7995"/>
    <w:rsid w:val="0050034A"/>
    <w:rsid w:val="00500F6C"/>
    <w:rsid w:val="0050195C"/>
    <w:rsid w:val="005020CB"/>
    <w:rsid w:val="005031F8"/>
    <w:rsid w:val="00503559"/>
    <w:rsid w:val="00503B5F"/>
    <w:rsid w:val="00503E5F"/>
    <w:rsid w:val="00504435"/>
    <w:rsid w:val="005044C9"/>
    <w:rsid w:val="00504686"/>
    <w:rsid w:val="0050487D"/>
    <w:rsid w:val="00504A16"/>
    <w:rsid w:val="00504B67"/>
    <w:rsid w:val="0050596C"/>
    <w:rsid w:val="00505979"/>
    <w:rsid w:val="00505A8D"/>
    <w:rsid w:val="00505BA4"/>
    <w:rsid w:val="0050624F"/>
    <w:rsid w:val="005073D2"/>
    <w:rsid w:val="00507943"/>
    <w:rsid w:val="00507A99"/>
    <w:rsid w:val="00510B8C"/>
    <w:rsid w:val="005112EE"/>
    <w:rsid w:val="00511330"/>
    <w:rsid w:val="00511957"/>
    <w:rsid w:val="00511A75"/>
    <w:rsid w:val="00512254"/>
    <w:rsid w:val="005137AF"/>
    <w:rsid w:val="00513803"/>
    <w:rsid w:val="00514019"/>
    <w:rsid w:val="0051440E"/>
    <w:rsid w:val="0051478B"/>
    <w:rsid w:val="00514C4B"/>
    <w:rsid w:val="00515008"/>
    <w:rsid w:val="00515A03"/>
    <w:rsid w:val="00515B5D"/>
    <w:rsid w:val="0051689B"/>
    <w:rsid w:val="00516FA5"/>
    <w:rsid w:val="0051760C"/>
    <w:rsid w:val="00520109"/>
    <w:rsid w:val="005203CC"/>
    <w:rsid w:val="00520465"/>
    <w:rsid w:val="0052092C"/>
    <w:rsid w:val="00520BAE"/>
    <w:rsid w:val="00520DBE"/>
    <w:rsid w:val="00521892"/>
    <w:rsid w:val="00521C36"/>
    <w:rsid w:val="00522A9A"/>
    <w:rsid w:val="00522DFD"/>
    <w:rsid w:val="005233DC"/>
    <w:rsid w:val="00523917"/>
    <w:rsid w:val="00524410"/>
    <w:rsid w:val="00525427"/>
    <w:rsid w:val="005257F9"/>
    <w:rsid w:val="00525827"/>
    <w:rsid w:val="00525A2B"/>
    <w:rsid w:val="0052617A"/>
    <w:rsid w:val="0052639E"/>
    <w:rsid w:val="005269ED"/>
    <w:rsid w:val="00527AE5"/>
    <w:rsid w:val="00527C76"/>
    <w:rsid w:val="00527EB7"/>
    <w:rsid w:val="005308BB"/>
    <w:rsid w:val="005324F3"/>
    <w:rsid w:val="005330B2"/>
    <w:rsid w:val="005333AF"/>
    <w:rsid w:val="005338FF"/>
    <w:rsid w:val="00533AAD"/>
    <w:rsid w:val="00533B3F"/>
    <w:rsid w:val="00534432"/>
    <w:rsid w:val="00534B38"/>
    <w:rsid w:val="00535394"/>
    <w:rsid w:val="00535CFD"/>
    <w:rsid w:val="00535E0F"/>
    <w:rsid w:val="00535FA6"/>
    <w:rsid w:val="00536009"/>
    <w:rsid w:val="00536A89"/>
    <w:rsid w:val="005400FF"/>
    <w:rsid w:val="005409C8"/>
    <w:rsid w:val="00540F5A"/>
    <w:rsid w:val="005414D2"/>
    <w:rsid w:val="00541795"/>
    <w:rsid w:val="00541EDE"/>
    <w:rsid w:val="00542BDA"/>
    <w:rsid w:val="005434E4"/>
    <w:rsid w:val="00543502"/>
    <w:rsid w:val="0054388F"/>
    <w:rsid w:val="00543A84"/>
    <w:rsid w:val="00543C1E"/>
    <w:rsid w:val="00543EA7"/>
    <w:rsid w:val="00543FC0"/>
    <w:rsid w:val="00544A4B"/>
    <w:rsid w:val="00544CEE"/>
    <w:rsid w:val="00545261"/>
    <w:rsid w:val="00545C2E"/>
    <w:rsid w:val="0054743B"/>
    <w:rsid w:val="00547E6C"/>
    <w:rsid w:val="005501A0"/>
    <w:rsid w:val="00550708"/>
    <w:rsid w:val="00550E2E"/>
    <w:rsid w:val="00550FB0"/>
    <w:rsid w:val="005511C2"/>
    <w:rsid w:val="0055194F"/>
    <w:rsid w:val="00551E83"/>
    <w:rsid w:val="0055221C"/>
    <w:rsid w:val="005527F1"/>
    <w:rsid w:val="0055331D"/>
    <w:rsid w:val="0055386F"/>
    <w:rsid w:val="00553F05"/>
    <w:rsid w:val="00553FA9"/>
    <w:rsid w:val="00554352"/>
    <w:rsid w:val="005543A8"/>
    <w:rsid w:val="005543C0"/>
    <w:rsid w:val="005549A4"/>
    <w:rsid w:val="00554AE9"/>
    <w:rsid w:val="00554DD9"/>
    <w:rsid w:val="005555A8"/>
    <w:rsid w:val="00555BDC"/>
    <w:rsid w:val="005568BB"/>
    <w:rsid w:val="00556B22"/>
    <w:rsid w:val="0055700C"/>
    <w:rsid w:val="005570BF"/>
    <w:rsid w:val="005571C3"/>
    <w:rsid w:val="00557F72"/>
    <w:rsid w:val="0056009C"/>
    <w:rsid w:val="00561311"/>
    <w:rsid w:val="0056237B"/>
    <w:rsid w:val="0056261F"/>
    <w:rsid w:val="00562E6B"/>
    <w:rsid w:val="00563502"/>
    <w:rsid w:val="00563A82"/>
    <w:rsid w:val="005646A0"/>
    <w:rsid w:val="00564824"/>
    <w:rsid w:val="005649FC"/>
    <w:rsid w:val="00567EC9"/>
    <w:rsid w:val="00571074"/>
    <w:rsid w:val="0057176E"/>
    <w:rsid w:val="005719D6"/>
    <w:rsid w:val="00571D72"/>
    <w:rsid w:val="00571FE4"/>
    <w:rsid w:val="005729A9"/>
    <w:rsid w:val="00572DB0"/>
    <w:rsid w:val="005736DB"/>
    <w:rsid w:val="005737D5"/>
    <w:rsid w:val="00573C9C"/>
    <w:rsid w:val="00573EAD"/>
    <w:rsid w:val="00573FF7"/>
    <w:rsid w:val="005745E6"/>
    <w:rsid w:val="005748C8"/>
    <w:rsid w:val="00574B22"/>
    <w:rsid w:val="00574E34"/>
    <w:rsid w:val="00575065"/>
    <w:rsid w:val="00577E9D"/>
    <w:rsid w:val="0058008B"/>
    <w:rsid w:val="00580382"/>
    <w:rsid w:val="005806A3"/>
    <w:rsid w:val="00580A0E"/>
    <w:rsid w:val="00580EDD"/>
    <w:rsid w:val="0058135A"/>
    <w:rsid w:val="0058147F"/>
    <w:rsid w:val="00581494"/>
    <w:rsid w:val="00581B31"/>
    <w:rsid w:val="00582C0A"/>
    <w:rsid w:val="005832F3"/>
    <w:rsid w:val="005838D4"/>
    <w:rsid w:val="005846B8"/>
    <w:rsid w:val="00584792"/>
    <w:rsid w:val="005853D8"/>
    <w:rsid w:val="00586977"/>
    <w:rsid w:val="00586A08"/>
    <w:rsid w:val="00586A3F"/>
    <w:rsid w:val="00586E2D"/>
    <w:rsid w:val="00587D1D"/>
    <w:rsid w:val="005902D1"/>
    <w:rsid w:val="005905F6"/>
    <w:rsid w:val="00590E68"/>
    <w:rsid w:val="00591875"/>
    <w:rsid w:val="00591BCF"/>
    <w:rsid w:val="00591C3C"/>
    <w:rsid w:val="00591D84"/>
    <w:rsid w:val="00591EC5"/>
    <w:rsid w:val="0059219E"/>
    <w:rsid w:val="0059252D"/>
    <w:rsid w:val="005929FA"/>
    <w:rsid w:val="00593129"/>
    <w:rsid w:val="0059338E"/>
    <w:rsid w:val="00593E78"/>
    <w:rsid w:val="00593F65"/>
    <w:rsid w:val="00594639"/>
    <w:rsid w:val="005953B4"/>
    <w:rsid w:val="00595F46"/>
    <w:rsid w:val="00596213"/>
    <w:rsid w:val="0059690A"/>
    <w:rsid w:val="00596939"/>
    <w:rsid w:val="005973C7"/>
    <w:rsid w:val="0059781F"/>
    <w:rsid w:val="00597A2F"/>
    <w:rsid w:val="005A0E2F"/>
    <w:rsid w:val="005A0EBA"/>
    <w:rsid w:val="005A1117"/>
    <w:rsid w:val="005A12BE"/>
    <w:rsid w:val="005A14D8"/>
    <w:rsid w:val="005A1592"/>
    <w:rsid w:val="005A1673"/>
    <w:rsid w:val="005A20C2"/>
    <w:rsid w:val="005A2279"/>
    <w:rsid w:val="005A236D"/>
    <w:rsid w:val="005A32A3"/>
    <w:rsid w:val="005A3670"/>
    <w:rsid w:val="005A3867"/>
    <w:rsid w:val="005A5186"/>
    <w:rsid w:val="005A55D6"/>
    <w:rsid w:val="005A61C8"/>
    <w:rsid w:val="005A697F"/>
    <w:rsid w:val="005A6D5E"/>
    <w:rsid w:val="005A7E50"/>
    <w:rsid w:val="005B022A"/>
    <w:rsid w:val="005B1E35"/>
    <w:rsid w:val="005B20BE"/>
    <w:rsid w:val="005B3972"/>
    <w:rsid w:val="005B41E0"/>
    <w:rsid w:val="005B6A81"/>
    <w:rsid w:val="005B6AC3"/>
    <w:rsid w:val="005C010B"/>
    <w:rsid w:val="005C0325"/>
    <w:rsid w:val="005C214B"/>
    <w:rsid w:val="005C26EA"/>
    <w:rsid w:val="005C272A"/>
    <w:rsid w:val="005C279A"/>
    <w:rsid w:val="005C2B0F"/>
    <w:rsid w:val="005C2E44"/>
    <w:rsid w:val="005C32EF"/>
    <w:rsid w:val="005C3612"/>
    <w:rsid w:val="005C3676"/>
    <w:rsid w:val="005C3693"/>
    <w:rsid w:val="005C3A61"/>
    <w:rsid w:val="005C425E"/>
    <w:rsid w:val="005C47C6"/>
    <w:rsid w:val="005C5291"/>
    <w:rsid w:val="005C57F9"/>
    <w:rsid w:val="005C5B2E"/>
    <w:rsid w:val="005C5C46"/>
    <w:rsid w:val="005C5F29"/>
    <w:rsid w:val="005C6326"/>
    <w:rsid w:val="005C637F"/>
    <w:rsid w:val="005C68A9"/>
    <w:rsid w:val="005C799C"/>
    <w:rsid w:val="005D093E"/>
    <w:rsid w:val="005D0D41"/>
    <w:rsid w:val="005D11E9"/>
    <w:rsid w:val="005D140A"/>
    <w:rsid w:val="005D18B4"/>
    <w:rsid w:val="005D1DA5"/>
    <w:rsid w:val="005D24C1"/>
    <w:rsid w:val="005D2515"/>
    <w:rsid w:val="005D2651"/>
    <w:rsid w:val="005D3D62"/>
    <w:rsid w:val="005D3E10"/>
    <w:rsid w:val="005D4313"/>
    <w:rsid w:val="005D44C1"/>
    <w:rsid w:val="005D47FE"/>
    <w:rsid w:val="005D4900"/>
    <w:rsid w:val="005D4A26"/>
    <w:rsid w:val="005D5442"/>
    <w:rsid w:val="005D5582"/>
    <w:rsid w:val="005D604A"/>
    <w:rsid w:val="005D6301"/>
    <w:rsid w:val="005D6B13"/>
    <w:rsid w:val="005D6E7B"/>
    <w:rsid w:val="005D722C"/>
    <w:rsid w:val="005D72F4"/>
    <w:rsid w:val="005D76B0"/>
    <w:rsid w:val="005E0A53"/>
    <w:rsid w:val="005E0DB9"/>
    <w:rsid w:val="005E18AF"/>
    <w:rsid w:val="005E1922"/>
    <w:rsid w:val="005E197F"/>
    <w:rsid w:val="005E1DB1"/>
    <w:rsid w:val="005E27E7"/>
    <w:rsid w:val="005E2868"/>
    <w:rsid w:val="005E2AF9"/>
    <w:rsid w:val="005E2B63"/>
    <w:rsid w:val="005E2CC1"/>
    <w:rsid w:val="005E2CD4"/>
    <w:rsid w:val="005E317E"/>
    <w:rsid w:val="005E3BB2"/>
    <w:rsid w:val="005E44DD"/>
    <w:rsid w:val="005E4878"/>
    <w:rsid w:val="005E4C28"/>
    <w:rsid w:val="005E6BC2"/>
    <w:rsid w:val="005E76E2"/>
    <w:rsid w:val="005E7FA9"/>
    <w:rsid w:val="005E7FC3"/>
    <w:rsid w:val="005F0919"/>
    <w:rsid w:val="005F0D28"/>
    <w:rsid w:val="005F10EE"/>
    <w:rsid w:val="005F1128"/>
    <w:rsid w:val="005F1131"/>
    <w:rsid w:val="005F1935"/>
    <w:rsid w:val="005F1AF8"/>
    <w:rsid w:val="005F1B52"/>
    <w:rsid w:val="005F1D08"/>
    <w:rsid w:val="005F1E8C"/>
    <w:rsid w:val="005F20E6"/>
    <w:rsid w:val="005F2510"/>
    <w:rsid w:val="005F2A5D"/>
    <w:rsid w:val="005F3092"/>
    <w:rsid w:val="005F3423"/>
    <w:rsid w:val="005F3564"/>
    <w:rsid w:val="005F3628"/>
    <w:rsid w:val="005F37DC"/>
    <w:rsid w:val="005F3E4B"/>
    <w:rsid w:val="005F3F6A"/>
    <w:rsid w:val="005F4515"/>
    <w:rsid w:val="005F6535"/>
    <w:rsid w:val="005F7D7E"/>
    <w:rsid w:val="005F7EB1"/>
    <w:rsid w:val="006001B1"/>
    <w:rsid w:val="00600646"/>
    <w:rsid w:val="006008F2"/>
    <w:rsid w:val="00600D38"/>
    <w:rsid w:val="0060115E"/>
    <w:rsid w:val="0060139C"/>
    <w:rsid w:val="006017E1"/>
    <w:rsid w:val="006021B5"/>
    <w:rsid w:val="00602239"/>
    <w:rsid w:val="0060247C"/>
    <w:rsid w:val="00603053"/>
    <w:rsid w:val="0060305C"/>
    <w:rsid w:val="0060314F"/>
    <w:rsid w:val="0060443A"/>
    <w:rsid w:val="006044B9"/>
    <w:rsid w:val="006046AF"/>
    <w:rsid w:val="00605ADC"/>
    <w:rsid w:val="00605B25"/>
    <w:rsid w:val="006065BC"/>
    <w:rsid w:val="006066B3"/>
    <w:rsid w:val="00606CE2"/>
    <w:rsid w:val="00607196"/>
    <w:rsid w:val="00607895"/>
    <w:rsid w:val="00610944"/>
    <w:rsid w:val="00610C50"/>
    <w:rsid w:val="00611306"/>
    <w:rsid w:val="0061143F"/>
    <w:rsid w:val="00611E1D"/>
    <w:rsid w:val="0061222E"/>
    <w:rsid w:val="006125C7"/>
    <w:rsid w:val="00612845"/>
    <w:rsid w:val="006129EF"/>
    <w:rsid w:val="0061379B"/>
    <w:rsid w:val="00613B9B"/>
    <w:rsid w:val="00613E70"/>
    <w:rsid w:val="00614342"/>
    <w:rsid w:val="006144B7"/>
    <w:rsid w:val="00614FEB"/>
    <w:rsid w:val="00615005"/>
    <w:rsid w:val="00615C12"/>
    <w:rsid w:val="00616E15"/>
    <w:rsid w:val="00620CA7"/>
    <w:rsid w:val="00621020"/>
    <w:rsid w:val="00621BAE"/>
    <w:rsid w:val="00621DF4"/>
    <w:rsid w:val="0062244D"/>
    <w:rsid w:val="006230EF"/>
    <w:rsid w:val="006232AD"/>
    <w:rsid w:val="0062334B"/>
    <w:rsid w:val="0062368F"/>
    <w:rsid w:val="0062375A"/>
    <w:rsid w:val="0062381F"/>
    <w:rsid w:val="00623924"/>
    <w:rsid w:val="00623E6F"/>
    <w:rsid w:val="0062454F"/>
    <w:rsid w:val="00624690"/>
    <w:rsid w:val="006248E9"/>
    <w:rsid w:val="006250C7"/>
    <w:rsid w:val="006255E7"/>
    <w:rsid w:val="006255E9"/>
    <w:rsid w:val="00625634"/>
    <w:rsid w:val="00625A22"/>
    <w:rsid w:val="006278C7"/>
    <w:rsid w:val="00627AC2"/>
    <w:rsid w:val="00627F51"/>
    <w:rsid w:val="00630CFA"/>
    <w:rsid w:val="00630D14"/>
    <w:rsid w:val="00630DE1"/>
    <w:rsid w:val="006312C9"/>
    <w:rsid w:val="006316A4"/>
    <w:rsid w:val="006321AE"/>
    <w:rsid w:val="006331FC"/>
    <w:rsid w:val="00633A67"/>
    <w:rsid w:val="00633AA2"/>
    <w:rsid w:val="00634345"/>
    <w:rsid w:val="00634C54"/>
    <w:rsid w:val="006352D4"/>
    <w:rsid w:val="006354DB"/>
    <w:rsid w:val="00635601"/>
    <w:rsid w:val="00635720"/>
    <w:rsid w:val="006366F9"/>
    <w:rsid w:val="006367F1"/>
    <w:rsid w:val="00636B01"/>
    <w:rsid w:val="00637101"/>
    <w:rsid w:val="0063736C"/>
    <w:rsid w:val="00637CE4"/>
    <w:rsid w:val="006401D4"/>
    <w:rsid w:val="00640348"/>
    <w:rsid w:val="00640C09"/>
    <w:rsid w:val="0064131C"/>
    <w:rsid w:val="00641775"/>
    <w:rsid w:val="00641F12"/>
    <w:rsid w:val="00642F82"/>
    <w:rsid w:val="006446B4"/>
    <w:rsid w:val="00644942"/>
    <w:rsid w:val="0064495D"/>
    <w:rsid w:val="00645186"/>
    <w:rsid w:val="00645240"/>
    <w:rsid w:val="006454CF"/>
    <w:rsid w:val="0064589E"/>
    <w:rsid w:val="00645AC9"/>
    <w:rsid w:val="00645E41"/>
    <w:rsid w:val="006468CB"/>
    <w:rsid w:val="00646C2A"/>
    <w:rsid w:val="00647188"/>
    <w:rsid w:val="006472CA"/>
    <w:rsid w:val="00647BB0"/>
    <w:rsid w:val="00650FAD"/>
    <w:rsid w:val="006523DF"/>
    <w:rsid w:val="00652401"/>
    <w:rsid w:val="00653950"/>
    <w:rsid w:val="006541EC"/>
    <w:rsid w:val="00655CE6"/>
    <w:rsid w:val="00656851"/>
    <w:rsid w:val="006572B8"/>
    <w:rsid w:val="00657F3A"/>
    <w:rsid w:val="00661369"/>
    <w:rsid w:val="006615A3"/>
    <w:rsid w:val="006624E0"/>
    <w:rsid w:val="00662876"/>
    <w:rsid w:val="00662ADA"/>
    <w:rsid w:val="0066344B"/>
    <w:rsid w:val="0066367B"/>
    <w:rsid w:val="00663945"/>
    <w:rsid w:val="006639FF"/>
    <w:rsid w:val="00663DC5"/>
    <w:rsid w:val="0066454A"/>
    <w:rsid w:val="00664B43"/>
    <w:rsid w:val="00664D2D"/>
    <w:rsid w:val="006650ED"/>
    <w:rsid w:val="00665678"/>
    <w:rsid w:val="00666386"/>
    <w:rsid w:val="0066698A"/>
    <w:rsid w:val="0066771B"/>
    <w:rsid w:val="006678EE"/>
    <w:rsid w:val="006679CA"/>
    <w:rsid w:val="00670125"/>
    <w:rsid w:val="00670473"/>
    <w:rsid w:val="006705DB"/>
    <w:rsid w:val="00670FDB"/>
    <w:rsid w:val="00671273"/>
    <w:rsid w:val="0067146B"/>
    <w:rsid w:val="00671499"/>
    <w:rsid w:val="00671856"/>
    <w:rsid w:val="006718DD"/>
    <w:rsid w:val="00672116"/>
    <w:rsid w:val="00672181"/>
    <w:rsid w:val="00672327"/>
    <w:rsid w:val="00672510"/>
    <w:rsid w:val="00672585"/>
    <w:rsid w:val="00672766"/>
    <w:rsid w:val="0067288D"/>
    <w:rsid w:val="00672FDE"/>
    <w:rsid w:val="0067302B"/>
    <w:rsid w:val="00673373"/>
    <w:rsid w:val="006738A8"/>
    <w:rsid w:val="006739C7"/>
    <w:rsid w:val="00673FB7"/>
    <w:rsid w:val="00674BB1"/>
    <w:rsid w:val="00674C5E"/>
    <w:rsid w:val="006750BE"/>
    <w:rsid w:val="00676CF8"/>
    <w:rsid w:val="00676ED4"/>
    <w:rsid w:val="00677160"/>
    <w:rsid w:val="006772AD"/>
    <w:rsid w:val="006775AB"/>
    <w:rsid w:val="00677855"/>
    <w:rsid w:val="00677976"/>
    <w:rsid w:val="00677BBE"/>
    <w:rsid w:val="00677D88"/>
    <w:rsid w:val="00677FD5"/>
    <w:rsid w:val="00680210"/>
    <w:rsid w:val="00680D96"/>
    <w:rsid w:val="006811E1"/>
    <w:rsid w:val="006813B5"/>
    <w:rsid w:val="006814AE"/>
    <w:rsid w:val="00681693"/>
    <w:rsid w:val="00681B97"/>
    <w:rsid w:val="00682404"/>
    <w:rsid w:val="00682481"/>
    <w:rsid w:val="00682BF5"/>
    <w:rsid w:val="0068362B"/>
    <w:rsid w:val="006848C6"/>
    <w:rsid w:val="00684A44"/>
    <w:rsid w:val="00684B6F"/>
    <w:rsid w:val="00685EEC"/>
    <w:rsid w:val="00687122"/>
    <w:rsid w:val="006876F5"/>
    <w:rsid w:val="00690324"/>
    <w:rsid w:val="006909B2"/>
    <w:rsid w:val="0069195C"/>
    <w:rsid w:val="00691D65"/>
    <w:rsid w:val="006924FD"/>
    <w:rsid w:val="00692771"/>
    <w:rsid w:val="00694512"/>
    <w:rsid w:val="00694918"/>
    <w:rsid w:val="00694A42"/>
    <w:rsid w:val="0069548B"/>
    <w:rsid w:val="006954CB"/>
    <w:rsid w:val="0069558D"/>
    <w:rsid w:val="00695CDC"/>
    <w:rsid w:val="00696522"/>
    <w:rsid w:val="00696731"/>
    <w:rsid w:val="006970C3"/>
    <w:rsid w:val="006970D3"/>
    <w:rsid w:val="006978BB"/>
    <w:rsid w:val="006A027B"/>
    <w:rsid w:val="006A0524"/>
    <w:rsid w:val="006A0614"/>
    <w:rsid w:val="006A0ABF"/>
    <w:rsid w:val="006A197C"/>
    <w:rsid w:val="006A1E24"/>
    <w:rsid w:val="006A224C"/>
    <w:rsid w:val="006A29F9"/>
    <w:rsid w:val="006A2AAE"/>
    <w:rsid w:val="006A2DCF"/>
    <w:rsid w:val="006A2EFC"/>
    <w:rsid w:val="006A4308"/>
    <w:rsid w:val="006A4C9D"/>
    <w:rsid w:val="006A4E22"/>
    <w:rsid w:val="006A4EC4"/>
    <w:rsid w:val="006A5C53"/>
    <w:rsid w:val="006A7704"/>
    <w:rsid w:val="006A7946"/>
    <w:rsid w:val="006A7C72"/>
    <w:rsid w:val="006B1841"/>
    <w:rsid w:val="006B375E"/>
    <w:rsid w:val="006B3933"/>
    <w:rsid w:val="006B46E3"/>
    <w:rsid w:val="006B471F"/>
    <w:rsid w:val="006B4818"/>
    <w:rsid w:val="006B4EBB"/>
    <w:rsid w:val="006B518F"/>
    <w:rsid w:val="006B5ABA"/>
    <w:rsid w:val="006B5B9D"/>
    <w:rsid w:val="006B5E1E"/>
    <w:rsid w:val="006B612C"/>
    <w:rsid w:val="006B69F9"/>
    <w:rsid w:val="006B7047"/>
    <w:rsid w:val="006C0114"/>
    <w:rsid w:val="006C02DF"/>
    <w:rsid w:val="006C0BA1"/>
    <w:rsid w:val="006C0C16"/>
    <w:rsid w:val="006C1451"/>
    <w:rsid w:val="006C1E35"/>
    <w:rsid w:val="006C1EB8"/>
    <w:rsid w:val="006C1FBB"/>
    <w:rsid w:val="006C263E"/>
    <w:rsid w:val="006C27ED"/>
    <w:rsid w:val="006C3497"/>
    <w:rsid w:val="006C34EF"/>
    <w:rsid w:val="006C527B"/>
    <w:rsid w:val="006C56D5"/>
    <w:rsid w:val="006C5B37"/>
    <w:rsid w:val="006C6861"/>
    <w:rsid w:val="006C6B8F"/>
    <w:rsid w:val="006C6C9F"/>
    <w:rsid w:val="006C6D5A"/>
    <w:rsid w:val="006C72D2"/>
    <w:rsid w:val="006C7644"/>
    <w:rsid w:val="006C76FB"/>
    <w:rsid w:val="006D0BDA"/>
    <w:rsid w:val="006D11A1"/>
    <w:rsid w:val="006D155F"/>
    <w:rsid w:val="006D1F08"/>
    <w:rsid w:val="006D2346"/>
    <w:rsid w:val="006D2A22"/>
    <w:rsid w:val="006D2F8B"/>
    <w:rsid w:val="006D36FB"/>
    <w:rsid w:val="006D3BA5"/>
    <w:rsid w:val="006D4683"/>
    <w:rsid w:val="006D49C8"/>
    <w:rsid w:val="006D6837"/>
    <w:rsid w:val="006D6A0F"/>
    <w:rsid w:val="006D79EB"/>
    <w:rsid w:val="006D7F66"/>
    <w:rsid w:val="006E10ED"/>
    <w:rsid w:val="006E28B6"/>
    <w:rsid w:val="006E29B3"/>
    <w:rsid w:val="006E30D0"/>
    <w:rsid w:val="006E32E7"/>
    <w:rsid w:val="006E373D"/>
    <w:rsid w:val="006E3911"/>
    <w:rsid w:val="006E3DCD"/>
    <w:rsid w:val="006E4856"/>
    <w:rsid w:val="006E585B"/>
    <w:rsid w:val="006E5A52"/>
    <w:rsid w:val="006E5B50"/>
    <w:rsid w:val="006E5E9E"/>
    <w:rsid w:val="006E65D9"/>
    <w:rsid w:val="006E6A0B"/>
    <w:rsid w:val="006E6B40"/>
    <w:rsid w:val="006E6BC6"/>
    <w:rsid w:val="006E6C41"/>
    <w:rsid w:val="006E755F"/>
    <w:rsid w:val="006E770A"/>
    <w:rsid w:val="006E78E6"/>
    <w:rsid w:val="006E7D12"/>
    <w:rsid w:val="006E7D1C"/>
    <w:rsid w:val="006F0187"/>
    <w:rsid w:val="006F067B"/>
    <w:rsid w:val="006F0C83"/>
    <w:rsid w:val="006F1444"/>
    <w:rsid w:val="006F1BC2"/>
    <w:rsid w:val="006F2463"/>
    <w:rsid w:val="006F2554"/>
    <w:rsid w:val="006F256A"/>
    <w:rsid w:val="006F3276"/>
    <w:rsid w:val="006F38B3"/>
    <w:rsid w:val="006F3B2D"/>
    <w:rsid w:val="006F43D7"/>
    <w:rsid w:val="006F4E91"/>
    <w:rsid w:val="006F4FC5"/>
    <w:rsid w:val="006F56B9"/>
    <w:rsid w:val="006F682B"/>
    <w:rsid w:val="006F6AEA"/>
    <w:rsid w:val="006F736A"/>
    <w:rsid w:val="006F7CD3"/>
    <w:rsid w:val="006F7E01"/>
    <w:rsid w:val="00700795"/>
    <w:rsid w:val="007010A4"/>
    <w:rsid w:val="007013A0"/>
    <w:rsid w:val="00701490"/>
    <w:rsid w:val="00701B7B"/>
    <w:rsid w:val="00702921"/>
    <w:rsid w:val="0070292D"/>
    <w:rsid w:val="00702B50"/>
    <w:rsid w:val="00702DA9"/>
    <w:rsid w:val="0070349F"/>
    <w:rsid w:val="007048AA"/>
    <w:rsid w:val="007049EA"/>
    <w:rsid w:val="00704A57"/>
    <w:rsid w:val="00704BE8"/>
    <w:rsid w:val="007050E9"/>
    <w:rsid w:val="0070545C"/>
    <w:rsid w:val="00705A08"/>
    <w:rsid w:val="00706183"/>
    <w:rsid w:val="00706A45"/>
    <w:rsid w:val="00706E6C"/>
    <w:rsid w:val="00706E87"/>
    <w:rsid w:val="0070713D"/>
    <w:rsid w:val="0070745E"/>
    <w:rsid w:val="0070758A"/>
    <w:rsid w:val="00707B47"/>
    <w:rsid w:val="00707D7F"/>
    <w:rsid w:val="00710276"/>
    <w:rsid w:val="007103B8"/>
    <w:rsid w:val="00710F2B"/>
    <w:rsid w:val="007113B1"/>
    <w:rsid w:val="0071156C"/>
    <w:rsid w:val="00711701"/>
    <w:rsid w:val="00713023"/>
    <w:rsid w:val="00713230"/>
    <w:rsid w:val="007134C2"/>
    <w:rsid w:val="0071357B"/>
    <w:rsid w:val="00714347"/>
    <w:rsid w:val="007146FC"/>
    <w:rsid w:val="00714B9E"/>
    <w:rsid w:val="00715E27"/>
    <w:rsid w:val="00716CD6"/>
    <w:rsid w:val="00717299"/>
    <w:rsid w:val="007172D4"/>
    <w:rsid w:val="00717688"/>
    <w:rsid w:val="00720005"/>
    <w:rsid w:val="00720178"/>
    <w:rsid w:val="007202D2"/>
    <w:rsid w:val="0072090E"/>
    <w:rsid w:val="007210BF"/>
    <w:rsid w:val="00721155"/>
    <w:rsid w:val="00721733"/>
    <w:rsid w:val="00721944"/>
    <w:rsid w:val="00721DF3"/>
    <w:rsid w:val="00722543"/>
    <w:rsid w:val="007226CE"/>
    <w:rsid w:val="00722F97"/>
    <w:rsid w:val="0072361A"/>
    <w:rsid w:val="007238D8"/>
    <w:rsid w:val="00723B95"/>
    <w:rsid w:val="00723BC3"/>
    <w:rsid w:val="007256A2"/>
    <w:rsid w:val="00726566"/>
    <w:rsid w:val="00727109"/>
    <w:rsid w:val="007273AA"/>
    <w:rsid w:val="00727539"/>
    <w:rsid w:val="00727621"/>
    <w:rsid w:val="00727D03"/>
    <w:rsid w:val="00730C85"/>
    <w:rsid w:val="00731967"/>
    <w:rsid w:val="00731C85"/>
    <w:rsid w:val="00732389"/>
    <w:rsid w:val="00732517"/>
    <w:rsid w:val="007325CD"/>
    <w:rsid w:val="00732B2C"/>
    <w:rsid w:val="007330A0"/>
    <w:rsid w:val="00734995"/>
    <w:rsid w:val="00734B18"/>
    <w:rsid w:val="00735110"/>
    <w:rsid w:val="007358BE"/>
    <w:rsid w:val="00735A0C"/>
    <w:rsid w:val="00735E78"/>
    <w:rsid w:val="00736E28"/>
    <w:rsid w:val="00737197"/>
    <w:rsid w:val="00740586"/>
    <w:rsid w:val="00740B64"/>
    <w:rsid w:val="007416F1"/>
    <w:rsid w:val="00741C23"/>
    <w:rsid w:val="00741ED4"/>
    <w:rsid w:val="0074249C"/>
    <w:rsid w:val="00742592"/>
    <w:rsid w:val="00743CD7"/>
    <w:rsid w:val="00744107"/>
    <w:rsid w:val="00744F91"/>
    <w:rsid w:val="0074540B"/>
    <w:rsid w:val="00745A1B"/>
    <w:rsid w:val="007461D6"/>
    <w:rsid w:val="0074658B"/>
    <w:rsid w:val="00746CDF"/>
    <w:rsid w:val="00747138"/>
    <w:rsid w:val="00747414"/>
    <w:rsid w:val="0074769D"/>
    <w:rsid w:val="00747997"/>
    <w:rsid w:val="00747C9D"/>
    <w:rsid w:val="007504DA"/>
    <w:rsid w:val="00750527"/>
    <w:rsid w:val="007505F7"/>
    <w:rsid w:val="00750719"/>
    <w:rsid w:val="007513AB"/>
    <w:rsid w:val="0075240D"/>
    <w:rsid w:val="0075248C"/>
    <w:rsid w:val="00752D84"/>
    <w:rsid w:val="007534A1"/>
    <w:rsid w:val="00754449"/>
    <w:rsid w:val="00755D26"/>
    <w:rsid w:val="007570BC"/>
    <w:rsid w:val="00757313"/>
    <w:rsid w:val="007574E1"/>
    <w:rsid w:val="007576F0"/>
    <w:rsid w:val="00757944"/>
    <w:rsid w:val="00757D68"/>
    <w:rsid w:val="00760106"/>
    <w:rsid w:val="007612C2"/>
    <w:rsid w:val="00761702"/>
    <w:rsid w:val="00761D01"/>
    <w:rsid w:val="00762267"/>
    <w:rsid w:val="00762CB2"/>
    <w:rsid w:val="007631DE"/>
    <w:rsid w:val="00763541"/>
    <w:rsid w:val="00763F02"/>
    <w:rsid w:val="00763FC1"/>
    <w:rsid w:val="0076468F"/>
    <w:rsid w:val="00764775"/>
    <w:rsid w:val="00764923"/>
    <w:rsid w:val="00764F6B"/>
    <w:rsid w:val="00766352"/>
    <w:rsid w:val="00766587"/>
    <w:rsid w:val="007669B0"/>
    <w:rsid w:val="00766A08"/>
    <w:rsid w:val="00766B2E"/>
    <w:rsid w:val="00766C64"/>
    <w:rsid w:val="00766E6F"/>
    <w:rsid w:val="00767021"/>
    <w:rsid w:val="007675D2"/>
    <w:rsid w:val="00767F49"/>
    <w:rsid w:val="0077007B"/>
    <w:rsid w:val="0077060E"/>
    <w:rsid w:val="00770B33"/>
    <w:rsid w:val="00771267"/>
    <w:rsid w:val="00771429"/>
    <w:rsid w:val="00771B46"/>
    <w:rsid w:val="0077214D"/>
    <w:rsid w:val="00772272"/>
    <w:rsid w:val="007726B8"/>
    <w:rsid w:val="00773AC7"/>
    <w:rsid w:val="00773F5D"/>
    <w:rsid w:val="007743C7"/>
    <w:rsid w:val="0077513D"/>
    <w:rsid w:val="0077550E"/>
    <w:rsid w:val="007757D4"/>
    <w:rsid w:val="0077586E"/>
    <w:rsid w:val="00775B28"/>
    <w:rsid w:val="00775BEC"/>
    <w:rsid w:val="00775CF5"/>
    <w:rsid w:val="00775FF9"/>
    <w:rsid w:val="00777AF1"/>
    <w:rsid w:val="00777C62"/>
    <w:rsid w:val="00777F63"/>
    <w:rsid w:val="0078283E"/>
    <w:rsid w:val="00782E3E"/>
    <w:rsid w:val="0078381B"/>
    <w:rsid w:val="00784037"/>
    <w:rsid w:val="00784188"/>
    <w:rsid w:val="00784517"/>
    <w:rsid w:val="00784E81"/>
    <w:rsid w:val="00784FE3"/>
    <w:rsid w:val="007851D5"/>
    <w:rsid w:val="0078524E"/>
    <w:rsid w:val="00785965"/>
    <w:rsid w:val="00786018"/>
    <w:rsid w:val="007862A3"/>
    <w:rsid w:val="007874D3"/>
    <w:rsid w:val="007904C6"/>
    <w:rsid w:val="00790780"/>
    <w:rsid w:val="00790EF8"/>
    <w:rsid w:val="00791066"/>
    <w:rsid w:val="00791208"/>
    <w:rsid w:val="007919C1"/>
    <w:rsid w:val="0079215B"/>
    <w:rsid w:val="007935B1"/>
    <w:rsid w:val="007936B4"/>
    <w:rsid w:val="00793888"/>
    <w:rsid w:val="00793EE1"/>
    <w:rsid w:val="0079488C"/>
    <w:rsid w:val="00794D6F"/>
    <w:rsid w:val="00795002"/>
    <w:rsid w:val="0079516B"/>
    <w:rsid w:val="00795994"/>
    <w:rsid w:val="00795ADE"/>
    <w:rsid w:val="00796002"/>
    <w:rsid w:val="00796D14"/>
    <w:rsid w:val="00797B57"/>
    <w:rsid w:val="007A0C1E"/>
    <w:rsid w:val="007A2098"/>
    <w:rsid w:val="007A20E8"/>
    <w:rsid w:val="007A2878"/>
    <w:rsid w:val="007A2918"/>
    <w:rsid w:val="007A2D9B"/>
    <w:rsid w:val="007A3294"/>
    <w:rsid w:val="007A41B7"/>
    <w:rsid w:val="007A453C"/>
    <w:rsid w:val="007A4559"/>
    <w:rsid w:val="007A484E"/>
    <w:rsid w:val="007A49C6"/>
    <w:rsid w:val="007A57A2"/>
    <w:rsid w:val="007A5904"/>
    <w:rsid w:val="007A5D6C"/>
    <w:rsid w:val="007A61B6"/>
    <w:rsid w:val="007A7260"/>
    <w:rsid w:val="007A7A63"/>
    <w:rsid w:val="007A7B8D"/>
    <w:rsid w:val="007A7BEC"/>
    <w:rsid w:val="007B0308"/>
    <w:rsid w:val="007B0867"/>
    <w:rsid w:val="007B1562"/>
    <w:rsid w:val="007B189B"/>
    <w:rsid w:val="007B240D"/>
    <w:rsid w:val="007B271A"/>
    <w:rsid w:val="007B29C6"/>
    <w:rsid w:val="007B2C83"/>
    <w:rsid w:val="007B2CBA"/>
    <w:rsid w:val="007B2E7F"/>
    <w:rsid w:val="007B32EE"/>
    <w:rsid w:val="007B33E8"/>
    <w:rsid w:val="007B3556"/>
    <w:rsid w:val="007B358A"/>
    <w:rsid w:val="007B3667"/>
    <w:rsid w:val="007B3D23"/>
    <w:rsid w:val="007B515F"/>
    <w:rsid w:val="007B5F80"/>
    <w:rsid w:val="007B66CE"/>
    <w:rsid w:val="007B6AA0"/>
    <w:rsid w:val="007B7517"/>
    <w:rsid w:val="007B7919"/>
    <w:rsid w:val="007B79D1"/>
    <w:rsid w:val="007B7FE2"/>
    <w:rsid w:val="007C0331"/>
    <w:rsid w:val="007C045E"/>
    <w:rsid w:val="007C064F"/>
    <w:rsid w:val="007C08F4"/>
    <w:rsid w:val="007C0A86"/>
    <w:rsid w:val="007C155E"/>
    <w:rsid w:val="007C195C"/>
    <w:rsid w:val="007C2264"/>
    <w:rsid w:val="007C2270"/>
    <w:rsid w:val="007C2434"/>
    <w:rsid w:val="007C27B3"/>
    <w:rsid w:val="007C3492"/>
    <w:rsid w:val="007C38EA"/>
    <w:rsid w:val="007C46DD"/>
    <w:rsid w:val="007C4A6B"/>
    <w:rsid w:val="007C4CF6"/>
    <w:rsid w:val="007C5494"/>
    <w:rsid w:val="007C5883"/>
    <w:rsid w:val="007C6263"/>
    <w:rsid w:val="007C6A26"/>
    <w:rsid w:val="007C6E54"/>
    <w:rsid w:val="007C70D0"/>
    <w:rsid w:val="007D04B5"/>
    <w:rsid w:val="007D0A33"/>
    <w:rsid w:val="007D261C"/>
    <w:rsid w:val="007D3002"/>
    <w:rsid w:val="007D3281"/>
    <w:rsid w:val="007D4BCB"/>
    <w:rsid w:val="007D5207"/>
    <w:rsid w:val="007D57EE"/>
    <w:rsid w:val="007D5887"/>
    <w:rsid w:val="007D6266"/>
    <w:rsid w:val="007D69AF"/>
    <w:rsid w:val="007D6BB5"/>
    <w:rsid w:val="007D6F6E"/>
    <w:rsid w:val="007D74F4"/>
    <w:rsid w:val="007D751A"/>
    <w:rsid w:val="007E013E"/>
    <w:rsid w:val="007E0256"/>
    <w:rsid w:val="007E0258"/>
    <w:rsid w:val="007E06D7"/>
    <w:rsid w:val="007E09CB"/>
    <w:rsid w:val="007E0AAF"/>
    <w:rsid w:val="007E11A0"/>
    <w:rsid w:val="007E12DF"/>
    <w:rsid w:val="007E13E5"/>
    <w:rsid w:val="007E1959"/>
    <w:rsid w:val="007E1B8B"/>
    <w:rsid w:val="007E1BE7"/>
    <w:rsid w:val="007E205A"/>
    <w:rsid w:val="007E2671"/>
    <w:rsid w:val="007E3103"/>
    <w:rsid w:val="007E3512"/>
    <w:rsid w:val="007E3671"/>
    <w:rsid w:val="007E387F"/>
    <w:rsid w:val="007E3A22"/>
    <w:rsid w:val="007E3A3F"/>
    <w:rsid w:val="007E3D97"/>
    <w:rsid w:val="007E3E04"/>
    <w:rsid w:val="007E4148"/>
    <w:rsid w:val="007E441E"/>
    <w:rsid w:val="007E451C"/>
    <w:rsid w:val="007E5411"/>
    <w:rsid w:val="007E5F70"/>
    <w:rsid w:val="007E5F7D"/>
    <w:rsid w:val="007E5FDB"/>
    <w:rsid w:val="007E63CB"/>
    <w:rsid w:val="007E6675"/>
    <w:rsid w:val="007E695A"/>
    <w:rsid w:val="007E6A79"/>
    <w:rsid w:val="007E6C1D"/>
    <w:rsid w:val="007E6EF3"/>
    <w:rsid w:val="007E7194"/>
    <w:rsid w:val="007E777C"/>
    <w:rsid w:val="007E78DC"/>
    <w:rsid w:val="007F03E5"/>
    <w:rsid w:val="007F1207"/>
    <w:rsid w:val="007F1C39"/>
    <w:rsid w:val="007F1E07"/>
    <w:rsid w:val="007F2179"/>
    <w:rsid w:val="007F2677"/>
    <w:rsid w:val="007F2FD5"/>
    <w:rsid w:val="007F32A5"/>
    <w:rsid w:val="007F382D"/>
    <w:rsid w:val="007F38E8"/>
    <w:rsid w:val="007F39C9"/>
    <w:rsid w:val="007F3DD8"/>
    <w:rsid w:val="007F40AC"/>
    <w:rsid w:val="007F46E0"/>
    <w:rsid w:val="007F4845"/>
    <w:rsid w:val="007F4B7A"/>
    <w:rsid w:val="007F4FDA"/>
    <w:rsid w:val="007F504A"/>
    <w:rsid w:val="007F5BAA"/>
    <w:rsid w:val="007F5C66"/>
    <w:rsid w:val="007F5F45"/>
    <w:rsid w:val="007F64A8"/>
    <w:rsid w:val="007F6B7D"/>
    <w:rsid w:val="007F76D4"/>
    <w:rsid w:val="00800181"/>
    <w:rsid w:val="0080060C"/>
    <w:rsid w:val="00800881"/>
    <w:rsid w:val="0080124A"/>
    <w:rsid w:val="008012D3"/>
    <w:rsid w:val="00801959"/>
    <w:rsid w:val="00801CFA"/>
    <w:rsid w:val="00801EAA"/>
    <w:rsid w:val="008026B7"/>
    <w:rsid w:val="00802C61"/>
    <w:rsid w:val="00802DCC"/>
    <w:rsid w:val="0080303A"/>
    <w:rsid w:val="008055AC"/>
    <w:rsid w:val="00805780"/>
    <w:rsid w:val="00805CEF"/>
    <w:rsid w:val="00806032"/>
    <w:rsid w:val="00806184"/>
    <w:rsid w:val="00806C2D"/>
    <w:rsid w:val="00806CA9"/>
    <w:rsid w:val="00806D42"/>
    <w:rsid w:val="00807724"/>
    <w:rsid w:val="00807819"/>
    <w:rsid w:val="00807910"/>
    <w:rsid w:val="00807AC0"/>
    <w:rsid w:val="00810329"/>
    <w:rsid w:val="00810880"/>
    <w:rsid w:val="00811E0A"/>
    <w:rsid w:val="00812064"/>
    <w:rsid w:val="008127BC"/>
    <w:rsid w:val="00812CAC"/>
    <w:rsid w:val="00813632"/>
    <w:rsid w:val="00813FFA"/>
    <w:rsid w:val="008145B4"/>
    <w:rsid w:val="00814F91"/>
    <w:rsid w:val="00815788"/>
    <w:rsid w:val="00815CD5"/>
    <w:rsid w:val="0081686F"/>
    <w:rsid w:val="0081687D"/>
    <w:rsid w:val="008173DE"/>
    <w:rsid w:val="008176E2"/>
    <w:rsid w:val="00817CE5"/>
    <w:rsid w:val="00820023"/>
    <w:rsid w:val="00820048"/>
    <w:rsid w:val="008200B4"/>
    <w:rsid w:val="0082055C"/>
    <w:rsid w:val="00820B4C"/>
    <w:rsid w:val="00820C98"/>
    <w:rsid w:val="00821729"/>
    <w:rsid w:val="00821AA5"/>
    <w:rsid w:val="00821F60"/>
    <w:rsid w:val="008237CC"/>
    <w:rsid w:val="00823B7E"/>
    <w:rsid w:val="00823C7C"/>
    <w:rsid w:val="00824A14"/>
    <w:rsid w:val="00824DFE"/>
    <w:rsid w:val="00826CBE"/>
    <w:rsid w:val="00827107"/>
    <w:rsid w:val="0082726F"/>
    <w:rsid w:val="00827564"/>
    <w:rsid w:val="00827885"/>
    <w:rsid w:val="0083052A"/>
    <w:rsid w:val="00830F24"/>
    <w:rsid w:val="00831E4C"/>
    <w:rsid w:val="00832A37"/>
    <w:rsid w:val="00832E1C"/>
    <w:rsid w:val="008331CA"/>
    <w:rsid w:val="008335EB"/>
    <w:rsid w:val="00833EAD"/>
    <w:rsid w:val="0083429A"/>
    <w:rsid w:val="0083447A"/>
    <w:rsid w:val="0083474E"/>
    <w:rsid w:val="0083486B"/>
    <w:rsid w:val="00835121"/>
    <w:rsid w:val="008355EE"/>
    <w:rsid w:val="008356C2"/>
    <w:rsid w:val="00835AB3"/>
    <w:rsid w:val="00835BDE"/>
    <w:rsid w:val="00835CAD"/>
    <w:rsid w:val="00835F01"/>
    <w:rsid w:val="0083608A"/>
    <w:rsid w:val="008363CF"/>
    <w:rsid w:val="0083640A"/>
    <w:rsid w:val="008365B0"/>
    <w:rsid w:val="00836645"/>
    <w:rsid w:val="00836A41"/>
    <w:rsid w:val="00837324"/>
    <w:rsid w:val="00837ECC"/>
    <w:rsid w:val="00840487"/>
    <w:rsid w:val="00840657"/>
    <w:rsid w:val="00840D4F"/>
    <w:rsid w:val="00841480"/>
    <w:rsid w:val="008414EE"/>
    <w:rsid w:val="00842641"/>
    <w:rsid w:val="00842C32"/>
    <w:rsid w:val="008431AB"/>
    <w:rsid w:val="00843B24"/>
    <w:rsid w:val="008444C7"/>
    <w:rsid w:val="00844514"/>
    <w:rsid w:val="008448B6"/>
    <w:rsid w:val="00845F36"/>
    <w:rsid w:val="00846241"/>
    <w:rsid w:val="0084636F"/>
    <w:rsid w:val="00846833"/>
    <w:rsid w:val="00846A2A"/>
    <w:rsid w:val="00847AE4"/>
    <w:rsid w:val="00850006"/>
    <w:rsid w:val="0085032E"/>
    <w:rsid w:val="00850ECC"/>
    <w:rsid w:val="00851321"/>
    <w:rsid w:val="00851FF5"/>
    <w:rsid w:val="00852411"/>
    <w:rsid w:val="008528B5"/>
    <w:rsid w:val="00852DBE"/>
    <w:rsid w:val="00853B82"/>
    <w:rsid w:val="00853DC3"/>
    <w:rsid w:val="00853F7F"/>
    <w:rsid w:val="0085432A"/>
    <w:rsid w:val="00854C38"/>
    <w:rsid w:val="00854D04"/>
    <w:rsid w:val="008557F1"/>
    <w:rsid w:val="0085611F"/>
    <w:rsid w:val="00856940"/>
    <w:rsid w:val="00856C87"/>
    <w:rsid w:val="008570EF"/>
    <w:rsid w:val="00860407"/>
    <w:rsid w:val="008606D8"/>
    <w:rsid w:val="0086254A"/>
    <w:rsid w:val="008629A7"/>
    <w:rsid w:val="00863E21"/>
    <w:rsid w:val="00864480"/>
    <w:rsid w:val="00864757"/>
    <w:rsid w:val="0086499D"/>
    <w:rsid w:val="00864D88"/>
    <w:rsid w:val="00864E56"/>
    <w:rsid w:val="00864FA3"/>
    <w:rsid w:val="00865AF6"/>
    <w:rsid w:val="00865CC8"/>
    <w:rsid w:val="00865D19"/>
    <w:rsid w:val="00866232"/>
    <w:rsid w:val="00866B04"/>
    <w:rsid w:val="00867BB9"/>
    <w:rsid w:val="00867DBA"/>
    <w:rsid w:val="00867F67"/>
    <w:rsid w:val="008702DC"/>
    <w:rsid w:val="008727A8"/>
    <w:rsid w:val="00873EEF"/>
    <w:rsid w:val="00874A4C"/>
    <w:rsid w:val="00874F5C"/>
    <w:rsid w:val="008750BF"/>
    <w:rsid w:val="0087527B"/>
    <w:rsid w:val="008755A0"/>
    <w:rsid w:val="008755C6"/>
    <w:rsid w:val="0087572D"/>
    <w:rsid w:val="00875924"/>
    <w:rsid w:val="00876A8A"/>
    <w:rsid w:val="00876FD6"/>
    <w:rsid w:val="008774C7"/>
    <w:rsid w:val="00877AFE"/>
    <w:rsid w:val="00880946"/>
    <w:rsid w:val="008819CD"/>
    <w:rsid w:val="00882915"/>
    <w:rsid w:val="008829D6"/>
    <w:rsid w:val="00882F76"/>
    <w:rsid w:val="008830A5"/>
    <w:rsid w:val="008835C8"/>
    <w:rsid w:val="00883A22"/>
    <w:rsid w:val="00883C68"/>
    <w:rsid w:val="008846B6"/>
    <w:rsid w:val="00884957"/>
    <w:rsid w:val="00884F6A"/>
    <w:rsid w:val="008850AD"/>
    <w:rsid w:val="00885B06"/>
    <w:rsid w:val="00885FDC"/>
    <w:rsid w:val="00886080"/>
    <w:rsid w:val="0088627A"/>
    <w:rsid w:val="00886BB5"/>
    <w:rsid w:val="00886C82"/>
    <w:rsid w:val="008909FD"/>
    <w:rsid w:val="00890CA1"/>
    <w:rsid w:val="00891412"/>
    <w:rsid w:val="00891623"/>
    <w:rsid w:val="0089189E"/>
    <w:rsid w:val="00892B5F"/>
    <w:rsid w:val="0089315C"/>
    <w:rsid w:val="00893AC4"/>
    <w:rsid w:val="00893C4F"/>
    <w:rsid w:val="00893EFF"/>
    <w:rsid w:val="00894242"/>
    <w:rsid w:val="0089447B"/>
    <w:rsid w:val="008949B2"/>
    <w:rsid w:val="00894B1C"/>
    <w:rsid w:val="00894BE2"/>
    <w:rsid w:val="0089502E"/>
    <w:rsid w:val="008951D3"/>
    <w:rsid w:val="0089569C"/>
    <w:rsid w:val="00895FAA"/>
    <w:rsid w:val="0089632C"/>
    <w:rsid w:val="0089661B"/>
    <w:rsid w:val="00896DD1"/>
    <w:rsid w:val="00896F45"/>
    <w:rsid w:val="008975EF"/>
    <w:rsid w:val="008977C9"/>
    <w:rsid w:val="00897D80"/>
    <w:rsid w:val="008A063A"/>
    <w:rsid w:val="008A0A7D"/>
    <w:rsid w:val="008A0B0B"/>
    <w:rsid w:val="008A0E6A"/>
    <w:rsid w:val="008A22E4"/>
    <w:rsid w:val="008A2B70"/>
    <w:rsid w:val="008A309A"/>
    <w:rsid w:val="008A3E17"/>
    <w:rsid w:val="008A42F9"/>
    <w:rsid w:val="008A5F75"/>
    <w:rsid w:val="008A62A2"/>
    <w:rsid w:val="008A62FE"/>
    <w:rsid w:val="008A6A9B"/>
    <w:rsid w:val="008A6D59"/>
    <w:rsid w:val="008A6F6C"/>
    <w:rsid w:val="008A7AC4"/>
    <w:rsid w:val="008B1A4E"/>
    <w:rsid w:val="008B1D86"/>
    <w:rsid w:val="008B2109"/>
    <w:rsid w:val="008B2137"/>
    <w:rsid w:val="008B2FEB"/>
    <w:rsid w:val="008B311C"/>
    <w:rsid w:val="008B3203"/>
    <w:rsid w:val="008B4350"/>
    <w:rsid w:val="008B4A90"/>
    <w:rsid w:val="008B553A"/>
    <w:rsid w:val="008B58BB"/>
    <w:rsid w:val="008B610C"/>
    <w:rsid w:val="008B63E2"/>
    <w:rsid w:val="008B69DF"/>
    <w:rsid w:val="008B6D00"/>
    <w:rsid w:val="008B6FCB"/>
    <w:rsid w:val="008B73FB"/>
    <w:rsid w:val="008B75CC"/>
    <w:rsid w:val="008B7764"/>
    <w:rsid w:val="008B7E8F"/>
    <w:rsid w:val="008C0200"/>
    <w:rsid w:val="008C0425"/>
    <w:rsid w:val="008C0784"/>
    <w:rsid w:val="008C13FE"/>
    <w:rsid w:val="008C2A16"/>
    <w:rsid w:val="008C2BCA"/>
    <w:rsid w:val="008C4919"/>
    <w:rsid w:val="008C4AD7"/>
    <w:rsid w:val="008C58CA"/>
    <w:rsid w:val="008C60C6"/>
    <w:rsid w:val="008C6851"/>
    <w:rsid w:val="008C69DE"/>
    <w:rsid w:val="008C6CED"/>
    <w:rsid w:val="008C6E46"/>
    <w:rsid w:val="008C6FB3"/>
    <w:rsid w:val="008C78DE"/>
    <w:rsid w:val="008C7A22"/>
    <w:rsid w:val="008C7B53"/>
    <w:rsid w:val="008C7E20"/>
    <w:rsid w:val="008D023E"/>
    <w:rsid w:val="008D04C5"/>
    <w:rsid w:val="008D06C9"/>
    <w:rsid w:val="008D1307"/>
    <w:rsid w:val="008D16D2"/>
    <w:rsid w:val="008D218F"/>
    <w:rsid w:val="008D2FE2"/>
    <w:rsid w:val="008D34FB"/>
    <w:rsid w:val="008D3D1C"/>
    <w:rsid w:val="008D3E1C"/>
    <w:rsid w:val="008D4410"/>
    <w:rsid w:val="008D4573"/>
    <w:rsid w:val="008D4B56"/>
    <w:rsid w:val="008D4F8D"/>
    <w:rsid w:val="008D500A"/>
    <w:rsid w:val="008D5091"/>
    <w:rsid w:val="008D57F9"/>
    <w:rsid w:val="008D6592"/>
    <w:rsid w:val="008D6F04"/>
    <w:rsid w:val="008D6FF0"/>
    <w:rsid w:val="008D7D45"/>
    <w:rsid w:val="008D7E42"/>
    <w:rsid w:val="008E0E52"/>
    <w:rsid w:val="008E1814"/>
    <w:rsid w:val="008E183E"/>
    <w:rsid w:val="008E1D81"/>
    <w:rsid w:val="008E2383"/>
    <w:rsid w:val="008E2D20"/>
    <w:rsid w:val="008E384A"/>
    <w:rsid w:val="008E38A4"/>
    <w:rsid w:val="008E4145"/>
    <w:rsid w:val="008E4A45"/>
    <w:rsid w:val="008E4C24"/>
    <w:rsid w:val="008E559F"/>
    <w:rsid w:val="008E5CB9"/>
    <w:rsid w:val="008E5D5C"/>
    <w:rsid w:val="008E5F1D"/>
    <w:rsid w:val="008E64FF"/>
    <w:rsid w:val="008E6C68"/>
    <w:rsid w:val="008E6EBD"/>
    <w:rsid w:val="008E7A4E"/>
    <w:rsid w:val="008E7DBC"/>
    <w:rsid w:val="008F010C"/>
    <w:rsid w:val="008F0AEE"/>
    <w:rsid w:val="008F1315"/>
    <w:rsid w:val="008F201B"/>
    <w:rsid w:val="008F23A4"/>
    <w:rsid w:val="008F322B"/>
    <w:rsid w:val="008F32C9"/>
    <w:rsid w:val="008F3561"/>
    <w:rsid w:val="008F384A"/>
    <w:rsid w:val="008F3CD3"/>
    <w:rsid w:val="008F40BA"/>
    <w:rsid w:val="008F44AD"/>
    <w:rsid w:val="008F5A17"/>
    <w:rsid w:val="008F5CCF"/>
    <w:rsid w:val="008F5D55"/>
    <w:rsid w:val="008F670F"/>
    <w:rsid w:val="008F6AC0"/>
    <w:rsid w:val="008F71B2"/>
    <w:rsid w:val="0090052B"/>
    <w:rsid w:val="00900F6F"/>
    <w:rsid w:val="00901DC7"/>
    <w:rsid w:val="00901E7F"/>
    <w:rsid w:val="009021CB"/>
    <w:rsid w:val="009023F9"/>
    <w:rsid w:val="00902515"/>
    <w:rsid w:val="0090260A"/>
    <w:rsid w:val="00902DCF"/>
    <w:rsid w:val="00902E6C"/>
    <w:rsid w:val="00903EBA"/>
    <w:rsid w:val="00904E81"/>
    <w:rsid w:val="009057B1"/>
    <w:rsid w:val="00906B69"/>
    <w:rsid w:val="00910DD5"/>
    <w:rsid w:val="009114FE"/>
    <w:rsid w:val="00911813"/>
    <w:rsid w:val="00911A21"/>
    <w:rsid w:val="00911FCD"/>
    <w:rsid w:val="0091207F"/>
    <w:rsid w:val="009133D2"/>
    <w:rsid w:val="009138D3"/>
    <w:rsid w:val="00914659"/>
    <w:rsid w:val="00914A3E"/>
    <w:rsid w:val="00914D47"/>
    <w:rsid w:val="00915567"/>
    <w:rsid w:val="00915BDA"/>
    <w:rsid w:val="00916A27"/>
    <w:rsid w:val="00917EDF"/>
    <w:rsid w:val="00920396"/>
    <w:rsid w:val="009203CF"/>
    <w:rsid w:val="0092086F"/>
    <w:rsid w:val="0092124A"/>
    <w:rsid w:val="00921C43"/>
    <w:rsid w:val="00922491"/>
    <w:rsid w:val="00922E8F"/>
    <w:rsid w:val="009238EC"/>
    <w:rsid w:val="009249F5"/>
    <w:rsid w:val="00924DC1"/>
    <w:rsid w:val="0092501A"/>
    <w:rsid w:val="00925477"/>
    <w:rsid w:val="0092686C"/>
    <w:rsid w:val="00927A41"/>
    <w:rsid w:val="00927F8A"/>
    <w:rsid w:val="00930D29"/>
    <w:rsid w:val="00931C3C"/>
    <w:rsid w:val="009329E7"/>
    <w:rsid w:val="00932CED"/>
    <w:rsid w:val="00932E97"/>
    <w:rsid w:val="0093342D"/>
    <w:rsid w:val="00933A79"/>
    <w:rsid w:val="00933DA4"/>
    <w:rsid w:val="00934276"/>
    <w:rsid w:val="0093529A"/>
    <w:rsid w:val="00935513"/>
    <w:rsid w:val="0093571A"/>
    <w:rsid w:val="00935F33"/>
    <w:rsid w:val="00936516"/>
    <w:rsid w:val="0093652A"/>
    <w:rsid w:val="00936585"/>
    <w:rsid w:val="00937046"/>
    <w:rsid w:val="009374FB"/>
    <w:rsid w:val="00937D70"/>
    <w:rsid w:val="00940337"/>
    <w:rsid w:val="00940365"/>
    <w:rsid w:val="0094055A"/>
    <w:rsid w:val="00940B71"/>
    <w:rsid w:val="00940CBD"/>
    <w:rsid w:val="0094188B"/>
    <w:rsid w:val="00942016"/>
    <w:rsid w:val="00942AAC"/>
    <w:rsid w:val="00943516"/>
    <w:rsid w:val="0094365C"/>
    <w:rsid w:val="00943704"/>
    <w:rsid w:val="00943ACF"/>
    <w:rsid w:val="00943B91"/>
    <w:rsid w:val="00943E98"/>
    <w:rsid w:val="00944342"/>
    <w:rsid w:val="00944344"/>
    <w:rsid w:val="00944EFC"/>
    <w:rsid w:val="00945C2C"/>
    <w:rsid w:val="009460E7"/>
    <w:rsid w:val="00946A6D"/>
    <w:rsid w:val="00946C9E"/>
    <w:rsid w:val="00946F1A"/>
    <w:rsid w:val="0094714E"/>
    <w:rsid w:val="00947237"/>
    <w:rsid w:val="00947CE7"/>
    <w:rsid w:val="00947F07"/>
    <w:rsid w:val="009502BB"/>
    <w:rsid w:val="009502C6"/>
    <w:rsid w:val="0095055A"/>
    <w:rsid w:val="00950FC4"/>
    <w:rsid w:val="00951431"/>
    <w:rsid w:val="00951F42"/>
    <w:rsid w:val="0095217F"/>
    <w:rsid w:val="00952883"/>
    <w:rsid w:val="00953B3C"/>
    <w:rsid w:val="00953E71"/>
    <w:rsid w:val="009546A0"/>
    <w:rsid w:val="00954CA1"/>
    <w:rsid w:val="0095529B"/>
    <w:rsid w:val="00955304"/>
    <w:rsid w:val="00955965"/>
    <w:rsid w:val="00955D63"/>
    <w:rsid w:val="00955F51"/>
    <w:rsid w:val="00956357"/>
    <w:rsid w:val="0095685E"/>
    <w:rsid w:val="00956E61"/>
    <w:rsid w:val="00956EE4"/>
    <w:rsid w:val="00960F8C"/>
    <w:rsid w:val="0096136D"/>
    <w:rsid w:val="009623DB"/>
    <w:rsid w:val="0096270C"/>
    <w:rsid w:val="00962B3F"/>
    <w:rsid w:val="00962C4F"/>
    <w:rsid w:val="00962DC5"/>
    <w:rsid w:val="00962F0B"/>
    <w:rsid w:val="00962F8B"/>
    <w:rsid w:val="00963AE7"/>
    <w:rsid w:val="0096415E"/>
    <w:rsid w:val="00965254"/>
    <w:rsid w:val="00965336"/>
    <w:rsid w:val="009656CE"/>
    <w:rsid w:val="00965B43"/>
    <w:rsid w:val="00966266"/>
    <w:rsid w:val="0096641C"/>
    <w:rsid w:val="009678C3"/>
    <w:rsid w:val="00971217"/>
    <w:rsid w:val="00972568"/>
    <w:rsid w:val="00972D48"/>
    <w:rsid w:val="0097302A"/>
    <w:rsid w:val="00973070"/>
    <w:rsid w:val="009735A9"/>
    <w:rsid w:val="0097377E"/>
    <w:rsid w:val="00973CE1"/>
    <w:rsid w:val="0097440D"/>
    <w:rsid w:val="00974C15"/>
    <w:rsid w:val="009752E2"/>
    <w:rsid w:val="0097574A"/>
    <w:rsid w:val="00975840"/>
    <w:rsid w:val="0097689C"/>
    <w:rsid w:val="009768E4"/>
    <w:rsid w:val="0097733A"/>
    <w:rsid w:val="0097762A"/>
    <w:rsid w:val="00977AEC"/>
    <w:rsid w:val="00977EA5"/>
    <w:rsid w:val="0098166B"/>
    <w:rsid w:val="00981A8F"/>
    <w:rsid w:val="00981F1D"/>
    <w:rsid w:val="009823A5"/>
    <w:rsid w:val="00982822"/>
    <w:rsid w:val="00982E9F"/>
    <w:rsid w:val="00983240"/>
    <w:rsid w:val="009840EB"/>
    <w:rsid w:val="00984505"/>
    <w:rsid w:val="009845AB"/>
    <w:rsid w:val="00984980"/>
    <w:rsid w:val="00986551"/>
    <w:rsid w:val="00986D52"/>
    <w:rsid w:val="009879F0"/>
    <w:rsid w:val="00987EFB"/>
    <w:rsid w:val="00990556"/>
    <w:rsid w:val="009909B8"/>
    <w:rsid w:val="00990BAC"/>
    <w:rsid w:val="00991540"/>
    <w:rsid w:val="00991572"/>
    <w:rsid w:val="00991646"/>
    <w:rsid w:val="0099208E"/>
    <w:rsid w:val="0099279C"/>
    <w:rsid w:val="00992FED"/>
    <w:rsid w:val="00993392"/>
    <w:rsid w:val="00993B58"/>
    <w:rsid w:val="00994076"/>
    <w:rsid w:val="00994320"/>
    <w:rsid w:val="009947B3"/>
    <w:rsid w:val="00994A03"/>
    <w:rsid w:val="00994B46"/>
    <w:rsid w:val="00995EE0"/>
    <w:rsid w:val="00997074"/>
    <w:rsid w:val="009974C2"/>
    <w:rsid w:val="00997D7C"/>
    <w:rsid w:val="009A0720"/>
    <w:rsid w:val="009A196D"/>
    <w:rsid w:val="009A1AC3"/>
    <w:rsid w:val="009A1B43"/>
    <w:rsid w:val="009A2D3B"/>
    <w:rsid w:val="009A2D49"/>
    <w:rsid w:val="009A2D68"/>
    <w:rsid w:val="009A34E8"/>
    <w:rsid w:val="009A3696"/>
    <w:rsid w:val="009A3C1E"/>
    <w:rsid w:val="009A3CAE"/>
    <w:rsid w:val="009A3DC0"/>
    <w:rsid w:val="009A4543"/>
    <w:rsid w:val="009A47A2"/>
    <w:rsid w:val="009A491F"/>
    <w:rsid w:val="009A4D37"/>
    <w:rsid w:val="009A58B7"/>
    <w:rsid w:val="009A599E"/>
    <w:rsid w:val="009A5CF9"/>
    <w:rsid w:val="009A682F"/>
    <w:rsid w:val="009A6B96"/>
    <w:rsid w:val="009A74FE"/>
    <w:rsid w:val="009A7B70"/>
    <w:rsid w:val="009A7EC0"/>
    <w:rsid w:val="009A7FBF"/>
    <w:rsid w:val="009B00EC"/>
    <w:rsid w:val="009B01A5"/>
    <w:rsid w:val="009B2234"/>
    <w:rsid w:val="009B267C"/>
    <w:rsid w:val="009B272A"/>
    <w:rsid w:val="009B2B3C"/>
    <w:rsid w:val="009B2CCB"/>
    <w:rsid w:val="009B2D9E"/>
    <w:rsid w:val="009B2DB7"/>
    <w:rsid w:val="009B36E5"/>
    <w:rsid w:val="009B3D70"/>
    <w:rsid w:val="009B434A"/>
    <w:rsid w:val="009B444E"/>
    <w:rsid w:val="009B479B"/>
    <w:rsid w:val="009B4856"/>
    <w:rsid w:val="009B4CEA"/>
    <w:rsid w:val="009B5058"/>
    <w:rsid w:val="009B61AF"/>
    <w:rsid w:val="009B65BE"/>
    <w:rsid w:val="009B7B9A"/>
    <w:rsid w:val="009C0CEE"/>
    <w:rsid w:val="009C0D16"/>
    <w:rsid w:val="009C2F64"/>
    <w:rsid w:val="009C33FC"/>
    <w:rsid w:val="009C3634"/>
    <w:rsid w:val="009C3DF6"/>
    <w:rsid w:val="009C4917"/>
    <w:rsid w:val="009C4CB5"/>
    <w:rsid w:val="009C503D"/>
    <w:rsid w:val="009C6239"/>
    <w:rsid w:val="009C6529"/>
    <w:rsid w:val="009C68CD"/>
    <w:rsid w:val="009C69E4"/>
    <w:rsid w:val="009C6FC4"/>
    <w:rsid w:val="009C7B8F"/>
    <w:rsid w:val="009C7C3E"/>
    <w:rsid w:val="009D089A"/>
    <w:rsid w:val="009D1774"/>
    <w:rsid w:val="009D2C53"/>
    <w:rsid w:val="009D2E87"/>
    <w:rsid w:val="009D2F0C"/>
    <w:rsid w:val="009D3353"/>
    <w:rsid w:val="009D4EBB"/>
    <w:rsid w:val="009D4F7A"/>
    <w:rsid w:val="009D5569"/>
    <w:rsid w:val="009D5EE1"/>
    <w:rsid w:val="009D6A95"/>
    <w:rsid w:val="009D6B68"/>
    <w:rsid w:val="009D6D2D"/>
    <w:rsid w:val="009D746E"/>
    <w:rsid w:val="009D7A72"/>
    <w:rsid w:val="009E0722"/>
    <w:rsid w:val="009E11AD"/>
    <w:rsid w:val="009E13FC"/>
    <w:rsid w:val="009E1619"/>
    <w:rsid w:val="009E2106"/>
    <w:rsid w:val="009E224C"/>
    <w:rsid w:val="009E2948"/>
    <w:rsid w:val="009E2B36"/>
    <w:rsid w:val="009E2DB7"/>
    <w:rsid w:val="009E35CC"/>
    <w:rsid w:val="009E3A3E"/>
    <w:rsid w:val="009E41F2"/>
    <w:rsid w:val="009E5B2D"/>
    <w:rsid w:val="009E6F1C"/>
    <w:rsid w:val="009E73FB"/>
    <w:rsid w:val="009F0417"/>
    <w:rsid w:val="009F08FE"/>
    <w:rsid w:val="009F12E9"/>
    <w:rsid w:val="009F1570"/>
    <w:rsid w:val="009F157F"/>
    <w:rsid w:val="009F2247"/>
    <w:rsid w:val="009F2917"/>
    <w:rsid w:val="009F3890"/>
    <w:rsid w:val="009F4F23"/>
    <w:rsid w:val="009F5A9D"/>
    <w:rsid w:val="009F5F6B"/>
    <w:rsid w:val="009F61F0"/>
    <w:rsid w:val="009F6D04"/>
    <w:rsid w:val="009F7809"/>
    <w:rsid w:val="009F7E84"/>
    <w:rsid w:val="00A0024A"/>
    <w:rsid w:val="00A00B9B"/>
    <w:rsid w:val="00A01136"/>
    <w:rsid w:val="00A015C1"/>
    <w:rsid w:val="00A016F2"/>
    <w:rsid w:val="00A01A00"/>
    <w:rsid w:val="00A01BED"/>
    <w:rsid w:val="00A031D5"/>
    <w:rsid w:val="00A0437C"/>
    <w:rsid w:val="00A0446F"/>
    <w:rsid w:val="00A04867"/>
    <w:rsid w:val="00A04E67"/>
    <w:rsid w:val="00A058B7"/>
    <w:rsid w:val="00A05A00"/>
    <w:rsid w:val="00A065C5"/>
    <w:rsid w:val="00A066A2"/>
    <w:rsid w:val="00A06984"/>
    <w:rsid w:val="00A075C3"/>
    <w:rsid w:val="00A103F4"/>
    <w:rsid w:val="00A10AB6"/>
    <w:rsid w:val="00A10B1F"/>
    <w:rsid w:val="00A123DE"/>
    <w:rsid w:val="00A12CDE"/>
    <w:rsid w:val="00A131FD"/>
    <w:rsid w:val="00A13487"/>
    <w:rsid w:val="00A1380A"/>
    <w:rsid w:val="00A14B85"/>
    <w:rsid w:val="00A154E0"/>
    <w:rsid w:val="00A15AAF"/>
    <w:rsid w:val="00A15AE6"/>
    <w:rsid w:val="00A16BA7"/>
    <w:rsid w:val="00A16BC0"/>
    <w:rsid w:val="00A17B30"/>
    <w:rsid w:val="00A17BA6"/>
    <w:rsid w:val="00A2181D"/>
    <w:rsid w:val="00A21FE5"/>
    <w:rsid w:val="00A224ED"/>
    <w:rsid w:val="00A22C3D"/>
    <w:rsid w:val="00A230BC"/>
    <w:rsid w:val="00A236F5"/>
    <w:rsid w:val="00A238EA"/>
    <w:rsid w:val="00A24180"/>
    <w:rsid w:val="00A247CD"/>
    <w:rsid w:val="00A24A97"/>
    <w:rsid w:val="00A2587D"/>
    <w:rsid w:val="00A25BC3"/>
    <w:rsid w:val="00A26F39"/>
    <w:rsid w:val="00A27721"/>
    <w:rsid w:val="00A27EF2"/>
    <w:rsid w:val="00A300D4"/>
    <w:rsid w:val="00A31BEC"/>
    <w:rsid w:val="00A31D3B"/>
    <w:rsid w:val="00A31E4A"/>
    <w:rsid w:val="00A3218E"/>
    <w:rsid w:val="00A321E3"/>
    <w:rsid w:val="00A3245C"/>
    <w:rsid w:val="00A3278D"/>
    <w:rsid w:val="00A327E8"/>
    <w:rsid w:val="00A32BB8"/>
    <w:rsid w:val="00A32D3C"/>
    <w:rsid w:val="00A32FB1"/>
    <w:rsid w:val="00A331D0"/>
    <w:rsid w:val="00A338EC"/>
    <w:rsid w:val="00A34AAB"/>
    <w:rsid w:val="00A34E1C"/>
    <w:rsid w:val="00A354E0"/>
    <w:rsid w:val="00A35A20"/>
    <w:rsid w:val="00A36823"/>
    <w:rsid w:val="00A36991"/>
    <w:rsid w:val="00A36A24"/>
    <w:rsid w:val="00A371F9"/>
    <w:rsid w:val="00A37466"/>
    <w:rsid w:val="00A37A7C"/>
    <w:rsid w:val="00A37CFB"/>
    <w:rsid w:val="00A37FD2"/>
    <w:rsid w:val="00A403E0"/>
    <w:rsid w:val="00A404F4"/>
    <w:rsid w:val="00A4072E"/>
    <w:rsid w:val="00A40835"/>
    <w:rsid w:val="00A40CD5"/>
    <w:rsid w:val="00A4148E"/>
    <w:rsid w:val="00A4160E"/>
    <w:rsid w:val="00A41D8E"/>
    <w:rsid w:val="00A42011"/>
    <w:rsid w:val="00A42157"/>
    <w:rsid w:val="00A422E1"/>
    <w:rsid w:val="00A4298F"/>
    <w:rsid w:val="00A4306F"/>
    <w:rsid w:val="00A43F43"/>
    <w:rsid w:val="00A44305"/>
    <w:rsid w:val="00A444A8"/>
    <w:rsid w:val="00A4471D"/>
    <w:rsid w:val="00A44BF9"/>
    <w:rsid w:val="00A4536C"/>
    <w:rsid w:val="00A45437"/>
    <w:rsid w:val="00A455F7"/>
    <w:rsid w:val="00A4570B"/>
    <w:rsid w:val="00A4668A"/>
    <w:rsid w:val="00A46B4F"/>
    <w:rsid w:val="00A46F5E"/>
    <w:rsid w:val="00A472C9"/>
    <w:rsid w:val="00A4778D"/>
    <w:rsid w:val="00A47A70"/>
    <w:rsid w:val="00A50255"/>
    <w:rsid w:val="00A51B6E"/>
    <w:rsid w:val="00A51BBD"/>
    <w:rsid w:val="00A52C88"/>
    <w:rsid w:val="00A53B6B"/>
    <w:rsid w:val="00A53BD0"/>
    <w:rsid w:val="00A53EE0"/>
    <w:rsid w:val="00A542DF"/>
    <w:rsid w:val="00A54CF1"/>
    <w:rsid w:val="00A54F20"/>
    <w:rsid w:val="00A5557F"/>
    <w:rsid w:val="00A55B22"/>
    <w:rsid w:val="00A55E9D"/>
    <w:rsid w:val="00A5640D"/>
    <w:rsid w:val="00A56480"/>
    <w:rsid w:val="00A569D4"/>
    <w:rsid w:val="00A56F50"/>
    <w:rsid w:val="00A575D5"/>
    <w:rsid w:val="00A57C0B"/>
    <w:rsid w:val="00A57CB8"/>
    <w:rsid w:val="00A57FD8"/>
    <w:rsid w:val="00A616C9"/>
    <w:rsid w:val="00A622DB"/>
    <w:rsid w:val="00A62A41"/>
    <w:rsid w:val="00A6341D"/>
    <w:rsid w:val="00A63493"/>
    <w:rsid w:val="00A63C0E"/>
    <w:rsid w:val="00A63F99"/>
    <w:rsid w:val="00A64A3B"/>
    <w:rsid w:val="00A65191"/>
    <w:rsid w:val="00A65344"/>
    <w:rsid w:val="00A65A82"/>
    <w:rsid w:val="00A65F77"/>
    <w:rsid w:val="00A66F8E"/>
    <w:rsid w:val="00A672E2"/>
    <w:rsid w:val="00A67DA1"/>
    <w:rsid w:val="00A7028F"/>
    <w:rsid w:val="00A70FDF"/>
    <w:rsid w:val="00A715EE"/>
    <w:rsid w:val="00A71DD0"/>
    <w:rsid w:val="00A723F2"/>
    <w:rsid w:val="00A72B20"/>
    <w:rsid w:val="00A733A3"/>
    <w:rsid w:val="00A75AFA"/>
    <w:rsid w:val="00A75DED"/>
    <w:rsid w:val="00A76623"/>
    <w:rsid w:val="00A7711E"/>
    <w:rsid w:val="00A776D0"/>
    <w:rsid w:val="00A77A32"/>
    <w:rsid w:val="00A801DB"/>
    <w:rsid w:val="00A809E1"/>
    <w:rsid w:val="00A80C6D"/>
    <w:rsid w:val="00A81146"/>
    <w:rsid w:val="00A81B6D"/>
    <w:rsid w:val="00A81B84"/>
    <w:rsid w:val="00A8294B"/>
    <w:rsid w:val="00A82A1E"/>
    <w:rsid w:val="00A82C43"/>
    <w:rsid w:val="00A83FD6"/>
    <w:rsid w:val="00A84C83"/>
    <w:rsid w:val="00A84EE5"/>
    <w:rsid w:val="00A8517D"/>
    <w:rsid w:val="00A857F1"/>
    <w:rsid w:val="00A8798A"/>
    <w:rsid w:val="00A87C58"/>
    <w:rsid w:val="00A91382"/>
    <w:rsid w:val="00A91D74"/>
    <w:rsid w:val="00A92081"/>
    <w:rsid w:val="00A920D8"/>
    <w:rsid w:val="00A92472"/>
    <w:rsid w:val="00A932B0"/>
    <w:rsid w:val="00A93978"/>
    <w:rsid w:val="00A93B61"/>
    <w:rsid w:val="00A93D96"/>
    <w:rsid w:val="00A94250"/>
    <w:rsid w:val="00A943AF"/>
    <w:rsid w:val="00A9464D"/>
    <w:rsid w:val="00A94F85"/>
    <w:rsid w:val="00A95290"/>
    <w:rsid w:val="00A952DD"/>
    <w:rsid w:val="00A95A19"/>
    <w:rsid w:val="00A95C48"/>
    <w:rsid w:val="00A95F96"/>
    <w:rsid w:val="00A9607F"/>
    <w:rsid w:val="00A965FB"/>
    <w:rsid w:val="00A96653"/>
    <w:rsid w:val="00A9686E"/>
    <w:rsid w:val="00A969B2"/>
    <w:rsid w:val="00A97511"/>
    <w:rsid w:val="00A979C1"/>
    <w:rsid w:val="00A97E12"/>
    <w:rsid w:val="00AA023E"/>
    <w:rsid w:val="00AA0365"/>
    <w:rsid w:val="00AA0663"/>
    <w:rsid w:val="00AA111C"/>
    <w:rsid w:val="00AA128A"/>
    <w:rsid w:val="00AA27BC"/>
    <w:rsid w:val="00AA2B35"/>
    <w:rsid w:val="00AA4B32"/>
    <w:rsid w:val="00AA4FB3"/>
    <w:rsid w:val="00AA5B4A"/>
    <w:rsid w:val="00AA6EC1"/>
    <w:rsid w:val="00AA7AF8"/>
    <w:rsid w:val="00AB016B"/>
    <w:rsid w:val="00AB10DE"/>
    <w:rsid w:val="00AB1250"/>
    <w:rsid w:val="00AB1889"/>
    <w:rsid w:val="00AB1E39"/>
    <w:rsid w:val="00AB2F1D"/>
    <w:rsid w:val="00AB314E"/>
    <w:rsid w:val="00AB3873"/>
    <w:rsid w:val="00AB3C71"/>
    <w:rsid w:val="00AB436D"/>
    <w:rsid w:val="00AB461E"/>
    <w:rsid w:val="00AB4AF8"/>
    <w:rsid w:val="00AB5E4E"/>
    <w:rsid w:val="00AB6023"/>
    <w:rsid w:val="00AB6052"/>
    <w:rsid w:val="00AB614D"/>
    <w:rsid w:val="00AB7ACA"/>
    <w:rsid w:val="00AB7AD1"/>
    <w:rsid w:val="00AB7B52"/>
    <w:rsid w:val="00AB7E5B"/>
    <w:rsid w:val="00AC052F"/>
    <w:rsid w:val="00AC0533"/>
    <w:rsid w:val="00AC0613"/>
    <w:rsid w:val="00AC122B"/>
    <w:rsid w:val="00AC1B67"/>
    <w:rsid w:val="00AC262A"/>
    <w:rsid w:val="00AC26E9"/>
    <w:rsid w:val="00AC2F94"/>
    <w:rsid w:val="00AC3C05"/>
    <w:rsid w:val="00AC415E"/>
    <w:rsid w:val="00AC4C21"/>
    <w:rsid w:val="00AC546E"/>
    <w:rsid w:val="00AC5507"/>
    <w:rsid w:val="00AC58F7"/>
    <w:rsid w:val="00AC5C06"/>
    <w:rsid w:val="00AC610B"/>
    <w:rsid w:val="00AC6195"/>
    <w:rsid w:val="00AC64E3"/>
    <w:rsid w:val="00AC69AF"/>
    <w:rsid w:val="00AC6C65"/>
    <w:rsid w:val="00AC73BD"/>
    <w:rsid w:val="00AC792B"/>
    <w:rsid w:val="00AC7C36"/>
    <w:rsid w:val="00AD000F"/>
    <w:rsid w:val="00AD0754"/>
    <w:rsid w:val="00AD09CA"/>
    <w:rsid w:val="00AD0A66"/>
    <w:rsid w:val="00AD1934"/>
    <w:rsid w:val="00AD20BD"/>
    <w:rsid w:val="00AD3E39"/>
    <w:rsid w:val="00AD48B4"/>
    <w:rsid w:val="00AD4A86"/>
    <w:rsid w:val="00AD5493"/>
    <w:rsid w:val="00AD56C2"/>
    <w:rsid w:val="00AD5E16"/>
    <w:rsid w:val="00AD7225"/>
    <w:rsid w:val="00AD747F"/>
    <w:rsid w:val="00AE14A5"/>
    <w:rsid w:val="00AE177D"/>
    <w:rsid w:val="00AE1A35"/>
    <w:rsid w:val="00AE1EBB"/>
    <w:rsid w:val="00AE20EC"/>
    <w:rsid w:val="00AE2350"/>
    <w:rsid w:val="00AE24D6"/>
    <w:rsid w:val="00AE2549"/>
    <w:rsid w:val="00AE2AF7"/>
    <w:rsid w:val="00AE2E49"/>
    <w:rsid w:val="00AE2E4B"/>
    <w:rsid w:val="00AE3EA6"/>
    <w:rsid w:val="00AE3F26"/>
    <w:rsid w:val="00AE4CD1"/>
    <w:rsid w:val="00AE5292"/>
    <w:rsid w:val="00AE5930"/>
    <w:rsid w:val="00AE6999"/>
    <w:rsid w:val="00AE7208"/>
    <w:rsid w:val="00AE7375"/>
    <w:rsid w:val="00AE7A12"/>
    <w:rsid w:val="00AE7AAD"/>
    <w:rsid w:val="00AE7B25"/>
    <w:rsid w:val="00AF0075"/>
    <w:rsid w:val="00AF08D1"/>
    <w:rsid w:val="00AF0D41"/>
    <w:rsid w:val="00AF1A0A"/>
    <w:rsid w:val="00AF29C9"/>
    <w:rsid w:val="00AF2E20"/>
    <w:rsid w:val="00AF31BD"/>
    <w:rsid w:val="00AF3B1C"/>
    <w:rsid w:val="00AF427B"/>
    <w:rsid w:val="00AF46AD"/>
    <w:rsid w:val="00AF5B19"/>
    <w:rsid w:val="00AF5C8D"/>
    <w:rsid w:val="00AF6038"/>
    <w:rsid w:val="00B001F1"/>
    <w:rsid w:val="00B00226"/>
    <w:rsid w:val="00B003B7"/>
    <w:rsid w:val="00B00424"/>
    <w:rsid w:val="00B008E6"/>
    <w:rsid w:val="00B00FC9"/>
    <w:rsid w:val="00B01518"/>
    <w:rsid w:val="00B017B4"/>
    <w:rsid w:val="00B02376"/>
    <w:rsid w:val="00B028EE"/>
    <w:rsid w:val="00B029C9"/>
    <w:rsid w:val="00B02DFA"/>
    <w:rsid w:val="00B02F5F"/>
    <w:rsid w:val="00B03050"/>
    <w:rsid w:val="00B03538"/>
    <w:rsid w:val="00B03CA7"/>
    <w:rsid w:val="00B04218"/>
    <w:rsid w:val="00B0439E"/>
    <w:rsid w:val="00B043D5"/>
    <w:rsid w:val="00B0458A"/>
    <w:rsid w:val="00B0554D"/>
    <w:rsid w:val="00B065E6"/>
    <w:rsid w:val="00B0736C"/>
    <w:rsid w:val="00B079C8"/>
    <w:rsid w:val="00B07B2D"/>
    <w:rsid w:val="00B07BFA"/>
    <w:rsid w:val="00B1010F"/>
    <w:rsid w:val="00B103F1"/>
    <w:rsid w:val="00B107DF"/>
    <w:rsid w:val="00B10D2E"/>
    <w:rsid w:val="00B11DA7"/>
    <w:rsid w:val="00B122D0"/>
    <w:rsid w:val="00B12327"/>
    <w:rsid w:val="00B1377B"/>
    <w:rsid w:val="00B145D3"/>
    <w:rsid w:val="00B14680"/>
    <w:rsid w:val="00B14754"/>
    <w:rsid w:val="00B14BC6"/>
    <w:rsid w:val="00B152F5"/>
    <w:rsid w:val="00B156BD"/>
    <w:rsid w:val="00B16443"/>
    <w:rsid w:val="00B168BA"/>
    <w:rsid w:val="00B16EBA"/>
    <w:rsid w:val="00B173AF"/>
    <w:rsid w:val="00B1756E"/>
    <w:rsid w:val="00B17692"/>
    <w:rsid w:val="00B201BB"/>
    <w:rsid w:val="00B204B0"/>
    <w:rsid w:val="00B204E8"/>
    <w:rsid w:val="00B217FF"/>
    <w:rsid w:val="00B21DE9"/>
    <w:rsid w:val="00B21F5F"/>
    <w:rsid w:val="00B22442"/>
    <w:rsid w:val="00B225AB"/>
    <w:rsid w:val="00B22E03"/>
    <w:rsid w:val="00B23051"/>
    <w:rsid w:val="00B2313D"/>
    <w:rsid w:val="00B2321D"/>
    <w:rsid w:val="00B23243"/>
    <w:rsid w:val="00B236FB"/>
    <w:rsid w:val="00B237D5"/>
    <w:rsid w:val="00B23D1E"/>
    <w:rsid w:val="00B24A3F"/>
    <w:rsid w:val="00B24B33"/>
    <w:rsid w:val="00B24ED4"/>
    <w:rsid w:val="00B25F94"/>
    <w:rsid w:val="00B260B5"/>
    <w:rsid w:val="00B2645C"/>
    <w:rsid w:val="00B268EA"/>
    <w:rsid w:val="00B26DCE"/>
    <w:rsid w:val="00B27836"/>
    <w:rsid w:val="00B2791C"/>
    <w:rsid w:val="00B2793B"/>
    <w:rsid w:val="00B27FB2"/>
    <w:rsid w:val="00B300B4"/>
    <w:rsid w:val="00B304F0"/>
    <w:rsid w:val="00B30BB3"/>
    <w:rsid w:val="00B31841"/>
    <w:rsid w:val="00B323C2"/>
    <w:rsid w:val="00B32479"/>
    <w:rsid w:val="00B32714"/>
    <w:rsid w:val="00B33000"/>
    <w:rsid w:val="00B33E83"/>
    <w:rsid w:val="00B348D5"/>
    <w:rsid w:val="00B35679"/>
    <w:rsid w:val="00B378F7"/>
    <w:rsid w:val="00B407EB"/>
    <w:rsid w:val="00B421C3"/>
    <w:rsid w:val="00B42354"/>
    <w:rsid w:val="00B42ACB"/>
    <w:rsid w:val="00B42CD6"/>
    <w:rsid w:val="00B43176"/>
    <w:rsid w:val="00B43ABD"/>
    <w:rsid w:val="00B440D4"/>
    <w:rsid w:val="00B44625"/>
    <w:rsid w:val="00B448B4"/>
    <w:rsid w:val="00B44928"/>
    <w:rsid w:val="00B44CBE"/>
    <w:rsid w:val="00B45DCD"/>
    <w:rsid w:val="00B45E23"/>
    <w:rsid w:val="00B45ECE"/>
    <w:rsid w:val="00B4609C"/>
    <w:rsid w:val="00B46277"/>
    <w:rsid w:val="00B46631"/>
    <w:rsid w:val="00B467D0"/>
    <w:rsid w:val="00B469DD"/>
    <w:rsid w:val="00B46D1C"/>
    <w:rsid w:val="00B46EC5"/>
    <w:rsid w:val="00B474EA"/>
    <w:rsid w:val="00B47EA2"/>
    <w:rsid w:val="00B501B6"/>
    <w:rsid w:val="00B51005"/>
    <w:rsid w:val="00B5162D"/>
    <w:rsid w:val="00B518D3"/>
    <w:rsid w:val="00B51EE8"/>
    <w:rsid w:val="00B5275F"/>
    <w:rsid w:val="00B52897"/>
    <w:rsid w:val="00B52AAB"/>
    <w:rsid w:val="00B53712"/>
    <w:rsid w:val="00B53975"/>
    <w:rsid w:val="00B54089"/>
    <w:rsid w:val="00B54302"/>
    <w:rsid w:val="00B553BB"/>
    <w:rsid w:val="00B555E2"/>
    <w:rsid w:val="00B55C56"/>
    <w:rsid w:val="00B57206"/>
    <w:rsid w:val="00B572C1"/>
    <w:rsid w:val="00B57407"/>
    <w:rsid w:val="00B5766B"/>
    <w:rsid w:val="00B57942"/>
    <w:rsid w:val="00B57FB9"/>
    <w:rsid w:val="00B6014F"/>
    <w:rsid w:val="00B602C4"/>
    <w:rsid w:val="00B602E2"/>
    <w:rsid w:val="00B61503"/>
    <w:rsid w:val="00B6171D"/>
    <w:rsid w:val="00B61EFE"/>
    <w:rsid w:val="00B622F3"/>
    <w:rsid w:val="00B62349"/>
    <w:rsid w:val="00B62BFC"/>
    <w:rsid w:val="00B62CAE"/>
    <w:rsid w:val="00B62CF4"/>
    <w:rsid w:val="00B62CFC"/>
    <w:rsid w:val="00B62DA2"/>
    <w:rsid w:val="00B630C8"/>
    <w:rsid w:val="00B6348B"/>
    <w:rsid w:val="00B6357D"/>
    <w:rsid w:val="00B6389F"/>
    <w:rsid w:val="00B6442B"/>
    <w:rsid w:val="00B64D2B"/>
    <w:rsid w:val="00B64F90"/>
    <w:rsid w:val="00B6501D"/>
    <w:rsid w:val="00B65445"/>
    <w:rsid w:val="00B65A3F"/>
    <w:rsid w:val="00B65F87"/>
    <w:rsid w:val="00B661CB"/>
    <w:rsid w:val="00B66617"/>
    <w:rsid w:val="00B67720"/>
    <w:rsid w:val="00B70B3C"/>
    <w:rsid w:val="00B716D3"/>
    <w:rsid w:val="00B719A1"/>
    <w:rsid w:val="00B71F59"/>
    <w:rsid w:val="00B72574"/>
    <w:rsid w:val="00B72A8C"/>
    <w:rsid w:val="00B72E58"/>
    <w:rsid w:val="00B73066"/>
    <w:rsid w:val="00B738CE"/>
    <w:rsid w:val="00B73E83"/>
    <w:rsid w:val="00B743C7"/>
    <w:rsid w:val="00B74491"/>
    <w:rsid w:val="00B745A4"/>
    <w:rsid w:val="00B75041"/>
    <w:rsid w:val="00B757D5"/>
    <w:rsid w:val="00B75DD2"/>
    <w:rsid w:val="00B770F3"/>
    <w:rsid w:val="00B77E1D"/>
    <w:rsid w:val="00B77ECF"/>
    <w:rsid w:val="00B800B8"/>
    <w:rsid w:val="00B80DA1"/>
    <w:rsid w:val="00B80E83"/>
    <w:rsid w:val="00B8163A"/>
    <w:rsid w:val="00B819C2"/>
    <w:rsid w:val="00B81C5D"/>
    <w:rsid w:val="00B8246B"/>
    <w:rsid w:val="00B826D4"/>
    <w:rsid w:val="00B82D36"/>
    <w:rsid w:val="00B830B3"/>
    <w:rsid w:val="00B833AA"/>
    <w:rsid w:val="00B83CE3"/>
    <w:rsid w:val="00B843C2"/>
    <w:rsid w:val="00B84403"/>
    <w:rsid w:val="00B84894"/>
    <w:rsid w:val="00B848E3"/>
    <w:rsid w:val="00B856D5"/>
    <w:rsid w:val="00B85866"/>
    <w:rsid w:val="00B858E1"/>
    <w:rsid w:val="00B85C47"/>
    <w:rsid w:val="00B85CF4"/>
    <w:rsid w:val="00B86938"/>
    <w:rsid w:val="00B86A98"/>
    <w:rsid w:val="00B86CE8"/>
    <w:rsid w:val="00B873A8"/>
    <w:rsid w:val="00B875F7"/>
    <w:rsid w:val="00B87A84"/>
    <w:rsid w:val="00B87D9C"/>
    <w:rsid w:val="00B87F12"/>
    <w:rsid w:val="00B9051E"/>
    <w:rsid w:val="00B90B95"/>
    <w:rsid w:val="00B910F1"/>
    <w:rsid w:val="00B911AF"/>
    <w:rsid w:val="00B92661"/>
    <w:rsid w:val="00B92EDC"/>
    <w:rsid w:val="00B93435"/>
    <w:rsid w:val="00B93641"/>
    <w:rsid w:val="00B93B79"/>
    <w:rsid w:val="00B9466E"/>
    <w:rsid w:val="00B9518F"/>
    <w:rsid w:val="00B953E5"/>
    <w:rsid w:val="00B9577A"/>
    <w:rsid w:val="00B9606E"/>
    <w:rsid w:val="00B9664B"/>
    <w:rsid w:val="00B966D7"/>
    <w:rsid w:val="00B96AA0"/>
    <w:rsid w:val="00B96C98"/>
    <w:rsid w:val="00B96F1C"/>
    <w:rsid w:val="00B96F28"/>
    <w:rsid w:val="00B9714B"/>
    <w:rsid w:val="00B9755A"/>
    <w:rsid w:val="00BA0932"/>
    <w:rsid w:val="00BA108B"/>
    <w:rsid w:val="00BA1113"/>
    <w:rsid w:val="00BA1861"/>
    <w:rsid w:val="00BA1DCA"/>
    <w:rsid w:val="00BA2465"/>
    <w:rsid w:val="00BA304A"/>
    <w:rsid w:val="00BA543B"/>
    <w:rsid w:val="00BA55D8"/>
    <w:rsid w:val="00BA63BC"/>
    <w:rsid w:val="00BA6439"/>
    <w:rsid w:val="00BA6A1F"/>
    <w:rsid w:val="00BA76FB"/>
    <w:rsid w:val="00BA7959"/>
    <w:rsid w:val="00BA7F86"/>
    <w:rsid w:val="00BB0476"/>
    <w:rsid w:val="00BB096A"/>
    <w:rsid w:val="00BB1839"/>
    <w:rsid w:val="00BB1E2C"/>
    <w:rsid w:val="00BB2949"/>
    <w:rsid w:val="00BB2E15"/>
    <w:rsid w:val="00BB33D6"/>
    <w:rsid w:val="00BB4590"/>
    <w:rsid w:val="00BB4CED"/>
    <w:rsid w:val="00BB4E20"/>
    <w:rsid w:val="00BB559B"/>
    <w:rsid w:val="00BB5B74"/>
    <w:rsid w:val="00BB5D0E"/>
    <w:rsid w:val="00BB6AEE"/>
    <w:rsid w:val="00BB6C3E"/>
    <w:rsid w:val="00BB7002"/>
    <w:rsid w:val="00BB7DBB"/>
    <w:rsid w:val="00BC0EDD"/>
    <w:rsid w:val="00BC11D0"/>
    <w:rsid w:val="00BC12DF"/>
    <w:rsid w:val="00BC1507"/>
    <w:rsid w:val="00BC16BA"/>
    <w:rsid w:val="00BC16E9"/>
    <w:rsid w:val="00BC1C0A"/>
    <w:rsid w:val="00BC22DD"/>
    <w:rsid w:val="00BC2388"/>
    <w:rsid w:val="00BC294A"/>
    <w:rsid w:val="00BC299A"/>
    <w:rsid w:val="00BC2E89"/>
    <w:rsid w:val="00BC3510"/>
    <w:rsid w:val="00BC3664"/>
    <w:rsid w:val="00BC3930"/>
    <w:rsid w:val="00BC476F"/>
    <w:rsid w:val="00BC516B"/>
    <w:rsid w:val="00BC54CA"/>
    <w:rsid w:val="00BC54DB"/>
    <w:rsid w:val="00BC5C05"/>
    <w:rsid w:val="00BC5E06"/>
    <w:rsid w:val="00BC5FFC"/>
    <w:rsid w:val="00BC6397"/>
    <w:rsid w:val="00BC647E"/>
    <w:rsid w:val="00BD125E"/>
    <w:rsid w:val="00BD1C67"/>
    <w:rsid w:val="00BD1D7E"/>
    <w:rsid w:val="00BD2256"/>
    <w:rsid w:val="00BD2D3E"/>
    <w:rsid w:val="00BD2ED4"/>
    <w:rsid w:val="00BD366C"/>
    <w:rsid w:val="00BD3A05"/>
    <w:rsid w:val="00BD3EB2"/>
    <w:rsid w:val="00BD40C8"/>
    <w:rsid w:val="00BD4333"/>
    <w:rsid w:val="00BD4337"/>
    <w:rsid w:val="00BD4C37"/>
    <w:rsid w:val="00BD4CBE"/>
    <w:rsid w:val="00BD51D9"/>
    <w:rsid w:val="00BD5B8D"/>
    <w:rsid w:val="00BD616C"/>
    <w:rsid w:val="00BD70D1"/>
    <w:rsid w:val="00BD77C7"/>
    <w:rsid w:val="00BD7B3B"/>
    <w:rsid w:val="00BD7DB9"/>
    <w:rsid w:val="00BD7FBF"/>
    <w:rsid w:val="00BE0ABA"/>
    <w:rsid w:val="00BE0DC5"/>
    <w:rsid w:val="00BE0ED2"/>
    <w:rsid w:val="00BE13AF"/>
    <w:rsid w:val="00BE1A1C"/>
    <w:rsid w:val="00BE1A54"/>
    <w:rsid w:val="00BE1EB8"/>
    <w:rsid w:val="00BE2819"/>
    <w:rsid w:val="00BE3237"/>
    <w:rsid w:val="00BE376E"/>
    <w:rsid w:val="00BE37B4"/>
    <w:rsid w:val="00BE38F8"/>
    <w:rsid w:val="00BE3943"/>
    <w:rsid w:val="00BE4BD6"/>
    <w:rsid w:val="00BE6AC9"/>
    <w:rsid w:val="00BE6E7B"/>
    <w:rsid w:val="00BE74B7"/>
    <w:rsid w:val="00BE7841"/>
    <w:rsid w:val="00BE7AF3"/>
    <w:rsid w:val="00BF0024"/>
    <w:rsid w:val="00BF0397"/>
    <w:rsid w:val="00BF0811"/>
    <w:rsid w:val="00BF0CD5"/>
    <w:rsid w:val="00BF0D48"/>
    <w:rsid w:val="00BF1288"/>
    <w:rsid w:val="00BF183E"/>
    <w:rsid w:val="00BF1940"/>
    <w:rsid w:val="00BF1EB9"/>
    <w:rsid w:val="00BF223B"/>
    <w:rsid w:val="00BF2492"/>
    <w:rsid w:val="00BF3BA5"/>
    <w:rsid w:val="00BF4B8C"/>
    <w:rsid w:val="00BF5C36"/>
    <w:rsid w:val="00BF5D00"/>
    <w:rsid w:val="00BF6346"/>
    <w:rsid w:val="00C01497"/>
    <w:rsid w:val="00C02485"/>
    <w:rsid w:val="00C0249D"/>
    <w:rsid w:val="00C02FDB"/>
    <w:rsid w:val="00C03223"/>
    <w:rsid w:val="00C03399"/>
    <w:rsid w:val="00C03A53"/>
    <w:rsid w:val="00C03AEC"/>
    <w:rsid w:val="00C03C3C"/>
    <w:rsid w:val="00C03C88"/>
    <w:rsid w:val="00C04149"/>
    <w:rsid w:val="00C04193"/>
    <w:rsid w:val="00C048F1"/>
    <w:rsid w:val="00C051F1"/>
    <w:rsid w:val="00C0567A"/>
    <w:rsid w:val="00C056B6"/>
    <w:rsid w:val="00C060C5"/>
    <w:rsid w:val="00C072FB"/>
    <w:rsid w:val="00C079B7"/>
    <w:rsid w:val="00C079E5"/>
    <w:rsid w:val="00C10A1F"/>
    <w:rsid w:val="00C11829"/>
    <w:rsid w:val="00C11D94"/>
    <w:rsid w:val="00C122CB"/>
    <w:rsid w:val="00C1268D"/>
    <w:rsid w:val="00C14172"/>
    <w:rsid w:val="00C145EE"/>
    <w:rsid w:val="00C14694"/>
    <w:rsid w:val="00C14748"/>
    <w:rsid w:val="00C14935"/>
    <w:rsid w:val="00C14AF0"/>
    <w:rsid w:val="00C14E86"/>
    <w:rsid w:val="00C15461"/>
    <w:rsid w:val="00C15781"/>
    <w:rsid w:val="00C157A1"/>
    <w:rsid w:val="00C15C1A"/>
    <w:rsid w:val="00C16066"/>
    <w:rsid w:val="00C16180"/>
    <w:rsid w:val="00C165E9"/>
    <w:rsid w:val="00C16C58"/>
    <w:rsid w:val="00C176AB"/>
    <w:rsid w:val="00C1795F"/>
    <w:rsid w:val="00C17D99"/>
    <w:rsid w:val="00C2061E"/>
    <w:rsid w:val="00C2150C"/>
    <w:rsid w:val="00C2232E"/>
    <w:rsid w:val="00C225F9"/>
    <w:rsid w:val="00C2306F"/>
    <w:rsid w:val="00C234BE"/>
    <w:rsid w:val="00C2354E"/>
    <w:rsid w:val="00C23DA1"/>
    <w:rsid w:val="00C24120"/>
    <w:rsid w:val="00C24B49"/>
    <w:rsid w:val="00C25154"/>
    <w:rsid w:val="00C254AA"/>
    <w:rsid w:val="00C25C98"/>
    <w:rsid w:val="00C25F35"/>
    <w:rsid w:val="00C260FC"/>
    <w:rsid w:val="00C2618C"/>
    <w:rsid w:val="00C26718"/>
    <w:rsid w:val="00C26B0A"/>
    <w:rsid w:val="00C26C4C"/>
    <w:rsid w:val="00C26F06"/>
    <w:rsid w:val="00C26F82"/>
    <w:rsid w:val="00C2798B"/>
    <w:rsid w:val="00C27B19"/>
    <w:rsid w:val="00C306F3"/>
    <w:rsid w:val="00C307D8"/>
    <w:rsid w:val="00C30835"/>
    <w:rsid w:val="00C3095E"/>
    <w:rsid w:val="00C3137B"/>
    <w:rsid w:val="00C31640"/>
    <w:rsid w:val="00C3180C"/>
    <w:rsid w:val="00C31B8A"/>
    <w:rsid w:val="00C31DCE"/>
    <w:rsid w:val="00C31DE4"/>
    <w:rsid w:val="00C3298B"/>
    <w:rsid w:val="00C34387"/>
    <w:rsid w:val="00C348FA"/>
    <w:rsid w:val="00C349EF"/>
    <w:rsid w:val="00C35ECD"/>
    <w:rsid w:val="00C365B3"/>
    <w:rsid w:val="00C36709"/>
    <w:rsid w:val="00C36CCB"/>
    <w:rsid w:val="00C36F32"/>
    <w:rsid w:val="00C37331"/>
    <w:rsid w:val="00C37802"/>
    <w:rsid w:val="00C37E84"/>
    <w:rsid w:val="00C4051E"/>
    <w:rsid w:val="00C40C0B"/>
    <w:rsid w:val="00C42137"/>
    <w:rsid w:val="00C42727"/>
    <w:rsid w:val="00C42852"/>
    <w:rsid w:val="00C42EE4"/>
    <w:rsid w:val="00C43247"/>
    <w:rsid w:val="00C43516"/>
    <w:rsid w:val="00C439C7"/>
    <w:rsid w:val="00C43FAC"/>
    <w:rsid w:val="00C44B13"/>
    <w:rsid w:val="00C44B2D"/>
    <w:rsid w:val="00C44DF4"/>
    <w:rsid w:val="00C45AD7"/>
    <w:rsid w:val="00C46693"/>
    <w:rsid w:val="00C46FC9"/>
    <w:rsid w:val="00C479E3"/>
    <w:rsid w:val="00C47EE4"/>
    <w:rsid w:val="00C5127E"/>
    <w:rsid w:val="00C51684"/>
    <w:rsid w:val="00C51B74"/>
    <w:rsid w:val="00C5221A"/>
    <w:rsid w:val="00C5265B"/>
    <w:rsid w:val="00C527A7"/>
    <w:rsid w:val="00C52B54"/>
    <w:rsid w:val="00C535E8"/>
    <w:rsid w:val="00C53793"/>
    <w:rsid w:val="00C53AF6"/>
    <w:rsid w:val="00C54173"/>
    <w:rsid w:val="00C55366"/>
    <w:rsid w:val="00C555D0"/>
    <w:rsid w:val="00C55F1E"/>
    <w:rsid w:val="00C55F5B"/>
    <w:rsid w:val="00C55FC5"/>
    <w:rsid w:val="00C560A3"/>
    <w:rsid w:val="00C562E4"/>
    <w:rsid w:val="00C56588"/>
    <w:rsid w:val="00C5681B"/>
    <w:rsid w:val="00C5733B"/>
    <w:rsid w:val="00C57517"/>
    <w:rsid w:val="00C57AB5"/>
    <w:rsid w:val="00C57C22"/>
    <w:rsid w:val="00C614E0"/>
    <w:rsid w:val="00C61E00"/>
    <w:rsid w:val="00C62317"/>
    <w:rsid w:val="00C62719"/>
    <w:rsid w:val="00C6274C"/>
    <w:rsid w:val="00C62819"/>
    <w:rsid w:val="00C62841"/>
    <w:rsid w:val="00C62F8C"/>
    <w:rsid w:val="00C6343B"/>
    <w:rsid w:val="00C6445A"/>
    <w:rsid w:val="00C644E7"/>
    <w:rsid w:val="00C647B5"/>
    <w:rsid w:val="00C64B81"/>
    <w:rsid w:val="00C64CB9"/>
    <w:rsid w:val="00C65102"/>
    <w:rsid w:val="00C65753"/>
    <w:rsid w:val="00C657AB"/>
    <w:rsid w:val="00C660A5"/>
    <w:rsid w:val="00C66384"/>
    <w:rsid w:val="00C663CB"/>
    <w:rsid w:val="00C664D3"/>
    <w:rsid w:val="00C66759"/>
    <w:rsid w:val="00C6726A"/>
    <w:rsid w:val="00C7051A"/>
    <w:rsid w:val="00C7058B"/>
    <w:rsid w:val="00C70592"/>
    <w:rsid w:val="00C71860"/>
    <w:rsid w:val="00C7247B"/>
    <w:rsid w:val="00C725C0"/>
    <w:rsid w:val="00C72AE5"/>
    <w:rsid w:val="00C72E7C"/>
    <w:rsid w:val="00C731C3"/>
    <w:rsid w:val="00C734C4"/>
    <w:rsid w:val="00C73723"/>
    <w:rsid w:val="00C737BF"/>
    <w:rsid w:val="00C741AD"/>
    <w:rsid w:val="00C741E1"/>
    <w:rsid w:val="00C74485"/>
    <w:rsid w:val="00C74D76"/>
    <w:rsid w:val="00C74DA7"/>
    <w:rsid w:val="00C75265"/>
    <w:rsid w:val="00C75AE7"/>
    <w:rsid w:val="00C7643B"/>
    <w:rsid w:val="00C77046"/>
    <w:rsid w:val="00C77290"/>
    <w:rsid w:val="00C772B5"/>
    <w:rsid w:val="00C80243"/>
    <w:rsid w:val="00C804FD"/>
    <w:rsid w:val="00C80904"/>
    <w:rsid w:val="00C813E8"/>
    <w:rsid w:val="00C815CA"/>
    <w:rsid w:val="00C81A41"/>
    <w:rsid w:val="00C82869"/>
    <w:rsid w:val="00C848A1"/>
    <w:rsid w:val="00C849AA"/>
    <w:rsid w:val="00C85187"/>
    <w:rsid w:val="00C85637"/>
    <w:rsid w:val="00C85CAC"/>
    <w:rsid w:val="00C863B8"/>
    <w:rsid w:val="00C86723"/>
    <w:rsid w:val="00C87351"/>
    <w:rsid w:val="00C8786B"/>
    <w:rsid w:val="00C90127"/>
    <w:rsid w:val="00C9042A"/>
    <w:rsid w:val="00C911C8"/>
    <w:rsid w:val="00C916B6"/>
    <w:rsid w:val="00C91934"/>
    <w:rsid w:val="00C92558"/>
    <w:rsid w:val="00C93069"/>
    <w:rsid w:val="00C937AE"/>
    <w:rsid w:val="00C93A3C"/>
    <w:rsid w:val="00C93BBB"/>
    <w:rsid w:val="00C93C22"/>
    <w:rsid w:val="00C948D5"/>
    <w:rsid w:val="00C9490E"/>
    <w:rsid w:val="00C94B44"/>
    <w:rsid w:val="00C94D3C"/>
    <w:rsid w:val="00C952A1"/>
    <w:rsid w:val="00C9537A"/>
    <w:rsid w:val="00C96B61"/>
    <w:rsid w:val="00C96EA2"/>
    <w:rsid w:val="00C9734F"/>
    <w:rsid w:val="00C973D2"/>
    <w:rsid w:val="00C97B98"/>
    <w:rsid w:val="00C97E6B"/>
    <w:rsid w:val="00CA009E"/>
    <w:rsid w:val="00CA0D3D"/>
    <w:rsid w:val="00CA0ECF"/>
    <w:rsid w:val="00CA0F4E"/>
    <w:rsid w:val="00CA11B9"/>
    <w:rsid w:val="00CA11E6"/>
    <w:rsid w:val="00CA154D"/>
    <w:rsid w:val="00CA1962"/>
    <w:rsid w:val="00CA22CE"/>
    <w:rsid w:val="00CA2852"/>
    <w:rsid w:val="00CA2AB3"/>
    <w:rsid w:val="00CA2B21"/>
    <w:rsid w:val="00CA2F8D"/>
    <w:rsid w:val="00CA3291"/>
    <w:rsid w:val="00CA33FF"/>
    <w:rsid w:val="00CA34C7"/>
    <w:rsid w:val="00CA35E9"/>
    <w:rsid w:val="00CA3C81"/>
    <w:rsid w:val="00CA4809"/>
    <w:rsid w:val="00CA57FA"/>
    <w:rsid w:val="00CA7290"/>
    <w:rsid w:val="00CA7BD3"/>
    <w:rsid w:val="00CA7F16"/>
    <w:rsid w:val="00CB0592"/>
    <w:rsid w:val="00CB0DC4"/>
    <w:rsid w:val="00CB1004"/>
    <w:rsid w:val="00CB16B9"/>
    <w:rsid w:val="00CB18BC"/>
    <w:rsid w:val="00CB1E3D"/>
    <w:rsid w:val="00CB239E"/>
    <w:rsid w:val="00CB2A08"/>
    <w:rsid w:val="00CB2ACC"/>
    <w:rsid w:val="00CB2CB4"/>
    <w:rsid w:val="00CB32E6"/>
    <w:rsid w:val="00CB3486"/>
    <w:rsid w:val="00CB3740"/>
    <w:rsid w:val="00CB5309"/>
    <w:rsid w:val="00CC0100"/>
    <w:rsid w:val="00CC0406"/>
    <w:rsid w:val="00CC0485"/>
    <w:rsid w:val="00CC0696"/>
    <w:rsid w:val="00CC0D8A"/>
    <w:rsid w:val="00CC2708"/>
    <w:rsid w:val="00CC3CC5"/>
    <w:rsid w:val="00CC3ED7"/>
    <w:rsid w:val="00CC48FC"/>
    <w:rsid w:val="00CC5788"/>
    <w:rsid w:val="00CC609B"/>
    <w:rsid w:val="00CC6340"/>
    <w:rsid w:val="00CC6717"/>
    <w:rsid w:val="00CC710B"/>
    <w:rsid w:val="00CC784A"/>
    <w:rsid w:val="00CC7C28"/>
    <w:rsid w:val="00CC7EBE"/>
    <w:rsid w:val="00CD032B"/>
    <w:rsid w:val="00CD06D4"/>
    <w:rsid w:val="00CD0ABA"/>
    <w:rsid w:val="00CD0E39"/>
    <w:rsid w:val="00CD10C6"/>
    <w:rsid w:val="00CD13A1"/>
    <w:rsid w:val="00CD1A6C"/>
    <w:rsid w:val="00CD269F"/>
    <w:rsid w:val="00CD2708"/>
    <w:rsid w:val="00CD2803"/>
    <w:rsid w:val="00CD287F"/>
    <w:rsid w:val="00CD2C9E"/>
    <w:rsid w:val="00CD3D2C"/>
    <w:rsid w:val="00CD3FB5"/>
    <w:rsid w:val="00CD4486"/>
    <w:rsid w:val="00CD4594"/>
    <w:rsid w:val="00CD4DB7"/>
    <w:rsid w:val="00CD4E0B"/>
    <w:rsid w:val="00CD5016"/>
    <w:rsid w:val="00CD55F2"/>
    <w:rsid w:val="00CD607F"/>
    <w:rsid w:val="00CD6809"/>
    <w:rsid w:val="00CD68A9"/>
    <w:rsid w:val="00CD7127"/>
    <w:rsid w:val="00CD7EA1"/>
    <w:rsid w:val="00CD7F8E"/>
    <w:rsid w:val="00CE03D3"/>
    <w:rsid w:val="00CE0490"/>
    <w:rsid w:val="00CE0689"/>
    <w:rsid w:val="00CE0B7C"/>
    <w:rsid w:val="00CE15D3"/>
    <w:rsid w:val="00CE18C1"/>
    <w:rsid w:val="00CE19F9"/>
    <w:rsid w:val="00CE1F7D"/>
    <w:rsid w:val="00CE2510"/>
    <w:rsid w:val="00CE252B"/>
    <w:rsid w:val="00CE2BFA"/>
    <w:rsid w:val="00CE2F3F"/>
    <w:rsid w:val="00CE3287"/>
    <w:rsid w:val="00CE4763"/>
    <w:rsid w:val="00CE4B9F"/>
    <w:rsid w:val="00CE4E89"/>
    <w:rsid w:val="00CE51F4"/>
    <w:rsid w:val="00CE5267"/>
    <w:rsid w:val="00CE599D"/>
    <w:rsid w:val="00CE5E4C"/>
    <w:rsid w:val="00CE636D"/>
    <w:rsid w:val="00CE6593"/>
    <w:rsid w:val="00CE6668"/>
    <w:rsid w:val="00CE7179"/>
    <w:rsid w:val="00CE7788"/>
    <w:rsid w:val="00CE7A28"/>
    <w:rsid w:val="00CF016A"/>
    <w:rsid w:val="00CF027A"/>
    <w:rsid w:val="00CF05D5"/>
    <w:rsid w:val="00CF0AD0"/>
    <w:rsid w:val="00CF0EF6"/>
    <w:rsid w:val="00CF13D0"/>
    <w:rsid w:val="00CF1B7D"/>
    <w:rsid w:val="00CF2E07"/>
    <w:rsid w:val="00CF3286"/>
    <w:rsid w:val="00CF385E"/>
    <w:rsid w:val="00CF3E8E"/>
    <w:rsid w:val="00CF4E45"/>
    <w:rsid w:val="00CF5314"/>
    <w:rsid w:val="00CF5CD5"/>
    <w:rsid w:val="00CF5FF0"/>
    <w:rsid w:val="00CF60ED"/>
    <w:rsid w:val="00CF65B6"/>
    <w:rsid w:val="00CF67F7"/>
    <w:rsid w:val="00CF7088"/>
    <w:rsid w:val="00D00142"/>
    <w:rsid w:val="00D00286"/>
    <w:rsid w:val="00D00731"/>
    <w:rsid w:val="00D00BDA"/>
    <w:rsid w:val="00D0131E"/>
    <w:rsid w:val="00D01C8A"/>
    <w:rsid w:val="00D03709"/>
    <w:rsid w:val="00D03E05"/>
    <w:rsid w:val="00D043C9"/>
    <w:rsid w:val="00D04805"/>
    <w:rsid w:val="00D048A6"/>
    <w:rsid w:val="00D04E19"/>
    <w:rsid w:val="00D052DB"/>
    <w:rsid w:val="00D05B82"/>
    <w:rsid w:val="00D06301"/>
    <w:rsid w:val="00D06A7D"/>
    <w:rsid w:val="00D06B5C"/>
    <w:rsid w:val="00D07CD1"/>
    <w:rsid w:val="00D1044E"/>
    <w:rsid w:val="00D1161F"/>
    <w:rsid w:val="00D119B7"/>
    <w:rsid w:val="00D122BC"/>
    <w:rsid w:val="00D1264C"/>
    <w:rsid w:val="00D12B0D"/>
    <w:rsid w:val="00D12B34"/>
    <w:rsid w:val="00D13400"/>
    <w:rsid w:val="00D13639"/>
    <w:rsid w:val="00D1401A"/>
    <w:rsid w:val="00D140BF"/>
    <w:rsid w:val="00D14A93"/>
    <w:rsid w:val="00D14D9F"/>
    <w:rsid w:val="00D158A6"/>
    <w:rsid w:val="00D1622B"/>
    <w:rsid w:val="00D16388"/>
    <w:rsid w:val="00D169CF"/>
    <w:rsid w:val="00D17977"/>
    <w:rsid w:val="00D17FEC"/>
    <w:rsid w:val="00D201FB"/>
    <w:rsid w:val="00D206AA"/>
    <w:rsid w:val="00D20901"/>
    <w:rsid w:val="00D20AE9"/>
    <w:rsid w:val="00D2184E"/>
    <w:rsid w:val="00D21B1D"/>
    <w:rsid w:val="00D220DE"/>
    <w:rsid w:val="00D23429"/>
    <w:rsid w:val="00D23612"/>
    <w:rsid w:val="00D24187"/>
    <w:rsid w:val="00D24688"/>
    <w:rsid w:val="00D24856"/>
    <w:rsid w:val="00D24BF6"/>
    <w:rsid w:val="00D24C36"/>
    <w:rsid w:val="00D24C3E"/>
    <w:rsid w:val="00D25138"/>
    <w:rsid w:val="00D252EA"/>
    <w:rsid w:val="00D2569C"/>
    <w:rsid w:val="00D2659D"/>
    <w:rsid w:val="00D267C2"/>
    <w:rsid w:val="00D27053"/>
    <w:rsid w:val="00D2765D"/>
    <w:rsid w:val="00D279B7"/>
    <w:rsid w:val="00D27CE4"/>
    <w:rsid w:val="00D27D27"/>
    <w:rsid w:val="00D3050E"/>
    <w:rsid w:val="00D3157E"/>
    <w:rsid w:val="00D31DBB"/>
    <w:rsid w:val="00D321D6"/>
    <w:rsid w:val="00D333D6"/>
    <w:rsid w:val="00D3359A"/>
    <w:rsid w:val="00D335FF"/>
    <w:rsid w:val="00D33CF3"/>
    <w:rsid w:val="00D33D86"/>
    <w:rsid w:val="00D34047"/>
    <w:rsid w:val="00D346CA"/>
    <w:rsid w:val="00D34AE5"/>
    <w:rsid w:val="00D34C4C"/>
    <w:rsid w:val="00D34F37"/>
    <w:rsid w:val="00D356CB"/>
    <w:rsid w:val="00D35782"/>
    <w:rsid w:val="00D36070"/>
    <w:rsid w:val="00D362DC"/>
    <w:rsid w:val="00D37C9A"/>
    <w:rsid w:val="00D407C4"/>
    <w:rsid w:val="00D40FD0"/>
    <w:rsid w:val="00D4139F"/>
    <w:rsid w:val="00D413EF"/>
    <w:rsid w:val="00D41F0D"/>
    <w:rsid w:val="00D41F70"/>
    <w:rsid w:val="00D42628"/>
    <w:rsid w:val="00D43D9C"/>
    <w:rsid w:val="00D44127"/>
    <w:rsid w:val="00D441B6"/>
    <w:rsid w:val="00D443C2"/>
    <w:rsid w:val="00D44D82"/>
    <w:rsid w:val="00D454A4"/>
    <w:rsid w:val="00D454FC"/>
    <w:rsid w:val="00D45990"/>
    <w:rsid w:val="00D459C3"/>
    <w:rsid w:val="00D46476"/>
    <w:rsid w:val="00D46815"/>
    <w:rsid w:val="00D471F6"/>
    <w:rsid w:val="00D4720A"/>
    <w:rsid w:val="00D47226"/>
    <w:rsid w:val="00D473E5"/>
    <w:rsid w:val="00D47860"/>
    <w:rsid w:val="00D47CF1"/>
    <w:rsid w:val="00D47D43"/>
    <w:rsid w:val="00D506D7"/>
    <w:rsid w:val="00D50B3C"/>
    <w:rsid w:val="00D50E38"/>
    <w:rsid w:val="00D50F5B"/>
    <w:rsid w:val="00D51063"/>
    <w:rsid w:val="00D513B1"/>
    <w:rsid w:val="00D514C1"/>
    <w:rsid w:val="00D51992"/>
    <w:rsid w:val="00D51A29"/>
    <w:rsid w:val="00D520ED"/>
    <w:rsid w:val="00D52406"/>
    <w:rsid w:val="00D5281B"/>
    <w:rsid w:val="00D52FF7"/>
    <w:rsid w:val="00D5318F"/>
    <w:rsid w:val="00D53406"/>
    <w:rsid w:val="00D5398C"/>
    <w:rsid w:val="00D5448A"/>
    <w:rsid w:val="00D5449E"/>
    <w:rsid w:val="00D549C0"/>
    <w:rsid w:val="00D54E85"/>
    <w:rsid w:val="00D5562E"/>
    <w:rsid w:val="00D55AA2"/>
    <w:rsid w:val="00D55F17"/>
    <w:rsid w:val="00D5652F"/>
    <w:rsid w:val="00D56655"/>
    <w:rsid w:val="00D60CAC"/>
    <w:rsid w:val="00D6115B"/>
    <w:rsid w:val="00D61385"/>
    <w:rsid w:val="00D6155E"/>
    <w:rsid w:val="00D6202B"/>
    <w:rsid w:val="00D6215A"/>
    <w:rsid w:val="00D621F6"/>
    <w:rsid w:val="00D6401F"/>
    <w:rsid w:val="00D6444A"/>
    <w:rsid w:val="00D650E0"/>
    <w:rsid w:val="00D658B3"/>
    <w:rsid w:val="00D66060"/>
    <w:rsid w:val="00D6635F"/>
    <w:rsid w:val="00D66390"/>
    <w:rsid w:val="00D663DF"/>
    <w:rsid w:val="00D66B53"/>
    <w:rsid w:val="00D67956"/>
    <w:rsid w:val="00D67D87"/>
    <w:rsid w:val="00D705F5"/>
    <w:rsid w:val="00D7062A"/>
    <w:rsid w:val="00D715F9"/>
    <w:rsid w:val="00D7273F"/>
    <w:rsid w:val="00D72BD9"/>
    <w:rsid w:val="00D73195"/>
    <w:rsid w:val="00D737A2"/>
    <w:rsid w:val="00D73C84"/>
    <w:rsid w:val="00D7405F"/>
    <w:rsid w:val="00D75162"/>
    <w:rsid w:val="00D76050"/>
    <w:rsid w:val="00D7613E"/>
    <w:rsid w:val="00D76460"/>
    <w:rsid w:val="00D764A8"/>
    <w:rsid w:val="00D76844"/>
    <w:rsid w:val="00D76C14"/>
    <w:rsid w:val="00D76E48"/>
    <w:rsid w:val="00D772BA"/>
    <w:rsid w:val="00D7760C"/>
    <w:rsid w:val="00D77782"/>
    <w:rsid w:val="00D77D3A"/>
    <w:rsid w:val="00D809A2"/>
    <w:rsid w:val="00D80C48"/>
    <w:rsid w:val="00D81227"/>
    <w:rsid w:val="00D816E1"/>
    <w:rsid w:val="00D81CC8"/>
    <w:rsid w:val="00D82E2D"/>
    <w:rsid w:val="00D83F9B"/>
    <w:rsid w:val="00D845FC"/>
    <w:rsid w:val="00D852B6"/>
    <w:rsid w:val="00D8565A"/>
    <w:rsid w:val="00D8568A"/>
    <w:rsid w:val="00D85D1E"/>
    <w:rsid w:val="00D85DE8"/>
    <w:rsid w:val="00D85F01"/>
    <w:rsid w:val="00D860D0"/>
    <w:rsid w:val="00D86298"/>
    <w:rsid w:val="00D86488"/>
    <w:rsid w:val="00D86A80"/>
    <w:rsid w:val="00D87442"/>
    <w:rsid w:val="00D876A2"/>
    <w:rsid w:val="00D87882"/>
    <w:rsid w:val="00D87DFF"/>
    <w:rsid w:val="00D90737"/>
    <w:rsid w:val="00D911E8"/>
    <w:rsid w:val="00D91452"/>
    <w:rsid w:val="00D91464"/>
    <w:rsid w:val="00D918D9"/>
    <w:rsid w:val="00D930F3"/>
    <w:rsid w:val="00D93B20"/>
    <w:rsid w:val="00D93B52"/>
    <w:rsid w:val="00D93D3C"/>
    <w:rsid w:val="00D93DFA"/>
    <w:rsid w:val="00D94013"/>
    <w:rsid w:val="00D94FCC"/>
    <w:rsid w:val="00D95385"/>
    <w:rsid w:val="00D95430"/>
    <w:rsid w:val="00D95454"/>
    <w:rsid w:val="00D95FB2"/>
    <w:rsid w:val="00D97496"/>
    <w:rsid w:val="00DA0DAB"/>
    <w:rsid w:val="00DA103D"/>
    <w:rsid w:val="00DA1B58"/>
    <w:rsid w:val="00DA1BE0"/>
    <w:rsid w:val="00DA1CC0"/>
    <w:rsid w:val="00DA263B"/>
    <w:rsid w:val="00DA2ED4"/>
    <w:rsid w:val="00DA34C1"/>
    <w:rsid w:val="00DA3C7F"/>
    <w:rsid w:val="00DA3E07"/>
    <w:rsid w:val="00DA465D"/>
    <w:rsid w:val="00DA46E8"/>
    <w:rsid w:val="00DA5BF8"/>
    <w:rsid w:val="00DA5DC3"/>
    <w:rsid w:val="00DA5F19"/>
    <w:rsid w:val="00DA63D0"/>
    <w:rsid w:val="00DA72B6"/>
    <w:rsid w:val="00DA7EA6"/>
    <w:rsid w:val="00DA7FD1"/>
    <w:rsid w:val="00DB01A0"/>
    <w:rsid w:val="00DB06FD"/>
    <w:rsid w:val="00DB0BBF"/>
    <w:rsid w:val="00DB0F09"/>
    <w:rsid w:val="00DB275D"/>
    <w:rsid w:val="00DB2837"/>
    <w:rsid w:val="00DB28A5"/>
    <w:rsid w:val="00DB2D0C"/>
    <w:rsid w:val="00DB3095"/>
    <w:rsid w:val="00DB392C"/>
    <w:rsid w:val="00DB39F1"/>
    <w:rsid w:val="00DB3A00"/>
    <w:rsid w:val="00DB4011"/>
    <w:rsid w:val="00DB416E"/>
    <w:rsid w:val="00DB49EB"/>
    <w:rsid w:val="00DB4F91"/>
    <w:rsid w:val="00DB643A"/>
    <w:rsid w:val="00DB6A0C"/>
    <w:rsid w:val="00DB6C50"/>
    <w:rsid w:val="00DB73E5"/>
    <w:rsid w:val="00DB757E"/>
    <w:rsid w:val="00DC0584"/>
    <w:rsid w:val="00DC0CBC"/>
    <w:rsid w:val="00DC0E96"/>
    <w:rsid w:val="00DC2130"/>
    <w:rsid w:val="00DC2D46"/>
    <w:rsid w:val="00DC37CB"/>
    <w:rsid w:val="00DC3989"/>
    <w:rsid w:val="00DC4613"/>
    <w:rsid w:val="00DC4DD5"/>
    <w:rsid w:val="00DC5000"/>
    <w:rsid w:val="00DC53DE"/>
    <w:rsid w:val="00DC5D41"/>
    <w:rsid w:val="00DC5DF7"/>
    <w:rsid w:val="00DC620B"/>
    <w:rsid w:val="00DC76EA"/>
    <w:rsid w:val="00DC7B5B"/>
    <w:rsid w:val="00DC7FDB"/>
    <w:rsid w:val="00DD0604"/>
    <w:rsid w:val="00DD0AA0"/>
    <w:rsid w:val="00DD0F7A"/>
    <w:rsid w:val="00DD22A0"/>
    <w:rsid w:val="00DD24F3"/>
    <w:rsid w:val="00DD2A47"/>
    <w:rsid w:val="00DD2EBE"/>
    <w:rsid w:val="00DD2FC6"/>
    <w:rsid w:val="00DD430A"/>
    <w:rsid w:val="00DD4444"/>
    <w:rsid w:val="00DD4495"/>
    <w:rsid w:val="00DD45E6"/>
    <w:rsid w:val="00DD496B"/>
    <w:rsid w:val="00DD5497"/>
    <w:rsid w:val="00DD54F3"/>
    <w:rsid w:val="00DD62C0"/>
    <w:rsid w:val="00DD62C6"/>
    <w:rsid w:val="00DD63BB"/>
    <w:rsid w:val="00DD6698"/>
    <w:rsid w:val="00DD6B4B"/>
    <w:rsid w:val="00DD7539"/>
    <w:rsid w:val="00DE026D"/>
    <w:rsid w:val="00DE05E3"/>
    <w:rsid w:val="00DE1279"/>
    <w:rsid w:val="00DE12D5"/>
    <w:rsid w:val="00DE1885"/>
    <w:rsid w:val="00DE1D97"/>
    <w:rsid w:val="00DE1EEC"/>
    <w:rsid w:val="00DE27ED"/>
    <w:rsid w:val="00DE3051"/>
    <w:rsid w:val="00DE34D1"/>
    <w:rsid w:val="00DE3C77"/>
    <w:rsid w:val="00DE4506"/>
    <w:rsid w:val="00DE4F55"/>
    <w:rsid w:val="00DE5148"/>
    <w:rsid w:val="00DE658F"/>
    <w:rsid w:val="00DE6F7E"/>
    <w:rsid w:val="00DE6FC4"/>
    <w:rsid w:val="00DE7F21"/>
    <w:rsid w:val="00DE7F91"/>
    <w:rsid w:val="00DF045E"/>
    <w:rsid w:val="00DF0930"/>
    <w:rsid w:val="00DF0B74"/>
    <w:rsid w:val="00DF0EF1"/>
    <w:rsid w:val="00DF159E"/>
    <w:rsid w:val="00DF1B01"/>
    <w:rsid w:val="00DF1CD8"/>
    <w:rsid w:val="00DF2232"/>
    <w:rsid w:val="00DF24BA"/>
    <w:rsid w:val="00DF32CB"/>
    <w:rsid w:val="00DF3A4A"/>
    <w:rsid w:val="00DF4133"/>
    <w:rsid w:val="00DF4F39"/>
    <w:rsid w:val="00DF52B7"/>
    <w:rsid w:val="00DF5C1E"/>
    <w:rsid w:val="00DF606D"/>
    <w:rsid w:val="00DF65BF"/>
    <w:rsid w:val="00DF660B"/>
    <w:rsid w:val="00DF68F9"/>
    <w:rsid w:val="00DF739F"/>
    <w:rsid w:val="00DF7F11"/>
    <w:rsid w:val="00E0005E"/>
    <w:rsid w:val="00E006B2"/>
    <w:rsid w:val="00E00FC0"/>
    <w:rsid w:val="00E0112C"/>
    <w:rsid w:val="00E01225"/>
    <w:rsid w:val="00E017DD"/>
    <w:rsid w:val="00E01CC5"/>
    <w:rsid w:val="00E01D44"/>
    <w:rsid w:val="00E02029"/>
    <w:rsid w:val="00E020F7"/>
    <w:rsid w:val="00E02607"/>
    <w:rsid w:val="00E0297B"/>
    <w:rsid w:val="00E02B0D"/>
    <w:rsid w:val="00E02E55"/>
    <w:rsid w:val="00E034A9"/>
    <w:rsid w:val="00E036DB"/>
    <w:rsid w:val="00E03816"/>
    <w:rsid w:val="00E04055"/>
    <w:rsid w:val="00E044BB"/>
    <w:rsid w:val="00E044CE"/>
    <w:rsid w:val="00E05695"/>
    <w:rsid w:val="00E05CBD"/>
    <w:rsid w:val="00E062D8"/>
    <w:rsid w:val="00E069E8"/>
    <w:rsid w:val="00E07019"/>
    <w:rsid w:val="00E0742C"/>
    <w:rsid w:val="00E07819"/>
    <w:rsid w:val="00E1100B"/>
    <w:rsid w:val="00E117F8"/>
    <w:rsid w:val="00E1207D"/>
    <w:rsid w:val="00E12315"/>
    <w:rsid w:val="00E13341"/>
    <w:rsid w:val="00E13E24"/>
    <w:rsid w:val="00E14305"/>
    <w:rsid w:val="00E1432E"/>
    <w:rsid w:val="00E158E0"/>
    <w:rsid w:val="00E15E91"/>
    <w:rsid w:val="00E163B3"/>
    <w:rsid w:val="00E167E0"/>
    <w:rsid w:val="00E16BC4"/>
    <w:rsid w:val="00E1752E"/>
    <w:rsid w:val="00E17674"/>
    <w:rsid w:val="00E207B2"/>
    <w:rsid w:val="00E20B38"/>
    <w:rsid w:val="00E21E72"/>
    <w:rsid w:val="00E22579"/>
    <w:rsid w:val="00E22B83"/>
    <w:rsid w:val="00E230D3"/>
    <w:rsid w:val="00E244FA"/>
    <w:rsid w:val="00E24661"/>
    <w:rsid w:val="00E246F1"/>
    <w:rsid w:val="00E25176"/>
    <w:rsid w:val="00E2517D"/>
    <w:rsid w:val="00E2559B"/>
    <w:rsid w:val="00E25640"/>
    <w:rsid w:val="00E2737C"/>
    <w:rsid w:val="00E27680"/>
    <w:rsid w:val="00E27AEB"/>
    <w:rsid w:val="00E27B64"/>
    <w:rsid w:val="00E3130F"/>
    <w:rsid w:val="00E315AE"/>
    <w:rsid w:val="00E317D3"/>
    <w:rsid w:val="00E32A95"/>
    <w:rsid w:val="00E32B00"/>
    <w:rsid w:val="00E32F68"/>
    <w:rsid w:val="00E33580"/>
    <w:rsid w:val="00E3361C"/>
    <w:rsid w:val="00E339AB"/>
    <w:rsid w:val="00E34C66"/>
    <w:rsid w:val="00E34E69"/>
    <w:rsid w:val="00E3507D"/>
    <w:rsid w:val="00E3558B"/>
    <w:rsid w:val="00E366BB"/>
    <w:rsid w:val="00E3686F"/>
    <w:rsid w:val="00E36A0C"/>
    <w:rsid w:val="00E36A65"/>
    <w:rsid w:val="00E37677"/>
    <w:rsid w:val="00E3775F"/>
    <w:rsid w:val="00E379EF"/>
    <w:rsid w:val="00E37C0F"/>
    <w:rsid w:val="00E37EAA"/>
    <w:rsid w:val="00E4017C"/>
    <w:rsid w:val="00E407E5"/>
    <w:rsid w:val="00E4202F"/>
    <w:rsid w:val="00E42A1E"/>
    <w:rsid w:val="00E42CCF"/>
    <w:rsid w:val="00E4325A"/>
    <w:rsid w:val="00E43447"/>
    <w:rsid w:val="00E43712"/>
    <w:rsid w:val="00E43A8E"/>
    <w:rsid w:val="00E44044"/>
    <w:rsid w:val="00E4409B"/>
    <w:rsid w:val="00E4432B"/>
    <w:rsid w:val="00E44B4C"/>
    <w:rsid w:val="00E450FE"/>
    <w:rsid w:val="00E45888"/>
    <w:rsid w:val="00E46BF7"/>
    <w:rsid w:val="00E47B5E"/>
    <w:rsid w:val="00E5010C"/>
    <w:rsid w:val="00E501F0"/>
    <w:rsid w:val="00E50936"/>
    <w:rsid w:val="00E50AFB"/>
    <w:rsid w:val="00E51072"/>
    <w:rsid w:val="00E52073"/>
    <w:rsid w:val="00E523A1"/>
    <w:rsid w:val="00E5252C"/>
    <w:rsid w:val="00E52697"/>
    <w:rsid w:val="00E52C1C"/>
    <w:rsid w:val="00E52E32"/>
    <w:rsid w:val="00E534A8"/>
    <w:rsid w:val="00E538D2"/>
    <w:rsid w:val="00E53B4C"/>
    <w:rsid w:val="00E53F37"/>
    <w:rsid w:val="00E54157"/>
    <w:rsid w:val="00E54CA1"/>
    <w:rsid w:val="00E55400"/>
    <w:rsid w:val="00E55425"/>
    <w:rsid w:val="00E555D0"/>
    <w:rsid w:val="00E55E8D"/>
    <w:rsid w:val="00E55F71"/>
    <w:rsid w:val="00E56263"/>
    <w:rsid w:val="00E574D8"/>
    <w:rsid w:val="00E60824"/>
    <w:rsid w:val="00E61600"/>
    <w:rsid w:val="00E624F9"/>
    <w:rsid w:val="00E630B0"/>
    <w:rsid w:val="00E6313B"/>
    <w:rsid w:val="00E63706"/>
    <w:rsid w:val="00E63715"/>
    <w:rsid w:val="00E638AF"/>
    <w:rsid w:val="00E6483D"/>
    <w:rsid w:val="00E64962"/>
    <w:rsid w:val="00E64C49"/>
    <w:rsid w:val="00E64FCE"/>
    <w:rsid w:val="00E6570B"/>
    <w:rsid w:val="00E65B98"/>
    <w:rsid w:val="00E66475"/>
    <w:rsid w:val="00E6729F"/>
    <w:rsid w:val="00E67356"/>
    <w:rsid w:val="00E67524"/>
    <w:rsid w:val="00E705CC"/>
    <w:rsid w:val="00E72CAC"/>
    <w:rsid w:val="00E72CD5"/>
    <w:rsid w:val="00E73093"/>
    <w:rsid w:val="00E73602"/>
    <w:rsid w:val="00E73B9E"/>
    <w:rsid w:val="00E73CB8"/>
    <w:rsid w:val="00E74300"/>
    <w:rsid w:val="00E74738"/>
    <w:rsid w:val="00E75CFB"/>
    <w:rsid w:val="00E761FF"/>
    <w:rsid w:val="00E76DF6"/>
    <w:rsid w:val="00E775CC"/>
    <w:rsid w:val="00E7798C"/>
    <w:rsid w:val="00E77C23"/>
    <w:rsid w:val="00E80110"/>
    <w:rsid w:val="00E8022A"/>
    <w:rsid w:val="00E805F6"/>
    <w:rsid w:val="00E80C20"/>
    <w:rsid w:val="00E8204C"/>
    <w:rsid w:val="00E8252F"/>
    <w:rsid w:val="00E82759"/>
    <w:rsid w:val="00E834AA"/>
    <w:rsid w:val="00E83537"/>
    <w:rsid w:val="00E842C2"/>
    <w:rsid w:val="00E843B0"/>
    <w:rsid w:val="00E8472A"/>
    <w:rsid w:val="00E849B1"/>
    <w:rsid w:val="00E849D3"/>
    <w:rsid w:val="00E85148"/>
    <w:rsid w:val="00E853D2"/>
    <w:rsid w:val="00E856BD"/>
    <w:rsid w:val="00E856ED"/>
    <w:rsid w:val="00E859D6"/>
    <w:rsid w:val="00E877AB"/>
    <w:rsid w:val="00E87A8E"/>
    <w:rsid w:val="00E87E9C"/>
    <w:rsid w:val="00E87F83"/>
    <w:rsid w:val="00E90B87"/>
    <w:rsid w:val="00E90BCC"/>
    <w:rsid w:val="00E90FBF"/>
    <w:rsid w:val="00E91614"/>
    <w:rsid w:val="00E91AA7"/>
    <w:rsid w:val="00E91FB7"/>
    <w:rsid w:val="00E922C3"/>
    <w:rsid w:val="00E923EE"/>
    <w:rsid w:val="00E92A03"/>
    <w:rsid w:val="00E92ACB"/>
    <w:rsid w:val="00E932EC"/>
    <w:rsid w:val="00E938D2"/>
    <w:rsid w:val="00E93DF3"/>
    <w:rsid w:val="00E94502"/>
    <w:rsid w:val="00E945EB"/>
    <w:rsid w:val="00E95410"/>
    <w:rsid w:val="00E95A4D"/>
    <w:rsid w:val="00E95AC0"/>
    <w:rsid w:val="00E95EBC"/>
    <w:rsid w:val="00E964EA"/>
    <w:rsid w:val="00E965E4"/>
    <w:rsid w:val="00E96DDC"/>
    <w:rsid w:val="00E9764C"/>
    <w:rsid w:val="00E976E8"/>
    <w:rsid w:val="00E97898"/>
    <w:rsid w:val="00E97B43"/>
    <w:rsid w:val="00EA01B3"/>
    <w:rsid w:val="00EA0772"/>
    <w:rsid w:val="00EA0FCA"/>
    <w:rsid w:val="00EA1B9A"/>
    <w:rsid w:val="00EA230B"/>
    <w:rsid w:val="00EA2808"/>
    <w:rsid w:val="00EA2D9D"/>
    <w:rsid w:val="00EA2F68"/>
    <w:rsid w:val="00EA3620"/>
    <w:rsid w:val="00EA3C12"/>
    <w:rsid w:val="00EA4076"/>
    <w:rsid w:val="00EA4788"/>
    <w:rsid w:val="00EA4846"/>
    <w:rsid w:val="00EA48A4"/>
    <w:rsid w:val="00EA4B86"/>
    <w:rsid w:val="00EA5196"/>
    <w:rsid w:val="00EA567B"/>
    <w:rsid w:val="00EA61D8"/>
    <w:rsid w:val="00EA6439"/>
    <w:rsid w:val="00EA68C3"/>
    <w:rsid w:val="00EA68E4"/>
    <w:rsid w:val="00EA73F6"/>
    <w:rsid w:val="00EA7BCC"/>
    <w:rsid w:val="00EA7DE8"/>
    <w:rsid w:val="00EB00B6"/>
    <w:rsid w:val="00EB028F"/>
    <w:rsid w:val="00EB0756"/>
    <w:rsid w:val="00EB19B6"/>
    <w:rsid w:val="00EB264E"/>
    <w:rsid w:val="00EB2DEC"/>
    <w:rsid w:val="00EB39B4"/>
    <w:rsid w:val="00EB3E3E"/>
    <w:rsid w:val="00EB4295"/>
    <w:rsid w:val="00EB525E"/>
    <w:rsid w:val="00EB5797"/>
    <w:rsid w:val="00EB580C"/>
    <w:rsid w:val="00EB66E6"/>
    <w:rsid w:val="00EB7803"/>
    <w:rsid w:val="00EB7D3D"/>
    <w:rsid w:val="00EC0375"/>
    <w:rsid w:val="00EC10FF"/>
    <w:rsid w:val="00EC191A"/>
    <w:rsid w:val="00EC2280"/>
    <w:rsid w:val="00EC2598"/>
    <w:rsid w:val="00EC2AE3"/>
    <w:rsid w:val="00EC2C98"/>
    <w:rsid w:val="00EC2C9F"/>
    <w:rsid w:val="00EC31B1"/>
    <w:rsid w:val="00EC3B19"/>
    <w:rsid w:val="00EC3C46"/>
    <w:rsid w:val="00EC4794"/>
    <w:rsid w:val="00EC4DFA"/>
    <w:rsid w:val="00EC5233"/>
    <w:rsid w:val="00EC5464"/>
    <w:rsid w:val="00EC5584"/>
    <w:rsid w:val="00EC560F"/>
    <w:rsid w:val="00EC5ACA"/>
    <w:rsid w:val="00EC5DE5"/>
    <w:rsid w:val="00EC5E84"/>
    <w:rsid w:val="00EC60DC"/>
    <w:rsid w:val="00EC6FD7"/>
    <w:rsid w:val="00EC7267"/>
    <w:rsid w:val="00EC731F"/>
    <w:rsid w:val="00EC7FA3"/>
    <w:rsid w:val="00ED00C1"/>
    <w:rsid w:val="00ED08C9"/>
    <w:rsid w:val="00ED0BE0"/>
    <w:rsid w:val="00ED0E74"/>
    <w:rsid w:val="00ED173D"/>
    <w:rsid w:val="00ED287E"/>
    <w:rsid w:val="00ED375D"/>
    <w:rsid w:val="00ED3A29"/>
    <w:rsid w:val="00ED42D4"/>
    <w:rsid w:val="00ED4A97"/>
    <w:rsid w:val="00ED51DE"/>
    <w:rsid w:val="00ED5495"/>
    <w:rsid w:val="00ED6121"/>
    <w:rsid w:val="00ED63A3"/>
    <w:rsid w:val="00ED6602"/>
    <w:rsid w:val="00ED6BF0"/>
    <w:rsid w:val="00ED727F"/>
    <w:rsid w:val="00ED73F2"/>
    <w:rsid w:val="00ED7435"/>
    <w:rsid w:val="00ED7633"/>
    <w:rsid w:val="00EE030A"/>
    <w:rsid w:val="00EE0528"/>
    <w:rsid w:val="00EE1EF7"/>
    <w:rsid w:val="00EE24C7"/>
    <w:rsid w:val="00EE28AD"/>
    <w:rsid w:val="00EE29CF"/>
    <w:rsid w:val="00EE3670"/>
    <w:rsid w:val="00EE36C8"/>
    <w:rsid w:val="00EE3F21"/>
    <w:rsid w:val="00EE4707"/>
    <w:rsid w:val="00EE4900"/>
    <w:rsid w:val="00EE495D"/>
    <w:rsid w:val="00EE5400"/>
    <w:rsid w:val="00EE54C0"/>
    <w:rsid w:val="00EE56A9"/>
    <w:rsid w:val="00EE5B9C"/>
    <w:rsid w:val="00EE5DDE"/>
    <w:rsid w:val="00EE5EE7"/>
    <w:rsid w:val="00EE6F41"/>
    <w:rsid w:val="00EF0524"/>
    <w:rsid w:val="00EF11CE"/>
    <w:rsid w:val="00EF178F"/>
    <w:rsid w:val="00EF19A7"/>
    <w:rsid w:val="00EF2176"/>
    <w:rsid w:val="00EF2337"/>
    <w:rsid w:val="00EF3308"/>
    <w:rsid w:val="00EF3403"/>
    <w:rsid w:val="00EF3FF3"/>
    <w:rsid w:val="00EF414D"/>
    <w:rsid w:val="00EF418C"/>
    <w:rsid w:val="00EF45B3"/>
    <w:rsid w:val="00EF4855"/>
    <w:rsid w:val="00EF4A4B"/>
    <w:rsid w:val="00EF4CA7"/>
    <w:rsid w:val="00EF4E98"/>
    <w:rsid w:val="00EF54C1"/>
    <w:rsid w:val="00EF5610"/>
    <w:rsid w:val="00EF63E0"/>
    <w:rsid w:val="00EF64C8"/>
    <w:rsid w:val="00EF6864"/>
    <w:rsid w:val="00EF749F"/>
    <w:rsid w:val="00EF7B4D"/>
    <w:rsid w:val="00EF7BE4"/>
    <w:rsid w:val="00F0053C"/>
    <w:rsid w:val="00F0056C"/>
    <w:rsid w:val="00F012B0"/>
    <w:rsid w:val="00F01314"/>
    <w:rsid w:val="00F01D16"/>
    <w:rsid w:val="00F01D49"/>
    <w:rsid w:val="00F01FEC"/>
    <w:rsid w:val="00F020E5"/>
    <w:rsid w:val="00F021F4"/>
    <w:rsid w:val="00F026C7"/>
    <w:rsid w:val="00F027B0"/>
    <w:rsid w:val="00F02AE8"/>
    <w:rsid w:val="00F02E3C"/>
    <w:rsid w:val="00F05528"/>
    <w:rsid w:val="00F056F5"/>
    <w:rsid w:val="00F05C05"/>
    <w:rsid w:val="00F06001"/>
    <w:rsid w:val="00F06330"/>
    <w:rsid w:val="00F06614"/>
    <w:rsid w:val="00F073D4"/>
    <w:rsid w:val="00F104BC"/>
    <w:rsid w:val="00F108AA"/>
    <w:rsid w:val="00F10D9A"/>
    <w:rsid w:val="00F110C7"/>
    <w:rsid w:val="00F11157"/>
    <w:rsid w:val="00F111CB"/>
    <w:rsid w:val="00F113A0"/>
    <w:rsid w:val="00F1149D"/>
    <w:rsid w:val="00F11C26"/>
    <w:rsid w:val="00F12914"/>
    <w:rsid w:val="00F133D7"/>
    <w:rsid w:val="00F1345F"/>
    <w:rsid w:val="00F13BC2"/>
    <w:rsid w:val="00F14A71"/>
    <w:rsid w:val="00F14A8D"/>
    <w:rsid w:val="00F14C77"/>
    <w:rsid w:val="00F14C97"/>
    <w:rsid w:val="00F14FC9"/>
    <w:rsid w:val="00F15057"/>
    <w:rsid w:val="00F1524F"/>
    <w:rsid w:val="00F156BE"/>
    <w:rsid w:val="00F15A2F"/>
    <w:rsid w:val="00F15E8B"/>
    <w:rsid w:val="00F15EF9"/>
    <w:rsid w:val="00F162C9"/>
    <w:rsid w:val="00F17487"/>
    <w:rsid w:val="00F17C9C"/>
    <w:rsid w:val="00F200AC"/>
    <w:rsid w:val="00F20713"/>
    <w:rsid w:val="00F2089D"/>
    <w:rsid w:val="00F20B53"/>
    <w:rsid w:val="00F2112B"/>
    <w:rsid w:val="00F2133F"/>
    <w:rsid w:val="00F2199E"/>
    <w:rsid w:val="00F21CB6"/>
    <w:rsid w:val="00F2224E"/>
    <w:rsid w:val="00F22B7A"/>
    <w:rsid w:val="00F2418D"/>
    <w:rsid w:val="00F2430D"/>
    <w:rsid w:val="00F254BB"/>
    <w:rsid w:val="00F2585C"/>
    <w:rsid w:val="00F26DEC"/>
    <w:rsid w:val="00F27451"/>
    <w:rsid w:val="00F27B81"/>
    <w:rsid w:val="00F27DDC"/>
    <w:rsid w:val="00F300DD"/>
    <w:rsid w:val="00F316E6"/>
    <w:rsid w:val="00F31742"/>
    <w:rsid w:val="00F322EB"/>
    <w:rsid w:val="00F328A4"/>
    <w:rsid w:val="00F33507"/>
    <w:rsid w:val="00F34431"/>
    <w:rsid w:val="00F344CE"/>
    <w:rsid w:val="00F344FF"/>
    <w:rsid w:val="00F3486E"/>
    <w:rsid w:val="00F34A0B"/>
    <w:rsid w:val="00F35147"/>
    <w:rsid w:val="00F3548F"/>
    <w:rsid w:val="00F35D52"/>
    <w:rsid w:val="00F36851"/>
    <w:rsid w:val="00F36D0B"/>
    <w:rsid w:val="00F377A1"/>
    <w:rsid w:val="00F37C01"/>
    <w:rsid w:val="00F40BE7"/>
    <w:rsid w:val="00F40C08"/>
    <w:rsid w:val="00F40F60"/>
    <w:rsid w:val="00F416FF"/>
    <w:rsid w:val="00F41873"/>
    <w:rsid w:val="00F41C30"/>
    <w:rsid w:val="00F421ED"/>
    <w:rsid w:val="00F4248F"/>
    <w:rsid w:val="00F424F8"/>
    <w:rsid w:val="00F43438"/>
    <w:rsid w:val="00F43609"/>
    <w:rsid w:val="00F4366F"/>
    <w:rsid w:val="00F436C9"/>
    <w:rsid w:val="00F43D0D"/>
    <w:rsid w:val="00F43E98"/>
    <w:rsid w:val="00F44427"/>
    <w:rsid w:val="00F448CC"/>
    <w:rsid w:val="00F44AE3"/>
    <w:rsid w:val="00F4590A"/>
    <w:rsid w:val="00F46032"/>
    <w:rsid w:val="00F463AE"/>
    <w:rsid w:val="00F463DD"/>
    <w:rsid w:val="00F4670F"/>
    <w:rsid w:val="00F468CE"/>
    <w:rsid w:val="00F46EB6"/>
    <w:rsid w:val="00F47C05"/>
    <w:rsid w:val="00F50824"/>
    <w:rsid w:val="00F50A01"/>
    <w:rsid w:val="00F50DEC"/>
    <w:rsid w:val="00F517DD"/>
    <w:rsid w:val="00F51828"/>
    <w:rsid w:val="00F51AE4"/>
    <w:rsid w:val="00F51FCD"/>
    <w:rsid w:val="00F5238A"/>
    <w:rsid w:val="00F5328E"/>
    <w:rsid w:val="00F53429"/>
    <w:rsid w:val="00F53F5A"/>
    <w:rsid w:val="00F5421D"/>
    <w:rsid w:val="00F54352"/>
    <w:rsid w:val="00F5470A"/>
    <w:rsid w:val="00F551B4"/>
    <w:rsid w:val="00F552D3"/>
    <w:rsid w:val="00F554C6"/>
    <w:rsid w:val="00F558E6"/>
    <w:rsid w:val="00F55960"/>
    <w:rsid w:val="00F559CA"/>
    <w:rsid w:val="00F5618E"/>
    <w:rsid w:val="00F5665D"/>
    <w:rsid w:val="00F57196"/>
    <w:rsid w:val="00F57F5A"/>
    <w:rsid w:val="00F57FC0"/>
    <w:rsid w:val="00F609FF"/>
    <w:rsid w:val="00F60C9E"/>
    <w:rsid w:val="00F60CD8"/>
    <w:rsid w:val="00F61C11"/>
    <w:rsid w:val="00F62F77"/>
    <w:rsid w:val="00F6328F"/>
    <w:rsid w:val="00F63351"/>
    <w:rsid w:val="00F64717"/>
    <w:rsid w:val="00F648AA"/>
    <w:rsid w:val="00F658E2"/>
    <w:rsid w:val="00F66153"/>
    <w:rsid w:val="00F66BD1"/>
    <w:rsid w:val="00F6730D"/>
    <w:rsid w:val="00F67490"/>
    <w:rsid w:val="00F7020F"/>
    <w:rsid w:val="00F703CE"/>
    <w:rsid w:val="00F703D0"/>
    <w:rsid w:val="00F71035"/>
    <w:rsid w:val="00F710FB"/>
    <w:rsid w:val="00F71223"/>
    <w:rsid w:val="00F72116"/>
    <w:rsid w:val="00F72DF3"/>
    <w:rsid w:val="00F7305F"/>
    <w:rsid w:val="00F73689"/>
    <w:rsid w:val="00F73B45"/>
    <w:rsid w:val="00F743C9"/>
    <w:rsid w:val="00F74543"/>
    <w:rsid w:val="00F74902"/>
    <w:rsid w:val="00F74B9A"/>
    <w:rsid w:val="00F755EB"/>
    <w:rsid w:val="00F756E8"/>
    <w:rsid w:val="00F756E9"/>
    <w:rsid w:val="00F7571B"/>
    <w:rsid w:val="00F760F2"/>
    <w:rsid w:val="00F76587"/>
    <w:rsid w:val="00F76845"/>
    <w:rsid w:val="00F76F0D"/>
    <w:rsid w:val="00F77030"/>
    <w:rsid w:val="00F772FE"/>
    <w:rsid w:val="00F777B6"/>
    <w:rsid w:val="00F77C7E"/>
    <w:rsid w:val="00F77F60"/>
    <w:rsid w:val="00F80673"/>
    <w:rsid w:val="00F80838"/>
    <w:rsid w:val="00F8092A"/>
    <w:rsid w:val="00F80BB4"/>
    <w:rsid w:val="00F80E84"/>
    <w:rsid w:val="00F81482"/>
    <w:rsid w:val="00F82646"/>
    <w:rsid w:val="00F8285E"/>
    <w:rsid w:val="00F835AC"/>
    <w:rsid w:val="00F83A36"/>
    <w:rsid w:val="00F83B6B"/>
    <w:rsid w:val="00F84CA4"/>
    <w:rsid w:val="00F85146"/>
    <w:rsid w:val="00F854C5"/>
    <w:rsid w:val="00F86685"/>
    <w:rsid w:val="00F86A93"/>
    <w:rsid w:val="00F86AD3"/>
    <w:rsid w:val="00F86E29"/>
    <w:rsid w:val="00F8757F"/>
    <w:rsid w:val="00F903F0"/>
    <w:rsid w:val="00F90636"/>
    <w:rsid w:val="00F906CD"/>
    <w:rsid w:val="00F90804"/>
    <w:rsid w:val="00F91074"/>
    <w:rsid w:val="00F91CA0"/>
    <w:rsid w:val="00F9242E"/>
    <w:rsid w:val="00F9269A"/>
    <w:rsid w:val="00F92C6F"/>
    <w:rsid w:val="00F9331C"/>
    <w:rsid w:val="00F936A7"/>
    <w:rsid w:val="00F93C01"/>
    <w:rsid w:val="00F940B5"/>
    <w:rsid w:val="00F95AC1"/>
    <w:rsid w:val="00F96158"/>
    <w:rsid w:val="00F962D2"/>
    <w:rsid w:val="00F9662C"/>
    <w:rsid w:val="00F96747"/>
    <w:rsid w:val="00F9680A"/>
    <w:rsid w:val="00F96D7E"/>
    <w:rsid w:val="00F97DC5"/>
    <w:rsid w:val="00FA01F9"/>
    <w:rsid w:val="00FA04DF"/>
    <w:rsid w:val="00FA06B6"/>
    <w:rsid w:val="00FA074D"/>
    <w:rsid w:val="00FA07ED"/>
    <w:rsid w:val="00FA0E5E"/>
    <w:rsid w:val="00FA1008"/>
    <w:rsid w:val="00FA18E3"/>
    <w:rsid w:val="00FA191B"/>
    <w:rsid w:val="00FA2DD8"/>
    <w:rsid w:val="00FA2E2A"/>
    <w:rsid w:val="00FA2F2D"/>
    <w:rsid w:val="00FA30AF"/>
    <w:rsid w:val="00FA37D5"/>
    <w:rsid w:val="00FA3C08"/>
    <w:rsid w:val="00FA4256"/>
    <w:rsid w:val="00FA42D4"/>
    <w:rsid w:val="00FA4615"/>
    <w:rsid w:val="00FA4BBC"/>
    <w:rsid w:val="00FA4F13"/>
    <w:rsid w:val="00FA5019"/>
    <w:rsid w:val="00FA557B"/>
    <w:rsid w:val="00FA6048"/>
    <w:rsid w:val="00FA6FE5"/>
    <w:rsid w:val="00FA7558"/>
    <w:rsid w:val="00FA7A61"/>
    <w:rsid w:val="00FB019A"/>
    <w:rsid w:val="00FB1010"/>
    <w:rsid w:val="00FB13C0"/>
    <w:rsid w:val="00FB1947"/>
    <w:rsid w:val="00FB2B7D"/>
    <w:rsid w:val="00FB2D91"/>
    <w:rsid w:val="00FB2EC2"/>
    <w:rsid w:val="00FB2FDC"/>
    <w:rsid w:val="00FB30C8"/>
    <w:rsid w:val="00FB413E"/>
    <w:rsid w:val="00FB5F29"/>
    <w:rsid w:val="00FB6679"/>
    <w:rsid w:val="00FB670A"/>
    <w:rsid w:val="00FB6776"/>
    <w:rsid w:val="00FB693B"/>
    <w:rsid w:val="00FB6989"/>
    <w:rsid w:val="00FB6A99"/>
    <w:rsid w:val="00FB71B9"/>
    <w:rsid w:val="00FB77C4"/>
    <w:rsid w:val="00FC05FE"/>
    <w:rsid w:val="00FC096E"/>
    <w:rsid w:val="00FC0AD1"/>
    <w:rsid w:val="00FC0DD7"/>
    <w:rsid w:val="00FC1201"/>
    <w:rsid w:val="00FC1292"/>
    <w:rsid w:val="00FC12E2"/>
    <w:rsid w:val="00FC17B3"/>
    <w:rsid w:val="00FC1AD5"/>
    <w:rsid w:val="00FC2389"/>
    <w:rsid w:val="00FC396A"/>
    <w:rsid w:val="00FC3AB4"/>
    <w:rsid w:val="00FC486E"/>
    <w:rsid w:val="00FC60E3"/>
    <w:rsid w:val="00FC6429"/>
    <w:rsid w:val="00FC76E3"/>
    <w:rsid w:val="00FC77C6"/>
    <w:rsid w:val="00FC7F56"/>
    <w:rsid w:val="00FD00CE"/>
    <w:rsid w:val="00FD0D68"/>
    <w:rsid w:val="00FD0FEF"/>
    <w:rsid w:val="00FD1975"/>
    <w:rsid w:val="00FD25D9"/>
    <w:rsid w:val="00FD371E"/>
    <w:rsid w:val="00FD3751"/>
    <w:rsid w:val="00FD3F7C"/>
    <w:rsid w:val="00FD47B1"/>
    <w:rsid w:val="00FD48DA"/>
    <w:rsid w:val="00FD4B15"/>
    <w:rsid w:val="00FD4EA3"/>
    <w:rsid w:val="00FD5147"/>
    <w:rsid w:val="00FD5DFA"/>
    <w:rsid w:val="00FD5EED"/>
    <w:rsid w:val="00FD61E7"/>
    <w:rsid w:val="00FD6ACF"/>
    <w:rsid w:val="00FD6D8E"/>
    <w:rsid w:val="00FD70A7"/>
    <w:rsid w:val="00FD7325"/>
    <w:rsid w:val="00FD7D87"/>
    <w:rsid w:val="00FE0072"/>
    <w:rsid w:val="00FE01B4"/>
    <w:rsid w:val="00FE032C"/>
    <w:rsid w:val="00FE063A"/>
    <w:rsid w:val="00FE0E60"/>
    <w:rsid w:val="00FE1313"/>
    <w:rsid w:val="00FE21E2"/>
    <w:rsid w:val="00FE3A1A"/>
    <w:rsid w:val="00FE3AB4"/>
    <w:rsid w:val="00FE3AE4"/>
    <w:rsid w:val="00FE43FB"/>
    <w:rsid w:val="00FE49A5"/>
    <w:rsid w:val="00FE4B89"/>
    <w:rsid w:val="00FE5217"/>
    <w:rsid w:val="00FE54F5"/>
    <w:rsid w:val="00FE6332"/>
    <w:rsid w:val="00FE746F"/>
    <w:rsid w:val="00FF05B1"/>
    <w:rsid w:val="00FF1055"/>
    <w:rsid w:val="00FF1440"/>
    <w:rsid w:val="00FF1615"/>
    <w:rsid w:val="00FF178A"/>
    <w:rsid w:val="00FF2570"/>
    <w:rsid w:val="00FF312C"/>
    <w:rsid w:val="00FF31A8"/>
    <w:rsid w:val="00FF35E3"/>
    <w:rsid w:val="00FF37FA"/>
    <w:rsid w:val="00FF3910"/>
    <w:rsid w:val="00FF3C22"/>
    <w:rsid w:val="00FF4515"/>
    <w:rsid w:val="00FF4548"/>
    <w:rsid w:val="00FF4DF8"/>
    <w:rsid w:val="00FF5942"/>
    <w:rsid w:val="00FF5ABE"/>
    <w:rsid w:val="00FF6299"/>
    <w:rsid w:val="00FF70AF"/>
    <w:rsid w:val="00FF7B9D"/>
    <w:rsid w:val="04ED243E"/>
    <w:rsid w:val="0C58C0F2"/>
    <w:rsid w:val="12ADD553"/>
    <w:rsid w:val="17A2D43F"/>
    <w:rsid w:val="3C3B5003"/>
    <w:rsid w:val="3EE6AFE7"/>
    <w:rsid w:val="481D62E6"/>
    <w:rsid w:val="4AAEFB01"/>
    <w:rsid w:val="53808C82"/>
    <w:rsid w:val="55D91648"/>
    <w:rsid w:val="62A5CBBA"/>
    <w:rsid w:val="6EC11621"/>
    <w:rsid w:val="784D6F44"/>
    <w:rsid w:val="7A5604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3249">
      <o:colormru v:ext="edit" colors="#eaeaea,#f8f8f8"/>
    </o:shapedefaults>
    <o:shapelayout v:ext="edit">
      <o:idmap v:ext="edit" data="1"/>
    </o:shapelayout>
  </w:shapeDefaults>
  <w:decimalSymbol w:val=","/>
  <w:listSeparator w:val=";"/>
  <w14:docId w14:val="6275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C0249D"/>
    <w:rPr>
      <w:rFonts w:ascii="Verdana" w:hAnsi="Verdana"/>
      <w:lang w:val="en-GB" w:eastAsia="de-DE"/>
    </w:rPr>
  </w:style>
  <w:style w:type="paragraph" w:styleId="berschrift1">
    <w:name w:val="heading 1"/>
    <w:next w:val="Absatz"/>
    <w:link w:val="berschrift1Zchn"/>
    <w:qFormat/>
    <w:rsid w:val="00D52FF7"/>
    <w:pPr>
      <w:keepNext/>
      <w:numPr>
        <w:numId w:val="3"/>
      </w:numPr>
      <w:spacing w:after="360"/>
      <w:outlineLvl w:val="0"/>
    </w:pPr>
    <w:rPr>
      <w:rFonts w:ascii="Verdana" w:hAnsi="Verdana"/>
      <w:b/>
      <w:caps/>
      <w:sz w:val="28"/>
      <w:lang w:val="de-DE" w:eastAsia="de-DE"/>
    </w:rPr>
  </w:style>
  <w:style w:type="paragraph" w:styleId="berschrift2">
    <w:name w:val="heading 2"/>
    <w:basedOn w:val="berschrift1"/>
    <w:next w:val="Absatz"/>
    <w:link w:val="berschrift2Zchn"/>
    <w:autoRedefine/>
    <w:qFormat/>
    <w:rsid w:val="00E4432B"/>
    <w:pPr>
      <w:numPr>
        <w:ilvl w:val="1"/>
      </w:numPr>
      <w:tabs>
        <w:tab w:val="left" w:pos="1134"/>
      </w:tabs>
      <w:outlineLvl w:val="1"/>
    </w:pPr>
    <w:rPr>
      <w:rFonts w:eastAsia="Calibri"/>
      <w:color w:val="000000" w:themeColor="text1"/>
      <w:sz w:val="24"/>
      <w:lang w:eastAsia="en-US"/>
    </w:rPr>
  </w:style>
  <w:style w:type="paragraph" w:styleId="berschrift3">
    <w:name w:val="heading 3"/>
    <w:basedOn w:val="berschrift1"/>
    <w:next w:val="Absatz"/>
    <w:link w:val="berschrift3Zchn"/>
    <w:qFormat/>
    <w:rsid w:val="00615C12"/>
    <w:pPr>
      <w:numPr>
        <w:ilvl w:val="2"/>
      </w:numPr>
      <w:spacing w:after="240"/>
      <w:outlineLvl w:val="2"/>
    </w:pPr>
    <w:rPr>
      <w:i/>
      <w:caps w:val="0"/>
      <w:sz w:val="22"/>
    </w:rPr>
  </w:style>
  <w:style w:type="paragraph" w:styleId="berschrift4">
    <w:name w:val="heading 4"/>
    <w:basedOn w:val="berschrift1"/>
    <w:next w:val="Absatz"/>
    <w:link w:val="berschrift4Zchn"/>
    <w:autoRedefine/>
    <w:qFormat/>
    <w:rsid w:val="00BD7FBF"/>
    <w:pPr>
      <w:numPr>
        <w:numId w:val="6"/>
      </w:numPr>
      <w:spacing w:after="240"/>
      <w:jc w:val="both"/>
      <w:outlineLvl w:val="3"/>
    </w:pPr>
    <w:rPr>
      <w:rFonts w:eastAsia="Calibri"/>
      <w:i/>
      <w:sz w:val="22"/>
      <w:szCs w:val="22"/>
      <w:lang w:eastAsia="en-US"/>
    </w:rPr>
  </w:style>
  <w:style w:type="paragraph" w:styleId="berschrift5">
    <w:name w:val="heading 5"/>
    <w:aliases w:val="Überschrift 4a"/>
    <w:basedOn w:val="berschrift1"/>
    <w:next w:val="Absatz"/>
    <w:link w:val="berschrift5Zchn"/>
    <w:qFormat/>
    <w:pPr>
      <w:numPr>
        <w:ilvl w:val="4"/>
      </w:numPr>
      <w:spacing w:after="255" w:line="255" w:lineRule="exact"/>
      <w:outlineLvl w:val="4"/>
    </w:pPr>
    <w:rPr>
      <w:b w:val="0"/>
      <w:caps w:val="0"/>
      <w:sz w:val="22"/>
    </w:rPr>
  </w:style>
  <w:style w:type="paragraph" w:styleId="berschrift6">
    <w:name w:val="heading 6"/>
    <w:basedOn w:val="berschrift1"/>
    <w:next w:val="Absatz"/>
    <w:link w:val="berschrift6Zchn"/>
    <w:qFormat/>
    <w:pPr>
      <w:numPr>
        <w:ilvl w:val="5"/>
      </w:numPr>
      <w:spacing w:after="255" w:line="255" w:lineRule="exact"/>
      <w:outlineLvl w:val="5"/>
    </w:pPr>
    <w:rPr>
      <w:b w:val="0"/>
      <w:sz w:val="22"/>
    </w:rPr>
  </w:style>
  <w:style w:type="paragraph" w:styleId="berschrift7">
    <w:name w:val="heading 7"/>
    <w:basedOn w:val="berschrift1"/>
    <w:next w:val="Absatz"/>
    <w:link w:val="berschrift7Zchn"/>
    <w:qFormat/>
    <w:pPr>
      <w:numPr>
        <w:ilvl w:val="6"/>
      </w:numPr>
      <w:spacing w:after="255" w:line="255" w:lineRule="exact"/>
      <w:outlineLvl w:val="6"/>
    </w:pPr>
    <w:rPr>
      <w:b w:val="0"/>
      <w:sz w:val="22"/>
    </w:rPr>
  </w:style>
  <w:style w:type="paragraph" w:styleId="berschrift8">
    <w:name w:val="heading 8"/>
    <w:basedOn w:val="berschrift1"/>
    <w:next w:val="Absatz"/>
    <w:link w:val="berschrift8Zchn"/>
    <w:qFormat/>
    <w:pPr>
      <w:numPr>
        <w:ilvl w:val="7"/>
      </w:numPr>
      <w:spacing w:after="255" w:line="255" w:lineRule="exact"/>
      <w:outlineLvl w:val="7"/>
    </w:pPr>
    <w:rPr>
      <w:b w:val="0"/>
      <w:sz w:val="22"/>
    </w:rPr>
  </w:style>
  <w:style w:type="paragraph" w:styleId="berschrift9">
    <w:name w:val="heading 9"/>
    <w:basedOn w:val="berschrift1"/>
    <w:next w:val="Absatz"/>
    <w:link w:val="berschrift9Zchn"/>
    <w:qFormat/>
    <w:pPr>
      <w:numPr>
        <w:ilvl w:val="8"/>
      </w:numPr>
      <w:spacing w:after="255" w:line="255" w:lineRule="exact"/>
      <w:outlineLvl w:val="8"/>
    </w:pPr>
    <w:rPr>
      <w:b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link w:val="AbsatzZchn"/>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Kopfzeile">
    <w:name w:val="header"/>
    <w:aliases w:val="header protocols,Header 1"/>
    <w:link w:val="KopfzeileZchn"/>
    <w:pPr>
      <w:tabs>
        <w:tab w:val="center" w:pos="4536"/>
        <w:tab w:val="right" w:pos="9072"/>
      </w:tabs>
    </w:pPr>
    <w:rPr>
      <w:sz w:val="22"/>
      <w:lang w:val="de-DE" w:eastAsia="de-DE"/>
    </w:rPr>
  </w:style>
  <w:style w:type="paragraph" w:styleId="Fuzeile">
    <w:name w:val="footer"/>
    <w:basedOn w:val="Standard"/>
    <w:link w:val="FuzeileZchn"/>
    <w:uiPriority w:val="99"/>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Standard"/>
    <w:pPr>
      <w:spacing w:line="255" w:lineRule="exact"/>
    </w:pPr>
    <w:rPr>
      <w:rFonts w:ascii="Times New Roman" w:hAnsi="Times New Roman"/>
      <w:b/>
    </w:rPr>
  </w:style>
  <w:style w:type="paragraph" w:customStyle="1" w:styleId="Strich-Liste">
    <w:name w:val="Strich-Liste"/>
    <w:basedOn w:val="Standard"/>
    <w:pPr>
      <w:spacing w:line="255" w:lineRule="exact"/>
      <w:ind w:left="2013" w:hanging="284"/>
    </w:pPr>
  </w:style>
  <w:style w:type="paragraph" w:customStyle="1" w:styleId="Punkt-Liste">
    <w:name w:val="Punkt-Liste"/>
    <w:basedOn w:val="Standard"/>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Standard"/>
    <w:pPr>
      <w:spacing w:line="255" w:lineRule="exact"/>
      <w:ind w:left="3458" w:hanging="1729"/>
    </w:pPr>
  </w:style>
  <w:style w:type="paragraph" w:customStyle="1" w:styleId="berschriftimText">
    <w:name w:val="Überschrift im Text"/>
    <w:basedOn w:val="Standard"/>
    <w:next w:val="Absatz"/>
    <w:pPr>
      <w:spacing w:after="255" w:line="255" w:lineRule="exact"/>
      <w:ind w:left="1729"/>
    </w:pPr>
    <w:rPr>
      <w:b/>
      <w:u w:val="single"/>
    </w:rPr>
  </w:style>
  <w:style w:type="paragraph" w:customStyle="1" w:styleId="Einrckung">
    <w:name w:val="Einrückung"/>
    <w:basedOn w:val="Standard"/>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Standard"/>
    <w:next w:val="Standard"/>
    <w:semiHidden/>
    <w:pPr>
      <w:spacing w:line="198" w:lineRule="exact"/>
      <w:ind w:left="221" w:hanging="221"/>
    </w:pPr>
    <w:rPr>
      <w:rFonts w:ascii="Times New Roman" w:hAnsi="Times New Roman"/>
    </w:rPr>
  </w:style>
  <w:style w:type="paragraph" w:customStyle="1" w:styleId="berschriftAS">
    <w:name w:val="Überschrift AS"/>
    <w:basedOn w:val="Standard"/>
    <w:next w:val="Standard"/>
    <w:pPr>
      <w:keepNext/>
      <w:spacing w:after="1020" w:line="383" w:lineRule="exact"/>
    </w:pPr>
    <w:rPr>
      <w:sz w:val="30"/>
    </w:rPr>
  </w:style>
  <w:style w:type="paragraph" w:customStyle="1" w:styleId="Abkrzungen">
    <w:name w:val="Abkürzungen"/>
    <w:basedOn w:val="Standard"/>
    <w:pPr>
      <w:spacing w:line="255" w:lineRule="exact"/>
    </w:pPr>
    <w:rPr>
      <w:rFonts w:ascii="Times New Roman" w:hAnsi="Times New Roman"/>
    </w:rPr>
  </w:style>
  <w:style w:type="paragraph" w:customStyle="1" w:styleId="HalbeLeerzeile">
    <w:name w:val="Halbe Leerzeile"/>
    <w:basedOn w:val="Standard"/>
    <w:pPr>
      <w:spacing w:line="128" w:lineRule="exact"/>
      <w:ind w:left="1729"/>
    </w:pPr>
    <w:rPr>
      <w:rFonts w:ascii="Times New Roman" w:hAnsi="Times New Roman"/>
      <w:sz w:val="16"/>
    </w:rPr>
  </w:style>
  <w:style w:type="paragraph" w:styleId="Index2">
    <w:name w:val="index 2"/>
    <w:basedOn w:val="Index1"/>
    <w:next w:val="Standard"/>
    <w:semiHidden/>
    <w:pPr>
      <w:ind w:left="442"/>
    </w:pPr>
  </w:style>
  <w:style w:type="paragraph" w:styleId="Indexberschrift">
    <w:name w:val="index heading"/>
    <w:basedOn w:val="Standard"/>
    <w:next w:val="Index1"/>
    <w:semiHidden/>
    <w:pPr>
      <w:spacing w:line="198" w:lineRule="exact"/>
    </w:pPr>
    <w:rPr>
      <w:rFonts w:ascii="Times New Roman" w:hAnsi="Times New Roman"/>
      <w:b/>
    </w:rPr>
  </w:style>
  <w:style w:type="paragraph" w:styleId="Verzeichnis1">
    <w:name w:val="toc 1"/>
    <w:next w:val="Standard"/>
    <w:uiPriority w:val="39"/>
    <w:qFormat/>
    <w:rsid w:val="00FF37FA"/>
    <w:pPr>
      <w:spacing w:before="360"/>
    </w:pPr>
    <w:rPr>
      <w:rFonts w:asciiTheme="majorHAnsi" w:hAnsiTheme="majorHAnsi"/>
      <w:b/>
      <w:bCs/>
      <w:caps/>
      <w:sz w:val="24"/>
      <w:szCs w:val="24"/>
      <w:lang w:val="en-GB" w:eastAsia="de-DE"/>
    </w:rPr>
  </w:style>
  <w:style w:type="paragraph" w:styleId="Verzeichnis2">
    <w:name w:val="toc 2"/>
    <w:next w:val="Standard"/>
    <w:uiPriority w:val="39"/>
    <w:qFormat/>
    <w:rsid w:val="006F067B"/>
    <w:pPr>
      <w:spacing w:before="240"/>
    </w:pPr>
    <w:rPr>
      <w:rFonts w:asciiTheme="minorHAnsi" w:hAnsiTheme="minorHAnsi"/>
      <w:b/>
      <w:bCs/>
      <w:lang w:val="en-GB" w:eastAsia="de-DE"/>
    </w:rPr>
  </w:style>
  <w:style w:type="paragraph" w:styleId="Verzeichnis3">
    <w:name w:val="toc 3"/>
    <w:basedOn w:val="Verzeichnis2"/>
    <w:next w:val="Standard"/>
    <w:uiPriority w:val="39"/>
    <w:qFormat/>
    <w:rsid w:val="006F067B"/>
    <w:pPr>
      <w:spacing w:before="0"/>
      <w:ind w:left="200"/>
    </w:pPr>
    <w:rPr>
      <w:b w:val="0"/>
      <w:bCs w:val="0"/>
    </w:rPr>
  </w:style>
  <w:style w:type="paragraph" w:styleId="Verzeichnis4">
    <w:name w:val="toc 4"/>
    <w:basedOn w:val="Verzeichnis2"/>
    <w:next w:val="Standard"/>
    <w:uiPriority w:val="39"/>
    <w:pPr>
      <w:spacing w:before="0"/>
      <w:ind w:left="400"/>
    </w:pPr>
    <w:rPr>
      <w:b w:val="0"/>
      <w:bCs w:val="0"/>
    </w:rPr>
  </w:style>
  <w:style w:type="paragraph" w:styleId="Verzeichnis5">
    <w:name w:val="toc 5"/>
    <w:basedOn w:val="Verzeichnis2"/>
    <w:next w:val="Standard"/>
    <w:uiPriority w:val="39"/>
    <w:pPr>
      <w:spacing w:before="0"/>
      <w:ind w:left="600"/>
    </w:pPr>
    <w:rPr>
      <w:b w:val="0"/>
      <w:bCs w:val="0"/>
    </w:rPr>
  </w:style>
  <w:style w:type="paragraph" w:styleId="Verzeichnis6">
    <w:name w:val="toc 6"/>
    <w:basedOn w:val="Verzeichnis2"/>
    <w:next w:val="Standard"/>
    <w:uiPriority w:val="39"/>
    <w:pPr>
      <w:spacing w:before="0"/>
      <w:ind w:left="800"/>
    </w:pPr>
    <w:rPr>
      <w:b w:val="0"/>
      <w:bCs w:val="0"/>
    </w:rPr>
  </w:style>
  <w:style w:type="paragraph" w:styleId="Verzeichnis7">
    <w:name w:val="toc 7"/>
    <w:basedOn w:val="Verzeichnis2"/>
    <w:next w:val="Standard"/>
    <w:uiPriority w:val="39"/>
    <w:pPr>
      <w:spacing w:before="0"/>
      <w:ind w:left="1000"/>
    </w:pPr>
    <w:rPr>
      <w:b w:val="0"/>
      <w:bCs w:val="0"/>
    </w:rPr>
  </w:style>
  <w:style w:type="paragraph" w:styleId="Verzeichnis8">
    <w:name w:val="toc 8"/>
    <w:basedOn w:val="Verzeichnis2"/>
    <w:next w:val="Standard"/>
    <w:uiPriority w:val="39"/>
    <w:pPr>
      <w:spacing w:before="0"/>
      <w:ind w:left="1200"/>
    </w:pPr>
    <w:rPr>
      <w:b w:val="0"/>
      <w:bCs w:val="0"/>
    </w:rPr>
  </w:style>
  <w:style w:type="paragraph" w:styleId="Verzeichnis9">
    <w:name w:val="toc 9"/>
    <w:basedOn w:val="Verzeichnis2"/>
    <w:next w:val="Standard"/>
    <w:uiPriority w:val="39"/>
    <w:pPr>
      <w:spacing w:before="0"/>
      <w:ind w:left="1400"/>
    </w:pPr>
    <w:rPr>
      <w:b w:val="0"/>
      <w:bCs w:val="0"/>
    </w:rPr>
  </w:style>
  <w:style w:type="paragraph" w:customStyle="1" w:styleId="Gliederungslinie">
    <w:name w:val="Gliederungslinie"/>
    <w:basedOn w:val="Standard"/>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ste">
    <w:name w:val="List"/>
    <w:basedOn w:val="Standard"/>
    <w:pPr>
      <w:spacing w:after="255" w:line="255" w:lineRule="exact"/>
      <w:ind w:left="2013" w:hanging="284"/>
    </w:pPr>
    <w:rPr>
      <w:rFonts w:ascii="Times New Roman" w:hAnsi="Times New Roman"/>
    </w:rPr>
  </w:style>
  <w:style w:type="paragraph" w:customStyle="1" w:styleId="berschriftInhalt">
    <w:name w:val="Überschrift Inhalt"/>
    <w:basedOn w:val="Standard"/>
    <w:next w:val="Standard"/>
    <w:pPr>
      <w:keepNext/>
      <w:spacing w:after="1020" w:line="383" w:lineRule="exact"/>
    </w:pPr>
    <w:rPr>
      <w:sz w:val="30"/>
    </w:rPr>
  </w:style>
  <w:style w:type="paragraph" w:styleId="Funotentext">
    <w:name w:val="footnote text"/>
    <w:basedOn w:val="Standard"/>
    <w:link w:val="FunotentextZchn"/>
    <w:uiPriority w:val="99"/>
    <w:semiHidden/>
    <w:pPr>
      <w:ind w:left="284" w:hanging="284"/>
    </w:pPr>
    <w:rPr>
      <w:position w:val="4"/>
    </w:rPr>
  </w:style>
  <w:style w:type="character" w:styleId="Funotenzeichen">
    <w:name w:val="footnote reference"/>
    <w:uiPriority w:val="99"/>
    <w:rPr>
      <w:position w:val="8"/>
      <w:sz w:val="16"/>
    </w:rPr>
  </w:style>
  <w:style w:type="paragraph" w:styleId="Endnotentext">
    <w:name w:val="endnote text"/>
    <w:basedOn w:val="Standard"/>
    <w:semiHidden/>
    <w:pPr>
      <w:spacing w:line="198" w:lineRule="exact"/>
      <w:ind w:left="284" w:hanging="284"/>
    </w:pPr>
    <w:rPr>
      <w:rFonts w:ascii="Times New Roman" w:hAnsi="Times New Roman"/>
      <w:position w:val="4"/>
    </w:rPr>
  </w:style>
  <w:style w:type="character" w:styleId="Endnotenzeichen">
    <w:name w:val="endnote reference"/>
    <w:semiHidden/>
    <w:rPr>
      <w:position w:val="8"/>
      <w:sz w:val="16"/>
    </w:rPr>
  </w:style>
  <w:style w:type="paragraph" w:customStyle="1" w:styleId="AbsatzohneAbstandnach">
    <w:name w:val="Absatz ohne Abstand nach"/>
    <w:basedOn w:val="Absatz"/>
  </w:style>
  <w:style w:type="paragraph" w:customStyle="1" w:styleId="Bildunterschrift">
    <w:name w:val="Bildunterschrift"/>
    <w:basedOn w:val="Standard"/>
    <w:pPr>
      <w:spacing w:line="198" w:lineRule="exact"/>
    </w:pPr>
    <w:rPr>
      <w:rFonts w:ascii="Times New Roman" w:hAnsi="Times New Roman"/>
    </w:rPr>
  </w:style>
  <w:style w:type="paragraph" w:styleId="Abbildungsverzeichnis">
    <w:name w:val="table of figures"/>
    <w:basedOn w:val="Standard"/>
    <w:next w:val="Standard"/>
    <w:semiHidden/>
    <w:pPr>
      <w:tabs>
        <w:tab w:val="right" w:pos="9214"/>
      </w:tabs>
      <w:spacing w:line="255" w:lineRule="exact"/>
      <w:ind w:left="1729"/>
    </w:pPr>
    <w:rPr>
      <w:rFonts w:ascii="Times New Roman" w:hAnsi="Times New Roman"/>
    </w:rPr>
  </w:style>
  <w:style w:type="paragraph" w:styleId="Beschriftung">
    <w:name w:val="caption"/>
    <w:aliases w:val="o"/>
    <w:basedOn w:val="Standard"/>
    <w:next w:val="Absatz"/>
    <w:link w:val="BeschriftungZchn"/>
    <w:qFormat/>
    <w:pPr>
      <w:tabs>
        <w:tab w:val="left" w:pos="1418"/>
      </w:tabs>
      <w:spacing w:after="255"/>
      <w:ind w:left="1418" w:hanging="1418"/>
    </w:pPr>
    <w:rPr>
      <w:rFonts w:ascii="Times New Roman" w:hAnsi="Times New Roman"/>
    </w:rPr>
  </w:style>
  <w:style w:type="paragraph" w:customStyle="1" w:styleId="Tabellenformat">
    <w:name w:val="Tabellenformat"/>
    <w:basedOn w:val="Standard"/>
    <w:pPr>
      <w:spacing w:before="100" w:after="100"/>
    </w:pPr>
  </w:style>
  <w:style w:type="paragraph" w:styleId="Textkrper">
    <w:name w:val="Body Text"/>
    <w:basedOn w:val="Standard"/>
    <w:link w:val="TextkrperZchn"/>
  </w:style>
  <w:style w:type="character" w:styleId="Zeilennummer">
    <w:name w:val="line number"/>
    <w:basedOn w:val="Absatz-Standardschriftart"/>
  </w:style>
  <w:style w:type="character" w:styleId="Kommentarzeichen">
    <w:name w:val="annotation reference"/>
    <w:rPr>
      <w:sz w:val="16"/>
    </w:rPr>
  </w:style>
  <w:style w:type="paragraph" w:styleId="Kommentartext">
    <w:name w:val="annotation text"/>
    <w:basedOn w:val="Standard"/>
    <w:link w:val="KommentartextZchn"/>
  </w:style>
  <w:style w:type="paragraph" w:styleId="Dokumentstruktur">
    <w:name w:val="Document Map"/>
    <w:basedOn w:val="Standard"/>
    <w:semiHidden/>
    <w:pPr>
      <w:shd w:val="clear" w:color="auto" w:fill="000080"/>
    </w:pPr>
    <w:rPr>
      <w:rFonts w:ascii="Tahoma" w:hAnsi="Tahoma"/>
    </w:rPr>
  </w:style>
  <w:style w:type="character" w:styleId="Hyperlink">
    <w:name w:val="Hyperlink"/>
    <w:uiPriority w:val="99"/>
    <w:rPr>
      <w:color w:val="0000FF"/>
      <w:u w:val="single"/>
    </w:rPr>
  </w:style>
  <w:style w:type="character" w:styleId="Seitenzahl">
    <w:name w:val="page number"/>
    <w:basedOn w:val="Absatz-Standardschriftart"/>
  </w:style>
  <w:style w:type="paragraph" w:styleId="Textkrper-Zeileneinzug">
    <w:name w:val="Body Text Indent"/>
    <w:basedOn w:val="Standard"/>
    <w:pPr>
      <w:ind w:left="567"/>
    </w:pPr>
    <w:rPr>
      <w:sz w:val="24"/>
    </w:rPr>
  </w:style>
  <w:style w:type="paragraph" w:customStyle="1" w:styleId="Kopzeile-fett">
    <w:name w:val="Kopzeile-fett"/>
    <w:basedOn w:val="Kopfzeile"/>
    <w:pPr>
      <w:spacing w:after="120"/>
    </w:pPr>
    <w:rPr>
      <w:b/>
      <w:sz w:val="20"/>
    </w:rPr>
  </w:style>
  <w:style w:type="paragraph" w:styleId="Textkrper2">
    <w:name w:val="Body Text 2"/>
    <w:basedOn w:val="Standard"/>
    <w:link w:val="Textkrper2Zchn"/>
    <w:pPr>
      <w:spacing w:before="60" w:after="60"/>
    </w:pPr>
    <w:rPr>
      <w:i/>
      <w:color w:val="0000FF"/>
    </w:rPr>
  </w:style>
  <w:style w:type="paragraph" w:customStyle="1" w:styleId="Standard-fett">
    <w:name w:val="Standard-fett"/>
    <w:basedOn w:val="Standard"/>
    <w:link w:val="Standard-fettChar"/>
    <w:pPr>
      <w:spacing w:before="60" w:after="60"/>
    </w:pPr>
    <w:rPr>
      <w:b/>
    </w:rPr>
  </w:style>
  <w:style w:type="paragraph" w:customStyle="1" w:styleId="Official-Use">
    <w:name w:val="Official-Use"/>
    <w:basedOn w:val="Standard"/>
    <w:pPr>
      <w:spacing w:before="60" w:after="60"/>
      <w:jc w:val="center"/>
    </w:pPr>
    <w:rPr>
      <w:sz w:val="16"/>
    </w:rPr>
  </w:style>
  <w:style w:type="paragraph" w:customStyle="1" w:styleId="SectionHeader">
    <w:name w:val="SectionHeader"/>
    <w:basedOn w:val="Standard"/>
    <w:pPr>
      <w:spacing w:before="60" w:after="60"/>
    </w:pPr>
    <w:rPr>
      <w:b/>
      <w:sz w:val="24"/>
    </w:rPr>
  </w:style>
  <w:style w:type="paragraph" w:customStyle="1" w:styleId="Kopfzeile-fett-rechts">
    <w:name w:val="Kopfzeile-fett-rechts"/>
    <w:basedOn w:val="Kopzeile-fett"/>
    <w:pPr>
      <w:jc w:val="right"/>
    </w:pPr>
    <w:rPr>
      <w:lang w:val="en-GB"/>
    </w:rPr>
  </w:style>
  <w:style w:type="paragraph" w:styleId="Umschlagabsenderadresse">
    <w:name w:val="envelope return"/>
    <w:basedOn w:val="Standard"/>
    <w:rPr>
      <w:rFonts w:ascii="Arial" w:hAnsi="Arial"/>
    </w:rPr>
  </w:style>
  <w:style w:type="paragraph" w:styleId="Anrede">
    <w:name w:val="Salutation"/>
    <w:basedOn w:val="Standard"/>
    <w:next w:val="Standard"/>
  </w:style>
  <w:style w:type="paragraph" w:styleId="Aufzhlungszeichen">
    <w:name w:val="List Bullet"/>
    <w:basedOn w:val="Standard"/>
    <w:autoRedefine/>
    <w:pPr>
      <w:tabs>
        <w:tab w:val="num" w:pos="360"/>
      </w:tabs>
      <w:ind w:left="360" w:hanging="360"/>
    </w:pPr>
  </w:style>
  <w:style w:type="paragraph" w:styleId="Aufzhlungszeichen2">
    <w:name w:val="List Bullet 2"/>
    <w:basedOn w:val="Standard"/>
    <w:autoRedefine/>
    <w:pPr>
      <w:tabs>
        <w:tab w:val="num" w:pos="643"/>
      </w:tabs>
      <w:ind w:left="643" w:hanging="360"/>
    </w:pPr>
  </w:style>
  <w:style w:type="paragraph" w:styleId="Aufzhlungszeichen3">
    <w:name w:val="List Bullet 3"/>
    <w:basedOn w:val="Standard"/>
    <w:autoRedefine/>
    <w:pPr>
      <w:tabs>
        <w:tab w:val="num" w:pos="926"/>
      </w:tabs>
      <w:ind w:left="926" w:hanging="360"/>
    </w:pPr>
  </w:style>
  <w:style w:type="paragraph" w:styleId="Aufzhlungszeichen4">
    <w:name w:val="List Bullet 4"/>
    <w:basedOn w:val="Standard"/>
    <w:autoRedefine/>
    <w:pPr>
      <w:tabs>
        <w:tab w:val="num" w:pos="1209"/>
      </w:tabs>
      <w:ind w:left="1209" w:hanging="360"/>
    </w:pPr>
  </w:style>
  <w:style w:type="paragraph" w:styleId="Aufzhlungszeichen5">
    <w:name w:val="List Bullet 5"/>
    <w:basedOn w:val="Standard"/>
    <w:autoRedefine/>
    <w:pPr>
      <w:tabs>
        <w:tab w:val="num" w:pos="1492"/>
      </w:tabs>
      <w:ind w:left="1492" w:hanging="360"/>
    </w:pPr>
  </w:style>
  <w:style w:type="paragraph" w:styleId="Blocktext">
    <w:name w:val="Block Text"/>
    <w:basedOn w:val="Standard"/>
    <w:pPr>
      <w:ind w:left="1440" w:right="1440"/>
    </w:pPr>
  </w:style>
  <w:style w:type="paragraph" w:styleId="Datum">
    <w:name w:val="Date"/>
    <w:basedOn w:val="Standard"/>
    <w:next w:val="Standard"/>
  </w:style>
  <w:style w:type="paragraph" w:styleId="Fu-Endnotenberschrift">
    <w:name w:val="Note Heading"/>
    <w:basedOn w:val="Standard"/>
    <w:next w:val="Standard"/>
  </w:style>
  <w:style w:type="paragraph" w:styleId="Gruformel">
    <w:name w:val="Closing"/>
    <w:basedOn w:val="Standard"/>
    <w:pPr>
      <w:ind w:left="4252"/>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tabs>
        <w:tab w:val="num" w:pos="360"/>
      </w:tabs>
      <w:ind w:left="360" w:hanging="360"/>
    </w:pPr>
  </w:style>
  <w:style w:type="paragraph" w:styleId="Listennummer2">
    <w:name w:val="List Number 2"/>
    <w:basedOn w:val="Standard"/>
    <w:pPr>
      <w:tabs>
        <w:tab w:val="num" w:pos="643"/>
      </w:tabs>
      <w:ind w:left="643" w:hanging="360"/>
    </w:pPr>
  </w:style>
  <w:style w:type="paragraph" w:styleId="Listennummer3">
    <w:name w:val="List Number 3"/>
    <w:basedOn w:val="Standard"/>
    <w:pPr>
      <w:tabs>
        <w:tab w:val="num" w:pos="926"/>
      </w:tabs>
      <w:ind w:left="926" w:hanging="360"/>
    </w:pPr>
  </w:style>
  <w:style w:type="paragraph" w:styleId="Listennummer4">
    <w:name w:val="List Number 4"/>
    <w:basedOn w:val="Standard"/>
    <w:pPr>
      <w:tabs>
        <w:tab w:val="num" w:pos="1209"/>
      </w:tabs>
      <w:ind w:left="1209" w:hanging="360"/>
    </w:p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3">
    <w:name w:val="Body Text 3"/>
    <w:basedOn w:val="Standard"/>
    <w:rPr>
      <w:sz w:val="16"/>
    </w:rPr>
  </w:style>
  <w:style w:type="paragraph" w:styleId="Textkrper-Einzug2">
    <w:name w:val="Body Text Indent 2"/>
    <w:basedOn w:val="Standard"/>
    <w:link w:val="Textkrper-Einzug2Zchn"/>
    <w:pPr>
      <w:spacing w:line="480" w:lineRule="auto"/>
      <w:ind w:left="283"/>
    </w:pPr>
  </w:style>
  <w:style w:type="paragraph" w:styleId="Textkrper-Einzug3">
    <w:name w:val="Body Text Indent 3"/>
    <w:basedOn w:val="Standard"/>
    <w:pPr>
      <w:ind w:left="283"/>
    </w:pPr>
    <w:rPr>
      <w:sz w:val="16"/>
    </w:rPr>
  </w:style>
  <w:style w:type="paragraph" w:styleId="Textkrper-Erstzeileneinzug">
    <w:name w:val="Body Text First Indent"/>
    <w:basedOn w:val="Textkrper"/>
    <w:pPr>
      <w:spacing w:before="120" w:after="120" w:line="360" w:lineRule="auto"/>
      <w:ind w:firstLine="210"/>
    </w:pPr>
  </w:style>
  <w:style w:type="paragraph" w:styleId="Textkrper-Erstzeileneinzug2">
    <w:name w:val="Body Text First Indent 2"/>
    <w:basedOn w:val="Textkrper-Zeileneinzug"/>
    <w:pPr>
      <w:spacing w:before="120" w:after="120" w:line="360" w:lineRule="auto"/>
      <w:ind w:left="283" w:firstLine="210"/>
    </w:pPr>
    <w:rPr>
      <w:sz w:val="22"/>
    </w:rPr>
  </w:style>
  <w:style w:type="paragraph" w:styleId="Titel">
    <w:name w:val="Title"/>
    <w:basedOn w:val="Standard"/>
    <w:link w:val="TitelZchn"/>
    <w:qFormat/>
    <w:rsid w:val="00CB3740"/>
    <w:pPr>
      <w:spacing w:before="240" w:after="60"/>
      <w:ind w:left="1701" w:hanging="1701"/>
      <w:outlineLvl w:val="0"/>
    </w:pPr>
    <w:rPr>
      <w:rFonts w:eastAsia="Calibri"/>
      <w:b/>
      <w:kern w:val="28"/>
      <w:sz w:val="28"/>
      <w:szCs w:val="36"/>
      <w:lang w:eastAsia="en-US"/>
    </w:rPr>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Unterschrift">
    <w:name w:val="Signature"/>
    <w:basedOn w:val="Standard"/>
    <w:pPr>
      <w:ind w:left="4252"/>
    </w:pPr>
  </w:style>
  <w:style w:type="paragraph" w:styleId="Untertitel">
    <w:name w:val="Subtitle"/>
    <w:basedOn w:val="Standard"/>
    <w:link w:val="UntertitelZchn"/>
    <w:qFormat/>
    <w:rsid w:val="00D76050"/>
    <w:pPr>
      <w:spacing w:after="60"/>
      <w:outlineLvl w:val="1"/>
    </w:pPr>
    <w:rPr>
      <w:b/>
      <w:sz w:val="36"/>
      <w:szCs w:val="36"/>
    </w:rPr>
  </w:style>
  <w:style w:type="paragraph" w:styleId="RGV-berschrift">
    <w:name w:val="toa heading"/>
    <w:basedOn w:val="Standard"/>
    <w:next w:val="Standard"/>
    <w:semiHidden/>
    <w:rPr>
      <w:rFonts w:ascii="Arial" w:hAnsi="Arial"/>
      <w:b/>
      <w:sz w:val="24"/>
    </w:rPr>
  </w:style>
  <w:style w:type="paragraph" w:styleId="Rechtsgrundlagenverzeichnis">
    <w:name w:val="table of authorities"/>
    <w:basedOn w:val="Standard"/>
    <w:next w:val="Standard"/>
    <w:semiHidden/>
    <w:pPr>
      <w:ind w:left="220" w:hanging="220"/>
    </w:pPr>
  </w:style>
  <w:style w:type="paragraph" w:customStyle="1" w:styleId="QuellenangabePagina">
    <w:name w:val="Quellenangabe/Pagina"/>
    <w:basedOn w:val="Standar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Standar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Standard"/>
    <w:pPr>
      <w:keepNext/>
      <w:keepLines/>
      <w:spacing w:before="60" w:after="60"/>
    </w:pPr>
    <w:rPr>
      <w:i/>
      <w:color w:val="000000"/>
    </w:rPr>
  </w:style>
  <w:style w:type="paragraph" w:customStyle="1" w:styleId="SectionHeader-Crossref">
    <w:name w:val="SectionHeader-Crossref"/>
    <w:basedOn w:val="Standard"/>
    <w:pPr>
      <w:spacing w:before="60" w:after="60"/>
    </w:pPr>
    <w:rPr>
      <w:b/>
    </w:rPr>
  </w:style>
  <w:style w:type="paragraph" w:customStyle="1" w:styleId="Standard-kurs-rot">
    <w:name w:val="Standard-kurs-rot"/>
    <w:basedOn w:val="Standard"/>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Standard"/>
  </w:style>
  <w:style w:type="paragraph" w:customStyle="1" w:styleId="Standard-italics">
    <w:name w:val="Standard-italics"/>
    <w:basedOn w:val="Standard"/>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Standard"/>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BesuchterHyperlink">
    <w:name w:val="FollowedHyperlink"/>
    <w:rsid w:val="00314E59"/>
    <w:rPr>
      <w:color w:val="800080"/>
      <w:u w:val="single"/>
    </w:rPr>
  </w:style>
  <w:style w:type="paragraph" w:styleId="Sprechblasentext">
    <w:name w:val="Balloon Text"/>
    <w:basedOn w:val="Standard"/>
    <w:link w:val="SprechblasentextZchn"/>
    <w:rsid w:val="00B26DCE"/>
    <w:rPr>
      <w:rFonts w:ascii="Tahoma" w:hAnsi="Tahoma" w:cs="Tahoma"/>
      <w:sz w:val="16"/>
      <w:szCs w:val="16"/>
    </w:rPr>
  </w:style>
  <w:style w:type="character" w:customStyle="1" w:styleId="SprechblasentextZchn">
    <w:name w:val="Sprechblasentext Zchn"/>
    <w:link w:val="Sprechblasentext"/>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Standard"/>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FuzeileZchn">
    <w:name w:val="Fußzeile Zchn"/>
    <w:link w:val="Fuzeile"/>
    <w:uiPriority w:val="99"/>
    <w:rsid w:val="00AD09CA"/>
    <w:rPr>
      <w:sz w:val="22"/>
      <w:lang w:val="de-DE" w:eastAsia="de-DE"/>
    </w:rPr>
  </w:style>
  <w:style w:type="paragraph" w:styleId="Listenabsatz">
    <w:name w:val="List Paragraph"/>
    <w:basedOn w:val="Standard"/>
    <w:link w:val="ListenabsatzZchn"/>
    <w:uiPriority w:val="34"/>
    <w:qFormat/>
    <w:rsid w:val="006E28B6"/>
    <w:pPr>
      <w:ind w:left="720"/>
    </w:pPr>
  </w:style>
  <w:style w:type="paragraph" w:customStyle="1" w:styleId="CSRHeading1">
    <w:name w:val="CSR Heading 1"/>
    <w:basedOn w:val="Standard"/>
    <w:next w:val="Standard"/>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Standard"/>
    <w:uiPriority w:val="1"/>
    <w:qFormat/>
    <w:rsid w:val="00A53BD0"/>
    <w:pPr>
      <w:keepNext/>
    </w:pPr>
    <w:rPr>
      <w:sz w:val="35"/>
    </w:rPr>
  </w:style>
  <w:style w:type="character" w:customStyle="1" w:styleId="BeschriftungZchn">
    <w:name w:val="Beschriftung Zchn"/>
    <w:aliases w:val="o Zchn"/>
    <w:link w:val="Beschriftung"/>
    <w:rsid w:val="00E158E0"/>
    <w:rPr>
      <w:sz w:val="22"/>
      <w:lang w:val="de-DE" w:eastAsia="de-DE"/>
    </w:rPr>
  </w:style>
  <w:style w:type="table" w:styleId="Tabellenraster">
    <w:name w:val="Table Grid"/>
    <w:basedOn w:val="NormaleTabelle"/>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rsid w:val="00D21B1D"/>
    <w:rPr>
      <w:b/>
      <w:bCs/>
    </w:rPr>
  </w:style>
  <w:style w:type="character" w:customStyle="1" w:styleId="KommentartextZchn">
    <w:name w:val="Kommentartext Zchn"/>
    <w:link w:val="Kommentartext"/>
    <w:rsid w:val="00D21B1D"/>
    <w:rPr>
      <w:lang w:val="de-DE" w:eastAsia="de-DE"/>
    </w:rPr>
  </w:style>
  <w:style w:type="character" w:customStyle="1" w:styleId="KommentarthemaZchn">
    <w:name w:val="Kommentarthema Zchn"/>
    <w:link w:val="Kommentarthema"/>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Standard"/>
    <w:next w:val="Standard"/>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Standard"/>
    <w:next w:val="Standard"/>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Standard"/>
    <w:next w:val="Standard"/>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FunotentextZchn">
    <w:name w:val="Fußnotentext Zchn"/>
    <w:link w:val="Funotentext"/>
    <w:uiPriority w:val="99"/>
    <w:semiHidden/>
    <w:locked/>
    <w:rsid w:val="00307AA0"/>
    <w:rPr>
      <w:rFonts w:ascii="Verdana" w:hAnsi="Verdana"/>
      <w:position w:val="4"/>
      <w:lang w:val="de-DE" w:eastAsia="de-DE"/>
    </w:rPr>
  </w:style>
  <w:style w:type="paragraph" w:styleId="Inhaltsverzeichnisberschrift">
    <w:name w:val="TOC Heading"/>
    <w:basedOn w:val="berschrift1"/>
    <w:next w:val="Standard"/>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styleId="berarbeitung">
    <w:name w:val="Revision"/>
    <w:hidden/>
    <w:semiHidden/>
    <w:rsid w:val="005832F3"/>
    <w:rPr>
      <w:rFonts w:ascii="Verdana" w:hAnsi="Verdana"/>
      <w:lang w:val="de-DE" w:eastAsia="de-DE"/>
    </w:rPr>
  </w:style>
  <w:style w:type="character" w:customStyle="1" w:styleId="berschrift2Zchn">
    <w:name w:val="Überschrift 2 Zchn"/>
    <w:link w:val="berschrift2"/>
    <w:rsid w:val="00E4432B"/>
    <w:rPr>
      <w:rFonts w:ascii="Verdana" w:eastAsia="Calibri" w:hAnsi="Verdana"/>
      <w:b/>
      <w:caps/>
      <w:color w:val="000000" w:themeColor="text1"/>
      <w:sz w:val="24"/>
      <w:lang w:val="de-DE" w:eastAsia="en-US"/>
    </w:rPr>
  </w:style>
  <w:style w:type="character" w:customStyle="1" w:styleId="berschrift3Zchn">
    <w:name w:val="Überschrift 3 Zchn"/>
    <w:link w:val="berschrift3"/>
    <w:rsid w:val="00615C12"/>
    <w:rPr>
      <w:rFonts w:ascii="Verdana" w:hAnsi="Verdana"/>
      <w:b/>
      <w:i/>
      <w:sz w:val="22"/>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Standard"/>
    <w:next w:val="Standard"/>
    <w:uiPriority w:val="99"/>
    <w:rsid w:val="005F0919"/>
    <w:pPr>
      <w:autoSpaceDE w:val="0"/>
      <w:autoSpaceDN w:val="0"/>
      <w:adjustRightInd w:val="0"/>
    </w:pPr>
    <w:rPr>
      <w:rFonts w:ascii="EUAlbertina" w:hAnsi="EUAlbertina"/>
      <w:sz w:val="24"/>
      <w:szCs w:val="24"/>
      <w:lang w:eastAsia="en-GB"/>
    </w:rPr>
  </w:style>
  <w:style w:type="character" w:customStyle="1" w:styleId="KopfzeileZchn">
    <w:name w:val="Kopfzeile Zchn"/>
    <w:aliases w:val="header protocols Zchn,Header 1 Zchn"/>
    <w:link w:val="Kopfzeile"/>
    <w:uiPriority w:val="99"/>
    <w:rsid w:val="000D4863"/>
    <w:rPr>
      <w:sz w:val="22"/>
      <w:lang w:val="de-DE" w:eastAsia="de-DE"/>
    </w:rPr>
  </w:style>
  <w:style w:type="numbering" w:customStyle="1" w:styleId="NoList1">
    <w:name w:val="No List1"/>
    <w:next w:val="KeineListe"/>
    <w:uiPriority w:val="99"/>
    <w:semiHidden/>
    <w:unhideWhenUsed/>
    <w:rsid w:val="00A53EE0"/>
  </w:style>
  <w:style w:type="character" w:customStyle="1" w:styleId="berschrift1Zchn">
    <w:name w:val="Überschrift 1 Zchn"/>
    <w:link w:val="berschrift1"/>
    <w:rsid w:val="00A53EE0"/>
    <w:rPr>
      <w:rFonts w:ascii="Verdana" w:hAnsi="Verdana"/>
      <w:b/>
      <w:caps/>
      <w:sz w:val="28"/>
      <w:lang w:val="de-DE" w:eastAsia="de-DE"/>
    </w:rPr>
  </w:style>
  <w:style w:type="character" w:customStyle="1" w:styleId="berschrift4Zchn">
    <w:name w:val="Überschrift 4 Zchn"/>
    <w:link w:val="berschrift4"/>
    <w:rsid w:val="00BD7FBF"/>
    <w:rPr>
      <w:rFonts w:ascii="Verdana" w:eastAsia="Calibri" w:hAnsi="Verdana"/>
      <w:b/>
      <w:i/>
      <w:caps/>
      <w:sz w:val="22"/>
      <w:szCs w:val="22"/>
      <w:lang w:val="de-DE" w:eastAsia="en-US"/>
    </w:rPr>
  </w:style>
  <w:style w:type="character" w:customStyle="1" w:styleId="berschrift5Zchn">
    <w:name w:val="Überschrift 5 Zchn"/>
    <w:aliases w:val="Überschrift 4a Zchn"/>
    <w:link w:val="berschrift5"/>
    <w:rsid w:val="00A53EE0"/>
    <w:rPr>
      <w:rFonts w:ascii="Verdana" w:hAnsi="Verdana"/>
      <w:sz w:val="22"/>
      <w:lang w:val="de-DE" w:eastAsia="de-DE"/>
    </w:rPr>
  </w:style>
  <w:style w:type="character" w:customStyle="1" w:styleId="berschrift6Zchn">
    <w:name w:val="Überschrift 6 Zchn"/>
    <w:link w:val="berschrift6"/>
    <w:rsid w:val="00A53EE0"/>
    <w:rPr>
      <w:rFonts w:ascii="Verdana" w:hAnsi="Verdana"/>
      <w:caps/>
      <w:sz w:val="22"/>
      <w:lang w:val="de-DE" w:eastAsia="de-DE"/>
    </w:rPr>
  </w:style>
  <w:style w:type="character" w:customStyle="1" w:styleId="berschrift7Zchn">
    <w:name w:val="Überschrift 7 Zchn"/>
    <w:link w:val="berschrift7"/>
    <w:rsid w:val="00A53EE0"/>
    <w:rPr>
      <w:rFonts w:ascii="Verdana" w:hAnsi="Verdana"/>
      <w:caps/>
      <w:sz w:val="22"/>
      <w:lang w:val="de-DE" w:eastAsia="de-DE"/>
    </w:rPr>
  </w:style>
  <w:style w:type="character" w:customStyle="1" w:styleId="berschrift8Zchn">
    <w:name w:val="Überschrift 8 Zchn"/>
    <w:link w:val="berschrift8"/>
    <w:rsid w:val="00A53EE0"/>
    <w:rPr>
      <w:rFonts w:ascii="Verdana" w:hAnsi="Verdana"/>
      <w:caps/>
      <w:sz w:val="22"/>
      <w:lang w:val="de-DE" w:eastAsia="de-DE"/>
    </w:rPr>
  </w:style>
  <w:style w:type="character" w:customStyle="1" w:styleId="berschrift9Zchn">
    <w:name w:val="Überschrift 9 Zchn"/>
    <w:link w:val="berschrift9"/>
    <w:rsid w:val="00A53EE0"/>
    <w:rPr>
      <w:rFonts w:ascii="Verdana" w:hAnsi="Verdana"/>
      <w:caps/>
      <w:sz w:val="22"/>
      <w:lang w:val="de-DE" w:eastAsia="de-DE"/>
    </w:rPr>
  </w:style>
  <w:style w:type="character" w:customStyle="1" w:styleId="TextkrperZchn">
    <w:name w:val="Textkörper Zchn"/>
    <w:link w:val="Textkrper"/>
    <w:rsid w:val="00A53EE0"/>
    <w:rPr>
      <w:rFonts w:ascii="Verdana" w:hAnsi="Verdana"/>
      <w:lang w:eastAsia="de-DE"/>
    </w:rPr>
  </w:style>
  <w:style w:type="character" w:styleId="Fett">
    <w:name w:val="Strong"/>
    <w:qFormat/>
    <w:rsid w:val="00A53EE0"/>
    <w:rPr>
      <w:b/>
      <w:bCs/>
    </w:rPr>
  </w:style>
  <w:style w:type="numbering" w:customStyle="1" w:styleId="NoList11">
    <w:name w:val="No List11"/>
    <w:next w:val="KeineListe"/>
    <w:uiPriority w:val="99"/>
    <w:semiHidden/>
    <w:unhideWhenUsed/>
    <w:rsid w:val="00A53EE0"/>
  </w:style>
  <w:style w:type="paragraph" w:customStyle="1" w:styleId="Titel1">
    <w:name w:val="Titel 1"/>
    <w:basedOn w:val="berschrift1"/>
    <w:next w:val="Standard"/>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Standard"/>
    <w:link w:val="TableheadZchn"/>
    <w:rsid w:val="00A53EE0"/>
    <w:rPr>
      <w:rFonts w:eastAsia="Calibri"/>
      <w:b/>
      <w:lang w:val="en-US"/>
    </w:rPr>
  </w:style>
  <w:style w:type="paragraph" w:customStyle="1" w:styleId="Tablebody">
    <w:name w:val="Tablebody"/>
    <w:basedOn w:val="Standard"/>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Standard"/>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NormaleTabelle"/>
    <w:next w:val="Tabellenraster"/>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Standard"/>
    <w:rsid w:val="00A53EE0"/>
    <w:pPr>
      <w:spacing w:before="120" w:after="120"/>
      <w:ind w:left="1417" w:hanging="567"/>
      <w:jc w:val="both"/>
    </w:pPr>
    <w:rPr>
      <w:sz w:val="24"/>
    </w:rPr>
  </w:style>
  <w:style w:type="character" w:customStyle="1" w:styleId="Textkrper-Einzug2Zchn">
    <w:name w:val="Textkörper-Einzug 2 Zchn"/>
    <w:link w:val="Textkrper-Einzug2"/>
    <w:rsid w:val="00A53EE0"/>
    <w:rPr>
      <w:rFonts w:ascii="Verdana" w:hAnsi="Verdana"/>
      <w:lang w:eastAsia="de-DE"/>
    </w:rPr>
  </w:style>
  <w:style w:type="paragraph" w:styleId="StandardWeb">
    <w:name w:val="Normal (Web)"/>
    <w:basedOn w:val="Standard"/>
    <w:rsid w:val="00A53EE0"/>
    <w:pPr>
      <w:spacing w:before="100" w:beforeAutospacing="1" w:after="119"/>
    </w:pPr>
    <w:rPr>
      <w:rFonts w:ascii="Arial Unicode MS" w:eastAsia="Arial Unicode MS" w:hAnsi="Arial Unicode MS" w:cs="Arial Unicode MS"/>
      <w:sz w:val="24"/>
      <w:lang w:eastAsia="en-US"/>
    </w:rPr>
  </w:style>
  <w:style w:type="character" w:styleId="Hervorhebung">
    <w:name w:val="Emphasis"/>
    <w:uiPriority w:val="99"/>
    <w:qFormat/>
    <w:rsid w:val="00A53EE0"/>
    <w:rPr>
      <w:rFonts w:ascii="Times New Roman" w:hAnsi="Times New Roman"/>
      <w:i/>
      <w:iCs/>
      <w:sz w:val="20"/>
    </w:rPr>
  </w:style>
  <w:style w:type="character" w:styleId="SchwacheHervorhebung">
    <w:name w:val="Subtle Emphasis"/>
    <w:uiPriority w:val="19"/>
    <w:qFormat/>
    <w:rsid w:val="00A53EE0"/>
    <w:rPr>
      <w:rFonts w:ascii="Verdana" w:hAnsi="Verdana"/>
      <w:i/>
      <w:iCs/>
      <w:color w:val="808080"/>
      <w:sz w:val="18"/>
    </w:rPr>
  </w:style>
  <w:style w:type="paragraph" w:customStyle="1" w:styleId="CharChar4CharChar">
    <w:name w:val="Char Char4 Char Char"/>
    <w:basedOn w:val="Standard"/>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Standard"/>
    <w:next w:val="Standard"/>
    <w:uiPriority w:val="1"/>
    <w:qFormat/>
    <w:rsid w:val="00A53EE0"/>
    <w:pPr>
      <w:widowControl w:val="0"/>
      <w:autoSpaceDE w:val="0"/>
      <w:autoSpaceDN w:val="0"/>
      <w:adjustRightInd w:val="0"/>
    </w:pPr>
    <w:rPr>
      <w:rFonts w:cs="Times"/>
      <w:bCs/>
      <w:sz w:val="16"/>
      <w:szCs w:val="29"/>
      <w:lang w:val="de-DE"/>
    </w:rPr>
  </w:style>
  <w:style w:type="character" w:customStyle="1" w:styleId="TitelZchn">
    <w:name w:val="Titel Zchn"/>
    <w:link w:val="Titel"/>
    <w:rsid w:val="00A53EE0"/>
    <w:rPr>
      <w:rFonts w:ascii="Verdana" w:eastAsia="Calibri" w:hAnsi="Verdana"/>
      <w:b/>
      <w:kern w:val="28"/>
      <w:sz w:val="28"/>
      <w:szCs w:val="36"/>
      <w:lang w:eastAsia="en-US"/>
    </w:rPr>
  </w:style>
  <w:style w:type="character" w:customStyle="1" w:styleId="UntertitelZchn">
    <w:name w:val="Untertitel Zchn"/>
    <w:link w:val="Untertitel"/>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paragraph" w:customStyle="1" w:styleId="ECL">
    <w:name w:val="ECL"/>
    <w:basedOn w:val="Standard"/>
    <w:rsid w:val="004734DE"/>
    <w:pPr>
      <w:tabs>
        <w:tab w:val="left" w:pos="1491"/>
      </w:tabs>
    </w:pPr>
    <w:rPr>
      <w:rFonts w:ascii="Times New Roman" w:hAnsi="Times New Roman"/>
      <w:noProof/>
      <w:szCs w:val="24"/>
      <w:lang w:eastAsia="en-US"/>
    </w:rPr>
  </w:style>
  <w:style w:type="paragraph" w:customStyle="1" w:styleId="Standardlinks">
    <w:name w:val="Standard links"/>
    <w:basedOn w:val="Standard"/>
    <w:link w:val="StandardlinksZchn"/>
    <w:autoRedefine/>
    <w:rsid w:val="007C3492"/>
    <w:pPr>
      <w:keepNext/>
      <w:keepLines/>
      <w:spacing w:before="60" w:after="60"/>
    </w:pPr>
    <w:rPr>
      <w:rFonts w:ascii="Times New Roman" w:hAnsi="Times New Roman"/>
      <w:i/>
    </w:rPr>
  </w:style>
  <w:style w:type="character" w:customStyle="1" w:styleId="StandardlinksZchn">
    <w:name w:val="Standard links Zchn"/>
    <w:link w:val="Standardlinks"/>
    <w:rsid w:val="007C3492"/>
    <w:rPr>
      <w:i/>
      <w:lang w:val="en-GB"/>
    </w:rPr>
  </w:style>
  <w:style w:type="paragraph" w:customStyle="1" w:styleId="BodyTextCenter">
    <w:name w:val="Body Text Center"/>
    <w:aliases w:val="BC"/>
    <w:basedOn w:val="Textkrper"/>
    <w:next w:val="Textkrper"/>
    <w:rsid w:val="00F6730D"/>
    <w:pPr>
      <w:widowControl w:val="0"/>
      <w:spacing w:after="240" w:line="240" w:lineRule="atLeast"/>
      <w:jc w:val="center"/>
    </w:pPr>
    <w:rPr>
      <w:rFonts w:ascii="Times New Roman" w:hAnsi="Times New Roman"/>
      <w:spacing w:val="-5"/>
      <w:sz w:val="22"/>
      <w:szCs w:val="22"/>
      <w:lang w:eastAsia="en-US"/>
    </w:rPr>
  </w:style>
  <w:style w:type="paragraph" w:customStyle="1" w:styleId="Textkrper21">
    <w:name w:val="Textkörper 21"/>
    <w:basedOn w:val="Standard"/>
    <w:semiHidden/>
    <w:locked/>
    <w:rsid w:val="000A229F"/>
    <w:pPr>
      <w:spacing w:before="180" w:after="180" w:line="360" w:lineRule="atLeast"/>
      <w:jc w:val="both"/>
    </w:pPr>
    <w:rPr>
      <w:rFonts w:ascii="Times New Roman" w:hAnsi="Times New Roman"/>
      <w:sz w:val="22"/>
    </w:rPr>
  </w:style>
  <w:style w:type="paragraph" w:customStyle="1" w:styleId="OmniPage4">
    <w:name w:val="OmniPage #4"/>
    <w:semiHidden/>
    <w:locked/>
    <w:rsid w:val="000A229F"/>
    <w:pPr>
      <w:tabs>
        <w:tab w:val="left" w:pos="50"/>
        <w:tab w:val="right" w:pos="7456"/>
      </w:tabs>
    </w:pPr>
    <w:rPr>
      <w:rFonts w:ascii="Courier" w:hAnsi="Courier"/>
      <w:lang w:val="de-DE" w:eastAsia="de-DE"/>
    </w:rPr>
  </w:style>
  <w:style w:type="paragraph" w:customStyle="1" w:styleId="MathemathischeFormel">
    <w:name w:val="Mathemathische Formel"/>
    <w:basedOn w:val="Standard"/>
    <w:rsid w:val="000A229F"/>
    <w:pPr>
      <w:spacing w:before="120" w:after="120"/>
      <w:jc w:val="center"/>
    </w:pPr>
    <w:rPr>
      <w:rFonts w:ascii="Times New Roman" w:hAnsi="Times New Roman"/>
      <w:szCs w:val="24"/>
    </w:rPr>
  </w:style>
  <w:style w:type="character" w:customStyle="1" w:styleId="Standard-fettChar">
    <w:name w:val="Standard-fett Char"/>
    <w:link w:val="Standard-fett"/>
    <w:rsid w:val="00EA230B"/>
    <w:rPr>
      <w:rFonts w:ascii="Verdana" w:hAnsi="Verdana"/>
      <w:b/>
      <w:lang w:val="en-GB" w:eastAsia="de-DE"/>
    </w:rPr>
  </w:style>
  <w:style w:type="paragraph" w:customStyle="1" w:styleId="Column3">
    <w:name w:val="Column 3"/>
    <w:basedOn w:val="Standard"/>
    <w:rsid w:val="00D93DFA"/>
    <w:pPr>
      <w:spacing w:before="40" w:line="240" w:lineRule="atLeast"/>
      <w:ind w:left="114"/>
    </w:pPr>
    <w:rPr>
      <w:rFonts w:ascii="Times New Roman" w:eastAsiaTheme="minorHAnsi" w:hAnsi="Times New Roman"/>
      <w:sz w:val="22"/>
      <w:szCs w:val="22"/>
      <w:lang w:val="de-AT" w:eastAsia="en-US"/>
    </w:rPr>
  </w:style>
  <w:style w:type="character" w:customStyle="1" w:styleId="AbsatzZchn">
    <w:name w:val="Absatz Zchn"/>
    <w:link w:val="Absatz"/>
    <w:rsid w:val="000A1DE3"/>
    <w:rPr>
      <w:lang w:val="en-GB" w:eastAsia="de-DE"/>
    </w:rPr>
  </w:style>
  <w:style w:type="character" w:customStyle="1" w:styleId="Textkrper2Zchn">
    <w:name w:val="Textkörper 2 Zchn"/>
    <w:basedOn w:val="Absatz-Standardschriftart"/>
    <w:link w:val="Textkrper2"/>
    <w:rsid w:val="00677D88"/>
    <w:rPr>
      <w:rFonts w:ascii="Verdana" w:hAnsi="Verdana"/>
      <w:i/>
      <w:color w:val="0000FF"/>
      <w:lang w:val="en-GB" w:eastAsia="de-DE"/>
    </w:rPr>
  </w:style>
  <w:style w:type="character" w:customStyle="1" w:styleId="ListenabsatzZchn">
    <w:name w:val="Listenabsatz Zchn"/>
    <w:link w:val="Listenabsatz"/>
    <w:uiPriority w:val="34"/>
    <w:rsid w:val="00E02607"/>
    <w:rPr>
      <w:rFonts w:ascii="Verdana" w:hAnsi="Verdana"/>
      <w:lang w:val="en-GB" w:eastAsia="de-DE"/>
    </w:rPr>
  </w:style>
  <w:style w:type="paragraph" w:customStyle="1" w:styleId="TEXTTEXT">
    <w:name w:val="TEXT TEXT"/>
    <w:basedOn w:val="berschrift1"/>
    <w:qFormat/>
    <w:rsid w:val="00395759"/>
    <w:pPr>
      <w:numPr>
        <w:numId w:val="17"/>
      </w:numPr>
      <w:spacing w:before="240" w:after="60"/>
      <w:outlineLvl w:val="9"/>
    </w:pPr>
    <w:rPr>
      <w:lang w:val="en-GB"/>
    </w:rPr>
  </w:style>
  <w:style w:type="paragraph" w:customStyle="1" w:styleId="TextText11">
    <w:name w:val="Text Text 1.1"/>
    <w:basedOn w:val="berschrift2"/>
    <w:qFormat/>
    <w:rsid w:val="00DF1B01"/>
    <w:pPr>
      <w:keepNext w:val="0"/>
      <w:numPr>
        <w:numId w:val="17"/>
      </w:numPr>
      <w:tabs>
        <w:tab w:val="clear" w:pos="1134"/>
      </w:tabs>
      <w:spacing w:before="60" w:after="60"/>
      <w:outlineLvl w:val="9"/>
    </w:pPr>
    <w:rPr>
      <w:lang w:val="en-GB"/>
    </w:rPr>
  </w:style>
  <w:style w:type="paragraph" w:customStyle="1" w:styleId="TxtTxtTxt">
    <w:name w:val="TxtTxtTxt"/>
    <w:basedOn w:val="berschrift3"/>
    <w:qFormat/>
    <w:rsid w:val="00DF1B01"/>
    <w:pPr>
      <w:keepNext w:val="0"/>
      <w:numPr>
        <w:numId w:val="17"/>
      </w:numPr>
      <w:spacing w:before="60" w:after="60"/>
      <w:outlineLvl w:val="9"/>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C0249D"/>
    <w:rPr>
      <w:rFonts w:ascii="Verdana" w:hAnsi="Verdana"/>
      <w:lang w:val="en-GB" w:eastAsia="de-DE"/>
    </w:rPr>
  </w:style>
  <w:style w:type="paragraph" w:styleId="berschrift1">
    <w:name w:val="heading 1"/>
    <w:next w:val="Absatz"/>
    <w:link w:val="berschrift1Zchn"/>
    <w:qFormat/>
    <w:rsid w:val="00D52FF7"/>
    <w:pPr>
      <w:keepNext/>
      <w:numPr>
        <w:numId w:val="3"/>
      </w:numPr>
      <w:spacing w:after="360"/>
      <w:outlineLvl w:val="0"/>
    </w:pPr>
    <w:rPr>
      <w:rFonts w:ascii="Verdana" w:hAnsi="Verdana"/>
      <w:b/>
      <w:caps/>
      <w:sz w:val="28"/>
      <w:lang w:val="de-DE" w:eastAsia="de-DE"/>
    </w:rPr>
  </w:style>
  <w:style w:type="paragraph" w:styleId="berschrift2">
    <w:name w:val="heading 2"/>
    <w:basedOn w:val="berschrift1"/>
    <w:next w:val="Absatz"/>
    <w:link w:val="berschrift2Zchn"/>
    <w:autoRedefine/>
    <w:qFormat/>
    <w:rsid w:val="00E4432B"/>
    <w:pPr>
      <w:numPr>
        <w:ilvl w:val="1"/>
      </w:numPr>
      <w:tabs>
        <w:tab w:val="left" w:pos="1134"/>
      </w:tabs>
      <w:outlineLvl w:val="1"/>
    </w:pPr>
    <w:rPr>
      <w:rFonts w:eastAsia="Calibri"/>
      <w:color w:val="000000" w:themeColor="text1"/>
      <w:sz w:val="24"/>
      <w:lang w:eastAsia="en-US"/>
    </w:rPr>
  </w:style>
  <w:style w:type="paragraph" w:styleId="berschrift3">
    <w:name w:val="heading 3"/>
    <w:basedOn w:val="berschrift1"/>
    <w:next w:val="Absatz"/>
    <w:link w:val="berschrift3Zchn"/>
    <w:qFormat/>
    <w:rsid w:val="00615C12"/>
    <w:pPr>
      <w:numPr>
        <w:ilvl w:val="2"/>
      </w:numPr>
      <w:spacing w:after="240"/>
      <w:outlineLvl w:val="2"/>
    </w:pPr>
    <w:rPr>
      <w:i/>
      <w:caps w:val="0"/>
      <w:sz w:val="22"/>
    </w:rPr>
  </w:style>
  <w:style w:type="paragraph" w:styleId="berschrift4">
    <w:name w:val="heading 4"/>
    <w:basedOn w:val="berschrift1"/>
    <w:next w:val="Absatz"/>
    <w:link w:val="berschrift4Zchn"/>
    <w:autoRedefine/>
    <w:qFormat/>
    <w:rsid w:val="00BD7FBF"/>
    <w:pPr>
      <w:numPr>
        <w:numId w:val="6"/>
      </w:numPr>
      <w:spacing w:after="240"/>
      <w:jc w:val="both"/>
      <w:outlineLvl w:val="3"/>
    </w:pPr>
    <w:rPr>
      <w:rFonts w:eastAsia="Calibri"/>
      <w:i/>
      <w:sz w:val="22"/>
      <w:szCs w:val="22"/>
      <w:lang w:eastAsia="en-US"/>
    </w:rPr>
  </w:style>
  <w:style w:type="paragraph" w:styleId="berschrift5">
    <w:name w:val="heading 5"/>
    <w:aliases w:val="Überschrift 4a"/>
    <w:basedOn w:val="berschrift1"/>
    <w:next w:val="Absatz"/>
    <w:link w:val="berschrift5Zchn"/>
    <w:qFormat/>
    <w:pPr>
      <w:numPr>
        <w:ilvl w:val="4"/>
      </w:numPr>
      <w:spacing w:after="255" w:line="255" w:lineRule="exact"/>
      <w:outlineLvl w:val="4"/>
    </w:pPr>
    <w:rPr>
      <w:b w:val="0"/>
      <w:caps w:val="0"/>
      <w:sz w:val="22"/>
    </w:rPr>
  </w:style>
  <w:style w:type="paragraph" w:styleId="berschrift6">
    <w:name w:val="heading 6"/>
    <w:basedOn w:val="berschrift1"/>
    <w:next w:val="Absatz"/>
    <w:link w:val="berschrift6Zchn"/>
    <w:qFormat/>
    <w:pPr>
      <w:numPr>
        <w:ilvl w:val="5"/>
      </w:numPr>
      <w:spacing w:after="255" w:line="255" w:lineRule="exact"/>
      <w:outlineLvl w:val="5"/>
    </w:pPr>
    <w:rPr>
      <w:b w:val="0"/>
      <w:sz w:val="22"/>
    </w:rPr>
  </w:style>
  <w:style w:type="paragraph" w:styleId="berschrift7">
    <w:name w:val="heading 7"/>
    <w:basedOn w:val="berschrift1"/>
    <w:next w:val="Absatz"/>
    <w:link w:val="berschrift7Zchn"/>
    <w:qFormat/>
    <w:pPr>
      <w:numPr>
        <w:ilvl w:val="6"/>
      </w:numPr>
      <w:spacing w:after="255" w:line="255" w:lineRule="exact"/>
      <w:outlineLvl w:val="6"/>
    </w:pPr>
    <w:rPr>
      <w:b w:val="0"/>
      <w:sz w:val="22"/>
    </w:rPr>
  </w:style>
  <w:style w:type="paragraph" w:styleId="berschrift8">
    <w:name w:val="heading 8"/>
    <w:basedOn w:val="berschrift1"/>
    <w:next w:val="Absatz"/>
    <w:link w:val="berschrift8Zchn"/>
    <w:qFormat/>
    <w:pPr>
      <w:numPr>
        <w:ilvl w:val="7"/>
      </w:numPr>
      <w:spacing w:after="255" w:line="255" w:lineRule="exact"/>
      <w:outlineLvl w:val="7"/>
    </w:pPr>
    <w:rPr>
      <w:b w:val="0"/>
      <w:sz w:val="22"/>
    </w:rPr>
  </w:style>
  <w:style w:type="paragraph" w:styleId="berschrift9">
    <w:name w:val="heading 9"/>
    <w:basedOn w:val="berschrift1"/>
    <w:next w:val="Absatz"/>
    <w:link w:val="berschrift9Zchn"/>
    <w:qFormat/>
    <w:pPr>
      <w:numPr>
        <w:ilvl w:val="8"/>
      </w:numPr>
      <w:spacing w:after="255" w:line="255" w:lineRule="exact"/>
      <w:outlineLvl w:val="8"/>
    </w:pPr>
    <w:rPr>
      <w:b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link w:val="AbsatzZchn"/>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Kopfzeile">
    <w:name w:val="header"/>
    <w:aliases w:val="header protocols,Header 1"/>
    <w:link w:val="KopfzeileZchn"/>
    <w:pPr>
      <w:tabs>
        <w:tab w:val="center" w:pos="4536"/>
        <w:tab w:val="right" w:pos="9072"/>
      </w:tabs>
    </w:pPr>
    <w:rPr>
      <w:sz w:val="22"/>
      <w:lang w:val="de-DE" w:eastAsia="de-DE"/>
    </w:rPr>
  </w:style>
  <w:style w:type="paragraph" w:styleId="Fuzeile">
    <w:name w:val="footer"/>
    <w:basedOn w:val="Standard"/>
    <w:link w:val="FuzeileZchn"/>
    <w:uiPriority w:val="99"/>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Standard"/>
    <w:pPr>
      <w:spacing w:line="255" w:lineRule="exact"/>
    </w:pPr>
    <w:rPr>
      <w:rFonts w:ascii="Times New Roman" w:hAnsi="Times New Roman"/>
      <w:b/>
    </w:rPr>
  </w:style>
  <w:style w:type="paragraph" w:customStyle="1" w:styleId="Strich-Liste">
    <w:name w:val="Strich-Liste"/>
    <w:basedOn w:val="Standard"/>
    <w:pPr>
      <w:spacing w:line="255" w:lineRule="exact"/>
      <w:ind w:left="2013" w:hanging="284"/>
    </w:pPr>
  </w:style>
  <w:style w:type="paragraph" w:customStyle="1" w:styleId="Punkt-Liste">
    <w:name w:val="Punkt-Liste"/>
    <w:basedOn w:val="Standard"/>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Standard"/>
    <w:pPr>
      <w:spacing w:line="255" w:lineRule="exact"/>
      <w:ind w:left="3458" w:hanging="1729"/>
    </w:pPr>
  </w:style>
  <w:style w:type="paragraph" w:customStyle="1" w:styleId="berschriftimText">
    <w:name w:val="Überschrift im Text"/>
    <w:basedOn w:val="Standard"/>
    <w:next w:val="Absatz"/>
    <w:pPr>
      <w:spacing w:after="255" w:line="255" w:lineRule="exact"/>
      <w:ind w:left="1729"/>
    </w:pPr>
    <w:rPr>
      <w:b/>
      <w:u w:val="single"/>
    </w:rPr>
  </w:style>
  <w:style w:type="paragraph" w:customStyle="1" w:styleId="Einrckung">
    <w:name w:val="Einrückung"/>
    <w:basedOn w:val="Standard"/>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Standard"/>
    <w:next w:val="Standard"/>
    <w:semiHidden/>
    <w:pPr>
      <w:spacing w:line="198" w:lineRule="exact"/>
      <w:ind w:left="221" w:hanging="221"/>
    </w:pPr>
    <w:rPr>
      <w:rFonts w:ascii="Times New Roman" w:hAnsi="Times New Roman"/>
    </w:rPr>
  </w:style>
  <w:style w:type="paragraph" w:customStyle="1" w:styleId="berschriftAS">
    <w:name w:val="Überschrift AS"/>
    <w:basedOn w:val="Standard"/>
    <w:next w:val="Standard"/>
    <w:pPr>
      <w:keepNext/>
      <w:spacing w:after="1020" w:line="383" w:lineRule="exact"/>
    </w:pPr>
    <w:rPr>
      <w:sz w:val="30"/>
    </w:rPr>
  </w:style>
  <w:style w:type="paragraph" w:customStyle="1" w:styleId="Abkrzungen">
    <w:name w:val="Abkürzungen"/>
    <w:basedOn w:val="Standard"/>
    <w:pPr>
      <w:spacing w:line="255" w:lineRule="exact"/>
    </w:pPr>
    <w:rPr>
      <w:rFonts w:ascii="Times New Roman" w:hAnsi="Times New Roman"/>
    </w:rPr>
  </w:style>
  <w:style w:type="paragraph" w:customStyle="1" w:styleId="HalbeLeerzeile">
    <w:name w:val="Halbe Leerzeile"/>
    <w:basedOn w:val="Standard"/>
    <w:pPr>
      <w:spacing w:line="128" w:lineRule="exact"/>
      <w:ind w:left="1729"/>
    </w:pPr>
    <w:rPr>
      <w:rFonts w:ascii="Times New Roman" w:hAnsi="Times New Roman"/>
      <w:sz w:val="16"/>
    </w:rPr>
  </w:style>
  <w:style w:type="paragraph" w:styleId="Index2">
    <w:name w:val="index 2"/>
    <w:basedOn w:val="Index1"/>
    <w:next w:val="Standard"/>
    <w:semiHidden/>
    <w:pPr>
      <w:ind w:left="442"/>
    </w:pPr>
  </w:style>
  <w:style w:type="paragraph" w:styleId="Indexberschrift">
    <w:name w:val="index heading"/>
    <w:basedOn w:val="Standard"/>
    <w:next w:val="Index1"/>
    <w:semiHidden/>
    <w:pPr>
      <w:spacing w:line="198" w:lineRule="exact"/>
    </w:pPr>
    <w:rPr>
      <w:rFonts w:ascii="Times New Roman" w:hAnsi="Times New Roman"/>
      <w:b/>
    </w:rPr>
  </w:style>
  <w:style w:type="paragraph" w:styleId="Verzeichnis1">
    <w:name w:val="toc 1"/>
    <w:next w:val="Standard"/>
    <w:uiPriority w:val="39"/>
    <w:qFormat/>
    <w:rsid w:val="00FF37FA"/>
    <w:pPr>
      <w:spacing w:before="360"/>
    </w:pPr>
    <w:rPr>
      <w:rFonts w:asciiTheme="majorHAnsi" w:hAnsiTheme="majorHAnsi"/>
      <w:b/>
      <w:bCs/>
      <w:caps/>
      <w:sz w:val="24"/>
      <w:szCs w:val="24"/>
      <w:lang w:val="en-GB" w:eastAsia="de-DE"/>
    </w:rPr>
  </w:style>
  <w:style w:type="paragraph" w:styleId="Verzeichnis2">
    <w:name w:val="toc 2"/>
    <w:next w:val="Standard"/>
    <w:uiPriority w:val="39"/>
    <w:qFormat/>
    <w:rsid w:val="006F067B"/>
    <w:pPr>
      <w:spacing w:before="240"/>
    </w:pPr>
    <w:rPr>
      <w:rFonts w:asciiTheme="minorHAnsi" w:hAnsiTheme="minorHAnsi"/>
      <w:b/>
      <w:bCs/>
      <w:lang w:val="en-GB" w:eastAsia="de-DE"/>
    </w:rPr>
  </w:style>
  <w:style w:type="paragraph" w:styleId="Verzeichnis3">
    <w:name w:val="toc 3"/>
    <w:basedOn w:val="Verzeichnis2"/>
    <w:next w:val="Standard"/>
    <w:uiPriority w:val="39"/>
    <w:qFormat/>
    <w:rsid w:val="006F067B"/>
    <w:pPr>
      <w:spacing w:before="0"/>
      <w:ind w:left="200"/>
    </w:pPr>
    <w:rPr>
      <w:b w:val="0"/>
      <w:bCs w:val="0"/>
    </w:rPr>
  </w:style>
  <w:style w:type="paragraph" w:styleId="Verzeichnis4">
    <w:name w:val="toc 4"/>
    <w:basedOn w:val="Verzeichnis2"/>
    <w:next w:val="Standard"/>
    <w:uiPriority w:val="39"/>
    <w:pPr>
      <w:spacing w:before="0"/>
      <w:ind w:left="400"/>
    </w:pPr>
    <w:rPr>
      <w:b w:val="0"/>
      <w:bCs w:val="0"/>
    </w:rPr>
  </w:style>
  <w:style w:type="paragraph" w:styleId="Verzeichnis5">
    <w:name w:val="toc 5"/>
    <w:basedOn w:val="Verzeichnis2"/>
    <w:next w:val="Standard"/>
    <w:uiPriority w:val="39"/>
    <w:pPr>
      <w:spacing w:before="0"/>
      <w:ind w:left="600"/>
    </w:pPr>
    <w:rPr>
      <w:b w:val="0"/>
      <w:bCs w:val="0"/>
    </w:rPr>
  </w:style>
  <w:style w:type="paragraph" w:styleId="Verzeichnis6">
    <w:name w:val="toc 6"/>
    <w:basedOn w:val="Verzeichnis2"/>
    <w:next w:val="Standard"/>
    <w:uiPriority w:val="39"/>
    <w:pPr>
      <w:spacing w:before="0"/>
      <w:ind w:left="800"/>
    </w:pPr>
    <w:rPr>
      <w:b w:val="0"/>
      <w:bCs w:val="0"/>
    </w:rPr>
  </w:style>
  <w:style w:type="paragraph" w:styleId="Verzeichnis7">
    <w:name w:val="toc 7"/>
    <w:basedOn w:val="Verzeichnis2"/>
    <w:next w:val="Standard"/>
    <w:uiPriority w:val="39"/>
    <w:pPr>
      <w:spacing w:before="0"/>
      <w:ind w:left="1000"/>
    </w:pPr>
    <w:rPr>
      <w:b w:val="0"/>
      <w:bCs w:val="0"/>
    </w:rPr>
  </w:style>
  <w:style w:type="paragraph" w:styleId="Verzeichnis8">
    <w:name w:val="toc 8"/>
    <w:basedOn w:val="Verzeichnis2"/>
    <w:next w:val="Standard"/>
    <w:uiPriority w:val="39"/>
    <w:pPr>
      <w:spacing w:before="0"/>
      <w:ind w:left="1200"/>
    </w:pPr>
    <w:rPr>
      <w:b w:val="0"/>
      <w:bCs w:val="0"/>
    </w:rPr>
  </w:style>
  <w:style w:type="paragraph" w:styleId="Verzeichnis9">
    <w:name w:val="toc 9"/>
    <w:basedOn w:val="Verzeichnis2"/>
    <w:next w:val="Standard"/>
    <w:uiPriority w:val="39"/>
    <w:pPr>
      <w:spacing w:before="0"/>
      <w:ind w:left="1400"/>
    </w:pPr>
    <w:rPr>
      <w:b w:val="0"/>
      <w:bCs w:val="0"/>
    </w:rPr>
  </w:style>
  <w:style w:type="paragraph" w:customStyle="1" w:styleId="Gliederungslinie">
    <w:name w:val="Gliederungslinie"/>
    <w:basedOn w:val="Standard"/>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ste">
    <w:name w:val="List"/>
    <w:basedOn w:val="Standard"/>
    <w:pPr>
      <w:spacing w:after="255" w:line="255" w:lineRule="exact"/>
      <w:ind w:left="2013" w:hanging="284"/>
    </w:pPr>
    <w:rPr>
      <w:rFonts w:ascii="Times New Roman" w:hAnsi="Times New Roman"/>
    </w:rPr>
  </w:style>
  <w:style w:type="paragraph" w:customStyle="1" w:styleId="berschriftInhalt">
    <w:name w:val="Überschrift Inhalt"/>
    <w:basedOn w:val="Standard"/>
    <w:next w:val="Standard"/>
    <w:pPr>
      <w:keepNext/>
      <w:spacing w:after="1020" w:line="383" w:lineRule="exact"/>
    </w:pPr>
    <w:rPr>
      <w:sz w:val="30"/>
    </w:rPr>
  </w:style>
  <w:style w:type="paragraph" w:styleId="Funotentext">
    <w:name w:val="footnote text"/>
    <w:basedOn w:val="Standard"/>
    <w:link w:val="FunotentextZchn"/>
    <w:uiPriority w:val="99"/>
    <w:semiHidden/>
    <w:pPr>
      <w:ind w:left="284" w:hanging="284"/>
    </w:pPr>
    <w:rPr>
      <w:position w:val="4"/>
    </w:rPr>
  </w:style>
  <w:style w:type="character" w:styleId="Funotenzeichen">
    <w:name w:val="footnote reference"/>
    <w:uiPriority w:val="99"/>
    <w:rPr>
      <w:position w:val="8"/>
      <w:sz w:val="16"/>
    </w:rPr>
  </w:style>
  <w:style w:type="paragraph" w:styleId="Endnotentext">
    <w:name w:val="endnote text"/>
    <w:basedOn w:val="Standard"/>
    <w:semiHidden/>
    <w:pPr>
      <w:spacing w:line="198" w:lineRule="exact"/>
      <w:ind w:left="284" w:hanging="284"/>
    </w:pPr>
    <w:rPr>
      <w:rFonts w:ascii="Times New Roman" w:hAnsi="Times New Roman"/>
      <w:position w:val="4"/>
    </w:rPr>
  </w:style>
  <w:style w:type="character" w:styleId="Endnotenzeichen">
    <w:name w:val="endnote reference"/>
    <w:semiHidden/>
    <w:rPr>
      <w:position w:val="8"/>
      <w:sz w:val="16"/>
    </w:rPr>
  </w:style>
  <w:style w:type="paragraph" w:customStyle="1" w:styleId="AbsatzohneAbstandnach">
    <w:name w:val="Absatz ohne Abstand nach"/>
    <w:basedOn w:val="Absatz"/>
  </w:style>
  <w:style w:type="paragraph" w:customStyle="1" w:styleId="Bildunterschrift">
    <w:name w:val="Bildunterschrift"/>
    <w:basedOn w:val="Standard"/>
    <w:pPr>
      <w:spacing w:line="198" w:lineRule="exact"/>
    </w:pPr>
    <w:rPr>
      <w:rFonts w:ascii="Times New Roman" w:hAnsi="Times New Roman"/>
    </w:rPr>
  </w:style>
  <w:style w:type="paragraph" w:styleId="Abbildungsverzeichnis">
    <w:name w:val="table of figures"/>
    <w:basedOn w:val="Standard"/>
    <w:next w:val="Standard"/>
    <w:semiHidden/>
    <w:pPr>
      <w:tabs>
        <w:tab w:val="right" w:pos="9214"/>
      </w:tabs>
      <w:spacing w:line="255" w:lineRule="exact"/>
      <w:ind w:left="1729"/>
    </w:pPr>
    <w:rPr>
      <w:rFonts w:ascii="Times New Roman" w:hAnsi="Times New Roman"/>
    </w:rPr>
  </w:style>
  <w:style w:type="paragraph" w:styleId="Beschriftung">
    <w:name w:val="caption"/>
    <w:aliases w:val="o"/>
    <w:basedOn w:val="Standard"/>
    <w:next w:val="Absatz"/>
    <w:link w:val="BeschriftungZchn"/>
    <w:qFormat/>
    <w:pPr>
      <w:tabs>
        <w:tab w:val="left" w:pos="1418"/>
      </w:tabs>
      <w:spacing w:after="255"/>
      <w:ind w:left="1418" w:hanging="1418"/>
    </w:pPr>
    <w:rPr>
      <w:rFonts w:ascii="Times New Roman" w:hAnsi="Times New Roman"/>
    </w:rPr>
  </w:style>
  <w:style w:type="paragraph" w:customStyle="1" w:styleId="Tabellenformat">
    <w:name w:val="Tabellenformat"/>
    <w:basedOn w:val="Standard"/>
    <w:pPr>
      <w:spacing w:before="100" w:after="100"/>
    </w:pPr>
  </w:style>
  <w:style w:type="paragraph" w:styleId="Textkrper">
    <w:name w:val="Body Text"/>
    <w:basedOn w:val="Standard"/>
    <w:link w:val="TextkrperZchn"/>
  </w:style>
  <w:style w:type="character" w:styleId="Zeilennummer">
    <w:name w:val="line number"/>
    <w:basedOn w:val="Absatz-Standardschriftart"/>
  </w:style>
  <w:style w:type="character" w:styleId="Kommentarzeichen">
    <w:name w:val="annotation reference"/>
    <w:rPr>
      <w:sz w:val="16"/>
    </w:rPr>
  </w:style>
  <w:style w:type="paragraph" w:styleId="Kommentartext">
    <w:name w:val="annotation text"/>
    <w:basedOn w:val="Standard"/>
    <w:link w:val="KommentartextZchn"/>
  </w:style>
  <w:style w:type="paragraph" w:styleId="Dokumentstruktur">
    <w:name w:val="Document Map"/>
    <w:basedOn w:val="Standard"/>
    <w:semiHidden/>
    <w:pPr>
      <w:shd w:val="clear" w:color="auto" w:fill="000080"/>
    </w:pPr>
    <w:rPr>
      <w:rFonts w:ascii="Tahoma" w:hAnsi="Tahoma"/>
    </w:rPr>
  </w:style>
  <w:style w:type="character" w:styleId="Hyperlink">
    <w:name w:val="Hyperlink"/>
    <w:uiPriority w:val="99"/>
    <w:rPr>
      <w:color w:val="0000FF"/>
      <w:u w:val="single"/>
    </w:rPr>
  </w:style>
  <w:style w:type="character" w:styleId="Seitenzahl">
    <w:name w:val="page number"/>
    <w:basedOn w:val="Absatz-Standardschriftart"/>
  </w:style>
  <w:style w:type="paragraph" w:styleId="Textkrper-Zeileneinzug">
    <w:name w:val="Body Text Indent"/>
    <w:basedOn w:val="Standard"/>
    <w:pPr>
      <w:ind w:left="567"/>
    </w:pPr>
    <w:rPr>
      <w:sz w:val="24"/>
    </w:rPr>
  </w:style>
  <w:style w:type="paragraph" w:customStyle="1" w:styleId="Kopzeile-fett">
    <w:name w:val="Kopzeile-fett"/>
    <w:basedOn w:val="Kopfzeile"/>
    <w:pPr>
      <w:spacing w:after="120"/>
    </w:pPr>
    <w:rPr>
      <w:b/>
      <w:sz w:val="20"/>
    </w:rPr>
  </w:style>
  <w:style w:type="paragraph" w:styleId="Textkrper2">
    <w:name w:val="Body Text 2"/>
    <w:basedOn w:val="Standard"/>
    <w:link w:val="Textkrper2Zchn"/>
    <w:pPr>
      <w:spacing w:before="60" w:after="60"/>
    </w:pPr>
    <w:rPr>
      <w:i/>
      <w:color w:val="0000FF"/>
    </w:rPr>
  </w:style>
  <w:style w:type="paragraph" w:customStyle="1" w:styleId="Standard-fett">
    <w:name w:val="Standard-fett"/>
    <w:basedOn w:val="Standard"/>
    <w:link w:val="Standard-fettChar"/>
    <w:pPr>
      <w:spacing w:before="60" w:after="60"/>
    </w:pPr>
    <w:rPr>
      <w:b/>
    </w:rPr>
  </w:style>
  <w:style w:type="paragraph" w:customStyle="1" w:styleId="Official-Use">
    <w:name w:val="Official-Use"/>
    <w:basedOn w:val="Standard"/>
    <w:pPr>
      <w:spacing w:before="60" w:after="60"/>
      <w:jc w:val="center"/>
    </w:pPr>
    <w:rPr>
      <w:sz w:val="16"/>
    </w:rPr>
  </w:style>
  <w:style w:type="paragraph" w:customStyle="1" w:styleId="SectionHeader">
    <w:name w:val="SectionHeader"/>
    <w:basedOn w:val="Standard"/>
    <w:pPr>
      <w:spacing w:before="60" w:after="60"/>
    </w:pPr>
    <w:rPr>
      <w:b/>
      <w:sz w:val="24"/>
    </w:rPr>
  </w:style>
  <w:style w:type="paragraph" w:customStyle="1" w:styleId="Kopfzeile-fett-rechts">
    <w:name w:val="Kopfzeile-fett-rechts"/>
    <w:basedOn w:val="Kopzeile-fett"/>
    <w:pPr>
      <w:jc w:val="right"/>
    </w:pPr>
    <w:rPr>
      <w:lang w:val="en-GB"/>
    </w:rPr>
  </w:style>
  <w:style w:type="paragraph" w:styleId="Umschlagabsenderadresse">
    <w:name w:val="envelope return"/>
    <w:basedOn w:val="Standard"/>
    <w:rPr>
      <w:rFonts w:ascii="Arial" w:hAnsi="Arial"/>
    </w:rPr>
  </w:style>
  <w:style w:type="paragraph" w:styleId="Anrede">
    <w:name w:val="Salutation"/>
    <w:basedOn w:val="Standard"/>
    <w:next w:val="Standard"/>
  </w:style>
  <w:style w:type="paragraph" w:styleId="Aufzhlungszeichen">
    <w:name w:val="List Bullet"/>
    <w:basedOn w:val="Standard"/>
    <w:autoRedefine/>
    <w:pPr>
      <w:tabs>
        <w:tab w:val="num" w:pos="360"/>
      </w:tabs>
      <w:ind w:left="360" w:hanging="360"/>
    </w:pPr>
  </w:style>
  <w:style w:type="paragraph" w:styleId="Aufzhlungszeichen2">
    <w:name w:val="List Bullet 2"/>
    <w:basedOn w:val="Standard"/>
    <w:autoRedefine/>
    <w:pPr>
      <w:tabs>
        <w:tab w:val="num" w:pos="643"/>
      </w:tabs>
      <w:ind w:left="643" w:hanging="360"/>
    </w:pPr>
  </w:style>
  <w:style w:type="paragraph" w:styleId="Aufzhlungszeichen3">
    <w:name w:val="List Bullet 3"/>
    <w:basedOn w:val="Standard"/>
    <w:autoRedefine/>
    <w:pPr>
      <w:tabs>
        <w:tab w:val="num" w:pos="926"/>
      </w:tabs>
      <w:ind w:left="926" w:hanging="360"/>
    </w:pPr>
  </w:style>
  <w:style w:type="paragraph" w:styleId="Aufzhlungszeichen4">
    <w:name w:val="List Bullet 4"/>
    <w:basedOn w:val="Standard"/>
    <w:autoRedefine/>
    <w:pPr>
      <w:tabs>
        <w:tab w:val="num" w:pos="1209"/>
      </w:tabs>
      <w:ind w:left="1209" w:hanging="360"/>
    </w:pPr>
  </w:style>
  <w:style w:type="paragraph" w:styleId="Aufzhlungszeichen5">
    <w:name w:val="List Bullet 5"/>
    <w:basedOn w:val="Standard"/>
    <w:autoRedefine/>
    <w:pPr>
      <w:tabs>
        <w:tab w:val="num" w:pos="1492"/>
      </w:tabs>
      <w:ind w:left="1492" w:hanging="360"/>
    </w:pPr>
  </w:style>
  <w:style w:type="paragraph" w:styleId="Blocktext">
    <w:name w:val="Block Text"/>
    <w:basedOn w:val="Standard"/>
    <w:pPr>
      <w:ind w:left="1440" w:right="1440"/>
    </w:pPr>
  </w:style>
  <w:style w:type="paragraph" w:styleId="Datum">
    <w:name w:val="Date"/>
    <w:basedOn w:val="Standard"/>
    <w:next w:val="Standard"/>
  </w:style>
  <w:style w:type="paragraph" w:styleId="Fu-Endnotenberschrift">
    <w:name w:val="Note Heading"/>
    <w:basedOn w:val="Standard"/>
    <w:next w:val="Standard"/>
  </w:style>
  <w:style w:type="paragraph" w:styleId="Gruformel">
    <w:name w:val="Closing"/>
    <w:basedOn w:val="Standard"/>
    <w:pPr>
      <w:ind w:left="4252"/>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tabs>
        <w:tab w:val="num" w:pos="360"/>
      </w:tabs>
      <w:ind w:left="360" w:hanging="360"/>
    </w:pPr>
  </w:style>
  <w:style w:type="paragraph" w:styleId="Listennummer2">
    <w:name w:val="List Number 2"/>
    <w:basedOn w:val="Standard"/>
    <w:pPr>
      <w:tabs>
        <w:tab w:val="num" w:pos="643"/>
      </w:tabs>
      <w:ind w:left="643" w:hanging="360"/>
    </w:pPr>
  </w:style>
  <w:style w:type="paragraph" w:styleId="Listennummer3">
    <w:name w:val="List Number 3"/>
    <w:basedOn w:val="Standard"/>
    <w:pPr>
      <w:tabs>
        <w:tab w:val="num" w:pos="926"/>
      </w:tabs>
      <w:ind w:left="926" w:hanging="360"/>
    </w:pPr>
  </w:style>
  <w:style w:type="paragraph" w:styleId="Listennummer4">
    <w:name w:val="List Number 4"/>
    <w:basedOn w:val="Standard"/>
    <w:pPr>
      <w:tabs>
        <w:tab w:val="num" w:pos="1209"/>
      </w:tabs>
      <w:ind w:left="1209" w:hanging="360"/>
    </w:p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3">
    <w:name w:val="Body Text 3"/>
    <w:basedOn w:val="Standard"/>
    <w:rPr>
      <w:sz w:val="16"/>
    </w:rPr>
  </w:style>
  <w:style w:type="paragraph" w:styleId="Textkrper-Einzug2">
    <w:name w:val="Body Text Indent 2"/>
    <w:basedOn w:val="Standard"/>
    <w:link w:val="Textkrper-Einzug2Zchn"/>
    <w:pPr>
      <w:spacing w:line="480" w:lineRule="auto"/>
      <w:ind w:left="283"/>
    </w:pPr>
  </w:style>
  <w:style w:type="paragraph" w:styleId="Textkrper-Einzug3">
    <w:name w:val="Body Text Indent 3"/>
    <w:basedOn w:val="Standard"/>
    <w:pPr>
      <w:ind w:left="283"/>
    </w:pPr>
    <w:rPr>
      <w:sz w:val="16"/>
    </w:rPr>
  </w:style>
  <w:style w:type="paragraph" w:styleId="Textkrper-Erstzeileneinzug">
    <w:name w:val="Body Text First Indent"/>
    <w:basedOn w:val="Textkrper"/>
    <w:pPr>
      <w:spacing w:before="120" w:after="120" w:line="360" w:lineRule="auto"/>
      <w:ind w:firstLine="210"/>
    </w:pPr>
  </w:style>
  <w:style w:type="paragraph" w:styleId="Textkrper-Erstzeileneinzug2">
    <w:name w:val="Body Text First Indent 2"/>
    <w:basedOn w:val="Textkrper-Zeileneinzug"/>
    <w:pPr>
      <w:spacing w:before="120" w:after="120" w:line="360" w:lineRule="auto"/>
      <w:ind w:left="283" w:firstLine="210"/>
    </w:pPr>
    <w:rPr>
      <w:sz w:val="22"/>
    </w:rPr>
  </w:style>
  <w:style w:type="paragraph" w:styleId="Titel">
    <w:name w:val="Title"/>
    <w:basedOn w:val="Standard"/>
    <w:link w:val="TitelZchn"/>
    <w:qFormat/>
    <w:rsid w:val="00CB3740"/>
    <w:pPr>
      <w:spacing w:before="240" w:after="60"/>
      <w:ind w:left="1701" w:hanging="1701"/>
      <w:outlineLvl w:val="0"/>
    </w:pPr>
    <w:rPr>
      <w:rFonts w:eastAsia="Calibri"/>
      <w:b/>
      <w:kern w:val="28"/>
      <w:sz w:val="28"/>
      <w:szCs w:val="36"/>
      <w:lang w:eastAsia="en-US"/>
    </w:rPr>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Unterschrift">
    <w:name w:val="Signature"/>
    <w:basedOn w:val="Standard"/>
    <w:pPr>
      <w:ind w:left="4252"/>
    </w:pPr>
  </w:style>
  <w:style w:type="paragraph" w:styleId="Untertitel">
    <w:name w:val="Subtitle"/>
    <w:basedOn w:val="Standard"/>
    <w:link w:val="UntertitelZchn"/>
    <w:qFormat/>
    <w:rsid w:val="00D76050"/>
    <w:pPr>
      <w:spacing w:after="60"/>
      <w:outlineLvl w:val="1"/>
    </w:pPr>
    <w:rPr>
      <w:b/>
      <w:sz w:val="36"/>
      <w:szCs w:val="36"/>
    </w:rPr>
  </w:style>
  <w:style w:type="paragraph" w:styleId="RGV-berschrift">
    <w:name w:val="toa heading"/>
    <w:basedOn w:val="Standard"/>
    <w:next w:val="Standard"/>
    <w:semiHidden/>
    <w:rPr>
      <w:rFonts w:ascii="Arial" w:hAnsi="Arial"/>
      <w:b/>
      <w:sz w:val="24"/>
    </w:rPr>
  </w:style>
  <w:style w:type="paragraph" w:styleId="Rechtsgrundlagenverzeichnis">
    <w:name w:val="table of authorities"/>
    <w:basedOn w:val="Standard"/>
    <w:next w:val="Standard"/>
    <w:semiHidden/>
    <w:pPr>
      <w:ind w:left="220" w:hanging="220"/>
    </w:pPr>
  </w:style>
  <w:style w:type="paragraph" w:customStyle="1" w:styleId="QuellenangabePagina">
    <w:name w:val="Quellenangabe/Pagina"/>
    <w:basedOn w:val="Standar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Standar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Standard"/>
    <w:pPr>
      <w:keepNext/>
      <w:keepLines/>
      <w:spacing w:before="60" w:after="60"/>
    </w:pPr>
    <w:rPr>
      <w:i/>
      <w:color w:val="000000"/>
    </w:rPr>
  </w:style>
  <w:style w:type="paragraph" w:customStyle="1" w:styleId="SectionHeader-Crossref">
    <w:name w:val="SectionHeader-Crossref"/>
    <w:basedOn w:val="Standard"/>
    <w:pPr>
      <w:spacing w:before="60" w:after="60"/>
    </w:pPr>
    <w:rPr>
      <w:b/>
    </w:rPr>
  </w:style>
  <w:style w:type="paragraph" w:customStyle="1" w:styleId="Standard-kurs-rot">
    <w:name w:val="Standard-kurs-rot"/>
    <w:basedOn w:val="Standard"/>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Standard"/>
  </w:style>
  <w:style w:type="paragraph" w:customStyle="1" w:styleId="Standard-italics">
    <w:name w:val="Standard-italics"/>
    <w:basedOn w:val="Standard"/>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Standard"/>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BesuchterHyperlink">
    <w:name w:val="FollowedHyperlink"/>
    <w:rsid w:val="00314E59"/>
    <w:rPr>
      <w:color w:val="800080"/>
      <w:u w:val="single"/>
    </w:rPr>
  </w:style>
  <w:style w:type="paragraph" w:styleId="Sprechblasentext">
    <w:name w:val="Balloon Text"/>
    <w:basedOn w:val="Standard"/>
    <w:link w:val="SprechblasentextZchn"/>
    <w:rsid w:val="00B26DCE"/>
    <w:rPr>
      <w:rFonts w:ascii="Tahoma" w:hAnsi="Tahoma" w:cs="Tahoma"/>
      <w:sz w:val="16"/>
      <w:szCs w:val="16"/>
    </w:rPr>
  </w:style>
  <w:style w:type="character" w:customStyle="1" w:styleId="SprechblasentextZchn">
    <w:name w:val="Sprechblasentext Zchn"/>
    <w:link w:val="Sprechblasentext"/>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Standard"/>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FuzeileZchn">
    <w:name w:val="Fußzeile Zchn"/>
    <w:link w:val="Fuzeile"/>
    <w:uiPriority w:val="99"/>
    <w:rsid w:val="00AD09CA"/>
    <w:rPr>
      <w:sz w:val="22"/>
      <w:lang w:val="de-DE" w:eastAsia="de-DE"/>
    </w:rPr>
  </w:style>
  <w:style w:type="paragraph" w:styleId="Listenabsatz">
    <w:name w:val="List Paragraph"/>
    <w:basedOn w:val="Standard"/>
    <w:link w:val="ListenabsatzZchn"/>
    <w:uiPriority w:val="34"/>
    <w:qFormat/>
    <w:rsid w:val="006E28B6"/>
    <w:pPr>
      <w:ind w:left="720"/>
    </w:pPr>
  </w:style>
  <w:style w:type="paragraph" w:customStyle="1" w:styleId="CSRHeading1">
    <w:name w:val="CSR Heading 1"/>
    <w:basedOn w:val="Standard"/>
    <w:next w:val="Standard"/>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Standard"/>
    <w:uiPriority w:val="1"/>
    <w:qFormat/>
    <w:rsid w:val="00A53BD0"/>
    <w:pPr>
      <w:keepNext/>
    </w:pPr>
    <w:rPr>
      <w:sz w:val="35"/>
    </w:rPr>
  </w:style>
  <w:style w:type="character" w:customStyle="1" w:styleId="BeschriftungZchn">
    <w:name w:val="Beschriftung Zchn"/>
    <w:aliases w:val="o Zchn"/>
    <w:link w:val="Beschriftung"/>
    <w:rsid w:val="00E158E0"/>
    <w:rPr>
      <w:sz w:val="22"/>
      <w:lang w:val="de-DE" w:eastAsia="de-DE"/>
    </w:rPr>
  </w:style>
  <w:style w:type="table" w:styleId="Tabellenraster">
    <w:name w:val="Table Grid"/>
    <w:basedOn w:val="NormaleTabelle"/>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rsid w:val="00D21B1D"/>
    <w:rPr>
      <w:b/>
      <w:bCs/>
    </w:rPr>
  </w:style>
  <w:style w:type="character" w:customStyle="1" w:styleId="KommentartextZchn">
    <w:name w:val="Kommentartext Zchn"/>
    <w:link w:val="Kommentartext"/>
    <w:rsid w:val="00D21B1D"/>
    <w:rPr>
      <w:lang w:val="de-DE" w:eastAsia="de-DE"/>
    </w:rPr>
  </w:style>
  <w:style w:type="character" w:customStyle="1" w:styleId="KommentarthemaZchn">
    <w:name w:val="Kommentarthema Zchn"/>
    <w:link w:val="Kommentarthema"/>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Standard"/>
    <w:next w:val="Standard"/>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Standard"/>
    <w:next w:val="Standard"/>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Standard"/>
    <w:next w:val="Standard"/>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FunotentextZchn">
    <w:name w:val="Fußnotentext Zchn"/>
    <w:link w:val="Funotentext"/>
    <w:uiPriority w:val="99"/>
    <w:semiHidden/>
    <w:locked/>
    <w:rsid w:val="00307AA0"/>
    <w:rPr>
      <w:rFonts w:ascii="Verdana" w:hAnsi="Verdana"/>
      <w:position w:val="4"/>
      <w:lang w:val="de-DE" w:eastAsia="de-DE"/>
    </w:rPr>
  </w:style>
  <w:style w:type="paragraph" w:styleId="Inhaltsverzeichnisberschrift">
    <w:name w:val="TOC Heading"/>
    <w:basedOn w:val="berschrift1"/>
    <w:next w:val="Standard"/>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styleId="berarbeitung">
    <w:name w:val="Revision"/>
    <w:hidden/>
    <w:semiHidden/>
    <w:rsid w:val="005832F3"/>
    <w:rPr>
      <w:rFonts w:ascii="Verdana" w:hAnsi="Verdana"/>
      <w:lang w:val="de-DE" w:eastAsia="de-DE"/>
    </w:rPr>
  </w:style>
  <w:style w:type="character" w:customStyle="1" w:styleId="berschrift2Zchn">
    <w:name w:val="Überschrift 2 Zchn"/>
    <w:link w:val="berschrift2"/>
    <w:rsid w:val="00E4432B"/>
    <w:rPr>
      <w:rFonts w:ascii="Verdana" w:eastAsia="Calibri" w:hAnsi="Verdana"/>
      <w:b/>
      <w:caps/>
      <w:color w:val="000000" w:themeColor="text1"/>
      <w:sz w:val="24"/>
      <w:lang w:val="de-DE" w:eastAsia="en-US"/>
    </w:rPr>
  </w:style>
  <w:style w:type="character" w:customStyle="1" w:styleId="berschrift3Zchn">
    <w:name w:val="Überschrift 3 Zchn"/>
    <w:link w:val="berschrift3"/>
    <w:rsid w:val="00615C12"/>
    <w:rPr>
      <w:rFonts w:ascii="Verdana" w:hAnsi="Verdana"/>
      <w:b/>
      <w:i/>
      <w:sz w:val="22"/>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Standard"/>
    <w:next w:val="Standard"/>
    <w:uiPriority w:val="99"/>
    <w:rsid w:val="005F0919"/>
    <w:pPr>
      <w:autoSpaceDE w:val="0"/>
      <w:autoSpaceDN w:val="0"/>
      <w:adjustRightInd w:val="0"/>
    </w:pPr>
    <w:rPr>
      <w:rFonts w:ascii="EUAlbertina" w:hAnsi="EUAlbertina"/>
      <w:sz w:val="24"/>
      <w:szCs w:val="24"/>
      <w:lang w:eastAsia="en-GB"/>
    </w:rPr>
  </w:style>
  <w:style w:type="character" w:customStyle="1" w:styleId="KopfzeileZchn">
    <w:name w:val="Kopfzeile Zchn"/>
    <w:aliases w:val="header protocols Zchn,Header 1 Zchn"/>
    <w:link w:val="Kopfzeile"/>
    <w:uiPriority w:val="99"/>
    <w:rsid w:val="000D4863"/>
    <w:rPr>
      <w:sz w:val="22"/>
      <w:lang w:val="de-DE" w:eastAsia="de-DE"/>
    </w:rPr>
  </w:style>
  <w:style w:type="numbering" w:customStyle="1" w:styleId="NoList1">
    <w:name w:val="No List1"/>
    <w:next w:val="KeineListe"/>
    <w:uiPriority w:val="99"/>
    <w:semiHidden/>
    <w:unhideWhenUsed/>
    <w:rsid w:val="00A53EE0"/>
  </w:style>
  <w:style w:type="character" w:customStyle="1" w:styleId="berschrift1Zchn">
    <w:name w:val="Überschrift 1 Zchn"/>
    <w:link w:val="berschrift1"/>
    <w:rsid w:val="00A53EE0"/>
    <w:rPr>
      <w:rFonts w:ascii="Verdana" w:hAnsi="Verdana"/>
      <w:b/>
      <w:caps/>
      <w:sz w:val="28"/>
      <w:lang w:val="de-DE" w:eastAsia="de-DE"/>
    </w:rPr>
  </w:style>
  <w:style w:type="character" w:customStyle="1" w:styleId="berschrift4Zchn">
    <w:name w:val="Überschrift 4 Zchn"/>
    <w:link w:val="berschrift4"/>
    <w:rsid w:val="00BD7FBF"/>
    <w:rPr>
      <w:rFonts w:ascii="Verdana" w:eastAsia="Calibri" w:hAnsi="Verdana"/>
      <w:b/>
      <w:i/>
      <w:caps/>
      <w:sz w:val="22"/>
      <w:szCs w:val="22"/>
      <w:lang w:val="de-DE" w:eastAsia="en-US"/>
    </w:rPr>
  </w:style>
  <w:style w:type="character" w:customStyle="1" w:styleId="berschrift5Zchn">
    <w:name w:val="Überschrift 5 Zchn"/>
    <w:aliases w:val="Überschrift 4a Zchn"/>
    <w:link w:val="berschrift5"/>
    <w:rsid w:val="00A53EE0"/>
    <w:rPr>
      <w:rFonts w:ascii="Verdana" w:hAnsi="Verdana"/>
      <w:sz w:val="22"/>
      <w:lang w:val="de-DE" w:eastAsia="de-DE"/>
    </w:rPr>
  </w:style>
  <w:style w:type="character" w:customStyle="1" w:styleId="berschrift6Zchn">
    <w:name w:val="Überschrift 6 Zchn"/>
    <w:link w:val="berschrift6"/>
    <w:rsid w:val="00A53EE0"/>
    <w:rPr>
      <w:rFonts w:ascii="Verdana" w:hAnsi="Verdana"/>
      <w:caps/>
      <w:sz w:val="22"/>
      <w:lang w:val="de-DE" w:eastAsia="de-DE"/>
    </w:rPr>
  </w:style>
  <w:style w:type="character" w:customStyle="1" w:styleId="berschrift7Zchn">
    <w:name w:val="Überschrift 7 Zchn"/>
    <w:link w:val="berschrift7"/>
    <w:rsid w:val="00A53EE0"/>
    <w:rPr>
      <w:rFonts w:ascii="Verdana" w:hAnsi="Verdana"/>
      <w:caps/>
      <w:sz w:val="22"/>
      <w:lang w:val="de-DE" w:eastAsia="de-DE"/>
    </w:rPr>
  </w:style>
  <w:style w:type="character" w:customStyle="1" w:styleId="berschrift8Zchn">
    <w:name w:val="Überschrift 8 Zchn"/>
    <w:link w:val="berschrift8"/>
    <w:rsid w:val="00A53EE0"/>
    <w:rPr>
      <w:rFonts w:ascii="Verdana" w:hAnsi="Verdana"/>
      <w:caps/>
      <w:sz w:val="22"/>
      <w:lang w:val="de-DE" w:eastAsia="de-DE"/>
    </w:rPr>
  </w:style>
  <w:style w:type="character" w:customStyle="1" w:styleId="berschrift9Zchn">
    <w:name w:val="Überschrift 9 Zchn"/>
    <w:link w:val="berschrift9"/>
    <w:rsid w:val="00A53EE0"/>
    <w:rPr>
      <w:rFonts w:ascii="Verdana" w:hAnsi="Verdana"/>
      <w:caps/>
      <w:sz w:val="22"/>
      <w:lang w:val="de-DE" w:eastAsia="de-DE"/>
    </w:rPr>
  </w:style>
  <w:style w:type="character" w:customStyle="1" w:styleId="TextkrperZchn">
    <w:name w:val="Textkörper Zchn"/>
    <w:link w:val="Textkrper"/>
    <w:rsid w:val="00A53EE0"/>
    <w:rPr>
      <w:rFonts w:ascii="Verdana" w:hAnsi="Verdana"/>
      <w:lang w:eastAsia="de-DE"/>
    </w:rPr>
  </w:style>
  <w:style w:type="character" w:styleId="Fett">
    <w:name w:val="Strong"/>
    <w:qFormat/>
    <w:rsid w:val="00A53EE0"/>
    <w:rPr>
      <w:b/>
      <w:bCs/>
    </w:rPr>
  </w:style>
  <w:style w:type="numbering" w:customStyle="1" w:styleId="NoList11">
    <w:name w:val="No List11"/>
    <w:next w:val="KeineListe"/>
    <w:uiPriority w:val="99"/>
    <w:semiHidden/>
    <w:unhideWhenUsed/>
    <w:rsid w:val="00A53EE0"/>
  </w:style>
  <w:style w:type="paragraph" w:customStyle="1" w:styleId="Titel1">
    <w:name w:val="Titel 1"/>
    <w:basedOn w:val="berschrift1"/>
    <w:next w:val="Standard"/>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Standard"/>
    <w:link w:val="TableheadZchn"/>
    <w:rsid w:val="00A53EE0"/>
    <w:rPr>
      <w:rFonts w:eastAsia="Calibri"/>
      <w:b/>
      <w:lang w:val="en-US"/>
    </w:rPr>
  </w:style>
  <w:style w:type="paragraph" w:customStyle="1" w:styleId="Tablebody">
    <w:name w:val="Tablebody"/>
    <w:basedOn w:val="Standard"/>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Standard"/>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NormaleTabelle"/>
    <w:next w:val="Tabellenraster"/>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Standard"/>
    <w:rsid w:val="00A53EE0"/>
    <w:pPr>
      <w:spacing w:before="120" w:after="120"/>
      <w:ind w:left="1417" w:hanging="567"/>
      <w:jc w:val="both"/>
    </w:pPr>
    <w:rPr>
      <w:sz w:val="24"/>
    </w:rPr>
  </w:style>
  <w:style w:type="character" w:customStyle="1" w:styleId="Textkrper-Einzug2Zchn">
    <w:name w:val="Textkörper-Einzug 2 Zchn"/>
    <w:link w:val="Textkrper-Einzug2"/>
    <w:rsid w:val="00A53EE0"/>
    <w:rPr>
      <w:rFonts w:ascii="Verdana" w:hAnsi="Verdana"/>
      <w:lang w:eastAsia="de-DE"/>
    </w:rPr>
  </w:style>
  <w:style w:type="paragraph" w:styleId="StandardWeb">
    <w:name w:val="Normal (Web)"/>
    <w:basedOn w:val="Standard"/>
    <w:rsid w:val="00A53EE0"/>
    <w:pPr>
      <w:spacing w:before="100" w:beforeAutospacing="1" w:after="119"/>
    </w:pPr>
    <w:rPr>
      <w:rFonts w:ascii="Arial Unicode MS" w:eastAsia="Arial Unicode MS" w:hAnsi="Arial Unicode MS" w:cs="Arial Unicode MS"/>
      <w:sz w:val="24"/>
      <w:lang w:eastAsia="en-US"/>
    </w:rPr>
  </w:style>
  <w:style w:type="character" w:styleId="Hervorhebung">
    <w:name w:val="Emphasis"/>
    <w:uiPriority w:val="99"/>
    <w:qFormat/>
    <w:rsid w:val="00A53EE0"/>
    <w:rPr>
      <w:rFonts w:ascii="Times New Roman" w:hAnsi="Times New Roman"/>
      <w:i/>
      <w:iCs/>
      <w:sz w:val="20"/>
    </w:rPr>
  </w:style>
  <w:style w:type="character" w:styleId="SchwacheHervorhebung">
    <w:name w:val="Subtle Emphasis"/>
    <w:uiPriority w:val="19"/>
    <w:qFormat/>
    <w:rsid w:val="00A53EE0"/>
    <w:rPr>
      <w:rFonts w:ascii="Verdana" w:hAnsi="Verdana"/>
      <w:i/>
      <w:iCs/>
      <w:color w:val="808080"/>
      <w:sz w:val="18"/>
    </w:rPr>
  </w:style>
  <w:style w:type="paragraph" w:customStyle="1" w:styleId="CharChar4CharChar">
    <w:name w:val="Char Char4 Char Char"/>
    <w:basedOn w:val="Standard"/>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Standard"/>
    <w:next w:val="Standard"/>
    <w:uiPriority w:val="1"/>
    <w:qFormat/>
    <w:rsid w:val="00A53EE0"/>
    <w:pPr>
      <w:widowControl w:val="0"/>
      <w:autoSpaceDE w:val="0"/>
      <w:autoSpaceDN w:val="0"/>
      <w:adjustRightInd w:val="0"/>
    </w:pPr>
    <w:rPr>
      <w:rFonts w:cs="Times"/>
      <w:bCs/>
      <w:sz w:val="16"/>
      <w:szCs w:val="29"/>
      <w:lang w:val="de-DE"/>
    </w:rPr>
  </w:style>
  <w:style w:type="character" w:customStyle="1" w:styleId="TitelZchn">
    <w:name w:val="Titel Zchn"/>
    <w:link w:val="Titel"/>
    <w:rsid w:val="00A53EE0"/>
    <w:rPr>
      <w:rFonts w:ascii="Verdana" w:eastAsia="Calibri" w:hAnsi="Verdana"/>
      <w:b/>
      <w:kern w:val="28"/>
      <w:sz w:val="28"/>
      <w:szCs w:val="36"/>
      <w:lang w:eastAsia="en-US"/>
    </w:rPr>
  </w:style>
  <w:style w:type="character" w:customStyle="1" w:styleId="UntertitelZchn">
    <w:name w:val="Untertitel Zchn"/>
    <w:link w:val="Untertitel"/>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paragraph" w:customStyle="1" w:styleId="ECL">
    <w:name w:val="ECL"/>
    <w:basedOn w:val="Standard"/>
    <w:rsid w:val="004734DE"/>
    <w:pPr>
      <w:tabs>
        <w:tab w:val="left" w:pos="1491"/>
      </w:tabs>
    </w:pPr>
    <w:rPr>
      <w:rFonts w:ascii="Times New Roman" w:hAnsi="Times New Roman"/>
      <w:noProof/>
      <w:szCs w:val="24"/>
      <w:lang w:eastAsia="en-US"/>
    </w:rPr>
  </w:style>
  <w:style w:type="paragraph" w:customStyle="1" w:styleId="Standardlinks">
    <w:name w:val="Standard links"/>
    <w:basedOn w:val="Standard"/>
    <w:link w:val="StandardlinksZchn"/>
    <w:autoRedefine/>
    <w:rsid w:val="007C3492"/>
    <w:pPr>
      <w:keepNext/>
      <w:keepLines/>
      <w:spacing w:before="60" w:after="60"/>
    </w:pPr>
    <w:rPr>
      <w:rFonts w:ascii="Times New Roman" w:hAnsi="Times New Roman"/>
      <w:i/>
    </w:rPr>
  </w:style>
  <w:style w:type="character" w:customStyle="1" w:styleId="StandardlinksZchn">
    <w:name w:val="Standard links Zchn"/>
    <w:link w:val="Standardlinks"/>
    <w:rsid w:val="007C3492"/>
    <w:rPr>
      <w:i/>
      <w:lang w:val="en-GB"/>
    </w:rPr>
  </w:style>
  <w:style w:type="paragraph" w:customStyle="1" w:styleId="BodyTextCenter">
    <w:name w:val="Body Text Center"/>
    <w:aliases w:val="BC"/>
    <w:basedOn w:val="Textkrper"/>
    <w:next w:val="Textkrper"/>
    <w:rsid w:val="00F6730D"/>
    <w:pPr>
      <w:widowControl w:val="0"/>
      <w:spacing w:after="240" w:line="240" w:lineRule="atLeast"/>
      <w:jc w:val="center"/>
    </w:pPr>
    <w:rPr>
      <w:rFonts w:ascii="Times New Roman" w:hAnsi="Times New Roman"/>
      <w:spacing w:val="-5"/>
      <w:sz w:val="22"/>
      <w:szCs w:val="22"/>
      <w:lang w:eastAsia="en-US"/>
    </w:rPr>
  </w:style>
  <w:style w:type="paragraph" w:customStyle="1" w:styleId="Textkrper21">
    <w:name w:val="Textkörper 21"/>
    <w:basedOn w:val="Standard"/>
    <w:semiHidden/>
    <w:locked/>
    <w:rsid w:val="000A229F"/>
    <w:pPr>
      <w:spacing w:before="180" w:after="180" w:line="360" w:lineRule="atLeast"/>
      <w:jc w:val="both"/>
    </w:pPr>
    <w:rPr>
      <w:rFonts w:ascii="Times New Roman" w:hAnsi="Times New Roman"/>
      <w:sz w:val="22"/>
    </w:rPr>
  </w:style>
  <w:style w:type="paragraph" w:customStyle="1" w:styleId="OmniPage4">
    <w:name w:val="OmniPage #4"/>
    <w:semiHidden/>
    <w:locked/>
    <w:rsid w:val="000A229F"/>
    <w:pPr>
      <w:tabs>
        <w:tab w:val="left" w:pos="50"/>
        <w:tab w:val="right" w:pos="7456"/>
      </w:tabs>
    </w:pPr>
    <w:rPr>
      <w:rFonts w:ascii="Courier" w:hAnsi="Courier"/>
      <w:lang w:val="de-DE" w:eastAsia="de-DE"/>
    </w:rPr>
  </w:style>
  <w:style w:type="paragraph" w:customStyle="1" w:styleId="MathemathischeFormel">
    <w:name w:val="Mathemathische Formel"/>
    <w:basedOn w:val="Standard"/>
    <w:rsid w:val="000A229F"/>
    <w:pPr>
      <w:spacing w:before="120" w:after="120"/>
      <w:jc w:val="center"/>
    </w:pPr>
    <w:rPr>
      <w:rFonts w:ascii="Times New Roman" w:hAnsi="Times New Roman"/>
      <w:szCs w:val="24"/>
    </w:rPr>
  </w:style>
  <w:style w:type="character" w:customStyle="1" w:styleId="Standard-fettChar">
    <w:name w:val="Standard-fett Char"/>
    <w:link w:val="Standard-fett"/>
    <w:rsid w:val="00EA230B"/>
    <w:rPr>
      <w:rFonts w:ascii="Verdana" w:hAnsi="Verdana"/>
      <w:b/>
      <w:lang w:val="en-GB" w:eastAsia="de-DE"/>
    </w:rPr>
  </w:style>
  <w:style w:type="paragraph" w:customStyle="1" w:styleId="Column3">
    <w:name w:val="Column 3"/>
    <w:basedOn w:val="Standard"/>
    <w:rsid w:val="00D93DFA"/>
    <w:pPr>
      <w:spacing w:before="40" w:line="240" w:lineRule="atLeast"/>
      <w:ind w:left="114"/>
    </w:pPr>
    <w:rPr>
      <w:rFonts w:ascii="Times New Roman" w:eastAsiaTheme="minorHAnsi" w:hAnsi="Times New Roman"/>
      <w:sz w:val="22"/>
      <w:szCs w:val="22"/>
      <w:lang w:val="de-AT" w:eastAsia="en-US"/>
    </w:rPr>
  </w:style>
  <w:style w:type="character" w:customStyle="1" w:styleId="AbsatzZchn">
    <w:name w:val="Absatz Zchn"/>
    <w:link w:val="Absatz"/>
    <w:rsid w:val="000A1DE3"/>
    <w:rPr>
      <w:lang w:val="en-GB" w:eastAsia="de-DE"/>
    </w:rPr>
  </w:style>
  <w:style w:type="character" w:customStyle="1" w:styleId="Textkrper2Zchn">
    <w:name w:val="Textkörper 2 Zchn"/>
    <w:basedOn w:val="Absatz-Standardschriftart"/>
    <w:link w:val="Textkrper2"/>
    <w:rsid w:val="00677D88"/>
    <w:rPr>
      <w:rFonts w:ascii="Verdana" w:hAnsi="Verdana"/>
      <w:i/>
      <w:color w:val="0000FF"/>
      <w:lang w:val="en-GB" w:eastAsia="de-DE"/>
    </w:rPr>
  </w:style>
  <w:style w:type="character" w:customStyle="1" w:styleId="ListenabsatzZchn">
    <w:name w:val="Listenabsatz Zchn"/>
    <w:link w:val="Listenabsatz"/>
    <w:uiPriority w:val="34"/>
    <w:rsid w:val="00E02607"/>
    <w:rPr>
      <w:rFonts w:ascii="Verdana" w:hAnsi="Verdana"/>
      <w:lang w:val="en-GB" w:eastAsia="de-DE"/>
    </w:rPr>
  </w:style>
  <w:style w:type="paragraph" w:customStyle="1" w:styleId="TEXTTEXT">
    <w:name w:val="TEXT TEXT"/>
    <w:basedOn w:val="berschrift1"/>
    <w:qFormat/>
    <w:rsid w:val="00395759"/>
    <w:pPr>
      <w:numPr>
        <w:numId w:val="17"/>
      </w:numPr>
      <w:spacing w:before="240" w:after="60"/>
      <w:outlineLvl w:val="9"/>
    </w:pPr>
    <w:rPr>
      <w:lang w:val="en-GB"/>
    </w:rPr>
  </w:style>
  <w:style w:type="paragraph" w:customStyle="1" w:styleId="TextText11">
    <w:name w:val="Text Text 1.1"/>
    <w:basedOn w:val="berschrift2"/>
    <w:qFormat/>
    <w:rsid w:val="00DF1B01"/>
    <w:pPr>
      <w:keepNext w:val="0"/>
      <w:numPr>
        <w:numId w:val="17"/>
      </w:numPr>
      <w:tabs>
        <w:tab w:val="clear" w:pos="1134"/>
      </w:tabs>
      <w:spacing w:before="60" w:after="60"/>
      <w:outlineLvl w:val="9"/>
    </w:pPr>
    <w:rPr>
      <w:lang w:val="en-GB"/>
    </w:rPr>
  </w:style>
  <w:style w:type="paragraph" w:customStyle="1" w:styleId="TxtTxtTxt">
    <w:name w:val="TxtTxtTxt"/>
    <w:basedOn w:val="berschrift3"/>
    <w:qFormat/>
    <w:rsid w:val="00DF1B01"/>
    <w:pPr>
      <w:keepNext w:val="0"/>
      <w:numPr>
        <w:numId w:val="17"/>
      </w:numPr>
      <w:spacing w:before="60" w:after="60"/>
      <w:outlineLvl w:val="9"/>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625">
      <w:bodyDiv w:val="1"/>
      <w:marLeft w:val="0"/>
      <w:marRight w:val="0"/>
      <w:marTop w:val="0"/>
      <w:marBottom w:val="0"/>
      <w:divBdr>
        <w:top w:val="none" w:sz="0" w:space="0" w:color="auto"/>
        <w:left w:val="none" w:sz="0" w:space="0" w:color="auto"/>
        <w:bottom w:val="none" w:sz="0" w:space="0" w:color="auto"/>
        <w:right w:val="none" w:sz="0" w:space="0" w:color="auto"/>
      </w:divBdr>
    </w:div>
    <w:div w:id="108816269">
      <w:bodyDiv w:val="1"/>
      <w:marLeft w:val="0"/>
      <w:marRight w:val="0"/>
      <w:marTop w:val="0"/>
      <w:marBottom w:val="0"/>
      <w:divBdr>
        <w:top w:val="none" w:sz="0" w:space="0" w:color="auto"/>
        <w:left w:val="none" w:sz="0" w:space="0" w:color="auto"/>
        <w:bottom w:val="none" w:sz="0" w:space="0" w:color="auto"/>
        <w:right w:val="none" w:sz="0" w:space="0" w:color="auto"/>
      </w:divBdr>
    </w:div>
    <w:div w:id="329254448">
      <w:bodyDiv w:val="1"/>
      <w:marLeft w:val="0"/>
      <w:marRight w:val="0"/>
      <w:marTop w:val="0"/>
      <w:marBottom w:val="0"/>
      <w:divBdr>
        <w:top w:val="none" w:sz="0" w:space="0" w:color="auto"/>
        <w:left w:val="none" w:sz="0" w:space="0" w:color="auto"/>
        <w:bottom w:val="none" w:sz="0" w:space="0" w:color="auto"/>
        <w:right w:val="none" w:sz="0" w:space="0" w:color="auto"/>
      </w:divBdr>
    </w:div>
    <w:div w:id="396244639">
      <w:bodyDiv w:val="1"/>
      <w:marLeft w:val="0"/>
      <w:marRight w:val="0"/>
      <w:marTop w:val="0"/>
      <w:marBottom w:val="0"/>
      <w:divBdr>
        <w:top w:val="none" w:sz="0" w:space="0" w:color="auto"/>
        <w:left w:val="none" w:sz="0" w:space="0" w:color="auto"/>
        <w:bottom w:val="none" w:sz="0" w:space="0" w:color="auto"/>
        <w:right w:val="none" w:sz="0" w:space="0" w:color="auto"/>
      </w:divBdr>
    </w:div>
    <w:div w:id="413087208">
      <w:bodyDiv w:val="1"/>
      <w:marLeft w:val="0"/>
      <w:marRight w:val="0"/>
      <w:marTop w:val="0"/>
      <w:marBottom w:val="0"/>
      <w:divBdr>
        <w:top w:val="none" w:sz="0" w:space="0" w:color="auto"/>
        <w:left w:val="none" w:sz="0" w:space="0" w:color="auto"/>
        <w:bottom w:val="none" w:sz="0" w:space="0" w:color="auto"/>
        <w:right w:val="none" w:sz="0" w:space="0" w:color="auto"/>
      </w:divBdr>
      <w:divsChild>
        <w:div w:id="85805546">
          <w:marLeft w:val="0"/>
          <w:marRight w:val="0"/>
          <w:marTop w:val="0"/>
          <w:marBottom w:val="0"/>
          <w:divBdr>
            <w:top w:val="none" w:sz="0" w:space="0" w:color="auto"/>
            <w:left w:val="none" w:sz="0" w:space="0" w:color="auto"/>
            <w:bottom w:val="none" w:sz="0" w:space="0" w:color="auto"/>
            <w:right w:val="none" w:sz="0" w:space="0" w:color="auto"/>
          </w:divBdr>
        </w:div>
        <w:div w:id="143160197">
          <w:marLeft w:val="0"/>
          <w:marRight w:val="0"/>
          <w:marTop w:val="0"/>
          <w:marBottom w:val="0"/>
          <w:divBdr>
            <w:top w:val="none" w:sz="0" w:space="0" w:color="auto"/>
            <w:left w:val="none" w:sz="0" w:space="0" w:color="auto"/>
            <w:bottom w:val="none" w:sz="0" w:space="0" w:color="auto"/>
            <w:right w:val="none" w:sz="0" w:space="0" w:color="auto"/>
          </w:divBdr>
        </w:div>
        <w:div w:id="344788676">
          <w:marLeft w:val="0"/>
          <w:marRight w:val="0"/>
          <w:marTop w:val="0"/>
          <w:marBottom w:val="0"/>
          <w:divBdr>
            <w:top w:val="none" w:sz="0" w:space="0" w:color="auto"/>
            <w:left w:val="none" w:sz="0" w:space="0" w:color="auto"/>
            <w:bottom w:val="none" w:sz="0" w:space="0" w:color="auto"/>
            <w:right w:val="none" w:sz="0" w:space="0" w:color="auto"/>
          </w:divBdr>
        </w:div>
        <w:div w:id="862136316">
          <w:marLeft w:val="0"/>
          <w:marRight w:val="0"/>
          <w:marTop w:val="0"/>
          <w:marBottom w:val="0"/>
          <w:divBdr>
            <w:top w:val="none" w:sz="0" w:space="0" w:color="auto"/>
            <w:left w:val="none" w:sz="0" w:space="0" w:color="auto"/>
            <w:bottom w:val="none" w:sz="0" w:space="0" w:color="auto"/>
            <w:right w:val="none" w:sz="0" w:space="0" w:color="auto"/>
          </w:divBdr>
        </w:div>
        <w:div w:id="931016381">
          <w:marLeft w:val="0"/>
          <w:marRight w:val="0"/>
          <w:marTop w:val="0"/>
          <w:marBottom w:val="0"/>
          <w:divBdr>
            <w:top w:val="none" w:sz="0" w:space="0" w:color="auto"/>
            <w:left w:val="none" w:sz="0" w:space="0" w:color="auto"/>
            <w:bottom w:val="none" w:sz="0" w:space="0" w:color="auto"/>
            <w:right w:val="none" w:sz="0" w:space="0" w:color="auto"/>
          </w:divBdr>
        </w:div>
        <w:div w:id="1436441534">
          <w:marLeft w:val="0"/>
          <w:marRight w:val="0"/>
          <w:marTop w:val="0"/>
          <w:marBottom w:val="0"/>
          <w:divBdr>
            <w:top w:val="none" w:sz="0" w:space="0" w:color="auto"/>
            <w:left w:val="none" w:sz="0" w:space="0" w:color="auto"/>
            <w:bottom w:val="none" w:sz="0" w:space="0" w:color="auto"/>
            <w:right w:val="none" w:sz="0" w:space="0" w:color="auto"/>
          </w:divBdr>
        </w:div>
        <w:div w:id="1471898566">
          <w:marLeft w:val="0"/>
          <w:marRight w:val="0"/>
          <w:marTop w:val="0"/>
          <w:marBottom w:val="0"/>
          <w:divBdr>
            <w:top w:val="none" w:sz="0" w:space="0" w:color="auto"/>
            <w:left w:val="none" w:sz="0" w:space="0" w:color="auto"/>
            <w:bottom w:val="none" w:sz="0" w:space="0" w:color="auto"/>
            <w:right w:val="none" w:sz="0" w:space="0" w:color="auto"/>
          </w:divBdr>
        </w:div>
        <w:div w:id="1494954450">
          <w:marLeft w:val="0"/>
          <w:marRight w:val="0"/>
          <w:marTop w:val="0"/>
          <w:marBottom w:val="0"/>
          <w:divBdr>
            <w:top w:val="none" w:sz="0" w:space="0" w:color="auto"/>
            <w:left w:val="none" w:sz="0" w:space="0" w:color="auto"/>
            <w:bottom w:val="none" w:sz="0" w:space="0" w:color="auto"/>
            <w:right w:val="none" w:sz="0" w:space="0" w:color="auto"/>
          </w:divBdr>
        </w:div>
        <w:div w:id="1541551310">
          <w:marLeft w:val="0"/>
          <w:marRight w:val="0"/>
          <w:marTop w:val="0"/>
          <w:marBottom w:val="0"/>
          <w:divBdr>
            <w:top w:val="none" w:sz="0" w:space="0" w:color="auto"/>
            <w:left w:val="none" w:sz="0" w:space="0" w:color="auto"/>
            <w:bottom w:val="none" w:sz="0" w:space="0" w:color="auto"/>
            <w:right w:val="none" w:sz="0" w:space="0" w:color="auto"/>
          </w:divBdr>
        </w:div>
        <w:div w:id="1913657565">
          <w:marLeft w:val="0"/>
          <w:marRight w:val="0"/>
          <w:marTop w:val="0"/>
          <w:marBottom w:val="0"/>
          <w:divBdr>
            <w:top w:val="none" w:sz="0" w:space="0" w:color="auto"/>
            <w:left w:val="none" w:sz="0" w:space="0" w:color="auto"/>
            <w:bottom w:val="none" w:sz="0" w:space="0" w:color="auto"/>
            <w:right w:val="none" w:sz="0" w:space="0" w:color="auto"/>
          </w:divBdr>
        </w:div>
        <w:div w:id="1927154638">
          <w:marLeft w:val="0"/>
          <w:marRight w:val="0"/>
          <w:marTop w:val="0"/>
          <w:marBottom w:val="0"/>
          <w:divBdr>
            <w:top w:val="none" w:sz="0" w:space="0" w:color="auto"/>
            <w:left w:val="none" w:sz="0" w:space="0" w:color="auto"/>
            <w:bottom w:val="none" w:sz="0" w:space="0" w:color="auto"/>
            <w:right w:val="none" w:sz="0" w:space="0" w:color="auto"/>
          </w:divBdr>
        </w:div>
        <w:div w:id="2059352068">
          <w:marLeft w:val="0"/>
          <w:marRight w:val="0"/>
          <w:marTop w:val="0"/>
          <w:marBottom w:val="0"/>
          <w:divBdr>
            <w:top w:val="none" w:sz="0" w:space="0" w:color="auto"/>
            <w:left w:val="none" w:sz="0" w:space="0" w:color="auto"/>
            <w:bottom w:val="none" w:sz="0" w:space="0" w:color="auto"/>
            <w:right w:val="none" w:sz="0" w:space="0" w:color="auto"/>
          </w:divBdr>
        </w:div>
        <w:div w:id="2085950553">
          <w:marLeft w:val="0"/>
          <w:marRight w:val="0"/>
          <w:marTop w:val="0"/>
          <w:marBottom w:val="0"/>
          <w:divBdr>
            <w:top w:val="none" w:sz="0" w:space="0" w:color="auto"/>
            <w:left w:val="none" w:sz="0" w:space="0" w:color="auto"/>
            <w:bottom w:val="none" w:sz="0" w:space="0" w:color="auto"/>
            <w:right w:val="none" w:sz="0" w:space="0" w:color="auto"/>
          </w:divBdr>
        </w:div>
      </w:divsChild>
    </w:div>
    <w:div w:id="461466812">
      <w:bodyDiv w:val="1"/>
      <w:marLeft w:val="0"/>
      <w:marRight w:val="0"/>
      <w:marTop w:val="0"/>
      <w:marBottom w:val="0"/>
      <w:divBdr>
        <w:top w:val="none" w:sz="0" w:space="0" w:color="auto"/>
        <w:left w:val="none" w:sz="0" w:space="0" w:color="auto"/>
        <w:bottom w:val="none" w:sz="0" w:space="0" w:color="auto"/>
        <w:right w:val="none" w:sz="0" w:space="0" w:color="auto"/>
      </w:divBdr>
    </w:div>
    <w:div w:id="642586927">
      <w:bodyDiv w:val="1"/>
      <w:marLeft w:val="0"/>
      <w:marRight w:val="0"/>
      <w:marTop w:val="0"/>
      <w:marBottom w:val="0"/>
      <w:divBdr>
        <w:top w:val="none" w:sz="0" w:space="0" w:color="auto"/>
        <w:left w:val="none" w:sz="0" w:space="0" w:color="auto"/>
        <w:bottom w:val="none" w:sz="0" w:space="0" w:color="auto"/>
        <w:right w:val="none" w:sz="0" w:space="0" w:color="auto"/>
      </w:divBdr>
      <w:divsChild>
        <w:div w:id="150222690">
          <w:marLeft w:val="0"/>
          <w:marRight w:val="0"/>
          <w:marTop w:val="0"/>
          <w:marBottom w:val="0"/>
          <w:divBdr>
            <w:top w:val="none" w:sz="0" w:space="0" w:color="auto"/>
            <w:left w:val="none" w:sz="0" w:space="0" w:color="auto"/>
            <w:bottom w:val="none" w:sz="0" w:space="0" w:color="auto"/>
            <w:right w:val="none" w:sz="0" w:space="0" w:color="auto"/>
          </w:divBdr>
        </w:div>
        <w:div w:id="723407200">
          <w:marLeft w:val="0"/>
          <w:marRight w:val="0"/>
          <w:marTop w:val="0"/>
          <w:marBottom w:val="0"/>
          <w:divBdr>
            <w:top w:val="none" w:sz="0" w:space="0" w:color="auto"/>
            <w:left w:val="none" w:sz="0" w:space="0" w:color="auto"/>
            <w:bottom w:val="none" w:sz="0" w:space="0" w:color="auto"/>
            <w:right w:val="none" w:sz="0" w:space="0" w:color="auto"/>
          </w:divBdr>
        </w:div>
        <w:div w:id="1304197160">
          <w:marLeft w:val="0"/>
          <w:marRight w:val="0"/>
          <w:marTop w:val="0"/>
          <w:marBottom w:val="0"/>
          <w:divBdr>
            <w:top w:val="none" w:sz="0" w:space="0" w:color="auto"/>
            <w:left w:val="none" w:sz="0" w:space="0" w:color="auto"/>
            <w:bottom w:val="none" w:sz="0" w:space="0" w:color="auto"/>
            <w:right w:val="none" w:sz="0" w:space="0" w:color="auto"/>
          </w:divBdr>
        </w:div>
        <w:div w:id="1325820086">
          <w:marLeft w:val="0"/>
          <w:marRight w:val="0"/>
          <w:marTop w:val="0"/>
          <w:marBottom w:val="0"/>
          <w:divBdr>
            <w:top w:val="none" w:sz="0" w:space="0" w:color="auto"/>
            <w:left w:val="none" w:sz="0" w:space="0" w:color="auto"/>
            <w:bottom w:val="none" w:sz="0" w:space="0" w:color="auto"/>
            <w:right w:val="none" w:sz="0" w:space="0" w:color="auto"/>
          </w:divBdr>
        </w:div>
        <w:div w:id="2020422426">
          <w:marLeft w:val="0"/>
          <w:marRight w:val="0"/>
          <w:marTop w:val="0"/>
          <w:marBottom w:val="0"/>
          <w:divBdr>
            <w:top w:val="none" w:sz="0" w:space="0" w:color="auto"/>
            <w:left w:val="none" w:sz="0" w:space="0" w:color="auto"/>
            <w:bottom w:val="none" w:sz="0" w:space="0" w:color="auto"/>
            <w:right w:val="none" w:sz="0" w:space="0" w:color="auto"/>
          </w:divBdr>
        </w:div>
      </w:divsChild>
    </w:div>
    <w:div w:id="782071228">
      <w:bodyDiv w:val="1"/>
      <w:marLeft w:val="0"/>
      <w:marRight w:val="0"/>
      <w:marTop w:val="0"/>
      <w:marBottom w:val="0"/>
      <w:divBdr>
        <w:top w:val="none" w:sz="0" w:space="0" w:color="auto"/>
        <w:left w:val="none" w:sz="0" w:space="0" w:color="auto"/>
        <w:bottom w:val="none" w:sz="0" w:space="0" w:color="auto"/>
        <w:right w:val="none" w:sz="0" w:space="0" w:color="auto"/>
      </w:divBdr>
      <w:divsChild>
        <w:div w:id="221330561">
          <w:marLeft w:val="0"/>
          <w:marRight w:val="0"/>
          <w:marTop w:val="0"/>
          <w:marBottom w:val="0"/>
          <w:divBdr>
            <w:top w:val="none" w:sz="0" w:space="0" w:color="auto"/>
            <w:left w:val="none" w:sz="0" w:space="0" w:color="auto"/>
            <w:bottom w:val="none" w:sz="0" w:space="0" w:color="auto"/>
            <w:right w:val="none" w:sz="0" w:space="0" w:color="auto"/>
          </w:divBdr>
        </w:div>
        <w:div w:id="1023286912">
          <w:marLeft w:val="0"/>
          <w:marRight w:val="0"/>
          <w:marTop w:val="0"/>
          <w:marBottom w:val="0"/>
          <w:divBdr>
            <w:top w:val="none" w:sz="0" w:space="0" w:color="auto"/>
            <w:left w:val="none" w:sz="0" w:space="0" w:color="auto"/>
            <w:bottom w:val="none" w:sz="0" w:space="0" w:color="auto"/>
            <w:right w:val="none" w:sz="0" w:space="0" w:color="auto"/>
          </w:divBdr>
        </w:div>
        <w:div w:id="1806776878">
          <w:marLeft w:val="0"/>
          <w:marRight w:val="0"/>
          <w:marTop w:val="0"/>
          <w:marBottom w:val="0"/>
          <w:divBdr>
            <w:top w:val="none" w:sz="0" w:space="0" w:color="auto"/>
            <w:left w:val="none" w:sz="0" w:space="0" w:color="auto"/>
            <w:bottom w:val="none" w:sz="0" w:space="0" w:color="auto"/>
            <w:right w:val="none" w:sz="0" w:space="0" w:color="auto"/>
          </w:divBdr>
        </w:div>
      </w:divsChild>
    </w:div>
    <w:div w:id="829297492">
      <w:bodyDiv w:val="1"/>
      <w:marLeft w:val="0"/>
      <w:marRight w:val="0"/>
      <w:marTop w:val="0"/>
      <w:marBottom w:val="0"/>
      <w:divBdr>
        <w:top w:val="none" w:sz="0" w:space="0" w:color="auto"/>
        <w:left w:val="none" w:sz="0" w:space="0" w:color="auto"/>
        <w:bottom w:val="none" w:sz="0" w:space="0" w:color="auto"/>
        <w:right w:val="none" w:sz="0" w:space="0" w:color="auto"/>
      </w:divBdr>
    </w:div>
    <w:div w:id="881984354">
      <w:bodyDiv w:val="1"/>
      <w:marLeft w:val="0"/>
      <w:marRight w:val="0"/>
      <w:marTop w:val="0"/>
      <w:marBottom w:val="0"/>
      <w:divBdr>
        <w:top w:val="none" w:sz="0" w:space="0" w:color="auto"/>
        <w:left w:val="none" w:sz="0" w:space="0" w:color="auto"/>
        <w:bottom w:val="none" w:sz="0" w:space="0" w:color="auto"/>
        <w:right w:val="none" w:sz="0" w:space="0" w:color="auto"/>
      </w:divBdr>
    </w:div>
    <w:div w:id="886378001">
      <w:bodyDiv w:val="1"/>
      <w:marLeft w:val="0"/>
      <w:marRight w:val="0"/>
      <w:marTop w:val="0"/>
      <w:marBottom w:val="0"/>
      <w:divBdr>
        <w:top w:val="none" w:sz="0" w:space="0" w:color="auto"/>
        <w:left w:val="none" w:sz="0" w:space="0" w:color="auto"/>
        <w:bottom w:val="none" w:sz="0" w:space="0" w:color="auto"/>
        <w:right w:val="none" w:sz="0" w:space="0" w:color="auto"/>
      </w:divBdr>
      <w:divsChild>
        <w:div w:id="65687961">
          <w:marLeft w:val="0"/>
          <w:marRight w:val="0"/>
          <w:marTop w:val="0"/>
          <w:marBottom w:val="0"/>
          <w:divBdr>
            <w:top w:val="none" w:sz="0" w:space="0" w:color="auto"/>
            <w:left w:val="none" w:sz="0" w:space="0" w:color="auto"/>
            <w:bottom w:val="none" w:sz="0" w:space="0" w:color="auto"/>
            <w:right w:val="none" w:sz="0" w:space="0" w:color="auto"/>
          </w:divBdr>
        </w:div>
        <w:div w:id="161314579">
          <w:marLeft w:val="0"/>
          <w:marRight w:val="0"/>
          <w:marTop w:val="0"/>
          <w:marBottom w:val="0"/>
          <w:divBdr>
            <w:top w:val="none" w:sz="0" w:space="0" w:color="auto"/>
            <w:left w:val="none" w:sz="0" w:space="0" w:color="auto"/>
            <w:bottom w:val="none" w:sz="0" w:space="0" w:color="auto"/>
            <w:right w:val="none" w:sz="0" w:space="0" w:color="auto"/>
          </w:divBdr>
        </w:div>
        <w:div w:id="178468015">
          <w:marLeft w:val="0"/>
          <w:marRight w:val="0"/>
          <w:marTop w:val="0"/>
          <w:marBottom w:val="0"/>
          <w:divBdr>
            <w:top w:val="none" w:sz="0" w:space="0" w:color="auto"/>
            <w:left w:val="none" w:sz="0" w:space="0" w:color="auto"/>
            <w:bottom w:val="none" w:sz="0" w:space="0" w:color="auto"/>
            <w:right w:val="none" w:sz="0" w:space="0" w:color="auto"/>
          </w:divBdr>
        </w:div>
        <w:div w:id="224226481">
          <w:marLeft w:val="0"/>
          <w:marRight w:val="0"/>
          <w:marTop w:val="0"/>
          <w:marBottom w:val="0"/>
          <w:divBdr>
            <w:top w:val="none" w:sz="0" w:space="0" w:color="auto"/>
            <w:left w:val="none" w:sz="0" w:space="0" w:color="auto"/>
            <w:bottom w:val="none" w:sz="0" w:space="0" w:color="auto"/>
            <w:right w:val="none" w:sz="0" w:space="0" w:color="auto"/>
          </w:divBdr>
        </w:div>
        <w:div w:id="334307551">
          <w:marLeft w:val="0"/>
          <w:marRight w:val="0"/>
          <w:marTop w:val="0"/>
          <w:marBottom w:val="0"/>
          <w:divBdr>
            <w:top w:val="none" w:sz="0" w:space="0" w:color="auto"/>
            <w:left w:val="none" w:sz="0" w:space="0" w:color="auto"/>
            <w:bottom w:val="none" w:sz="0" w:space="0" w:color="auto"/>
            <w:right w:val="none" w:sz="0" w:space="0" w:color="auto"/>
          </w:divBdr>
        </w:div>
        <w:div w:id="670792262">
          <w:marLeft w:val="0"/>
          <w:marRight w:val="0"/>
          <w:marTop w:val="0"/>
          <w:marBottom w:val="0"/>
          <w:divBdr>
            <w:top w:val="none" w:sz="0" w:space="0" w:color="auto"/>
            <w:left w:val="none" w:sz="0" w:space="0" w:color="auto"/>
            <w:bottom w:val="none" w:sz="0" w:space="0" w:color="auto"/>
            <w:right w:val="none" w:sz="0" w:space="0" w:color="auto"/>
          </w:divBdr>
        </w:div>
        <w:div w:id="762726051">
          <w:marLeft w:val="0"/>
          <w:marRight w:val="0"/>
          <w:marTop w:val="0"/>
          <w:marBottom w:val="0"/>
          <w:divBdr>
            <w:top w:val="none" w:sz="0" w:space="0" w:color="auto"/>
            <w:left w:val="none" w:sz="0" w:space="0" w:color="auto"/>
            <w:bottom w:val="none" w:sz="0" w:space="0" w:color="auto"/>
            <w:right w:val="none" w:sz="0" w:space="0" w:color="auto"/>
          </w:divBdr>
        </w:div>
        <w:div w:id="804735013">
          <w:marLeft w:val="0"/>
          <w:marRight w:val="0"/>
          <w:marTop w:val="0"/>
          <w:marBottom w:val="0"/>
          <w:divBdr>
            <w:top w:val="none" w:sz="0" w:space="0" w:color="auto"/>
            <w:left w:val="none" w:sz="0" w:space="0" w:color="auto"/>
            <w:bottom w:val="none" w:sz="0" w:space="0" w:color="auto"/>
            <w:right w:val="none" w:sz="0" w:space="0" w:color="auto"/>
          </w:divBdr>
        </w:div>
        <w:div w:id="890851021">
          <w:marLeft w:val="0"/>
          <w:marRight w:val="0"/>
          <w:marTop w:val="0"/>
          <w:marBottom w:val="0"/>
          <w:divBdr>
            <w:top w:val="none" w:sz="0" w:space="0" w:color="auto"/>
            <w:left w:val="none" w:sz="0" w:space="0" w:color="auto"/>
            <w:bottom w:val="none" w:sz="0" w:space="0" w:color="auto"/>
            <w:right w:val="none" w:sz="0" w:space="0" w:color="auto"/>
          </w:divBdr>
        </w:div>
        <w:div w:id="1083646525">
          <w:marLeft w:val="0"/>
          <w:marRight w:val="0"/>
          <w:marTop w:val="0"/>
          <w:marBottom w:val="0"/>
          <w:divBdr>
            <w:top w:val="none" w:sz="0" w:space="0" w:color="auto"/>
            <w:left w:val="none" w:sz="0" w:space="0" w:color="auto"/>
            <w:bottom w:val="none" w:sz="0" w:space="0" w:color="auto"/>
            <w:right w:val="none" w:sz="0" w:space="0" w:color="auto"/>
          </w:divBdr>
        </w:div>
        <w:div w:id="1358965658">
          <w:marLeft w:val="0"/>
          <w:marRight w:val="0"/>
          <w:marTop w:val="0"/>
          <w:marBottom w:val="0"/>
          <w:divBdr>
            <w:top w:val="none" w:sz="0" w:space="0" w:color="auto"/>
            <w:left w:val="none" w:sz="0" w:space="0" w:color="auto"/>
            <w:bottom w:val="none" w:sz="0" w:space="0" w:color="auto"/>
            <w:right w:val="none" w:sz="0" w:space="0" w:color="auto"/>
          </w:divBdr>
        </w:div>
        <w:div w:id="1421222939">
          <w:marLeft w:val="0"/>
          <w:marRight w:val="0"/>
          <w:marTop w:val="0"/>
          <w:marBottom w:val="0"/>
          <w:divBdr>
            <w:top w:val="none" w:sz="0" w:space="0" w:color="auto"/>
            <w:left w:val="none" w:sz="0" w:space="0" w:color="auto"/>
            <w:bottom w:val="none" w:sz="0" w:space="0" w:color="auto"/>
            <w:right w:val="none" w:sz="0" w:space="0" w:color="auto"/>
          </w:divBdr>
        </w:div>
        <w:div w:id="1501194939">
          <w:marLeft w:val="0"/>
          <w:marRight w:val="0"/>
          <w:marTop w:val="0"/>
          <w:marBottom w:val="0"/>
          <w:divBdr>
            <w:top w:val="none" w:sz="0" w:space="0" w:color="auto"/>
            <w:left w:val="none" w:sz="0" w:space="0" w:color="auto"/>
            <w:bottom w:val="none" w:sz="0" w:space="0" w:color="auto"/>
            <w:right w:val="none" w:sz="0" w:space="0" w:color="auto"/>
          </w:divBdr>
        </w:div>
        <w:div w:id="1722560049">
          <w:marLeft w:val="0"/>
          <w:marRight w:val="0"/>
          <w:marTop w:val="0"/>
          <w:marBottom w:val="0"/>
          <w:divBdr>
            <w:top w:val="none" w:sz="0" w:space="0" w:color="auto"/>
            <w:left w:val="none" w:sz="0" w:space="0" w:color="auto"/>
            <w:bottom w:val="none" w:sz="0" w:space="0" w:color="auto"/>
            <w:right w:val="none" w:sz="0" w:space="0" w:color="auto"/>
          </w:divBdr>
        </w:div>
        <w:div w:id="1786970158">
          <w:marLeft w:val="0"/>
          <w:marRight w:val="0"/>
          <w:marTop w:val="0"/>
          <w:marBottom w:val="0"/>
          <w:divBdr>
            <w:top w:val="none" w:sz="0" w:space="0" w:color="auto"/>
            <w:left w:val="none" w:sz="0" w:space="0" w:color="auto"/>
            <w:bottom w:val="none" w:sz="0" w:space="0" w:color="auto"/>
            <w:right w:val="none" w:sz="0" w:space="0" w:color="auto"/>
          </w:divBdr>
        </w:div>
        <w:div w:id="1798179164">
          <w:marLeft w:val="0"/>
          <w:marRight w:val="0"/>
          <w:marTop w:val="0"/>
          <w:marBottom w:val="0"/>
          <w:divBdr>
            <w:top w:val="none" w:sz="0" w:space="0" w:color="auto"/>
            <w:left w:val="none" w:sz="0" w:space="0" w:color="auto"/>
            <w:bottom w:val="none" w:sz="0" w:space="0" w:color="auto"/>
            <w:right w:val="none" w:sz="0" w:space="0" w:color="auto"/>
          </w:divBdr>
        </w:div>
        <w:div w:id="2109886025">
          <w:marLeft w:val="0"/>
          <w:marRight w:val="0"/>
          <w:marTop w:val="0"/>
          <w:marBottom w:val="0"/>
          <w:divBdr>
            <w:top w:val="none" w:sz="0" w:space="0" w:color="auto"/>
            <w:left w:val="none" w:sz="0" w:space="0" w:color="auto"/>
            <w:bottom w:val="none" w:sz="0" w:space="0" w:color="auto"/>
            <w:right w:val="none" w:sz="0" w:space="0" w:color="auto"/>
          </w:divBdr>
        </w:div>
      </w:divsChild>
    </w:div>
    <w:div w:id="1004209467">
      <w:bodyDiv w:val="1"/>
      <w:marLeft w:val="0"/>
      <w:marRight w:val="0"/>
      <w:marTop w:val="0"/>
      <w:marBottom w:val="0"/>
      <w:divBdr>
        <w:top w:val="none" w:sz="0" w:space="0" w:color="auto"/>
        <w:left w:val="none" w:sz="0" w:space="0" w:color="auto"/>
        <w:bottom w:val="none" w:sz="0" w:space="0" w:color="auto"/>
        <w:right w:val="none" w:sz="0" w:space="0" w:color="auto"/>
      </w:divBdr>
    </w:div>
    <w:div w:id="1062872838">
      <w:bodyDiv w:val="1"/>
      <w:marLeft w:val="0"/>
      <w:marRight w:val="0"/>
      <w:marTop w:val="0"/>
      <w:marBottom w:val="0"/>
      <w:divBdr>
        <w:top w:val="none" w:sz="0" w:space="0" w:color="auto"/>
        <w:left w:val="none" w:sz="0" w:space="0" w:color="auto"/>
        <w:bottom w:val="none" w:sz="0" w:space="0" w:color="auto"/>
        <w:right w:val="none" w:sz="0" w:space="0" w:color="auto"/>
      </w:divBdr>
    </w:div>
    <w:div w:id="1218207678">
      <w:bodyDiv w:val="1"/>
      <w:marLeft w:val="0"/>
      <w:marRight w:val="0"/>
      <w:marTop w:val="0"/>
      <w:marBottom w:val="0"/>
      <w:divBdr>
        <w:top w:val="none" w:sz="0" w:space="0" w:color="auto"/>
        <w:left w:val="none" w:sz="0" w:space="0" w:color="auto"/>
        <w:bottom w:val="none" w:sz="0" w:space="0" w:color="auto"/>
        <w:right w:val="none" w:sz="0" w:space="0" w:color="auto"/>
      </w:divBdr>
    </w:div>
    <w:div w:id="1374496672">
      <w:bodyDiv w:val="1"/>
      <w:marLeft w:val="0"/>
      <w:marRight w:val="0"/>
      <w:marTop w:val="0"/>
      <w:marBottom w:val="0"/>
      <w:divBdr>
        <w:top w:val="none" w:sz="0" w:space="0" w:color="auto"/>
        <w:left w:val="none" w:sz="0" w:space="0" w:color="auto"/>
        <w:bottom w:val="none" w:sz="0" w:space="0" w:color="auto"/>
        <w:right w:val="none" w:sz="0" w:space="0" w:color="auto"/>
      </w:divBdr>
    </w:div>
    <w:div w:id="1398358187">
      <w:bodyDiv w:val="1"/>
      <w:marLeft w:val="0"/>
      <w:marRight w:val="0"/>
      <w:marTop w:val="0"/>
      <w:marBottom w:val="0"/>
      <w:divBdr>
        <w:top w:val="none" w:sz="0" w:space="0" w:color="auto"/>
        <w:left w:val="none" w:sz="0" w:space="0" w:color="auto"/>
        <w:bottom w:val="none" w:sz="0" w:space="0" w:color="auto"/>
        <w:right w:val="none" w:sz="0" w:space="0" w:color="auto"/>
      </w:divBdr>
    </w:div>
    <w:div w:id="1584605842">
      <w:bodyDiv w:val="1"/>
      <w:marLeft w:val="0"/>
      <w:marRight w:val="0"/>
      <w:marTop w:val="0"/>
      <w:marBottom w:val="0"/>
      <w:divBdr>
        <w:top w:val="none" w:sz="0" w:space="0" w:color="auto"/>
        <w:left w:val="none" w:sz="0" w:space="0" w:color="auto"/>
        <w:bottom w:val="none" w:sz="0" w:space="0" w:color="auto"/>
        <w:right w:val="none" w:sz="0" w:space="0" w:color="auto"/>
      </w:divBdr>
    </w:div>
    <w:div w:id="1639145865">
      <w:bodyDiv w:val="1"/>
      <w:marLeft w:val="0"/>
      <w:marRight w:val="0"/>
      <w:marTop w:val="0"/>
      <w:marBottom w:val="0"/>
      <w:divBdr>
        <w:top w:val="none" w:sz="0" w:space="0" w:color="auto"/>
        <w:left w:val="none" w:sz="0" w:space="0" w:color="auto"/>
        <w:bottom w:val="none" w:sz="0" w:space="0" w:color="auto"/>
        <w:right w:val="none" w:sz="0" w:space="0" w:color="auto"/>
      </w:divBdr>
      <w:divsChild>
        <w:div w:id="1077939243">
          <w:marLeft w:val="0"/>
          <w:marRight w:val="0"/>
          <w:marTop w:val="0"/>
          <w:marBottom w:val="0"/>
          <w:divBdr>
            <w:top w:val="none" w:sz="0" w:space="0" w:color="auto"/>
            <w:left w:val="none" w:sz="0" w:space="0" w:color="auto"/>
            <w:bottom w:val="none" w:sz="0" w:space="0" w:color="auto"/>
            <w:right w:val="none" w:sz="0" w:space="0" w:color="auto"/>
          </w:divBdr>
        </w:div>
        <w:div w:id="1598978376">
          <w:marLeft w:val="0"/>
          <w:marRight w:val="0"/>
          <w:marTop w:val="0"/>
          <w:marBottom w:val="0"/>
          <w:divBdr>
            <w:top w:val="none" w:sz="0" w:space="0" w:color="auto"/>
            <w:left w:val="none" w:sz="0" w:space="0" w:color="auto"/>
            <w:bottom w:val="none" w:sz="0" w:space="0" w:color="auto"/>
            <w:right w:val="none" w:sz="0" w:space="0" w:color="auto"/>
          </w:divBdr>
        </w:div>
        <w:div w:id="1751344861">
          <w:marLeft w:val="0"/>
          <w:marRight w:val="0"/>
          <w:marTop w:val="0"/>
          <w:marBottom w:val="0"/>
          <w:divBdr>
            <w:top w:val="none" w:sz="0" w:space="0" w:color="auto"/>
            <w:left w:val="none" w:sz="0" w:space="0" w:color="auto"/>
            <w:bottom w:val="none" w:sz="0" w:space="0" w:color="auto"/>
            <w:right w:val="none" w:sz="0" w:space="0" w:color="auto"/>
          </w:divBdr>
        </w:div>
        <w:div w:id="2042240931">
          <w:marLeft w:val="0"/>
          <w:marRight w:val="0"/>
          <w:marTop w:val="0"/>
          <w:marBottom w:val="0"/>
          <w:divBdr>
            <w:top w:val="none" w:sz="0" w:space="0" w:color="auto"/>
            <w:left w:val="none" w:sz="0" w:space="0" w:color="auto"/>
            <w:bottom w:val="none" w:sz="0" w:space="0" w:color="auto"/>
            <w:right w:val="none" w:sz="0" w:space="0" w:color="auto"/>
          </w:divBdr>
        </w:div>
      </w:divsChild>
    </w:div>
    <w:div w:id="1672219891">
      <w:bodyDiv w:val="1"/>
      <w:marLeft w:val="0"/>
      <w:marRight w:val="0"/>
      <w:marTop w:val="0"/>
      <w:marBottom w:val="0"/>
      <w:divBdr>
        <w:top w:val="none" w:sz="0" w:space="0" w:color="auto"/>
        <w:left w:val="none" w:sz="0" w:space="0" w:color="auto"/>
        <w:bottom w:val="none" w:sz="0" w:space="0" w:color="auto"/>
        <w:right w:val="none" w:sz="0" w:space="0" w:color="auto"/>
      </w:divBdr>
    </w:div>
    <w:div w:id="1672298240">
      <w:bodyDiv w:val="1"/>
      <w:marLeft w:val="0"/>
      <w:marRight w:val="0"/>
      <w:marTop w:val="0"/>
      <w:marBottom w:val="0"/>
      <w:divBdr>
        <w:top w:val="none" w:sz="0" w:space="0" w:color="auto"/>
        <w:left w:val="none" w:sz="0" w:space="0" w:color="auto"/>
        <w:bottom w:val="none" w:sz="0" w:space="0" w:color="auto"/>
        <w:right w:val="none" w:sz="0" w:space="0" w:color="auto"/>
      </w:divBdr>
    </w:div>
    <w:div w:id="1722559768">
      <w:bodyDiv w:val="1"/>
      <w:marLeft w:val="0"/>
      <w:marRight w:val="0"/>
      <w:marTop w:val="0"/>
      <w:marBottom w:val="0"/>
      <w:divBdr>
        <w:top w:val="none" w:sz="0" w:space="0" w:color="auto"/>
        <w:left w:val="none" w:sz="0" w:space="0" w:color="auto"/>
        <w:bottom w:val="none" w:sz="0" w:space="0" w:color="auto"/>
        <w:right w:val="none" w:sz="0" w:space="0" w:color="auto"/>
      </w:divBdr>
    </w:div>
    <w:div w:id="1849908526">
      <w:bodyDiv w:val="1"/>
      <w:marLeft w:val="0"/>
      <w:marRight w:val="0"/>
      <w:marTop w:val="0"/>
      <w:marBottom w:val="0"/>
      <w:divBdr>
        <w:top w:val="none" w:sz="0" w:space="0" w:color="auto"/>
        <w:left w:val="none" w:sz="0" w:space="0" w:color="auto"/>
        <w:bottom w:val="none" w:sz="0" w:space="0" w:color="auto"/>
        <w:right w:val="none" w:sz="0" w:space="0" w:color="auto"/>
      </w:divBdr>
    </w:div>
    <w:div w:id="1929845165">
      <w:bodyDiv w:val="1"/>
      <w:marLeft w:val="0"/>
      <w:marRight w:val="0"/>
      <w:marTop w:val="0"/>
      <w:marBottom w:val="0"/>
      <w:divBdr>
        <w:top w:val="none" w:sz="0" w:space="0" w:color="auto"/>
        <w:left w:val="none" w:sz="0" w:space="0" w:color="auto"/>
        <w:bottom w:val="none" w:sz="0" w:space="0" w:color="auto"/>
        <w:right w:val="none" w:sz="0" w:space="0" w:color="auto"/>
      </w:divBdr>
      <w:divsChild>
        <w:div w:id="99837828">
          <w:marLeft w:val="0"/>
          <w:marRight w:val="0"/>
          <w:marTop w:val="0"/>
          <w:marBottom w:val="0"/>
          <w:divBdr>
            <w:top w:val="none" w:sz="0" w:space="0" w:color="auto"/>
            <w:left w:val="none" w:sz="0" w:space="0" w:color="auto"/>
            <w:bottom w:val="none" w:sz="0" w:space="0" w:color="auto"/>
            <w:right w:val="none" w:sz="0" w:space="0" w:color="auto"/>
          </w:divBdr>
        </w:div>
        <w:div w:id="177812260">
          <w:marLeft w:val="0"/>
          <w:marRight w:val="0"/>
          <w:marTop w:val="0"/>
          <w:marBottom w:val="0"/>
          <w:divBdr>
            <w:top w:val="none" w:sz="0" w:space="0" w:color="auto"/>
            <w:left w:val="none" w:sz="0" w:space="0" w:color="auto"/>
            <w:bottom w:val="none" w:sz="0" w:space="0" w:color="auto"/>
            <w:right w:val="none" w:sz="0" w:space="0" w:color="auto"/>
          </w:divBdr>
        </w:div>
        <w:div w:id="1102139991">
          <w:marLeft w:val="0"/>
          <w:marRight w:val="0"/>
          <w:marTop w:val="0"/>
          <w:marBottom w:val="0"/>
          <w:divBdr>
            <w:top w:val="none" w:sz="0" w:space="0" w:color="auto"/>
            <w:left w:val="none" w:sz="0" w:space="0" w:color="auto"/>
            <w:bottom w:val="none" w:sz="0" w:space="0" w:color="auto"/>
            <w:right w:val="none" w:sz="0" w:space="0" w:color="auto"/>
          </w:divBdr>
        </w:div>
        <w:div w:id="1113860989">
          <w:marLeft w:val="0"/>
          <w:marRight w:val="0"/>
          <w:marTop w:val="0"/>
          <w:marBottom w:val="0"/>
          <w:divBdr>
            <w:top w:val="none" w:sz="0" w:space="0" w:color="auto"/>
            <w:left w:val="none" w:sz="0" w:space="0" w:color="auto"/>
            <w:bottom w:val="none" w:sz="0" w:space="0" w:color="auto"/>
            <w:right w:val="none" w:sz="0" w:space="0" w:color="auto"/>
          </w:divBdr>
        </w:div>
        <w:div w:id="1508785765">
          <w:marLeft w:val="0"/>
          <w:marRight w:val="0"/>
          <w:marTop w:val="0"/>
          <w:marBottom w:val="0"/>
          <w:divBdr>
            <w:top w:val="none" w:sz="0" w:space="0" w:color="auto"/>
            <w:left w:val="none" w:sz="0" w:space="0" w:color="auto"/>
            <w:bottom w:val="none" w:sz="0" w:space="0" w:color="auto"/>
            <w:right w:val="none" w:sz="0" w:space="0" w:color="auto"/>
          </w:divBdr>
        </w:div>
        <w:div w:id="1768849182">
          <w:marLeft w:val="0"/>
          <w:marRight w:val="0"/>
          <w:marTop w:val="0"/>
          <w:marBottom w:val="0"/>
          <w:divBdr>
            <w:top w:val="none" w:sz="0" w:space="0" w:color="auto"/>
            <w:left w:val="none" w:sz="0" w:space="0" w:color="auto"/>
            <w:bottom w:val="none" w:sz="0" w:space="0" w:color="auto"/>
            <w:right w:val="none" w:sz="0" w:space="0" w:color="auto"/>
          </w:divBdr>
        </w:div>
        <w:div w:id="2136364463">
          <w:marLeft w:val="0"/>
          <w:marRight w:val="0"/>
          <w:marTop w:val="0"/>
          <w:marBottom w:val="0"/>
          <w:divBdr>
            <w:top w:val="none" w:sz="0" w:space="0" w:color="auto"/>
            <w:left w:val="none" w:sz="0" w:space="0" w:color="auto"/>
            <w:bottom w:val="none" w:sz="0" w:space="0" w:color="auto"/>
            <w:right w:val="none" w:sz="0" w:space="0" w:color="auto"/>
          </w:divBdr>
        </w:div>
      </w:divsChild>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81225997">
      <w:bodyDiv w:val="1"/>
      <w:marLeft w:val="0"/>
      <w:marRight w:val="0"/>
      <w:marTop w:val="0"/>
      <w:marBottom w:val="0"/>
      <w:divBdr>
        <w:top w:val="none" w:sz="0" w:space="0" w:color="auto"/>
        <w:left w:val="none" w:sz="0" w:space="0" w:color="auto"/>
        <w:bottom w:val="none" w:sz="0" w:space="0" w:color="auto"/>
        <w:right w:val="none" w:sz="0" w:space="0" w:color="auto"/>
      </w:divBdr>
    </w:div>
    <w:div w:id="1999962522">
      <w:bodyDiv w:val="1"/>
      <w:marLeft w:val="0"/>
      <w:marRight w:val="0"/>
      <w:marTop w:val="0"/>
      <w:marBottom w:val="0"/>
      <w:divBdr>
        <w:top w:val="none" w:sz="0" w:space="0" w:color="auto"/>
        <w:left w:val="none" w:sz="0" w:space="0" w:color="auto"/>
        <w:bottom w:val="none" w:sz="0" w:space="0" w:color="auto"/>
        <w:right w:val="none" w:sz="0" w:space="0" w:color="auto"/>
      </w:divBdr>
      <w:divsChild>
        <w:div w:id="1440946851">
          <w:marLeft w:val="0"/>
          <w:marRight w:val="0"/>
          <w:marTop w:val="0"/>
          <w:marBottom w:val="0"/>
          <w:divBdr>
            <w:top w:val="none" w:sz="0" w:space="0" w:color="auto"/>
            <w:left w:val="none" w:sz="0" w:space="0" w:color="auto"/>
            <w:bottom w:val="none" w:sz="0" w:space="0" w:color="auto"/>
            <w:right w:val="none" w:sz="0" w:space="0" w:color="auto"/>
          </w:divBdr>
        </w:div>
      </w:divsChild>
    </w:div>
    <w:div w:id="2000695048">
      <w:bodyDiv w:val="1"/>
      <w:marLeft w:val="0"/>
      <w:marRight w:val="0"/>
      <w:marTop w:val="0"/>
      <w:marBottom w:val="0"/>
      <w:divBdr>
        <w:top w:val="none" w:sz="0" w:space="0" w:color="auto"/>
        <w:left w:val="none" w:sz="0" w:space="0" w:color="auto"/>
        <w:bottom w:val="none" w:sz="0" w:space="0" w:color="auto"/>
        <w:right w:val="none" w:sz="0" w:space="0" w:color="auto"/>
      </w:divBdr>
    </w:div>
    <w:div w:id="2126345730">
      <w:bodyDiv w:val="1"/>
      <w:marLeft w:val="0"/>
      <w:marRight w:val="0"/>
      <w:marTop w:val="0"/>
      <w:marBottom w:val="0"/>
      <w:divBdr>
        <w:top w:val="none" w:sz="0" w:space="0" w:color="auto"/>
        <w:left w:val="none" w:sz="0" w:space="0" w:color="auto"/>
        <w:bottom w:val="none" w:sz="0" w:space="0" w:color="auto"/>
        <w:right w:val="none" w:sz="0" w:space="0" w:color="auto"/>
      </w:divBdr>
    </w:div>
    <w:div w:id="213786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image" Target="media/image6.wmf"/><Relationship Id="rId39" Type="http://schemas.openxmlformats.org/officeDocument/2006/relationships/hyperlink" Target="http://www.biozide.at/" TargetMode="External"/><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image" Target="media/image10.wmf"/><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oleObject" Target="embeddings/oleObject4.bin"/><Relationship Id="rId33" Type="http://schemas.openxmlformats.org/officeDocument/2006/relationships/header" Target="header2.xml"/><Relationship Id="rId38"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1.bin"/><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header" Target="header3.xml"/><Relationship Id="rId40" Type="http://schemas.openxmlformats.org/officeDocument/2006/relationships/hyperlink" Target="http://toxnet.nlm.nih.gov/cgi-bin/sis/htmlgen?HSDB"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8.bin"/><Relationship Id="rId10" Type="http://schemas.openxmlformats.org/officeDocument/2006/relationships/settings" Target="settings.xml"/><Relationship Id="rId19" Type="http://schemas.openxmlformats.org/officeDocument/2006/relationships/image" Target="media/image3.wmf"/><Relationship Id="rId31" Type="http://schemas.openxmlformats.org/officeDocument/2006/relationships/image" Target="media/image8.w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image" Target="media/image1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B Dokument" ma:contentTypeID="0x0101001268F25E7480274284DB765905416CDE0700C01B4AEC1533C040ACC4A337E8308B9B" ma:contentTypeVersion="1" ma:contentTypeDescription="Allgemeines Dokument" ma:contentTypeScope="" ma:versionID="661721f320733050091a1a6849aa24f8">
  <xsd:schema xmlns:xsd="http://www.w3.org/2001/XMLSchema" xmlns:xs="http://www.w3.org/2001/XMLSchema" xmlns:p="http://schemas.microsoft.com/office/2006/metadata/properties" xmlns:ns2="26cf8128-cef6-4b59-b914-ad812816b8ed" xmlns:ns3="http://schemas.microsoft.com/sharepoint/v4" targetNamespace="http://schemas.microsoft.com/office/2006/metadata/properties" ma:root="true" ma:fieldsID="7c02c2cbb5c9ee8a1615db0f118eece5" ns2:_="" ns3:_="">
    <xsd:import namespace="26cf8128-cef6-4b59-b914-ad812816b8ed"/>
    <xsd:import namespace="http://schemas.microsoft.com/sharepoint/v4"/>
    <xsd:element name="properties">
      <xsd:complexType>
        <xsd:sequence>
          <xsd:element name="documentManagement">
            <xsd:complexType>
              <xsd:all>
                <xsd:element ref="ns2:AVH_x0020_Nummer" minOccurs="0"/>
                <xsd:element ref="ns2:Abnahmeverantwortlich" minOccurs="0"/>
                <xsd:element ref="ns2:Inhaltsverantwortlich" minOccurs="0"/>
                <xsd:element ref="ns2:Dokument_x0020_Status" minOccurs="0"/>
                <xsd:element ref="ns2:_dlc_DocId" minOccurs="0"/>
                <xsd:element ref="ns2:_dlc_DocIdUrl" minOccurs="0"/>
                <xsd:element ref="ns2:_dlc_DocIdPersistId"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f8128-cef6-4b59-b914-ad812816b8ed" elementFormDefault="qualified">
    <xsd:import namespace="http://schemas.microsoft.com/office/2006/documentManagement/types"/>
    <xsd:import namespace="http://schemas.microsoft.com/office/infopath/2007/PartnerControls"/>
    <xsd:element name="AVH_x0020_Nummer" ma:index="2" nillable="true" ma:displayName="AVH Nummer" ma:internalName="AVH_x0020_Nummer">
      <xsd:simpleType>
        <xsd:restriction base="dms:Text">
          <xsd:maxLength value="9"/>
        </xsd:restriction>
      </xsd:simpleType>
    </xsd:element>
    <xsd:element name="Abnahmeverantwortlich" ma:index="3" nillable="true" ma:displayName="Abnahmeverantwortlich" ma:description="Für die Abnahme des Dokuments  verantwortliche Person" ma:list="UserInfo" ma:SharePointGroup="0" ma:internalName="Abnahmeverantwortlic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haltsverantwortlich" ma:index="4" nillable="true" ma:displayName="Inhaltsverantwortlich" ma:description="Für den Inhalt des Dokuments verantwortliche Person" ma:list="UserInfo" ma:SharePointGroup="0" ma:internalName="Inhaltsverantwortlic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ument_x0020_Status" ma:index="5" nillable="true" ma:displayName="Dokument Status" ma:default="In Arbeit" ma:description="aktueller Status des Dokuments" ma:format="Dropdown" ma:internalName="Dokument_x0020_Status">
      <xsd:simpleType>
        <xsd:restriction base="dms:Choice">
          <xsd:enumeration value="In Arbeit"/>
          <xsd:enumeration value="Entwurf"/>
          <xsd:enumeration value="Review"/>
          <xsd:enumeration value="Freigegeben"/>
          <xsd:enumeration value="Abgenommen"/>
          <xsd:enumeration value="Fertig gestellt"/>
        </xsd:restriction>
      </xsd:simpleType>
    </xsd:element>
    <xsd:element name="_dlc_DocId" ma:index="12" nillable="true" ma:displayName="Wert der Dokument-ID" ma:description="Der Wert der diesem Element zugewiesenen Dokument-ID." ma:internalName="_dlc_DocId" ma:readOnly="true">
      <xsd:simpleType>
        <xsd:restriction base="dms:Text"/>
      </xsd:simpleType>
    </xsd:element>
    <xsd:element name="_dlc_DocIdUrl" ma:index="13"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Kopfzeilen"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Headers xmlns="http://schemas.microsoft.com/sharepoint/v4" xsi:nil="true"/>
    <Dokument_x0020_Status xmlns="26cf8128-cef6-4b59-b914-ad812816b8ed">In Arbeit</Dokument_x0020_Status>
    <Inhaltsverantwortlich xmlns="26cf8128-cef6-4b59-b914-ad812816b8ed">
      <UserInfo>
        <DisplayName/>
        <AccountId xsi:nil="true"/>
        <AccountType/>
      </UserInfo>
    </Inhaltsverantwortlich>
    <AVH_x0020_Nummer xmlns="26cf8128-cef6-4b59-b914-ad812816b8ed" xsi:nil="true"/>
    <Abnahmeverantwortlich xmlns="26cf8128-cef6-4b59-b914-ad812816b8ed">
      <UserInfo>
        <DisplayName>Grimm Margrit</DisplayName>
        <AccountId>2931</AccountId>
        <AccountType/>
      </UserInfo>
    </Abnahmeverantwortlich>
    <_dlc_DocId xmlns="26cf8128-cef6-4b59-b914-ad812816b8ed">EWTMFUPEEHKT-1982-391</_dlc_DocId>
    <_dlc_DocIdUrl xmlns="26cf8128-cef6-4b59-b914-ad812816b8ed">
      <Url>https://office.umweltbundesamt.at/avh/a001/id000191/_layouts/15/DocIdRedir.aspx?ID=EWTMFUPEEHKT-1982-391</Url>
      <Description>EWTMFUPEEHKT-1982-391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7562-1D8A-47F9-B158-D7ADCBBBD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f8128-cef6-4b59-b914-ad812816b8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4E758-1643-4E4D-963A-D8238CFBE67B}">
  <ds:schemaRefs>
    <ds:schemaRef ds:uri="http://schemas.microsoft.com/office/2006/metadata/longProperties"/>
  </ds:schemaRefs>
</ds:datastoreItem>
</file>

<file path=customXml/itemProps3.xml><?xml version="1.0" encoding="utf-8"?>
<ds:datastoreItem xmlns:ds="http://schemas.openxmlformats.org/officeDocument/2006/customXml" ds:itemID="{83A63728-EE1F-41E2-99F6-0C625A13FBC9}">
  <ds:schemaRefs>
    <ds:schemaRef ds:uri="http://schemas.microsoft.com/sharepoint/v3/contenttype/forms"/>
  </ds:schemaRefs>
</ds:datastoreItem>
</file>

<file path=customXml/itemProps4.xml><?xml version="1.0" encoding="utf-8"?>
<ds:datastoreItem xmlns:ds="http://schemas.openxmlformats.org/officeDocument/2006/customXml" ds:itemID="{604B9EDB-DFA8-479C-B732-012924BB2155}">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26cf8128-cef6-4b59-b914-ad812816b8ed"/>
    <ds:schemaRef ds:uri="http://purl.org/dc/dcmitype/"/>
  </ds:schemaRefs>
</ds:datastoreItem>
</file>

<file path=customXml/itemProps5.xml><?xml version="1.0" encoding="utf-8"?>
<ds:datastoreItem xmlns:ds="http://schemas.openxmlformats.org/officeDocument/2006/customXml" ds:itemID="{32F5C1AF-A69E-4114-80EF-15DFAB58EE51}">
  <ds:schemaRefs>
    <ds:schemaRef ds:uri="http://schemas.microsoft.com/sharepoint/events"/>
  </ds:schemaRefs>
</ds:datastoreItem>
</file>

<file path=customXml/itemProps6.xml><?xml version="1.0" encoding="utf-8"?>
<ds:datastoreItem xmlns:ds="http://schemas.openxmlformats.org/officeDocument/2006/customXml" ds:itemID="{00D9F126-1F1B-49FC-A023-DF7D07BF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175</Pages>
  <Words>35661</Words>
  <Characters>224667</Characters>
  <Application>Microsoft Office Word</Application>
  <DocSecurity>0</DocSecurity>
  <Lines>1872</Lines>
  <Paragraphs>519</Paragraphs>
  <ScaleCrop>false</ScaleCrop>
  <HeadingPairs>
    <vt:vector size="2" baseType="variant">
      <vt:variant>
        <vt:lpstr>Titel</vt:lpstr>
      </vt:variant>
      <vt:variant>
        <vt:i4>1</vt:i4>
      </vt:variant>
    </vt:vector>
  </HeadingPairs>
  <TitlesOfParts>
    <vt:vector size="1" baseType="lpstr">
      <vt:lpstr>PAR template</vt:lpstr>
    </vt:vector>
  </TitlesOfParts>
  <Company>European Chemicals Agency</Company>
  <LinksUpToDate>false</LinksUpToDate>
  <CharactersWithSpaces>259809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template</dc:title>
  <dc:creator>SPINOSI Valerio</dc:creator>
  <cp:lastModifiedBy>Wallner Karoline</cp:lastModifiedBy>
  <cp:revision>6</cp:revision>
  <cp:lastPrinted>2019-03-05T11:32:00Z</cp:lastPrinted>
  <dcterms:created xsi:type="dcterms:W3CDTF">2019-03-14T10:40:00Z</dcterms:created>
  <dcterms:modified xsi:type="dcterms:W3CDTF">2019-03-14T10:54:00Z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2;#;#13;#</vt:lpwstr>
  </property>
  <property fmtid="{D5CDD505-2E9C-101B-9397-08002B2CF9AE}" pid="3" name="ab0eb6f132fb4a769815f72efb98c81d">
    <vt:lpwstr>|a0307bc2-faf9-4068-8aeb-b713e4fa2a0f</vt:lpwstr>
  </property>
  <property fmtid="{D5CDD505-2E9C-101B-9397-08002B2CF9AE}" pid="4" name="_dlc_DocId">
    <vt:lpwstr>EWTMFUPEEHKT-1982-20</vt:lpwstr>
  </property>
  <property fmtid="{D5CDD505-2E9C-101B-9397-08002B2CF9AE}" pid="5" name="_dlc_DocIdItemGuid">
    <vt:lpwstr>b6152aa2-8d09-4572-be2f-01ce376f712f</vt:lpwstr>
  </property>
  <property fmtid="{D5CDD505-2E9C-101B-9397-08002B2CF9AE}" pid="6" name="_dlc_DocIdUrl">
    <vt:lpwstr>https://office.umweltbundesamt.at/avh/a001/id000191/_layouts/15/DocIdRedir.aspx?ID=EWTMFUPEEHKT-1982-20, EWTMFUPEEHKT-1982-20</vt:lpwstr>
  </property>
  <property fmtid="{D5CDD505-2E9C-101B-9397-08002B2CF9AE}" pid="7" name="gd32339cd0b5409a9fdb05f9583968bc">
    <vt:lpwstr/>
  </property>
  <property fmtid="{D5CDD505-2E9C-101B-9397-08002B2CF9AE}" pid="8" name="ECHADocumentType">
    <vt:lpwstr/>
  </property>
  <property fmtid="{D5CDD505-2E9C-101B-9397-08002B2CF9AE}" pid="9" name="ECHAProcess">
    <vt:lpwstr>2;#16.01 Active substance approval|66aa23eb-02d1-4d9a-8830-a04d84e98a70</vt:lpwstr>
  </property>
  <property fmtid="{D5CDD505-2E9C-101B-9397-08002B2CF9AE}" pid="10" name="k79ecea8bd3e48279038bf7156c8359b">
    <vt:lpwstr/>
  </property>
  <property fmtid="{D5CDD505-2E9C-101B-9397-08002B2CF9AE}" pid="11" name="ECHASecClass">
    <vt:lpwstr>13;#Public|7656dabc-4601-4762-9ce2-ca0806f2d84a</vt:lpwstr>
  </property>
  <property fmtid="{D5CDD505-2E9C-101B-9397-08002B2CF9AE}" pid="12" name="ECHACategory">
    <vt:lpwstr/>
  </property>
  <property fmtid="{D5CDD505-2E9C-101B-9397-08002B2CF9AE}" pid="13" name="p86653fd247d4255942aa31697ef2e78">
    <vt:lpwstr/>
  </property>
  <property fmtid="{D5CDD505-2E9C-101B-9397-08002B2CF9AE}" pid="14" name="ContentTypeId">
    <vt:lpwstr>0x0101001268F25E7480274284DB765905416CDE0700C01B4AEC1533C040ACC4A337E8308B9B</vt:lpwstr>
  </property>
</Properties>
</file>