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FB208" w14:textId="77777777" w:rsidR="0082331B" w:rsidRDefault="0082331B" w:rsidP="00B12C39">
      <w:pPr>
        <w:pStyle w:val="Covertitle"/>
      </w:pPr>
    </w:p>
    <w:p w14:paraId="696D9CE5" w14:textId="77777777" w:rsidR="00B12C39" w:rsidRPr="00E43F1D" w:rsidRDefault="00B12C39" w:rsidP="00B12C39">
      <w:pPr>
        <w:pStyle w:val="Covertitle"/>
      </w:pPr>
      <w:r w:rsidRPr="00E43F1D">
        <w:t xml:space="preserve">Annex XV </w:t>
      </w:r>
      <w:r>
        <w:t>report</w:t>
      </w:r>
    </w:p>
    <w:p w14:paraId="2D28DBAE" w14:textId="77777777" w:rsidR="00B12C39" w:rsidRDefault="00B12C39" w:rsidP="004D7BDF">
      <w:pPr>
        <w:pStyle w:val="Covertitle"/>
      </w:pPr>
      <w:r w:rsidRPr="00E43F1D">
        <w:t xml:space="preserve">PROPOSAL FOR IDENTIFICATION OF A </w:t>
      </w:r>
      <w:r w:rsidR="002B58B6">
        <w:t>SUBSTANCE OF VERY HIGH CONCERN</w:t>
      </w:r>
      <w:r w:rsidR="003C419D">
        <w:t xml:space="preserve"> ON THE BASIS OF </w:t>
      </w:r>
      <w:r w:rsidR="003909BD">
        <w:t xml:space="preserve">THE </w:t>
      </w:r>
      <w:r w:rsidR="003C419D">
        <w:t>CRITERIA SET OUT IN REACH ARTICLE 57</w:t>
      </w:r>
    </w:p>
    <w:p w14:paraId="13806307" w14:textId="77777777" w:rsidR="00B12C39" w:rsidRPr="00E43F1D" w:rsidRDefault="00B12C39" w:rsidP="00B12C39">
      <w:pPr>
        <w:widowControl/>
        <w:spacing w:after="180"/>
        <w:jc w:val="both"/>
        <w:rPr>
          <w:szCs w:val="24"/>
          <w:lang w:eastAsia="en-US"/>
        </w:rPr>
      </w:pPr>
    </w:p>
    <w:p w14:paraId="75CD1951" w14:textId="540B1D49" w:rsidR="00C51977" w:rsidRPr="00FC34D9" w:rsidRDefault="00B12C39" w:rsidP="00B12C39">
      <w:pPr>
        <w:widowControl/>
        <w:spacing w:after="180"/>
        <w:jc w:val="both"/>
        <w:rPr>
          <w:rStyle w:val="Strong"/>
          <w:bCs/>
          <w:color w:val="FF0000"/>
        </w:rPr>
      </w:pPr>
      <w:r w:rsidRPr="00FC34D9">
        <w:rPr>
          <w:rStyle w:val="Strong"/>
          <w:bCs/>
        </w:rPr>
        <w:t xml:space="preserve">Substance Name(s): </w:t>
      </w:r>
      <w:r w:rsidR="00350AEB" w:rsidRPr="00FC34D9">
        <w:rPr>
          <w:b/>
        </w:rPr>
        <w:t>Reaction product</w:t>
      </w:r>
      <w:r w:rsidR="008F6865" w:rsidRPr="00FC34D9">
        <w:rPr>
          <w:b/>
        </w:rPr>
        <w:t>s</w:t>
      </w:r>
      <w:r w:rsidR="00350AEB" w:rsidRPr="00FC34D9">
        <w:rPr>
          <w:b/>
        </w:rPr>
        <w:t xml:space="preserve"> of 1,3,4-thiadiazolidine-2,5-dithione, formaldehyde and </w:t>
      </w:r>
      <w:r w:rsidR="00FC34D9">
        <w:rPr>
          <w:b/>
        </w:rPr>
        <w:t>4-heptylphenol, branched and linear</w:t>
      </w:r>
      <w:r w:rsidR="00C51977" w:rsidRPr="00FC34D9">
        <w:rPr>
          <w:rStyle w:val="Strong"/>
          <w:bCs/>
        </w:rPr>
        <w:t xml:space="preserve"> (RP-HP)</w:t>
      </w:r>
    </w:p>
    <w:p w14:paraId="3F63BB97" w14:textId="702A2181" w:rsidR="00B12C39" w:rsidRPr="00FC34D9" w:rsidRDefault="00350AEB" w:rsidP="00B12C39">
      <w:pPr>
        <w:widowControl/>
        <w:spacing w:after="180"/>
        <w:jc w:val="both"/>
        <w:rPr>
          <w:rStyle w:val="Strong"/>
          <w:b w:val="0"/>
          <w:bCs/>
        </w:rPr>
      </w:pPr>
      <w:r w:rsidRPr="00FC34D9">
        <w:rPr>
          <w:rStyle w:val="Strong"/>
          <w:b w:val="0"/>
          <w:bCs/>
        </w:rPr>
        <w:t>[with</w:t>
      </w:r>
      <w:r w:rsidR="003F358D" w:rsidRPr="00FC34D9">
        <w:rPr>
          <w:rStyle w:val="Strong"/>
          <w:b w:val="0"/>
          <w:bCs/>
        </w:rPr>
        <w:t xml:space="preserve"> </w:t>
      </w:r>
      <w:r w:rsidRPr="00FC34D9">
        <w:rPr>
          <w:rStyle w:val="Strong"/>
          <w:b w:val="0"/>
          <w:bCs/>
        </w:rPr>
        <w:t xml:space="preserve">≥0.1% </w:t>
      </w:r>
      <w:r w:rsidR="00E71F89" w:rsidRPr="00FC34D9">
        <w:rPr>
          <w:rStyle w:val="Strong"/>
          <w:b w:val="0"/>
          <w:bCs/>
        </w:rPr>
        <w:t xml:space="preserve">w/w </w:t>
      </w:r>
      <w:r w:rsidRPr="00FC34D9">
        <w:rPr>
          <w:rStyle w:val="Strong"/>
          <w:b w:val="0"/>
          <w:bCs/>
        </w:rPr>
        <w:t>4-</w:t>
      </w:r>
      <w:r w:rsidR="003F358D" w:rsidRPr="00FC34D9">
        <w:rPr>
          <w:rStyle w:val="Strong"/>
          <w:b w:val="0"/>
          <w:bCs/>
        </w:rPr>
        <w:t>heptylphenol</w:t>
      </w:r>
      <w:r w:rsidR="004D7BDF" w:rsidRPr="00FC34D9">
        <w:rPr>
          <w:rStyle w:val="Strong"/>
          <w:b w:val="0"/>
          <w:bCs/>
        </w:rPr>
        <w:t xml:space="preserve">, </w:t>
      </w:r>
      <w:r w:rsidRPr="00FC34D9">
        <w:rPr>
          <w:rStyle w:val="Strong"/>
          <w:b w:val="0"/>
          <w:bCs/>
        </w:rPr>
        <w:t>branched</w:t>
      </w:r>
      <w:r w:rsidR="004D7BDF" w:rsidRPr="00FC34D9">
        <w:rPr>
          <w:rStyle w:val="Strong"/>
          <w:b w:val="0"/>
          <w:bCs/>
        </w:rPr>
        <w:t xml:space="preserve"> and linear</w:t>
      </w:r>
      <w:r w:rsidR="009078B5">
        <w:rPr>
          <w:rStyle w:val="Strong"/>
          <w:b w:val="0"/>
          <w:bCs/>
        </w:rPr>
        <w:t xml:space="preserve"> (4-HPbl)</w:t>
      </w:r>
      <w:r w:rsidR="004D7BDF" w:rsidRPr="00FC34D9">
        <w:rPr>
          <w:rStyle w:val="FootnoteReference"/>
          <w:rFonts w:ascii="Verdana" w:hAnsi="Verdana"/>
          <w:bCs/>
          <w:sz w:val="20"/>
        </w:rPr>
        <w:footnoteReference w:id="1"/>
      </w:r>
      <w:r w:rsidR="004D7BDF" w:rsidRPr="00FC34D9">
        <w:rPr>
          <w:rStyle w:val="Strong"/>
          <w:b w:val="0"/>
          <w:bCs/>
        </w:rPr>
        <w:t>]</w:t>
      </w:r>
      <w:r w:rsidR="003F358D" w:rsidRPr="00FC34D9">
        <w:rPr>
          <w:rStyle w:val="Strong"/>
          <w:b w:val="0"/>
          <w:bCs/>
        </w:rPr>
        <w:t xml:space="preserve"> </w:t>
      </w:r>
    </w:p>
    <w:p w14:paraId="70206499" w14:textId="57F23A3D" w:rsidR="00B12C39" w:rsidRPr="00FC34D9" w:rsidRDefault="00B12C39" w:rsidP="00B12C39">
      <w:pPr>
        <w:widowControl/>
        <w:spacing w:after="180"/>
        <w:jc w:val="both"/>
        <w:rPr>
          <w:rStyle w:val="Strong"/>
          <w:bCs/>
        </w:rPr>
      </w:pPr>
      <w:r w:rsidRPr="00FC34D9">
        <w:rPr>
          <w:rStyle w:val="Strong"/>
          <w:bCs/>
        </w:rPr>
        <w:t xml:space="preserve">EC Number(s): </w:t>
      </w:r>
      <w:r w:rsidR="003F358D" w:rsidRPr="00FC34D9">
        <w:rPr>
          <w:rStyle w:val="Strong"/>
          <w:bCs/>
        </w:rPr>
        <w:t>-</w:t>
      </w:r>
    </w:p>
    <w:p w14:paraId="25C02C22" w14:textId="77777777" w:rsidR="00B12C39" w:rsidRPr="006F4B04" w:rsidRDefault="00B12C39" w:rsidP="00B12C39">
      <w:pPr>
        <w:widowControl/>
        <w:spacing w:after="180"/>
        <w:jc w:val="both"/>
        <w:rPr>
          <w:rStyle w:val="Strong"/>
          <w:bCs/>
        </w:rPr>
      </w:pPr>
      <w:r w:rsidRPr="00FC34D9">
        <w:rPr>
          <w:rStyle w:val="Strong"/>
          <w:bCs/>
        </w:rPr>
        <w:t xml:space="preserve">CAS Number(s): </w:t>
      </w:r>
      <w:r w:rsidR="00350AEB" w:rsidRPr="00FC34D9">
        <w:rPr>
          <w:rStyle w:val="Strong"/>
          <w:bCs/>
        </w:rPr>
        <w:t>-</w:t>
      </w:r>
    </w:p>
    <w:p w14:paraId="5869D337" w14:textId="77777777" w:rsidR="00B12C39" w:rsidRPr="006F4B04" w:rsidRDefault="00B12C39" w:rsidP="00B12C39">
      <w:pPr>
        <w:widowControl/>
        <w:spacing w:after="180"/>
        <w:jc w:val="both"/>
        <w:rPr>
          <w:rStyle w:val="Strong"/>
          <w:bCs/>
        </w:rPr>
      </w:pPr>
    </w:p>
    <w:p w14:paraId="6ED8CE07" w14:textId="77777777" w:rsidR="00B12C39" w:rsidRPr="006F4B04" w:rsidRDefault="00B12C39" w:rsidP="00B12C39">
      <w:pPr>
        <w:widowControl/>
        <w:spacing w:after="180"/>
        <w:jc w:val="both"/>
        <w:rPr>
          <w:rStyle w:val="Strong"/>
          <w:bCs/>
        </w:rPr>
      </w:pPr>
      <w:r w:rsidRPr="006F4B04">
        <w:rPr>
          <w:rStyle w:val="Strong"/>
          <w:bCs/>
        </w:rPr>
        <w:t xml:space="preserve">Submitted by: </w:t>
      </w:r>
      <w:r w:rsidR="003F358D">
        <w:rPr>
          <w:rStyle w:val="Strong"/>
          <w:bCs/>
        </w:rPr>
        <w:t>Austria</w:t>
      </w:r>
    </w:p>
    <w:p w14:paraId="0E64D5B6" w14:textId="5E568F7A" w:rsidR="00B12C39" w:rsidRPr="00E43F1D" w:rsidRDefault="00B12C39" w:rsidP="00B12C39">
      <w:pPr>
        <w:widowControl/>
        <w:spacing w:after="180"/>
        <w:jc w:val="both"/>
        <w:rPr>
          <w:szCs w:val="24"/>
          <w:lang w:eastAsia="en-US"/>
        </w:rPr>
      </w:pPr>
      <w:r w:rsidRPr="006F4B04">
        <w:rPr>
          <w:rStyle w:val="Strong"/>
          <w:bCs/>
        </w:rPr>
        <w:t>Date:</w:t>
      </w:r>
      <w:r w:rsidRPr="00BC0999">
        <w:rPr>
          <w:b/>
          <w:szCs w:val="24"/>
          <w:lang w:eastAsia="en-US"/>
        </w:rPr>
        <w:t xml:space="preserve"> </w:t>
      </w:r>
      <w:r w:rsidR="00C22AD3">
        <w:rPr>
          <w:b/>
          <w:szCs w:val="24"/>
          <w:lang w:eastAsia="en-US"/>
        </w:rPr>
        <w:t>29 August</w:t>
      </w:r>
      <w:bookmarkStart w:id="0" w:name="_GoBack"/>
      <w:bookmarkEnd w:id="0"/>
      <w:r w:rsidR="003F358D">
        <w:rPr>
          <w:b/>
          <w:szCs w:val="24"/>
          <w:lang w:eastAsia="en-US"/>
        </w:rPr>
        <w:t>, 2017</w:t>
      </w:r>
    </w:p>
    <w:p w14:paraId="238B60A8" w14:textId="77777777" w:rsidR="00AE704C" w:rsidRDefault="00AE704C">
      <w:pPr>
        <w:widowControl/>
      </w:pPr>
      <w:bookmarkStart w:id="1" w:name="_Toc316637271"/>
      <w:r>
        <w:br w:type="page"/>
      </w:r>
    </w:p>
    <w:p w14:paraId="0449EA12" w14:textId="0BA06690" w:rsidR="008A3E90" w:rsidRDefault="008A3E90" w:rsidP="008A3E90">
      <w:pPr>
        <w:rPr>
          <w:color w:val="000000"/>
        </w:rPr>
      </w:pPr>
      <w:r w:rsidRPr="001A11A1">
        <w:lastRenderedPageBreak/>
        <w:t xml:space="preserve">This document has been prepared according to template: </w:t>
      </w:r>
      <w:r w:rsidRPr="001A11A1">
        <w:rPr>
          <w:color w:val="000000"/>
        </w:rPr>
        <w:t>TEM-0049.03</w:t>
      </w:r>
    </w:p>
    <w:p w14:paraId="22A568FE" w14:textId="77777777" w:rsidR="008A3E90" w:rsidRPr="001A11A1" w:rsidRDefault="008A3E90" w:rsidP="008A3E90">
      <w:pPr>
        <w:rPr>
          <w:color w:val="000000"/>
        </w:rPr>
      </w:pPr>
    </w:p>
    <w:p w14:paraId="3EB99172" w14:textId="77777777" w:rsidR="00B12C39" w:rsidRDefault="00B12C39" w:rsidP="00B12C39">
      <w:pPr>
        <w:pStyle w:val="Titleintro"/>
      </w:pPr>
      <w:r w:rsidRPr="00AC092B">
        <w:t>CONTENTS</w:t>
      </w:r>
      <w:bookmarkEnd w:id="1"/>
    </w:p>
    <w:sdt>
      <w:sdtPr>
        <w:rPr>
          <w:rFonts w:ascii="Verdana" w:hAnsi="Verdana" w:cs="Times New Roman"/>
          <w:b w:val="0"/>
          <w:bCs w:val="0"/>
          <w:caps w:val="0"/>
        </w:rPr>
        <w:id w:val="2094358525"/>
        <w:docPartObj>
          <w:docPartGallery w:val="Table of Contents"/>
          <w:docPartUnique/>
        </w:docPartObj>
      </w:sdtPr>
      <w:sdtEndPr>
        <w:rPr>
          <w:noProof/>
        </w:rPr>
      </w:sdtEndPr>
      <w:sdtContent>
        <w:p w14:paraId="0C4FC7CD" w14:textId="77777777" w:rsidR="00BB5B33" w:rsidRDefault="000721AD">
          <w:pPr>
            <w:pStyle w:val="TOC1"/>
            <w:rPr>
              <w:rFonts w:asciiTheme="minorHAnsi" w:eastAsiaTheme="minorEastAsia" w:hAnsiTheme="minorHAnsi" w:cstheme="minorBidi"/>
              <w:b w:val="0"/>
              <w:bCs w:val="0"/>
              <w:caps w:val="0"/>
              <w:noProof/>
              <w:sz w:val="22"/>
              <w:szCs w:val="22"/>
              <w:lang w:eastAsia="en-GB"/>
            </w:rPr>
          </w:pPr>
          <w:r>
            <w:fldChar w:fldCharType="begin"/>
          </w:r>
          <w:r w:rsidR="004607CB">
            <w:instrText xml:space="preserve"> TOC \o "1-3" \h \z \u </w:instrText>
          </w:r>
          <w:r>
            <w:fldChar w:fldCharType="separate"/>
          </w:r>
          <w:hyperlink w:anchor="_Toc491786387" w:history="1">
            <w:r w:rsidR="00BB5B33" w:rsidRPr="00C102BB">
              <w:rPr>
                <w:rStyle w:val="Hyperlink"/>
                <w:noProof/>
              </w:rPr>
              <w:t>PROPOSAL FOR IDENTIFICATION OF A SUBSTANCE OF VERY HIGH CONCERN ON THE BASIS OF THE CRITERIA SET OUT IN REACH ARTICLE 57</w:t>
            </w:r>
            <w:r w:rsidR="00BB5B33">
              <w:rPr>
                <w:noProof/>
                <w:webHidden/>
              </w:rPr>
              <w:tab/>
            </w:r>
            <w:r w:rsidR="00BB5B33">
              <w:rPr>
                <w:noProof/>
                <w:webHidden/>
              </w:rPr>
              <w:fldChar w:fldCharType="begin"/>
            </w:r>
            <w:r w:rsidR="00BB5B33">
              <w:rPr>
                <w:noProof/>
                <w:webHidden/>
              </w:rPr>
              <w:instrText xml:space="preserve"> PAGEREF _Toc491786387 \h </w:instrText>
            </w:r>
            <w:r w:rsidR="00BB5B33">
              <w:rPr>
                <w:noProof/>
                <w:webHidden/>
              </w:rPr>
            </w:r>
            <w:r w:rsidR="00BB5B33">
              <w:rPr>
                <w:noProof/>
                <w:webHidden/>
              </w:rPr>
              <w:fldChar w:fldCharType="separate"/>
            </w:r>
            <w:r w:rsidR="00BB5B33">
              <w:rPr>
                <w:noProof/>
                <w:webHidden/>
              </w:rPr>
              <w:t>5</w:t>
            </w:r>
            <w:r w:rsidR="00BB5B33">
              <w:rPr>
                <w:noProof/>
                <w:webHidden/>
              </w:rPr>
              <w:fldChar w:fldCharType="end"/>
            </w:r>
          </w:hyperlink>
        </w:p>
        <w:p w14:paraId="6BB0CAE1" w14:textId="77777777" w:rsidR="00BB5B33" w:rsidRDefault="00C22AD3">
          <w:pPr>
            <w:pStyle w:val="TOC1"/>
            <w:rPr>
              <w:rFonts w:asciiTheme="minorHAnsi" w:eastAsiaTheme="minorEastAsia" w:hAnsiTheme="minorHAnsi" w:cstheme="minorBidi"/>
              <w:b w:val="0"/>
              <w:bCs w:val="0"/>
              <w:caps w:val="0"/>
              <w:noProof/>
              <w:sz w:val="22"/>
              <w:szCs w:val="22"/>
              <w:lang w:eastAsia="en-GB"/>
            </w:rPr>
          </w:pPr>
          <w:hyperlink w:anchor="_Toc491786388" w:history="1">
            <w:r w:rsidR="00BB5B33" w:rsidRPr="00C102BB">
              <w:rPr>
                <w:rStyle w:val="Hyperlink"/>
                <w:noProof/>
              </w:rPr>
              <w:t>PART I</w:t>
            </w:r>
            <w:r w:rsidR="00BB5B33">
              <w:rPr>
                <w:noProof/>
                <w:webHidden/>
              </w:rPr>
              <w:tab/>
            </w:r>
            <w:r w:rsidR="00BB5B33">
              <w:rPr>
                <w:noProof/>
                <w:webHidden/>
              </w:rPr>
              <w:fldChar w:fldCharType="begin"/>
            </w:r>
            <w:r w:rsidR="00BB5B33">
              <w:rPr>
                <w:noProof/>
                <w:webHidden/>
              </w:rPr>
              <w:instrText xml:space="preserve"> PAGEREF _Toc491786388 \h </w:instrText>
            </w:r>
            <w:r w:rsidR="00BB5B33">
              <w:rPr>
                <w:noProof/>
                <w:webHidden/>
              </w:rPr>
            </w:r>
            <w:r w:rsidR="00BB5B33">
              <w:rPr>
                <w:noProof/>
                <w:webHidden/>
              </w:rPr>
              <w:fldChar w:fldCharType="separate"/>
            </w:r>
            <w:r w:rsidR="00BB5B33">
              <w:rPr>
                <w:noProof/>
                <w:webHidden/>
              </w:rPr>
              <w:t>9</w:t>
            </w:r>
            <w:r w:rsidR="00BB5B33">
              <w:rPr>
                <w:noProof/>
                <w:webHidden/>
              </w:rPr>
              <w:fldChar w:fldCharType="end"/>
            </w:r>
          </w:hyperlink>
        </w:p>
        <w:p w14:paraId="7863F78C" w14:textId="77777777" w:rsidR="00BB5B33" w:rsidRDefault="00C22AD3">
          <w:pPr>
            <w:pStyle w:val="TOC1"/>
            <w:rPr>
              <w:rFonts w:asciiTheme="minorHAnsi" w:eastAsiaTheme="minorEastAsia" w:hAnsiTheme="minorHAnsi" w:cstheme="minorBidi"/>
              <w:b w:val="0"/>
              <w:bCs w:val="0"/>
              <w:caps w:val="0"/>
              <w:noProof/>
              <w:sz w:val="22"/>
              <w:szCs w:val="22"/>
              <w:lang w:eastAsia="en-GB"/>
            </w:rPr>
          </w:pPr>
          <w:hyperlink w:anchor="_Toc491786389" w:history="1">
            <w:r w:rsidR="00BB5B33" w:rsidRPr="00C102BB">
              <w:rPr>
                <w:rStyle w:val="Hyperlink"/>
                <w:noProof/>
              </w:rPr>
              <w:t>Justification</w:t>
            </w:r>
            <w:r w:rsidR="00BB5B33">
              <w:rPr>
                <w:noProof/>
                <w:webHidden/>
              </w:rPr>
              <w:tab/>
            </w:r>
            <w:r w:rsidR="00BB5B33">
              <w:rPr>
                <w:noProof/>
                <w:webHidden/>
              </w:rPr>
              <w:fldChar w:fldCharType="begin"/>
            </w:r>
            <w:r w:rsidR="00BB5B33">
              <w:rPr>
                <w:noProof/>
                <w:webHidden/>
              </w:rPr>
              <w:instrText xml:space="preserve"> PAGEREF _Toc491786389 \h </w:instrText>
            </w:r>
            <w:r w:rsidR="00BB5B33">
              <w:rPr>
                <w:noProof/>
                <w:webHidden/>
              </w:rPr>
            </w:r>
            <w:r w:rsidR="00BB5B33">
              <w:rPr>
                <w:noProof/>
                <w:webHidden/>
              </w:rPr>
              <w:fldChar w:fldCharType="separate"/>
            </w:r>
            <w:r w:rsidR="00BB5B33">
              <w:rPr>
                <w:noProof/>
                <w:webHidden/>
              </w:rPr>
              <w:t>9</w:t>
            </w:r>
            <w:r w:rsidR="00BB5B33">
              <w:rPr>
                <w:noProof/>
                <w:webHidden/>
              </w:rPr>
              <w:fldChar w:fldCharType="end"/>
            </w:r>
          </w:hyperlink>
        </w:p>
        <w:p w14:paraId="2E1C9F96" w14:textId="77777777" w:rsidR="00BB5B33" w:rsidRDefault="00C22AD3">
          <w:pPr>
            <w:pStyle w:val="TOC1"/>
            <w:rPr>
              <w:rFonts w:asciiTheme="minorHAnsi" w:eastAsiaTheme="minorEastAsia" w:hAnsiTheme="minorHAnsi" w:cstheme="minorBidi"/>
              <w:b w:val="0"/>
              <w:bCs w:val="0"/>
              <w:caps w:val="0"/>
              <w:noProof/>
              <w:sz w:val="22"/>
              <w:szCs w:val="22"/>
              <w:lang w:eastAsia="en-GB"/>
            </w:rPr>
          </w:pPr>
          <w:hyperlink w:anchor="_Toc491786390" w:history="1">
            <w:r w:rsidR="00BB5B33" w:rsidRPr="00C102BB">
              <w:rPr>
                <w:rStyle w:val="Hyperlink"/>
                <w:noProof/>
              </w:rPr>
              <w:t>1. Identity of the substance and physical and chemical properties</w:t>
            </w:r>
            <w:r w:rsidR="00BB5B33">
              <w:rPr>
                <w:noProof/>
                <w:webHidden/>
              </w:rPr>
              <w:tab/>
            </w:r>
            <w:r w:rsidR="00BB5B33">
              <w:rPr>
                <w:noProof/>
                <w:webHidden/>
              </w:rPr>
              <w:fldChar w:fldCharType="begin"/>
            </w:r>
            <w:r w:rsidR="00BB5B33">
              <w:rPr>
                <w:noProof/>
                <w:webHidden/>
              </w:rPr>
              <w:instrText xml:space="preserve"> PAGEREF _Toc491786390 \h </w:instrText>
            </w:r>
            <w:r w:rsidR="00BB5B33">
              <w:rPr>
                <w:noProof/>
                <w:webHidden/>
              </w:rPr>
            </w:r>
            <w:r w:rsidR="00BB5B33">
              <w:rPr>
                <w:noProof/>
                <w:webHidden/>
              </w:rPr>
              <w:fldChar w:fldCharType="separate"/>
            </w:r>
            <w:r w:rsidR="00BB5B33">
              <w:rPr>
                <w:noProof/>
                <w:webHidden/>
              </w:rPr>
              <w:t>9</w:t>
            </w:r>
            <w:r w:rsidR="00BB5B33">
              <w:rPr>
                <w:noProof/>
                <w:webHidden/>
              </w:rPr>
              <w:fldChar w:fldCharType="end"/>
            </w:r>
          </w:hyperlink>
        </w:p>
        <w:p w14:paraId="1B22FC5C" w14:textId="77777777" w:rsidR="00BB5B33" w:rsidRDefault="00C22AD3">
          <w:pPr>
            <w:pStyle w:val="TOC2"/>
            <w:tabs>
              <w:tab w:val="left" w:pos="800"/>
            </w:tabs>
            <w:rPr>
              <w:rFonts w:asciiTheme="minorHAnsi" w:eastAsiaTheme="minorEastAsia" w:hAnsiTheme="minorHAnsi" w:cstheme="minorBidi"/>
              <w:noProof/>
              <w:sz w:val="22"/>
              <w:szCs w:val="22"/>
              <w:lang w:eastAsia="en-GB"/>
            </w:rPr>
          </w:pPr>
          <w:hyperlink w:anchor="_Toc491786391" w:history="1">
            <w:r w:rsidR="00BB5B33" w:rsidRPr="00C102BB">
              <w:rPr>
                <w:rStyle w:val="Hyperlink"/>
                <w:rFonts w:cs="Times New Roman"/>
                <w:noProof/>
              </w:rPr>
              <w:t>1.1</w:t>
            </w:r>
            <w:r w:rsidR="00BB5B33">
              <w:rPr>
                <w:rFonts w:asciiTheme="minorHAnsi" w:eastAsiaTheme="minorEastAsia" w:hAnsiTheme="minorHAnsi" w:cstheme="minorBidi"/>
                <w:noProof/>
                <w:sz w:val="22"/>
                <w:szCs w:val="22"/>
                <w:lang w:eastAsia="en-GB"/>
              </w:rPr>
              <w:tab/>
            </w:r>
            <w:r w:rsidR="00BB5B33" w:rsidRPr="00C102BB">
              <w:rPr>
                <w:rStyle w:val="Hyperlink"/>
                <w:noProof/>
              </w:rPr>
              <w:t>Name and other identifiers of the substance</w:t>
            </w:r>
            <w:r w:rsidR="00BB5B33">
              <w:rPr>
                <w:noProof/>
                <w:webHidden/>
              </w:rPr>
              <w:tab/>
            </w:r>
            <w:r w:rsidR="00BB5B33">
              <w:rPr>
                <w:noProof/>
                <w:webHidden/>
              </w:rPr>
              <w:fldChar w:fldCharType="begin"/>
            </w:r>
            <w:r w:rsidR="00BB5B33">
              <w:rPr>
                <w:noProof/>
                <w:webHidden/>
              </w:rPr>
              <w:instrText xml:space="preserve"> PAGEREF _Toc491786391 \h </w:instrText>
            </w:r>
            <w:r w:rsidR="00BB5B33">
              <w:rPr>
                <w:noProof/>
                <w:webHidden/>
              </w:rPr>
            </w:r>
            <w:r w:rsidR="00BB5B33">
              <w:rPr>
                <w:noProof/>
                <w:webHidden/>
              </w:rPr>
              <w:fldChar w:fldCharType="separate"/>
            </w:r>
            <w:r w:rsidR="00BB5B33">
              <w:rPr>
                <w:noProof/>
                <w:webHidden/>
              </w:rPr>
              <w:t>9</w:t>
            </w:r>
            <w:r w:rsidR="00BB5B33">
              <w:rPr>
                <w:noProof/>
                <w:webHidden/>
              </w:rPr>
              <w:fldChar w:fldCharType="end"/>
            </w:r>
          </w:hyperlink>
        </w:p>
        <w:p w14:paraId="2838181C" w14:textId="77777777" w:rsidR="00BB5B33" w:rsidRDefault="00C22AD3">
          <w:pPr>
            <w:pStyle w:val="TOC2"/>
            <w:rPr>
              <w:rFonts w:asciiTheme="minorHAnsi" w:eastAsiaTheme="minorEastAsia" w:hAnsiTheme="minorHAnsi" w:cstheme="minorBidi"/>
              <w:noProof/>
              <w:sz w:val="22"/>
              <w:szCs w:val="22"/>
              <w:lang w:eastAsia="en-GB"/>
            </w:rPr>
          </w:pPr>
          <w:hyperlink w:anchor="_Toc491786392" w:history="1">
            <w:r w:rsidR="00BB5B33" w:rsidRPr="00C102BB">
              <w:rPr>
                <w:rStyle w:val="Hyperlink"/>
                <w:noProof/>
              </w:rPr>
              <w:t>1.2 Composition of the substance</w:t>
            </w:r>
            <w:r w:rsidR="00BB5B33">
              <w:rPr>
                <w:noProof/>
                <w:webHidden/>
              </w:rPr>
              <w:tab/>
            </w:r>
            <w:r w:rsidR="00BB5B33">
              <w:rPr>
                <w:noProof/>
                <w:webHidden/>
              </w:rPr>
              <w:fldChar w:fldCharType="begin"/>
            </w:r>
            <w:r w:rsidR="00BB5B33">
              <w:rPr>
                <w:noProof/>
                <w:webHidden/>
              </w:rPr>
              <w:instrText xml:space="preserve"> PAGEREF _Toc491786392 \h </w:instrText>
            </w:r>
            <w:r w:rsidR="00BB5B33">
              <w:rPr>
                <w:noProof/>
                <w:webHidden/>
              </w:rPr>
            </w:r>
            <w:r w:rsidR="00BB5B33">
              <w:rPr>
                <w:noProof/>
                <w:webHidden/>
              </w:rPr>
              <w:fldChar w:fldCharType="separate"/>
            </w:r>
            <w:r w:rsidR="00BB5B33">
              <w:rPr>
                <w:noProof/>
                <w:webHidden/>
              </w:rPr>
              <w:t>10</w:t>
            </w:r>
            <w:r w:rsidR="00BB5B33">
              <w:rPr>
                <w:noProof/>
                <w:webHidden/>
              </w:rPr>
              <w:fldChar w:fldCharType="end"/>
            </w:r>
          </w:hyperlink>
        </w:p>
        <w:p w14:paraId="0B01B6FA" w14:textId="77777777" w:rsidR="00BB5B33" w:rsidRDefault="00C22AD3">
          <w:pPr>
            <w:pStyle w:val="TOC2"/>
            <w:rPr>
              <w:rFonts w:asciiTheme="minorHAnsi" w:eastAsiaTheme="minorEastAsia" w:hAnsiTheme="minorHAnsi" w:cstheme="minorBidi"/>
              <w:noProof/>
              <w:sz w:val="22"/>
              <w:szCs w:val="22"/>
              <w:lang w:eastAsia="en-GB"/>
            </w:rPr>
          </w:pPr>
          <w:hyperlink w:anchor="_Toc491786393" w:history="1">
            <w:r w:rsidR="00BB5B33" w:rsidRPr="00C102BB">
              <w:rPr>
                <w:rStyle w:val="Hyperlink"/>
                <w:noProof/>
              </w:rPr>
              <w:t>1.3 Identity and composition of degradation products/metabolites relevant for the SVHC assessment</w:t>
            </w:r>
            <w:r w:rsidR="00BB5B33">
              <w:rPr>
                <w:noProof/>
                <w:webHidden/>
              </w:rPr>
              <w:tab/>
            </w:r>
            <w:r w:rsidR="00BB5B33">
              <w:rPr>
                <w:noProof/>
                <w:webHidden/>
              </w:rPr>
              <w:fldChar w:fldCharType="begin"/>
            </w:r>
            <w:r w:rsidR="00BB5B33">
              <w:rPr>
                <w:noProof/>
                <w:webHidden/>
              </w:rPr>
              <w:instrText xml:space="preserve"> PAGEREF _Toc491786393 \h </w:instrText>
            </w:r>
            <w:r w:rsidR="00BB5B33">
              <w:rPr>
                <w:noProof/>
                <w:webHidden/>
              </w:rPr>
            </w:r>
            <w:r w:rsidR="00BB5B33">
              <w:rPr>
                <w:noProof/>
                <w:webHidden/>
              </w:rPr>
              <w:fldChar w:fldCharType="separate"/>
            </w:r>
            <w:r w:rsidR="00BB5B33">
              <w:rPr>
                <w:noProof/>
                <w:webHidden/>
              </w:rPr>
              <w:t>11</w:t>
            </w:r>
            <w:r w:rsidR="00BB5B33">
              <w:rPr>
                <w:noProof/>
                <w:webHidden/>
              </w:rPr>
              <w:fldChar w:fldCharType="end"/>
            </w:r>
          </w:hyperlink>
        </w:p>
        <w:p w14:paraId="5BD54F43" w14:textId="77777777" w:rsidR="00BB5B33" w:rsidRDefault="00C22AD3">
          <w:pPr>
            <w:pStyle w:val="TOC2"/>
            <w:rPr>
              <w:rFonts w:asciiTheme="minorHAnsi" w:eastAsiaTheme="minorEastAsia" w:hAnsiTheme="minorHAnsi" w:cstheme="minorBidi"/>
              <w:noProof/>
              <w:sz w:val="22"/>
              <w:szCs w:val="22"/>
              <w:lang w:eastAsia="en-GB"/>
            </w:rPr>
          </w:pPr>
          <w:hyperlink w:anchor="_Toc491786394" w:history="1">
            <w:r w:rsidR="00BB5B33" w:rsidRPr="00C102BB">
              <w:rPr>
                <w:rStyle w:val="Hyperlink"/>
                <w:noProof/>
              </w:rPr>
              <w:t>1.4 Identity and composition of structurally related substances (used in a grouping or read-across approach)</w:t>
            </w:r>
            <w:r w:rsidR="00BB5B33">
              <w:rPr>
                <w:noProof/>
                <w:webHidden/>
              </w:rPr>
              <w:tab/>
            </w:r>
            <w:r w:rsidR="00BB5B33">
              <w:rPr>
                <w:noProof/>
                <w:webHidden/>
              </w:rPr>
              <w:fldChar w:fldCharType="begin"/>
            </w:r>
            <w:r w:rsidR="00BB5B33">
              <w:rPr>
                <w:noProof/>
                <w:webHidden/>
              </w:rPr>
              <w:instrText xml:space="preserve"> PAGEREF _Toc491786394 \h </w:instrText>
            </w:r>
            <w:r w:rsidR="00BB5B33">
              <w:rPr>
                <w:noProof/>
                <w:webHidden/>
              </w:rPr>
            </w:r>
            <w:r w:rsidR="00BB5B33">
              <w:rPr>
                <w:noProof/>
                <w:webHidden/>
              </w:rPr>
              <w:fldChar w:fldCharType="separate"/>
            </w:r>
            <w:r w:rsidR="00BB5B33">
              <w:rPr>
                <w:noProof/>
                <w:webHidden/>
              </w:rPr>
              <w:t>11</w:t>
            </w:r>
            <w:r w:rsidR="00BB5B33">
              <w:rPr>
                <w:noProof/>
                <w:webHidden/>
              </w:rPr>
              <w:fldChar w:fldCharType="end"/>
            </w:r>
          </w:hyperlink>
        </w:p>
        <w:p w14:paraId="214EB142" w14:textId="77777777" w:rsidR="00BB5B33" w:rsidRDefault="00C22AD3">
          <w:pPr>
            <w:pStyle w:val="TOC2"/>
            <w:rPr>
              <w:rFonts w:asciiTheme="minorHAnsi" w:eastAsiaTheme="minorEastAsia" w:hAnsiTheme="minorHAnsi" w:cstheme="minorBidi"/>
              <w:noProof/>
              <w:sz w:val="22"/>
              <w:szCs w:val="22"/>
              <w:lang w:eastAsia="en-GB"/>
            </w:rPr>
          </w:pPr>
          <w:hyperlink w:anchor="_Toc491786395" w:history="1">
            <w:r w:rsidR="00BB5B33" w:rsidRPr="00C102BB">
              <w:rPr>
                <w:rStyle w:val="Hyperlink"/>
                <w:noProof/>
              </w:rPr>
              <w:t>1.5 Physicochemical properties</w:t>
            </w:r>
            <w:r w:rsidR="00BB5B33">
              <w:rPr>
                <w:noProof/>
                <w:webHidden/>
              </w:rPr>
              <w:tab/>
            </w:r>
            <w:r w:rsidR="00BB5B33">
              <w:rPr>
                <w:noProof/>
                <w:webHidden/>
              </w:rPr>
              <w:fldChar w:fldCharType="begin"/>
            </w:r>
            <w:r w:rsidR="00BB5B33">
              <w:rPr>
                <w:noProof/>
                <w:webHidden/>
              </w:rPr>
              <w:instrText xml:space="preserve"> PAGEREF _Toc491786395 \h </w:instrText>
            </w:r>
            <w:r w:rsidR="00BB5B33">
              <w:rPr>
                <w:noProof/>
                <w:webHidden/>
              </w:rPr>
            </w:r>
            <w:r w:rsidR="00BB5B33">
              <w:rPr>
                <w:noProof/>
                <w:webHidden/>
              </w:rPr>
              <w:fldChar w:fldCharType="separate"/>
            </w:r>
            <w:r w:rsidR="00BB5B33">
              <w:rPr>
                <w:noProof/>
                <w:webHidden/>
              </w:rPr>
              <w:t>11</w:t>
            </w:r>
            <w:r w:rsidR="00BB5B33">
              <w:rPr>
                <w:noProof/>
                <w:webHidden/>
              </w:rPr>
              <w:fldChar w:fldCharType="end"/>
            </w:r>
          </w:hyperlink>
        </w:p>
        <w:p w14:paraId="62F2E460" w14:textId="77777777" w:rsidR="00BB5B33" w:rsidRDefault="00C22AD3">
          <w:pPr>
            <w:pStyle w:val="TOC1"/>
            <w:rPr>
              <w:rFonts w:asciiTheme="minorHAnsi" w:eastAsiaTheme="minorEastAsia" w:hAnsiTheme="minorHAnsi" w:cstheme="minorBidi"/>
              <w:b w:val="0"/>
              <w:bCs w:val="0"/>
              <w:caps w:val="0"/>
              <w:noProof/>
              <w:sz w:val="22"/>
              <w:szCs w:val="22"/>
              <w:lang w:eastAsia="en-GB"/>
            </w:rPr>
          </w:pPr>
          <w:hyperlink w:anchor="_Toc491786396" w:history="1">
            <w:r w:rsidR="00BB5B33" w:rsidRPr="00C102BB">
              <w:rPr>
                <w:rStyle w:val="Hyperlink"/>
                <w:noProof/>
              </w:rPr>
              <w:t>2. Harmonised classification and labelling</w:t>
            </w:r>
            <w:r w:rsidR="00BB5B33">
              <w:rPr>
                <w:noProof/>
                <w:webHidden/>
              </w:rPr>
              <w:tab/>
            </w:r>
            <w:r w:rsidR="00BB5B33">
              <w:rPr>
                <w:noProof/>
                <w:webHidden/>
              </w:rPr>
              <w:fldChar w:fldCharType="begin"/>
            </w:r>
            <w:r w:rsidR="00BB5B33">
              <w:rPr>
                <w:noProof/>
                <w:webHidden/>
              </w:rPr>
              <w:instrText xml:space="preserve"> PAGEREF _Toc491786396 \h </w:instrText>
            </w:r>
            <w:r w:rsidR="00BB5B33">
              <w:rPr>
                <w:noProof/>
                <w:webHidden/>
              </w:rPr>
            </w:r>
            <w:r w:rsidR="00BB5B33">
              <w:rPr>
                <w:noProof/>
                <w:webHidden/>
              </w:rPr>
              <w:fldChar w:fldCharType="separate"/>
            </w:r>
            <w:r w:rsidR="00BB5B33">
              <w:rPr>
                <w:noProof/>
                <w:webHidden/>
              </w:rPr>
              <w:t>13</w:t>
            </w:r>
            <w:r w:rsidR="00BB5B33">
              <w:rPr>
                <w:noProof/>
                <w:webHidden/>
              </w:rPr>
              <w:fldChar w:fldCharType="end"/>
            </w:r>
          </w:hyperlink>
        </w:p>
        <w:p w14:paraId="1B3027F2" w14:textId="77777777" w:rsidR="00BB5B33" w:rsidRDefault="00C22AD3">
          <w:pPr>
            <w:pStyle w:val="TOC1"/>
            <w:rPr>
              <w:rFonts w:asciiTheme="minorHAnsi" w:eastAsiaTheme="minorEastAsia" w:hAnsiTheme="minorHAnsi" w:cstheme="minorBidi"/>
              <w:b w:val="0"/>
              <w:bCs w:val="0"/>
              <w:caps w:val="0"/>
              <w:noProof/>
              <w:sz w:val="22"/>
              <w:szCs w:val="22"/>
              <w:lang w:eastAsia="en-GB"/>
            </w:rPr>
          </w:pPr>
          <w:hyperlink w:anchor="_Toc491786397" w:history="1">
            <w:r w:rsidR="00BB5B33" w:rsidRPr="00C102BB">
              <w:rPr>
                <w:rStyle w:val="Hyperlink"/>
                <w:noProof/>
              </w:rPr>
              <w:t>3. Environmental fate properties</w:t>
            </w:r>
            <w:r w:rsidR="00BB5B33">
              <w:rPr>
                <w:noProof/>
                <w:webHidden/>
              </w:rPr>
              <w:tab/>
            </w:r>
            <w:r w:rsidR="00BB5B33">
              <w:rPr>
                <w:noProof/>
                <w:webHidden/>
              </w:rPr>
              <w:fldChar w:fldCharType="begin"/>
            </w:r>
            <w:r w:rsidR="00BB5B33">
              <w:rPr>
                <w:noProof/>
                <w:webHidden/>
              </w:rPr>
              <w:instrText xml:space="preserve"> PAGEREF _Toc491786397 \h </w:instrText>
            </w:r>
            <w:r w:rsidR="00BB5B33">
              <w:rPr>
                <w:noProof/>
                <w:webHidden/>
              </w:rPr>
            </w:r>
            <w:r w:rsidR="00BB5B33">
              <w:rPr>
                <w:noProof/>
                <w:webHidden/>
              </w:rPr>
              <w:fldChar w:fldCharType="separate"/>
            </w:r>
            <w:r w:rsidR="00BB5B33">
              <w:rPr>
                <w:noProof/>
                <w:webHidden/>
              </w:rPr>
              <w:t>13</w:t>
            </w:r>
            <w:r w:rsidR="00BB5B33">
              <w:rPr>
                <w:noProof/>
                <w:webHidden/>
              </w:rPr>
              <w:fldChar w:fldCharType="end"/>
            </w:r>
          </w:hyperlink>
        </w:p>
        <w:p w14:paraId="21792610" w14:textId="77777777" w:rsidR="00BB5B33" w:rsidRDefault="00C22AD3">
          <w:pPr>
            <w:pStyle w:val="TOC1"/>
            <w:rPr>
              <w:rFonts w:asciiTheme="minorHAnsi" w:eastAsiaTheme="minorEastAsia" w:hAnsiTheme="minorHAnsi" w:cstheme="minorBidi"/>
              <w:b w:val="0"/>
              <w:bCs w:val="0"/>
              <w:caps w:val="0"/>
              <w:noProof/>
              <w:sz w:val="22"/>
              <w:szCs w:val="22"/>
              <w:lang w:eastAsia="en-GB"/>
            </w:rPr>
          </w:pPr>
          <w:hyperlink w:anchor="_Toc491786398" w:history="1">
            <w:r w:rsidR="00BB5B33" w:rsidRPr="00C102BB">
              <w:rPr>
                <w:rStyle w:val="Hyperlink"/>
                <w:noProof/>
              </w:rPr>
              <w:t>4. Human health hazard assessment</w:t>
            </w:r>
            <w:r w:rsidR="00BB5B33">
              <w:rPr>
                <w:noProof/>
                <w:webHidden/>
              </w:rPr>
              <w:tab/>
            </w:r>
            <w:r w:rsidR="00BB5B33">
              <w:rPr>
                <w:noProof/>
                <w:webHidden/>
              </w:rPr>
              <w:fldChar w:fldCharType="begin"/>
            </w:r>
            <w:r w:rsidR="00BB5B33">
              <w:rPr>
                <w:noProof/>
                <w:webHidden/>
              </w:rPr>
              <w:instrText xml:space="preserve"> PAGEREF _Toc491786398 \h </w:instrText>
            </w:r>
            <w:r w:rsidR="00BB5B33">
              <w:rPr>
                <w:noProof/>
                <w:webHidden/>
              </w:rPr>
            </w:r>
            <w:r w:rsidR="00BB5B33">
              <w:rPr>
                <w:noProof/>
                <w:webHidden/>
              </w:rPr>
              <w:fldChar w:fldCharType="separate"/>
            </w:r>
            <w:r w:rsidR="00BB5B33">
              <w:rPr>
                <w:noProof/>
                <w:webHidden/>
              </w:rPr>
              <w:t>13</w:t>
            </w:r>
            <w:r w:rsidR="00BB5B33">
              <w:rPr>
                <w:noProof/>
                <w:webHidden/>
              </w:rPr>
              <w:fldChar w:fldCharType="end"/>
            </w:r>
          </w:hyperlink>
        </w:p>
        <w:p w14:paraId="3FB601AA" w14:textId="77777777" w:rsidR="00BB5B33" w:rsidRDefault="00C22AD3">
          <w:pPr>
            <w:pStyle w:val="TOC1"/>
            <w:rPr>
              <w:rFonts w:asciiTheme="minorHAnsi" w:eastAsiaTheme="minorEastAsia" w:hAnsiTheme="minorHAnsi" w:cstheme="minorBidi"/>
              <w:b w:val="0"/>
              <w:bCs w:val="0"/>
              <w:caps w:val="0"/>
              <w:noProof/>
              <w:sz w:val="22"/>
              <w:szCs w:val="22"/>
              <w:lang w:eastAsia="en-GB"/>
            </w:rPr>
          </w:pPr>
          <w:hyperlink w:anchor="_Toc491786399" w:history="1">
            <w:r w:rsidR="00BB5B33" w:rsidRPr="00C102BB">
              <w:rPr>
                <w:rStyle w:val="Hyperlink"/>
                <w:noProof/>
              </w:rPr>
              <w:t>5. Environmental hazard assessment</w:t>
            </w:r>
            <w:r w:rsidR="00BB5B33">
              <w:rPr>
                <w:noProof/>
                <w:webHidden/>
              </w:rPr>
              <w:tab/>
            </w:r>
            <w:r w:rsidR="00BB5B33">
              <w:rPr>
                <w:noProof/>
                <w:webHidden/>
              </w:rPr>
              <w:fldChar w:fldCharType="begin"/>
            </w:r>
            <w:r w:rsidR="00BB5B33">
              <w:rPr>
                <w:noProof/>
                <w:webHidden/>
              </w:rPr>
              <w:instrText xml:space="preserve"> PAGEREF _Toc491786399 \h </w:instrText>
            </w:r>
            <w:r w:rsidR="00BB5B33">
              <w:rPr>
                <w:noProof/>
                <w:webHidden/>
              </w:rPr>
            </w:r>
            <w:r w:rsidR="00BB5B33">
              <w:rPr>
                <w:noProof/>
                <w:webHidden/>
              </w:rPr>
              <w:fldChar w:fldCharType="separate"/>
            </w:r>
            <w:r w:rsidR="00BB5B33">
              <w:rPr>
                <w:noProof/>
                <w:webHidden/>
              </w:rPr>
              <w:t>13</w:t>
            </w:r>
            <w:r w:rsidR="00BB5B33">
              <w:rPr>
                <w:noProof/>
                <w:webHidden/>
              </w:rPr>
              <w:fldChar w:fldCharType="end"/>
            </w:r>
          </w:hyperlink>
        </w:p>
        <w:p w14:paraId="446AA608" w14:textId="77777777" w:rsidR="00BB5B33" w:rsidRDefault="00C22AD3">
          <w:pPr>
            <w:pStyle w:val="TOC1"/>
            <w:rPr>
              <w:rFonts w:asciiTheme="minorHAnsi" w:eastAsiaTheme="minorEastAsia" w:hAnsiTheme="minorHAnsi" w:cstheme="minorBidi"/>
              <w:b w:val="0"/>
              <w:bCs w:val="0"/>
              <w:caps w:val="0"/>
              <w:noProof/>
              <w:sz w:val="22"/>
              <w:szCs w:val="22"/>
              <w:lang w:eastAsia="en-GB"/>
            </w:rPr>
          </w:pPr>
          <w:hyperlink w:anchor="_Toc491786400" w:history="1">
            <w:r w:rsidR="00BB5B33" w:rsidRPr="00C102BB">
              <w:rPr>
                <w:rStyle w:val="Hyperlink"/>
                <w:noProof/>
              </w:rPr>
              <w:t>6. Conclusions on the SVHC Properties</w:t>
            </w:r>
            <w:r w:rsidR="00BB5B33">
              <w:rPr>
                <w:noProof/>
                <w:webHidden/>
              </w:rPr>
              <w:tab/>
            </w:r>
            <w:r w:rsidR="00BB5B33">
              <w:rPr>
                <w:noProof/>
                <w:webHidden/>
              </w:rPr>
              <w:fldChar w:fldCharType="begin"/>
            </w:r>
            <w:r w:rsidR="00BB5B33">
              <w:rPr>
                <w:noProof/>
                <w:webHidden/>
              </w:rPr>
              <w:instrText xml:space="preserve"> PAGEREF _Toc491786400 \h </w:instrText>
            </w:r>
            <w:r w:rsidR="00BB5B33">
              <w:rPr>
                <w:noProof/>
                <w:webHidden/>
              </w:rPr>
            </w:r>
            <w:r w:rsidR="00BB5B33">
              <w:rPr>
                <w:noProof/>
                <w:webHidden/>
              </w:rPr>
              <w:fldChar w:fldCharType="separate"/>
            </w:r>
            <w:r w:rsidR="00BB5B33">
              <w:rPr>
                <w:noProof/>
                <w:webHidden/>
              </w:rPr>
              <w:t>15</w:t>
            </w:r>
            <w:r w:rsidR="00BB5B33">
              <w:rPr>
                <w:noProof/>
                <w:webHidden/>
              </w:rPr>
              <w:fldChar w:fldCharType="end"/>
            </w:r>
          </w:hyperlink>
        </w:p>
        <w:p w14:paraId="4A70617D" w14:textId="77777777" w:rsidR="00BB5B33" w:rsidRDefault="00C22AD3">
          <w:pPr>
            <w:pStyle w:val="TOC2"/>
            <w:rPr>
              <w:rFonts w:asciiTheme="minorHAnsi" w:eastAsiaTheme="minorEastAsia" w:hAnsiTheme="minorHAnsi" w:cstheme="minorBidi"/>
              <w:noProof/>
              <w:sz w:val="22"/>
              <w:szCs w:val="22"/>
              <w:lang w:eastAsia="en-GB"/>
            </w:rPr>
          </w:pPr>
          <w:hyperlink w:anchor="_Toc491786401" w:history="1">
            <w:r w:rsidR="00BB5B33" w:rsidRPr="00C102BB">
              <w:rPr>
                <w:rStyle w:val="Hyperlink"/>
                <w:noProof/>
              </w:rPr>
              <w:t>6.1 CMR assessment</w:t>
            </w:r>
            <w:r w:rsidR="00BB5B33">
              <w:rPr>
                <w:noProof/>
                <w:webHidden/>
              </w:rPr>
              <w:tab/>
            </w:r>
            <w:r w:rsidR="00BB5B33">
              <w:rPr>
                <w:noProof/>
                <w:webHidden/>
              </w:rPr>
              <w:fldChar w:fldCharType="begin"/>
            </w:r>
            <w:r w:rsidR="00BB5B33">
              <w:rPr>
                <w:noProof/>
                <w:webHidden/>
              </w:rPr>
              <w:instrText xml:space="preserve"> PAGEREF _Toc491786401 \h </w:instrText>
            </w:r>
            <w:r w:rsidR="00BB5B33">
              <w:rPr>
                <w:noProof/>
                <w:webHidden/>
              </w:rPr>
            </w:r>
            <w:r w:rsidR="00BB5B33">
              <w:rPr>
                <w:noProof/>
                <w:webHidden/>
              </w:rPr>
              <w:fldChar w:fldCharType="separate"/>
            </w:r>
            <w:r w:rsidR="00BB5B33">
              <w:rPr>
                <w:noProof/>
                <w:webHidden/>
              </w:rPr>
              <w:t>15</w:t>
            </w:r>
            <w:r w:rsidR="00BB5B33">
              <w:rPr>
                <w:noProof/>
                <w:webHidden/>
              </w:rPr>
              <w:fldChar w:fldCharType="end"/>
            </w:r>
          </w:hyperlink>
        </w:p>
        <w:p w14:paraId="5458D76B" w14:textId="77777777" w:rsidR="00BB5B33" w:rsidRDefault="00C22AD3">
          <w:pPr>
            <w:pStyle w:val="TOC2"/>
            <w:rPr>
              <w:rFonts w:asciiTheme="minorHAnsi" w:eastAsiaTheme="minorEastAsia" w:hAnsiTheme="minorHAnsi" w:cstheme="minorBidi"/>
              <w:noProof/>
              <w:sz w:val="22"/>
              <w:szCs w:val="22"/>
              <w:lang w:eastAsia="en-GB"/>
            </w:rPr>
          </w:pPr>
          <w:hyperlink w:anchor="_Toc491786402" w:history="1">
            <w:r w:rsidR="00BB5B33" w:rsidRPr="00C102BB">
              <w:rPr>
                <w:rStyle w:val="Hyperlink"/>
                <w:noProof/>
              </w:rPr>
              <w:t>6.2 PBT and vPvB assessment</w:t>
            </w:r>
            <w:r w:rsidR="00BB5B33">
              <w:rPr>
                <w:noProof/>
                <w:webHidden/>
              </w:rPr>
              <w:tab/>
            </w:r>
            <w:r w:rsidR="00BB5B33">
              <w:rPr>
                <w:noProof/>
                <w:webHidden/>
              </w:rPr>
              <w:fldChar w:fldCharType="begin"/>
            </w:r>
            <w:r w:rsidR="00BB5B33">
              <w:rPr>
                <w:noProof/>
                <w:webHidden/>
              </w:rPr>
              <w:instrText xml:space="preserve"> PAGEREF _Toc491786402 \h </w:instrText>
            </w:r>
            <w:r w:rsidR="00BB5B33">
              <w:rPr>
                <w:noProof/>
                <w:webHidden/>
              </w:rPr>
            </w:r>
            <w:r w:rsidR="00BB5B33">
              <w:rPr>
                <w:noProof/>
                <w:webHidden/>
              </w:rPr>
              <w:fldChar w:fldCharType="separate"/>
            </w:r>
            <w:r w:rsidR="00BB5B33">
              <w:rPr>
                <w:noProof/>
                <w:webHidden/>
              </w:rPr>
              <w:t>15</w:t>
            </w:r>
            <w:r w:rsidR="00BB5B33">
              <w:rPr>
                <w:noProof/>
                <w:webHidden/>
              </w:rPr>
              <w:fldChar w:fldCharType="end"/>
            </w:r>
          </w:hyperlink>
        </w:p>
        <w:p w14:paraId="6F4D09FF" w14:textId="77777777" w:rsidR="00BB5B33" w:rsidRDefault="00C22AD3">
          <w:pPr>
            <w:pStyle w:val="TOC2"/>
            <w:rPr>
              <w:rFonts w:asciiTheme="minorHAnsi" w:eastAsiaTheme="minorEastAsia" w:hAnsiTheme="minorHAnsi" w:cstheme="minorBidi"/>
              <w:noProof/>
              <w:sz w:val="22"/>
              <w:szCs w:val="22"/>
              <w:lang w:eastAsia="en-GB"/>
            </w:rPr>
          </w:pPr>
          <w:hyperlink w:anchor="_Toc491786403" w:history="1">
            <w:r w:rsidR="00BB5B33" w:rsidRPr="00C102BB">
              <w:rPr>
                <w:rStyle w:val="Hyperlink"/>
                <w:noProof/>
              </w:rPr>
              <w:t>6.3 Assessment under Article 57(f)</w:t>
            </w:r>
            <w:r w:rsidR="00BB5B33">
              <w:rPr>
                <w:noProof/>
                <w:webHidden/>
              </w:rPr>
              <w:tab/>
            </w:r>
            <w:r w:rsidR="00BB5B33">
              <w:rPr>
                <w:noProof/>
                <w:webHidden/>
              </w:rPr>
              <w:fldChar w:fldCharType="begin"/>
            </w:r>
            <w:r w:rsidR="00BB5B33">
              <w:rPr>
                <w:noProof/>
                <w:webHidden/>
              </w:rPr>
              <w:instrText xml:space="preserve"> PAGEREF _Toc491786403 \h </w:instrText>
            </w:r>
            <w:r w:rsidR="00BB5B33">
              <w:rPr>
                <w:noProof/>
                <w:webHidden/>
              </w:rPr>
            </w:r>
            <w:r w:rsidR="00BB5B33">
              <w:rPr>
                <w:noProof/>
                <w:webHidden/>
              </w:rPr>
              <w:fldChar w:fldCharType="separate"/>
            </w:r>
            <w:r w:rsidR="00BB5B33">
              <w:rPr>
                <w:noProof/>
                <w:webHidden/>
              </w:rPr>
              <w:t>15</w:t>
            </w:r>
            <w:r w:rsidR="00BB5B33">
              <w:rPr>
                <w:noProof/>
                <w:webHidden/>
              </w:rPr>
              <w:fldChar w:fldCharType="end"/>
            </w:r>
          </w:hyperlink>
        </w:p>
        <w:p w14:paraId="79856B94" w14:textId="77777777" w:rsidR="00BB5B33" w:rsidRDefault="00C22AD3">
          <w:pPr>
            <w:pStyle w:val="TOC3"/>
            <w:tabs>
              <w:tab w:val="right" w:leader="dot" w:pos="9737"/>
            </w:tabs>
            <w:rPr>
              <w:rFonts w:asciiTheme="minorHAnsi" w:eastAsiaTheme="minorEastAsia" w:hAnsiTheme="minorHAnsi" w:cstheme="minorBidi"/>
              <w:i w:val="0"/>
              <w:iCs w:val="0"/>
              <w:noProof/>
              <w:sz w:val="22"/>
              <w:szCs w:val="22"/>
              <w:lang w:eastAsia="en-GB"/>
            </w:rPr>
          </w:pPr>
          <w:hyperlink w:anchor="_Toc491786404" w:history="1">
            <w:r w:rsidR="00BB5B33" w:rsidRPr="00C102BB">
              <w:rPr>
                <w:rStyle w:val="Hyperlink"/>
                <w:noProof/>
              </w:rPr>
              <w:t>6.3.1 Conclusion on the hazard properties and equivalent level of concern assessment</w:t>
            </w:r>
            <w:r w:rsidR="00BB5B33">
              <w:rPr>
                <w:noProof/>
                <w:webHidden/>
              </w:rPr>
              <w:tab/>
            </w:r>
            <w:r w:rsidR="00BB5B33">
              <w:rPr>
                <w:noProof/>
                <w:webHidden/>
              </w:rPr>
              <w:fldChar w:fldCharType="begin"/>
            </w:r>
            <w:r w:rsidR="00BB5B33">
              <w:rPr>
                <w:noProof/>
                <w:webHidden/>
              </w:rPr>
              <w:instrText xml:space="preserve"> PAGEREF _Toc491786404 \h </w:instrText>
            </w:r>
            <w:r w:rsidR="00BB5B33">
              <w:rPr>
                <w:noProof/>
                <w:webHidden/>
              </w:rPr>
            </w:r>
            <w:r w:rsidR="00BB5B33">
              <w:rPr>
                <w:noProof/>
                <w:webHidden/>
              </w:rPr>
              <w:fldChar w:fldCharType="separate"/>
            </w:r>
            <w:r w:rsidR="00BB5B33">
              <w:rPr>
                <w:noProof/>
                <w:webHidden/>
              </w:rPr>
              <w:t>15</w:t>
            </w:r>
            <w:r w:rsidR="00BB5B33">
              <w:rPr>
                <w:noProof/>
                <w:webHidden/>
              </w:rPr>
              <w:fldChar w:fldCharType="end"/>
            </w:r>
          </w:hyperlink>
        </w:p>
        <w:p w14:paraId="0E7CF4FF" w14:textId="77777777" w:rsidR="00BB5B33" w:rsidRDefault="00C22AD3">
          <w:pPr>
            <w:pStyle w:val="TOC1"/>
            <w:rPr>
              <w:rFonts w:asciiTheme="minorHAnsi" w:eastAsiaTheme="minorEastAsia" w:hAnsiTheme="minorHAnsi" w:cstheme="minorBidi"/>
              <w:b w:val="0"/>
              <w:bCs w:val="0"/>
              <w:caps w:val="0"/>
              <w:noProof/>
              <w:sz w:val="22"/>
              <w:szCs w:val="22"/>
              <w:lang w:eastAsia="en-GB"/>
            </w:rPr>
          </w:pPr>
          <w:hyperlink w:anchor="_Toc491786405" w:history="1">
            <w:r w:rsidR="00BB5B33" w:rsidRPr="00C102BB">
              <w:rPr>
                <w:rStyle w:val="Hyperlink"/>
                <w:noProof/>
              </w:rPr>
              <w:t>Part II</w:t>
            </w:r>
            <w:r w:rsidR="00BB5B33">
              <w:rPr>
                <w:noProof/>
                <w:webHidden/>
              </w:rPr>
              <w:tab/>
            </w:r>
            <w:r w:rsidR="00BB5B33">
              <w:rPr>
                <w:noProof/>
                <w:webHidden/>
              </w:rPr>
              <w:fldChar w:fldCharType="begin"/>
            </w:r>
            <w:r w:rsidR="00BB5B33">
              <w:rPr>
                <w:noProof/>
                <w:webHidden/>
              </w:rPr>
              <w:instrText xml:space="preserve"> PAGEREF _Toc491786405 \h </w:instrText>
            </w:r>
            <w:r w:rsidR="00BB5B33">
              <w:rPr>
                <w:noProof/>
                <w:webHidden/>
              </w:rPr>
            </w:r>
            <w:r w:rsidR="00BB5B33">
              <w:rPr>
                <w:noProof/>
                <w:webHidden/>
              </w:rPr>
              <w:fldChar w:fldCharType="separate"/>
            </w:r>
            <w:r w:rsidR="00BB5B33">
              <w:rPr>
                <w:noProof/>
                <w:webHidden/>
              </w:rPr>
              <w:t>19</w:t>
            </w:r>
            <w:r w:rsidR="00BB5B33">
              <w:rPr>
                <w:noProof/>
                <w:webHidden/>
              </w:rPr>
              <w:fldChar w:fldCharType="end"/>
            </w:r>
          </w:hyperlink>
        </w:p>
        <w:p w14:paraId="6ACF8139" w14:textId="77777777" w:rsidR="00BB5B33" w:rsidRDefault="00C22AD3">
          <w:pPr>
            <w:pStyle w:val="TOC1"/>
            <w:rPr>
              <w:rFonts w:asciiTheme="minorHAnsi" w:eastAsiaTheme="minorEastAsia" w:hAnsiTheme="minorHAnsi" w:cstheme="minorBidi"/>
              <w:b w:val="0"/>
              <w:bCs w:val="0"/>
              <w:caps w:val="0"/>
              <w:noProof/>
              <w:sz w:val="22"/>
              <w:szCs w:val="22"/>
              <w:lang w:eastAsia="en-GB"/>
            </w:rPr>
          </w:pPr>
          <w:hyperlink w:anchor="_Toc491786406" w:history="1">
            <w:r w:rsidR="00BB5B33" w:rsidRPr="00C102BB">
              <w:rPr>
                <w:rStyle w:val="Hyperlink"/>
                <w:noProof/>
              </w:rPr>
              <w:t>7. Registration and C&amp;L notification status</w:t>
            </w:r>
            <w:r w:rsidR="00BB5B33">
              <w:rPr>
                <w:noProof/>
                <w:webHidden/>
              </w:rPr>
              <w:tab/>
            </w:r>
            <w:r w:rsidR="00BB5B33">
              <w:rPr>
                <w:noProof/>
                <w:webHidden/>
              </w:rPr>
              <w:fldChar w:fldCharType="begin"/>
            </w:r>
            <w:r w:rsidR="00BB5B33">
              <w:rPr>
                <w:noProof/>
                <w:webHidden/>
              </w:rPr>
              <w:instrText xml:space="preserve"> PAGEREF _Toc491786406 \h </w:instrText>
            </w:r>
            <w:r w:rsidR="00BB5B33">
              <w:rPr>
                <w:noProof/>
                <w:webHidden/>
              </w:rPr>
            </w:r>
            <w:r w:rsidR="00BB5B33">
              <w:rPr>
                <w:noProof/>
                <w:webHidden/>
              </w:rPr>
              <w:fldChar w:fldCharType="separate"/>
            </w:r>
            <w:r w:rsidR="00BB5B33">
              <w:rPr>
                <w:noProof/>
                <w:webHidden/>
              </w:rPr>
              <w:t>19</w:t>
            </w:r>
            <w:r w:rsidR="00BB5B33">
              <w:rPr>
                <w:noProof/>
                <w:webHidden/>
              </w:rPr>
              <w:fldChar w:fldCharType="end"/>
            </w:r>
          </w:hyperlink>
        </w:p>
        <w:p w14:paraId="359D5674" w14:textId="77777777" w:rsidR="00BB5B33" w:rsidRDefault="00C22AD3">
          <w:pPr>
            <w:pStyle w:val="TOC2"/>
            <w:tabs>
              <w:tab w:val="left" w:pos="800"/>
            </w:tabs>
            <w:rPr>
              <w:rFonts w:asciiTheme="minorHAnsi" w:eastAsiaTheme="minorEastAsia" w:hAnsiTheme="minorHAnsi" w:cstheme="minorBidi"/>
              <w:noProof/>
              <w:sz w:val="22"/>
              <w:szCs w:val="22"/>
              <w:lang w:eastAsia="en-GB"/>
            </w:rPr>
          </w:pPr>
          <w:hyperlink w:anchor="_Toc491786407" w:history="1">
            <w:r w:rsidR="00BB5B33" w:rsidRPr="00C102BB">
              <w:rPr>
                <w:rStyle w:val="Hyperlink"/>
                <w:rFonts w:cs="Times New Roman"/>
                <w:noProof/>
              </w:rPr>
              <w:t>7.1</w:t>
            </w:r>
            <w:r w:rsidR="00BB5B33">
              <w:rPr>
                <w:rFonts w:asciiTheme="minorHAnsi" w:eastAsiaTheme="minorEastAsia" w:hAnsiTheme="minorHAnsi" w:cstheme="minorBidi"/>
                <w:noProof/>
                <w:sz w:val="22"/>
                <w:szCs w:val="22"/>
                <w:lang w:eastAsia="en-GB"/>
              </w:rPr>
              <w:tab/>
            </w:r>
            <w:r w:rsidR="00BB5B33" w:rsidRPr="00C102BB">
              <w:rPr>
                <w:rStyle w:val="Hyperlink"/>
                <w:noProof/>
              </w:rPr>
              <w:t>Registration status</w:t>
            </w:r>
            <w:r w:rsidR="00BB5B33">
              <w:rPr>
                <w:noProof/>
                <w:webHidden/>
              </w:rPr>
              <w:tab/>
            </w:r>
            <w:r w:rsidR="00BB5B33">
              <w:rPr>
                <w:noProof/>
                <w:webHidden/>
              </w:rPr>
              <w:fldChar w:fldCharType="begin"/>
            </w:r>
            <w:r w:rsidR="00BB5B33">
              <w:rPr>
                <w:noProof/>
                <w:webHidden/>
              </w:rPr>
              <w:instrText xml:space="preserve"> PAGEREF _Toc491786407 \h </w:instrText>
            </w:r>
            <w:r w:rsidR="00BB5B33">
              <w:rPr>
                <w:noProof/>
                <w:webHidden/>
              </w:rPr>
            </w:r>
            <w:r w:rsidR="00BB5B33">
              <w:rPr>
                <w:noProof/>
                <w:webHidden/>
              </w:rPr>
              <w:fldChar w:fldCharType="separate"/>
            </w:r>
            <w:r w:rsidR="00BB5B33">
              <w:rPr>
                <w:noProof/>
                <w:webHidden/>
              </w:rPr>
              <w:t>19</w:t>
            </w:r>
            <w:r w:rsidR="00BB5B33">
              <w:rPr>
                <w:noProof/>
                <w:webHidden/>
              </w:rPr>
              <w:fldChar w:fldCharType="end"/>
            </w:r>
          </w:hyperlink>
        </w:p>
        <w:p w14:paraId="700A6599" w14:textId="77777777" w:rsidR="00BB5B33" w:rsidRDefault="00C22AD3">
          <w:pPr>
            <w:pStyle w:val="TOC2"/>
            <w:rPr>
              <w:rFonts w:asciiTheme="minorHAnsi" w:eastAsiaTheme="minorEastAsia" w:hAnsiTheme="minorHAnsi" w:cstheme="minorBidi"/>
              <w:noProof/>
              <w:sz w:val="22"/>
              <w:szCs w:val="22"/>
              <w:lang w:eastAsia="en-GB"/>
            </w:rPr>
          </w:pPr>
          <w:hyperlink w:anchor="_Toc491786408" w:history="1">
            <w:r w:rsidR="00BB5B33" w:rsidRPr="00C102BB">
              <w:rPr>
                <w:rStyle w:val="Hyperlink"/>
                <w:noProof/>
              </w:rPr>
              <w:t>7.2 CLP notification status</w:t>
            </w:r>
            <w:r w:rsidR="00BB5B33">
              <w:rPr>
                <w:noProof/>
                <w:webHidden/>
              </w:rPr>
              <w:tab/>
            </w:r>
            <w:r w:rsidR="00BB5B33">
              <w:rPr>
                <w:noProof/>
                <w:webHidden/>
              </w:rPr>
              <w:fldChar w:fldCharType="begin"/>
            </w:r>
            <w:r w:rsidR="00BB5B33">
              <w:rPr>
                <w:noProof/>
                <w:webHidden/>
              </w:rPr>
              <w:instrText xml:space="preserve"> PAGEREF _Toc491786408 \h </w:instrText>
            </w:r>
            <w:r w:rsidR="00BB5B33">
              <w:rPr>
                <w:noProof/>
                <w:webHidden/>
              </w:rPr>
            </w:r>
            <w:r w:rsidR="00BB5B33">
              <w:rPr>
                <w:noProof/>
                <w:webHidden/>
              </w:rPr>
              <w:fldChar w:fldCharType="separate"/>
            </w:r>
            <w:r w:rsidR="00BB5B33">
              <w:rPr>
                <w:noProof/>
                <w:webHidden/>
              </w:rPr>
              <w:t>19</w:t>
            </w:r>
            <w:r w:rsidR="00BB5B33">
              <w:rPr>
                <w:noProof/>
                <w:webHidden/>
              </w:rPr>
              <w:fldChar w:fldCharType="end"/>
            </w:r>
          </w:hyperlink>
        </w:p>
        <w:p w14:paraId="59E88708" w14:textId="77777777" w:rsidR="00BB5B33" w:rsidRDefault="00C22AD3">
          <w:pPr>
            <w:pStyle w:val="TOC1"/>
            <w:rPr>
              <w:rFonts w:asciiTheme="minorHAnsi" w:eastAsiaTheme="minorEastAsia" w:hAnsiTheme="minorHAnsi" w:cstheme="minorBidi"/>
              <w:b w:val="0"/>
              <w:bCs w:val="0"/>
              <w:caps w:val="0"/>
              <w:noProof/>
              <w:sz w:val="22"/>
              <w:szCs w:val="22"/>
              <w:lang w:eastAsia="en-GB"/>
            </w:rPr>
          </w:pPr>
          <w:hyperlink w:anchor="_Toc491786409" w:history="1">
            <w:r w:rsidR="00BB5B33" w:rsidRPr="00C102BB">
              <w:rPr>
                <w:rStyle w:val="Hyperlink"/>
                <w:noProof/>
              </w:rPr>
              <w:t>8. Total tonnage of the substance</w:t>
            </w:r>
            <w:r w:rsidR="00BB5B33">
              <w:rPr>
                <w:noProof/>
                <w:webHidden/>
              </w:rPr>
              <w:tab/>
            </w:r>
            <w:r w:rsidR="00BB5B33">
              <w:rPr>
                <w:noProof/>
                <w:webHidden/>
              </w:rPr>
              <w:fldChar w:fldCharType="begin"/>
            </w:r>
            <w:r w:rsidR="00BB5B33">
              <w:rPr>
                <w:noProof/>
                <w:webHidden/>
              </w:rPr>
              <w:instrText xml:space="preserve"> PAGEREF _Toc491786409 \h </w:instrText>
            </w:r>
            <w:r w:rsidR="00BB5B33">
              <w:rPr>
                <w:noProof/>
                <w:webHidden/>
              </w:rPr>
            </w:r>
            <w:r w:rsidR="00BB5B33">
              <w:rPr>
                <w:noProof/>
                <w:webHidden/>
              </w:rPr>
              <w:fldChar w:fldCharType="separate"/>
            </w:r>
            <w:r w:rsidR="00BB5B33">
              <w:rPr>
                <w:noProof/>
                <w:webHidden/>
              </w:rPr>
              <w:t>20</w:t>
            </w:r>
            <w:r w:rsidR="00BB5B33">
              <w:rPr>
                <w:noProof/>
                <w:webHidden/>
              </w:rPr>
              <w:fldChar w:fldCharType="end"/>
            </w:r>
          </w:hyperlink>
        </w:p>
        <w:p w14:paraId="48911FD6" w14:textId="77777777" w:rsidR="00BB5B33" w:rsidRDefault="00C22AD3">
          <w:pPr>
            <w:pStyle w:val="TOC1"/>
            <w:rPr>
              <w:rFonts w:asciiTheme="minorHAnsi" w:eastAsiaTheme="minorEastAsia" w:hAnsiTheme="minorHAnsi" w:cstheme="minorBidi"/>
              <w:b w:val="0"/>
              <w:bCs w:val="0"/>
              <w:caps w:val="0"/>
              <w:noProof/>
              <w:sz w:val="22"/>
              <w:szCs w:val="22"/>
              <w:lang w:eastAsia="en-GB"/>
            </w:rPr>
          </w:pPr>
          <w:hyperlink w:anchor="_Toc491786410" w:history="1">
            <w:r w:rsidR="00BB5B33" w:rsidRPr="00C102BB">
              <w:rPr>
                <w:rStyle w:val="Hyperlink"/>
                <w:noProof/>
              </w:rPr>
              <w:t>9. Information on uses of the substance</w:t>
            </w:r>
            <w:r w:rsidR="00BB5B33">
              <w:rPr>
                <w:noProof/>
                <w:webHidden/>
              </w:rPr>
              <w:tab/>
            </w:r>
            <w:r w:rsidR="00BB5B33">
              <w:rPr>
                <w:noProof/>
                <w:webHidden/>
              </w:rPr>
              <w:fldChar w:fldCharType="begin"/>
            </w:r>
            <w:r w:rsidR="00BB5B33">
              <w:rPr>
                <w:noProof/>
                <w:webHidden/>
              </w:rPr>
              <w:instrText xml:space="preserve"> PAGEREF _Toc491786410 \h </w:instrText>
            </w:r>
            <w:r w:rsidR="00BB5B33">
              <w:rPr>
                <w:noProof/>
                <w:webHidden/>
              </w:rPr>
            </w:r>
            <w:r w:rsidR="00BB5B33">
              <w:rPr>
                <w:noProof/>
                <w:webHidden/>
              </w:rPr>
              <w:fldChar w:fldCharType="separate"/>
            </w:r>
            <w:r w:rsidR="00BB5B33">
              <w:rPr>
                <w:noProof/>
                <w:webHidden/>
              </w:rPr>
              <w:t>20</w:t>
            </w:r>
            <w:r w:rsidR="00BB5B33">
              <w:rPr>
                <w:noProof/>
                <w:webHidden/>
              </w:rPr>
              <w:fldChar w:fldCharType="end"/>
            </w:r>
          </w:hyperlink>
        </w:p>
        <w:p w14:paraId="027F3E18" w14:textId="77777777" w:rsidR="00BB5B33" w:rsidRDefault="00C22AD3">
          <w:pPr>
            <w:pStyle w:val="TOC1"/>
            <w:rPr>
              <w:rFonts w:asciiTheme="minorHAnsi" w:eastAsiaTheme="minorEastAsia" w:hAnsiTheme="minorHAnsi" w:cstheme="minorBidi"/>
              <w:b w:val="0"/>
              <w:bCs w:val="0"/>
              <w:caps w:val="0"/>
              <w:noProof/>
              <w:sz w:val="22"/>
              <w:szCs w:val="22"/>
              <w:lang w:eastAsia="en-GB"/>
            </w:rPr>
          </w:pPr>
          <w:hyperlink w:anchor="_Toc491786411" w:history="1">
            <w:r w:rsidR="00BB5B33" w:rsidRPr="00C102BB">
              <w:rPr>
                <w:rStyle w:val="Hyperlink"/>
                <w:noProof/>
              </w:rPr>
              <w:t>10. Information on structure of the supply chain</w:t>
            </w:r>
            <w:r w:rsidR="00BB5B33">
              <w:rPr>
                <w:noProof/>
                <w:webHidden/>
              </w:rPr>
              <w:tab/>
            </w:r>
            <w:r w:rsidR="00BB5B33">
              <w:rPr>
                <w:noProof/>
                <w:webHidden/>
              </w:rPr>
              <w:fldChar w:fldCharType="begin"/>
            </w:r>
            <w:r w:rsidR="00BB5B33">
              <w:rPr>
                <w:noProof/>
                <w:webHidden/>
              </w:rPr>
              <w:instrText xml:space="preserve"> PAGEREF _Toc491786411 \h </w:instrText>
            </w:r>
            <w:r w:rsidR="00BB5B33">
              <w:rPr>
                <w:noProof/>
                <w:webHidden/>
              </w:rPr>
            </w:r>
            <w:r w:rsidR="00BB5B33">
              <w:rPr>
                <w:noProof/>
                <w:webHidden/>
              </w:rPr>
              <w:fldChar w:fldCharType="separate"/>
            </w:r>
            <w:r w:rsidR="00BB5B33">
              <w:rPr>
                <w:noProof/>
                <w:webHidden/>
              </w:rPr>
              <w:t>21</w:t>
            </w:r>
            <w:r w:rsidR="00BB5B33">
              <w:rPr>
                <w:noProof/>
                <w:webHidden/>
              </w:rPr>
              <w:fldChar w:fldCharType="end"/>
            </w:r>
          </w:hyperlink>
        </w:p>
        <w:p w14:paraId="667DE107" w14:textId="77777777" w:rsidR="00BB5B33" w:rsidRDefault="00C22AD3">
          <w:pPr>
            <w:pStyle w:val="TOC1"/>
            <w:rPr>
              <w:rFonts w:asciiTheme="minorHAnsi" w:eastAsiaTheme="minorEastAsia" w:hAnsiTheme="minorHAnsi" w:cstheme="minorBidi"/>
              <w:b w:val="0"/>
              <w:bCs w:val="0"/>
              <w:caps w:val="0"/>
              <w:noProof/>
              <w:sz w:val="22"/>
              <w:szCs w:val="22"/>
              <w:lang w:eastAsia="en-GB"/>
            </w:rPr>
          </w:pPr>
          <w:hyperlink w:anchor="_Toc491786412" w:history="1">
            <w:r w:rsidR="00BB5B33" w:rsidRPr="00C102BB">
              <w:rPr>
                <w:rStyle w:val="Hyperlink"/>
                <w:noProof/>
              </w:rPr>
              <w:t>11. Additional information</w:t>
            </w:r>
            <w:r w:rsidR="00BB5B33">
              <w:rPr>
                <w:noProof/>
                <w:webHidden/>
              </w:rPr>
              <w:tab/>
            </w:r>
            <w:r w:rsidR="00BB5B33">
              <w:rPr>
                <w:noProof/>
                <w:webHidden/>
              </w:rPr>
              <w:fldChar w:fldCharType="begin"/>
            </w:r>
            <w:r w:rsidR="00BB5B33">
              <w:rPr>
                <w:noProof/>
                <w:webHidden/>
              </w:rPr>
              <w:instrText xml:space="preserve"> PAGEREF _Toc491786412 \h </w:instrText>
            </w:r>
            <w:r w:rsidR="00BB5B33">
              <w:rPr>
                <w:noProof/>
                <w:webHidden/>
              </w:rPr>
            </w:r>
            <w:r w:rsidR="00BB5B33">
              <w:rPr>
                <w:noProof/>
                <w:webHidden/>
              </w:rPr>
              <w:fldChar w:fldCharType="separate"/>
            </w:r>
            <w:r w:rsidR="00BB5B33">
              <w:rPr>
                <w:noProof/>
                <w:webHidden/>
              </w:rPr>
              <w:t>21</w:t>
            </w:r>
            <w:r w:rsidR="00BB5B33">
              <w:rPr>
                <w:noProof/>
                <w:webHidden/>
              </w:rPr>
              <w:fldChar w:fldCharType="end"/>
            </w:r>
          </w:hyperlink>
        </w:p>
        <w:p w14:paraId="062EC03C" w14:textId="77777777" w:rsidR="00BB5B33" w:rsidRDefault="00C22AD3">
          <w:pPr>
            <w:pStyle w:val="TOC2"/>
            <w:rPr>
              <w:rFonts w:asciiTheme="minorHAnsi" w:eastAsiaTheme="minorEastAsia" w:hAnsiTheme="minorHAnsi" w:cstheme="minorBidi"/>
              <w:noProof/>
              <w:sz w:val="22"/>
              <w:szCs w:val="22"/>
              <w:lang w:eastAsia="en-GB"/>
            </w:rPr>
          </w:pPr>
          <w:hyperlink w:anchor="_Toc491786413" w:history="1">
            <w:r w:rsidR="00BB5B33" w:rsidRPr="00C102BB">
              <w:rPr>
                <w:rStyle w:val="Hyperlink"/>
                <w:noProof/>
              </w:rPr>
              <w:t>11.1 Substances with similar hazard and use profiles on the Candidate List</w:t>
            </w:r>
            <w:r w:rsidR="00BB5B33">
              <w:rPr>
                <w:noProof/>
                <w:webHidden/>
              </w:rPr>
              <w:tab/>
            </w:r>
            <w:r w:rsidR="00BB5B33">
              <w:rPr>
                <w:noProof/>
                <w:webHidden/>
              </w:rPr>
              <w:fldChar w:fldCharType="begin"/>
            </w:r>
            <w:r w:rsidR="00BB5B33">
              <w:rPr>
                <w:noProof/>
                <w:webHidden/>
              </w:rPr>
              <w:instrText xml:space="preserve"> PAGEREF _Toc491786413 \h </w:instrText>
            </w:r>
            <w:r w:rsidR="00BB5B33">
              <w:rPr>
                <w:noProof/>
                <w:webHidden/>
              </w:rPr>
            </w:r>
            <w:r w:rsidR="00BB5B33">
              <w:rPr>
                <w:noProof/>
                <w:webHidden/>
              </w:rPr>
              <w:fldChar w:fldCharType="separate"/>
            </w:r>
            <w:r w:rsidR="00BB5B33">
              <w:rPr>
                <w:noProof/>
                <w:webHidden/>
              </w:rPr>
              <w:t>21</w:t>
            </w:r>
            <w:r w:rsidR="00BB5B33">
              <w:rPr>
                <w:noProof/>
                <w:webHidden/>
              </w:rPr>
              <w:fldChar w:fldCharType="end"/>
            </w:r>
          </w:hyperlink>
        </w:p>
        <w:p w14:paraId="4A917D7C" w14:textId="77777777" w:rsidR="00BB5B33" w:rsidRDefault="00C22AD3">
          <w:pPr>
            <w:pStyle w:val="TOC2"/>
            <w:rPr>
              <w:rFonts w:asciiTheme="minorHAnsi" w:eastAsiaTheme="minorEastAsia" w:hAnsiTheme="minorHAnsi" w:cstheme="minorBidi"/>
              <w:noProof/>
              <w:sz w:val="22"/>
              <w:szCs w:val="22"/>
              <w:lang w:eastAsia="en-GB"/>
            </w:rPr>
          </w:pPr>
          <w:hyperlink w:anchor="_Toc491786414" w:history="1">
            <w:r w:rsidR="00BB5B33" w:rsidRPr="00C102BB">
              <w:rPr>
                <w:rStyle w:val="Hyperlink"/>
                <w:noProof/>
              </w:rPr>
              <w:t>11.2 Alternatives</w:t>
            </w:r>
            <w:r w:rsidR="00BB5B33">
              <w:rPr>
                <w:noProof/>
                <w:webHidden/>
              </w:rPr>
              <w:tab/>
            </w:r>
            <w:r w:rsidR="00BB5B33">
              <w:rPr>
                <w:noProof/>
                <w:webHidden/>
              </w:rPr>
              <w:fldChar w:fldCharType="begin"/>
            </w:r>
            <w:r w:rsidR="00BB5B33">
              <w:rPr>
                <w:noProof/>
                <w:webHidden/>
              </w:rPr>
              <w:instrText xml:space="preserve"> PAGEREF _Toc491786414 \h </w:instrText>
            </w:r>
            <w:r w:rsidR="00BB5B33">
              <w:rPr>
                <w:noProof/>
                <w:webHidden/>
              </w:rPr>
            </w:r>
            <w:r w:rsidR="00BB5B33">
              <w:rPr>
                <w:noProof/>
                <w:webHidden/>
              </w:rPr>
              <w:fldChar w:fldCharType="separate"/>
            </w:r>
            <w:r w:rsidR="00BB5B33">
              <w:rPr>
                <w:noProof/>
                <w:webHidden/>
              </w:rPr>
              <w:t>22</w:t>
            </w:r>
            <w:r w:rsidR="00BB5B33">
              <w:rPr>
                <w:noProof/>
                <w:webHidden/>
              </w:rPr>
              <w:fldChar w:fldCharType="end"/>
            </w:r>
          </w:hyperlink>
        </w:p>
        <w:p w14:paraId="4A87E705" w14:textId="77777777" w:rsidR="00BB5B33" w:rsidRDefault="00C22AD3">
          <w:pPr>
            <w:pStyle w:val="TOC2"/>
            <w:rPr>
              <w:rFonts w:asciiTheme="minorHAnsi" w:eastAsiaTheme="minorEastAsia" w:hAnsiTheme="minorHAnsi" w:cstheme="minorBidi"/>
              <w:noProof/>
              <w:sz w:val="22"/>
              <w:szCs w:val="22"/>
              <w:lang w:eastAsia="en-GB"/>
            </w:rPr>
          </w:pPr>
          <w:hyperlink w:anchor="_Toc491786415" w:history="1">
            <w:r w:rsidR="00BB5B33" w:rsidRPr="00C102BB">
              <w:rPr>
                <w:rStyle w:val="Hyperlink"/>
                <w:noProof/>
              </w:rPr>
              <w:t>11.3 Existing EU legislation</w:t>
            </w:r>
            <w:r w:rsidR="00BB5B33">
              <w:rPr>
                <w:noProof/>
                <w:webHidden/>
              </w:rPr>
              <w:tab/>
            </w:r>
            <w:r w:rsidR="00BB5B33">
              <w:rPr>
                <w:noProof/>
                <w:webHidden/>
              </w:rPr>
              <w:fldChar w:fldCharType="begin"/>
            </w:r>
            <w:r w:rsidR="00BB5B33">
              <w:rPr>
                <w:noProof/>
                <w:webHidden/>
              </w:rPr>
              <w:instrText xml:space="preserve"> PAGEREF _Toc491786415 \h </w:instrText>
            </w:r>
            <w:r w:rsidR="00BB5B33">
              <w:rPr>
                <w:noProof/>
                <w:webHidden/>
              </w:rPr>
            </w:r>
            <w:r w:rsidR="00BB5B33">
              <w:rPr>
                <w:noProof/>
                <w:webHidden/>
              </w:rPr>
              <w:fldChar w:fldCharType="separate"/>
            </w:r>
            <w:r w:rsidR="00BB5B33">
              <w:rPr>
                <w:noProof/>
                <w:webHidden/>
              </w:rPr>
              <w:t>22</w:t>
            </w:r>
            <w:r w:rsidR="00BB5B33">
              <w:rPr>
                <w:noProof/>
                <w:webHidden/>
              </w:rPr>
              <w:fldChar w:fldCharType="end"/>
            </w:r>
          </w:hyperlink>
        </w:p>
        <w:p w14:paraId="5AB69703" w14:textId="77777777" w:rsidR="00BB5B33" w:rsidRDefault="00C22AD3">
          <w:pPr>
            <w:pStyle w:val="TOC2"/>
            <w:rPr>
              <w:rFonts w:asciiTheme="minorHAnsi" w:eastAsiaTheme="minorEastAsia" w:hAnsiTheme="minorHAnsi" w:cstheme="minorBidi"/>
              <w:noProof/>
              <w:sz w:val="22"/>
              <w:szCs w:val="22"/>
              <w:lang w:eastAsia="en-GB"/>
            </w:rPr>
          </w:pPr>
          <w:hyperlink w:anchor="_Toc491786416" w:history="1">
            <w:r w:rsidR="00BB5B33" w:rsidRPr="00C102BB">
              <w:rPr>
                <w:rStyle w:val="Hyperlink"/>
                <w:noProof/>
              </w:rPr>
              <w:t>11.4 Previous assessments by other authorities</w:t>
            </w:r>
            <w:r w:rsidR="00BB5B33">
              <w:rPr>
                <w:noProof/>
                <w:webHidden/>
              </w:rPr>
              <w:tab/>
            </w:r>
            <w:r w:rsidR="00BB5B33">
              <w:rPr>
                <w:noProof/>
                <w:webHidden/>
              </w:rPr>
              <w:fldChar w:fldCharType="begin"/>
            </w:r>
            <w:r w:rsidR="00BB5B33">
              <w:rPr>
                <w:noProof/>
                <w:webHidden/>
              </w:rPr>
              <w:instrText xml:space="preserve"> PAGEREF _Toc491786416 \h </w:instrText>
            </w:r>
            <w:r w:rsidR="00BB5B33">
              <w:rPr>
                <w:noProof/>
                <w:webHidden/>
              </w:rPr>
            </w:r>
            <w:r w:rsidR="00BB5B33">
              <w:rPr>
                <w:noProof/>
                <w:webHidden/>
              </w:rPr>
              <w:fldChar w:fldCharType="separate"/>
            </w:r>
            <w:r w:rsidR="00BB5B33">
              <w:rPr>
                <w:noProof/>
                <w:webHidden/>
              </w:rPr>
              <w:t>22</w:t>
            </w:r>
            <w:r w:rsidR="00BB5B33">
              <w:rPr>
                <w:noProof/>
                <w:webHidden/>
              </w:rPr>
              <w:fldChar w:fldCharType="end"/>
            </w:r>
          </w:hyperlink>
        </w:p>
        <w:p w14:paraId="29CC3305" w14:textId="77777777" w:rsidR="00BB5B33" w:rsidRDefault="00C22AD3">
          <w:pPr>
            <w:pStyle w:val="TOC1"/>
            <w:rPr>
              <w:rFonts w:asciiTheme="minorHAnsi" w:eastAsiaTheme="minorEastAsia" w:hAnsiTheme="minorHAnsi" w:cstheme="minorBidi"/>
              <w:b w:val="0"/>
              <w:bCs w:val="0"/>
              <w:caps w:val="0"/>
              <w:noProof/>
              <w:sz w:val="22"/>
              <w:szCs w:val="22"/>
              <w:lang w:eastAsia="en-GB"/>
            </w:rPr>
          </w:pPr>
          <w:hyperlink w:anchor="_Toc491786417" w:history="1">
            <w:r w:rsidR="00BB5B33" w:rsidRPr="00C102BB">
              <w:rPr>
                <w:rStyle w:val="Hyperlink"/>
                <w:noProof/>
              </w:rPr>
              <w:t>References for Part I</w:t>
            </w:r>
            <w:r w:rsidR="00BB5B33">
              <w:rPr>
                <w:noProof/>
                <w:webHidden/>
              </w:rPr>
              <w:tab/>
            </w:r>
            <w:r w:rsidR="00BB5B33">
              <w:rPr>
                <w:noProof/>
                <w:webHidden/>
              </w:rPr>
              <w:fldChar w:fldCharType="begin"/>
            </w:r>
            <w:r w:rsidR="00BB5B33">
              <w:rPr>
                <w:noProof/>
                <w:webHidden/>
              </w:rPr>
              <w:instrText xml:space="preserve"> PAGEREF _Toc491786417 \h </w:instrText>
            </w:r>
            <w:r w:rsidR="00BB5B33">
              <w:rPr>
                <w:noProof/>
                <w:webHidden/>
              </w:rPr>
            </w:r>
            <w:r w:rsidR="00BB5B33">
              <w:rPr>
                <w:noProof/>
                <w:webHidden/>
              </w:rPr>
              <w:fldChar w:fldCharType="separate"/>
            </w:r>
            <w:r w:rsidR="00BB5B33">
              <w:rPr>
                <w:noProof/>
                <w:webHidden/>
              </w:rPr>
              <w:t>23</w:t>
            </w:r>
            <w:r w:rsidR="00BB5B33">
              <w:rPr>
                <w:noProof/>
                <w:webHidden/>
              </w:rPr>
              <w:fldChar w:fldCharType="end"/>
            </w:r>
          </w:hyperlink>
        </w:p>
        <w:p w14:paraId="19CE13FF" w14:textId="77777777" w:rsidR="00BB5B33" w:rsidRDefault="00C22AD3">
          <w:pPr>
            <w:pStyle w:val="TOC1"/>
            <w:rPr>
              <w:rFonts w:asciiTheme="minorHAnsi" w:eastAsiaTheme="minorEastAsia" w:hAnsiTheme="minorHAnsi" w:cstheme="minorBidi"/>
              <w:b w:val="0"/>
              <w:bCs w:val="0"/>
              <w:caps w:val="0"/>
              <w:noProof/>
              <w:sz w:val="22"/>
              <w:szCs w:val="22"/>
              <w:lang w:eastAsia="en-GB"/>
            </w:rPr>
          </w:pPr>
          <w:hyperlink w:anchor="_Toc491786418" w:history="1">
            <w:r w:rsidR="00BB5B33" w:rsidRPr="00C102BB">
              <w:rPr>
                <w:rStyle w:val="Hyperlink"/>
                <w:noProof/>
              </w:rPr>
              <w:t>References for Part II</w:t>
            </w:r>
            <w:r w:rsidR="00BB5B33">
              <w:rPr>
                <w:noProof/>
                <w:webHidden/>
              </w:rPr>
              <w:tab/>
            </w:r>
            <w:r w:rsidR="00BB5B33">
              <w:rPr>
                <w:noProof/>
                <w:webHidden/>
              </w:rPr>
              <w:fldChar w:fldCharType="begin"/>
            </w:r>
            <w:r w:rsidR="00BB5B33">
              <w:rPr>
                <w:noProof/>
                <w:webHidden/>
              </w:rPr>
              <w:instrText xml:space="preserve"> PAGEREF _Toc491786418 \h </w:instrText>
            </w:r>
            <w:r w:rsidR="00BB5B33">
              <w:rPr>
                <w:noProof/>
                <w:webHidden/>
              </w:rPr>
            </w:r>
            <w:r w:rsidR="00BB5B33">
              <w:rPr>
                <w:noProof/>
                <w:webHidden/>
              </w:rPr>
              <w:fldChar w:fldCharType="separate"/>
            </w:r>
            <w:r w:rsidR="00BB5B33">
              <w:rPr>
                <w:noProof/>
                <w:webHidden/>
              </w:rPr>
              <w:t>23</w:t>
            </w:r>
            <w:r w:rsidR="00BB5B33">
              <w:rPr>
                <w:noProof/>
                <w:webHidden/>
              </w:rPr>
              <w:fldChar w:fldCharType="end"/>
            </w:r>
          </w:hyperlink>
        </w:p>
        <w:p w14:paraId="669C7006" w14:textId="77777777" w:rsidR="004607CB" w:rsidRDefault="000721AD">
          <w:r>
            <w:rPr>
              <w:b/>
              <w:bCs/>
              <w:noProof/>
            </w:rPr>
            <w:fldChar w:fldCharType="end"/>
          </w:r>
        </w:p>
      </w:sdtContent>
    </w:sdt>
    <w:p w14:paraId="1A828A8C" w14:textId="77777777" w:rsidR="00701920" w:rsidRDefault="00701920">
      <w:pPr>
        <w:pStyle w:val="TOC1"/>
      </w:pPr>
    </w:p>
    <w:p w14:paraId="1D09D3B6" w14:textId="77777777" w:rsidR="00DD36C7" w:rsidRDefault="00DD36C7"/>
    <w:p w14:paraId="61E33B7A" w14:textId="77777777" w:rsidR="00B12C39" w:rsidRDefault="00B12C39" w:rsidP="00B12C39">
      <w:pPr>
        <w:pStyle w:val="Titleintro"/>
      </w:pPr>
      <w:bookmarkStart w:id="2" w:name="_Toc316637272"/>
      <w:r w:rsidRPr="00AC092B">
        <w:t>TABLES</w:t>
      </w:r>
      <w:r>
        <w:t xml:space="preserve"> </w:t>
      </w:r>
      <w:bookmarkEnd w:id="2"/>
    </w:p>
    <w:p w14:paraId="656D9667" w14:textId="77777777" w:rsidR="00B12C39" w:rsidRPr="00672AA9" w:rsidRDefault="00B12C39" w:rsidP="00961C4C"/>
    <w:p w14:paraId="64146629" w14:textId="77777777" w:rsidR="000276B1" w:rsidRDefault="000721AD">
      <w:pPr>
        <w:pStyle w:val="TableofFigures"/>
        <w:tabs>
          <w:tab w:val="right" w:leader="dot" w:pos="9737"/>
        </w:tabs>
        <w:rPr>
          <w:rFonts w:asciiTheme="minorHAnsi" w:eastAsiaTheme="minorEastAsia" w:hAnsiTheme="minorHAnsi" w:cstheme="minorBidi"/>
          <w:noProof/>
          <w:sz w:val="22"/>
          <w:szCs w:val="22"/>
          <w:lang w:eastAsia="en-GB"/>
        </w:rPr>
      </w:pPr>
      <w:r>
        <w:fldChar w:fldCharType="begin"/>
      </w:r>
      <w:r w:rsidR="003215DB">
        <w:instrText xml:space="preserve"> TOC \h \z \c "Table" </w:instrText>
      </w:r>
      <w:r>
        <w:fldChar w:fldCharType="separate"/>
      </w:r>
      <w:hyperlink w:anchor="_Toc491786613" w:history="1">
        <w:r w:rsidR="000276B1" w:rsidRPr="00301829">
          <w:rPr>
            <w:rStyle w:val="Hyperlink"/>
            <w:b/>
            <w:noProof/>
          </w:rPr>
          <w:t>Table 1: Substance identity</w:t>
        </w:r>
        <w:r w:rsidR="000276B1">
          <w:rPr>
            <w:noProof/>
            <w:webHidden/>
          </w:rPr>
          <w:tab/>
        </w:r>
        <w:r w:rsidR="000276B1">
          <w:rPr>
            <w:noProof/>
            <w:webHidden/>
          </w:rPr>
          <w:fldChar w:fldCharType="begin"/>
        </w:r>
        <w:r w:rsidR="000276B1">
          <w:rPr>
            <w:noProof/>
            <w:webHidden/>
          </w:rPr>
          <w:instrText xml:space="preserve"> PAGEREF _Toc491786613 \h </w:instrText>
        </w:r>
        <w:r w:rsidR="000276B1">
          <w:rPr>
            <w:noProof/>
            <w:webHidden/>
          </w:rPr>
        </w:r>
        <w:r w:rsidR="000276B1">
          <w:rPr>
            <w:noProof/>
            <w:webHidden/>
          </w:rPr>
          <w:fldChar w:fldCharType="separate"/>
        </w:r>
        <w:r w:rsidR="000276B1">
          <w:rPr>
            <w:noProof/>
            <w:webHidden/>
          </w:rPr>
          <w:t>9</w:t>
        </w:r>
        <w:r w:rsidR="000276B1">
          <w:rPr>
            <w:noProof/>
            <w:webHidden/>
          </w:rPr>
          <w:fldChar w:fldCharType="end"/>
        </w:r>
      </w:hyperlink>
    </w:p>
    <w:p w14:paraId="7DA01353" w14:textId="77777777" w:rsidR="000276B1" w:rsidRDefault="000276B1">
      <w:pPr>
        <w:pStyle w:val="TableofFigures"/>
        <w:tabs>
          <w:tab w:val="right" w:leader="dot" w:pos="9737"/>
        </w:tabs>
        <w:rPr>
          <w:rFonts w:asciiTheme="minorHAnsi" w:eastAsiaTheme="minorEastAsia" w:hAnsiTheme="minorHAnsi" w:cstheme="minorBidi"/>
          <w:noProof/>
          <w:sz w:val="22"/>
          <w:szCs w:val="22"/>
          <w:lang w:eastAsia="en-GB"/>
        </w:rPr>
      </w:pPr>
      <w:hyperlink w:anchor="_Toc491786614" w:history="1">
        <w:r w:rsidRPr="00301829">
          <w:rPr>
            <w:rStyle w:val="Hyperlink"/>
            <w:b/>
            <w:noProof/>
          </w:rPr>
          <w:t>Table 2: Overview of physicochemical properties</w:t>
        </w:r>
        <w:r>
          <w:rPr>
            <w:noProof/>
            <w:webHidden/>
          </w:rPr>
          <w:tab/>
        </w:r>
        <w:r>
          <w:rPr>
            <w:noProof/>
            <w:webHidden/>
          </w:rPr>
          <w:fldChar w:fldCharType="begin"/>
        </w:r>
        <w:r>
          <w:rPr>
            <w:noProof/>
            <w:webHidden/>
          </w:rPr>
          <w:instrText xml:space="preserve"> PAGEREF _Toc491786614 \h </w:instrText>
        </w:r>
        <w:r>
          <w:rPr>
            <w:noProof/>
            <w:webHidden/>
          </w:rPr>
        </w:r>
        <w:r>
          <w:rPr>
            <w:noProof/>
            <w:webHidden/>
          </w:rPr>
          <w:fldChar w:fldCharType="separate"/>
        </w:r>
        <w:r>
          <w:rPr>
            <w:noProof/>
            <w:webHidden/>
          </w:rPr>
          <w:t>12</w:t>
        </w:r>
        <w:r>
          <w:rPr>
            <w:noProof/>
            <w:webHidden/>
          </w:rPr>
          <w:fldChar w:fldCharType="end"/>
        </w:r>
      </w:hyperlink>
    </w:p>
    <w:p w14:paraId="01124E98" w14:textId="77777777" w:rsidR="000276B1" w:rsidRDefault="000276B1">
      <w:pPr>
        <w:pStyle w:val="TableofFigures"/>
        <w:tabs>
          <w:tab w:val="right" w:leader="dot" w:pos="9737"/>
        </w:tabs>
        <w:rPr>
          <w:rFonts w:asciiTheme="minorHAnsi" w:eastAsiaTheme="minorEastAsia" w:hAnsiTheme="minorHAnsi" w:cstheme="minorBidi"/>
          <w:noProof/>
          <w:sz w:val="22"/>
          <w:szCs w:val="22"/>
          <w:lang w:eastAsia="en-GB"/>
        </w:rPr>
      </w:pPr>
      <w:hyperlink w:anchor="_Toc491786615" w:history="1">
        <w:r w:rsidRPr="00301829">
          <w:rPr>
            <w:rStyle w:val="Hyperlink"/>
            <w:b/>
            <w:noProof/>
          </w:rPr>
          <w:t>Table 3: Registration status for the reaction product</w:t>
        </w:r>
        <w:r w:rsidRPr="00301829">
          <w:rPr>
            <w:rStyle w:val="Hyperlink"/>
            <w:noProof/>
          </w:rPr>
          <w:t xml:space="preserve"> </w:t>
        </w:r>
        <w:r w:rsidRPr="00301829">
          <w:rPr>
            <w:rStyle w:val="Hyperlink"/>
            <w:b/>
            <w:noProof/>
          </w:rPr>
          <w:t>of 1,3,4-thiadiazolidine-2,5-dithione, formaldehyde and phenol, heptyl derivs.</w:t>
        </w:r>
        <w:r>
          <w:rPr>
            <w:noProof/>
            <w:webHidden/>
          </w:rPr>
          <w:tab/>
        </w:r>
        <w:r>
          <w:rPr>
            <w:noProof/>
            <w:webHidden/>
          </w:rPr>
          <w:fldChar w:fldCharType="begin"/>
        </w:r>
        <w:r>
          <w:rPr>
            <w:noProof/>
            <w:webHidden/>
          </w:rPr>
          <w:instrText xml:space="preserve"> PAGEREF _Toc491786615 \h </w:instrText>
        </w:r>
        <w:r>
          <w:rPr>
            <w:noProof/>
            <w:webHidden/>
          </w:rPr>
        </w:r>
        <w:r>
          <w:rPr>
            <w:noProof/>
            <w:webHidden/>
          </w:rPr>
          <w:fldChar w:fldCharType="separate"/>
        </w:r>
        <w:r>
          <w:rPr>
            <w:noProof/>
            <w:webHidden/>
          </w:rPr>
          <w:t>19</w:t>
        </w:r>
        <w:r>
          <w:rPr>
            <w:noProof/>
            <w:webHidden/>
          </w:rPr>
          <w:fldChar w:fldCharType="end"/>
        </w:r>
      </w:hyperlink>
    </w:p>
    <w:p w14:paraId="365DBF03" w14:textId="77777777" w:rsidR="000276B1" w:rsidRDefault="000276B1">
      <w:pPr>
        <w:pStyle w:val="TableofFigures"/>
        <w:tabs>
          <w:tab w:val="right" w:leader="dot" w:pos="9737"/>
        </w:tabs>
        <w:rPr>
          <w:rFonts w:asciiTheme="minorHAnsi" w:eastAsiaTheme="minorEastAsia" w:hAnsiTheme="minorHAnsi" w:cstheme="minorBidi"/>
          <w:noProof/>
          <w:sz w:val="22"/>
          <w:szCs w:val="22"/>
          <w:lang w:eastAsia="en-GB"/>
        </w:rPr>
      </w:pPr>
      <w:hyperlink w:anchor="_Toc491786616" w:history="1">
        <w:r w:rsidRPr="00301829">
          <w:rPr>
            <w:rStyle w:val="Hyperlink"/>
            <w:b/>
            <w:noProof/>
          </w:rPr>
          <w:t>Table 4: CLP notifications for the reaction product</w:t>
        </w:r>
        <w:r w:rsidRPr="00301829">
          <w:rPr>
            <w:rStyle w:val="Hyperlink"/>
            <w:noProof/>
          </w:rPr>
          <w:t xml:space="preserve"> </w:t>
        </w:r>
        <w:r w:rsidRPr="00301829">
          <w:rPr>
            <w:rStyle w:val="Hyperlink"/>
            <w:b/>
            <w:noProof/>
          </w:rPr>
          <w:t>of 1,3,4-thiadiazolidine-2,5-dithione, formaldehyde and phenol, heptyl derivs.</w:t>
        </w:r>
        <w:r>
          <w:rPr>
            <w:noProof/>
            <w:webHidden/>
          </w:rPr>
          <w:tab/>
        </w:r>
        <w:r>
          <w:rPr>
            <w:noProof/>
            <w:webHidden/>
          </w:rPr>
          <w:fldChar w:fldCharType="begin"/>
        </w:r>
        <w:r>
          <w:rPr>
            <w:noProof/>
            <w:webHidden/>
          </w:rPr>
          <w:instrText xml:space="preserve"> PAGEREF _Toc491786616 \h </w:instrText>
        </w:r>
        <w:r>
          <w:rPr>
            <w:noProof/>
            <w:webHidden/>
          </w:rPr>
        </w:r>
        <w:r>
          <w:rPr>
            <w:noProof/>
            <w:webHidden/>
          </w:rPr>
          <w:fldChar w:fldCharType="separate"/>
        </w:r>
        <w:r>
          <w:rPr>
            <w:noProof/>
            <w:webHidden/>
          </w:rPr>
          <w:t>19</w:t>
        </w:r>
        <w:r>
          <w:rPr>
            <w:noProof/>
            <w:webHidden/>
          </w:rPr>
          <w:fldChar w:fldCharType="end"/>
        </w:r>
      </w:hyperlink>
    </w:p>
    <w:p w14:paraId="4575ACDC" w14:textId="77777777" w:rsidR="000276B1" w:rsidRDefault="000276B1">
      <w:pPr>
        <w:pStyle w:val="TableofFigures"/>
        <w:tabs>
          <w:tab w:val="right" w:leader="dot" w:pos="9737"/>
        </w:tabs>
        <w:rPr>
          <w:rFonts w:asciiTheme="minorHAnsi" w:eastAsiaTheme="minorEastAsia" w:hAnsiTheme="minorHAnsi" w:cstheme="minorBidi"/>
          <w:noProof/>
          <w:sz w:val="22"/>
          <w:szCs w:val="22"/>
          <w:lang w:eastAsia="en-GB"/>
        </w:rPr>
      </w:pPr>
      <w:hyperlink w:anchor="_Toc491786617" w:history="1">
        <w:r w:rsidRPr="00301829">
          <w:rPr>
            <w:rStyle w:val="Hyperlink"/>
            <w:b/>
            <w:noProof/>
          </w:rPr>
          <w:t>Table 5: Tonnage status for the reaction product</w:t>
        </w:r>
        <w:r w:rsidRPr="00301829">
          <w:rPr>
            <w:rStyle w:val="Hyperlink"/>
            <w:noProof/>
          </w:rPr>
          <w:t xml:space="preserve"> </w:t>
        </w:r>
        <w:r w:rsidRPr="00301829">
          <w:rPr>
            <w:rStyle w:val="Hyperlink"/>
            <w:b/>
            <w:noProof/>
          </w:rPr>
          <w:t>of 1,3,4-thiadiazolidine-2,5-dithione, formaldehyde and phenol, heptyl derivs.</w:t>
        </w:r>
        <w:r>
          <w:rPr>
            <w:noProof/>
            <w:webHidden/>
          </w:rPr>
          <w:tab/>
        </w:r>
        <w:r>
          <w:rPr>
            <w:noProof/>
            <w:webHidden/>
          </w:rPr>
          <w:fldChar w:fldCharType="begin"/>
        </w:r>
        <w:r>
          <w:rPr>
            <w:noProof/>
            <w:webHidden/>
          </w:rPr>
          <w:instrText xml:space="preserve"> PAGEREF _Toc491786617 \h </w:instrText>
        </w:r>
        <w:r>
          <w:rPr>
            <w:noProof/>
            <w:webHidden/>
          </w:rPr>
        </w:r>
        <w:r>
          <w:rPr>
            <w:noProof/>
            <w:webHidden/>
          </w:rPr>
          <w:fldChar w:fldCharType="separate"/>
        </w:r>
        <w:r>
          <w:rPr>
            <w:noProof/>
            <w:webHidden/>
          </w:rPr>
          <w:t>20</w:t>
        </w:r>
        <w:r>
          <w:rPr>
            <w:noProof/>
            <w:webHidden/>
          </w:rPr>
          <w:fldChar w:fldCharType="end"/>
        </w:r>
      </w:hyperlink>
    </w:p>
    <w:p w14:paraId="4E753FE6" w14:textId="77777777" w:rsidR="000276B1" w:rsidRDefault="000276B1">
      <w:pPr>
        <w:pStyle w:val="TableofFigures"/>
        <w:tabs>
          <w:tab w:val="right" w:leader="dot" w:pos="9737"/>
        </w:tabs>
        <w:rPr>
          <w:rFonts w:asciiTheme="minorHAnsi" w:eastAsiaTheme="minorEastAsia" w:hAnsiTheme="minorHAnsi" w:cstheme="minorBidi"/>
          <w:noProof/>
          <w:sz w:val="22"/>
          <w:szCs w:val="22"/>
          <w:lang w:eastAsia="en-GB"/>
        </w:rPr>
      </w:pPr>
      <w:hyperlink w:anchor="_Toc491786618" w:history="1">
        <w:r w:rsidRPr="00301829">
          <w:rPr>
            <w:rStyle w:val="Hyperlink"/>
            <w:b/>
            <w:noProof/>
          </w:rPr>
          <w:t>Table 6: Uses for the reaction product</w:t>
        </w:r>
        <w:r w:rsidRPr="00301829">
          <w:rPr>
            <w:rStyle w:val="Hyperlink"/>
            <w:noProof/>
          </w:rPr>
          <w:t xml:space="preserve"> </w:t>
        </w:r>
        <w:r w:rsidRPr="00301829">
          <w:rPr>
            <w:rStyle w:val="Hyperlink"/>
            <w:b/>
            <w:noProof/>
          </w:rPr>
          <w:t>of 1,3,4-thiadiazolidine-2,5-dithione, formaldehyde and phenol, heptyl derivs.</w:t>
        </w:r>
        <w:r>
          <w:rPr>
            <w:noProof/>
            <w:webHidden/>
          </w:rPr>
          <w:tab/>
        </w:r>
        <w:r>
          <w:rPr>
            <w:noProof/>
            <w:webHidden/>
          </w:rPr>
          <w:fldChar w:fldCharType="begin"/>
        </w:r>
        <w:r>
          <w:rPr>
            <w:noProof/>
            <w:webHidden/>
          </w:rPr>
          <w:instrText xml:space="preserve"> PAGEREF _Toc491786618 \h </w:instrText>
        </w:r>
        <w:r>
          <w:rPr>
            <w:noProof/>
            <w:webHidden/>
          </w:rPr>
        </w:r>
        <w:r>
          <w:rPr>
            <w:noProof/>
            <w:webHidden/>
          </w:rPr>
          <w:fldChar w:fldCharType="separate"/>
        </w:r>
        <w:r>
          <w:rPr>
            <w:noProof/>
            <w:webHidden/>
          </w:rPr>
          <w:t>20</w:t>
        </w:r>
        <w:r>
          <w:rPr>
            <w:noProof/>
            <w:webHidden/>
          </w:rPr>
          <w:fldChar w:fldCharType="end"/>
        </w:r>
      </w:hyperlink>
    </w:p>
    <w:p w14:paraId="19B7B417" w14:textId="77777777" w:rsidR="009E3EE0" w:rsidRDefault="000721AD" w:rsidP="006162BB">
      <w:pPr>
        <w:pStyle w:val="Caption"/>
        <w:ind w:left="993" w:hanging="993"/>
      </w:pPr>
      <w:r>
        <w:rPr>
          <w:sz w:val="20"/>
          <w:szCs w:val="20"/>
          <w:lang w:eastAsia="fi-FI"/>
        </w:rPr>
        <w:fldChar w:fldCharType="end"/>
      </w:r>
    </w:p>
    <w:p w14:paraId="3784997E" w14:textId="78C21015" w:rsidR="000B1263" w:rsidRDefault="000B1263">
      <w:pPr>
        <w:widowControl/>
      </w:pPr>
      <w:r>
        <w:br w:type="page"/>
      </w:r>
    </w:p>
    <w:p w14:paraId="57BDFC06" w14:textId="77777777" w:rsidR="0016016B" w:rsidRDefault="0016016B" w:rsidP="000B1263">
      <w:pPr>
        <w:pStyle w:val="Titleintro"/>
      </w:pPr>
    </w:p>
    <w:p w14:paraId="47EFFAA0" w14:textId="5C6EB5D9" w:rsidR="009E3EE0" w:rsidRDefault="000B1263" w:rsidP="000B1263">
      <w:pPr>
        <w:pStyle w:val="Titleintro"/>
      </w:pPr>
      <w:r>
        <w:t>ABBREVIATIONS</w:t>
      </w:r>
    </w:p>
    <w:p w14:paraId="5FB3F84B" w14:textId="77777777" w:rsidR="00406C7B" w:rsidRPr="00190FD3" w:rsidRDefault="00406C7B" w:rsidP="000B1263">
      <w:pPr>
        <w:pStyle w:val="BodyText"/>
        <w:tabs>
          <w:tab w:val="left" w:pos="1134"/>
        </w:tabs>
      </w:pPr>
    </w:p>
    <w:p w14:paraId="5913182C" w14:textId="77777777" w:rsidR="000B1263" w:rsidRPr="00190FD3" w:rsidRDefault="000B1263" w:rsidP="000B1263">
      <w:pPr>
        <w:pStyle w:val="BodyText"/>
        <w:tabs>
          <w:tab w:val="left" w:pos="1134"/>
        </w:tabs>
      </w:pPr>
      <w:r w:rsidRPr="00190FD3">
        <w:t>C&amp;L</w:t>
      </w:r>
      <w:r w:rsidRPr="00190FD3">
        <w:tab/>
        <w:t>Classification &amp; Labelling</w:t>
      </w:r>
    </w:p>
    <w:p w14:paraId="4702BAF1" w14:textId="4DB78333" w:rsidR="000B1263" w:rsidRPr="00406C7B" w:rsidRDefault="00E532F8" w:rsidP="000B1263">
      <w:pPr>
        <w:pStyle w:val="BodyText"/>
        <w:tabs>
          <w:tab w:val="left" w:pos="1134"/>
        </w:tabs>
      </w:pPr>
      <w:r>
        <w:t>dph</w:t>
      </w:r>
      <w:r>
        <w:tab/>
        <w:t>D</w:t>
      </w:r>
      <w:r w:rsidR="000B1263" w:rsidRPr="00406C7B">
        <w:t>ays post hatch</w:t>
      </w:r>
    </w:p>
    <w:p w14:paraId="10E88508" w14:textId="77777777" w:rsidR="000B1263" w:rsidRPr="00406C7B" w:rsidRDefault="000B1263" w:rsidP="000B1263">
      <w:pPr>
        <w:pStyle w:val="BodyText"/>
        <w:tabs>
          <w:tab w:val="left" w:pos="1134"/>
        </w:tabs>
      </w:pPr>
      <w:r w:rsidRPr="00406C7B">
        <w:t>GC/MS</w:t>
      </w:r>
      <w:r w:rsidRPr="00406C7B">
        <w:tab/>
        <w:t>Gas chromatography–mass spectrometry</w:t>
      </w:r>
    </w:p>
    <w:p w14:paraId="2B46F9B0" w14:textId="77777777" w:rsidR="000B1263" w:rsidRPr="00406C7B" w:rsidRDefault="000B1263" w:rsidP="000B1263">
      <w:pPr>
        <w:pStyle w:val="BodyText"/>
        <w:tabs>
          <w:tab w:val="left" w:pos="1134"/>
        </w:tabs>
      </w:pPr>
      <w:r w:rsidRPr="00406C7B">
        <w:t>4-HPbl</w:t>
      </w:r>
      <w:r w:rsidRPr="00406C7B">
        <w:tab/>
        <w:t>4-Heptylphenol, branched and linear</w:t>
      </w:r>
    </w:p>
    <w:p w14:paraId="544C8D37" w14:textId="77777777" w:rsidR="000B1263" w:rsidRPr="00406C7B" w:rsidRDefault="000B1263" w:rsidP="000B1263">
      <w:pPr>
        <w:pStyle w:val="BodyText"/>
        <w:tabs>
          <w:tab w:val="left" w:pos="1134"/>
        </w:tabs>
      </w:pPr>
      <w:r w:rsidRPr="00406C7B">
        <w:t>4nHP</w:t>
      </w:r>
      <w:r w:rsidRPr="00406C7B">
        <w:tab/>
        <w:t>4-n-Heptylphenol</w:t>
      </w:r>
    </w:p>
    <w:p w14:paraId="3F8409F4" w14:textId="77777777" w:rsidR="000B1263" w:rsidRDefault="000B1263" w:rsidP="000B1263">
      <w:pPr>
        <w:pStyle w:val="BodyText"/>
        <w:tabs>
          <w:tab w:val="left" w:pos="1134"/>
        </w:tabs>
      </w:pPr>
      <w:r w:rsidRPr="00406C7B">
        <w:t>IPCS</w:t>
      </w:r>
      <w:r w:rsidRPr="00406C7B">
        <w:tab/>
        <w:t>International Programme on Chemical Safety</w:t>
      </w:r>
    </w:p>
    <w:p w14:paraId="3D3D8925" w14:textId="2BF0FB39" w:rsidR="003661F8" w:rsidRPr="003661F8" w:rsidRDefault="003661F8" w:rsidP="003661F8">
      <w:pPr>
        <w:pStyle w:val="BodyText"/>
        <w:tabs>
          <w:tab w:val="left" w:pos="1134"/>
        </w:tabs>
      </w:pPr>
      <w:r w:rsidRPr="003661F8">
        <w:t>LOD</w:t>
      </w:r>
      <w:r w:rsidRPr="003661F8">
        <w:tab/>
        <w:t>Limit of detection</w:t>
      </w:r>
    </w:p>
    <w:p w14:paraId="3686CDC1" w14:textId="1B2605DA" w:rsidR="003661F8" w:rsidRPr="00406C7B" w:rsidRDefault="003661F8" w:rsidP="000B1263">
      <w:pPr>
        <w:pStyle w:val="BodyText"/>
        <w:tabs>
          <w:tab w:val="left" w:pos="1134"/>
        </w:tabs>
      </w:pPr>
      <w:r w:rsidRPr="003661F8">
        <w:t>LOQ</w:t>
      </w:r>
      <w:r w:rsidRPr="003661F8">
        <w:tab/>
        <w:t>Limit of quantification</w:t>
      </w:r>
    </w:p>
    <w:p w14:paraId="477EA4C4" w14:textId="77777777" w:rsidR="000B1263" w:rsidRPr="00406C7B" w:rsidRDefault="000B1263" w:rsidP="000B1263">
      <w:pPr>
        <w:pStyle w:val="BodyText"/>
        <w:tabs>
          <w:tab w:val="left" w:pos="1134"/>
        </w:tabs>
      </w:pPr>
      <w:r w:rsidRPr="00406C7B">
        <w:t>OECD</w:t>
      </w:r>
      <w:r w:rsidRPr="00406C7B">
        <w:tab/>
        <w:t>Organisation for Economic Co-operation and Development</w:t>
      </w:r>
    </w:p>
    <w:p w14:paraId="25FD5E42" w14:textId="4651CE83" w:rsidR="000B1263" w:rsidRPr="00406C7B" w:rsidRDefault="00A354DB" w:rsidP="00A354DB">
      <w:pPr>
        <w:pStyle w:val="BodyText"/>
        <w:tabs>
          <w:tab w:val="left" w:pos="1134"/>
          <w:tab w:val="center" w:pos="4536"/>
        </w:tabs>
        <w:ind w:left="1134" w:hanging="1134"/>
        <w:rPr>
          <w:bCs/>
        </w:rPr>
      </w:pPr>
      <w:r w:rsidRPr="00406C7B">
        <w:rPr>
          <w:bCs/>
        </w:rPr>
        <w:t>RP-HP</w:t>
      </w:r>
      <w:r w:rsidRPr="00406C7B">
        <w:rPr>
          <w:bCs/>
        </w:rPr>
        <w:tab/>
      </w:r>
      <w:r w:rsidRPr="00406C7B">
        <w:t xml:space="preserve">Reaction products of 1,3,4-thiadiazolidine-2,5-dithione, formaldehyde and </w:t>
      </w:r>
      <w:r w:rsidRPr="00406C7B">
        <w:rPr>
          <w:rStyle w:val="Strong"/>
          <w:b w:val="0"/>
          <w:bCs/>
        </w:rPr>
        <w:t>4-heptylphenol, branched and linear</w:t>
      </w:r>
      <w:r w:rsidR="000B1263" w:rsidRPr="00406C7B">
        <w:rPr>
          <w:bCs/>
        </w:rPr>
        <w:tab/>
      </w:r>
    </w:p>
    <w:p w14:paraId="523CCF5D" w14:textId="77777777" w:rsidR="000B1263" w:rsidRPr="00406C7B" w:rsidRDefault="000B1263" w:rsidP="000B1263">
      <w:pPr>
        <w:pStyle w:val="BodyText"/>
        <w:tabs>
          <w:tab w:val="left" w:pos="1134"/>
        </w:tabs>
      </w:pPr>
      <w:r w:rsidRPr="00406C7B">
        <w:t>SVHC</w:t>
      </w:r>
      <w:r w:rsidRPr="00406C7B">
        <w:tab/>
        <w:t>Substance of very high concern</w:t>
      </w:r>
    </w:p>
    <w:p w14:paraId="3F00CEAB" w14:textId="77777777" w:rsidR="000B1263" w:rsidRDefault="000B1263" w:rsidP="000B1263">
      <w:pPr>
        <w:pStyle w:val="BodyText"/>
        <w:tabs>
          <w:tab w:val="left" w:pos="1134"/>
        </w:tabs>
        <w:ind w:left="1134" w:hanging="1134"/>
      </w:pPr>
      <w:r w:rsidRPr="00406C7B">
        <w:t>UVCB</w:t>
      </w:r>
      <w:r w:rsidRPr="00406C7B">
        <w:tab/>
        <w:t>Substances</w:t>
      </w:r>
      <w:r w:rsidRPr="00387A1C">
        <w:t xml:space="preserve"> of Unknown or Variable composition, Complex reaction products or Biological materials</w:t>
      </w:r>
    </w:p>
    <w:p w14:paraId="1B26539A" w14:textId="77777777" w:rsidR="000B1263" w:rsidRDefault="000B1263" w:rsidP="000B1263">
      <w:pPr>
        <w:pStyle w:val="BodyText"/>
        <w:tabs>
          <w:tab w:val="left" w:pos="1134"/>
        </w:tabs>
      </w:pPr>
      <w:r w:rsidRPr="00406C7B">
        <w:t>WHO</w:t>
      </w:r>
      <w:r>
        <w:tab/>
        <w:t>World Health Organization</w:t>
      </w:r>
    </w:p>
    <w:p w14:paraId="75014705" w14:textId="77777777" w:rsidR="003C419D" w:rsidRDefault="00B12C39" w:rsidP="00DD36C7">
      <w:pPr>
        <w:pStyle w:val="Title"/>
        <w:numPr>
          <w:ilvl w:val="0"/>
          <w:numId w:val="0"/>
        </w:numPr>
        <w:jc w:val="center"/>
        <w:rPr>
          <w:rStyle w:val="Strong"/>
        </w:rPr>
      </w:pPr>
      <w:r>
        <w:br w:type="page"/>
      </w:r>
      <w:bookmarkStart w:id="3" w:name="_MailAutoSig"/>
      <w:bookmarkStart w:id="4" w:name="_Toc357185225"/>
      <w:bookmarkStart w:id="5" w:name="_Toc357186073"/>
      <w:bookmarkStart w:id="6" w:name="_Toc357186222"/>
      <w:bookmarkStart w:id="7" w:name="_Toc357437508"/>
      <w:bookmarkStart w:id="8" w:name="_Toc357590781"/>
      <w:bookmarkStart w:id="9" w:name="_Toc357692813"/>
      <w:bookmarkStart w:id="10" w:name="_Toc365649640"/>
      <w:bookmarkStart w:id="11" w:name="_Toc365649789"/>
      <w:bookmarkStart w:id="12" w:name="_Toc366489841"/>
      <w:bookmarkStart w:id="13" w:name="_Toc418498546"/>
      <w:bookmarkStart w:id="14" w:name="_Toc418505989"/>
      <w:bookmarkStart w:id="15" w:name="_Toc491786387"/>
      <w:r w:rsidR="003C419D" w:rsidRPr="00DD36C7">
        <w:rPr>
          <w:sz w:val="32"/>
        </w:rPr>
        <w:lastRenderedPageBreak/>
        <w:t xml:space="preserve">PROPOSAL FOR IDENTIFICATION OF A </w:t>
      </w:r>
      <w:r w:rsidR="002B58B6" w:rsidRPr="00DD36C7">
        <w:rPr>
          <w:sz w:val="32"/>
        </w:rPr>
        <w:t>SUBSTANCE OF VERY HIGH CONCERN</w:t>
      </w:r>
      <w:r w:rsidR="003C419D" w:rsidRPr="00DD36C7">
        <w:rPr>
          <w:sz w:val="32"/>
        </w:rPr>
        <w:t xml:space="preserve"> ON THE BASIS OF </w:t>
      </w:r>
      <w:r w:rsidR="003909BD" w:rsidRPr="00DD36C7">
        <w:rPr>
          <w:sz w:val="32"/>
        </w:rPr>
        <w:t xml:space="preserve">THE </w:t>
      </w:r>
      <w:r w:rsidR="003C419D" w:rsidRPr="00DD36C7">
        <w:rPr>
          <w:sz w:val="32"/>
        </w:rPr>
        <w:t>CRITERIA SET OUT IN REACH ARTICLE 57</w:t>
      </w:r>
      <w:bookmarkEnd w:id="3"/>
      <w:bookmarkEnd w:id="4"/>
      <w:bookmarkEnd w:id="5"/>
      <w:bookmarkEnd w:id="6"/>
      <w:bookmarkEnd w:id="7"/>
      <w:bookmarkEnd w:id="8"/>
      <w:bookmarkEnd w:id="9"/>
      <w:bookmarkEnd w:id="10"/>
      <w:bookmarkEnd w:id="11"/>
      <w:bookmarkEnd w:id="12"/>
      <w:bookmarkEnd w:id="13"/>
      <w:bookmarkEnd w:id="14"/>
      <w:bookmarkEnd w:id="15"/>
    </w:p>
    <w:p w14:paraId="4D0E7943" w14:textId="77777777" w:rsidR="00EA5041" w:rsidRDefault="00EA5041" w:rsidP="0004212E">
      <w:pPr>
        <w:widowControl/>
        <w:spacing w:after="180"/>
        <w:jc w:val="both"/>
        <w:rPr>
          <w:i/>
        </w:rPr>
      </w:pPr>
    </w:p>
    <w:p w14:paraId="6CBBF9EE" w14:textId="55692DA1" w:rsidR="00016BEE" w:rsidRPr="0016016B" w:rsidRDefault="00B12C39" w:rsidP="00B12C39">
      <w:pPr>
        <w:widowControl/>
        <w:spacing w:after="180"/>
        <w:jc w:val="both"/>
        <w:rPr>
          <w:rStyle w:val="Strong"/>
          <w:b w:val="0"/>
          <w:bCs/>
        </w:rPr>
      </w:pPr>
      <w:r w:rsidRPr="00016BEE">
        <w:rPr>
          <w:rStyle w:val="Strong"/>
          <w:bCs/>
        </w:rPr>
        <w:t xml:space="preserve">Substance Name(s): </w:t>
      </w:r>
      <w:r w:rsidR="00EB108C" w:rsidRPr="0016016B">
        <w:t>Reaction product</w:t>
      </w:r>
      <w:r w:rsidR="00BD2C2B" w:rsidRPr="0016016B">
        <w:t>s</w:t>
      </w:r>
      <w:r w:rsidR="00EB108C" w:rsidRPr="0016016B">
        <w:t xml:space="preserve"> of 1,3,4-thiadiazolidine-2,5-dithione, formaldehyde and </w:t>
      </w:r>
      <w:r w:rsidR="00016BEE" w:rsidRPr="0016016B">
        <w:rPr>
          <w:rStyle w:val="Strong"/>
          <w:b w:val="0"/>
          <w:bCs/>
        </w:rPr>
        <w:t>4-heptylphenol, branched and linear (RP-HP)</w:t>
      </w:r>
      <w:r w:rsidR="00EB108C" w:rsidRPr="0016016B">
        <w:rPr>
          <w:rStyle w:val="Strong"/>
          <w:b w:val="0"/>
          <w:bCs/>
        </w:rPr>
        <w:t xml:space="preserve"> </w:t>
      </w:r>
    </w:p>
    <w:p w14:paraId="4D731C74" w14:textId="2FF8A04B" w:rsidR="00EB108C" w:rsidRPr="00016BEE" w:rsidRDefault="00EB108C" w:rsidP="00B12C39">
      <w:pPr>
        <w:widowControl/>
        <w:spacing w:after="180"/>
        <w:jc w:val="both"/>
        <w:rPr>
          <w:rStyle w:val="Strong"/>
          <w:b w:val="0"/>
          <w:bCs/>
        </w:rPr>
      </w:pPr>
      <w:r w:rsidRPr="00016BEE">
        <w:rPr>
          <w:rStyle w:val="Strong"/>
          <w:b w:val="0"/>
          <w:bCs/>
        </w:rPr>
        <w:t xml:space="preserve">[with ≥0.1% </w:t>
      </w:r>
      <w:r w:rsidR="00016BEE" w:rsidRPr="00016BEE">
        <w:rPr>
          <w:rStyle w:val="Strong"/>
          <w:b w:val="0"/>
          <w:bCs/>
        </w:rPr>
        <w:t xml:space="preserve">w/w </w:t>
      </w:r>
      <w:r w:rsidRPr="00016BEE">
        <w:rPr>
          <w:rStyle w:val="Strong"/>
          <w:b w:val="0"/>
          <w:bCs/>
        </w:rPr>
        <w:t>4-heptylphenol</w:t>
      </w:r>
      <w:r w:rsidR="004D7BDF" w:rsidRPr="00016BEE">
        <w:rPr>
          <w:rStyle w:val="Strong"/>
          <w:b w:val="0"/>
          <w:bCs/>
        </w:rPr>
        <w:t>,</w:t>
      </w:r>
      <w:r w:rsidRPr="00016BEE">
        <w:rPr>
          <w:rStyle w:val="Strong"/>
          <w:b w:val="0"/>
          <w:bCs/>
        </w:rPr>
        <w:t xml:space="preserve"> branched</w:t>
      </w:r>
      <w:r w:rsidR="004D7BDF" w:rsidRPr="00016BEE">
        <w:rPr>
          <w:rStyle w:val="Strong"/>
          <w:b w:val="0"/>
          <w:bCs/>
        </w:rPr>
        <w:t xml:space="preserve"> and linear</w:t>
      </w:r>
      <w:r w:rsidR="009078B5">
        <w:rPr>
          <w:rStyle w:val="Strong"/>
          <w:b w:val="0"/>
          <w:bCs/>
        </w:rPr>
        <w:t xml:space="preserve"> (4-HPbl)</w:t>
      </w:r>
      <w:r w:rsidRPr="00016BEE">
        <w:rPr>
          <w:rStyle w:val="Strong"/>
          <w:b w:val="0"/>
          <w:bCs/>
        </w:rPr>
        <w:t xml:space="preserve">] </w:t>
      </w:r>
    </w:p>
    <w:p w14:paraId="54176E6C" w14:textId="77777777" w:rsidR="00B12C39" w:rsidRPr="00016BEE" w:rsidRDefault="00B12C39" w:rsidP="00B12C39">
      <w:pPr>
        <w:widowControl/>
        <w:spacing w:after="180"/>
        <w:jc w:val="both"/>
        <w:rPr>
          <w:rStyle w:val="Strong"/>
          <w:bCs/>
        </w:rPr>
      </w:pPr>
      <w:r w:rsidRPr="00016BEE">
        <w:rPr>
          <w:rStyle w:val="Strong"/>
          <w:bCs/>
        </w:rPr>
        <w:t xml:space="preserve">EC Number(s): </w:t>
      </w:r>
      <w:r w:rsidR="00EB108C" w:rsidRPr="00016BEE">
        <w:rPr>
          <w:rStyle w:val="Strong"/>
          <w:b w:val="0"/>
          <w:bCs/>
        </w:rPr>
        <w:t>-</w:t>
      </w:r>
    </w:p>
    <w:p w14:paraId="21F40EBC" w14:textId="77777777" w:rsidR="00B12C39" w:rsidRPr="00016BEE" w:rsidRDefault="00B12C39" w:rsidP="00B12C39">
      <w:pPr>
        <w:widowControl/>
        <w:spacing w:after="180"/>
        <w:jc w:val="both"/>
        <w:rPr>
          <w:rStyle w:val="Strong"/>
          <w:bCs/>
        </w:rPr>
      </w:pPr>
      <w:r w:rsidRPr="00016BEE">
        <w:rPr>
          <w:rStyle w:val="Strong"/>
          <w:bCs/>
        </w:rPr>
        <w:t xml:space="preserve">CAS number(s): </w:t>
      </w:r>
      <w:r w:rsidR="00EB108C" w:rsidRPr="00016BEE">
        <w:rPr>
          <w:rStyle w:val="Strong"/>
          <w:b w:val="0"/>
          <w:bCs/>
        </w:rPr>
        <w:t>-</w:t>
      </w:r>
    </w:p>
    <w:p w14:paraId="2AE6128C" w14:textId="77777777" w:rsidR="00EB108C" w:rsidRPr="00016BEE" w:rsidRDefault="00EB108C" w:rsidP="00EB108C">
      <w:pPr>
        <w:jc w:val="both"/>
        <w:rPr>
          <w:lang w:eastAsia="en-US"/>
        </w:rPr>
      </w:pPr>
    </w:p>
    <w:p w14:paraId="433DD379" w14:textId="2638C453" w:rsidR="0058740F" w:rsidRDefault="0058740F" w:rsidP="0058740F">
      <w:pPr>
        <w:numPr>
          <w:ilvl w:val="0"/>
          <w:numId w:val="28"/>
        </w:numPr>
        <w:jc w:val="both"/>
        <w:rPr>
          <w:lang w:eastAsia="en-US"/>
        </w:rPr>
      </w:pPr>
      <w:r>
        <w:rPr>
          <w:lang w:eastAsia="en-US"/>
        </w:rPr>
        <w:t xml:space="preserve">It is proposed </w:t>
      </w:r>
      <w:r w:rsidR="005327EC">
        <w:rPr>
          <w:lang w:eastAsia="en-US"/>
        </w:rPr>
        <w:t xml:space="preserve">to identify the substances as </w:t>
      </w:r>
      <w:r>
        <w:rPr>
          <w:lang w:eastAsia="en-US"/>
        </w:rPr>
        <w:t xml:space="preserve">substances of equivalent level of concern to those of other substances listed in points (a) to (e) of Article 57 </w:t>
      </w:r>
      <w:r>
        <w:t>of Regulation (EC) No 1907/2006 (REACH)</w:t>
      </w:r>
      <w:r>
        <w:rPr>
          <w:lang w:eastAsia="en-US"/>
        </w:rPr>
        <w:t xml:space="preserve"> according to Article 57(f)</w:t>
      </w:r>
      <w:r>
        <w:t xml:space="preserve"> of REACH Regulation. </w:t>
      </w:r>
    </w:p>
    <w:p w14:paraId="57624CF0" w14:textId="66A620B9" w:rsidR="00EB108C" w:rsidRPr="00016BEE" w:rsidRDefault="00EB108C" w:rsidP="00C42F65">
      <w:pPr>
        <w:spacing w:line="288" w:lineRule="auto"/>
        <w:jc w:val="both"/>
        <w:rPr>
          <w:lang w:eastAsia="en-US"/>
        </w:rPr>
      </w:pPr>
    </w:p>
    <w:p w14:paraId="21580655" w14:textId="20089E5D" w:rsidR="00B12C39" w:rsidRPr="00C42F65" w:rsidRDefault="00CE4DE5" w:rsidP="00C42F65">
      <w:pPr>
        <w:jc w:val="both"/>
        <w:rPr>
          <w:lang w:eastAsia="en-US"/>
        </w:rPr>
      </w:pPr>
      <w:r w:rsidRPr="003909BD">
        <w:t xml:space="preserve"> </w:t>
      </w:r>
    </w:p>
    <w:p w14:paraId="48F7AD0A" w14:textId="77777777" w:rsidR="00B12C39" w:rsidRDefault="00B12C39" w:rsidP="00B12C39">
      <w:pPr>
        <w:widowControl/>
        <w:spacing w:after="180"/>
        <w:jc w:val="both"/>
        <w:rPr>
          <w:rStyle w:val="Strong"/>
          <w:bCs/>
        </w:rPr>
      </w:pPr>
      <w:r w:rsidRPr="00127DF0">
        <w:rPr>
          <w:rStyle w:val="Strong"/>
          <w:bCs/>
        </w:rPr>
        <w:t xml:space="preserve">Summary of how the substance meets the criteria </w:t>
      </w:r>
      <w:r>
        <w:rPr>
          <w:rStyle w:val="Strong"/>
          <w:bCs/>
        </w:rPr>
        <w:t>set out in Article 57 of the REACH Regulation</w:t>
      </w:r>
    </w:p>
    <w:p w14:paraId="05D730CB" w14:textId="77777777" w:rsidR="00FC1FE9" w:rsidRDefault="00FC1FE9" w:rsidP="00FC1FE9">
      <w:pPr>
        <w:widowControl/>
        <w:autoSpaceDE w:val="0"/>
        <w:autoSpaceDN w:val="0"/>
        <w:adjustRightInd w:val="0"/>
        <w:jc w:val="both"/>
        <w:rPr>
          <w:rStyle w:val="Strong"/>
          <w:b w:val="0"/>
        </w:rPr>
      </w:pPr>
    </w:p>
    <w:p w14:paraId="2B77864F" w14:textId="207D5CA6" w:rsidR="00FC1FE9" w:rsidRDefault="004C169A" w:rsidP="00FC1FE9">
      <w:pPr>
        <w:widowControl/>
        <w:autoSpaceDE w:val="0"/>
        <w:autoSpaceDN w:val="0"/>
        <w:adjustRightInd w:val="0"/>
        <w:jc w:val="both"/>
        <w:rPr>
          <w:rFonts w:cs="Verdana"/>
          <w:lang w:eastAsia="en-GB"/>
        </w:rPr>
      </w:pPr>
      <w:r w:rsidRPr="004C169A">
        <w:t xml:space="preserve">Reaction products of 1,3,4-thiadiazolidine-2,5-dithione, formaldehyde and </w:t>
      </w:r>
      <w:r w:rsidRPr="004C169A">
        <w:rPr>
          <w:rStyle w:val="Strong"/>
          <w:b w:val="0"/>
          <w:bCs/>
        </w:rPr>
        <w:t>4-heptylphenol, branched and linear</w:t>
      </w:r>
      <w:r w:rsidRPr="004C169A">
        <w:rPr>
          <w:b/>
          <w:lang w:eastAsia="en-US"/>
        </w:rPr>
        <w:t xml:space="preserve"> </w:t>
      </w:r>
      <w:r w:rsidRPr="004C169A">
        <w:rPr>
          <w:rStyle w:val="Strong"/>
          <w:b w:val="0"/>
          <w:bCs/>
        </w:rPr>
        <w:t xml:space="preserve">with ≥0.1% w/w </w:t>
      </w:r>
      <w:r w:rsidR="00045A8D">
        <w:rPr>
          <w:rStyle w:val="Strong"/>
          <w:b w:val="0"/>
          <w:bCs/>
        </w:rPr>
        <w:t xml:space="preserve">of </w:t>
      </w:r>
      <w:r w:rsidRPr="004C169A">
        <w:rPr>
          <w:rStyle w:val="Strong"/>
          <w:b w:val="0"/>
          <w:bCs/>
        </w:rPr>
        <w:t>4-heptylphenol, branched and linear</w:t>
      </w:r>
      <w:r w:rsidR="00045A8D">
        <w:rPr>
          <w:rStyle w:val="Strong"/>
          <w:b w:val="0"/>
          <w:bCs/>
        </w:rPr>
        <w:t>,</w:t>
      </w:r>
      <w:r w:rsidRPr="004C169A">
        <w:rPr>
          <w:b/>
          <w:lang w:eastAsia="en-US"/>
        </w:rPr>
        <w:t xml:space="preserve"> </w:t>
      </w:r>
      <w:r w:rsidRPr="004C169A">
        <w:rPr>
          <w:lang w:eastAsia="en-US"/>
        </w:rPr>
        <w:t>are</w:t>
      </w:r>
      <w:r w:rsidR="00FC1FE9">
        <w:rPr>
          <w:rFonts w:cs="Verdana"/>
          <w:lang w:eastAsia="en-GB"/>
        </w:rPr>
        <w:t xml:space="preserve"> identified as substance</w:t>
      </w:r>
      <w:r>
        <w:rPr>
          <w:rFonts w:cs="Verdana"/>
          <w:lang w:eastAsia="en-GB"/>
        </w:rPr>
        <w:t>s</w:t>
      </w:r>
      <w:r w:rsidR="00FC1FE9">
        <w:rPr>
          <w:rFonts w:cs="Verdana"/>
          <w:lang w:eastAsia="en-GB"/>
        </w:rPr>
        <w:t xml:space="preserve"> of very high concern in accordance with Article 57(f) of Regulation (EC) 1907/2006 (REACH)</w:t>
      </w:r>
      <w:r w:rsidR="00E34C28">
        <w:rPr>
          <w:rFonts w:cs="Verdana"/>
          <w:lang w:eastAsia="en-GB"/>
        </w:rPr>
        <w:t>,</w:t>
      </w:r>
      <w:r w:rsidR="00FC1FE9">
        <w:rPr>
          <w:rFonts w:cs="Verdana"/>
          <w:lang w:eastAsia="en-GB"/>
        </w:rPr>
        <w:t xml:space="preserve"> because </w:t>
      </w:r>
      <w:r w:rsidRPr="00016BEE">
        <w:rPr>
          <w:rStyle w:val="Strong"/>
          <w:b w:val="0"/>
          <w:bCs/>
        </w:rPr>
        <w:t>4-heptylphenol, branched and linear</w:t>
      </w:r>
      <w:r w:rsidR="00045A8D">
        <w:rPr>
          <w:rStyle w:val="Strong"/>
          <w:b w:val="0"/>
          <w:bCs/>
        </w:rPr>
        <w:t>,</w:t>
      </w:r>
      <w:r w:rsidR="00FC1FE9">
        <w:rPr>
          <w:rFonts w:cs="Verdana"/>
          <w:lang w:eastAsia="en-GB"/>
        </w:rPr>
        <w:t xml:space="preserve"> </w:t>
      </w:r>
      <w:r>
        <w:rPr>
          <w:rFonts w:cs="Verdana"/>
          <w:lang w:eastAsia="en-GB"/>
        </w:rPr>
        <w:t xml:space="preserve">has been identified as a group of </w:t>
      </w:r>
      <w:r w:rsidR="00FC1FE9">
        <w:rPr>
          <w:rFonts w:cs="Verdana"/>
          <w:lang w:eastAsia="en-GB"/>
        </w:rPr>
        <w:t>substance</w:t>
      </w:r>
      <w:r>
        <w:rPr>
          <w:rFonts w:cs="Verdana"/>
          <w:lang w:eastAsia="en-GB"/>
        </w:rPr>
        <w:t>s</w:t>
      </w:r>
      <w:r w:rsidR="00FC1FE9">
        <w:rPr>
          <w:rFonts w:cs="Verdana"/>
          <w:lang w:eastAsia="en-GB"/>
        </w:rPr>
        <w:t xml:space="preserve"> with </w:t>
      </w:r>
      <w:r>
        <w:rPr>
          <w:rFonts w:cs="Verdana"/>
          <w:lang w:eastAsia="en-GB"/>
        </w:rPr>
        <w:t>endocrine disrupting properties</w:t>
      </w:r>
      <w:r w:rsidR="00FC1FE9">
        <w:rPr>
          <w:rFonts w:cs="Verdana"/>
          <w:lang w:eastAsia="en-GB"/>
        </w:rPr>
        <w:t xml:space="preserve"> for which there is scientific evidence of probable serious effects to the environment which gives rise to an equivalent level of concern to those of other substances listed in points (</w:t>
      </w:r>
      <w:r w:rsidR="00907EBE">
        <w:rPr>
          <w:rFonts w:cs="Verdana"/>
          <w:lang w:eastAsia="en-GB"/>
        </w:rPr>
        <w:t>a</w:t>
      </w:r>
      <w:r w:rsidR="00FC1FE9">
        <w:rPr>
          <w:rFonts w:cs="Verdana"/>
          <w:lang w:eastAsia="en-GB"/>
        </w:rPr>
        <w:t>) to (e) of Article 57 REACH</w:t>
      </w:r>
      <w:r w:rsidRPr="00FC7CED">
        <w:rPr>
          <w:rStyle w:val="FootnoteReference"/>
          <w:rFonts w:ascii="Verdana" w:hAnsi="Verdana"/>
          <w:bCs/>
          <w:sz w:val="20"/>
        </w:rPr>
        <w:footnoteReference w:id="2"/>
      </w:r>
      <w:r w:rsidR="00FC1FE9">
        <w:rPr>
          <w:rFonts w:cs="Verdana"/>
          <w:lang w:eastAsia="en-GB"/>
        </w:rPr>
        <w:t>.</w:t>
      </w:r>
    </w:p>
    <w:p w14:paraId="23683EC5" w14:textId="77777777" w:rsidR="00FC1FE9" w:rsidRDefault="00FC1FE9" w:rsidP="00FC1FE9">
      <w:pPr>
        <w:jc w:val="both"/>
        <w:rPr>
          <w:rFonts w:cs="Verdana"/>
          <w:lang w:eastAsia="en-GB"/>
        </w:rPr>
      </w:pPr>
    </w:p>
    <w:p w14:paraId="54A67D43" w14:textId="77777777" w:rsidR="00FC7CED" w:rsidRPr="00FC7CED" w:rsidRDefault="00FC7CED" w:rsidP="00FC7CED">
      <w:pPr>
        <w:widowControl/>
        <w:autoSpaceDE w:val="0"/>
        <w:autoSpaceDN w:val="0"/>
        <w:adjustRightInd w:val="0"/>
        <w:jc w:val="both"/>
      </w:pPr>
      <w:r w:rsidRPr="00FC7CED">
        <w:t>The Member State Committee at its 51</w:t>
      </w:r>
      <w:r w:rsidRPr="00FC7CED">
        <w:rPr>
          <w:vertAlign w:val="superscript"/>
        </w:rPr>
        <w:t>st</w:t>
      </w:r>
      <w:r w:rsidRPr="00FC7CED">
        <w:t xml:space="preserve"> meeting unanimously agreed that 4-Heptylphenol, branched and linear </w:t>
      </w:r>
      <w:r w:rsidRPr="00FC7CED">
        <w:rPr>
          <w:i/>
        </w:rPr>
        <w:t>[substances with a linear and/or branched alkyl chain with a carbon number of 7 covalently bound predominantly in position 4 to phenol, covering also UVCB- and well-defined substances which include any of the individual isomers or a combination thereof]</w:t>
      </w:r>
    </w:p>
    <w:p w14:paraId="5A408D49" w14:textId="3F4729F7" w:rsidR="006E6CFE" w:rsidRDefault="00FC7CED" w:rsidP="006E6CFE">
      <w:pPr>
        <w:widowControl/>
        <w:autoSpaceDE w:val="0"/>
        <w:autoSpaceDN w:val="0"/>
        <w:adjustRightInd w:val="0"/>
        <w:jc w:val="both"/>
      </w:pPr>
      <w:r w:rsidRPr="00FC7CED">
        <w:t>meet the criteria set out in Article 57(f) of REACH</w:t>
      </w:r>
      <w:r w:rsidR="006E6CFE">
        <w:t>. The reasoning is laid down in the “</w:t>
      </w:r>
      <w:r w:rsidR="006E6CFE" w:rsidRPr="00A22761">
        <w:t xml:space="preserve">Member </w:t>
      </w:r>
      <w:r w:rsidR="00045A8D">
        <w:t>S</w:t>
      </w:r>
      <w:r w:rsidR="006E6CFE" w:rsidRPr="00A22761">
        <w:t xml:space="preserve">tate </w:t>
      </w:r>
      <w:r w:rsidR="00045A8D">
        <w:t>C</w:t>
      </w:r>
      <w:r w:rsidR="006E6CFE" w:rsidRPr="00A22761">
        <w:t>ommittee support document for identification of 4-heptylp</w:t>
      </w:r>
      <w:r w:rsidR="006E6CFE">
        <w:t>henol, branched and linear (4-HP</w:t>
      </w:r>
      <w:r w:rsidR="006E6CFE" w:rsidRPr="00A22761">
        <w:t>bl)</w:t>
      </w:r>
      <w:r w:rsidR="006E6CFE">
        <w:t xml:space="preserve"> </w:t>
      </w:r>
      <w:r w:rsidR="006E6CFE" w:rsidRPr="00A22761">
        <w:t xml:space="preserve">as a substance of very high concern because of its endocrine disrupting properties which cause probable serious effects to the environment which give rise to an equivalent level of concern to those of CMR and </w:t>
      </w:r>
      <w:r w:rsidR="006E6CFE">
        <w:t>PBT/vPv</w:t>
      </w:r>
      <w:r w:rsidR="006E6CFE" w:rsidRPr="00A22761">
        <w:t>B substances</w:t>
      </w:r>
      <w:r w:rsidR="006E6CFE">
        <w:t>”, a</w:t>
      </w:r>
      <w:r w:rsidR="006E6CFE" w:rsidRPr="00A22761">
        <w:t>dopted on 14 December 2016</w:t>
      </w:r>
      <w:r w:rsidR="006E6CFE" w:rsidRPr="00A22761">
        <w:rPr>
          <w:rStyle w:val="FootnoteReference"/>
          <w:rFonts w:ascii="Verdana" w:hAnsi="Verdana"/>
          <w:sz w:val="20"/>
        </w:rPr>
        <w:footnoteReference w:id="3"/>
      </w:r>
      <w:r w:rsidR="00603AE8">
        <w:t>, as follows</w:t>
      </w:r>
      <w:r w:rsidR="006E6CFE">
        <w:t>:</w:t>
      </w:r>
    </w:p>
    <w:p w14:paraId="324B3A09" w14:textId="51366D93" w:rsidR="00FC7CED" w:rsidRDefault="00FC7CED" w:rsidP="00FC7CED">
      <w:pPr>
        <w:widowControl/>
        <w:autoSpaceDE w:val="0"/>
        <w:autoSpaceDN w:val="0"/>
        <w:adjustRightInd w:val="0"/>
        <w:jc w:val="both"/>
      </w:pPr>
    </w:p>
    <w:p w14:paraId="6A606D94" w14:textId="77777777" w:rsidR="00FC7CED" w:rsidRDefault="00FC7CED" w:rsidP="00FC7CED">
      <w:pPr>
        <w:widowControl/>
        <w:autoSpaceDE w:val="0"/>
        <w:autoSpaceDN w:val="0"/>
        <w:adjustRightInd w:val="0"/>
        <w:jc w:val="both"/>
      </w:pPr>
    </w:p>
    <w:p w14:paraId="76A858BF" w14:textId="346B1955" w:rsidR="009078B5" w:rsidRDefault="00603AE8" w:rsidP="009078B5">
      <w:pPr>
        <w:pStyle w:val="NoSpacing"/>
        <w:spacing w:after="120"/>
        <w:ind w:left="1304"/>
        <w:jc w:val="both"/>
        <w:rPr>
          <w:rFonts w:eastAsia="Calibri"/>
          <w:lang w:eastAsia="en-US"/>
        </w:rPr>
      </w:pPr>
      <w:r>
        <w:rPr>
          <w:rFonts w:eastAsia="Calibri"/>
          <w:lang w:eastAsia="en-US"/>
        </w:rPr>
        <w:t>“</w:t>
      </w:r>
      <w:r w:rsidR="009078B5" w:rsidRPr="003B765C">
        <w:rPr>
          <w:rFonts w:eastAsia="Calibri"/>
          <w:lang w:eastAsia="en-US"/>
        </w:rPr>
        <w:t xml:space="preserve">Based on the available mechanistic information from </w:t>
      </w:r>
      <w:r w:rsidR="009078B5" w:rsidRPr="00E31486">
        <w:rPr>
          <w:rFonts w:eastAsia="Calibri"/>
          <w:i/>
          <w:lang w:eastAsia="en-US"/>
        </w:rPr>
        <w:t>in silico</w:t>
      </w:r>
      <w:r w:rsidR="009078B5" w:rsidRPr="003B765C">
        <w:rPr>
          <w:rFonts w:eastAsia="Calibri"/>
          <w:lang w:eastAsia="en-US"/>
        </w:rPr>
        <w:t xml:space="preserve"> and </w:t>
      </w:r>
      <w:r w:rsidR="009078B5" w:rsidRPr="00E31486">
        <w:rPr>
          <w:rFonts w:eastAsia="Calibri"/>
          <w:i/>
          <w:lang w:eastAsia="en-US"/>
        </w:rPr>
        <w:t>in vitro</w:t>
      </w:r>
      <w:r w:rsidR="009078B5" w:rsidRPr="003B765C">
        <w:rPr>
          <w:rFonts w:eastAsia="Calibri"/>
          <w:lang w:eastAsia="en-US"/>
        </w:rPr>
        <w:t xml:space="preserve"> studies with 4-heptylphenol isomers it can be unambiguously concluded that 4-HPbl is able to bind to the estrogen receptors of fish, humans and rats and to activate these receptors.</w:t>
      </w:r>
    </w:p>
    <w:p w14:paraId="3361920C" w14:textId="77777777" w:rsidR="009078B5" w:rsidRPr="003B765C" w:rsidRDefault="009078B5" w:rsidP="009078B5">
      <w:pPr>
        <w:pStyle w:val="NoSpacing"/>
        <w:spacing w:after="120"/>
        <w:ind w:left="1304"/>
        <w:jc w:val="both"/>
        <w:rPr>
          <w:rFonts w:eastAsia="Calibri"/>
          <w:lang w:eastAsia="en-US"/>
        </w:rPr>
      </w:pPr>
      <w:r w:rsidRPr="003B765C">
        <w:rPr>
          <w:rFonts w:eastAsia="Calibri"/>
          <w:lang w:eastAsia="en-US"/>
        </w:rPr>
        <w:lastRenderedPageBreak/>
        <w:t xml:space="preserve">In a reliable </w:t>
      </w:r>
      <w:r w:rsidRPr="00E31486">
        <w:rPr>
          <w:rFonts w:eastAsia="Calibri"/>
          <w:i/>
          <w:lang w:eastAsia="en-US"/>
        </w:rPr>
        <w:t>in vivo</w:t>
      </w:r>
      <w:r w:rsidRPr="003B765C">
        <w:rPr>
          <w:rFonts w:eastAsia="Calibri"/>
          <w:lang w:eastAsia="en-US"/>
        </w:rPr>
        <w:t xml:space="preserve"> study with </w:t>
      </w:r>
      <w:r w:rsidRPr="003B765C">
        <w:rPr>
          <w:rFonts w:eastAsia="Calibri"/>
          <w:i/>
          <w:lang w:eastAsia="en-US"/>
        </w:rPr>
        <w:t>Sander lucioperca</w:t>
      </w:r>
      <w:r w:rsidRPr="003B765C">
        <w:rPr>
          <w:rFonts w:eastAsia="Calibri"/>
          <w:lang w:eastAsia="en-US"/>
        </w:rPr>
        <w:t xml:space="preserve"> (Demska-Zakęś, 2005) the ratio of male fish (according to histological determination) was significantly decreased at the lowest </w:t>
      </w:r>
      <w:r>
        <w:rPr>
          <w:rFonts w:eastAsia="Calibri"/>
          <w:lang w:eastAsia="en-US"/>
        </w:rPr>
        <w:t xml:space="preserve">used </w:t>
      </w:r>
      <w:r w:rsidRPr="003B765C">
        <w:rPr>
          <w:rFonts w:eastAsia="Calibri"/>
          <w:lang w:eastAsia="en-US"/>
        </w:rPr>
        <w:t xml:space="preserve">4-n-heptylphenol </w:t>
      </w:r>
      <w:r>
        <w:rPr>
          <w:rFonts w:eastAsia="Calibri"/>
          <w:lang w:eastAsia="en-US"/>
        </w:rPr>
        <w:t xml:space="preserve">(4nHP) </w:t>
      </w:r>
      <w:r w:rsidRPr="003B765C">
        <w:rPr>
          <w:rFonts w:eastAsia="Calibri"/>
          <w:lang w:eastAsia="en-US"/>
        </w:rPr>
        <w:t xml:space="preserve">concentration (1 µg/L) after 28 days of exposure. The shift in sex ratio </w:t>
      </w:r>
      <w:r>
        <w:rPr>
          <w:rFonts w:eastAsia="Calibri"/>
          <w:lang w:eastAsia="en-US"/>
        </w:rPr>
        <w:t>was</w:t>
      </w:r>
      <w:r w:rsidRPr="003B765C">
        <w:rPr>
          <w:rFonts w:eastAsia="Calibri"/>
          <w:lang w:eastAsia="en-US"/>
        </w:rPr>
        <w:t xml:space="preserve"> dose-dependent, leading to 98 and 100% female fish at 88 and 144 days post hatch (dph), respectively, indicating that the observed effects on the sex characteristics were irreversible. </w:t>
      </w:r>
    </w:p>
    <w:p w14:paraId="412C972C" w14:textId="77777777" w:rsidR="009078B5" w:rsidRPr="003B765C" w:rsidRDefault="009078B5" w:rsidP="009078B5">
      <w:pPr>
        <w:pStyle w:val="NoSpacing"/>
        <w:spacing w:after="120"/>
        <w:ind w:left="1304"/>
        <w:jc w:val="both"/>
        <w:rPr>
          <w:rFonts w:eastAsia="Calibri"/>
          <w:lang w:eastAsia="en-US"/>
        </w:rPr>
      </w:pPr>
      <w:r w:rsidRPr="003B765C">
        <w:rPr>
          <w:rFonts w:eastAsia="Calibri"/>
          <w:lang w:eastAsia="en-US"/>
        </w:rPr>
        <w:t>The appearance of intersex species comprising sex characteristics from b</w:t>
      </w:r>
      <w:r>
        <w:rPr>
          <w:rFonts w:eastAsia="Calibri"/>
          <w:lang w:eastAsia="en-US"/>
        </w:rPr>
        <w:t xml:space="preserve">oth sexes, e.g. testis-ova / </w:t>
      </w:r>
      <w:r w:rsidRPr="003B765C">
        <w:rPr>
          <w:rFonts w:eastAsia="Calibri"/>
          <w:lang w:eastAsia="en-US"/>
        </w:rPr>
        <w:t>ovotestis</w:t>
      </w:r>
      <w:r>
        <w:rPr>
          <w:rFonts w:eastAsia="Calibri"/>
          <w:lang w:eastAsia="en-US"/>
        </w:rPr>
        <w:t xml:space="preserve"> and</w:t>
      </w:r>
      <w:r w:rsidRPr="003B765C">
        <w:rPr>
          <w:rFonts w:eastAsia="Calibri"/>
          <w:lang w:eastAsia="en-US"/>
        </w:rPr>
        <w:t xml:space="preserve"> formation of an oviduct (with regressed spermatogenic lobules in the same fish)</w:t>
      </w:r>
      <w:r>
        <w:rPr>
          <w:rFonts w:eastAsia="Calibri"/>
          <w:lang w:eastAsia="en-US"/>
        </w:rPr>
        <w:t>,</w:t>
      </w:r>
      <w:r w:rsidRPr="003B765C">
        <w:rPr>
          <w:rFonts w:eastAsia="Calibri"/>
          <w:lang w:eastAsia="en-US"/>
        </w:rPr>
        <w:t xml:space="preserve"> was significant at </w:t>
      </w:r>
      <w:r>
        <w:rPr>
          <w:rFonts w:eastAsia="Calibri"/>
          <w:lang w:eastAsia="en-US"/>
        </w:rPr>
        <w:t xml:space="preserve">4nHP </w:t>
      </w:r>
      <w:r w:rsidRPr="003B765C">
        <w:rPr>
          <w:rFonts w:eastAsia="Calibri"/>
          <w:lang w:eastAsia="en-US"/>
        </w:rPr>
        <w:t>concentrations of at least 1 µg/L.</w:t>
      </w:r>
    </w:p>
    <w:p w14:paraId="66B05164" w14:textId="77777777" w:rsidR="009078B5" w:rsidRPr="009F6771" w:rsidRDefault="009078B5" w:rsidP="009078B5">
      <w:pPr>
        <w:widowControl/>
        <w:spacing w:before="40" w:after="120"/>
        <w:ind w:left="1304"/>
        <w:jc w:val="both"/>
        <w:rPr>
          <w:lang w:eastAsia="en-US"/>
        </w:rPr>
      </w:pPr>
      <w:r w:rsidRPr="003B765C">
        <w:rPr>
          <w:rFonts w:eastAsia="Calibri"/>
          <w:lang w:eastAsia="en-US"/>
        </w:rPr>
        <w:t>4-HPbl belongs to a group of structurally similar alkylphenols monoalkylated</w:t>
      </w:r>
      <w:r w:rsidRPr="00D7497B">
        <w:rPr>
          <w:rFonts w:eastAsia="Calibri"/>
          <w:lang w:eastAsia="en-US"/>
        </w:rPr>
        <w:t xml:space="preserve"> </w:t>
      </w:r>
      <w:r w:rsidRPr="003B765C">
        <w:rPr>
          <w:rFonts w:eastAsia="Calibri"/>
          <w:lang w:eastAsia="en-US"/>
        </w:rPr>
        <w:t>predominantly in 4-position</w:t>
      </w:r>
      <w:r w:rsidRPr="00D7497B">
        <w:rPr>
          <w:rFonts w:eastAsia="Calibri"/>
          <w:lang w:eastAsia="en-US"/>
        </w:rPr>
        <w:t xml:space="preserve"> </w:t>
      </w:r>
      <w:r w:rsidRPr="003B765C">
        <w:rPr>
          <w:rFonts w:eastAsia="Calibri"/>
          <w:lang w:eastAsia="en-US"/>
        </w:rPr>
        <w:t xml:space="preserve">with different alkyl chain lengths. To substantiate the findings for 4-HPbl, a read across approach is applied using the following source alkylphenols: </w:t>
      </w:r>
    </w:p>
    <w:p w14:paraId="152F6470" w14:textId="77777777" w:rsidR="009078B5" w:rsidRPr="009F6771" w:rsidRDefault="009078B5" w:rsidP="009078B5">
      <w:pPr>
        <w:numPr>
          <w:ilvl w:val="0"/>
          <w:numId w:val="25"/>
        </w:numPr>
        <w:spacing w:line="288" w:lineRule="auto"/>
        <w:ind w:left="2018" w:hanging="357"/>
        <w:jc w:val="both"/>
        <w:rPr>
          <w:lang w:eastAsia="en-US"/>
        </w:rPr>
      </w:pPr>
      <w:r w:rsidRPr="009F6771">
        <w:rPr>
          <w:lang w:eastAsia="en-US"/>
        </w:rPr>
        <w:t>4-Nonylphenol, branched and linear: substances with a linear and/or branched alkyl chain with a carbon number of 9 covalently bound in position 4 to phenol, covering also UVCB- and well-defined substances which include any of the individual isomers or a combination thereof</w:t>
      </w:r>
    </w:p>
    <w:p w14:paraId="562CE0DF" w14:textId="77777777" w:rsidR="009078B5" w:rsidRPr="009F6771" w:rsidRDefault="009078B5" w:rsidP="009078B5">
      <w:pPr>
        <w:numPr>
          <w:ilvl w:val="0"/>
          <w:numId w:val="25"/>
        </w:numPr>
        <w:spacing w:line="288" w:lineRule="auto"/>
        <w:ind w:left="2018" w:hanging="357"/>
        <w:jc w:val="both"/>
        <w:rPr>
          <w:lang w:eastAsia="en-US"/>
        </w:rPr>
      </w:pPr>
      <w:r w:rsidRPr="009F6771">
        <w:rPr>
          <w:lang w:eastAsia="en-US"/>
        </w:rPr>
        <w:t>4-</w:t>
      </w:r>
      <w:r w:rsidRPr="009F6771">
        <w:rPr>
          <w:i/>
          <w:lang w:eastAsia="en-US"/>
        </w:rPr>
        <w:t>tert</w:t>
      </w:r>
      <w:r w:rsidRPr="009F6771">
        <w:rPr>
          <w:lang w:eastAsia="en-US"/>
        </w:rPr>
        <w:t>-octylphenol (4-(1,1,3,3-tetramethylbutyl)phenol</w:t>
      </w:r>
      <w:r>
        <w:rPr>
          <w:lang w:eastAsia="en-US"/>
        </w:rPr>
        <w:t xml:space="preserve">, EC number: </w:t>
      </w:r>
      <w:r w:rsidRPr="00E743EB">
        <w:rPr>
          <w:rFonts w:eastAsia="Calibri"/>
          <w:color w:val="000000"/>
          <w:lang w:eastAsia="en-US"/>
        </w:rPr>
        <w:t>205-426-2</w:t>
      </w:r>
      <w:r w:rsidRPr="009F6771">
        <w:rPr>
          <w:lang w:eastAsia="en-US"/>
        </w:rPr>
        <w:t>)</w:t>
      </w:r>
    </w:p>
    <w:p w14:paraId="12BBB018" w14:textId="77777777" w:rsidR="009078B5" w:rsidRPr="009F6771" w:rsidRDefault="009078B5" w:rsidP="009078B5">
      <w:pPr>
        <w:numPr>
          <w:ilvl w:val="0"/>
          <w:numId w:val="25"/>
        </w:numPr>
        <w:spacing w:line="288" w:lineRule="auto"/>
        <w:ind w:left="2018" w:hanging="357"/>
        <w:jc w:val="both"/>
        <w:rPr>
          <w:lang w:eastAsia="en-US"/>
        </w:rPr>
      </w:pPr>
      <w:r w:rsidRPr="009F6771">
        <w:rPr>
          <w:lang w:eastAsia="en-US"/>
        </w:rPr>
        <w:t>4-</w:t>
      </w:r>
      <w:r w:rsidRPr="009F6771">
        <w:rPr>
          <w:i/>
          <w:lang w:eastAsia="en-US"/>
        </w:rPr>
        <w:t>tert</w:t>
      </w:r>
      <w:r w:rsidRPr="009F6771">
        <w:rPr>
          <w:lang w:eastAsia="en-US"/>
        </w:rPr>
        <w:t>-pentylphenol (</w:t>
      </w:r>
      <w:r w:rsidRPr="009F6771">
        <w:rPr>
          <w:i/>
          <w:lang w:eastAsia="en-US"/>
        </w:rPr>
        <w:t>p-</w:t>
      </w:r>
      <w:r w:rsidRPr="009F6771">
        <w:rPr>
          <w:lang w:eastAsia="en-US"/>
        </w:rPr>
        <w:t>(1,1-dimethylpropyl)phenol</w:t>
      </w:r>
      <w:r>
        <w:rPr>
          <w:lang w:eastAsia="en-US"/>
        </w:rPr>
        <w:t xml:space="preserve">, EC number: </w:t>
      </w:r>
      <w:r w:rsidRPr="00E743EB">
        <w:rPr>
          <w:rFonts w:eastAsia="Calibri"/>
          <w:color w:val="000000"/>
          <w:lang w:eastAsia="en-US"/>
        </w:rPr>
        <w:t>201-280-9</w:t>
      </w:r>
      <w:r w:rsidRPr="009F6771">
        <w:rPr>
          <w:lang w:eastAsia="en-US"/>
        </w:rPr>
        <w:t>)</w:t>
      </w:r>
    </w:p>
    <w:p w14:paraId="455F3D78" w14:textId="77777777" w:rsidR="009078B5" w:rsidRPr="009F6771" w:rsidRDefault="009078B5" w:rsidP="009078B5">
      <w:pPr>
        <w:numPr>
          <w:ilvl w:val="0"/>
          <w:numId w:val="25"/>
        </w:numPr>
        <w:spacing w:line="288" w:lineRule="auto"/>
        <w:ind w:left="2018" w:hanging="357"/>
        <w:jc w:val="both"/>
        <w:rPr>
          <w:lang w:eastAsia="en-US"/>
        </w:rPr>
      </w:pPr>
      <w:r w:rsidRPr="009F6771">
        <w:rPr>
          <w:lang w:eastAsia="en-US"/>
        </w:rPr>
        <w:t>4-</w:t>
      </w:r>
      <w:r w:rsidRPr="009F6771">
        <w:rPr>
          <w:i/>
          <w:lang w:eastAsia="en-US"/>
        </w:rPr>
        <w:t>tert</w:t>
      </w:r>
      <w:r w:rsidRPr="009F6771">
        <w:rPr>
          <w:lang w:eastAsia="en-US"/>
        </w:rPr>
        <w:t>-butylphenol (4-(1,1-dimethylethyl) phenol</w:t>
      </w:r>
      <w:r>
        <w:rPr>
          <w:lang w:eastAsia="en-US"/>
        </w:rPr>
        <w:t xml:space="preserve">, EC number: </w:t>
      </w:r>
      <w:r w:rsidRPr="00E743EB">
        <w:rPr>
          <w:rFonts w:eastAsia="Calibri"/>
          <w:color w:val="000000"/>
          <w:lang w:eastAsia="en-US"/>
        </w:rPr>
        <w:t>202-679-0</w:t>
      </w:r>
      <w:r w:rsidRPr="009F6771">
        <w:rPr>
          <w:lang w:eastAsia="en-US"/>
        </w:rPr>
        <w:t>)</w:t>
      </w:r>
    </w:p>
    <w:p w14:paraId="71C5F9A2" w14:textId="77777777" w:rsidR="009078B5" w:rsidRPr="009F6771" w:rsidRDefault="009078B5" w:rsidP="009078B5">
      <w:pPr>
        <w:ind w:left="1304"/>
        <w:jc w:val="both"/>
        <w:rPr>
          <w:lang w:eastAsia="en-US"/>
        </w:rPr>
      </w:pPr>
    </w:p>
    <w:p w14:paraId="5306C246" w14:textId="77777777" w:rsidR="009078B5" w:rsidRPr="003B765C" w:rsidRDefault="009078B5" w:rsidP="009078B5">
      <w:pPr>
        <w:widowControl/>
        <w:spacing w:before="40" w:after="80"/>
        <w:ind w:left="1304"/>
        <w:jc w:val="both"/>
        <w:rPr>
          <w:rFonts w:eastAsia="Calibri"/>
          <w:lang w:eastAsia="en-US"/>
        </w:rPr>
      </w:pPr>
      <w:r w:rsidRPr="003B765C">
        <w:rPr>
          <w:rFonts w:eastAsia="Calibri"/>
          <w:lang w:eastAsia="en-US"/>
        </w:rPr>
        <w:t>Regarding chain length, 4-HPbl is in the middle of 4-nonylphenol, branched and linear and 4-</w:t>
      </w:r>
      <w:r w:rsidRPr="003B765C">
        <w:rPr>
          <w:rFonts w:eastAsia="Calibri"/>
          <w:i/>
          <w:lang w:eastAsia="en-US"/>
        </w:rPr>
        <w:t>tert</w:t>
      </w:r>
      <w:r w:rsidRPr="003B765C">
        <w:rPr>
          <w:rFonts w:eastAsia="Calibri"/>
          <w:lang w:eastAsia="en-US"/>
        </w:rPr>
        <w:t>-octylphenol on the one side and 4-</w:t>
      </w:r>
      <w:r w:rsidRPr="003B765C">
        <w:rPr>
          <w:rFonts w:eastAsia="Calibri"/>
          <w:i/>
          <w:lang w:eastAsia="en-US"/>
        </w:rPr>
        <w:t>tert</w:t>
      </w:r>
      <w:r w:rsidRPr="003B765C">
        <w:rPr>
          <w:rFonts w:eastAsia="Calibri"/>
          <w:lang w:eastAsia="en-US"/>
        </w:rPr>
        <w:t>-pentylphenol and 4-</w:t>
      </w:r>
      <w:r w:rsidRPr="003B765C">
        <w:rPr>
          <w:rFonts w:eastAsia="Calibri"/>
          <w:i/>
          <w:lang w:eastAsia="en-US"/>
        </w:rPr>
        <w:t>tert</w:t>
      </w:r>
      <w:r w:rsidRPr="003B765C">
        <w:rPr>
          <w:rFonts w:eastAsia="Calibri"/>
          <w:lang w:eastAsia="en-US"/>
        </w:rPr>
        <w:t>-butylphenol on the other side. The findings for 4-HPbl were substantiated by the effects seen also in tests perfor</w:t>
      </w:r>
      <w:r>
        <w:rPr>
          <w:rFonts w:eastAsia="Calibri"/>
          <w:lang w:eastAsia="en-US"/>
        </w:rPr>
        <w:t>med with the source substances.</w:t>
      </w:r>
    </w:p>
    <w:p w14:paraId="4557CC06" w14:textId="77777777" w:rsidR="009078B5" w:rsidRPr="009F6771" w:rsidRDefault="009078B5" w:rsidP="009078B5">
      <w:pPr>
        <w:numPr>
          <w:ilvl w:val="0"/>
          <w:numId w:val="26"/>
        </w:numPr>
        <w:spacing w:line="288" w:lineRule="auto"/>
        <w:ind w:left="2018" w:hanging="357"/>
        <w:jc w:val="both"/>
        <w:rPr>
          <w:lang w:eastAsia="en-US"/>
        </w:rPr>
      </w:pPr>
      <w:r w:rsidRPr="00ED23A3">
        <w:rPr>
          <w:i/>
          <w:lang w:eastAsia="en-US"/>
        </w:rPr>
        <w:t>In vitro</w:t>
      </w:r>
      <w:r w:rsidRPr="009F6771">
        <w:rPr>
          <w:lang w:eastAsia="en-US"/>
        </w:rPr>
        <w:t xml:space="preserve"> data confirm that all four source substances and the target substance do interact with the estrogen receptor</w:t>
      </w:r>
      <w:r>
        <w:rPr>
          <w:lang w:eastAsia="en-US"/>
        </w:rPr>
        <w:t>s.</w:t>
      </w:r>
    </w:p>
    <w:p w14:paraId="543ADECA" w14:textId="77777777" w:rsidR="009078B5" w:rsidRPr="009F6771" w:rsidRDefault="009078B5" w:rsidP="009078B5">
      <w:pPr>
        <w:numPr>
          <w:ilvl w:val="0"/>
          <w:numId w:val="26"/>
        </w:numPr>
        <w:spacing w:line="288" w:lineRule="auto"/>
        <w:ind w:left="2018" w:hanging="357"/>
        <w:jc w:val="both"/>
        <w:rPr>
          <w:lang w:eastAsia="en-US"/>
        </w:rPr>
      </w:pPr>
      <w:r w:rsidRPr="009F6771">
        <w:rPr>
          <w:lang w:eastAsia="en-US"/>
        </w:rPr>
        <w:t xml:space="preserve">As for </w:t>
      </w:r>
      <w:r>
        <w:rPr>
          <w:lang w:eastAsia="en-US"/>
        </w:rPr>
        <w:t>4-HPbl</w:t>
      </w:r>
      <w:r w:rsidRPr="009F6771">
        <w:rPr>
          <w:lang w:eastAsia="en-US"/>
        </w:rPr>
        <w:t xml:space="preserve"> it was demonstrated that exposure to 4-</w:t>
      </w:r>
      <w:r>
        <w:rPr>
          <w:lang w:eastAsia="en-US"/>
        </w:rPr>
        <w:t>n</w:t>
      </w:r>
      <w:r w:rsidRPr="009F6771">
        <w:rPr>
          <w:lang w:eastAsia="en-US"/>
        </w:rPr>
        <w:t xml:space="preserve">onylphenol and 4- butylphenol </w:t>
      </w:r>
      <w:r>
        <w:rPr>
          <w:lang w:eastAsia="en-US"/>
        </w:rPr>
        <w:t xml:space="preserve">(branched and linear forms) </w:t>
      </w:r>
      <w:r w:rsidRPr="009F6771">
        <w:rPr>
          <w:lang w:eastAsia="en-US"/>
        </w:rPr>
        <w:t xml:space="preserve">lead to a female biased sex ratio in </w:t>
      </w:r>
      <w:r w:rsidRPr="009F6771">
        <w:rPr>
          <w:i/>
          <w:lang w:eastAsia="en-US"/>
        </w:rPr>
        <w:t>Sander lucioperca</w:t>
      </w:r>
      <w:r w:rsidRPr="009F6771">
        <w:rPr>
          <w:lang w:eastAsia="en-US"/>
        </w:rPr>
        <w:t xml:space="preserve"> at low concentration (effects seen at lowest dose of 1 µg/L).</w:t>
      </w:r>
    </w:p>
    <w:p w14:paraId="7181D8B3" w14:textId="77777777" w:rsidR="009078B5" w:rsidRPr="009F6771" w:rsidRDefault="009078B5" w:rsidP="009078B5">
      <w:pPr>
        <w:numPr>
          <w:ilvl w:val="0"/>
          <w:numId w:val="26"/>
        </w:numPr>
        <w:spacing w:line="288" w:lineRule="auto"/>
        <w:ind w:left="2018" w:hanging="357"/>
        <w:jc w:val="both"/>
        <w:rPr>
          <w:lang w:eastAsia="en-US"/>
        </w:rPr>
      </w:pPr>
      <w:r w:rsidRPr="009F6771">
        <w:rPr>
          <w:lang w:eastAsia="en-US"/>
        </w:rPr>
        <w:t>Substantial effects were also seen in other fish species (</w:t>
      </w:r>
      <w:r w:rsidRPr="009F6771">
        <w:rPr>
          <w:i/>
          <w:lang w:eastAsia="en-US"/>
        </w:rPr>
        <w:t>Pimephales promelas</w:t>
      </w:r>
      <w:r w:rsidRPr="009F6771">
        <w:rPr>
          <w:lang w:eastAsia="en-US"/>
        </w:rPr>
        <w:t xml:space="preserve">, </w:t>
      </w:r>
      <w:r w:rsidRPr="009F6771">
        <w:rPr>
          <w:i/>
          <w:lang w:eastAsia="en-US"/>
        </w:rPr>
        <w:t>Danio rerio</w:t>
      </w:r>
      <w:r w:rsidRPr="009F6771">
        <w:rPr>
          <w:lang w:eastAsia="en-US"/>
        </w:rPr>
        <w:t xml:space="preserve">, </w:t>
      </w:r>
      <w:r w:rsidRPr="009F6771">
        <w:rPr>
          <w:i/>
          <w:lang w:eastAsia="en-US"/>
        </w:rPr>
        <w:t>Oryzias latipes</w:t>
      </w:r>
      <w:r w:rsidRPr="009F6771">
        <w:rPr>
          <w:lang w:eastAsia="en-US"/>
        </w:rPr>
        <w:t xml:space="preserve">, </w:t>
      </w:r>
      <w:r w:rsidRPr="009F6771">
        <w:rPr>
          <w:i/>
          <w:lang w:eastAsia="en-US"/>
        </w:rPr>
        <w:t>Cyprinus carpio</w:t>
      </w:r>
      <w:r w:rsidRPr="009F6771">
        <w:rPr>
          <w:lang w:eastAsia="en-US"/>
        </w:rPr>
        <w:t xml:space="preserve">, </w:t>
      </w:r>
      <w:r w:rsidRPr="009F6771">
        <w:rPr>
          <w:i/>
          <w:lang w:eastAsia="en-US"/>
        </w:rPr>
        <w:t>Oncorhynchus mykiss</w:t>
      </w:r>
      <w:r w:rsidRPr="009F6771">
        <w:rPr>
          <w:lang w:eastAsia="en-US"/>
        </w:rPr>
        <w:t>)</w:t>
      </w:r>
      <w:r>
        <w:rPr>
          <w:lang w:eastAsia="en-US"/>
        </w:rPr>
        <w:t xml:space="preserve"> </w:t>
      </w:r>
      <w:r w:rsidRPr="00262A41">
        <w:rPr>
          <w:lang w:eastAsia="en-US"/>
        </w:rPr>
        <w:t>for the source chemicals</w:t>
      </w:r>
      <w:r>
        <w:rPr>
          <w:lang w:eastAsia="en-US"/>
        </w:rPr>
        <w:t>.</w:t>
      </w:r>
      <w:r w:rsidRPr="009F6771">
        <w:rPr>
          <w:lang w:eastAsia="en-US"/>
        </w:rPr>
        <w:t xml:space="preserve"> These include effect data like a female biased sex ratio and indicative effects like feminisation of gonadal ducts, testis-ova and effects on secondary sex characteristics. </w:t>
      </w:r>
    </w:p>
    <w:p w14:paraId="1D634BC2" w14:textId="77777777" w:rsidR="009078B5" w:rsidRDefault="009078B5" w:rsidP="009078B5">
      <w:pPr>
        <w:pStyle w:val="NoSpacing"/>
        <w:ind w:left="1304"/>
        <w:jc w:val="both"/>
        <w:rPr>
          <w:lang w:eastAsia="en-US"/>
        </w:rPr>
      </w:pPr>
    </w:p>
    <w:p w14:paraId="055E0734" w14:textId="77777777" w:rsidR="009078B5" w:rsidRDefault="009078B5" w:rsidP="009078B5">
      <w:pPr>
        <w:pStyle w:val="NoSpacing"/>
        <w:ind w:left="1304"/>
        <w:jc w:val="both"/>
        <w:rPr>
          <w:rFonts w:eastAsia="Calibri"/>
          <w:lang w:eastAsia="en-US"/>
        </w:rPr>
      </w:pPr>
      <w:r w:rsidRPr="003B765C">
        <w:rPr>
          <w:rFonts w:eastAsia="Calibri"/>
          <w:lang w:eastAsia="en-US"/>
        </w:rPr>
        <w:t>4-Nonylphenol and 4-</w:t>
      </w:r>
      <w:r w:rsidRPr="003B765C">
        <w:rPr>
          <w:rFonts w:eastAsia="Calibri"/>
          <w:i/>
          <w:lang w:eastAsia="en-US"/>
        </w:rPr>
        <w:t>tert</w:t>
      </w:r>
      <w:r w:rsidRPr="003B765C">
        <w:rPr>
          <w:rFonts w:eastAsia="Calibri"/>
          <w:lang w:eastAsia="en-US"/>
        </w:rPr>
        <w:t xml:space="preserve">-octylphenol are already identified as substances of very high concern due to their endocrine disrupting properties for the environment, which are considered </w:t>
      </w:r>
      <w:r>
        <w:rPr>
          <w:rFonts w:eastAsia="Calibri"/>
          <w:lang w:eastAsia="en-US"/>
        </w:rPr>
        <w:t xml:space="preserve">to give rise to an </w:t>
      </w:r>
      <w:r w:rsidRPr="003B765C">
        <w:rPr>
          <w:rFonts w:eastAsia="Calibri"/>
          <w:lang w:eastAsia="en-US"/>
        </w:rPr>
        <w:t xml:space="preserve">equivalent </w:t>
      </w:r>
      <w:r>
        <w:rPr>
          <w:rFonts w:eastAsia="Calibri"/>
          <w:lang w:eastAsia="en-US"/>
        </w:rPr>
        <w:t xml:space="preserve">level of </w:t>
      </w:r>
      <w:r w:rsidRPr="003B765C">
        <w:rPr>
          <w:rFonts w:eastAsia="Calibri"/>
          <w:lang w:eastAsia="en-US"/>
        </w:rPr>
        <w:t xml:space="preserve">concern. </w:t>
      </w:r>
      <w:r>
        <w:rPr>
          <w:rFonts w:eastAsia="Calibri"/>
          <w:lang w:eastAsia="en-US"/>
        </w:rPr>
        <w:t>The e</w:t>
      </w:r>
      <w:r w:rsidRPr="003B765C">
        <w:rPr>
          <w:rFonts w:eastAsia="Calibri"/>
          <w:lang w:eastAsia="en-US"/>
        </w:rPr>
        <w:t xml:space="preserve">ffects observed </w:t>
      </w:r>
      <w:r>
        <w:rPr>
          <w:rFonts w:eastAsia="Calibri"/>
          <w:lang w:eastAsia="en-US"/>
        </w:rPr>
        <w:t xml:space="preserve">for 4-HPbl </w:t>
      </w:r>
      <w:r w:rsidRPr="003B765C">
        <w:rPr>
          <w:rFonts w:eastAsia="Calibri"/>
          <w:lang w:eastAsia="en-US"/>
        </w:rPr>
        <w:t>are similar to those for 4-</w:t>
      </w:r>
      <w:r w:rsidRPr="003B765C">
        <w:rPr>
          <w:rFonts w:eastAsia="Calibri"/>
          <w:i/>
          <w:lang w:eastAsia="en-US"/>
        </w:rPr>
        <w:t>tert</w:t>
      </w:r>
      <w:r w:rsidRPr="003B765C">
        <w:rPr>
          <w:rFonts w:eastAsia="Calibri"/>
          <w:lang w:eastAsia="en-US"/>
        </w:rPr>
        <w:t xml:space="preserve">-octylphenol and 4-nonylphenol and occur </w:t>
      </w:r>
      <w:r>
        <w:rPr>
          <w:rFonts w:eastAsia="Calibri"/>
          <w:lang w:eastAsia="en-US"/>
        </w:rPr>
        <w:t xml:space="preserve">in </w:t>
      </w:r>
      <w:r w:rsidRPr="003B765C">
        <w:rPr>
          <w:rFonts w:eastAsia="Calibri"/>
          <w:lang w:eastAsia="en-US"/>
        </w:rPr>
        <w:t xml:space="preserve">similar concentration </w:t>
      </w:r>
      <w:r>
        <w:rPr>
          <w:rFonts w:eastAsia="Calibri"/>
          <w:lang w:eastAsia="en-US"/>
        </w:rPr>
        <w:t xml:space="preserve">ranges </w:t>
      </w:r>
      <w:r w:rsidRPr="003B765C">
        <w:rPr>
          <w:rFonts w:eastAsia="Calibri"/>
          <w:lang w:eastAsia="en-US"/>
        </w:rPr>
        <w:t xml:space="preserve">(ECHA, 2011 and ECHA, 2012). </w:t>
      </w:r>
    </w:p>
    <w:p w14:paraId="03471270" w14:textId="77777777" w:rsidR="009078B5" w:rsidRPr="003B765C" w:rsidRDefault="009078B5" w:rsidP="009078B5">
      <w:pPr>
        <w:pStyle w:val="NoSpacing"/>
        <w:ind w:left="1304"/>
        <w:jc w:val="both"/>
        <w:rPr>
          <w:rFonts w:eastAsia="Calibri"/>
          <w:lang w:eastAsia="en-US"/>
        </w:rPr>
      </w:pPr>
    </w:p>
    <w:p w14:paraId="589AFD2C" w14:textId="77777777" w:rsidR="009078B5" w:rsidRDefault="009078B5" w:rsidP="009078B5">
      <w:pPr>
        <w:pStyle w:val="NoSpacing"/>
        <w:ind w:left="1304"/>
        <w:jc w:val="both"/>
        <w:rPr>
          <w:rFonts w:eastAsia="Calibri"/>
          <w:lang w:eastAsia="en-US"/>
        </w:rPr>
      </w:pPr>
      <w:r w:rsidRPr="003B765C">
        <w:rPr>
          <w:rFonts w:eastAsia="Calibri"/>
          <w:lang w:eastAsia="en-US"/>
        </w:rPr>
        <w:t>In summary, it is demonstrated that endocrine disrupting properties for the environment occur for alkylphenols with alkyl chain le</w:t>
      </w:r>
      <w:r>
        <w:rPr>
          <w:rFonts w:eastAsia="Calibri"/>
          <w:lang w:eastAsia="en-US"/>
        </w:rPr>
        <w:t>ngths of 4,5,7,8 and 9 C-atoms.</w:t>
      </w:r>
    </w:p>
    <w:p w14:paraId="4CEF5A73" w14:textId="77777777" w:rsidR="009078B5" w:rsidRPr="003B765C" w:rsidRDefault="009078B5" w:rsidP="009078B5">
      <w:pPr>
        <w:pStyle w:val="NoSpacing"/>
        <w:ind w:left="1304"/>
        <w:jc w:val="both"/>
        <w:rPr>
          <w:rFonts w:eastAsia="Calibri"/>
          <w:lang w:eastAsia="en-US"/>
        </w:rPr>
      </w:pPr>
    </w:p>
    <w:p w14:paraId="156DD9FA" w14:textId="5ECEF9D1" w:rsidR="009078B5" w:rsidRDefault="009078B5" w:rsidP="009078B5">
      <w:pPr>
        <w:pStyle w:val="NoSpacing"/>
        <w:ind w:left="1304"/>
        <w:jc w:val="both"/>
        <w:rPr>
          <w:rFonts w:eastAsia="Calibri"/>
          <w:lang w:eastAsia="en-US"/>
        </w:rPr>
      </w:pPr>
      <w:r w:rsidRPr="003B765C">
        <w:rPr>
          <w:rFonts w:eastAsia="Calibri"/>
          <w:lang w:eastAsia="en-US"/>
        </w:rPr>
        <w:t xml:space="preserve">Taking all the evidence into consideration 4-HPbl </w:t>
      </w:r>
      <w:r w:rsidR="00A354DB">
        <w:rPr>
          <w:rFonts w:eastAsia="Calibri"/>
          <w:lang w:eastAsia="en-US"/>
        </w:rPr>
        <w:t>are</w:t>
      </w:r>
      <w:r>
        <w:rPr>
          <w:rFonts w:eastAsia="Calibri"/>
          <w:lang w:eastAsia="en-US"/>
        </w:rPr>
        <w:t xml:space="preserve"> identified </w:t>
      </w:r>
      <w:r w:rsidRPr="003B765C">
        <w:rPr>
          <w:rFonts w:eastAsia="Calibri"/>
          <w:lang w:eastAsia="en-US"/>
        </w:rPr>
        <w:t>as endocrine disruptor</w:t>
      </w:r>
      <w:r w:rsidR="00A354DB">
        <w:rPr>
          <w:rFonts w:eastAsia="Calibri"/>
          <w:lang w:eastAsia="en-US"/>
        </w:rPr>
        <w:t>s</w:t>
      </w:r>
      <w:r w:rsidRPr="003B765C">
        <w:rPr>
          <w:rFonts w:eastAsia="Calibri"/>
          <w:lang w:eastAsia="en-US"/>
        </w:rPr>
        <w:t xml:space="preserve"> </w:t>
      </w:r>
      <w:r>
        <w:rPr>
          <w:rFonts w:eastAsia="Calibri"/>
          <w:lang w:eastAsia="en-US"/>
        </w:rPr>
        <w:t xml:space="preserve">for the environment </w:t>
      </w:r>
      <w:r w:rsidRPr="003B765C">
        <w:rPr>
          <w:rFonts w:eastAsia="Calibri"/>
          <w:lang w:eastAsia="en-US"/>
        </w:rPr>
        <w:t xml:space="preserve">according to the OECD guidance document (OECD, </w:t>
      </w:r>
      <w:r w:rsidRPr="003B765C">
        <w:rPr>
          <w:rFonts w:eastAsia="Calibri"/>
          <w:lang w:eastAsia="en-US"/>
        </w:rPr>
        <w:lastRenderedPageBreak/>
        <w:t>2012)</w:t>
      </w:r>
      <w:r>
        <w:rPr>
          <w:rFonts w:eastAsia="Calibri"/>
          <w:lang w:eastAsia="en-US"/>
        </w:rPr>
        <w:t xml:space="preserve"> and </w:t>
      </w:r>
      <w:r w:rsidRPr="003B765C">
        <w:rPr>
          <w:rFonts w:eastAsia="Calibri"/>
          <w:lang w:eastAsia="en-US"/>
        </w:rPr>
        <w:t xml:space="preserve">the WHO/IPCS definition for endocrine disrupters. </w:t>
      </w:r>
    </w:p>
    <w:p w14:paraId="32500A63" w14:textId="77777777" w:rsidR="009078B5" w:rsidRPr="003B765C" w:rsidRDefault="009078B5" w:rsidP="009078B5">
      <w:pPr>
        <w:pStyle w:val="NoSpacing"/>
        <w:ind w:left="1304"/>
        <w:jc w:val="both"/>
        <w:rPr>
          <w:rFonts w:eastAsia="Calibri"/>
          <w:lang w:eastAsia="en-US"/>
        </w:rPr>
      </w:pPr>
    </w:p>
    <w:p w14:paraId="43AB4524" w14:textId="4552A137" w:rsidR="009078B5" w:rsidRPr="003B765C" w:rsidRDefault="009078B5" w:rsidP="009078B5">
      <w:pPr>
        <w:pStyle w:val="NoSpacing"/>
        <w:ind w:left="1304"/>
        <w:jc w:val="both"/>
        <w:rPr>
          <w:rFonts w:eastAsia="Calibri"/>
          <w:lang w:eastAsia="en-US"/>
        </w:rPr>
      </w:pPr>
      <w:r w:rsidRPr="003B765C">
        <w:rPr>
          <w:rFonts w:eastAsia="Calibri"/>
          <w:lang w:eastAsia="en-US"/>
        </w:rPr>
        <w:t xml:space="preserve">4-HPbl </w:t>
      </w:r>
      <w:r w:rsidR="00A354DB">
        <w:rPr>
          <w:rFonts w:eastAsia="Calibri"/>
          <w:lang w:eastAsia="en-US"/>
        </w:rPr>
        <w:t>are</w:t>
      </w:r>
      <w:r w:rsidR="00A354DB" w:rsidRPr="003B765C">
        <w:rPr>
          <w:rFonts w:eastAsia="Calibri"/>
          <w:lang w:eastAsia="en-US"/>
        </w:rPr>
        <w:t xml:space="preserve"> </w:t>
      </w:r>
      <w:r w:rsidRPr="003B765C">
        <w:rPr>
          <w:rFonts w:eastAsia="Calibri"/>
          <w:lang w:eastAsia="en-US"/>
        </w:rPr>
        <w:t>assessed as substance</w:t>
      </w:r>
      <w:r>
        <w:rPr>
          <w:rFonts w:eastAsia="Calibri"/>
          <w:lang w:eastAsia="en-US"/>
        </w:rPr>
        <w:t>s</w:t>
      </w:r>
      <w:r w:rsidRPr="003B765C">
        <w:rPr>
          <w:rFonts w:eastAsia="Calibri"/>
          <w:lang w:eastAsia="en-US"/>
        </w:rPr>
        <w:t xml:space="preserve"> </w:t>
      </w:r>
      <w:r w:rsidRPr="000A2AA9">
        <w:rPr>
          <w:rFonts w:eastAsia="Calibri"/>
          <w:lang w:eastAsia="en-US"/>
        </w:rPr>
        <w:t>giving rise to an equivalent level of concern</w:t>
      </w:r>
      <w:r w:rsidRPr="003B765C">
        <w:rPr>
          <w:rFonts w:eastAsia="Calibri"/>
          <w:lang w:eastAsia="en-US"/>
        </w:rPr>
        <w:t xml:space="preserve"> due to </w:t>
      </w:r>
      <w:r>
        <w:rPr>
          <w:rFonts w:eastAsia="Calibri"/>
          <w:lang w:eastAsia="en-US"/>
        </w:rPr>
        <w:t>their</w:t>
      </w:r>
      <w:r w:rsidRPr="003B765C">
        <w:rPr>
          <w:rFonts w:eastAsia="Calibri"/>
          <w:lang w:eastAsia="en-US"/>
        </w:rPr>
        <w:t xml:space="preserve"> estrogenic mode of action and the type of effects caused by this mode of action (e.g. shift in sex ratio). </w:t>
      </w:r>
    </w:p>
    <w:p w14:paraId="1C88535E" w14:textId="77777777" w:rsidR="009078B5" w:rsidRPr="00B32D02" w:rsidRDefault="009078B5" w:rsidP="009078B5">
      <w:pPr>
        <w:pStyle w:val="NoSpacing"/>
        <w:numPr>
          <w:ilvl w:val="0"/>
          <w:numId w:val="27"/>
        </w:numPr>
        <w:ind w:left="2024"/>
        <w:jc w:val="both"/>
        <w:rPr>
          <w:lang w:val="en-US"/>
        </w:rPr>
      </w:pPr>
      <w:r w:rsidRPr="00652AE7">
        <w:t xml:space="preserve">At 1 µg/L </w:t>
      </w:r>
      <w:r>
        <w:t>the</w:t>
      </w:r>
      <w:r w:rsidRPr="00652AE7">
        <w:t xml:space="preserve"> ratio </w:t>
      </w:r>
      <w:r>
        <w:t>of male fish w</w:t>
      </w:r>
      <w:r w:rsidRPr="00652AE7">
        <w:t>as significantly decreased</w:t>
      </w:r>
      <w:r>
        <w:t xml:space="preserve"> and intersex fish appeared. At </w:t>
      </w:r>
      <w:r w:rsidRPr="00652AE7">
        <w:t xml:space="preserve">10 µg/L the ratio of female fish was significantly increased to </w:t>
      </w:r>
      <w:r w:rsidRPr="00B32D02">
        <w:t xml:space="preserve">approximately 75% while at 200 µg/L approximately 100% fish were female. These effects remained </w:t>
      </w:r>
      <w:r w:rsidRPr="00B32D02">
        <w:rPr>
          <w:lang w:val="en-US"/>
        </w:rPr>
        <w:t>manifest even after the exposure had ceased underlining that exposure during sensitive life stages may change the endocrine feedback system for the entire life.</w:t>
      </w:r>
    </w:p>
    <w:p w14:paraId="34F2F618" w14:textId="77777777" w:rsidR="009078B5" w:rsidRPr="00B32D02" w:rsidRDefault="009078B5" w:rsidP="009078B5">
      <w:pPr>
        <w:pStyle w:val="NoSpacing"/>
        <w:numPr>
          <w:ilvl w:val="0"/>
          <w:numId w:val="27"/>
        </w:numPr>
        <w:ind w:left="2024"/>
        <w:jc w:val="both"/>
        <w:rPr>
          <w:lang w:val="en-US"/>
        </w:rPr>
      </w:pPr>
      <w:r w:rsidRPr="00B32D02">
        <w:rPr>
          <w:lang w:val="en-US"/>
        </w:rPr>
        <w:t>On the basis of the available data for 4-HPbl itself and from read across, it appears difficult to derive a safe level although it may exist. A read-across from 4-</w:t>
      </w:r>
      <w:r w:rsidRPr="00B32D02">
        <w:rPr>
          <w:i/>
          <w:lang w:val="en-US"/>
        </w:rPr>
        <w:t>tert</w:t>
      </w:r>
      <w:r w:rsidRPr="00B32D02">
        <w:rPr>
          <w:lang w:val="en-US"/>
        </w:rPr>
        <w:t xml:space="preserve">-octylphenol and 4-nonylphenol indicates that </w:t>
      </w:r>
    </w:p>
    <w:p w14:paraId="67D7D25B" w14:textId="77777777" w:rsidR="009078B5" w:rsidRPr="00B32D02" w:rsidRDefault="009078B5" w:rsidP="009078B5">
      <w:pPr>
        <w:pStyle w:val="NoSpacing"/>
        <w:numPr>
          <w:ilvl w:val="2"/>
          <w:numId w:val="27"/>
        </w:numPr>
        <w:ind w:left="3005" w:hanging="283"/>
        <w:jc w:val="both"/>
        <w:rPr>
          <w:lang w:val="en-US"/>
        </w:rPr>
      </w:pPr>
      <w:r w:rsidRPr="00B32D02">
        <w:rPr>
          <w:lang w:val="en-US"/>
        </w:rPr>
        <w:t>Effects on non-traditional endpoints may start at much lower concentrations than those considered in the OECD test guidelines.</w:t>
      </w:r>
    </w:p>
    <w:p w14:paraId="5DADCC84" w14:textId="77777777" w:rsidR="009078B5" w:rsidRPr="00B32D02" w:rsidRDefault="009078B5" w:rsidP="009078B5">
      <w:pPr>
        <w:pStyle w:val="NoSpacing"/>
        <w:ind w:left="1304"/>
        <w:jc w:val="both"/>
        <w:rPr>
          <w:lang w:val="en-US"/>
        </w:rPr>
      </w:pPr>
    </w:p>
    <w:p w14:paraId="6F8BCD86" w14:textId="77777777" w:rsidR="009078B5" w:rsidRPr="00DE1898" w:rsidRDefault="009078B5" w:rsidP="009078B5">
      <w:pPr>
        <w:pStyle w:val="NoSpacing"/>
        <w:numPr>
          <w:ilvl w:val="2"/>
          <w:numId w:val="27"/>
        </w:numPr>
        <w:spacing w:after="120"/>
        <w:ind w:left="3006" w:hanging="284"/>
        <w:jc w:val="both"/>
        <w:rPr>
          <w:lang w:val="en-US"/>
        </w:rPr>
      </w:pPr>
      <w:r w:rsidRPr="00B32D02">
        <w:rPr>
          <w:lang w:val="en-US"/>
        </w:rPr>
        <w:t>It is not possible to clearly conclude that effects on other organisms such as invertebrates and amphibians are endocrine mediated, although steroids are known to play an important role in both invertebrates (Kendall et al., 1998) and amphibians (Kortenkamp et al., 2012). Owing to the lack of in depth knowledge of their endocrine system and the lack of test systems, it is currently difficult to estimate which species may be more sensitive than fish and which concentration can be regarded as safe for the environment.</w:t>
      </w:r>
    </w:p>
    <w:p w14:paraId="61588B42" w14:textId="77777777" w:rsidR="009078B5" w:rsidRPr="005521E6" w:rsidRDefault="009078B5" w:rsidP="009078B5">
      <w:pPr>
        <w:pStyle w:val="NoSpacing"/>
        <w:numPr>
          <w:ilvl w:val="0"/>
          <w:numId w:val="27"/>
        </w:numPr>
        <w:ind w:left="2024"/>
        <w:jc w:val="both"/>
      </w:pPr>
      <w:r w:rsidRPr="00B32D02">
        <w:t>Read across of the effects observed for the similar alkylphenols 4-nonylphenol and 4-</w:t>
      </w:r>
      <w:r w:rsidRPr="002C2C03">
        <w:rPr>
          <w:i/>
        </w:rPr>
        <w:t>tert</w:t>
      </w:r>
      <w:r w:rsidRPr="00B32D02">
        <w:t>-octylphenol shows that exposure during sensitive life stages may result in effects that remain during the entire life and even in the following generations. Thus local exposure of migra</w:t>
      </w:r>
      <w:r w:rsidRPr="005521E6">
        <w:t>tory species might not only locally affect population stability but also in other areas.</w:t>
      </w:r>
    </w:p>
    <w:p w14:paraId="1CE34D4D" w14:textId="77777777" w:rsidR="009078B5" w:rsidRDefault="009078B5" w:rsidP="009078B5">
      <w:pPr>
        <w:pStyle w:val="NoSpacing"/>
        <w:ind w:left="1304"/>
        <w:jc w:val="both"/>
        <w:rPr>
          <w:rFonts w:eastAsia="Calibri"/>
          <w:lang w:eastAsia="en-US"/>
        </w:rPr>
      </w:pPr>
    </w:p>
    <w:p w14:paraId="57195325" w14:textId="77777777" w:rsidR="009078B5" w:rsidRPr="006F2E8E" w:rsidRDefault="009078B5" w:rsidP="009078B5">
      <w:pPr>
        <w:widowControl/>
        <w:autoSpaceDE w:val="0"/>
        <w:autoSpaceDN w:val="0"/>
        <w:adjustRightInd w:val="0"/>
        <w:spacing w:after="120"/>
        <w:ind w:left="1304"/>
        <w:jc w:val="both"/>
        <w:rPr>
          <w:lang w:val="en-US" w:eastAsia="en-US"/>
        </w:rPr>
      </w:pPr>
      <w:r w:rsidRPr="00DE1898">
        <w:rPr>
          <w:lang w:val="en-US" w:eastAsia="en-US"/>
        </w:rPr>
        <w:t xml:space="preserve">Thus in summary, the endocrine mediated effects observed in fish after exposure to 4-HPbl and anticipated on the basis of read-across from other alkylphenols are considered to have the potential to adversely affect population stability and recruitment. These adverse effects not only persist after cease of exposure but also occur after exposure at sensitive live stages. They thus may adversely affect populations in the longer-term and migratory species not only locally but also in regions where no exposure occurred. </w:t>
      </w:r>
      <w:r w:rsidRPr="0057231B">
        <w:rPr>
          <w:rFonts w:cs="Arial"/>
          <w:szCs w:val="24"/>
          <w:lang w:eastAsia="en-US"/>
        </w:rPr>
        <w:t>No reliable information is available for 4-HPbl about whether it can cause ED-related adverse effects on taxa other than fish. 4-tert-Octylphenol and 4-nonylphenol cause effects in amphibians and invertebrates that might be endocrine mediated, i.e. caused by an estrogen-like mode of action, although it is not possible to clearly conclude that they are endocrine mediated.  Similar effects may be caused by 4-HPbl, but there are no confirmatory data.</w:t>
      </w:r>
      <w:r w:rsidRPr="00DE1898">
        <w:rPr>
          <w:rFonts w:ascii="Arial" w:hAnsi="Arial" w:cs="Arial"/>
          <w:szCs w:val="24"/>
          <w:lang w:eastAsia="en-US"/>
        </w:rPr>
        <w:t xml:space="preserve"> </w:t>
      </w:r>
      <w:r w:rsidRPr="00DE1898">
        <w:rPr>
          <w:lang w:val="en-US" w:eastAsia="en-US"/>
        </w:rPr>
        <w:t>Based</w:t>
      </w:r>
      <w:r w:rsidRPr="006F2E8E">
        <w:rPr>
          <w:lang w:val="en-US" w:eastAsia="en-US"/>
        </w:rPr>
        <w:t xml:space="preserve"> on current data and knowledge, a safe level of exposure is difficult to derive although it may exist. </w:t>
      </w:r>
    </w:p>
    <w:p w14:paraId="3851AFB7" w14:textId="70E4D1F6" w:rsidR="00FC7CED" w:rsidRPr="00FC7CED" w:rsidRDefault="009078B5" w:rsidP="009078B5">
      <w:pPr>
        <w:widowControl/>
        <w:autoSpaceDE w:val="0"/>
        <w:autoSpaceDN w:val="0"/>
        <w:adjustRightInd w:val="0"/>
        <w:ind w:left="1304"/>
        <w:jc w:val="both"/>
      </w:pPr>
      <w:r w:rsidRPr="003B765C">
        <w:rPr>
          <w:rFonts w:eastAsia="Calibri"/>
          <w:lang w:eastAsia="en-US"/>
        </w:rPr>
        <w:t>Consequently</w:t>
      </w:r>
      <w:r>
        <w:rPr>
          <w:rFonts w:eastAsia="Calibri"/>
          <w:lang w:eastAsia="en-US"/>
        </w:rPr>
        <w:t>,</w:t>
      </w:r>
      <w:r w:rsidRPr="003B765C">
        <w:rPr>
          <w:rFonts w:eastAsia="Calibri"/>
          <w:lang w:eastAsia="en-US"/>
        </w:rPr>
        <w:t xml:space="preserve"> 4-HPbl </w:t>
      </w:r>
      <w:r>
        <w:rPr>
          <w:rFonts w:eastAsia="Calibri"/>
          <w:lang w:eastAsia="en-US"/>
        </w:rPr>
        <w:t>are</w:t>
      </w:r>
      <w:r w:rsidRPr="003B765C">
        <w:rPr>
          <w:rFonts w:eastAsia="Calibri"/>
          <w:lang w:eastAsia="en-US"/>
        </w:rPr>
        <w:t xml:space="preserve"> considered to </w:t>
      </w:r>
      <w:r>
        <w:rPr>
          <w:rFonts w:eastAsia="Calibri"/>
          <w:lang w:eastAsia="en-US"/>
        </w:rPr>
        <w:t>give rise to</w:t>
      </w:r>
      <w:r w:rsidRPr="003B765C">
        <w:rPr>
          <w:rFonts w:eastAsia="Calibri"/>
          <w:lang w:eastAsia="en-US"/>
        </w:rPr>
        <w:t xml:space="preserve"> an equivalent level of concern to those of othe</w:t>
      </w:r>
      <w:r>
        <w:rPr>
          <w:rFonts w:eastAsia="Calibri"/>
          <w:lang w:eastAsia="en-US"/>
        </w:rPr>
        <w:t>r substances listed in points (a</w:t>
      </w:r>
      <w:r w:rsidRPr="003B765C">
        <w:rPr>
          <w:rFonts w:eastAsia="Calibri"/>
          <w:lang w:eastAsia="en-US"/>
        </w:rPr>
        <w:t xml:space="preserve">) to (e) of Article 57 </w:t>
      </w:r>
      <w:r>
        <w:rPr>
          <w:rFonts w:eastAsia="Calibri"/>
          <w:lang w:eastAsia="en-US"/>
        </w:rPr>
        <w:t xml:space="preserve">of </w:t>
      </w:r>
      <w:r w:rsidRPr="003B765C">
        <w:rPr>
          <w:rFonts w:eastAsia="Calibri"/>
          <w:lang w:eastAsia="en-US"/>
        </w:rPr>
        <w:t>REACH.</w:t>
      </w:r>
      <w:r w:rsidR="00603AE8">
        <w:rPr>
          <w:rFonts w:eastAsia="Calibri"/>
          <w:lang w:eastAsia="en-US"/>
        </w:rPr>
        <w:t>”</w:t>
      </w:r>
    </w:p>
    <w:p w14:paraId="46E94796" w14:textId="77777777" w:rsidR="00FC1FE9" w:rsidRPr="009078B5" w:rsidRDefault="00FC1FE9" w:rsidP="00FC7CED">
      <w:pPr>
        <w:widowControl/>
        <w:autoSpaceDE w:val="0"/>
        <w:autoSpaceDN w:val="0"/>
        <w:adjustRightInd w:val="0"/>
        <w:jc w:val="both"/>
      </w:pPr>
    </w:p>
    <w:p w14:paraId="78C62566" w14:textId="77777777" w:rsidR="00D84241" w:rsidRDefault="00D84241" w:rsidP="009078B5">
      <w:pPr>
        <w:pStyle w:val="BodyText"/>
        <w:spacing w:after="0"/>
        <w:jc w:val="both"/>
      </w:pPr>
    </w:p>
    <w:p w14:paraId="6468C973" w14:textId="614323FB" w:rsidR="009078B5" w:rsidRDefault="009078B5" w:rsidP="009078B5">
      <w:pPr>
        <w:pStyle w:val="BodyText"/>
        <w:spacing w:after="0"/>
        <w:jc w:val="both"/>
      </w:pPr>
      <w:r>
        <w:t>Therefore, r</w:t>
      </w:r>
      <w:r>
        <w:rPr>
          <w:color w:val="000000"/>
        </w:rPr>
        <w:t xml:space="preserve">eaction products of 1,3,4-thiadiazolidine-2,5-dithione, formaldehyde and 4-heptylphenol, branched and linear (RP-HP) </w:t>
      </w:r>
      <w:r w:rsidRPr="004C169A">
        <w:rPr>
          <w:rStyle w:val="Strong"/>
          <w:b w:val="0"/>
          <w:bCs/>
        </w:rPr>
        <w:t>with ≥0.1%</w:t>
      </w:r>
      <w:r w:rsidR="005B32BA" w:rsidRPr="005B32BA">
        <w:rPr>
          <w:rStyle w:val="FootnoteReference"/>
          <w:rFonts w:ascii="Verdana" w:hAnsi="Verdana"/>
          <w:sz w:val="20"/>
        </w:rPr>
        <w:footnoteReference w:id="4"/>
      </w:r>
      <w:r w:rsidRPr="004C169A">
        <w:rPr>
          <w:rStyle w:val="Strong"/>
          <w:b w:val="0"/>
          <w:bCs/>
        </w:rPr>
        <w:t xml:space="preserve"> w/w 4-heptylphenol, branched and linear</w:t>
      </w:r>
      <w:r w:rsidR="00CF3C77">
        <w:rPr>
          <w:rStyle w:val="Strong"/>
          <w:b w:val="0"/>
          <w:bCs/>
        </w:rPr>
        <w:t>,</w:t>
      </w:r>
      <w:r w:rsidRPr="004C169A">
        <w:rPr>
          <w:b/>
          <w:lang w:eastAsia="en-US"/>
        </w:rPr>
        <w:t xml:space="preserve"> </w:t>
      </w:r>
      <w:r>
        <w:t xml:space="preserve">shall likewise be identified as substances of very high concern due to </w:t>
      </w:r>
      <w:r w:rsidR="005B32BA">
        <w:t>their</w:t>
      </w:r>
      <w:r>
        <w:t xml:space="preserve"> endocrine </w:t>
      </w:r>
      <w:r>
        <w:lastRenderedPageBreak/>
        <w:t xml:space="preserve">disrupting properties in the environment. </w:t>
      </w:r>
    </w:p>
    <w:p w14:paraId="2C747270" w14:textId="77777777" w:rsidR="00FC1FE9" w:rsidRPr="009078B5" w:rsidRDefault="00FC1FE9" w:rsidP="00B12C39">
      <w:pPr>
        <w:jc w:val="both"/>
        <w:rPr>
          <w:rFonts w:cs="Verdana"/>
          <w:lang w:eastAsia="en-GB"/>
        </w:rPr>
      </w:pPr>
    </w:p>
    <w:p w14:paraId="0A56F4B4" w14:textId="77777777" w:rsidR="00C07CEF" w:rsidRPr="009078B5" w:rsidRDefault="00C07CEF" w:rsidP="00B12C39">
      <w:pPr>
        <w:jc w:val="both"/>
        <w:rPr>
          <w:rStyle w:val="Strong"/>
          <w:b w:val="0"/>
          <w:bCs/>
          <w:i/>
        </w:rPr>
      </w:pPr>
    </w:p>
    <w:p w14:paraId="44F651D7" w14:textId="77777777" w:rsidR="00B12C39" w:rsidRPr="009078B5" w:rsidRDefault="00B12C39" w:rsidP="00B12C39">
      <w:pPr>
        <w:jc w:val="both"/>
        <w:rPr>
          <w:rStyle w:val="Strong"/>
          <w:b w:val="0"/>
          <w:bCs/>
        </w:rPr>
      </w:pPr>
    </w:p>
    <w:p w14:paraId="7494B1AB" w14:textId="77777777" w:rsidR="00236584" w:rsidRDefault="00B12C39" w:rsidP="00907F94">
      <w:pPr>
        <w:widowControl/>
        <w:jc w:val="both"/>
        <w:rPr>
          <w:rStyle w:val="Strong"/>
          <w:bCs/>
        </w:rPr>
      </w:pPr>
      <w:r w:rsidRPr="00236584">
        <w:rPr>
          <w:rStyle w:val="Strong"/>
          <w:bCs/>
        </w:rPr>
        <w:t>Registration dossiers submitted for substance</w:t>
      </w:r>
      <w:r w:rsidR="00BD2C2B" w:rsidRPr="00236584">
        <w:rPr>
          <w:rStyle w:val="Strong"/>
          <w:bCs/>
        </w:rPr>
        <w:t>s belonging to this group entry</w:t>
      </w:r>
      <w:r w:rsidRPr="00236584">
        <w:rPr>
          <w:rStyle w:val="Strong"/>
          <w:bCs/>
        </w:rPr>
        <w:t xml:space="preserve">? </w:t>
      </w:r>
    </w:p>
    <w:p w14:paraId="1A2351C3" w14:textId="4A804F54" w:rsidR="0073502B" w:rsidRPr="00837FC5" w:rsidRDefault="00EB108C" w:rsidP="00907F94">
      <w:pPr>
        <w:widowControl/>
        <w:jc w:val="both"/>
        <w:rPr>
          <w:rStyle w:val="Strong"/>
          <w:b w:val="0"/>
        </w:rPr>
      </w:pPr>
      <w:r w:rsidRPr="00236584">
        <w:rPr>
          <w:rStyle w:val="Strong"/>
          <w:b w:val="0"/>
          <w:bCs/>
        </w:rPr>
        <w:t>Yes</w:t>
      </w:r>
      <w:r w:rsidR="00C7578F" w:rsidRPr="00236584">
        <w:rPr>
          <w:rStyle w:val="Strong"/>
          <w:b w:val="0"/>
          <w:bCs/>
        </w:rPr>
        <w:t xml:space="preserve">, for the </w:t>
      </w:r>
      <w:r w:rsidR="00BD2C2B" w:rsidRPr="00236584">
        <w:rPr>
          <w:rStyle w:val="Strong"/>
          <w:b w:val="0"/>
          <w:bCs/>
        </w:rPr>
        <w:t>substance identified by the registrant using the chemical name “</w:t>
      </w:r>
      <w:r w:rsidR="00C7578F" w:rsidRPr="00236584">
        <w:rPr>
          <w:rStyle w:val="Strong"/>
          <w:b w:val="0"/>
          <w:bCs/>
        </w:rPr>
        <w:t xml:space="preserve">reaction product </w:t>
      </w:r>
      <w:r w:rsidR="00C7578F" w:rsidRPr="00236584">
        <w:t>of 1,3,4-thiadiazolidine-2,5-dithione, formaldehyde and phenol, heptyl derivs</w:t>
      </w:r>
      <w:r w:rsidR="000B3423" w:rsidRPr="00236584">
        <w:t>.</w:t>
      </w:r>
      <w:r w:rsidR="00236584">
        <w:t>”</w:t>
      </w:r>
      <w:r w:rsidR="00BD2C2B" w:rsidRPr="00236584">
        <w:t xml:space="preserve"> It should be noted that </w:t>
      </w:r>
      <w:r w:rsidR="00907F94" w:rsidRPr="00236584">
        <w:t xml:space="preserve">only one </w:t>
      </w:r>
      <w:r w:rsidR="000B3423" w:rsidRPr="00236584">
        <w:t>starting material</w:t>
      </w:r>
      <w:r w:rsidR="00907F94" w:rsidRPr="00236584">
        <w:t xml:space="preserve"> </w:t>
      </w:r>
      <w:r w:rsidR="00F546F7">
        <w:t xml:space="preserve">consisting of </w:t>
      </w:r>
      <w:r w:rsidR="00907F94" w:rsidRPr="00236584">
        <w:t xml:space="preserve">4-heptylphenol, branched and linear has been registered. This </w:t>
      </w:r>
      <w:r w:rsidR="000B3423" w:rsidRPr="00236584">
        <w:t>starting material</w:t>
      </w:r>
      <w:r w:rsidR="00C7578F" w:rsidRPr="00236584">
        <w:t xml:space="preserve"> </w:t>
      </w:r>
      <w:r w:rsidR="00907F94" w:rsidRPr="00236584">
        <w:t xml:space="preserve">has been identified by the registrant as </w:t>
      </w:r>
      <w:r w:rsidR="00907F94" w:rsidRPr="00236584">
        <w:rPr>
          <w:rStyle w:val="Strong"/>
          <w:b w:val="0"/>
          <w:bCs/>
        </w:rPr>
        <w:t>“</w:t>
      </w:r>
      <w:r w:rsidR="0073502B" w:rsidRPr="00236584">
        <w:rPr>
          <w:rStyle w:val="Strong"/>
          <w:b w:val="0"/>
          <w:bCs/>
        </w:rPr>
        <w:t>phenol, heptyl derivs.</w:t>
      </w:r>
      <w:r w:rsidR="00907F94" w:rsidRPr="00236584">
        <w:rPr>
          <w:rStyle w:val="Strong"/>
          <w:b w:val="0"/>
          <w:bCs/>
        </w:rPr>
        <w:t>”</w:t>
      </w:r>
      <w:r w:rsidR="0073502B" w:rsidRPr="00236584">
        <w:rPr>
          <w:rStyle w:val="Strong"/>
          <w:b w:val="0"/>
          <w:bCs/>
        </w:rPr>
        <w:t xml:space="preserve"> (EC No. 276-743-1).</w:t>
      </w:r>
    </w:p>
    <w:p w14:paraId="58045292" w14:textId="77777777" w:rsidR="0073502B" w:rsidRPr="00C7578F" w:rsidRDefault="0073502B" w:rsidP="009C4BF4">
      <w:pPr>
        <w:widowControl/>
        <w:jc w:val="both"/>
        <w:rPr>
          <w:rStyle w:val="Strong"/>
          <w:bCs/>
        </w:rPr>
      </w:pPr>
    </w:p>
    <w:p w14:paraId="27D8B4F9" w14:textId="66719643" w:rsidR="00B12C39" w:rsidRPr="00776E64" w:rsidRDefault="00B12C39" w:rsidP="00776E64">
      <w:pPr>
        <w:pStyle w:val="Title"/>
        <w:numPr>
          <w:ilvl w:val="0"/>
          <w:numId w:val="0"/>
        </w:numPr>
        <w:jc w:val="center"/>
        <w:rPr>
          <w:sz w:val="32"/>
        </w:rPr>
      </w:pPr>
      <w:r>
        <w:br w:type="page"/>
      </w:r>
      <w:bookmarkStart w:id="16" w:name="_Toc316637274"/>
      <w:bookmarkStart w:id="17" w:name="_Toc341888501"/>
      <w:bookmarkStart w:id="18" w:name="_Toc342400355"/>
      <w:bookmarkStart w:id="19" w:name="_Toc357184189"/>
      <w:bookmarkStart w:id="20" w:name="_Toc357184425"/>
      <w:bookmarkStart w:id="21" w:name="_Toc357185226"/>
      <w:bookmarkStart w:id="22" w:name="_Toc357186074"/>
      <w:bookmarkStart w:id="23" w:name="_Toc357186223"/>
      <w:bookmarkStart w:id="24" w:name="_Toc357437509"/>
      <w:bookmarkStart w:id="25" w:name="_Toc357590782"/>
      <w:bookmarkStart w:id="26" w:name="_Toc357692814"/>
      <w:bookmarkStart w:id="27" w:name="_Toc365649641"/>
      <w:bookmarkStart w:id="28" w:name="_Toc365649790"/>
      <w:bookmarkStart w:id="29" w:name="_Toc366489842"/>
      <w:bookmarkStart w:id="30" w:name="_Toc418498547"/>
      <w:bookmarkStart w:id="31" w:name="_Toc418505990"/>
      <w:bookmarkStart w:id="32" w:name="_Toc491786388"/>
      <w:r w:rsidRPr="00CD2F3D">
        <w:rPr>
          <w:sz w:val="32"/>
        </w:rPr>
        <w:lastRenderedPageBreak/>
        <w:t>PART I</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31E8EB8" w14:textId="2E9E6AB9" w:rsidR="00E56BD3" w:rsidRPr="00776E64" w:rsidRDefault="00B12C39" w:rsidP="00776E64">
      <w:pPr>
        <w:pStyle w:val="Title"/>
        <w:numPr>
          <w:ilvl w:val="0"/>
          <w:numId w:val="0"/>
        </w:numPr>
        <w:jc w:val="center"/>
        <w:rPr>
          <w:sz w:val="32"/>
        </w:rPr>
      </w:pPr>
      <w:bookmarkStart w:id="33" w:name="_Toc316637275"/>
      <w:bookmarkStart w:id="34" w:name="_Toc341888502"/>
      <w:bookmarkStart w:id="35" w:name="_Toc342400356"/>
      <w:bookmarkStart w:id="36" w:name="_Toc357185227"/>
      <w:bookmarkStart w:id="37" w:name="_Toc357186075"/>
      <w:bookmarkStart w:id="38" w:name="_Toc357186224"/>
      <w:bookmarkStart w:id="39" w:name="_Toc357437510"/>
      <w:bookmarkStart w:id="40" w:name="_Toc357590783"/>
      <w:bookmarkStart w:id="41" w:name="_Toc357692815"/>
      <w:bookmarkStart w:id="42" w:name="_Toc365649642"/>
      <w:bookmarkStart w:id="43" w:name="_Toc365649791"/>
      <w:bookmarkStart w:id="44" w:name="_Toc366489843"/>
      <w:bookmarkStart w:id="45" w:name="_Toc418498548"/>
      <w:bookmarkStart w:id="46" w:name="_Toc418505991"/>
      <w:bookmarkStart w:id="47" w:name="_Toc491786389"/>
      <w:r w:rsidRPr="00DD36C7">
        <w:rPr>
          <w:sz w:val="32"/>
        </w:rPr>
        <w:t>Justification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1419557" w14:textId="62339058" w:rsidR="00B12C39" w:rsidRPr="00776E64" w:rsidRDefault="00B12C39" w:rsidP="00B12C39">
      <w:pPr>
        <w:pStyle w:val="Heading1"/>
        <w:ind w:left="426" w:hanging="426"/>
      </w:pPr>
      <w:bookmarkStart w:id="48" w:name="_Toc341888503"/>
      <w:bookmarkStart w:id="49" w:name="_Toc342400357"/>
      <w:bookmarkStart w:id="50" w:name="_Toc354499568"/>
      <w:bookmarkStart w:id="51" w:name="_Toc357083641"/>
      <w:bookmarkStart w:id="52" w:name="_Toc357184190"/>
      <w:bookmarkStart w:id="53" w:name="_Toc357184426"/>
      <w:bookmarkStart w:id="54" w:name="_Toc357185228"/>
      <w:bookmarkStart w:id="55" w:name="_Toc357186076"/>
      <w:bookmarkStart w:id="56" w:name="_Toc357186225"/>
      <w:bookmarkStart w:id="57" w:name="_Toc357437511"/>
      <w:bookmarkStart w:id="58" w:name="_Toc357590784"/>
      <w:bookmarkStart w:id="59" w:name="_Toc357692816"/>
      <w:bookmarkStart w:id="60" w:name="_Toc365649643"/>
      <w:bookmarkStart w:id="61" w:name="_Toc365649792"/>
      <w:bookmarkStart w:id="62" w:name="_Toc366489844"/>
      <w:bookmarkStart w:id="63" w:name="_Toc418498549"/>
      <w:bookmarkStart w:id="64" w:name="_Toc418505992"/>
      <w:bookmarkStart w:id="65" w:name="_Toc491786390"/>
      <w:r w:rsidRPr="004C7600">
        <w:t>Identity of the substance and physical and chemical properties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C0B09D7" w14:textId="77777777" w:rsidR="00B12C39" w:rsidRDefault="00B12C39" w:rsidP="00BB6734">
      <w:pPr>
        <w:pStyle w:val="Heading2"/>
        <w:numPr>
          <w:ilvl w:val="1"/>
          <w:numId w:val="1"/>
        </w:numPr>
        <w:tabs>
          <w:tab w:val="clear" w:pos="360"/>
          <w:tab w:val="num" w:pos="0"/>
        </w:tabs>
      </w:pPr>
      <w:bookmarkStart w:id="66" w:name="_Toc341888504"/>
      <w:bookmarkStart w:id="67" w:name="_Toc342400358"/>
      <w:bookmarkStart w:id="68" w:name="_Toc354499569"/>
      <w:bookmarkStart w:id="69" w:name="_Toc357083642"/>
      <w:bookmarkStart w:id="70" w:name="_Toc357184191"/>
      <w:bookmarkStart w:id="71" w:name="_Toc357184427"/>
      <w:bookmarkStart w:id="72" w:name="_Toc357185229"/>
      <w:bookmarkStart w:id="73" w:name="_Toc357186077"/>
      <w:bookmarkStart w:id="74" w:name="_Toc357186226"/>
      <w:bookmarkStart w:id="75" w:name="_Toc357437512"/>
      <w:bookmarkStart w:id="76" w:name="_Toc357590785"/>
      <w:bookmarkStart w:id="77" w:name="_Toc357692817"/>
      <w:bookmarkStart w:id="78" w:name="_Toc365649644"/>
      <w:bookmarkStart w:id="79" w:name="_Toc365649793"/>
      <w:bookmarkStart w:id="80" w:name="_Toc366489845"/>
      <w:bookmarkStart w:id="81" w:name="_Toc418498550"/>
      <w:bookmarkStart w:id="82" w:name="_Toc418505993"/>
      <w:bookmarkStart w:id="83" w:name="_Toc491786391"/>
      <w:r w:rsidRPr="007B2537">
        <w:t>Name and other identifiers of the substance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0E8551C7" w14:textId="77777777" w:rsidR="00B12C39" w:rsidRPr="008D0DBB" w:rsidRDefault="00B12C39" w:rsidP="00C860C0">
      <w:pPr>
        <w:pStyle w:val="Caption"/>
        <w:rPr>
          <w:b/>
          <w:sz w:val="18"/>
          <w:szCs w:val="18"/>
        </w:rPr>
      </w:pPr>
      <w:bookmarkStart w:id="84" w:name="_Toc341889781"/>
      <w:bookmarkStart w:id="85" w:name="_Toc357184842"/>
      <w:bookmarkStart w:id="86" w:name="_Toc359563693"/>
      <w:bookmarkStart w:id="87" w:name="_Toc365030502"/>
      <w:bookmarkStart w:id="88" w:name="_Toc491786613"/>
      <w:r w:rsidRPr="008D0DBB">
        <w:rPr>
          <w:b/>
          <w:sz w:val="18"/>
          <w:szCs w:val="18"/>
        </w:rPr>
        <w:t xml:space="preserve">Table </w:t>
      </w:r>
      <w:r w:rsidR="000721AD" w:rsidRPr="008D0DBB">
        <w:rPr>
          <w:b/>
          <w:sz w:val="18"/>
          <w:szCs w:val="18"/>
        </w:rPr>
        <w:fldChar w:fldCharType="begin"/>
      </w:r>
      <w:r w:rsidRPr="008D0DBB">
        <w:rPr>
          <w:b/>
          <w:sz w:val="18"/>
          <w:szCs w:val="18"/>
        </w:rPr>
        <w:instrText xml:space="preserve"> SEQ Table \* ARABIC </w:instrText>
      </w:r>
      <w:r w:rsidR="000721AD" w:rsidRPr="008D0DBB">
        <w:rPr>
          <w:b/>
          <w:sz w:val="18"/>
          <w:szCs w:val="18"/>
        </w:rPr>
        <w:fldChar w:fldCharType="separate"/>
      </w:r>
      <w:r w:rsidR="00190FD3">
        <w:rPr>
          <w:b/>
          <w:noProof/>
          <w:sz w:val="18"/>
          <w:szCs w:val="18"/>
        </w:rPr>
        <w:t>1</w:t>
      </w:r>
      <w:r w:rsidR="000721AD" w:rsidRPr="008D0DBB">
        <w:rPr>
          <w:b/>
          <w:sz w:val="18"/>
          <w:szCs w:val="18"/>
        </w:rPr>
        <w:fldChar w:fldCharType="end"/>
      </w:r>
      <w:r w:rsidRPr="008D0DBB">
        <w:rPr>
          <w:b/>
          <w:sz w:val="18"/>
          <w:szCs w:val="18"/>
        </w:rPr>
        <w:t xml:space="preserve">: </w:t>
      </w:r>
      <w:r w:rsidRPr="00776E64">
        <w:rPr>
          <w:b/>
          <w:sz w:val="18"/>
          <w:szCs w:val="18"/>
        </w:rPr>
        <w:t>Substance identity</w:t>
      </w:r>
      <w:bookmarkEnd w:id="84"/>
      <w:bookmarkEnd w:id="85"/>
      <w:bookmarkEnd w:id="86"/>
      <w:bookmarkEnd w:id="87"/>
      <w:bookmarkEnd w:id="88"/>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18"/>
        <w:gridCol w:w="5137"/>
      </w:tblGrid>
      <w:tr w:rsidR="00B12C39" w:rsidRPr="00F026DE" w14:paraId="68996055" w14:textId="77777777">
        <w:trPr>
          <w:trHeight w:val="363"/>
        </w:trPr>
        <w:tc>
          <w:tcPr>
            <w:tcW w:w="4518" w:type="dxa"/>
            <w:tcMar>
              <w:top w:w="40" w:type="dxa"/>
              <w:left w:w="40" w:type="dxa"/>
              <w:bottom w:w="40" w:type="dxa"/>
              <w:right w:w="40" w:type="dxa"/>
            </w:tcMar>
          </w:tcPr>
          <w:p w14:paraId="2B9EFC83" w14:textId="77777777" w:rsidR="00B12C39" w:rsidRPr="008D0DBB" w:rsidRDefault="00B12C39" w:rsidP="00B12C39">
            <w:pPr>
              <w:pStyle w:val="TableRowHeader"/>
              <w:rPr>
                <w:sz w:val="18"/>
                <w:szCs w:val="18"/>
              </w:rPr>
            </w:pPr>
            <w:r w:rsidRPr="008D0DBB">
              <w:rPr>
                <w:sz w:val="18"/>
                <w:szCs w:val="18"/>
              </w:rPr>
              <w:t>EC number:</w:t>
            </w:r>
          </w:p>
        </w:tc>
        <w:tc>
          <w:tcPr>
            <w:tcW w:w="5137" w:type="dxa"/>
            <w:tcMar>
              <w:top w:w="40" w:type="dxa"/>
              <w:left w:w="40" w:type="dxa"/>
              <w:bottom w:w="40" w:type="dxa"/>
              <w:right w:w="40" w:type="dxa"/>
            </w:tcMar>
          </w:tcPr>
          <w:p w14:paraId="0D49F06E" w14:textId="6FDC882D" w:rsidR="00B12C39" w:rsidRPr="0099242B" w:rsidRDefault="0099242B" w:rsidP="00DE35FF">
            <w:pPr>
              <w:keepNext/>
              <w:keepLines/>
              <w:widowControl/>
              <w:spacing w:before="54" w:after="54"/>
              <w:jc w:val="both"/>
              <w:rPr>
                <w:sz w:val="18"/>
                <w:szCs w:val="18"/>
                <w:lang w:eastAsia="da-DK"/>
              </w:rPr>
            </w:pPr>
            <w:r>
              <w:rPr>
                <w:sz w:val="18"/>
                <w:szCs w:val="18"/>
                <w:lang w:eastAsia="da-DK"/>
              </w:rPr>
              <w:t xml:space="preserve"> -</w:t>
            </w:r>
          </w:p>
        </w:tc>
      </w:tr>
      <w:tr w:rsidR="00B12C39" w:rsidRPr="00F026DE" w14:paraId="449F5B39" w14:textId="77777777">
        <w:trPr>
          <w:trHeight w:val="371"/>
        </w:trPr>
        <w:tc>
          <w:tcPr>
            <w:tcW w:w="4518" w:type="dxa"/>
            <w:tcMar>
              <w:top w:w="40" w:type="dxa"/>
              <w:left w:w="40" w:type="dxa"/>
              <w:bottom w:w="40" w:type="dxa"/>
              <w:right w:w="40" w:type="dxa"/>
            </w:tcMar>
          </w:tcPr>
          <w:p w14:paraId="5F119BCE" w14:textId="77777777" w:rsidR="00B12C39" w:rsidRPr="008D0DBB" w:rsidRDefault="00B12C39" w:rsidP="00B12C39">
            <w:pPr>
              <w:pStyle w:val="TableRowHeader"/>
              <w:rPr>
                <w:sz w:val="18"/>
                <w:szCs w:val="18"/>
              </w:rPr>
            </w:pPr>
            <w:r w:rsidRPr="008D0DBB">
              <w:rPr>
                <w:sz w:val="18"/>
                <w:szCs w:val="18"/>
              </w:rPr>
              <w:t>EC name:</w:t>
            </w:r>
          </w:p>
        </w:tc>
        <w:tc>
          <w:tcPr>
            <w:tcW w:w="5137" w:type="dxa"/>
            <w:tcMar>
              <w:top w:w="40" w:type="dxa"/>
              <w:left w:w="40" w:type="dxa"/>
              <w:bottom w:w="40" w:type="dxa"/>
              <w:right w:w="40" w:type="dxa"/>
            </w:tcMar>
          </w:tcPr>
          <w:p w14:paraId="41932280" w14:textId="2180C20F" w:rsidR="00B12C39" w:rsidRPr="00B74F3F" w:rsidRDefault="00DE35FF" w:rsidP="00C7578F">
            <w:pPr>
              <w:keepNext/>
              <w:keepLines/>
              <w:widowControl/>
              <w:spacing w:before="54" w:after="54"/>
              <w:ind w:left="113"/>
              <w:rPr>
                <w:sz w:val="18"/>
                <w:szCs w:val="18"/>
                <w:lang w:eastAsia="da-DK"/>
              </w:rPr>
            </w:pPr>
            <w:r>
              <w:t>-</w:t>
            </w:r>
          </w:p>
        </w:tc>
      </w:tr>
      <w:tr w:rsidR="00B12C39" w:rsidRPr="00F026DE" w14:paraId="1A815C0A" w14:textId="77777777">
        <w:trPr>
          <w:trHeight w:val="393"/>
        </w:trPr>
        <w:tc>
          <w:tcPr>
            <w:tcW w:w="4518" w:type="dxa"/>
            <w:tcMar>
              <w:top w:w="40" w:type="dxa"/>
              <w:left w:w="40" w:type="dxa"/>
              <w:bottom w:w="40" w:type="dxa"/>
              <w:right w:w="40" w:type="dxa"/>
            </w:tcMar>
          </w:tcPr>
          <w:p w14:paraId="307B6191" w14:textId="77777777" w:rsidR="00B12C39" w:rsidRPr="008D0DBB" w:rsidRDefault="00B12C39" w:rsidP="00B12C39">
            <w:pPr>
              <w:pStyle w:val="TableRowHeader"/>
              <w:rPr>
                <w:sz w:val="18"/>
                <w:szCs w:val="18"/>
              </w:rPr>
            </w:pPr>
            <w:r w:rsidRPr="008D0DBB">
              <w:rPr>
                <w:sz w:val="18"/>
                <w:szCs w:val="18"/>
              </w:rPr>
              <w:t>CAS number (in the EC inventory):</w:t>
            </w:r>
          </w:p>
        </w:tc>
        <w:tc>
          <w:tcPr>
            <w:tcW w:w="5137" w:type="dxa"/>
            <w:tcMar>
              <w:top w:w="40" w:type="dxa"/>
              <w:left w:w="40" w:type="dxa"/>
              <w:bottom w:w="40" w:type="dxa"/>
              <w:right w:w="40" w:type="dxa"/>
            </w:tcMar>
          </w:tcPr>
          <w:p w14:paraId="085AB293" w14:textId="77777777" w:rsidR="00B12C39" w:rsidRPr="008D0DBB" w:rsidRDefault="004031F3" w:rsidP="00B12C39">
            <w:pPr>
              <w:keepNext/>
              <w:keepLines/>
              <w:widowControl/>
              <w:spacing w:before="54" w:after="54"/>
              <w:ind w:left="113"/>
              <w:jc w:val="both"/>
              <w:rPr>
                <w:sz w:val="18"/>
                <w:szCs w:val="18"/>
                <w:lang w:eastAsia="da-DK"/>
              </w:rPr>
            </w:pPr>
            <w:r>
              <w:rPr>
                <w:sz w:val="18"/>
                <w:szCs w:val="18"/>
                <w:lang w:eastAsia="da-DK"/>
              </w:rPr>
              <w:t>-</w:t>
            </w:r>
          </w:p>
        </w:tc>
      </w:tr>
      <w:tr w:rsidR="00B12C39" w:rsidRPr="00F026DE" w14:paraId="6A0DCBB8" w14:textId="77777777">
        <w:trPr>
          <w:trHeight w:val="760"/>
        </w:trPr>
        <w:tc>
          <w:tcPr>
            <w:tcW w:w="4518" w:type="dxa"/>
            <w:tcMar>
              <w:top w:w="40" w:type="dxa"/>
              <w:left w:w="40" w:type="dxa"/>
              <w:bottom w:w="40" w:type="dxa"/>
              <w:right w:w="40" w:type="dxa"/>
            </w:tcMar>
          </w:tcPr>
          <w:p w14:paraId="6FB4ACAB" w14:textId="77777777" w:rsidR="00B12C39" w:rsidRPr="008D0DBB" w:rsidRDefault="00B12C39" w:rsidP="00B12C39">
            <w:pPr>
              <w:pStyle w:val="TableRowHeader"/>
              <w:rPr>
                <w:sz w:val="18"/>
                <w:szCs w:val="18"/>
              </w:rPr>
            </w:pPr>
            <w:r w:rsidRPr="008D0DBB">
              <w:rPr>
                <w:sz w:val="18"/>
                <w:szCs w:val="18"/>
              </w:rPr>
              <w:t>CAS number:</w:t>
            </w:r>
          </w:p>
          <w:p w14:paraId="01510F71" w14:textId="77777777" w:rsidR="00B12C39" w:rsidRPr="008D0DBB" w:rsidRDefault="00B12C39" w:rsidP="00B12C39">
            <w:pPr>
              <w:pStyle w:val="TableRowHeader"/>
              <w:rPr>
                <w:sz w:val="18"/>
                <w:szCs w:val="18"/>
              </w:rPr>
            </w:pPr>
            <w:r w:rsidRPr="008D0DBB">
              <w:rPr>
                <w:sz w:val="18"/>
                <w:szCs w:val="18"/>
              </w:rPr>
              <w:t>Deleted CAS numbers:</w:t>
            </w:r>
          </w:p>
        </w:tc>
        <w:tc>
          <w:tcPr>
            <w:tcW w:w="5137" w:type="dxa"/>
            <w:tcMar>
              <w:top w:w="40" w:type="dxa"/>
              <w:left w:w="40" w:type="dxa"/>
              <w:bottom w:w="40" w:type="dxa"/>
              <w:right w:w="40" w:type="dxa"/>
            </w:tcMar>
          </w:tcPr>
          <w:p w14:paraId="1DCA0425" w14:textId="77777777" w:rsidR="00B12C39" w:rsidRPr="008D0DBB" w:rsidRDefault="004031F3" w:rsidP="00B12C39">
            <w:pPr>
              <w:keepNext/>
              <w:keepLines/>
              <w:widowControl/>
              <w:spacing w:before="54" w:after="54"/>
              <w:ind w:left="113"/>
              <w:jc w:val="both"/>
              <w:rPr>
                <w:sz w:val="18"/>
                <w:szCs w:val="18"/>
                <w:lang w:eastAsia="da-DK"/>
              </w:rPr>
            </w:pPr>
            <w:r>
              <w:rPr>
                <w:sz w:val="18"/>
                <w:szCs w:val="18"/>
                <w:lang w:eastAsia="da-DK"/>
              </w:rPr>
              <w:t>-</w:t>
            </w:r>
          </w:p>
        </w:tc>
      </w:tr>
      <w:tr w:rsidR="00B12C39" w:rsidRPr="00F026DE" w14:paraId="7ACFF374" w14:textId="77777777">
        <w:trPr>
          <w:trHeight w:val="30"/>
        </w:trPr>
        <w:tc>
          <w:tcPr>
            <w:tcW w:w="4518" w:type="dxa"/>
            <w:tcMar>
              <w:top w:w="40" w:type="dxa"/>
              <w:left w:w="40" w:type="dxa"/>
              <w:bottom w:w="40" w:type="dxa"/>
              <w:right w:w="40" w:type="dxa"/>
            </w:tcMar>
          </w:tcPr>
          <w:p w14:paraId="2E4D33BD" w14:textId="77777777" w:rsidR="00B12C39" w:rsidRPr="008D0DBB" w:rsidRDefault="00B12C39" w:rsidP="00B12C39">
            <w:pPr>
              <w:pStyle w:val="TableRowHeader"/>
              <w:rPr>
                <w:sz w:val="18"/>
                <w:szCs w:val="18"/>
              </w:rPr>
            </w:pPr>
            <w:r w:rsidRPr="008D0DBB">
              <w:rPr>
                <w:sz w:val="18"/>
                <w:szCs w:val="18"/>
              </w:rPr>
              <w:t>CAS name:</w:t>
            </w:r>
          </w:p>
        </w:tc>
        <w:tc>
          <w:tcPr>
            <w:tcW w:w="5137" w:type="dxa"/>
            <w:tcMar>
              <w:top w:w="40" w:type="dxa"/>
              <w:left w:w="40" w:type="dxa"/>
              <w:bottom w:w="40" w:type="dxa"/>
              <w:right w:w="40" w:type="dxa"/>
            </w:tcMar>
          </w:tcPr>
          <w:p w14:paraId="62C6AC61" w14:textId="77777777" w:rsidR="00B12C39" w:rsidRPr="008D0DBB" w:rsidRDefault="004B094F" w:rsidP="00B12C39">
            <w:pPr>
              <w:keepNext/>
              <w:keepLines/>
              <w:widowControl/>
              <w:spacing w:before="54" w:after="54"/>
              <w:ind w:left="113"/>
              <w:jc w:val="both"/>
              <w:rPr>
                <w:sz w:val="18"/>
                <w:szCs w:val="18"/>
                <w:lang w:eastAsia="da-DK"/>
              </w:rPr>
            </w:pPr>
            <w:r>
              <w:rPr>
                <w:sz w:val="18"/>
                <w:szCs w:val="18"/>
                <w:lang w:eastAsia="da-DK"/>
              </w:rPr>
              <w:t>-</w:t>
            </w:r>
          </w:p>
        </w:tc>
      </w:tr>
      <w:tr w:rsidR="00B12C39" w:rsidRPr="00F026DE" w14:paraId="711B2DE2" w14:textId="77777777">
        <w:tc>
          <w:tcPr>
            <w:tcW w:w="4518" w:type="dxa"/>
            <w:tcMar>
              <w:top w:w="40" w:type="dxa"/>
              <w:left w:w="40" w:type="dxa"/>
              <w:bottom w:w="40" w:type="dxa"/>
              <w:right w:w="40" w:type="dxa"/>
            </w:tcMar>
          </w:tcPr>
          <w:p w14:paraId="16BBB0C4" w14:textId="77777777" w:rsidR="00B12C39" w:rsidRPr="008D0DBB" w:rsidRDefault="00B12C39" w:rsidP="00B12C39">
            <w:pPr>
              <w:pStyle w:val="TableRowHeader"/>
              <w:rPr>
                <w:sz w:val="18"/>
                <w:szCs w:val="18"/>
              </w:rPr>
            </w:pPr>
            <w:r w:rsidRPr="008D0DBB">
              <w:rPr>
                <w:sz w:val="18"/>
                <w:szCs w:val="18"/>
              </w:rPr>
              <w:t>IUPAC name:</w:t>
            </w:r>
          </w:p>
        </w:tc>
        <w:tc>
          <w:tcPr>
            <w:tcW w:w="5137" w:type="dxa"/>
            <w:tcMar>
              <w:top w:w="40" w:type="dxa"/>
              <w:left w:w="40" w:type="dxa"/>
              <w:bottom w:w="40" w:type="dxa"/>
              <w:right w:w="40" w:type="dxa"/>
            </w:tcMar>
          </w:tcPr>
          <w:p w14:paraId="160C8C28" w14:textId="77777777" w:rsidR="00776E64" w:rsidRDefault="00DE35FF" w:rsidP="00B12C39">
            <w:pPr>
              <w:keepNext/>
              <w:keepLines/>
              <w:widowControl/>
              <w:spacing w:before="54" w:after="54"/>
              <w:ind w:left="113"/>
              <w:jc w:val="both"/>
              <w:rPr>
                <w:rStyle w:val="Strong"/>
                <w:b w:val="0"/>
                <w:bCs/>
              </w:rPr>
            </w:pPr>
            <w:r w:rsidRPr="00B74F3F">
              <w:t>Reaction product</w:t>
            </w:r>
            <w:r>
              <w:t>s</w:t>
            </w:r>
            <w:r w:rsidRPr="00B74F3F">
              <w:t xml:space="preserve"> of 1,3,4-thiadiazolidine-2,5-dithione, formaldehyde and </w:t>
            </w:r>
            <w:r w:rsidR="00776E64" w:rsidRPr="00C7578F">
              <w:rPr>
                <w:rStyle w:val="Strong"/>
                <w:b w:val="0"/>
                <w:bCs/>
              </w:rPr>
              <w:t xml:space="preserve">4-heptylphenol, branched and linear </w:t>
            </w:r>
          </w:p>
          <w:p w14:paraId="3978F9FD" w14:textId="7A69A648" w:rsidR="00B12C39" w:rsidRPr="008D0DBB" w:rsidRDefault="00DE35FF" w:rsidP="00B12C39">
            <w:pPr>
              <w:keepNext/>
              <w:keepLines/>
              <w:widowControl/>
              <w:spacing w:before="54" w:after="54"/>
              <w:ind w:left="113"/>
              <w:jc w:val="both"/>
              <w:rPr>
                <w:sz w:val="18"/>
                <w:szCs w:val="18"/>
                <w:lang w:eastAsia="da-DK"/>
              </w:rPr>
            </w:pPr>
            <w:r w:rsidRPr="00C7578F">
              <w:rPr>
                <w:rStyle w:val="Strong"/>
                <w:b w:val="0"/>
                <w:bCs/>
              </w:rPr>
              <w:t>[with ≥0.1%</w:t>
            </w:r>
            <w:r w:rsidR="00776E64">
              <w:rPr>
                <w:rStyle w:val="Strong"/>
                <w:b w:val="0"/>
                <w:bCs/>
              </w:rPr>
              <w:t xml:space="preserve"> w/w</w:t>
            </w:r>
            <w:r w:rsidRPr="00C7578F">
              <w:rPr>
                <w:rStyle w:val="Strong"/>
                <w:b w:val="0"/>
                <w:bCs/>
              </w:rPr>
              <w:t xml:space="preserve"> 4-heptylphenol, branched and linear]</w:t>
            </w:r>
          </w:p>
        </w:tc>
      </w:tr>
      <w:tr w:rsidR="00B12C39" w:rsidRPr="00F026DE" w14:paraId="3814C9D2" w14:textId="77777777">
        <w:tc>
          <w:tcPr>
            <w:tcW w:w="4518" w:type="dxa"/>
            <w:tcMar>
              <w:top w:w="40" w:type="dxa"/>
              <w:left w:w="40" w:type="dxa"/>
              <w:bottom w:w="40" w:type="dxa"/>
              <w:right w:w="40" w:type="dxa"/>
            </w:tcMar>
          </w:tcPr>
          <w:p w14:paraId="3ABC222D" w14:textId="77777777" w:rsidR="00B12C39" w:rsidRPr="008D0DBB" w:rsidRDefault="00B12C39" w:rsidP="00B12C39">
            <w:pPr>
              <w:pStyle w:val="TableRowHeader"/>
              <w:rPr>
                <w:sz w:val="18"/>
                <w:szCs w:val="18"/>
              </w:rPr>
            </w:pPr>
            <w:r w:rsidRPr="008D0DBB">
              <w:rPr>
                <w:sz w:val="18"/>
                <w:szCs w:val="18"/>
              </w:rPr>
              <w:t>Index number in Annex VI of the CLP Regulation</w:t>
            </w:r>
          </w:p>
        </w:tc>
        <w:tc>
          <w:tcPr>
            <w:tcW w:w="5137" w:type="dxa"/>
            <w:tcMar>
              <w:top w:w="40" w:type="dxa"/>
              <w:left w:w="40" w:type="dxa"/>
              <w:bottom w:w="40" w:type="dxa"/>
              <w:right w:w="40" w:type="dxa"/>
            </w:tcMar>
          </w:tcPr>
          <w:p w14:paraId="5E77E18D" w14:textId="77777777" w:rsidR="00B12C39" w:rsidRPr="008D0DBB" w:rsidRDefault="004B094F" w:rsidP="00B12C39">
            <w:pPr>
              <w:keepNext/>
              <w:keepLines/>
              <w:widowControl/>
              <w:spacing w:before="54" w:after="54"/>
              <w:ind w:left="113"/>
              <w:jc w:val="both"/>
              <w:rPr>
                <w:sz w:val="18"/>
                <w:szCs w:val="18"/>
                <w:lang w:eastAsia="da-DK"/>
              </w:rPr>
            </w:pPr>
            <w:r>
              <w:rPr>
                <w:sz w:val="18"/>
                <w:szCs w:val="18"/>
                <w:lang w:eastAsia="da-DK"/>
              </w:rPr>
              <w:t>-</w:t>
            </w:r>
          </w:p>
        </w:tc>
      </w:tr>
      <w:tr w:rsidR="00B12C39" w:rsidRPr="00F026DE" w14:paraId="213793F8" w14:textId="77777777">
        <w:tc>
          <w:tcPr>
            <w:tcW w:w="4518" w:type="dxa"/>
            <w:tcMar>
              <w:top w:w="40" w:type="dxa"/>
              <w:left w:w="40" w:type="dxa"/>
              <w:bottom w:w="40" w:type="dxa"/>
              <w:right w:w="40" w:type="dxa"/>
            </w:tcMar>
          </w:tcPr>
          <w:p w14:paraId="108F50D6" w14:textId="77777777" w:rsidR="00B12C39" w:rsidRPr="008D0DBB" w:rsidRDefault="00B12C39" w:rsidP="00B12C39">
            <w:pPr>
              <w:pStyle w:val="TableRowHeader"/>
              <w:rPr>
                <w:sz w:val="18"/>
                <w:szCs w:val="18"/>
              </w:rPr>
            </w:pPr>
            <w:r w:rsidRPr="008D0DBB">
              <w:rPr>
                <w:sz w:val="18"/>
                <w:szCs w:val="18"/>
              </w:rPr>
              <w:t>Molecular formula:</w:t>
            </w:r>
          </w:p>
        </w:tc>
        <w:tc>
          <w:tcPr>
            <w:tcW w:w="5137" w:type="dxa"/>
            <w:tcMar>
              <w:top w:w="40" w:type="dxa"/>
              <w:left w:w="40" w:type="dxa"/>
              <w:bottom w:w="40" w:type="dxa"/>
              <w:right w:w="40" w:type="dxa"/>
            </w:tcMar>
          </w:tcPr>
          <w:p w14:paraId="651CE986" w14:textId="77777777" w:rsidR="00B12C39" w:rsidRPr="008D0DBB" w:rsidRDefault="004B094F" w:rsidP="00B12C39">
            <w:pPr>
              <w:keepNext/>
              <w:keepLines/>
              <w:widowControl/>
              <w:spacing w:before="54" w:after="54"/>
              <w:ind w:left="113"/>
              <w:jc w:val="both"/>
              <w:rPr>
                <w:sz w:val="18"/>
                <w:szCs w:val="18"/>
                <w:lang w:eastAsia="da-DK"/>
              </w:rPr>
            </w:pPr>
            <w:r>
              <w:rPr>
                <w:sz w:val="18"/>
                <w:szCs w:val="18"/>
                <w:lang w:eastAsia="da-DK"/>
              </w:rPr>
              <w:t>-</w:t>
            </w:r>
          </w:p>
        </w:tc>
      </w:tr>
      <w:tr w:rsidR="00B12C39" w:rsidRPr="00F026DE" w14:paraId="4DEBE67D" w14:textId="77777777">
        <w:trPr>
          <w:trHeight w:val="407"/>
        </w:trPr>
        <w:tc>
          <w:tcPr>
            <w:tcW w:w="4518" w:type="dxa"/>
            <w:tcMar>
              <w:top w:w="40" w:type="dxa"/>
              <w:left w:w="40" w:type="dxa"/>
              <w:bottom w:w="40" w:type="dxa"/>
              <w:right w:w="40" w:type="dxa"/>
            </w:tcMar>
          </w:tcPr>
          <w:p w14:paraId="6C346636" w14:textId="77777777" w:rsidR="00B12C39" w:rsidRPr="008D0DBB" w:rsidRDefault="00B12C39" w:rsidP="00B12C39">
            <w:pPr>
              <w:pStyle w:val="TableRowHeader"/>
              <w:rPr>
                <w:sz w:val="18"/>
                <w:szCs w:val="18"/>
              </w:rPr>
            </w:pPr>
            <w:r w:rsidRPr="008D0DBB">
              <w:rPr>
                <w:sz w:val="18"/>
                <w:szCs w:val="18"/>
              </w:rPr>
              <w:t>Molecular weight range:</w:t>
            </w:r>
          </w:p>
        </w:tc>
        <w:tc>
          <w:tcPr>
            <w:tcW w:w="5137" w:type="dxa"/>
            <w:tcMar>
              <w:top w:w="40" w:type="dxa"/>
              <w:left w:w="40" w:type="dxa"/>
              <w:bottom w:w="40" w:type="dxa"/>
              <w:right w:w="40" w:type="dxa"/>
            </w:tcMar>
          </w:tcPr>
          <w:p w14:paraId="31420CA5" w14:textId="77777777" w:rsidR="00B12C39" w:rsidRPr="008D0DBB" w:rsidRDefault="0099242B" w:rsidP="00B12C39">
            <w:pPr>
              <w:keepNext/>
              <w:keepLines/>
              <w:widowControl/>
              <w:spacing w:before="54" w:after="54"/>
              <w:ind w:left="113"/>
              <w:jc w:val="both"/>
              <w:rPr>
                <w:sz w:val="18"/>
                <w:szCs w:val="18"/>
                <w:lang w:eastAsia="da-DK"/>
              </w:rPr>
            </w:pPr>
            <w:r>
              <w:rPr>
                <w:sz w:val="18"/>
                <w:szCs w:val="18"/>
                <w:lang w:eastAsia="da-DK"/>
              </w:rPr>
              <w:t>See confidential Annex II</w:t>
            </w:r>
          </w:p>
        </w:tc>
      </w:tr>
      <w:tr w:rsidR="00B12C39" w:rsidRPr="00F026DE" w14:paraId="17FE5171" w14:textId="77777777" w:rsidTr="009E0412">
        <w:trPr>
          <w:trHeight w:val="680"/>
        </w:trPr>
        <w:tc>
          <w:tcPr>
            <w:tcW w:w="4518" w:type="dxa"/>
            <w:tcMar>
              <w:top w:w="40" w:type="dxa"/>
              <w:left w:w="40" w:type="dxa"/>
              <w:bottom w:w="40" w:type="dxa"/>
              <w:right w:w="40" w:type="dxa"/>
            </w:tcMar>
          </w:tcPr>
          <w:p w14:paraId="6DF62D5D" w14:textId="77777777" w:rsidR="00B12C39" w:rsidRPr="008D0DBB" w:rsidRDefault="00B12C39" w:rsidP="00B12C39">
            <w:pPr>
              <w:pStyle w:val="TableRowHeader"/>
              <w:rPr>
                <w:sz w:val="18"/>
                <w:szCs w:val="18"/>
              </w:rPr>
            </w:pPr>
            <w:r w:rsidRPr="008D0DBB">
              <w:rPr>
                <w:sz w:val="18"/>
                <w:szCs w:val="18"/>
              </w:rPr>
              <w:t>Synonyms:</w:t>
            </w:r>
          </w:p>
        </w:tc>
        <w:tc>
          <w:tcPr>
            <w:tcW w:w="5137" w:type="dxa"/>
            <w:tcMar>
              <w:top w:w="40" w:type="dxa"/>
              <w:left w:w="40" w:type="dxa"/>
              <w:bottom w:w="40" w:type="dxa"/>
              <w:right w:w="40" w:type="dxa"/>
            </w:tcMar>
          </w:tcPr>
          <w:p w14:paraId="18372E77" w14:textId="77777777" w:rsidR="004B094F" w:rsidRPr="008D0DBB" w:rsidRDefault="0099242B" w:rsidP="004B094F">
            <w:pPr>
              <w:pStyle w:val="StyleTabletextItalic"/>
              <w:jc w:val="left"/>
              <w:rPr>
                <w:i w:val="0"/>
                <w:iCs w:val="0"/>
                <w:sz w:val="18"/>
                <w:szCs w:val="18"/>
              </w:rPr>
            </w:pPr>
            <w:r>
              <w:rPr>
                <w:i w:val="0"/>
                <w:iCs w:val="0"/>
                <w:sz w:val="18"/>
                <w:szCs w:val="18"/>
              </w:rPr>
              <w:t>-</w:t>
            </w:r>
          </w:p>
        </w:tc>
      </w:tr>
    </w:tbl>
    <w:p w14:paraId="12871719" w14:textId="77777777" w:rsidR="00D12439" w:rsidRDefault="00D12439" w:rsidP="00F65AB2">
      <w:pPr>
        <w:pStyle w:val="BodyText"/>
        <w:rPr>
          <w:szCs w:val="24"/>
          <w:lang w:eastAsia="en-US"/>
        </w:rPr>
      </w:pPr>
    </w:p>
    <w:p w14:paraId="638DD2A7" w14:textId="7217C87E" w:rsidR="00F65AB2" w:rsidRPr="00B278E2" w:rsidRDefault="00DE35FF" w:rsidP="00776E64">
      <w:pPr>
        <w:pStyle w:val="BodyText"/>
        <w:jc w:val="both"/>
      </w:pPr>
      <w:r w:rsidRPr="00B278E2">
        <w:t>One of the sub</w:t>
      </w:r>
      <w:r w:rsidR="006B3601" w:rsidRPr="00B278E2">
        <w:t>stances belonging to this group</w:t>
      </w:r>
      <w:r w:rsidRPr="00B278E2">
        <w:t xml:space="preserve"> has been registered. It has been identified using the chemical name “</w:t>
      </w:r>
      <w:r w:rsidR="00F65AB2" w:rsidRPr="00B278E2">
        <w:t>Reaction product of 1,3,4-thiadiazolidine-2,5-dithione, formaldehyde and phenol, heptyl derivs.</w:t>
      </w:r>
      <w:r w:rsidRPr="00B278E2">
        <w:t>”</w:t>
      </w:r>
      <w:r w:rsidR="00F65AB2" w:rsidRPr="00B278E2">
        <w:t xml:space="preserve">. It is noted that before this registration the following chemical identifiers have been used instead: </w:t>
      </w:r>
      <w:hyperlink r:id="rId14" w:history="1">
        <w:r w:rsidR="00F65AB2" w:rsidRPr="00B278E2">
          <w:t>Formaldehyde, reaction products with branched and linear heptylphenol, carbon disulfide and hydrazine</w:t>
        </w:r>
      </w:hyperlink>
      <w:r w:rsidR="00F65AB2" w:rsidRPr="00B278E2">
        <w:t xml:space="preserve"> (EC No 300-298-5, CAS 93925-00-9).</w:t>
      </w:r>
      <w:r w:rsidR="000308EB" w:rsidRPr="00B278E2">
        <w:t xml:space="preserve"> 1,3,4-thiadiazolidine-2,5-dithione can indeed be manufactured from carbon disulfide and hydrazine.</w:t>
      </w:r>
    </w:p>
    <w:p w14:paraId="3F3AFF41" w14:textId="49790841" w:rsidR="003E7229" w:rsidRPr="003A71A2" w:rsidRDefault="003A71A2" w:rsidP="003E0449">
      <w:pPr>
        <w:jc w:val="both"/>
        <w:rPr>
          <w:color w:val="000000"/>
        </w:rPr>
      </w:pPr>
      <w:r>
        <w:rPr>
          <w:color w:val="000000"/>
        </w:rPr>
        <w:t xml:space="preserve">RP-HP may contain significant amount of process solvent (X) that cannot be removed without affecting the stability of the substance or changing its composition. In this situation, the presence of the solvent (X) may as a result be rightfully quoted in the name of the substance (for example, such substance can be named as “Reaction products of 1,3,4-thiadiazolidine-2,5-dithione, formaldehyde and 4-heptylphenol, branched and linear including ‘solvent X’ ”). Such substance will still be covered by this proposed entry as long as it contains ≥0.1% w/w 4-heptylphenol, branched and linear. More generally, any variation in the composition resulting from the use of </w:t>
      </w:r>
      <w:r>
        <w:rPr>
          <w:color w:val="000000"/>
        </w:rPr>
        <w:lastRenderedPageBreak/>
        <w:t>different processing agents/solvents and/or additives does not establish a criterion to exclude any substance resulting from the reaction between 1,3,4-thiadiazolidine-2,5-dithione, formaldehyde and 4-heptylphenol, branched and linear from the proposal.</w:t>
      </w:r>
    </w:p>
    <w:p w14:paraId="52D72FD3" w14:textId="77777777" w:rsidR="00D12439" w:rsidRDefault="00D12439" w:rsidP="00B12C39">
      <w:pPr>
        <w:widowControl/>
        <w:spacing w:after="180"/>
        <w:jc w:val="both"/>
        <w:rPr>
          <w:rStyle w:val="Strong"/>
          <w:bCs/>
        </w:rPr>
      </w:pPr>
    </w:p>
    <w:p w14:paraId="2452A5B8" w14:textId="0CFEA4EB" w:rsidR="00B12C39" w:rsidRDefault="00B12C39" w:rsidP="00B12C39">
      <w:pPr>
        <w:widowControl/>
        <w:spacing w:after="180"/>
        <w:jc w:val="both"/>
        <w:rPr>
          <w:rStyle w:val="Strong"/>
          <w:bCs/>
        </w:rPr>
      </w:pPr>
      <w:r w:rsidRPr="00127DF0">
        <w:rPr>
          <w:rStyle w:val="Strong"/>
          <w:bCs/>
        </w:rPr>
        <w:t>Structural formula:</w:t>
      </w:r>
      <w:r w:rsidR="0099242B">
        <w:rPr>
          <w:rStyle w:val="Strong"/>
          <w:bCs/>
        </w:rPr>
        <w:t xml:space="preserve"> </w:t>
      </w:r>
      <w:r w:rsidR="0099242B" w:rsidRPr="0099242B">
        <w:rPr>
          <w:rStyle w:val="Strong"/>
          <w:b w:val="0"/>
          <w:bCs/>
        </w:rPr>
        <w:t>ideali</w:t>
      </w:r>
      <w:r w:rsidR="00A54478">
        <w:rPr>
          <w:rStyle w:val="Strong"/>
          <w:b w:val="0"/>
          <w:bCs/>
        </w:rPr>
        <w:t>s</w:t>
      </w:r>
      <w:r w:rsidR="0099242B" w:rsidRPr="0099242B">
        <w:rPr>
          <w:rStyle w:val="Strong"/>
          <w:b w:val="0"/>
          <w:bCs/>
        </w:rPr>
        <w:t>ed structure</w:t>
      </w:r>
      <w:r w:rsidR="00C7578F" w:rsidRPr="00C7578F">
        <w:rPr>
          <w:rStyle w:val="FootnoteReference"/>
          <w:rFonts w:ascii="Verdana" w:hAnsi="Verdana"/>
          <w:i/>
          <w:sz w:val="20"/>
          <w:szCs w:val="24"/>
          <w:lang w:eastAsia="en-US"/>
        </w:rPr>
        <w:footnoteReference w:id="5"/>
      </w:r>
    </w:p>
    <w:p w14:paraId="11AC452F" w14:textId="77777777" w:rsidR="00BB0C44" w:rsidRDefault="0099242B" w:rsidP="00B12C39">
      <w:pPr>
        <w:widowControl/>
        <w:spacing w:after="180"/>
        <w:jc w:val="both"/>
        <w:rPr>
          <w:rStyle w:val="Strong"/>
          <w:bCs/>
        </w:rPr>
      </w:pPr>
      <w:r>
        <w:rPr>
          <w:noProof/>
          <w:lang w:eastAsia="en-GB"/>
        </w:rPr>
        <w:drawing>
          <wp:inline distT="0" distB="0" distL="0" distR="0" wp14:anchorId="7F32AC5F" wp14:editId="560BAA67">
            <wp:extent cx="3733800" cy="3276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733800" cy="3276600"/>
                    </a:xfrm>
                    <a:prstGeom prst="rect">
                      <a:avLst/>
                    </a:prstGeom>
                  </pic:spPr>
                </pic:pic>
              </a:graphicData>
            </a:graphic>
          </wp:inline>
        </w:drawing>
      </w:r>
    </w:p>
    <w:p w14:paraId="18E6DE8A" w14:textId="77777777" w:rsidR="00BB0C44" w:rsidRDefault="00BB0C44" w:rsidP="00B12C39">
      <w:pPr>
        <w:widowControl/>
        <w:spacing w:after="180"/>
        <w:jc w:val="both"/>
        <w:rPr>
          <w:rStyle w:val="Strong"/>
          <w:bCs/>
        </w:rPr>
      </w:pPr>
    </w:p>
    <w:p w14:paraId="6BF40C07" w14:textId="77777777" w:rsidR="00DC47F5" w:rsidRDefault="00DC47F5" w:rsidP="00B12C39">
      <w:pPr>
        <w:widowControl/>
        <w:spacing w:after="180"/>
        <w:jc w:val="both"/>
        <w:rPr>
          <w:rStyle w:val="Strong"/>
          <w:bCs/>
        </w:rPr>
      </w:pPr>
    </w:p>
    <w:p w14:paraId="0C7E55B8" w14:textId="77777777" w:rsidR="00B12C39" w:rsidRDefault="00BB6734" w:rsidP="00BB6734">
      <w:pPr>
        <w:pStyle w:val="Heading2"/>
      </w:pPr>
      <w:bookmarkStart w:id="89" w:name="_Toc341888505"/>
      <w:bookmarkStart w:id="90" w:name="_Toc342400359"/>
      <w:bookmarkStart w:id="91" w:name="_Toc354499570"/>
      <w:bookmarkStart w:id="92" w:name="_Toc357083643"/>
      <w:bookmarkStart w:id="93" w:name="_Toc357184192"/>
      <w:bookmarkStart w:id="94" w:name="_Toc357184428"/>
      <w:bookmarkStart w:id="95" w:name="_Toc357185230"/>
      <w:bookmarkStart w:id="96" w:name="_Toc357186078"/>
      <w:bookmarkStart w:id="97" w:name="_Toc357186227"/>
      <w:bookmarkStart w:id="98" w:name="_Toc357437513"/>
      <w:bookmarkStart w:id="99" w:name="_Toc357590786"/>
      <w:bookmarkStart w:id="100" w:name="_Toc357692818"/>
      <w:bookmarkStart w:id="101" w:name="_Toc365649645"/>
      <w:bookmarkStart w:id="102" w:name="_Toc365649794"/>
      <w:bookmarkStart w:id="103" w:name="_Toc366489846"/>
      <w:bookmarkStart w:id="104" w:name="_Toc418498551"/>
      <w:bookmarkStart w:id="105" w:name="_Toc418505994"/>
      <w:bookmarkStart w:id="106" w:name="_Toc491786392"/>
      <w:r>
        <w:t xml:space="preserve">1.2 </w:t>
      </w:r>
      <w:r w:rsidR="00B12C39" w:rsidRPr="003F2F19">
        <w:t>Composition</w:t>
      </w:r>
      <w:r w:rsidR="00B12C39">
        <w:t xml:space="preserve"> </w:t>
      </w:r>
      <w:r w:rsidR="00B12C39" w:rsidRPr="003F2F19">
        <w:t>of the substance</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54E86D6" w14:textId="77777777" w:rsidR="00B12C39" w:rsidRPr="00564B60" w:rsidRDefault="00B12C39" w:rsidP="00B12C39">
      <w:pPr>
        <w:pStyle w:val="PlainText"/>
        <w:jc w:val="both"/>
        <w:rPr>
          <w:i/>
          <w:szCs w:val="24"/>
        </w:rPr>
      </w:pPr>
    </w:p>
    <w:p w14:paraId="5097789D" w14:textId="4FC6EDED" w:rsidR="00B12C39" w:rsidRPr="00695449" w:rsidRDefault="00B12C39" w:rsidP="000C5C7A">
      <w:pPr>
        <w:widowControl/>
        <w:tabs>
          <w:tab w:val="left" w:pos="3261"/>
        </w:tabs>
        <w:spacing w:after="180"/>
        <w:rPr>
          <w:rStyle w:val="Strong"/>
          <w:bCs/>
        </w:rPr>
      </w:pPr>
      <w:r w:rsidRPr="000C5C7A">
        <w:rPr>
          <w:rStyle w:val="Strong"/>
          <w:bCs/>
        </w:rPr>
        <w:t xml:space="preserve">Name: </w:t>
      </w:r>
      <w:r w:rsidR="00B74F3F" w:rsidRPr="000C5C7A">
        <w:t>Reaction product</w:t>
      </w:r>
      <w:r w:rsidR="000308EB" w:rsidRPr="000C5C7A">
        <w:t>s</w:t>
      </w:r>
      <w:r w:rsidR="00B74F3F" w:rsidRPr="000C5C7A">
        <w:t xml:space="preserve"> of 1,3,4-thiadiazolidine-2,5-dithione, formaldehyde and </w:t>
      </w:r>
      <w:r w:rsidR="000C5C7A" w:rsidRPr="000C5C7A">
        <w:rPr>
          <w:rStyle w:val="Strong"/>
          <w:b w:val="0"/>
          <w:bCs/>
        </w:rPr>
        <w:t>4-heptylphenol, branched and linear</w:t>
      </w:r>
      <w:r w:rsidR="00B74F3F" w:rsidRPr="000C5C7A">
        <w:rPr>
          <w:rStyle w:val="Strong"/>
          <w:bCs/>
          <w:color w:val="FF0000"/>
        </w:rPr>
        <w:t xml:space="preserve"> </w:t>
      </w:r>
      <w:r w:rsidR="00B74F3F" w:rsidRPr="000C5C7A">
        <w:rPr>
          <w:rStyle w:val="Strong"/>
          <w:b w:val="0"/>
          <w:bCs/>
        </w:rPr>
        <w:t>[with ≥0.1</w:t>
      </w:r>
      <w:r w:rsidR="000C5C7A">
        <w:rPr>
          <w:rStyle w:val="Strong"/>
          <w:b w:val="0"/>
          <w:bCs/>
        </w:rPr>
        <w:t xml:space="preserve"> </w:t>
      </w:r>
      <w:r w:rsidR="00B74F3F" w:rsidRPr="000C5C7A">
        <w:rPr>
          <w:rStyle w:val="Strong"/>
          <w:b w:val="0"/>
          <w:bCs/>
        </w:rPr>
        <w:t xml:space="preserve">% </w:t>
      </w:r>
      <w:r w:rsidR="000C5C7A">
        <w:rPr>
          <w:rStyle w:val="Strong"/>
          <w:b w:val="0"/>
          <w:bCs/>
        </w:rPr>
        <w:t xml:space="preserve">w/w </w:t>
      </w:r>
      <w:r w:rsidR="00B74F3F" w:rsidRPr="000C5C7A">
        <w:rPr>
          <w:rStyle w:val="Strong"/>
          <w:b w:val="0"/>
          <w:bCs/>
        </w:rPr>
        <w:t>4-heptylphenol</w:t>
      </w:r>
      <w:r w:rsidR="00C7578F" w:rsidRPr="000C5C7A">
        <w:rPr>
          <w:rStyle w:val="Strong"/>
          <w:b w:val="0"/>
          <w:bCs/>
        </w:rPr>
        <w:t>, branched and linear</w:t>
      </w:r>
      <w:r w:rsidR="00B74F3F" w:rsidRPr="000C5C7A">
        <w:rPr>
          <w:rStyle w:val="Strong"/>
          <w:b w:val="0"/>
          <w:bCs/>
        </w:rPr>
        <w:t>]</w:t>
      </w:r>
    </w:p>
    <w:p w14:paraId="5DFAF3B4" w14:textId="5B532878" w:rsidR="00B12C39" w:rsidRPr="00190FD3" w:rsidRDefault="00B12C39" w:rsidP="003B1B52">
      <w:pPr>
        <w:widowControl/>
        <w:tabs>
          <w:tab w:val="left" w:pos="3261"/>
        </w:tabs>
        <w:spacing w:after="180"/>
        <w:jc w:val="both"/>
        <w:rPr>
          <w:rStyle w:val="Strong"/>
          <w:bCs/>
        </w:rPr>
      </w:pPr>
      <w:r w:rsidRPr="00190FD3">
        <w:rPr>
          <w:rStyle w:val="Strong"/>
          <w:bCs/>
        </w:rPr>
        <w:t>Description:</w:t>
      </w:r>
      <w:r w:rsidR="00837FC5" w:rsidRPr="00190FD3">
        <w:rPr>
          <w:rStyle w:val="Strong"/>
          <w:bCs/>
          <w:color w:val="FF0000"/>
        </w:rPr>
        <w:t xml:space="preserve"> </w:t>
      </w:r>
      <w:r w:rsidR="000308EB" w:rsidRPr="000C5C7A">
        <w:rPr>
          <w:bCs/>
        </w:rPr>
        <w:t>group entry</w:t>
      </w:r>
    </w:p>
    <w:p w14:paraId="7F6423F7" w14:textId="2009722D" w:rsidR="00B12C39" w:rsidRPr="00190FD3" w:rsidRDefault="003B7B69" w:rsidP="00B12C39">
      <w:pPr>
        <w:widowControl/>
        <w:spacing w:after="180"/>
        <w:jc w:val="both"/>
        <w:rPr>
          <w:rStyle w:val="Strong"/>
          <w:bCs/>
        </w:rPr>
      </w:pPr>
      <w:r w:rsidRPr="00190FD3">
        <w:rPr>
          <w:rStyle w:val="Strong"/>
          <w:bCs/>
        </w:rPr>
        <w:t>Substance type</w:t>
      </w:r>
      <w:r w:rsidR="00B12C39" w:rsidRPr="00190FD3">
        <w:rPr>
          <w:rStyle w:val="Strong"/>
          <w:bCs/>
        </w:rPr>
        <w:t xml:space="preserve">: </w:t>
      </w:r>
      <w:r w:rsidRPr="00190FD3">
        <w:rPr>
          <w:rStyle w:val="Strong"/>
          <w:b w:val="0"/>
          <w:bCs/>
        </w:rPr>
        <w:t>UVCB</w:t>
      </w:r>
      <w:r w:rsidR="0054522D" w:rsidRPr="000C5C7A">
        <w:rPr>
          <w:rStyle w:val="FootnoteReference"/>
          <w:rFonts w:ascii="Verdana" w:hAnsi="Verdana"/>
          <w:bCs/>
          <w:sz w:val="20"/>
          <w:lang w:val="fr-FR"/>
        </w:rPr>
        <w:footnoteReference w:id="6"/>
      </w:r>
    </w:p>
    <w:p w14:paraId="3FC4CA4B" w14:textId="77777777" w:rsidR="00673373" w:rsidRPr="00190FD3" w:rsidRDefault="00673373" w:rsidP="00673373">
      <w:pPr>
        <w:widowControl/>
        <w:spacing w:after="180"/>
        <w:jc w:val="both"/>
        <w:rPr>
          <w:rStyle w:val="Strong"/>
          <w:b w:val="0"/>
          <w:bCs/>
          <w:i/>
        </w:rPr>
      </w:pPr>
    </w:p>
    <w:p w14:paraId="194EDF0F" w14:textId="3A3364A0" w:rsidR="005A0902" w:rsidRPr="00190FD3" w:rsidRDefault="0099242B" w:rsidP="00673373">
      <w:pPr>
        <w:widowControl/>
        <w:spacing w:after="180"/>
        <w:jc w:val="both"/>
        <w:rPr>
          <w:rStyle w:val="Strong"/>
          <w:b w:val="0"/>
          <w:bCs/>
        </w:rPr>
      </w:pPr>
      <w:r w:rsidRPr="00190FD3">
        <w:rPr>
          <w:rStyle w:val="Strong"/>
          <w:b w:val="0"/>
          <w:bCs/>
        </w:rPr>
        <w:t xml:space="preserve">Information on </w:t>
      </w:r>
      <w:r w:rsidR="007174A6">
        <w:rPr>
          <w:rStyle w:val="Strong"/>
          <w:b w:val="0"/>
          <w:bCs/>
        </w:rPr>
        <w:t>constituents</w:t>
      </w:r>
      <w:r w:rsidR="00B74F3F" w:rsidRPr="00190FD3">
        <w:rPr>
          <w:rStyle w:val="Strong"/>
          <w:b w:val="0"/>
          <w:bCs/>
        </w:rPr>
        <w:t xml:space="preserve"> </w:t>
      </w:r>
      <w:r w:rsidR="007174A6" w:rsidRPr="00190FD3">
        <w:rPr>
          <w:rStyle w:val="Strong"/>
          <w:b w:val="0"/>
          <w:bCs/>
        </w:rPr>
        <w:t xml:space="preserve">and </w:t>
      </w:r>
      <w:r w:rsidR="00B74F3F" w:rsidRPr="00190FD3">
        <w:rPr>
          <w:rStyle w:val="Strong"/>
          <w:b w:val="0"/>
          <w:bCs/>
        </w:rPr>
        <w:t xml:space="preserve">additives </w:t>
      </w:r>
      <w:r w:rsidRPr="00190FD3">
        <w:rPr>
          <w:rStyle w:val="Strong"/>
          <w:b w:val="0"/>
          <w:bCs/>
        </w:rPr>
        <w:t xml:space="preserve">is given in the confidential Annex II. </w:t>
      </w:r>
    </w:p>
    <w:p w14:paraId="1701911D" w14:textId="77777777" w:rsidR="00D12439" w:rsidRPr="00190FD3" w:rsidRDefault="00D12439" w:rsidP="00673373">
      <w:pPr>
        <w:widowControl/>
        <w:spacing w:after="180"/>
        <w:jc w:val="both"/>
        <w:rPr>
          <w:rStyle w:val="Strong"/>
          <w:b w:val="0"/>
          <w:bCs/>
        </w:rPr>
      </w:pPr>
    </w:p>
    <w:p w14:paraId="3228D3FC" w14:textId="77777777" w:rsidR="001F5783" w:rsidRPr="00D721C0" w:rsidRDefault="00BB6734" w:rsidP="00BB0C44">
      <w:pPr>
        <w:pStyle w:val="Heading2"/>
      </w:pPr>
      <w:bookmarkStart w:id="107" w:name="_Toc357083644"/>
      <w:bookmarkStart w:id="108" w:name="_Toc357184193"/>
      <w:bookmarkStart w:id="109" w:name="_Toc357184429"/>
      <w:bookmarkStart w:id="110" w:name="_Toc357185231"/>
      <w:bookmarkStart w:id="111" w:name="_Toc357186079"/>
      <w:bookmarkStart w:id="112" w:name="_Toc357186228"/>
      <w:bookmarkStart w:id="113" w:name="_Toc357437514"/>
      <w:bookmarkStart w:id="114" w:name="_Toc357590787"/>
      <w:bookmarkStart w:id="115" w:name="_Toc357692819"/>
      <w:bookmarkStart w:id="116" w:name="_Toc365649646"/>
      <w:bookmarkStart w:id="117" w:name="_Toc365649795"/>
      <w:bookmarkStart w:id="118" w:name="_Toc366489847"/>
      <w:bookmarkStart w:id="119" w:name="_Toc418498552"/>
      <w:bookmarkStart w:id="120" w:name="_Toc418505995"/>
      <w:bookmarkStart w:id="121" w:name="_Toc491786393"/>
      <w:r>
        <w:lastRenderedPageBreak/>
        <w:t xml:space="preserve">1.3 </w:t>
      </w:r>
      <w:r w:rsidR="001F5783" w:rsidRPr="00D721C0">
        <w:t>Identity and composition of degradation products/metabolites relevant for the SVHC assessment</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63594B34" w14:textId="598B0CB2" w:rsidR="001F5783" w:rsidRPr="000C5C7A" w:rsidRDefault="000C5C7A" w:rsidP="004D2CFE">
      <w:pPr>
        <w:pStyle w:val="BodyText"/>
        <w:jc w:val="both"/>
      </w:pPr>
      <w:r w:rsidRPr="000C5C7A">
        <w:t>Not applicable.</w:t>
      </w:r>
    </w:p>
    <w:p w14:paraId="73A6EFDD" w14:textId="77777777" w:rsidR="001F5783" w:rsidRDefault="00BB6734" w:rsidP="00C748EF">
      <w:pPr>
        <w:pStyle w:val="Heading2"/>
      </w:pPr>
      <w:bookmarkStart w:id="122" w:name="_Toc357083645"/>
      <w:bookmarkStart w:id="123" w:name="_Toc357184194"/>
      <w:bookmarkStart w:id="124" w:name="_Toc357184430"/>
      <w:bookmarkStart w:id="125" w:name="_Toc357185232"/>
      <w:bookmarkStart w:id="126" w:name="_Toc357186080"/>
      <w:bookmarkStart w:id="127" w:name="_Toc357186229"/>
      <w:bookmarkStart w:id="128" w:name="_Toc357437515"/>
      <w:bookmarkStart w:id="129" w:name="_Toc357590788"/>
      <w:bookmarkStart w:id="130" w:name="_Toc357692820"/>
      <w:bookmarkStart w:id="131" w:name="_Toc365649647"/>
      <w:bookmarkStart w:id="132" w:name="_Toc365649796"/>
      <w:bookmarkStart w:id="133" w:name="_Toc366489848"/>
      <w:bookmarkStart w:id="134" w:name="_Toc418498553"/>
      <w:bookmarkStart w:id="135" w:name="_Toc418505996"/>
      <w:bookmarkStart w:id="136" w:name="_Toc491786394"/>
      <w:r>
        <w:t xml:space="preserve">1.4 </w:t>
      </w:r>
      <w:r w:rsidR="001F5783">
        <w:t xml:space="preserve">Identity and composition of structurally related substances </w:t>
      </w:r>
      <w:r w:rsidR="00AC2CA3">
        <w:t>(</w:t>
      </w:r>
      <w:r w:rsidR="00FF688C">
        <w:t xml:space="preserve">used in a </w:t>
      </w:r>
      <w:r w:rsidR="001F5783">
        <w:t xml:space="preserve">grouping </w:t>
      </w:r>
      <w:r w:rsidR="0016056A">
        <w:t xml:space="preserve">or read-across </w:t>
      </w:r>
      <w:r w:rsidR="001F5783">
        <w:t>approach)</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0FE8E24B" w14:textId="77777777" w:rsidR="000C5C7A" w:rsidRPr="000C5C7A" w:rsidRDefault="000C5C7A" w:rsidP="000C5C7A">
      <w:pPr>
        <w:pStyle w:val="BodyText"/>
        <w:jc w:val="both"/>
      </w:pPr>
      <w:bookmarkStart w:id="137" w:name="_Toc341888506"/>
      <w:bookmarkStart w:id="138" w:name="_Toc342400360"/>
      <w:bookmarkStart w:id="139" w:name="_Toc354499571"/>
      <w:bookmarkStart w:id="140" w:name="_Toc357083646"/>
      <w:bookmarkStart w:id="141" w:name="_Toc357184195"/>
      <w:bookmarkStart w:id="142" w:name="_Toc357184431"/>
      <w:bookmarkStart w:id="143" w:name="_Toc357185233"/>
      <w:bookmarkStart w:id="144" w:name="_Toc357186081"/>
      <w:bookmarkStart w:id="145" w:name="_Toc357186230"/>
      <w:bookmarkStart w:id="146" w:name="_Toc357437516"/>
      <w:bookmarkStart w:id="147" w:name="_Toc357590789"/>
      <w:bookmarkStart w:id="148" w:name="_Toc357692821"/>
      <w:bookmarkStart w:id="149" w:name="_Toc365649648"/>
      <w:bookmarkStart w:id="150" w:name="_Toc365649797"/>
      <w:bookmarkStart w:id="151" w:name="_Toc366489849"/>
      <w:bookmarkStart w:id="152" w:name="_Toc418498554"/>
      <w:bookmarkStart w:id="153" w:name="_Toc418505997"/>
      <w:r w:rsidRPr="000C5C7A">
        <w:t>Not applicable.</w:t>
      </w:r>
    </w:p>
    <w:p w14:paraId="32126BFD" w14:textId="77777777" w:rsidR="00B12C39" w:rsidRDefault="00BB6734" w:rsidP="00C748EF">
      <w:pPr>
        <w:pStyle w:val="Heading2"/>
      </w:pPr>
      <w:bookmarkStart w:id="154" w:name="_Toc491786395"/>
      <w:r>
        <w:t xml:space="preserve">1.5 </w:t>
      </w:r>
      <w:r w:rsidR="00B12C39" w:rsidRPr="003F2F19">
        <w:t>Physicochemical properties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68C78687" w14:textId="75973401" w:rsidR="00451129" w:rsidRPr="00735584" w:rsidRDefault="00735584" w:rsidP="00735584">
      <w:pPr>
        <w:pStyle w:val="BodyText"/>
        <w:jc w:val="both"/>
      </w:pPr>
      <w:r>
        <w:t>For the registered UVCB substance “</w:t>
      </w:r>
      <w:r w:rsidRPr="00735584">
        <w:t>reaction product of 1,3,4-thiadiazolidine-2,5-dithione, formaldehyde and phenol, heptyl derivs.</w:t>
      </w:r>
      <w:r>
        <w:t>”</w:t>
      </w:r>
      <w:r w:rsidRPr="00735584">
        <w:t>,</w:t>
      </w:r>
      <w:r>
        <w:t xml:space="preserve"> which is covered by the group entry, physicochemical properties are given in Table </w:t>
      </w:r>
      <w:r w:rsidR="005B7135">
        <w:t xml:space="preserve">2 </w:t>
      </w:r>
      <w:r>
        <w:t>below.</w:t>
      </w:r>
    </w:p>
    <w:p w14:paraId="4980E3C6" w14:textId="77777777" w:rsidR="00B12C39" w:rsidRPr="00AA1BF2" w:rsidRDefault="00FC5D4E" w:rsidP="00FC5D4E">
      <w:pPr>
        <w:pStyle w:val="Caption"/>
        <w:rPr>
          <w:b/>
          <w:sz w:val="18"/>
          <w:szCs w:val="18"/>
        </w:rPr>
      </w:pPr>
      <w:bookmarkStart w:id="155" w:name="_Toc297618127"/>
      <w:bookmarkStart w:id="156" w:name="_Toc316637461"/>
      <w:bookmarkStart w:id="157" w:name="_Toc341889785"/>
      <w:bookmarkStart w:id="158" w:name="_Toc357184846"/>
      <w:bookmarkStart w:id="159" w:name="_Toc359563697"/>
      <w:bookmarkStart w:id="160" w:name="_Toc491786614"/>
      <w:r w:rsidRPr="00AA1BF2">
        <w:rPr>
          <w:b/>
          <w:sz w:val="18"/>
          <w:szCs w:val="18"/>
        </w:rPr>
        <w:lastRenderedPageBreak/>
        <w:t xml:space="preserve">Table </w:t>
      </w:r>
      <w:r w:rsidR="000721AD" w:rsidRPr="00AA1BF2">
        <w:rPr>
          <w:b/>
          <w:sz w:val="18"/>
          <w:szCs w:val="18"/>
        </w:rPr>
        <w:fldChar w:fldCharType="begin"/>
      </w:r>
      <w:r w:rsidRPr="00AA1BF2">
        <w:rPr>
          <w:b/>
          <w:sz w:val="18"/>
          <w:szCs w:val="18"/>
        </w:rPr>
        <w:instrText xml:space="preserve"> SEQ Table \* ARABIC </w:instrText>
      </w:r>
      <w:r w:rsidR="000721AD" w:rsidRPr="00AA1BF2">
        <w:rPr>
          <w:b/>
          <w:sz w:val="18"/>
          <w:szCs w:val="18"/>
        </w:rPr>
        <w:fldChar w:fldCharType="separate"/>
      </w:r>
      <w:r w:rsidR="00190FD3">
        <w:rPr>
          <w:b/>
          <w:noProof/>
          <w:sz w:val="18"/>
          <w:szCs w:val="18"/>
        </w:rPr>
        <w:t>2</w:t>
      </w:r>
      <w:r w:rsidR="000721AD" w:rsidRPr="00AA1BF2">
        <w:rPr>
          <w:b/>
          <w:sz w:val="18"/>
          <w:szCs w:val="18"/>
        </w:rPr>
        <w:fldChar w:fldCharType="end"/>
      </w:r>
      <w:r w:rsidR="00BA03FB" w:rsidRPr="00AA1BF2">
        <w:rPr>
          <w:b/>
          <w:sz w:val="18"/>
          <w:szCs w:val="18"/>
        </w:rPr>
        <w:t>:</w:t>
      </w:r>
      <w:r w:rsidR="00B12C39" w:rsidRPr="00AA1BF2">
        <w:rPr>
          <w:b/>
          <w:sz w:val="18"/>
          <w:szCs w:val="18"/>
        </w:rPr>
        <w:t xml:space="preserve"> Overview of physicochemical properties</w:t>
      </w:r>
      <w:bookmarkEnd w:id="155"/>
      <w:bookmarkEnd w:id="156"/>
      <w:bookmarkEnd w:id="157"/>
      <w:bookmarkEnd w:id="158"/>
      <w:bookmarkEnd w:id="159"/>
      <w:bookmarkEnd w:id="16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2655"/>
        <w:gridCol w:w="2303"/>
        <w:gridCol w:w="2337"/>
      </w:tblGrid>
      <w:tr w:rsidR="00AF09C4" w:rsidRPr="008D261F" w14:paraId="77A71428" w14:textId="77777777" w:rsidTr="00C7124D">
        <w:tc>
          <w:tcPr>
            <w:tcW w:w="2350" w:type="dxa"/>
          </w:tcPr>
          <w:p w14:paraId="70AF10FF" w14:textId="77777777" w:rsidR="00AF09C4" w:rsidRPr="008D0DBB" w:rsidRDefault="00AF09C4" w:rsidP="00B12C39">
            <w:pPr>
              <w:pStyle w:val="TableColumnHeader"/>
              <w:rPr>
                <w:sz w:val="18"/>
                <w:szCs w:val="18"/>
              </w:rPr>
            </w:pPr>
            <w:r w:rsidRPr="008D0DBB">
              <w:rPr>
                <w:sz w:val="18"/>
                <w:szCs w:val="18"/>
              </w:rPr>
              <w:t>Property</w:t>
            </w:r>
          </w:p>
        </w:tc>
        <w:tc>
          <w:tcPr>
            <w:tcW w:w="2713" w:type="dxa"/>
          </w:tcPr>
          <w:p w14:paraId="072C0053" w14:textId="77777777" w:rsidR="00AF09C4" w:rsidRPr="008D0DBB" w:rsidRDefault="00AF09C4" w:rsidP="00B12C39">
            <w:pPr>
              <w:pStyle w:val="TableColumnHeader"/>
              <w:rPr>
                <w:sz w:val="18"/>
                <w:szCs w:val="18"/>
              </w:rPr>
            </w:pPr>
            <w:r w:rsidRPr="008D0DBB">
              <w:rPr>
                <w:sz w:val="18"/>
                <w:szCs w:val="18"/>
              </w:rPr>
              <w:t>Description of key information</w:t>
            </w:r>
          </w:p>
        </w:tc>
        <w:tc>
          <w:tcPr>
            <w:tcW w:w="2337" w:type="dxa"/>
          </w:tcPr>
          <w:p w14:paraId="3E152307" w14:textId="77777777" w:rsidR="00AF09C4" w:rsidRPr="008D0DBB" w:rsidRDefault="00AF09C4" w:rsidP="00B12C39">
            <w:pPr>
              <w:pStyle w:val="TableColumnHeader"/>
              <w:rPr>
                <w:sz w:val="18"/>
                <w:szCs w:val="18"/>
              </w:rPr>
            </w:pPr>
            <w:r w:rsidRPr="008D0DBB">
              <w:rPr>
                <w:sz w:val="18"/>
                <w:szCs w:val="18"/>
              </w:rPr>
              <w:t>Value</w:t>
            </w:r>
            <w:r w:rsidR="009B2360">
              <w:rPr>
                <w:sz w:val="18"/>
                <w:szCs w:val="18"/>
              </w:rPr>
              <w:t xml:space="preserve"> [Unit]</w:t>
            </w:r>
          </w:p>
        </w:tc>
        <w:tc>
          <w:tcPr>
            <w:tcW w:w="2347" w:type="dxa"/>
          </w:tcPr>
          <w:p w14:paraId="4BEDAA32" w14:textId="73AA9372" w:rsidR="00AF09C4" w:rsidRPr="008D0DBB" w:rsidRDefault="00AF09C4" w:rsidP="00B12C39">
            <w:pPr>
              <w:pStyle w:val="TableColumnHeader"/>
              <w:rPr>
                <w:sz w:val="18"/>
                <w:szCs w:val="18"/>
              </w:rPr>
            </w:pPr>
            <w:r w:rsidRPr="008D0DBB">
              <w:rPr>
                <w:sz w:val="18"/>
                <w:szCs w:val="18"/>
              </w:rPr>
              <w:t>Reference/source of information</w:t>
            </w:r>
            <w:r w:rsidR="00682AF4">
              <w:rPr>
                <w:sz w:val="18"/>
                <w:szCs w:val="18"/>
              </w:rPr>
              <w:t>*</w:t>
            </w:r>
          </w:p>
        </w:tc>
      </w:tr>
      <w:tr w:rsidR="00682AF4" w:rsidRPr="00AC092B" w14:paraId="38B320F8" w14:textId="77777777" w:rsidTr="00C7124D">
        <w:tc>
          <w:tcPr>
            <w:tcW w:w="2350" w:type="dxa"/>
          </w:tcPr>
          <w:p w14:paraId="5FBD341F" w14:textId="77777777" w:rsidR="00682AF4" w:rsidRPr="008D0DBB" w:rsidRDefault="00682AF4" w:rsidP="00EE43A1">
            <w:pPr>
              <w:pStyle w:val="TableRowHeader"/>
              <w:jc w:val="left"/>
              <w:rPr>
                <w:sz w:val="18"/>
                <w:szCs w:val="18"/>
              </w:rPr>
            </w:pPr>
            <w:r w:rsidRPr="008D0DBB">
              <w:rPr>
                <w:sz w:val="18"/>
                <w:szCs w:val="18"/>
              </w:rPr>
              <w:t>Physical state at 20°C and 101.3 kPa</w:t>
            </w:r>
          </w:p>
        </w:tc>
        <w:tc>
          <w:tcPr>
            <w:tcW w:w="2713" w:type="dxa"/>
          </w:tcPr>
          <w:p w14:paraId="7885712F" w14:textId="4F6C8B07" w:rsidR="00682AF4" w:rsidRPr="00682AF4" w:rsidRDefault="00682AF4" w:rsidP="00EE43A1">
            <w:pPr>
              <w:pStyle w:val="StyleTabletextItalic"/>
              <w:jc w:val="left"/>
              <w:rPr>
                <w:i w:val="0"/>
                <w:sz w:val="18"/>
                <w:szCs w:val="18"/>
              </w:rPr>
            </w:pPr>
            <w:r w:rsidRPr="00682AF4">
              <w:rPr>
                <w:i w:val="0"/>
                <w:sz w:val="18"/>
                <w:szCs w:val="18"/>
              </w:rPr>
              <w:t>The substance is an amber coloured liquid with no reported odour.</w:t>
            </w:r>
          </w:p>
        </w:tc>
        <w:tc>
          <w:tcPr>
            <w:tcW w:w="2337" w:type="dxa"/>
          </w:tcPr>
          <w:p w14:paraId="325415CE" w14:textId="33D38A63" w:rsidR="00682AF4" w:rsidRPr="00682AF4" w:rsidRDefault="00682AF4" w:rsidP="00EE43A1">
            <w:pPr>
              <w:pStyle w:val="StyleTabletextItalic"/>
              <w:jc w:val="left"/>
              <w:rPr>
                <w:i w:val="0"/>
                <w:sz w:val="18"/>
                <w:szCs w:val="18"/>
              </w:rPr>
            </w:pPr>
            <w:r w:rsidRPr="00682AF4">
              <w:rPr>
                <w:i w:val="0"/>
                <w:sz w:val="18"/>
                <w:szCs w:val="18"/>
              </w:rPr>
              <w:t>Liquid at 20°C and 1013 hPa</w:t>
            </w:r>
          </w:p>
        </w:tc>
        <w:tc>
          <w:tcPr>
            <w:tcW w:w="2347" w:type="dxa"/>
          </w:tcPr>
          <w:p w14:paraId="5ED551E2" w14:textId="5570BC26" w:rsidR="00682AF4" w:rsidRPr="00682AF4" w:rsidRDefault="00682AF4" w:rsidP="00EE43A1">
            <w:pPr>
              <w:pStyle w:val="StyleTabletextItalic"/>
              <w:jc w:val="left"/>
              <w:rPr>
                <w:i w:val="0"/>
                <w:sz w:val="18"/>
                <w:szCs w:val="18"/>
              </w:rPr>
            </w:pPr>
            <w:r w:rsidRPr="00682AF4">
              <w:rPr>
                <w:i w:val="0"/>
                <w:sz w:val="18"/>
                <w:szCs w:val="18"/>
              </w:rPr>
              <w:t>Dissemination site</w:t>
            </w:r>
          </w:p>
        </w:tc>
      </w:tr>
      <w:tr w:rsidR="00682AF4" w:rsidRPr="00AC092B" w14:paraId="39F84A3A" w14:textId="77777777" w:rsidTr="00C7124D">
        <w:tc>
          <w:tcPr>
            <w:tcW w:w="2350" w:type="dxa"/>
          </w:tcPr>
          <w:p w14:paraId="4B04AA14" w14:textId="77777777" w:rsidR="00682AF4" w:rsidRPr="008D0DBB" w:rsidRDefault="00682AF4" w:rsidP="00EE43A1">
            <w:pPr>
              <w:pStyle w:val="TableRowHeader"/>
              <w:jc w:val="left"/>
              <w:rPr>
                <w:sz w:val="18"/>
                <w:szCs w:val="18"/>
              </w:rPr>
            </w:pPr>
            <w:r w:rsidRPr="008D0DBB">
              <w:rPr>
                <w:sz w:val="18"/>
                <w:szCs w:val="18"/>
              </w:rPr>
              <w:t>Melting/freezing point</w:t>
            </w:r>
          </w:p>
        </w:tc>
        <w:tc>
          <w:tcPr>
            <w:tcW w:w="2713" w:type="dxa"/>
          </w:tcPr>
          <w:p w14:paraId="0CFD8EE5" w14:textId="4782D337" w:rsidR="00682AF4" w:rsidRPr="00682AF4" w:rsidRDefault="00682AF4" w:rsidP="00EE43A1">
            <w:pPr>
              <w:pStyle w:val="StyleTabletextItalic"/>
              <w:jc w:val="left"/>
              <w:rPr>
                <w:i w:val="0"/>
                <w:sz w:val="18"/>
                <w:szCs w:val="18"/>
              </w:rPr>
            </w:pPr>
            <w:r w:rsidRPr="00682AF4">
              <w:rPr>
                <w:i w:val="0"/>
                <w:sz w:val="18"/>
                <w:szCs w:val="18"/>
              </w:rPr>
              <w:t>A melting point or melting range is not available for this UVCB substance. Two pour points are given in the registration dossiers depending probably on different methods and/or compositions of the measured UVCB substance.</w:t>
            </w:r>
          </w:p>
        </w:tc>
        <w:tc>
          <w:tcPr>
            <w:tcW w:w="2337" w:type="dxa"/>
          </w:tcPr>
          <w:p w14:paraId="3B06583D" w14:textId="77777777" w:rsidR="00682AF4" w:rsidRPr="00190FD3" w:rsidRDefault="00682AF4" w:rsidP="00253B98">
            <w:pPr>
              <w:pStyle w:val="TableRowHeader"/>
              <w:jc w:val="left"/>
              <w:rPr>
                <w:b w:val="0"/>
                <w:sz w:val="18"/>
                <w:szCs w:val="18"/>
                <w:lang w:val="fr-FR"/>
              </w:rPr>
            </w:pPr>
            <w:r w:rsidRPr="00190FD3">
              <w:rPr>
                <w:b w:val="0"/>
                <w:sz w:val="18"/>
                <w:szCs w:val="18"/>
                <w:lang w:val="fr-FR"/>
              </w:rPr>
              <w:t>Pour point: -3°C</w:t>
            </w:r>
          </w:p>
          <w:p w14:paraId="7D73F0C0" w14:textId="77777777" w:rsidR="00682AF4" w:rsidRPr="00190FD3" w:rsidRDefault="00682AF4" w:rsidP="00253B98">
            <w:pPr>
              <w:pStyle w:val="TableRowHeader"/>
              <w:jc w:val="left"/>
              <w:rPr>
                <w:b w:val="0"/>
                <w:sz w:val="18"/>
                <w:szCs w:val="18"/>
                <w:lang w:val="fr-FR"/>
              </w:rPr>
            </w:pPr>
          </w:p>
          <w:p w14:paraId="63E80430" w14:textId="77777777" w:rsidR="00682AF4" w:rsidRPr="00190FD3" w:rsidRDefault="00682AF4" w:rsidP="00253B98">
            <w:pPr>
              <w:pStyle w:val="TableRowHeader"/>
              <w:jc w:val="left"/>
              <w:rPr>
                <w:b w:val="0"/>
                <w:sz w:val="18"/>
                <w:szCs w:val="18"/>
                <w:lang w:val="fr-FR"/>
              </w:rPr>
            </w:pPr>
            <w:r w:rsidRPr="00190FD3">
              <w:rPr>
                <w:b w:val="0"/>
                <w:sz w:val="18"/>
                <w:szCs w:val="18"/>
                <w:lang w:val="fr-FR"/>
              </w:rPr>
              <w:t>Pour point: 9 ± 3°C</w:t>
            </w:r>
          </w:p>
          <w:p w14:paraId="765FA18F" w14:textId="00EDBA07" w:rsidR="00682AF4" w:rsidRPr="00190FD3" w:rsidRDefault="00682AF4" w:rsidP="00EE43A1">
            <w:pPr>
              <w:pStyle w:val="StyleTabletextItalic"/>
              <w:jc w:val="left"/>
              <w:rPr>
                <w:i w:val="0"/>
                <w:sz w:val="18"/>
                <w:szCs w:val="18"/>
                <w:lang w:val="fr-FR"/>
              </w:rPr>
            </w:pPr>
          </w:p>
        </w:tc>
        <w:tc>
          <w:tcPr>
            <w:tcW w:w="2347" w:type="dxa"/>
          </w:tcPr>
          <w:p w14:paraId="4DC5D7E5" w14:textId="56F58AD0" w:rsidR="00682AF4" w:rsidRPr="00682AF4" w:rsidRDefault="00682AF4" w:rsidP="00EE43A1">
            <w:pPr>
              <w:pStyle w:val="StyleTabletextItalic"/>
              <w:jc w:val="left"/>
              <w:rPr>
                <w:i w:val="0"/>
                <w:sz w:val="18"/>
                <w:szCs w:val="18"/>
              </w:rPr>
            </w:pPr>
            <w:r w:rsidRPr="00682AF4">
              <w:rPr>
                <w:i w:val="0"/>
                <w:sz w:val="18"/>
                <w:szCs w:val="18"/>
              </w:rPr>
              <w:t>Dissemination site</w:t>
            </w:r>
          </w:p>
        </w:tc>
      </w:tr>
      <w:tr w:rsidR="00682AF4" w:rsidRPr="00AC092B" w14:paraId="53714D2C" w14:textId="77777777" w:rsidTr="00C7124D">
        <w:tc>
          <w:tcPr>
            <w:tcW w:w="2350" w:type="dxa"/>
          </w:tcPr>
          <w:p w14:paraId="05446B57" w14:textId="77777777" w:rsidR="00682AF4" w:rsidRPr="008D0DBB" w:rsidRDefault="00682AF4" w:rsidP="00EE43A1">
            <w:pPr>
              <w:pStyle w:val="TableRowHeader"/>
              <w:jc w:val="left"/>
              <w:rPr>
                <w:sz w:val="18"/>
                <w:szCs w:val="18"/>
              </w:rPr>
            </w:pPr>
            <w:r w:rsidRPr="008D0DBB">
              <w:rPr>
                <w:sz w:val="18"/>
                <w:szCs w:val="18"/>
              </w:rPr>
              <w:t>Boiling point</w:t>
            </w:r>
          </w:p>
        </w:tc>
        <w:tc>
          <w:tcPr>
            <w:tcW w:w="2713" w:type="dxa"/>
          </w:tcPr>
          <w:p w14:paraId="2CD69B09" w14:textId="0AE199C9" w:rsidR="00682AF4" w:rsidRPr="00682AF4" w:rsidRDefault="00682AF4" w:rsidP="00EE43A1">
            <w:pPr>
              <w:pStyle w:val="StyleTabletextItalic"/>
              <w:jc w:val="left"/>
              <w:rPr>
                <w:i w:val="0"/>
                <w:sz w:val="18"/>
                <w:szCs w:val="18"/>
              </w:rPr>
            </w:pPr>
            <w:r w:rsidRPr="00682AF4">
              <w:rPr>
                <w:i w:val="0"/>
                <w:sz w:val="18"/>
                <w:szCs w:val="18"/>
              </w:rPr>
              <w:t>A boiling point or boiling range is not available, as substance decomposes.</w:t>
            </w:r>
          </w:p>
        </w:tc>
        <w:tc>
          <w:tcPr>
            <w:tcW w:w="2337" w:type="dxa"/>
          </w:tcPr>
          <w:p w14:paraId="4006651D" w14:textId="1618577E" w:rsidR="00682AF4" w:rsidRPr="00682AF4" w:rsidRDefault="00682AF4" w:rsidP="00EE43A1">
            <w:pPr>
              <w:pStyle w:val="StyleTabletextItalic"/>
              <w:jc w:val="left"/>
              <w:rPr>
                <w:i w:val="0"/>
                <w:sz w:val="18"/>
                <w:szCs w:val="18"/>
              </w:rPr>
            </w:pPr>
            <w:r w:rsidRPr="00682AF4">
              <w:rPr>
                <w:i w:val="0"/>
                <w:sz w:val="18"/>
                <w:szCs w:val="18"/>
              </w:rPr>
              <w:t>Start of decomposition from 244°C at 1009 hPa</w:t>
            </w:r>
          </w:p>
        </w:tc>
        <w:tc>
          <w:tcPr>
            <w:tcW w:w="2347" w:type="dxa"/>
          </w:tcPr>
          <w:p w14:paraId="5061CFE4" w14:textId="3EE12D54" w:rsidR="00682AF4" w:rsidRPr="00682AF4" w:rsidRDefault="00682AF4" w:rsidP="00EE43A1">
            <w:pPr>
              <w:pStyle w:val="StyleTabletextItalic"/>
              <w:jc w:val="left"/>
              <w:rPr>
                <w:i w:val="0"/>
                <w:sz w:val="18"/>
                <w:szCs w:val="18"/>
              </w:rPr>
            </w:pPr>
            <w:r w:rsidRPr="00682AF4">
              <w:rPr>
                <w:i w:val="0"/>
                <w:sz w:val="18"/>
                <w:szCs w:val="18"/>
              </w:rPr>
              <w:t>Dissemination site</w:t>
            </w:r>
          </w:p>
        </w:tc>
      </w:tr>
      <w:tr w:rsidR="00682AF4" w:rsidRPr="00AC092B" w14:paraId="2DEFF455" w14:textId="77777777" w:rsidTr="00C7124D">
        <w:tc>
          <w:tcPr>
            <w:tcW w:w="2350" w:type="dxa"/>
          </w:tcPr>
          <w:p w14:paraId="3CAA67AD" w14:textId="77777777" w:rsidR="00682AF4" w:rsidRPr="008D0DBB" w:rsidRDefault="00682AF4" w:rsidP="00EE43A1">
            <w:pPr>
              <w:pStyle w:val="TableRowHeader"/>
              <w:jc w:val="left"/>
              <w:rPr>
                <w:sz w:val="18"/>
                <w:szCs w:val="18"/>
              </w:rPr>
            </w:pPr>
            <w:r w:rsidRPr="008D0DBB">
              <w:rPr>
                <w:sz w:val="18"/>
                <w:szCs w:val="18"/>
              </w:rPr>
              <w:t xml:space="preserve">Vapour pressure </w:t>
            </w:r>
          </w:p>
        </w:tc>
        <w:tc>
          <w:tcPr>
            <w:tcW w:w="2713" w:type="dxa"/>
          </w:tcPr>
          <w:p w14:paraId="705837C1" w14:textId="68488D63" w:rsidR="00682AF4" w:rsidRPr="00682AF4" w:rsidRDefault="00682AF4" w:rsidP="00EE43A1">
            <w:pPr>
              <w:pStyle w:val="StyleTabletextItalic"/>
              <w:jc w:val="left"/>
              <w:rPr>
                <w:i w:val="0"/>
                <w:sz w:val="18"/>
                <w:szCs w:val="18"/>
              </w:rPr>
            </w:pPr>
            <w:r w:rsidRPr="00682AF4">
              <w:rPr>
                <w:i w:val="0"/>
                <w:sz w:val="18"/>
                <w:szCs w:val="18"/>
              </w:rPr>
              <w:t>According to EU Method A.4 (Vapour Pressure) Effusion method: vapour pressure balance</w:t>
            </w:r>
          </w:p>
        </w:tc>
        <w:tc>
          <w:tcPr>
            <w:tcW w:w="2337" w:type="dxa"/>
          </w:tcPr>
          <w:p w14:paraId="035FD423" w14:textId="3615A38F" w:rsidR="00682AF4" w:rsidRPr="00682AF4" w:rsidRDefault="00682AF4" w:rsidP="00EE43A1">
            <w:pPr>
              <w:pStyle w:val="StyleTabletextItalic"/>
              <w:jc w:val="left"/>
              <w:rPr>
                <w:i w:val="0"/>
                <w:sz w:val="18"/>
                <w:szCs w:val="18"/>
              </w:rPr>
            </w:pPr>
            <w:r w:rsidRPr="00682AF4">
              <w:rPr>
                <w:i w:val="0"/>
                <w:sz w:val="18"/>
                <w:szCs w:val="18"/>
              </w:rPr>
              <w:t>0.076 Pa</w:t>
            </w:r>
          </w:p>
        </w:tc>
        <w:tc>
          <w:tcPr>
            <w:tcW w:w="2347" w:type="dxa"/>
          </w:tcPr>
          <w:p w14:paraId="0E5A0149" w14:textId="77306EE7" w:rsidR="00682AF4" w:rsidRPr="00682AF4" w:rsidRDefault="00682AF4" w:rsidP="00EE43A1">
            <w:pPr>
              <w:pStyle w:val="StyleTabletextItalic"/>
              <w:jc w:val="left"/>
              <w:rPr>
                <w:i w:val="0"/>
                <w:sz w:val="18"/>
                <w:szCs w:val="18"/>
              </w:rPr>
            </w:pPr>
            <w:r w:rsidRPr="00682AF4">
              <w:rPr>
                <w:i w:val="0"/>
                <w:sz w:val="18"/>
                <w:szCs w:val="18"/>
              </w:rPr>
              <w:t>Dissemination site</w:t>
            </w:r>
          </w:p>
        </w:tc>
      </w:tr>
      <w:tr w:rsidR="00682AF4" w:rsidRPr="00AC092B" w14:paraId="4617F9E4" w14:textId="77777777" w:rsidTr="00C7124D">
        <w:tc>
          <w:tcPr>
            <w:tcW w:w="2350" w:type="dxa"/>
          </w:tcPr>
          <w:p w14:paraId="697D3E2A" w14:textId="77777777" w:rsidR="00682AF4" w:rsidRPr="008D0DBB" w:rsidRDefault="00682AF4" w:rsidP="00EE43A1">
            <w:pPr>
              <w:pStyle w:val="TableRowHeader"/>
              <w:jc w:val="left"/>
              <w:rPr>
                <w:sz w:val="18"/>
                <w:szCs w:val="18"/>
              </w:rPr>
            </w:pPr>
            <w:r w:rsidRPr="008D0DBB">
              <w:rPr>
                <w:sz w:val="18"/>
                <w:szCs w:val="18"/>
              </w:rPr>
              <w:t>Density</w:t>
            </w:r>
          </w:p>
        </w:tc>
        <w:tc>
          <w:tcPr>
            <w:tcW w:w="2713" w:type="dxa"/>
          </w:tcPr>
          <w:p w14:paraId="04C6B092" w14:textId="70E98ACD" w:rsidR="00682AF4" w:rsidRPr="00682AF4" w:rsidRDefault="00682AF4" w:rsidP="00EE43A1">
            <w:pPr>
              <w:pStyle w:val="StyleTabletextItalic"/>
              <w:jc w:val="left"/>
              <w:rPr>
                <w:i w:val="0"/>
                <w:sz w:val="18"/>
                <w:szCs w:val="18"/>
              </w:rPr>
            </w:pPr>
            <w:r w:rsidRPr="00682AF4">
              <w:rPr>
                <w:i w:val="0"/>
                <w:sz w:val="18"/>
                <w:szCs w:val="18"/>
              </w:rPr>
              <w:t>Test Guidance: ASTM D4052-09 Standard Test Method for Density and Relative Density of Liquids by Digital Density Meter</w:t>
            </w:r>
          </w:p>
        </w:tc>
        <w:tc>
          <w:tcPr>
            <w:tcW w:w="2337" w:type="dxa"/>
          </w:tcPr>
          <w:p w14:paraId="55708650" w14:textId="7F899150" w:rsidR="00682AF4" w:rsidRPr="00682AF4" w:rsidRDefault="00682AF4" w:rsidP="00EE43A1">
            <w:pPr>
              <w:pStyle w:val="StyleTabletextItalic"/>
              <w:jc w:val="left"/>
              <w:rPr>
                <w:i w:val="0"/>
                <w:sz w:val="18"/>
                <w:szCs w:val="18"/>
              </w:rPr>
            </w:pPr>
            <w:r w:rsidRPr="00682AF4">
              <w:rPr>
                <w:i w:val="0"/>
                <w:sz w:val="18"/>
                <w:szCs w:val="18"/>
              </w:rPr>
              <w:t>1.12 g/mL at 15.6°C</w:t>
            </w:r>
          </w:p>
        </w:tc>
        <w:tc>
          <w:tcPr>
            <w:tcW w:w="2347" w:type="dxa"/>
          </w:tcPr>
          <w:p w14:paraId="58DD8A85" w14:textId="5B98A5FE" w:rsidR="00682AF4" w:rsidRPr="00682AF4" w:rsidRDefault="00682AF4" w:rsidP="00EE43A1">
            <w:pPr>
              <w:pStyle w:val="StyleTabletextItalic"/>
              <w:jc w:val="left"/>
              <w:rPr>
                <w:i w:val="0"/>
                <w:sz w:val="18"/>
                <w:szCs w:val="18"/>
              </w:rPr>
            </w:pPr>
            <w:r w:rsidRPr="00682AF4">
              <w:rPr>
                <w:i w:val="0"/>
                <w:sz w:val="18"/>
                <w:szCs w:val="18"/>
              </w:rPr>
              <w:t>Dissemination site</w:t>
            </w:r>
          </w:p>
        </w:tc>
      </w:tr>
      <w:tr w:rsidR="00682AF4" w:rsidRPr="00AC092B" w14:paraId="048DBE35" w14:textId="77777777" w:rsidTr="00C7124D">
        <w:tc>
          <w:tcPr>
            <w:tcW w:w="2350" w:type="dxa"/>
          </w:tcPr>
          <w:p w14:paraId="20DA770C" w14:textId="77777777" w:rsidR="00682AF4" w:rsidRPr="008D0DBB" w:rsidRDefault="00682AF4" w:rsidP="00EE43A1">
            <w:pPr>
              <w:pStyle w:val="TableRowHeader"/>
              <w:jc w:val="left"/>
              <w:rPr>
                <w:sz w:val="18"/>
                <w:szCs w:val="18"/>
              </w:rPr>
            </w:pPr>
            <w:r w:rsidRPr="008D0DBB">
              <w:rPr>
                <w:sz w:val="18"/>
                <w:szCs w:val="18"/>
              </w:rPr>
              <w:t>Water solubility</w:t>
            </w:r>
          </w:p>
        </w:tc>
        <w:tc>
          <w:tcPr>
            <w:tcW w:w="2713" w:type="dxa"/>
          </w:tcPr>
          <w:p w14:paraId="457A9C3D" w14:textId="77777777" w:rsidR="00682AF4" w:rsidRPr="00DB30BE" w:rsidRDefault="00682AF4" w:rsidP="00253B98">
            <w:pPr>
              <w:pStyle w:val="TableRowHeader"/>
              <w:jc w:val="left"/>
              <w:rPr>
                <w:b w:val="0"/>
                <w:sz w:val="18"/>
                <w:szCs w:val="18"/>
              </w:rPr>
            </w:pPr>
            <w:r w:rsidRPr="00682AF4">
              <w:rPr>
                <w:b w:val="0"/>
                <w:sz w:val="18"/>
                <w:szCs w:val="18"/>
              </w:rPr>
              <w:t>OECD Guideline105</w:t>
            </w:r>
            <w:r w:rsidRPr="00DB30BE">
              <w:rPr>
                <w:b w:val="0"/>
                <w:sz w:val="18"/>
                <w:szCs w:val="18"/>
              </w:rPr>
              <w:t xml:space="preserve"> for Testing of Chemicals</w:t>
            </w:r>
            <w:r w:rsidRPr="00682AF4">
              <w:rPr>
                <w:b w:val="0"/>
                <w:sz w:val="18"/>
                <w:szCs w:val="18"/>
              </w:rPr>
              <w:t xml:space="preserve"> (flask method)</w:t>
            </w:r>
          </w:p>
          <w:p w14:paraId="7815CB51" w14:textId="0A24EBE6" w:rsidR="00682AF4" w:rsidRPr="00682AF4" w:rsidRDefault="00682AF4" w:rsidP="00EE43A1">
            <w:pPr>
              <w:pStyle w:val="StyleTabletextItalic"/>
              <w:jc w:val="left"/>
              <w:rPr>
                <w:i w:val="0"/>
                <w:sz w:val="18"/>
                <w:szCs w:val="18"/>
              </w:rPr>
            </w:pPr>
          </w:p>
        </w:tc>
        <w:tc>
          <w:tcPr>
            <w:tcW w:w="2337" w:type="dxa"/>
          </w:tcPr>
          <w:p w14:paraId="7725D8F6" w14:textId="2BC15896" w:rsidR="00682AF4" w:rsidRPr="00682AF4" w:rsidRDefault="00682AF4" w:rsidP="00EE43A1">
            <w:pPr>
              <w:pStyle w:val="StyleTabletextItalic"/>
              <w:jc w:val="left"/>
              <w:rPr>
                <w:i w:val="0"/>
                <w:sz w:val="18"/>
                <w:szCs w:val="18"/>
              </w:rPr>
            </w:pPr>
            <w:r w:rsidRPr="00682AF4">
              <w:rPr>
                <w:i w:val="0"/>
                <w:sz w:val="18"/>
                <w:szCs w:val="18"/>
                <w:u w:val="single"/>
              </w:rPr>
              <w:t>&lt;</w:t>
            </w:r>
            <w:r w:rsidRPr="00682AF4">
              <w:rPr>
                <w:i w:val="0"/>
                <w:sz w:val="18"/>
                <w:szCs w:val="18"/>
              </w:rPr>
              <w:t>1.14 x 10</w:t>
            </w:r>
            <w:r w:rsidRPr="00682AF4">
              <w:rPr>
                <w:i w:val="0"/>
                <w:sz w:val="18"/>
                <w:szCs w:val="18"/>
                <w:vertAlign w:val="superscript"/>
              </w:rPr>
              <w:t>-4</w:t>
            </w:r>
            <w:r w:rsidRPr="00682AF4">
              <w:rPr>
                <w:i w:val="0"/>
                <w:sz w:val="18"/>
                <w:szCs w:val="18"/>
              </w:rPr>
              <w:t xml:space="preserve"> g/L at 20.0± 0.5°C.</w:t>
            </w:r>
          </w:p>
        </w:tc>
        <w:tc>
          <w:tcPr>
            <w:tcW w:w="2347" w:type="dxa"/>
          </w:tcPr>
          <w:p w14:paraId="02013CFF" w14:textId="33704F08" w:rsidR="00682AF4" w:rsidRPr="00682AF4" w:rsidRDefault="00682AF4" w:rsidP="00EE43A1">
            <w:pPr>
              <w:pStyle w:val="StyleTabletextItalic"/>
              <w:jc w:val="left"/>
              <w:rPr>
                <w:i w:val="0"/>
                <w:sz w:val="18"/>
                <w:szCs w:val="18"/>
              </w:rPr>
            </w:pPr>
            <w:r w:rsidRPr="00682AF4">
              <w:rPr>
                <w:i w:val="0"/>
                <w:sz w:val="18"/>
                <w:szCs w:val="18"/>
              </w:rPr>
              <w:t>Dissemination site</w:t>
            </w:r>
          </w:p>
        </w:tc>
      </w:tr>
      <w:tr w:rsidR="00682AF4" w:rsidRPr="00AC092B" w14:paraId="50E83022" w14:textId="77777777" w:rsidTr="00C7124D">
        <w:tc>
          <w:tcPr>
            <w:tcW w:w="2350" w:type="dxa"/>
          </w:tcPr>
          <w:p w14:paraId="4CC6BA3E" w14:textId="77777777" w:rsidR="00682AF4" w:rsidRPr="008D0DBB" w:rsidRDefault="00682AF4" w:rsidP="00EE43A1">
            <w:pPr>
              <w:pStyle w:val="TableRowHeader"/>
              <w:jc w:val="left"/>
              <w:rPr>
                <w:sz w:val="18"/>
                <w:szCs w:val="18"/>
              </w:rPr>
            </w:pPr>
            <w:r w:rsidRPr="008D0DBB">
              <w:rPr>
                <w:sz w:val="18"/>
                <w:szCs w:val="18"/>
              </w:rPr>
              <w:t>Partition coefficient n-octanol/water (log value)</w:t>
            </w:r>
          </w:p>
        </w:tc>
        <w:tc>
          <w:tcPr>
            <w:tcW w:w="2713" w:type="dxa"/>
          </w:tcPr>
          <w:p w14:paraId="7EE3B5D3" w14:textId="3FAD20AD" w:rsidR="00682AF4" w:rsidRPr="00682AF4" w:rsidRDefault="00682AF4" w:rsidP="00EE43A1">
            <w:pPr>
              <w:pStyle w:val="StyleTabletextItalic"/>
              <w:jc w:val="left"/>
              <w:rPr>
                <w:i w:val="0"/>
                <w:sz w:val="18"/>
                <w:szCs w:val="18"/>
              </w:rPr>
            </w:pPr>
            <w:r w:rsidRPr="00682AF4">
              <w:rPr>
                <w:i w:val="0"/>
                <w:sz w:val="18"/>
                <w:szCs w:val="18"/>
              </w:rPr>
              <w:t>OECD Guideline 117 (Partition Coefficient (n-octanol / water), HPLC Method)</w:t>
            </w:r>
          </w:p>
        </w:tc>
        <w:tc>
          <w:tcPr>
            <w:tcW w:w="2337" w:type="dxa"/>
          </w:tcPr>
          <w:p w14:paraId="00C3645B" w14:textId="6979FC3F" w:rsidR="00682AF4" w:rsidRPr="00682AF4" w:rsidRDefault="00682AF4" w:rsidP="00EE43A1">
            <w:pPr>
              <w:pStyle w:val="StyleTabletextItalic"/>
              <w:jc w:val="left"/>
              <w:rPr>
                <w:i w:val="0"/>
                <w:sz w:val="18"/>
                <w:szCs w:val="18"/>
              </w:rPr>
            </w:pPr>
            <w:r w:rsidRPr="00682AF4">
              <w:rPr>
                <w:i w:val="0"/>
                <w:sz w:val="18"/>
                <w:szCs w:val="18"/>
              </w:rPr>
              <w:t>The test substance is a mixture of components with logPow values ranging from 5.31 to 11.41</w:t>
            </w:r>
          </w:p>
        </w:tc>
        <w:tc>
          <w:tcPr>
            <w:tcW w:w="2347" w:type="dxa"/>
          </w:tcPr>
          <w:p w14:paraId="62ED9E8B" w14:textId="07CEDE39" w:rsidR="00682AF4" w:rsidRPr="00682AF4" w:rsidRDefault="00682AF4" w:rsidP="00EE43A1">
            <w:pPr>
              <w:pStyle w:val="StyleTabletextItalic"/>
              <w:jc w:val="left"/>
              <w:rPr>
                <w:i w:val="0"/>
                <w:sz w:val="18"/>
                <w:szCs w:val="18"/>
              </w:rPr>
            </w:pPr>
            <w:r w:rsidRPr="00682AF4">
              <w:rPr>
                <w:i w:val="0"/>
                <w:sz w:val="18"/>
                <w:szCs w:val="18"/>
              </w:rPr>
              <w:t>Dissemination site</w:t>
            </w:r>
          </w:p>
        </w:tc>
      </w:tr>
    </w:tbl>
    <w:p w14:paraId="632DAAD5" w14:textId="28EE0579" w:rsidR="00B12C39" w:rsidRPr="00682AF4" w:rsidRDefault="00682AF4" w:rsidP="00682AF4">
      <w:pPr>
        <w:pStyle w:val="StyleTabletextItalic"/>
        <w:jc w:val="left"/>
        <w:rPr>
          <w:i w:val="0"/>
          <w:sz w:val="18"/>
          <w:szCs w:val="18"/>
        </w:rPr>
      </w:pPr>
      <w:r w:rsidRPr="00682AF4">
        <w:rPr>
          <w:b/>
          <w:i w:val="0"/>
          <w:sz w:val="18"/>
          <w:szCs w:val="18"/>
        </w:rPr>
        <w:t>*</w:t>
      </w:r>
      <w:r w:rsidRPr="00682AF4">
        <w:rPr>
          <w:i w:val="0"/>
          <w:sz w:val="18"/>
          <w:szCs w:val="18"/>
        </w:rPr>
        <w:t>https://echa.europa.eu/information-on-chemicals/registered-sub</w:t>
      </w:r>
      <w:r>
        <w:rPr>
          <w:i w:val="0"/>
          <w:sz w:val="18"/>
          <w:szCs w:val="18"/>
        </w:rPr>
        <w:t>stances. Dissemination site was accessed at 19</w:t>
      </w:r>
      <w:r w:rsidRPr="00682AF4">
        <w:rPr>
          <w:i w:val="0"/>
          <w:sz w:val="18"/>
          <w:szCs w:val="18"/>
        </w:rPr>
        <w:t>.07.2016</w:t>
      </w:r>
    </w:p>
    <w:p w14:paraId="69FFABEE" w14:textId="77777777" w:rsidR="00B12C39" w:rsidRDefault="00B12C39" w:rsidP="00B12C39">
      <w:pPr>
        <w:pStyle w:val="Heading1"/>
      </w:pPr>
      <w:r>
        <w:br w:type="page"/>
      </w:r>
      <w:bookmarkStart w:id="161" w:name="_Toc341888507"/>
      <w:bookmarkStart w:id="162" w:name="_Toc342400361"/>
      <w:bookmarkStart w:id="163" w:name="_Toc354499572"/>
      <w:bookmarkStart w:id="164" w:name="_Toc357083647"/>
      <w:bookmarkStart w:id="165" w:name="_Toc357184196"/>
      <w:bookmarkStart w:id="166" w:name="_Toc357184432"/>
      <w:bookmarkStart w:id="167" w:name="_Toc357185234"/>
      <w:bookmarkStart w:id="168" w:name="_Toc357186082"/>
      <w:bookmarkStart w:id="169" w:name="_Toc357186231"/>
      <w:bookmarkStart w:id="170" w:name="_Toc357437517"/>
      <w:bookmarkStart w:id="171" w:name="_Toc357590790"/>
      <w:bookmarkStart w:id="172" w:name="_Toc357692822"/>
      <w:bookmarkStart w:id="173" w:name="_Toc365649649"/>
      <w:bookmarkStart w:id="174" w:name="_Toc365649798"/>
      <w:bookmarkStart w:id="175" w:name="_Toc366489850"/>
      <w:bookmarkStart w:id="176" w:name="_Toc418498555"/>
      <w:bookmarkStart w:id="177" w:name="_Toc418505998"/>
      <w:bookmarkStart w:id="178" w:name="_Toc491786396"/>
      <w:r w:rsidRPr="003F2F19">
        <w:lastRenderedPageBreak/>
        <w:t>Harmonised classification and labelling</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2CFC9A56" w14:textId="2C48F4F7" w:rsidR="005B6EDC" w:rsidRPr="005B6EDC" w:rsidRDefault="005B6EDC" w:rsidP="005B6EDC">
      <w:pPr>
        <w:widowControl/>
        <w:spacing w:after="180"/>
        <w:jc w:val="both"/>
        <w:rPr>
          <w:szCs w:val="24"/>
          <w:lang w:eastAsia="en-US"/>
        </w:rPr>
      </w:pPr>
      <w:bookmarkStart w:id="179" w:name="_Toc265748360"/>
      <w:bookmarkStart w:id="180" w:name="_Toc277236424"/>
      <w:bookmarkStart w:id="181" w:name="_Toc284425462"/>
      <w:r>
        <w:rPr>
          <w:rFonts w:eastAsia="SimSun"/>
          <w:szCs w:val="24"/>
          <w:lang w:eastAsia="zh-CN"/>
        </w:rPr>
        <w:t>N</w:t>
      </w:r>
      <w:r w:rsidRPr="00247545">
        <w:rPr>
          <w:rFonts w:eastAsia="SimSun"/>
          <w:szCs w:val="24"/>
          <w:lang w:eastAsia="zh-CN"/>
        </w:rPr>
        <w:t xml:space="preserve">o </w:t>
      </w:r>
      <w:r w:rsidRPr="0010365B">
        <w:rPr>
          <w:rFonts w:eastAsia="Calibri"/>
          <w:lang w:eastAsia="en-US"/>
        </w:rPr>
        <w:t>harmonised</w:t>
      </w:r>
      <w:r w:rsidRPr="00247545">
        <w:rPr>
          <w:rFonts w:eastAsia="SimSun"/>
          <w:szCs w:val="24"/>
          <w:lang w:eastAsia="zh-CN"/>
        </w:rPr>
        <w:t xml:space="preserve"> classification and labelling is available for any </w:t>
      </w:r>
      <w:r>
        <w:rPr>
          <w:rFonts w:eastAsia="SimSun"/>
          <w:szCs w:val="24"/>
          <w:lang w:eastAsia="zh-CN"/>
        </w:rPr>
        <w:t xml:space="preserve">of the </w:t>
      </w:r>
      <w:r w:rsidRPr="00247545">
        <w:rPr>
          <w:rFonts w:eastAsia="SimSun"/>
          <w:szCs w:val="24"/>
          <w:lang w:eastAsia="zh-CN"/>
        </w:rPr>
        <w:t>substance</w:t>
      </w:r>
      <w:r>
        <w:rPr>
          <w:rFonts w:eastAsia="SimSun"/>
          <w:szCs w:val="24"/>
          <w:lang w:eastAsia="zh-CN"/>
        </w:rPr>
        <w:t>s in</w:t>
      </w:r>
      <w:r w:rsidRPr="00247545">
        <w:rPr>
          <w:rFonts w:eastAsia="SimSun"/>
          <w:szCs w:val="24"/>
          <w:lang w:eastAsia="zh-CN"/>
        </w:rPr>
        <w:t xml:space="preserve"> the </w:t>
      </w:r>
      <w:r>
        <w:rPr>
          <w:rFonts w:cs="Verdana"/>
          <w:sz w:val="19"/>
          <w:szCs w:val="19"/>
          <w:lang w:eastAsia="en-GB"/>
        </w:rPr>
        <w:t>group of RP-HP.</w:t>
      </w:r>
      <w:r w:rsidRPr="005B6EDC">
        <w:rPr>
          <w:szCs w:val="24"/>
          <w:lang w:eastAsia="en-US"/>
        </w:rPr>
        <w:t xml:space="preserve"> Classification of </w:t>
      </w:r>
      <w:r w:rsidR="007174A6">
        <w:rPr>
          <w:szCs w:val="24"/>
          <w:lang w:eastAsia="en-US"/>
        </w:rPr>
        <w:t>constituents</w:t>
      </w:r>
      <w:r w:rsidRPr="005B6EDC">
        <w:rPr>
          <w:szCs w:val="24"/>
          <w:lang w:eastAsia="en-US"/>
        </w:rPr>
        <w:t xml:space="preserve"> and additive</w:t>
      </w:r>
      <w:r w:rsidR="005E487C">
        <w:rPr>
          <w:szCs w:val="24"/>
          <w:lang w:eastAsia="en-US"/>
        </w:rPr>
        <w:t>s is given in confidential Annex</w:t>
      </w:r>
      <w:r w:rsidRPr="005B6EDC">
        <w:rPr>
          <w:szCs w:val="24"/>
          <w:lang w:eastAsia="en-US"/>
        </w:rPr>
        <w:t xml:space="preserve"> II.</w:t>
      </w:r>
    </w:p>
    <w:p w14:paraId="52B1F7CD" w14:textId="0CE7A048" w:rsidR="005B6EDC" w:rsidRDefault="005B6EDC" w:rsidP="005B6EDC">
      <w:pPr>
        <w:widowControl/>
        <w:spacing w:before="40" w:after="80"/>
        <w:jc w:val="both"/>
        <w:rPr>
          <w:rFonts w:cs="Verdana"/>
          <w:sz w:val="19"/>
          <w:szCs w:val="19"/>
          <w:lang w:eastAsia="en-GB"/>
        </w:rPr>
      </w:pPr>
      <w:r>
        <w:rPr>
          <w:rFonts w:eastAsia="SimSun"/>
          <w:szCs w:val="24"/>
          <w:lang w:eastAsia="zh-CN"/>
        </w:rPr>
        <w:t>Furthermore, n</w:t>
      </w:r>
      <w:r w:rsidRPr="00247545">
        <w:rPr>
          <w:rFonts w:eastAsia="SimSun"/>
          <w:szCs w:val="24"/>
          <w:lang w:eastAsia="zh-CN"/>
        </w:rPr>
        <w:t xml:space="preserve">o </w:t>
      </w:r>
      <w:r w:rsidRPr="0010365B">
        <w:rPr>
          <w:rFonts w:eastAsia="Calibri"/>
          <w:lang w:eastAsia="en-US"/>
        </w:rPr>
        <w:t>harmonised</w:t>
      </w:r>
      <w:r w:rsidRPr="00247545">
        <w:rPr>
          <w:rFonts w:eastAsia="SimSun"/>
          <w:szCs w:val="24"/>
          <w:lang w:eastAsia="zh-CN"/>
        </w:rPr>
        <w:t xml:space="preserve"> classification and labelling is available for any </w:t>
      </w:r>
      <w:r>
        <w:rPr>
          <w:rFonts w:eastAsia="SimSun"/>
          <w:szCs w:val="24"/>
          <w:lang w:eastAsia="zh-CN"/>
        </w:rPr>
        <w:t xml:space="preserve">of the </w:t>
      </w:r>
      <w:r w:rsidRPr="00247545">
        <w:rPr>
          <w:rFonts w:eastAsia="SimSun"/>
          <w:szCs w:val="24"/>
          <w:lang w:eastAsia="zh-CN"/>
        </w:rPr>
        <w:t>substance</w:t>
      </w:r>
      <w:r>
        <w:rPr>
          <w:rFonts w:eastAsia="SimSun"/>
          <w:szCs w:val="24"/>
          <w:lang w:eastAsia="zh-CN"/>
        </w:rPr>
        <w:t>s in</w:t>
      </w:r>
      <w:r w:rsidRPr="00247545">
        <w:rPr>
          <w:rFonts w:eastAsia="SimSun"/>
          <w:szCs w:val="24"/>
          <w:lang w:eastAsia="zh-CN"/>
        </w:rPr>
        <w:t xml:space="preserve"> the </w:t>
      </w:r>
      <w:r w:rsidRPr="00E13563">
        <w:rPr>
          <w:rFonts w:cs="Verdana"/>
          <w:szCs w:val="19"/>
          <w:lang w:eastAsia="en-GB"/>
        </w:rPr>
        <w:t>group of 4-Heptylphenol, branched and linear.</w:t>
      </w:r>
    </w:p>
    <w:p w14:paraId="0637238C" w14:textId="77777777" w:rsidR="007E399C" w:rsidRPr="002750FE" w:rsidRDefault="007E399C" w:rsidP="002750FE">
      <w:pPr>
        <w:pStyle w:val="BodyText"/>
      </w:pPr>
    </w:p>
    <w:p w14:paraId="2550A70E" w14:textId="77777777" w:rsidR="00B12C39" w:rsidRPr="00096A9A" w:rsidRDefault="00B12C39" w:rsidP="00B12C39">
      <w:pPr>
        <w:pStyle w:val="Heading1"/>
      </w:pPr>
      <w:bookmarkStart w:id="182" w:name="_Toc341888508"/>
      <w:bookmarkStart w:id="183" w:name="_Toc342400362"/>
      <w:bookmarkStart w:id="184" w:name="_Toc354499573"/>
      <w:bookmarkStart w:id="185" w:name="_Toc357083648"/>
      <w:bookmarkStart w:id="186" w:name="_Toc357184197"/>
      <w:bookmarkStart w:id="187" w:name="_Toc357184433"/>
      <w:bookmarkStart w:id="188" w:name="_Toc357185235"/>
      <w:bookmarkStart w:id="189" w:name="_Toc357186083"/>
      <w:bookmarkStart w:id="190" w:name="_Toc357186232"/>
      <w:bookmarkStart w:id="191" w:name="_Toc357437518"/>
      <w:bookmarkStart w:id="192" w:name="_Toc357590791"/>
      <w:bookmarkStart w:id="193" w:name="_Toc357692823"/>
      <w:bookmarkStart w:id="194" w:name="_Toc365649650"/>
      <w:bookmarkStart w:id="195" w:name="_Toc365649799"/>
      <w:bookmarkStart w:id="196" w:name="_Toc366489851"/>
      <w:bookmarkStart w:id="197" w:name="_Toc418498556"/>
      <w:bookmarkStart w:id="198" w:name="_Toc418505999"/>
      <w:bookmarkStart w:id="199" w:name="_Toc491786397"/>
      <w:bookmarkEnd w:id="179"/>
      <w:bookmarkEnd w:id="180"/>
      <w:bookmarkEnd w:id="181"/>
      <w:r w:rsidRPr="00096A9A">
        <w:t>Environmental fate properties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1B2340C4" w14:textId="256DF661" w:rsidR="005E487C" w:rsidRPr="00A22761" w:rsidRDefault="00A22761" w:rsidP="00A22761">
      <w:pPr>
        <w:pStyle w:val="NormalItalic"/>
        <w:rPr>
          <w:i w:val="0"/>
        </w:rPr>
      </w:pPr>
      <w:r>
        <w:rPr>
          <w:i w:val="0"/>
        </w:rPr>
        <w:t>The identification of RP-HP</w:t>
      </w:r>
      <w:r w:rsidR="005E487C">
        <w:rPr>
          <w:i w:val="0"/>
        </w:rPr>
        <w:t xml:space="preserve"> </w:t>
      </w:r>
      <w:r w:rsidR="005E487C" w:rsidRPr="00A22761">
        <w:rPr>
          <w:i w:val="0"/>
        </w:rPr>
        <w:t xml:space="preserve">with ≥0.1% w/w 4-heptylphenol, branched and linear as substances of very high concern in accordance with Article 57(f) of Regulation (EC) 1907/2006 (REACH) </w:t>
      </w:r>
      <w:r w:rsidR="00321CD7">
        <w:rPr>
          <w:i w:val="0"/>
        </w:rPr>
        <w:t>is</w:t>
      </w:r>
      <w:r>
        <w:rPr>
          <w:i w:val="0"/>
        </w:rPr>
        <w:t xml:space="preserve"> based on the identification of </w:t>
      </w:r>
      <w:r w:rsidR="005E487C" w:rsidRPr="00A22761">
        <w:rPr>
          <w:i w:val="0"/>
        </w:rPr>
        <w:t xml:space="preserve">4-heptylphenol, branched and linear </w:t>
      </w:r>
      <w:r>
        <w:rPr>
          <w:i w:val="0"/>
        </w:rPr>
        <w:t xml:space="preserve">(4-HPbl) </w:t>
      </w:r>
      <w:r w:rsidR="005E487C" w:rsidRPr="00A22761">
        <w:rPr>
          <w:i w:val="0"/>
        </w:rPr>
        <w:t>as a group of substances with endocrine disrupting properties for which there is scientific evidence of probable serious effects to the environment which gives rise to an equivalent level of concern to those of other substances listed in points (</w:t>
      </w:r>
      <w:r w:rsidR="003D1A35">
        <w:rPr>
          <w:i w:val="0"/>
        </w:rPr>
        <w:t>a</w:t>
      </w:r>
      <w:r w:rsidR="005E487C" w:rsidRPr="00A22761">
        <w:rPr>
          <w:i w:val="0"/>
        </w:rPr>
        <w:t>) to (e) of Article 57 REACH.</w:t>
      </w:r>
      <w:r>
        <w:rPr>
          <w:i w:val="0"/>
        </w:rPr>
        <w:t xml:space="preserve"> </w:t>
      </w:r>
    </w:p>
    <w:p w14:paraId="284F6B66" w14:textId="52D6E0C6" w:rsidR="00A22761" w:rsidRDefault="00321CD7" w:rsidP="00A22761">
      <w:pPr>
        <w:pStyle w:val="NormalItalic"/>
        <w:rPr>
          <w:i w:val="0"/>
        </w:rPr>
      </w:pPr>
      <w:r>
        <w:rPr>
          <w:i w:val="0"/>
        </w:rPr>
        <w:t xml:space="preserve">The group of </w:t>
      </w:r>
      <w:r w:rsidR="00A22761">
        <w:rPr>
          <w:i w:val="0"/>
        </w:rPr>
        <w:t xml:space="preserve">4-HPbl </w:t>
      </w:r>
      <w:r>
        <w:rPr>
          <w:i w:val="0"/>
        </w:rPr>
        <w:t>is</w:t>
      </w:r>
      <w:r w:rsidR="00A22761">
        <w:rPr>
          <w:i w:val="0"/>
        </w:rPr>
        <w:t xml:space="preserve"> already included in the candidate list. A detailed assessment of their environmental fate properties is available in the “</w:t>
      </w:r>
      <w:r w:rsidR="00A22761" w:rsidRPr="00A22761">
        <w:rPr>
          <w:i w:val="0"/>
        </w:rPr>
        <w:t>Member state committee support document for identification of 4-heptylp</w:t>
      </w:r>
      <w:r w:rsidR="00A22761">
        <w:rPr>
          <w:i w:val="0"/>
        </w:rPr>
        <w:t>henol, branched and linear (4-HP</w:t>
      </w:r>
      <w:r w:rsidR="00A22761" w:rsidRPr="00A22761">
        <w:rPr>
          <w:i w:val="0"/>
        </w:rPr>
        <w:t>bl)</w:t>
      </w:r>
      <w:r w:rsidR="00A22761">
        <w:rPr>
          <w:i w:val="0"/>
        </w:rPr>
        <w:t xml:space="preserve"> </w:t>
      </w:r>
      <w:r w:rsidR="00A22761" w:rsidRPr="00A22761">
        <w:rPr>
          <w:i w:val="0"/>
        </w:rPr>
        <w:t xml:space="preserve">as a substance of very high concern because of its endocrine disrupting properties which cause probable serious effects to the environment which give rise to an equivalent level of concern to those of CMR and </w:t>
      </w:r>
      <w:r w:rsidR="00A22761">
        <w:rPr>
          <w:i w:val="0"/>
        </w:rPr>
        <w:t>PBT/vPv</w:t>
      </w:r>
      <w:r w:rsidR="00A22761" w:rsidRPr="00A22761">
        <w:rPr>
          <w:i w:val="0"/>
        </w:rPr>
        <w:t>B substances</w:t>
      </w:r>
      <w:r w:rsidR="00A22761">
        <w:rPr>
          <w:i w:val="0"/>
        </w:rPr>
        <w:t>”, a</w:t>
      </w:r>
      <w:r w:rsidR="00A22761" w:rsidRPr="00A22761">
        <w:rPr>
          <w:i w:val="0"/>
        </w:rPr>
        <w:t>dopted on 14 December 2016</w:t>
      </w:r>
      <w:bookmarkStart w:id="200" w:name="_Ref491785987"/>
      <w:r w:rsidR="00A22761" w:rsidRPr="00A22761">
        <w:rPr>
          <w:rStyle w:val="FootnoteReference"/>
          <w:rFonts w:ascii="Verdana" w:hAnsi="Verdana"/>
          <w:i w:val="0"/>
          <w:sz w:val="20"/>
          <w:szCs w:val="20"/>
        </w:rPr>
        <w:footnoteReference w:id="7"/>
      </w:r>
      <w:bookmarkEnd w:id="200"/>
      <w:r w:rsidR="00A22761">
        <w:rPr>
          <w:i w:val="0"/>
        </w:rPr>
        <w:t>.</w:t>
      </w:r>
    </w:p>
    <w:p w14:paraId="794E05F6" w14:textId="5049FEC4" w:rsidR="00B12C39" w:rsidRPr="00321CD7" w:rsidRDefault="00A22761" w:rsidP="00321CD7">
      <w:pPr>
        <w:pStyle w:val="NormalItalic"/>
        <w:rPr>
          <w:i w:val="0"/>
        </w:rPr>
      </w:pPr>
      <w:r>
        <w:rPr>
          <w:i w:val="0"/>
        </w:rPr>
        <w:t>A literature search for new scientific data on 4-HP</w:t>
      </w:r>
      <w:r w:rsidRPr="00A22761">
        <w:rPr>
          <w:i w:val="0"/>
        </w:rPr>
        <w:t>bl</w:t>
      </w:r>
      <w:r>
        <w:rPr>
          <w:i w:val="0"/>
        </w:rPr>
        <w:t xml:space="preserve"> has been performed</w:t>
      </w:r>
      <w:r w:rsidR="00321CD7">
        <w:rPr>
          <w:i w:val="0"/>
        </w:rPr>
        <w:t xml:space="preserve"> in July 2017</w:t>
      </w:r>
      <w:r>
        <w:rPr>
          <w:i w:val="0"/>
        </w:rPr>
        <w:t>, however</w:t>
      </w:r>
      <w:r w:rsidR="003E7229">
        <w:rPr>
          <w:i w:val="0"/>
        </w:rPr>
        <w:t>,</w:t>
      </w:r>
      <w:r>
        <w:rPr>
          <w:i w:val="0"/>
        </w:rPr>
        <w:t xml:space="preserve"> no new data that would </w:t>
      </w:r>
      <w:r w:rsidR="00321CD7">
        <w:rPr>
          <w:i w:val="0"/>
        </w:rPr>
        <w:t>add to the assessment of endocrine disrupting properties of 4-HPbl have been identified.</w:t>
      </w:r>
    </w:p>
    <w:p w14:paraId="3870DC2A" w14:textId="77777777" w:rsidR="00FA66FC" w:rsidRPr="00FA66FC" w:rsidRDefault="00FA66FC" w:rsidP="00FA66FC">
      <w:pPr>
        <w:pStyle w:val="BodyText"/>
      </w:pPr>
    </w:p>
    <w:p w14:paraId="2B2077A9" w14:textId="3C4BCA05" w:rsidR="007E399C" w:rsidRDefault="00B12C39" w:rsidP="00FA66FC">
      <w:pPr>
        <w:pStyle w:val="Heading1"/>
      </w:pPr>
      <w:bookmarkStart w:id="201" w:name="_Toc341888534"/>
      <w:bookmarkStart w:id="202" w:name="_Toc342400387"/>
      <w:bookmarkStart w:id="203" w:name="_Toc354499589"/>
      <w:bookmarkStart w:id="204" w:name="_Toc357083664"/>
      <w:bookmarkStart w:id="205" w:name="_Toc357184213"/>
      <w:bookmarkStart w:id="206" w:name="_Toc357184449"/>
      <w:bookmarkStart w:id="207" w:name="_Toc357185251"/>
      <w:bookmarkStart w:id="208" w:name="_Toc357186099"/>
      <w:bookmarkStart w:id="209" w:name="_Toc357186248"/>
      <w:bookmarkStart w:id="210" w:name="_Toc357437534"/>
      <w:bookmarkStart w:id="211" w:name="_Toc357590807"/>
      <w:bookmarkStart w:id="212" w:name="_Toc357692839"/>
      <w:bookmarkStart w:id="213" w:name="_Toc365649668"/>
      <w:bookmarkStart w:id="214" w:name="_Toc365649817"/>
      <w:bookmarkStart w:id="215" w:name="_Toc366489869"/>
      <w:bookmarkStart w:id="216" w:name="_Toc418498574"/>
      <w:bookmarkStart w:id="217" w:name="_Toc418506017"/>
      <w:bookmarkStart w:id="218" w:name="_Toc491786398"/>
      <w:r>
        <w:t>Human health hazard assessment</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136128F" w14:textId="3E25932B" w:rsidR="003E0449" w:rsidRDefault="001D7962" w:rsidP="00321CD7">
      <w:pPr>
        <w:pStyle w:val="NormalItalic"/>
        <w:rPr>
          <w:i w:val="0"/>
        </w:rPr>
      </w:pPr>
      <w:r>
        <w:rPr>
          <w:i w:val="0"/>
        </w:rPr>
        <w:t xml:space="preserve">See Chapter 3. </w:t>
      </w:r>
    </w:p>
    <w:p w14:paraId="22A3A5DD" w14:textId="0DB14CA5" w:rsidR="00321CD7" w:rsidRDefault="00321CD7" w:rsidP="00321CD7">
      <w:pPr>
        <w:pStyle w:val="NormalItalic"/>
        <w:rPr>
          <w:i w:val="0"/>
        </w:rPr>
      </w:pPr>
      <w:r>
        <w:rPr>
          <w:i w:val="0"/>
        </w:rPr>
        <w:t xml:space="preserve">A detailed assessment of the human health hazards </w:t>
      </w:r>
      <w:r w:rsidR="001D7962">
        <w:rPr>
          <w:i w:val="0"/>
        </w:rPr>
        <w:t xml:space="preserve">of 4-HPbl </w:t>
      </w:r>
      <w:r>
        <w:rPr>
          <w:i w:val="0"/>
        </w:rPr>
        <w:t>is available in the “</w:t>
      </w:r>
      <w:r w:rsidRPr="00A22761">
        <w:rPr>
          <w:i w:val="0"/>
        </w:rPr>
        <w:t>Member state committee support document for identification of 4-heptylp</w:t>
      </w:r>
      <w:r>
        <w:rPr>
          <w:i w:val="0"/>
        </w:rPr>
        <w:t>henol, branched and linear (4-HP</w:t>
      </w:r>
      <w:r w:rsidRPr="00A22761">
        <w:rPr>
          <w:i w:val="0"/>
        </w:rPr>
        <w:t>bl)</w:t>
      </w:r>
      <w:r>
        <w:rPr>
          <w:i w:val="0"/>
        </w:rPr>
        <w:t xml:space="preserve"> </w:t>
      </w:r>
      <w:r w:rsidRPr="00A22761">
        <w:rPr>
          <w:i w:val="0"/>
        </w:rPr>
        <w:t xml:space="preserve">as a substance of very high concern because of its endocrine disrupting properties which cause probable serious effects to the environment which give rise to an equivalent level of concern to those of CMR and </w:t>
      </w:r>
      <w:r>
        <w:rPr>
          <w:i w:val="0"/>
        </w:rPr>
        <w:t>PBT/vPv</w:t>
      </w:r>
      <w:r w:rsidRPr="00A22761">
        <w:rPr>
          <w:i w:val="0"/>
        </w:rPr>
        <w:t>B substances</w:t>
      </w:r>
      <w:r>
        <w:rPr>
          <w:i w:val="0"/>
        </w:rPr>
        <w:t>”, a</w:t>
      </w:r>
      <w:r w:rsidRPr="00A22761">
        <w:rPr>
          <w:i w:val="0"/>
        </w:rPr>
        <w:t>dopted on 14 December 2016</w:t>
      </w:r>
      <w:r w:rsidR="00A41430" w:rsidRPr="00A41430">
        <w:rPr>
          <w:i w:val="0"/>
          <w:szCs w:val="20"/>
          <w:vertAlign w:val="superscript"/>
        </w:rPr>
        <w:fldChar w:fldCharType="begin"/>
      </w:r>
      <w:r w:rsidR="00A41430" w:rsidRPr="00A41430">
        <w:rPr>
          <w:i w:val="0"/>
          <w:vertAlign w:val="superscript"/>
        </w:rPr>
        <w:instrText xml:space="preserve"> NOTEREF _Ref491785987 \h </w:instrText>
      </w:r>
      <w:r w:rsidR="00A41430">
        <w:rPr>
          <w:i w:val="0"/>
          <w:szCs w:val="20"/>
          <w:vertAlign w:val="superscript"/>
        </w:rPr>
        <w:instrText xml:space="preserve"> \* MERGEFORMAT </w:instrText>
      </w:r>
      <w:r w:rsidR="00A41430" w:rsidRPr="00A41430">
        <w:rPr>
          <w:i w:val="0"/>
          <w:szCs w:val="20"/>
          <w:vertAlign w:val="superscript"/>
        </w:rPr>
      </w:r>
      <w:r w:rsidR="00A41430" w:rsidRPr="00A41430">
        <w:rPr>
          <w:i w:val="0"/>
          <w:szCs w:val="20"/>
          <w:vertAlign w:val="superscript"/>
        </w:rPr>
        <w:fldChar w:fldCharType="separate"/>
      </w:r>
      <w:r w:rsidR="00A41430" w:rsidRPr="00A41430">
        <w:rPr>
          <w:i w:val="0"/>
          <w:vertAlign w:val="superscript"/>
        </w:rPr>
        <w:t>7</w:t>
      </w:r>
      <w:r w:rsidR="00A41430" w:rsidRPr="00A41430">
        <w:rPr>
          <w:i w:val="0"/>
          <w:szCs w:val="20"/>
          <w:vertAlign w:val="superscript"/>
        </w:rPr>
        <w:fldChar w:fldCharType="end"/>
      </w:r>
      <w:r>
        <w:rPr>
          <w:i w:val="0"/>
        </w:rPr>
        <w:t>.</w:t>
      </w:r>
    </w:p>
    <w:p w14:paraId="7B1EE2C1" w14:textId="2FDE3B3E" w:rsidR="00321CD7" w:rsidRDefault="00321CD7" w:rsidP="00321CD7">
      <w:pPr>
        <w:pStyle w:val="NormalItalic"/>
        <w:rPr>
          <w:i w:val="0"/>
        </w:rPr>
      </w:pPr>
      <w:r>
        <w:rPr>
          <w:i w:val="0"/>
        </w:rPr>
        <w:t>A literature search for new scientific data on 4-HP</w:t>
      </w:r>
      <w:r w:rsidRPr="00A22761">
        <w:rPr>
          <w:i w:val="0"/>
        </w:rPr>
        <w:t>bl</w:t>
      </w:r>
      <w:r>
        <w:rPr>
          <w:i w:val="0"/>
        </w:rPr>
        <w:t xml:space="preserve"> has been performed in July 2017, however</w:t>
      </w:r>
      <w:r w:rsidR="003E7229">
        <w:rPr>
          <w:i w:val="0"/>
        </w:rPr>
        <w:t>,</w:t>
      </w:r>
      <w:r>
        <w:rPr>
          <w:i w:val="0"/>
        </w:rPr>
        <w:t xml:space="preserve"> no new data that would add to the assessment of endocrine disrupting properties of 4-HPbl have been identified.</w:t>
      </w:r>
    </w:p>
    <w:p w14:paraId="298122D1" w14:textId="77777777" w:rsidR="003E0449" w:rsidRPr="00A22761" w:rsidRDefault="003E0449" w:rsidP="00321CD7">
      <w:pPr>
        <w:pStyle w:val="NormalItalic"/>
        <w:rPr>
          <w:i w:val="0"/>
        </w:rPr>
      </w:pPr>
    </w:p>
    <w:p w14:paraId="6427C0A0" w14:textId="3B19F9FF" w:rsidR="00B12C39" w:rsidRPr="00E45915" w:rsidRDefault="00B12C39" w:rsidP="00E45915">
      <w:pPr>
        <w:pStyle w:val="Heading1"/>
      </w:pPr>
      <w:bookmarkStart w:id="219" w:name="_Toc341888586"/>
      <w:bookmarkStart w:id="220" w:name="_Toc342400447"/>
      <w:bookmarkStart w:id="221" w:name="_Toc354499624"/>
      <w:bookmarkStart w:id="222" w:name="_Toc357083699"/>
      <w:bookmarkStart w:id="223" w:name="_Toc357184248"/>
      <w:bookmarkStart w:id="224" w:name="_Toc357184484"/>
      <w:bookmarkStart w:id="225" w:name="_Toc357185286"/>
      <w:bookmarkStart w:id="226" w:name="_Toc357186134"/>
      <w:bookmarkStart w:id="227" w:name="_Toc357186283"/>
      <w:bookmarkStart w:id="228" w:name="_Toc357437569"/>
      <w:bookmarkStart w:id="229" w:name="_Toc357590842"/>
      <w:bookmarkStart w:id="230" w:name="_Toc357692874"/>
      <w:bookmarkStart w:id="231" w:name="_Toc365649702"/>
      <w:bookmarkStart w:id="232" w:name="_Toc365649851"/>
      <w:bookmarkStart w:id="233" w:name="_Toc366489903"/>
      <w:bookmarkStart w:id="234" w:name="_Toc418506055"/>
      <w:bookmarkStart w:id="235" w:name="_Toc491786399"/>
      <w:r w:rsidRPr="00E45915">
        <w:rPr>
          <w:rStyle w:val="Heading1Char"/>
          <w:b/>
        </w:rPr>
        <w:t>Environmental hazard assessment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5A218610" w14:textId="77777777" w:rsidR="003E0449" w:rsidRDefault="001D7962" w:rsidP="00321CD7">
      <w:pPr>
        <w:pStyle w:val="NormalItalic"/>
        <w:rPr>
          <w:i w:val="0"/>
        </w:rPr>
      </w:pPr>
      <w:r>
        <w:rPr>
          <w:i w:val="0"/>
        </w:rPr>
        <w:t xml:space="preserve">See Chapter 3. </w:t>
      </w:r>
    </w:p>
    <w:p w14:paraId="4B87D494" w14:textId="24276F5D" w:rsidR="00321CD7" w:rsidRDefault="00321CD7" w:rsidP="00321CD7">
      <w:pPr>
        <w:pStyle w:val="NormalItalic"/>
        <w:rPr>
          <w:i w:val="0"/>
        </w:rPr>
      </w:pPr>
      <w:r>
        <w:rPr>
          <w:i w:val="0"/>
        </w:rPr>
        <w:t xml:space="preserve">A detailed assessment of the environmental health hazards </w:t>
      </w:r>
      <w:r w:rsidR="001D7962">
        <w:rPr>
          <w:i w:val="0"/>
        </w:rPr>
        <w:t xml:space="preserve">of 4-HPbl </w:t>
      </w:r>
      <w:r>
        <w:rPr>
          <w:i w:val="0"/>
        </w:rPr>
        <w:t>is available in the “</w:t>
      </w:r>
      <w:r w:rsidRPr="00A22761">
        <w:rPr>
          <w:i w:val="0"/>
        </w:rPr>
        <w:t>Member state committee support document for identification of 4-heptylp</w:t>
      </w:r>
      <w:r>
        <w:rPr>
          <w:i w:val="0"/>
        </w:rPr>
        <w:t>henol, branched and linear (4-</w:t>
      </w:r>
      <w:r>
        <w:rPr>
          <w:i w:val="0"/>
        </w:rPr>
        <w:lastRenderedPageBreak/>
        <w:t>HP</w:t>
      </w:r>
      <w:r w:rsidRPr="00A22761">
        <w:rPr>
          <w:i w:val="0"/>
        </w:rPr>
        <w:t>bl)</w:t>
      </w:r>
      <w:r>
        <w:rPr>
          <w:i w:val="0"/>
        </w:rPr>
        <w:t xml:space="preserve"> </w:t>
      </w:r>
      <w:r w:rsidRPr="00A22761">
        <w:rPr>
          <w:i w:val="0"/>
        </w:rPr>
        <w:t xml:space="preserve">as a substance of very high concern because of its endocrine disrupting properties which cause probable serious effects to the environment which give rise to an equivalent level of concern to those of CMR and </w:t>
      </w:r>
      <w:r>
        <w:rPr>
          <w:i w:val="0"/>
        </w:rPr>
        <w:t>PBT/vPv</w:t>
      </w:r>
      <w:r w:rsidRPr="00A22761">
        <w:rPr>
          <w:i w:val="0"/>
        </w:rPr>
        <w:t>B substances</w:t>
      </w:r>
      <w:r>
        <w:rPr>
          <w:i w:val="0"/>
        </w:rPr>
        <w:t>”, a</w:t>
      </w:r>
      <w:r w:rsidRPr="00A22761">
        <w:rPr>
          <w:i w:val="0"/>
        </w:rPr>
        <w:t>dopted on 14 December 2016</w:t>
      </w:r>
      <w:r w:rsidR="00D55DF1" w:rsidRPr="00D55DF1">
        <w:rPr>
          <w:i w:val="0"/>
          <w:szCs w:val="20"/>
          <w:vertAlign w:val="superscript"/>
        </w:rPr>
        <w:fldChar w:fldCharType="begin"/>
      </w:r>
      <w:r w:rsidR="00D55DF1" w:rsidRPr="00D55DF1">
        <w:rPr>
          <w:i w:val="0"/>
          <w:vertAlign w:val="superscript"/>
        </w:rPr>
        <w:instrText xml:space="preserve"> NOTEREF _Ref491785987 \h </w:instrText>
      </w:r>
      <w:r w:rsidR="00D55DF1">
        <w:rPr>
          <w:i w:val="0"/>
          <w:szCs w:val="20"/>
          <w:vertAlign w:val="superscript"/>
        </w:rPr>
        <w:instrText xml:space="preserve"> \* MERGEFORMAT </w:instrText>
      </w:r>
      <w:r w:rsidR="00D55DF1" w:rsidRPr="00D55DF1">
        <w:rPr>
          <w:i w:val="0"/>
          <w:szCs w:val="20"/>
          <w:vertAlign w:val="superscript"/>
        </w:rPr>
      </w:r>
      <w:r w:rsidR="00D55DF1" w:rsidRPr="00D55DF1">
        <w:rPr>
          <w:i w:val="0"/>
          <w:szCs w:val="20"/>
          <w:vertAlign w:val="superscript"/>
        </w:rPr>
        <w:fldChar w:fldCharType="separate"/>
      </w:r>
      <w:r w:rsidR="00D55DF1" w:rsidRPr="00D55DF1">
        <w:rPr>
          <w:i w:val="0"/>
          <w:vertAlign w:val="superscript"/>
        </w:rPr>
        <w:t>7</w:t>
      </w:r>
      <w:r w:rsidR="00D55DF1" w:rsidRPr="00D55DF1">
        <w:rPr>
          <w:i w:val="0"/>
          <w:szCs w:val="20"/>
          <w:vertAlign w:val="superscript"/>
        </w:rPr>
        <w:fldChar w:fldCharType="end"/>
      </w:r>
      <w:r>
        <w:rPr>
          <w:i w:val="0"/>
        </w:rPr>
        <w:t>.</w:t>
      </w:r>
    </w:p>
    <w:p w14:paraId="34F30A7B" w14:textId="0CCF0D60" w:rsidR="00321CD7" w:rsidRPr="00A22761" w:rsidRDefault="00321CD7" w:rsidP="00321CD7">
      <w:pPr>
        <w:pStyle w:val="NormalItalic"/>
        <w:rPr>
          <w:i w:val="0"/>
        </w:rPr>
      </w:pPr>
      <w:r>
        <w:rPr>
          <w:i w:val="0"/>
        </w:rPr>
        <w:t>A literature search for new scientific data on 4-HP</w:t>
      </w:r>
      <w:r w:rsidRPr="00A22761">
        <w:rPr>
          <w:i w:val="0"/>
        </w:rPr>
        <w:t>bl</w:t>
      </w:r>
      <w:r>
        <w:rPr>
          <w:i w:val="0"/>
        </w:rPr>
        <w:t xml:space="preserve"> has been performed in July 2017, however</w:t>
      </w:r>
      <w:r w:rsidR="003E7229">
        <w:rPr>
          <w:i w:val="0"/>
        </w:rPr>
        <w:t>,</w:t>
      </w:r>
      <w:r>
        <w:rPr>
          <w:i w:val="0"/>
        </w:rPr>
        <w:t xml:space="preserve"> no new data that would add to the assessment of endocrine disrupting properties of 4-HPbl have been identified.</w:t>
      </w:r>
    </w:p>
    <w:p w14:paraId="658B9B6B" w14:textId="6401F90B" w:rsidR="00B12C39" w:rsidRDefault="00B12C39" w:rsidP="00321CD7">
      <w:pPr>
        <w:pStyle w:val="Heading2"/>
        <w:keepLines w:val="0"/>
        <w:ind w:left="567" w:hanging="567"/>
      </w:pPr>
    </w:p>
    <w:p w14:paraId="37D63E99" w14:textId="77777777" w:rsidR="00B12C39" w:rsidRPr="0007332F" w:rsidRDefault="00B12C39" w:rsidP="00B12C39">
      <w:pPr>
        <w:pStyle w:val="BodyText"/>
        <w:rPr>
          <w:rFonts w:cs="Arial"/>
          <w:b/>
          <w:color w:val="0046AD"/>
          <w:sz w:val="24"/>
          <w:szCs w:val="22"/>
        </w:rPr>
      </w:pPr>
    </w:p>
    <w:p w14:paraId="312C4E8C" w14:textId="77777777" w:rsidR="00B12C39" w:rsidRDefault="00B12C39" w:rsidP="00E45915">
      <w:pPr>
        <w:pStyle w:val="Heading1"/>
      </w:pPr>
      <w:r>
        <w:br w:type="page"/>
      </w:r>
      <w:bookmarkStart w:id="236" w:name="_Toc341888610"/>
      <w:bookmarkStart w:id="237" w:name="_Toc342400470"/>
      <w:bookmarkStart w:id="238" w:name="_Toc354499642"/>
      <w:bookmarkStart w:id="239" w:name="_Toc357083717"/>
      <w:bookmarkStart w:id="240" w:name="_Toc357184266"/>
      <w:bookmarkStart w:id="241" w:name="_Toc357184502"/>
      <w:bookmarkStart w:id="242" w:name="_Toc357185304"/>
      <w:bookmarkStart w:id="243" w:name="_Toc357186152"/>
      <w:bookmarkStart w:id="244" w:name="_Toc357186301"/>
      <w:bookmarkStart w:id="245" w:name="_Toc357437587"/>
      <w:bookmarkStart w:id="246" w:name="_Toc357590860"/>
      <w:bookmarkStart w:id="247" w:name="_Toc357692892"/>
      <w:bookmarkStart w:id="248" w:name="_Toc365649718"/>
      <w:bookmarkStart w:id="249" w:name="_Toc365649867"/>
      <w:bookmarkStart w:id="250" w:name="_Toc366489919"/>
      <w:bookmarkStart w:id="251" w:name="_Toc418498623"/>
      <w:bookmarkStart w:id="252" w:name="_Toc418506078"/>
      <w:bookmarkStart w:id="253" w:name="_Toc491786400"/>
      <w:r>
        <w:lastRenderedPageBreak/>
        <w:t>Conclusions on the SVHC Properties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0BCE17F8" w14:textId="77777777" w:rsidR="00B12C39" w:rsidRPr="00E45915" w:rsidRDefault="00E45915" w:rsidP="00E45915">
      <w:pPr>
        <w:pStyle w:val="Heading2"/>
      </w:pPr>
      <w:bookmarkStart w:id="254" w:name="_Toc354499643"/>
      <w:bookmarkStart w:id="255" w:name="_Toc357083718"/>
      <w:bookmarkStart w:id="256" w:name="_Toc357184267"/>
      <w:bookmarkStart w:id="257" w:name="_Toc357184503"/>
      <w:bookmarkStart w:id="258" w:name="_Toc357185305"/>
      <w:bookmarkStart w:id="259" w:name="_Toc357186153"/>
      <w:bookmarkStart w:id="260" w:name="_Toc357186302"/>
      <w:bookmarkStart w:id="261" w:name="_Toc357437588"/>
      <w:bookmarkStart w:id="262" w:name="_Toc357590861"/>
      <w:bookmarkStart w:id="263" w:name="_Toc357692893"/>
      <w:bookmarkStart w:id="264" w:name="_Toc365649719"/>
      <w:bookmarkStart w:id="265" w:name="_Toc365649868"/>
      <w:bookmarkStart w:id="266" w:name="_Toc366489920"/>
      <w:bookmarkStart w:id="267" w:name="_Toc418498624"/>
      <w:bookmarkStart w:id="268" w:name="_Toc418506079"/>
      <w:bookmarkStart w:id="269" w:name="_Toc491786401"/>
      <w:r>
        <w:t xml:space="preserve">6.1 </w:t>
      </w:r>
      <w:r w:rsidR="00B12C39" w:rsidRPr="00E45915">
        <w:t>CMR assessment</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7C7A4707" w14:textId="77777777" w:rsidR="00B12C39" w:rsidRPr="00CC2632" w:rsidRDefault="00B12C39" w:rsidP="00B12C39">
      <w:pPr>
        <w:pStyle w:val="NormalItalic"/>
        <w:rPr>
          <w:i w:val="0"/>
        </w:rPr>
      </w:pPr>
      <w:r w:rsidRPr="00CC2632">
        <w:rPr>
          <w:i w:val="0"/>
        </w:rPr>
        <w:t xml:space="preserve">Not relevant for the identification of the substance as SVHC in accordance with Article 57 </w:t>
      </w:r>
      <w:r w:rsidR="00AA219A" w:rsidRPr="00977FC9">
        <w:rPr>
          <w:i w:val="0"/>
        </w:rPr>
        <w:t>(</w:t>
      </w:r>
      <w:r w:rsidRPr="00977FC9">
        <w:rPr>
          <w:i w:val="0"/>
        </w:rPr>
        <w:t>f</w:t>
      </w:r>
      <w:r w:rsidR="00AA219A" w:rsidRPr="00977FC9">
        <w:rPr>
          <w:i w:val="0"/>
        </w:rPr>
        <w:t>)</w:t>
      </w:r>
      <w:r w:rsidR="00E644C4" w:rsidRPr="00CC2632">
        <w:rPr>
          <w:i w:val="0"/>
        </w:rPr>
        <w:t xml:space="preserve"> REACH</w:t>
      </w:r>
      <w:r w:rsidRPr="00CC2632">
        <w:rPr>
          <w:i w:val="0"/>
        </w:rPr>
        <w:t>.</w:t>
      </w:r>
    </w:p>
    <w:p w14:paraId="7A03D1BF" w14:textId="77777777" w:rsidR="00B12C39" w:rsidRPr="002750FE" w:rsidRDefault="00B12C39" w:rsidP="002750FE">
      <w:pPr>
        <w:widowControl/>
        <w:autoSpaceDE w:val="0"/>
        <w:autoSpaceDN w:val="0"/>
        <w:adjustRightInd w:val="0"/>
        <w:jc w:val="both"/>
        <w:rPr>
          <w:rFonts w:cs="Verdana"/>
          <w:lang w:eastAsia="en-GB"/>
        </w:rPr>
      </w:pPr>
    </w:p>
    <w:p w14:paraId="7F92967A" w14:textId="77777777" w:rsidR="00B12C39" w:rsidRPr="00E45915" w:rsidRDefault="00E45915" w:rsidP="00E45915">
      <w:pPr>
        <w:pStyle w:val="Heading2"/>
      </w:pPr>
      <w:bookmarkStart w:id="270" w:name="_Toc341888611"/>
      <w:bookmarkStart w:id="271" w:name="_Toc342400471"/>
      <w:bookmarkStart w:id="272" w:name="_Toc354499644"/>
      <w:bookmarkStart w:id="273" w:name="_Toc357083719"/>
      <w:bookmarkStart w:id="274" w:name="_Toc357184268"/>
      <w:bookmarkStart w:id="275" w:name="_Toc357184504"/>
      <w:bookmarkStart w:id="276" w:name="_Toc357185306"/>
      <w:bookmarkStart w:id="277" w:name="_Toc357186154"/>
      <w:bookmarkStart w:id="278" w:name="_Toc357186303"/>
      <w:bookmarkStart w:id="279" w:name="_Toc357437589"/>
      <w:bookmarkStart w:id="280" w:name="_Toc357590862"/>
      <w:bookmarkStart w:id="281" w:name="_Toc357692894"/>
      <w:bookmarkStart w:id="282" w:name="_Toc365649720"/>
      <w:bookmarkStart w:id="283" w:name="_Toc365649869"/>
      <w:bookmarkStart w:id="284" w:name="_Toc366489921"/>
      <w:bookmarkStart w:id="285" w:name="_Toc418498625"/>
      <w:bookmarkStart w:id="286" w:name="_Toc418506080"/>
      <w:bookmarkStart w:id="287" w:name="_Toc491786402"/>
      <w:r>
        <w:t xml:space="preserve">6.2 </w:t>
      </w:r>
      <w:r w:rsidR="00B12C39" w:rsidRPr="00E45915">
        <w:t>PBT and vPvB assessment</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35A3BD88" w14:textId="77777777" w:rsidR="00977FC9" w:rsidRPr="00CC2632" w:rsidRDefault="00977FC9" w:rsidP="00977FC9">
      <w:pPr>
        <w:pStyle w:val="NormalItalic"/>
        <w:rPr>
          <w:i w:val="0"/>
        </w:rPr>
      </w:pPr>
      <w:r w:rsidRPr="00CC2632">
        <w:rPr>
          <w:i w:val="0"/>
        </w:rPr>
        <w:t xml:space="preserve">Not relevant for the identification of the substance as SVHC in accordance with Article 57 </w:t>
      </w:r>
      <w:r w:rsidRPr="00977FC9">
        <w:rPr>
          <w:i w:val="0"/>
        </w:rPr>
        <w:t>(f)</w:t>
      </w:r>
      <w:r w:rsidRPr="00CC2632">
        <w:rPr>
          <w:i w:val="0"/>
        </w:rPr>
        <w:t xml:space="preserve"> REACH.</w:t>
      </w:r>
    </w:p>
    <w:p w14:paraId="65AAE3F2" w14:textId="77777777" w:rsidR="00BF78CF" w:rsidRPr="00E42790" w:rsidRDefault="00BF78CF" w:rsidP="00E42790">
      <w:pPr>
        <w:widowControl/>
        <w:autoSpaceDE w:val="0"/>
        <w:autoSpaceDN w:val="0"/>
        <w:adjustRightInd w:val="0"/>
        <w:jc w:val="both"/>
        <w:rPr>
          <w:rFonts w:cs="Verdana"/>
          <w:lang w:eastAsia="en-GB"/>
        </w:rPr>
      </w:pPr>
    </w:p>
    <w:p w14:paraId="67F79713" w14:textId="77777777" w:rsidR="00B12C39" w:rsidRDefault="009A5369" w:rsidP="009A5369">
      <w:pPr>
        <w:pStyle w:val="Heading2"/>
      </w:pPr>
      <w:bookmarkStart w:id="288" w:name="_Toc341888618"/>
      <w:bookmarkStart w:id="289" w:name="_Toc342400478"/>
      <w:bookmarkStart w:id="290" w:name="_Toc354499647"/>
      <w:bookmarkStart w:id="291" w:name="_Toc357083725"/>
      <w:bookmarkStart w:id="292" w:name="_Toc357184271"/>
      <w:bookmarkStart w:id="293" w:name="_Toc357184507"/>
      <w:bookmarkStart w:id="294" w:name="_Toc357185309"/>
      <w:bookmarkStart w:id="295" w:name="_Toc357186157"/>
      <w:bookmarkStart w:id="296" w:name="_Toc357186306"/>
      <w:bookmarkStart w:id="297" w:name="_Toc357437592"/>
      <w:bookmarkStart w:id="298" w:name="_Toc357590865"/>
      <w:bookmarkStart w:id="299" w:name="_Toc357692897"/>
      <w:bookmarkStart w:id="300" w:name="_Toc365649723"/>
      <w:bookmarkStart w:id="301" w:name="_Toc365649872"/>
      <w:bookmarkStart w:id="302" w:name="_Toc366489924"/>
      <w:bookmarkStart w:id="303" w:name="_Toc418498628"/>
      <w:bookmarkStart w:id="304" w:name="_Toc418506083"/>
      <w:bookmarkStart w:id="305" w:name="_Toc491786403"/>
      <w:r>
        <w:t xml:space="preserve">6.3 </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00061796" w:rsidRPr="00061796">
        <w:t>Assessment under Article 57(f)</w:t>
      </w:r>
      <w:bookmarkEnd w:id="305"/>
    </w:p>
    <w:p w14:paraId="206B9DC7" w14:textId="7341BB24" w:rsidR="004D2CFE" w:rsidRPr="00B3084C" w:rsidRDefault="00977FC9" w:rsidP="00B3084C">
      <w:pPr>
        <w:widowControl/>
        <w:autoSpaceDE w:val="0"/>
        <w:autoSpaceDN w:val="0"/>
        <w:adjustRightInd w:val="0"/>
        <w:jc w:val="both"/>
      </w:pPr>
      <w:r w:rsidRPr="00321CD7">
        <w:t>Reaction product</w:t>
      </w:r>
      <w:r w:rsidR="00193A09" w:rsidRPr="00321CD7">
        <w:t>s</w:t>
      </w:r>
      <w:r w:rsidRPr="00321CD7">
        <w:t xml:space="preserve"> of 1,3,4-thiadiazolidine-2,5-dithione, formaldehyde and </w:t>
      </w:r>
      <w:r w:rsidR="00321CD7" w:rsidRPr="00B3084C">
        <w:t>4-heptylphenol, branched and linear</w:t>
      </w:r>
      <w:r w:rsidRPr="00B3084C">
        <w:rPr>
          <w:b/>
        </w:rPr>
        <w:t xml:space="preserve"> </w:t>
      </w:r>
      <w:r w:rsidR="00983612" w:rsidRPr="00B3084C">
        <w:t xml:space="preserve">[with ≥0.1% </w:t>
      </w:r>
      <w:r w:rsidR="00321CD7" w:rsidRPr="00B3084C">
        <w:t xml:space="preserve">w/w </w:t>
      </w:r>
      <w:r w:rsidR="00983612" w:rsidRPr="00B3084C">
        <w:t>4-heptylphenol, branched and linear</w:t>
      </w:r>
      <w:r w:rsidRPr="00B3084C">
        <w:t xml:space="preserve">] </w:t>
      </w:r>
      <w:r w:rsidR="00193A09" w:rsidRPr="00B3084C">
        <w:t xml:space="preserve">are </w:t>
      </w:r>
      <w:r w:rsidRPr="00B3084C">
        <w:t>identified as a substance</w:t>
      </w:r>
      <w:r w:rsidR="00193A09" w:rsidRPr="00B3084C">
        <w:t>s</w:t>
      </w:r>
      <w:r w:rsidRPr="00B3084C">
        <w:t xml:space="preserve"> of very high concern in accordance with Article 57(f) of Regulation (EC) 1907/2006 (REACH) </w:t>
      </w:r>
      <w:r w:rsidR="004D2CFE" w:rsidRPr="00321CD7">
        <w:t xml:space="preserve">where </w:t>
      </w:r>
      <w:r w:rsidR="00193A09" w:rsidRPr="00321CD7">
        <w:t xml:space="preserve">they </w:t>
      </w:r>
      <w:r w:rsidR="004D2CFE" w:rsidRPr="00321CD7">
        <w:t>contain a</w:t>
      </w:r>
      <w:r w:rsidR="006B3601" w:rsidRPr="00321CD7">
        <w:t>ny</w:t>
      </w:r>
      <w:r w:rsidR="004D2CFE" w:rsidRPr="00321CD7">
        <w:t xml:space="preserve"> </w:t>
      </w:r>
      <w:r w:rsidR="00193A09" w:rsidRPr="00321CD7">
        <w:t xml:space="preserve">constituent or group of constituents (including impurities) </w:t>
      </w:r>
      <w:r w:rsidR="004D2CFE" w:rsidRPr="00321CD7">
        <w:t xml:space="preserve">of </w:t>
      </w:r>
      <w:r w:rsidR="00193A09" w:rsidRPr="00321CD7">
        <w:t xml:space="preserve">the </w:t>
      </w:r>
      <w:r w:rsidR="004D2CFE" w:rsidRPr="00321CD7">
        <w:t xml:space="preserve">group “4-heptylphenol, branched and linear” </w:t>
      </w:r>
      <w:r w:rsidR="004D2CFE" w:rsidRPr="00B3084C">
        <w:t>≥0.1%</w:t>
      </w:r>
      <w:r w:rsidR="004D2CFE" w:rsidRPr="00B3084C">
        <w:rPr>
          <w:b/>
        </w:rPr>
        <w:t xml:space="preserve"> </w:t>
      </w:r>
      <w:r w:rsidR="004D2CFE" w:rsidRPr="00B3084C">
        <w:t>in total</w:t>
      </w:r>
      <w:r w:rsidR="004D2CFE" w:rsidRPr="00B3084C">
        <w:rPr>
          <w:b/>
        </w:rPr>
        <w:t xml:space="preserve"> </w:t>
      </w:r>
      <w:r w:rsidR="004D2CFE" w:rsidRPr="00321CD7">
        <w:t>owing to its endocrine disrupting properties for which there is scientific evidence of probable serious effects to the environment which gives rise to an equivalent level of concern to those of other substances listed in points (a) to (e) of Article 57 of REACH.</w:t>
      </w:r>
    </w:p>
    <w:p w14:paraId="5212194B" w14:textId="77777777" w:rsidR="008F3F84" w:rsidRPr="004703C8" w:rsidRDefault="008F3F84" w:rsidP="008F3F84">
      <w:pPr>
        <w:pStyle w:val="NormalItalic"/>
      </w:pPr>
    </w:p>
    <w:p w14:paraId="1B61244C" w14:textId="0EC4A607" w:rsidR="008F3F84" w:rsidRDefault="00C42F65" w:rsidP="004703C8">
      <w:pPr>
        <w:pStyle w:val="Heading3"/>
        <w:numPr>
          <w:ilvl w:val="0"/>
          <w:numId w:val="0"/>
        </w:numPr>
      </w:pPr>
      <w:bookmarkStart w:id="306" w:name="_Toc357437595"/>
      <w:bookmarkStart w:id="307" w:name="_Toc357590868"/>
      <w:bookmarkStart w:id="308" w:name="_Toc357692900"/>
      <w:bookmarkStart w:id="309" w:name="_Toc365649726"/>
      <w:bookmarkStart w:id="310" w:name="_Toc365649875"/>
      <w:bookmarkStart w:id="311" w:name="_Toc366489927"/>
      <w:bookmarkStart w:id="312" w:name="_Toc418498631"/>
      <w:bookmarkStart w:id="313" w:name="_Toc418506086"/>
      <w:bookmarkStart w:id="314" w:name="_Toc491786404"/>
      <w:r>
        <w:t>6.3.1</w:t>
      </w:r>
      <w:r w:rsidR="008F3F84">
        <w:t xml:space="preserve"> Conclusion </w:t>
      </w:r>
      <w:bookmarkEnd w:id="306"/>
      <w:bookmarkEnd w:id="307"/>
      <w:bookmarkEnd w:id="308"/>
      <w:bookmarkEnd w:id="309"/>
      <w:bookmarkEnd w:id="310"/>
      <w:bookmarkEnd w:id="311"/>
      <w:bookmarkEnd w:id="312"/>
      <w:bookmarkEnd w:id="313"/>
      <w:r w:rsidR="00CC53BB">
        <w:t xml:space="preserve">on </w:t>
      </w:r>
      <w:r w:rsidR="00DF76D5">
        <w:t xml:space="preserve">the </w:t>
      </w:r>
      <w:r w:rsidR="00CC53BB">
        <w:t>hazard properties and equivalent level of concern assessment</w:t>
      </w:r>
      <w:bookmarkEnd w:id="314"/>
    </w:p>
    <w:p w14:paraId="63C154D9" w14:textId="0494DBE3" w:rsidR="00C42F65" w:rsidRDefault="00C42F65" w:rsidP="00C42F65">
      <w:pPr>
        <w:widowControl/>
        <w:autoSpaceDE w:val="0"/>
        <w:autoSpaceDN w:val="0"/>
        <w:adjustRightInd w:val="0"/>
        <w:jc w:val="both"/>
        <w:rPr>
          <w:rFonts w:cs="Verdana"/>
          <w:lang w:eastAsia="en-GB"/>
        </w:rPr>
      </w:pPr>
      <w:r w:rsidRPr="004C169A">
        <w:t xml:space="preserve">Reaction products of 1,3,4-thiadiazolidine-2,5-dithione, formaldehyde and </w:t>
      </w:r>
      <w:r w:rsidRPr="004C169A">
        <w:rPr>
          <w:rStyle w:val="Strong"/>
          <w:b w:val="0"/>
          <w:bCs/>
        </w:rPr>
        <w:t>4-heptylphenol, branched and linear</w:t>
      </w:r>
      <w:r w:rsidRPr="004C169A">
        <w:rPr>
          <w:b/>
          <w:lang w:eastAsia="en-US"/>
        </w:rPr>
        <w:t xml:space="preserve"> </w:t>
      </w:r>
      <w:r w:rsidRPr="004C169A">
        <w:rPr>
          <w:rStyle w:val="Strong"/>
          <w:b w:val="0"/>
          <w:bCs/>
        </w:rPr>
        <w:t xml:space="preserve">with ≥0.1% w/w </w:t>
      </w:r>
      <w:r w:rsidR="003E0449">
        <w:rPr>
          <w:rStyle w:val="Strong"/>
          <w:b w:val="0"/>
          <w:bCs/>
        </w:rPr>
        <w:t xml:space="preserve">of </w:t>
      </w:r>
      <w:r w:rsidRPr="004C169A">
        <w:rPr>
          <w:rStyle w:val="Strong"/>
          <w:b w:val="0"/>
          <w:bCs/>
        </w:rPr>
        <w:t>4-heptylphenol, branched and linear</w:t>
      </w:r>
      <w:r w:rsidR="003E0449">
        <w:rPr>
          <w:rStyle w:val="Strong"/>
          <w:b w:val="0"/>
          <w:bCs/>
        </w:rPr>
        <w:t>,</w:t>
      </w:r>
      <w:r w:rsidRPr="004C169A">
        <w:rPr>
          <w:b/>
          <w:lang w:eastAsia="en-US"/>
        </w:rPr>
        <w:t xml:space="preserve"> </w:t>
      </w:r>
      <w:r w:rsidRPr="004C169A">
        <w:rPr>
          <w:lang w:eastAsia="en-US"/>
        </w:rPr>
        <w:t>are</w:t>
      </w:r>
      <w:r>
        <w:rPr>
          <w:rFonts w:cs="Verdana"/>
          <w:lang w:eastAsia="en-GB"/>
        </w:rPr>
        <w:t xml:space="preserve"> identified as substances of very high concern in accordance with Article 57(f) of Regulation (EC) 1907/2006 (REACH)</w:t>
      </w:r>
      <w:r w:rsidR="003E0449">
        <w:rPr>
          <w:rFonts w:cs="Verdana"/>
          <w:lang w:eastAsia="en-GB"/>
        </w:rPr>
        <w:t>,</w:t>
      </w:r>
      <w:r>
        <w:rPr>
          <w:rFonts w:cs="Verdana"/>
          <w:lang w:eastAsia="en-GB"/>
        </w:rPr>
        <w:t xml:space="preserve"> because </w:t>
      </w:r>
      <w:r w:rsidRPr="00016BEE">
        <w:rPr>
          <w:rStyle w:val="Strong"/>
          <w:b w:val="0"/>
          <w:bCs/>
        </w:rPr>
        <w:t>4-heptylphenol, branched and linear</w:t>
      </w:r>
      <w:r w:rsidR="003E0449">
        <w:rPr>
          <w:rStyle w:val="Strong"/>
          <w:b w:val="0"/>
          <w:bCs/>
        </w:rPr>
        <w:t>,</w:t>
      </w:r>
      <w:r>
        <w:rPr>
          <w:rFonts w:cs="Verdana"/>
          <w:lang w:eastAsia="en-GB"/>
        </w:rPr>
        <w:t xml:space="preserve"> has been identified as a group of substances with endocrine disrupting properties for which there is scientific evidence of probable serious effects to the environment which gives rise to an equivalent level of concern to those of other substances listed </w:t>
      </w:r>
      <w:r w:rsidR="003E0449">
        <w:rPr>
          <w:rFonts w:cs="Verdana"/>
          <w:lang w:eastAsia="en-GB"/>
        </w:rPr>
        <w:t>in points (a</w:t>
      </w:r>
      <w:r>
        <w:rPr>
          <w:rFonts w:cs="Verdana"/>
          <w:lang w:eastAsia="en-GB"/>
        </w:rPr>
        <w:t>) to (e) of Article 57 REACH</w:t>
      </w:r>
      <w:r w:rsidRPr="00FC7CED">
        <w:rPr>
          <w:rStyle w:val="FootnoteReference"/>
          <w:rFonts w:ascii="Verdana" w:hAnsi="Verdana"/>
          <w:bCs/>
          <w:sz w:val="20"/>
        </w:rPr>
        <w:footnoteReference w:id="8"/>
      </w:r>
      <w:r>
        <w:rPr>
          <w:rFonts w:cs="Verdana"/>
          <w:lang w:eastAsia="en-GB"/>
        </w:rPr>
        <w:t>.</w:t>
      </w:r>
    </w:p>
    <w:p w14:paraId="0AE0E4D9" w14:textId="77777777" w:rsidR="00C42F65" w:rsidRDefault="00C42F65" w:rsidP="00C42F65">
      <w:pPr>
        <w:jc w:val="both"/>
        <w:rPr>
          <w:rFonts w:cs="Verdana"/>
          <w:lang w:eastAsia="en-GB"/>
        </w:rPr>
      </w:pPr>
    </w:p>
    <w:p w14:paraId="70B80E67" w14:textId="77777777" w:rsidR="00C42F65" w:rsidRPr="00FC7CED" w:rsidRDefault="00C42F65" w:rsidP="00C42F65">
      <w:pPr>
        <w:widowControl/>
        <w:autoSpaceDE w:val="0"/>
        <w:autoSpaceDN w:val="0"/>
        <w:adjustRightInd w:val="0"/>
        <w:jc w:val="both"/>
      </w:pPr>
      <w:r w:rsidRPr="00FC7CED">
        <w:t>The Member State Committee at its 51</w:t>
      </w:r>
      <w:r w:rsidRPr="00FC7CED">
        <w:rPr>
          <w:vertAlign w:val="superscript"/>
        </w:rPr>
        <w:t>st</w:t>
      </w:r>
      <w:r w:rsidRPr="00FC7CED">
        <w:t xml:space="preserve"> meeting unanimously agreed that 4-Heptylphenol, branched and linear </w:t>
      </w:r>
      <w:r w:rsidRPr="00FC7CED">
        <w:rPr>
          <w:i/>
        </w:rPr>
        <w:t>[substances with a linear and/or branched alkyl chain with a carbon number of 7 covalently bound predominantly in position 4 to phenol, covering also UVCB- and well-defined substances which include any of the individual isomers or a combination thereof]</w:t>
      </w:r>
    </w:p>
    <w:p w14:paraId="600D80C0" w14:textId="272C4F64" w:rsidR="00C42F65" w:rsidRDefault="00C42F65" w:rsidP="00C42F65">
      <w:pPr>
        <w:widowControl/>
        <w:autoSpaceDE w:val="0"/>
        <w:autoSpaceDN w:val="0"/>
        <w:adjustRightInd w:val="0"/>
        <w:jc w:val="both"/>
      </w:pPr>
      <w:r w:rsidRPr="00FC7CED">
        <w:t>meet the criteria set out in Article 57(f) of REACH</w:t>
      </w:r>
      <w:r w:rsidR="00B3084C">
        <w:t xml:space="preserve">. The reasoning is </w:t>
      </w:r>
      <w:r w:rsidR="00761FA3">
        <w:t>laid down</w:t>
      </w:r>
      <w:r w:rsidR="00B3084C">
        <w:t xml:space="preserve"> in the “</w:t>
      </w:r>
      <w:r w:rsidR="003E0449">
        <w:t>Member State C</w:t>
      </w:r>
      <w:r w:rsidR="00B3084C" w:rsidRPr="00A22761">
        <w:t>ommittee support document for identification of 4-heptylp</w:t>
      </w:r>
      <w:r w:rsidR="00B3084C">
        <w:t>henol, branched and linear (4-HP</w:t>
      </w:r>
      <w:r w:rsidR="00B3084C" w:rsidRPr="00A22761">
        <w:t>bl)</w:t>
      </w:r>
      <w:r w:rsidR="00B3084C">
        <w:t xml:space="preserve"> </w:t>
      </w:r>
      <w:r w:rsidR="00B3084C" w:rsidRPr="00A22761">
        <w:t xml:space="preserve">as a substance of very high concern because of its endocrine disrupting properties which cause probable serious effects to the environment which give rise to an equivalent level of concern to those of CMR and </w:t>
      </w:r>
      <w:r w:rsidR="00B3084C">
        <w:t>PBT/vPv</w:t>
      </w:r>
      <w:r w:rsidR="00B3084C" w:rsidRPr="00A22761">
        <w:t>B substances</w:t>
      </w:r>
      <w:r w:rsidR="00B3084C">
        <w:t>”, a</w:t>
      </w:r>
      <w:r w:rsidR="00B3084C" w:rsidRPr="00A22761">
        <w:t>dopted on 14 December 2016</w:t>
      </w:r>
      <w:r w:rsidR="00B3084C" w:rsidRPr="00A22761">
        <w:rPr>
          <w:rStyle w:val="FootnoteReference"/>
          <w:rFonts w:ascii="Verdana" w:hAnsi="Verdana"/>
          <w:sz w:val="20"/>
        </w:rPr>
        <w:footnoteReference w:id="9"/>
      </w:r>
      <w:r w:rsidR="003E0449">
        <w:t xml:space="preserve"> as follows</w:t>
      </w:r>
      <w:r>
        <w:t>:</w:t>
      </w:r>
    </w:p>
    <w:p w14:paraId="01111ED8" w14:textId="77777777" w:rsidR="00C42F65" w:rsidRDefault="00C42F65" w:rsidP="00C42F65">
      <w:pPr>
        <w:widowControl/>
        <w:autoSpaceDE w:val="0"/>
        <w:autoSpaceDN w:val="0"/>
        <w:adjustRightInd w:val="0"/>
        <w:jc w:val="both"/>
      </w:pPr>
    </w:p>
    <w:p w14:paraId="08D8F6D3" w14:textId="6D2363E5" w:rsidR="00C42F65" w:rsidRDefault="003E0449" w:rsidP="00C42F65">
      <w:pPr>
        <w:pStyle w:val="NoSpacing"/>
        <w:spacing w:after="120"/>
        <w:ind w:left="1304"/>
        <w:jc w:val="both"/>
        <w:rPr>
          <w:rFonts w:eastAsia="Calibri"/>
          <w:lang w:eastAsia="en-US"/>
        </w:rPr>
      </w:pPr>
      <w:r>
        <w:rPr>
          <w:rFonts w:eastAsia="Calibri"/>
          <w:lang w:eastAsia="en-US"/>
        </w:rPr>
        <w:t>“</w:t>
      </w:r>
      <w:r w:rsidR="00C42F65" w:rsidRPr="003B765C">
        <w:rPr>
          <w:rFonts w:eastAsia="Calibri"/>
          <w:lang w:eastAsia="en-US"/>
        </w:rPr>
        <w:t xml:space="preserve">Based on the available mechanistic information from </w:t>
      </w:r>
      <w:r w:rsidR="00C42F65" w:rsidRPr="00E31486">
        <w:rPr>
          <w:rFonts w:eastAsia="Calibri"/>
          <w:i/>
          <w:lang w:eastAsia="en-US"/>
        </w:rPr>
        <w:t>in silico</w:t>
      </w:r>
      <w:r w:rsidR="00C42F65" w:rsidRPr="003B765C">
        <w:rPr>
          <w:rFonts w:eastAsia="Calibri"/>
          <w:lang w:eastAsia="en-US"/>
        </w:rPr>
        <w:t xml:space="preserve"> and </w:t>
      </w:r>
      <w:r w:rsidR="00C42F65" w:rsidRPr="00E31486">
        <w:rPr>
          <w:rFonts w:eastAsia="Calibri"/>
          <w:i/>
          <w:lang w:eastAsia="en-US"/>
        </w:rPr>
        <w:t>in vitro</w:t>
      </w:r>
      <w:r w:rsidR="00C42F65" w:rsidRPr="003B765C">
        <w:rPr>
          <w:rFonts w:eastAsia="Calibri"/>
          <w:lang w:eastAsia="en-US"/>
        </w:rPr>
        <w:t xml:space="preserve"> studies with 4-heptylphenol isomers it can be unambiguously concluded that 4-HPbl is able </w:t>
      </w:r>
      <w:r w:rsidR="00C42F65" w:rsidRPr="003B765C">
        <w:rPr>
          <w:rFonts w:eastAsia="Calibri"/>
          <w:lang w:eastAsia="en-US"/>
        </w:rPr>
        <w:lastRenderedPageBreak/>
        <w:t>to bind to the estrogen receptors of fish, humans and rats and to activate these receptors.</w:t>
      </w:r>
    </w:p>
    <w:p w14:paraId="0681B288" w14:textId="77777777" w:rsidR="00C42F65" w:rsidRPr="003B765C" w:rsidRDefault="00C42F65" w:rsidP="00C42F65">
      <w:pPr>
        <w:pStyle w:val="NoSpacing"/>
        <w:spacing w:after="120"/>
        <w:ind w:left="1304"/>
        <w:jc w:val="both"/>
        <w:rPr>
          <w:rFonts w:eastAsia="Calibri"/>
          <w:lang w:eastAsia="en-US"/>
        </w:rPr>
      </w:pPr>
      <w:r w:rsidRPr="003B765C">
        <w:rPr>
          <w:rFonts w:eastAsia="Calibri"/>
          <w:lang w:eastAsia="en-US"/>
        </w:rPr>
        <w:t xml:space="preserve">In a reliable </w:t>
      </w:r>
      <w:r w:rsidRPr="00E31486">
        <w:rPr>
          <w:rFonts w:eastAsia="Calibri"/>
          <w:i/>
          <w:lang w:eastAsia="en-US"/>
        </w:rPr>
        <w:t>in vivo</w:t>
      </w:r>
      <w:r w:rsidRPr="003B765C">
        <w:rPr>
          <w:rFonts w:eastAsia="Calibri"/>
          <w:lang w:eastAsia="en-US"/>
        </w:rPr>
        <w:t xml:space="preserve"> study with </w:t>
      </w:r>
      <w:r w:rsidRPr="003B765C">
        <w:rPr>
          <w:rFonts w:eastAsia="Calibri"/>
          <w:i/>
          <w:lang w:eastAsia="en-US"/>
        </w:rPr>
        <w:t>Sander lucioperca</w:t>
      </w:r>
      <w:r w:rsidRPr="003B765C">
        <w:rPr>
          <w:rFonts w:eastAsia="Calibri"/>
          <w:lang w:eastAsia="en-US"/>
        </w:rPr>
        <w:t xml:space="preserve"> (Demska-Zakęś, 2005) the ratio of male fish (according to histological determination) was significantly decreased at the lowest </w:t>
      </w:r>
      <w:r>
        <w:rPr>
          <w:rFonts w:eastAsia="Calibri"/>
          <w:lang w:eastAsia="en-US"/>
        </w:rPr>
        <w:t xml:space="preserve">used </w:t>
      </w:r>
      <w:r w:rsidRPr="003B765C">
        <w:rPr>
          <w:rFonts w:eastAsia="Calibri"/>
          <w:lang w:eastAsia="en-US"/>
        </w:rPr>
        <w:t xml:space="preserve">4-n-heptylphenol </w:t>
      </w:r>
      <w:r>
        <w:rPr>
          <w:rFonts w:eastAsia="Calibri"/>
          <w:lang w:eastAsia="en-US"/>
        </w:rPr>
        <w:t xml:space="preserve">(4nHP) </w:t>
      </w:r>
      <w:r w:rsidRPr="003B765C">
        <w:rPr>
          <w:rFonts w:eastAsia="Calibri"/>
          <w:lang w:eastAsia="en-US"/>
        </w:rPr>
        <w:t xml:space="preserve">concentration (1 µg/L) after 28 days of exposure. The shift in sex ratio </w:t>
      </w:r>
      <w:r>
        <w:rPr>
          <w:rFonts w:eastAsia="Calibri"/>
          <w:lang w:eastAsia="en-US"/>
        </w:rPr>
        <w:t>was</w:t>
      </w:r>
      <w:r w:rsidRPr="003B765C">
        <w:rPr>
          <w:rFonts w:eastAsia="Calibri"/>
          <w:lang w:eastAsia="en-US"/>
        </w:rPr>
        <w:t xml:space="preserve"> dose-dependent, leading to 98 and 100% female fish at 88 and 144 days post hatch (dph), respectively, indicating that the observed effects on the sex characteristics were irreversible. </w:t>
      </w:r>
    </w:p>
    <w:p w14:paraId="38AABB06" w14:textId="77777777" w:rsidR="00C42F65" w:rsidRPr="003B765C" w:rsidRDefault="00C42F65" w:rsidP="00C42F65">
      <w:pPr>
        <w:pStyle w:val="NoSpacing"/>
        <w:spacing w:after="120"/>
        <w:ind w:left="1304"/>
        <w:jc w:val="both"/>
        <w:rPr>
          <w:rFonts w:eastAsia="Calibri"/>
          <w:lang w:eastAsia="en-US"/>
        </w:rPr>
      </w:pPr>
      <w:r w:rsidRPr="003B765C">
        <w:rPr>
          <w:rFonts w:eastAsia="Calibri"/>
          <w:lang w:eastAsia="en-US"/>
        </w:rPr>
        <w:t>The appearance of intersex species comprising sex characteristics from b</w:t>
      </w:r>
      <w:r>
        <w:rPr>
          <w:rFonts w:eastAsia="Calibri"/>
          <w:lang w:eastAsia="en-US"/>
        </w:rPr>
        <w:t xml:space="preserve">oth sexes, e.g. testis-ova / </w:t>
      </w:r>
      <w:r w:rsidRPr="003B765C">
        <w:rPr>
          <w:rFonts w:eastAsia="Calibri"/>
          <w:lang w:eastAsia="en-US"/>
        </w:rPr>
        <w:t>ovotestis</w:t>
      </w:r>
      <w:r>
        <w:rPr>
          <w:rFonts w:eastAsia="Calibri"/>
          <w:lang w:eastAsia="en-US"/>
        </w:rPr>
        <w:t xml:space="preserve"> and</w:t>
      </w:r>
      <w:r w:rsidRPr="003B765C">
        <w:rPr>
          <w:rFonts w:eastAsia="Calibri"/>
          <w:lang w:eastAsia="en-US"/>
        </w:rPr>
        <w:t xml:space="preserve"> formation of an oviduct (with regressed spermatogenic lobules in the same fish)</w:t>
      </w:r>
      <w:r>
        <w:rPr>
          <w:rFonts w:eastAsia="Calibri"/>
          <w:lang w:eastAsia="en-US"/>
        </w:rPr>
        <w:t>,</w:t>
      </w:r>
      <w:r w:rsidRPr="003B765C">
        <w:rPr>
          <w:rFonts w:eastAsia="Calibri"/>
          <w:lang w:eastAsia="en-US"/>
        </w:rPr>
        <w:t xml:space="preserve"> was significant at </w:t>
      </w:r>
      <w:r>
        <w:rPr>
          <w:rFonts w:eastAsia="Calibri"/>
          <w:lang w:eastAsia="en-US"/>
        </w:rPr>
        <w:t xml:space="preserve">4nHP </w:t>
      </w:r>
      <w:r w:rsidRPr="003B765C">
        <w:rPr>
          <w:rFonts w:eastAsia="Calibri"/>
          <w:lang w:eastAsia="en-US"/>
        </w:rPr>
        <w:t>concentrations of at least 1 µg/L.</w:t>
      </w:r>
    </w:p>
    <w:p w14:paraId="08D5AC70" w14:textId="77777777" w:rsidR="00C42F65" w:rsidRPr="009F6771" w:rsidRDefault="00C42F65" w:rsidP="00C42F65">
      <w:pPr>
        <w:widowControl/>
        <w:spacing w:before="40" w:after="120"/>
        <w:ind w:left="1304"/>
        <w:jc w:val="both"/>
        <w:rPr>
          <w:lang w:eastAsia="en-US"/>
        </w:rPr>
      </w:pPr>
      <w:r w:rsidRPr="003B765C">
        <w:rPr>
          <w:rFonts w:eastAsia="Calibri"/>
          <w:lang w:eastAsia="en-US"/>
        </w:rPr>
        <w:t>4-HPbl belongs to a group of structurally similar alkylphenols monoalkylated</w:t>
      </w:r>
      <w:r w:rsidRPr="00D7497B">
        <w:rPr>
          <w:rFonts w:eastAsia="Calibri"/>
          <w:lang w:eastAsia="en-US"/>
        </w:rPr>
        <w:t xml:space="preserve"> </w:t>
      </w:r>
      <w:r w:rsidRPr="003B765C">
        <w:rPr>
          <w:rFonts w:eastAsia="Calibri"/>
          <w:lang w:eastAsia="en-US"/>
        </w:rPr>
        <w:t>predominantly in 4-position</w:t>
      </w:r>
      <w:r w:rsidRPr="00D7497B">
        <w:rPr>
          <w:rFonts w:eastAsia="Calibri"/>
          <w:lang w:eastAsia="en-US"/>
        </w:rPr>
        <w:t xml:space="preserve"> </w:t>
      </w:r>
      <w:r w:rsidRPr="003B765C">
        <w:rPr>
          <w:rFonts w:eastAsia="Calibri"/>
          <w:lang w:eastAsia="en-US"/>
        </w:rPr>
        <w:t xml:space="preserve">with different alkyl chain lengths. To substantiate the findings for 4-HPbl, a read across approach is applied using the following source alkylphenols: </w:t>
      </w:r>
    </w:p>
    <w:p w14:paraId="0844F8FE" w14:textId="77777777" w:rsidR="00C42F65" w:rsidRPr="009F6771" w:rsidRDefault="00C42F65" w:rsidP="00C42F65">
      <w:pPr>
        <w:numPr>
          <w:ilvl w:val="0"/>
          <w:numId w:val="25"/>
        </w:numPr>
        <w:spacing w:line="288" w:lineRule="auto"/>
        <w:ind w:left="2018" w:hanging="357"/>
        <w:jc w:val="both"/>
        <w:rPr>
          <w:lang w:eastAsia="en-US"/>
        </w:rPr>
      </w:pPr>
      <w:r w:rsidRPr="009F6771">
        <w:rPr>
          <w:lang w:eastAsia="en-US"/>
        </w:rPr>
        <w:t>4-Nonylphenol, branched and linear: substances with a linear and/or branched alkyl chain with a carbon number of 9 covalently bound in position 4 to phenol, covering also UVCB- and well-defined substances which include any of the individual isomers or a combination thereof</w:t>
      </w:r>
    </w:p>
    <w:p w14:paraId="5910D382" w14:textId="77777777" w:rsidR="00C42F65" w:rsidRPr="009F6771" w:rsidRDefault="00C42F65" w:rsidP="00C42F65">
      <w:pPr>
        <w:numPr>
          <w:ilvl w:val="0"/>
          <w:numId w:val="25"/>
        </w:numPr>
        <w:spacing w:line="288" w:lineRule="auto"/>
        <w:ind w:left="2018" w:hanging="357"/>
        <w:jc w:val="both"/>
        <w:rPr>
          <w:lang w:eastAsia="en-US"/>
        </w:rPr>
      </w:pPr>
      <w:r w:rsidRPr="009F6771">
        <w:rPr>
          <w:lang w:eastAsia="en-US"/>
        </w:rPr>
        <w:t>4-</w:t>
      </w:r>
      <w:r w:rsidRPr="009F6771">
        <w:rPr>
          <w:i/>
          <w:lang w:eastAsia="en-US"/>
        </w:rPr>
        <w:t>tert</w:t>
      </w:r>
      <w:r w:rsidRPr="009F6771">
        <w:rPr>
          <w:lang w:eastAsia="en-US"/>
        </w:rPr>
        <w:t>-octylphenol (4-(1,1,3,3-tetramethylbutyl)phenol</w:t>
      </w:r>
      <w:r>
        <w:rPr>
          <w:lang w:eastAsia="en-US"/>
        </w:rPr>
        <w:t xml:space="preserve">, EC number: </w:t>
      </w:r>
      <w:r w:rsidRPr="00E743EB">
        <w:rPr>
          <w:rFonts w:eastAsia="Calibri"/>
          <w:color w:val="000000"/>
          <w:lang w:eastAsia="en-US"/>
        </w:rPr>
        <w:t>205-426-2</w:t>
      </w:r>
      <w:r w:rsidRPr="009F6771">
        <w:rPr>
          <w:lang w:eastAsia="en-US"/>
        </w:rPr>
        <w:t>)</w:t>
      </w:r>
    </w:p>
    <w:p w14:paraId="758EF4A5" w14:textId="77777777" w:rsidR="00C42F65" w:rsidRPr="009F6771" w:rsidRDefault="00C42F65" w:rsidP="00C42F65">
      <w:pPr>
        <w:numPr>
          <w:ilvl w:val="0"/>
          <w:numId w:val="25"/>
        </w:numPr>
        <w:spacing w:line="288" w:lineRule="auto"/>
        <w:ind w:left="2018" w:hanging="357"/>
        <w:jc w:val="both"/>
        <w:rPr>
          <w:lang w:eastAsia="en-US"/>
        </w:rPr>
      </w:pPr>
      <w:r w:rsidRPr="009F6771">
        <w:rPr>
          <w:lang w:eastAsia="en-US"/>
        </w:rPr>
        <w:t>4-</w:t>
      </w:r>
      <w:r w:rsidRPr="009F6771">
        <w:rPr>
          <w:i/>
          <w:lang w:eastAsia="en-US"/>
        </w:rPr>
        <w:t>tert</w:t>
      </w:r>
      <w:r w:rsidRPr="009F6771">
        <w:rPr>
          <w:lang w:eastAsia="en-US"/>
        </w:rPr>
        <w:t>-pentylphenol (</w:t>
      </w:r>
      <w:r w:rsidRPr="009F6771">
        <w:rPr>
          <w:i/>
          <w:lang w:eastAsia="en-US"/>
        </w:rPr>
        <w:t>p-</w:t>
      </w:r>
      <w:r w:rsidRPr="009F6771">
        <w:rPr>
          <w:lang w:eastAsia="en-US"/>
        </w:rPr>
        <w:t>(1,1-dimethylpropyl)phenol</w:t>
      </w:r>
      <w:r>
        <w:rPr>
          <w:lang w:eastAsia="en-US"/>
        </w:rPr>
        <w:t xml:space="preserve">, EC number: </w:t>
      </w:r>
      <w:r w:rsidRPr="00E743EB">
        <w:rPr>
          <w:rFonts w:eastAsia="Calibri"/>
          <w:color w:val="000000"/>
          <w:lang w:eastAsia="en-US"/>
        </w:rPr>
        <w:t>201-280-9</w:t>
      </w:r>
      <w:r w:rsidRPr="009F6771">
        <w:rPr>
          <w:lang w:eastAsia="en-US"/>
        </w:rPr>
        <w:t>)</w:t>
      </w:r>
    </w:p>
    <w:p w14:paraId="084C56A8" w14:textId="77777777" w:rsidR="00C42F65" w:rsidRPr="009F6771" w:rsidRDefault="00C42F65" w:rsidP="00C42F65">
      <w:pPr>
        <w:numPr>
          <w:ilvl w:val="0"/>
          <w:numId w:val="25"/>
        </w:numPr>
        <w:spacing w:line="288" w:lineRule="auto"/>
        <w:ind w:left="2018" w:hanging="357"/>
        <w:jc w:val="both"/>
        <w:rPr>
          <w:lang w:eastAsia="en-US"/>
        </w:rPr>
      </w:pPr>
      <w:r w:rsidRPr="009F6771">
        <w:rPr>
          <w:lang w:eastAsia="en-US"/>
        </w:rPr>
        <w:t>4-</w:t>
      </w:r>
      <w:r w:rsidRPr="009F6771">
        <w:rPr>
          <w:i/>
          <w:lang w:eastAsia="en-US"/>
        </w:rPr>
        <w:t>tert</w:t>
      </w:r>
      <w:r w:rsidRPr="009F6771">
        <w:rPr>
          <w:lang w:eastAsia="en-US"/>
        </w:rPr>
        <w:t>-butylphenol (4-(1,1-dimethylethyl) phenol</w:t>
      </w:r>
      <w:r>
        <w:rPr>
          <w:lang w:eastAsia="en-US"/>
        </w:rPr>
        <w:t xml:space="preserve">, EC number: </w:t>
      </w:r>
      <w:r w:rsidRPr="00E743EB">
        <w:rPr>
          <w:rFonts w:eastAsia="Calibri"/>
          <w:color w:val="000000"/>
          <w:lang w:eastAsia="en-US"/>
        </w:rPr>
        <w:t>202-679-0</w:t>
      </w:r>
      <w:r w:rsidRPr="009F6771">
        <w:rPr>
          <w:lang w:eastAsia="en-US"/>
        </w:rPr>
        <w:t>)</w:t>
      </w:r>
    </w:p>
    <w:p w14:paraId="73A5101E" w14:textId="77777777" w:rsidR="00C42F65" w:rsidRPr="009F6771" w:rsidRDefault="00C42F65" w:rsidP="00C42F65">
      <w:pPr>
        <w:ind w:left="1304"/>
        <w:jc w:val="both"/>
        <w:rPr>
          <w:lang w:eastAsia="en-US"/>
        </w:rPr>
      </w:pPr>
    </w:p>
    <w:p w14:paraId="1E684BBB" w14:textId="77777777" w:rsidR="00C42F65" w:rsidRPr="003B765C" w:rsidRDefault="00C42F65" w:rsidP="00C42F65">
      <w:pPr>
        <w:widowControl/>
        <w:spacing w:before="40" w:after="80"/>
        <w:ind w:left="1304"/>
        <w:jc w:val="both"/>
        <w:rPr>
          <w:rFonts w:eastAsia="Calibri"/>
          <w:lang w:eastAsia="en-US"/>
        </w:rPr>
      </w:pPr>
      <w:r w:rsidRPr="003B765C">
        <w:rPr>
          <w:rFonts w:eastAsia="Calibri"/>
          <w:lang w:eastAsia="en-US"/>
        </w:rPr>
        <w:t>Regarding chain length, 4-HPbl is in the middle of 4-nonylphenol, branched and linear and 4-</w:t>
      </w:r>
      <w:r w:rsidRPr="003B765C">
        <w:rPr>
          <w:rFonts w:eastAsia="Calibri"/>
          <w:i/>
          <w:lang w:eastAsia="en-US"/>
        </w:rPr>
        <w:t>tert</w:t>
      </w:r>
      <w:r w:rsidRPr="003B765C">
        <w:rPr>
          <w:rFonts w:eastAsia="Calibri"/>
          <w:lang w:eastAsia="en-US"/>
        </w:rPr>
        <w:t>-octylphenol on the one side and 4-</w:t>
      </w:r>
      <w:r w:rsidRPr="003B765C">
        <w:rPr>
          <w:rFonts w:eastAsia="Calibri"/>
          <w:i/>
          <w:lang w:eastAsia="en-US"/>
        </w:rPr>
        <w:t>tert</w:t>
      </w:r>
      <w:r w:rsidRPr="003B765C">
        <w:rPr>
          <w:rFonts w:eastAsia="Calibri"/>
          <w:lang w:eastAsia="en-US"/>
        </w:rPr>
        <w:t>-pentylphenol and 4-</w:t>
      </w:r>
      <w:r w:rsidRPr="003B765C">
        <w:rPr>
          <w:rFonts w:eastAsia="Calibri"/>
          <w:i/>
          <w:lang w:eastAsia="en-US"/>
        </w:rPr>
        <w:t>tert</w:t>
      </w:r>
      <w:r w:rsidRPr="003B765C">
        <w:rPr>
          <w:rFonts w:eastAsia="Calibri"/>
          <w:lang w:eastAsia="en-US"/>
        </w:rPr>
        <w:t>-butylphenol on the other side. The findings for 4-HPbl were substantiated by the effects seen also in tests perfor</w:t>
      </w:r>
      <w:r>
        <w:rPr>
          <w:rFonts w:eastAsia="Calibri"/>
          <w:lang w:eastAsia="en-US"/>
        </w:rPr>
        <w:t>med with the source substances.</w:t>
      </w:r>
    </w:p>
    <w:p w14:paraId="222E0FF0" w14:textId="77777777" w:rsidR="00C42F65" w:rsidRPr="009F6771" w:rsidRDefault="00C42F65" w:rsidP="00C42F65">
      <w:pPr>
        <w:numPr>
          <w:ilvl w:val="0"/>
          <w:numId w:val="26"/>
        </w:numPr>
        <w:spacing w:line="288" w:lineRule="auto"/>
        <w:ind w:left="2018" w:hanging="357"/>
        <w:jc w:val="both"/>
        <w:rPr>
          <w:lang w:eastAsia="en-US"/>
        </w:rPr>
      </w:pPr>
      <w:r w:rsidRPr="00ED23A3">
        <w:rPr>
          <w:i/>
          <w:lang w:eastAsia="en-US"/>
        </w:rPr>
        <w:t>In vitro</w:t>
      </w:r>
      <w:r w:rsidRPr="009F6771">
        <w:rPr>
          <w:lang w:eastAsia="en-US"/>
        </w:rPr>
        <w:t xml:space="preserve"> data confirm that all four source substances and the target substance do interact with the estrogen receptor</w:t>
      </w:r>
      <w:r>
        <w:rPr>
          <w:lang w:eastAsia="en-US"/>
        </w:rPr>
        <w:t>s.</w:t>
      </w:r>
    </w:p>
    <w:p w14:paraId="5C263D35" w14:textId="77777777" w:rsidR="00C42F65" w:rsidRPr="009F6771" w:rsidRDefault="00C42F65" w:rsidP="00C42F65">
      <w:pPr>
        <w:numPr>
          <w:ilvl w:val="0"/>
          <w:numId w:val="26"/>
        </w:numPr>
        <w:spacing w:line="288" w:lineRule="auto"/>
        <w:ind w:left="2018" w:hanging="357"/>
        <w:jc w:val="both"/>
        <w:rPr>
          <w:lang w:eastAsia="en-US"/>
        </w:rPr>
      </w:pPr>
      <w:r w:rsidRPr="009F6771">
        <w:rPr>
          <w:lang w:eastAsia="en-US"/>
        </w:rPr>
        <w:t xml:space="preserve">As for </w:t>
      </w:r>
      <w:r>
        <w:rPr>
          <w:lang w:eastAsia="en-US"/>
        </w:rPr>
        <w:t>4-HPbl</w:t>
      </w:r>
      <w:r w:rsidRPr="009F6771">
        <w:rPr>
          <w:lang w:eastAsia="en-US"/>
        </w:rPr>
        <w:t xml:space="preserve"> it was demonstrated that exposure to 4-</w:t>
      </w:r>
      <w:r>
        <w:rPr>
          <w:lang w:eastAsia="en-US"/>
        </w:rPr>
        <w:t>n</w:t>
      </w:r>
      <w:r w:rsidRPr="009F6771">
        <w:rPr>
          <w:lang w:eastAsia="en-US"/>
        </w:rPr>
        <w:t xml:space="preserve">onylphenol and 4- butylphenol </w:t>
      </w:r>
      <w:r>
        <w:rPr>
          <w:lang w:eastAsia="en-US"/>
        </w:rPr>
        <w:t xml:space="preserve">(branched and linear forms) </w:t>
      </w:r>
      <w:r w:rsidRPr="009F6771">
        <w:rPr>
          <w:lang w:eastAsia="en-US"/>
        </w:rPr>
        <w:t xml:space="preserve">lead to a female biased sex ratio in </w:t>
      </w:r>
      <w:r w:rsidRPr="009F6771">
        <w:rPr>
          <w:i/>
          <w:lang w:eastAsia="en-US"/>
        </w:rPr>
        <w:t>Sander lucioperca</w:t>
      </w:r>
      <w:r w:rsidRPr="009F6771">
        <w:rPr>
          <w:lang w:eastAsia="en-US"/>
        </w:rPr>
        <w:t xml:space="preserve"> at low concentration (effects seen at lowest dose of 1 µg/L).</w:t>
      </w:r>
    </w:p>
    <w:p w14:paraId="4206FDFC" w14:textId="77777777" w:rsidR="00C42F65" w:rsidRPr="009F6771" w:rsidRDefault="00C42F65" w:rsidP="00C42F65">
      <w:pPr>
        <w:numPr>
          <w:ilvl w:val="0"/>
          <w:numId w:val="26"/>
        </w:numPr>
        <w:spacing w:line="288" w:lineRule="auto"/>
        <w:ind w:left="2018" w:hanging="357"/>
        <w:jc w:val="both"/>
        <w:rPr>
          <w:lang w:eastAsia="en-US"/>
        </w:rPr>
      </w:pPr>
      <w:r w:rsidRPr="009F6771">
        <w:rPr>
          <w:lang w:eastAsia="en-US"/>
        </w:rPr>
        <w:t>Substantial effects were also seen in other fish species (</w:t>
      </w:r>
      <w:r w:rsidRPr="009F6771">
        <w:rPr>
          <w:i/>
          <w:lang w:eastAsia="en-US"/>
        </w:rPr>
        <w:t>Pimephales promelas</w:t>
      </w:r>
      <w:r w:rsidRPr="009F6771">
        <w:rPr>
          <w:lang w:eastAsia="en-US"/>
        </w:rPr>
        <w:t xml:space="preserve">, </w:t>
      </w:r>
      <w:r w:rsidRPr="009F6771">
        <w:rPr>
          <w:i/>
          <w:lang w:eastAsia="en-US"/>
        </w:rPr>
        <w:t>Danio rerio</w:t>
      </w:r>
      <w:r w:rsidRPr="009F6771">
        <w:rPr>
          <w:lang w:eastAsia="en-US"/>
        </w:rPr>
        <w:t xml:space="preserve">, </w:t>
      </w:r>
      <w:r w:rsidRPr="009F6771">
        <w:rPr>
          <w:i/>
          <w:lang w:eastAsia="en-US"/>
        </w:rPr>
        <w:t>Oryzias latipes</w:t>
      </w:r>
      <w:r w:rsidRPr="009F6771">
        <w:rPr>
          <w:lang w:eastAsia="en-US"/>
        </w:rPr>
        <w:t xml:space="preserve">, </w:t>
      </w:r>
      <w:r w:rsidRPr="009F6771">
        <w:rPr>
          <w:i/>
          <w:lang w:eastAsia="en-US"/>
        </w:rPr>
        <w:t>Cyprinus carpio</w:t>
      </w:r>
      <w:r w:rsidRPr="009F6771">
        <w:rPr>
          <w:lang w:eastAsia="en-US"/>
        </w:rPr>
        <w:t xml:space="preserve">, </w:t>
      </w:r>
      <w:r w:rsidRPr="009F6771">
        <w:rPr>
          <w:i/>
          <w:lang w:eastAsia="en-US"/>
        </w:rPr>
        <w:t>Oncorhynchus mykiss</w:t>
      </w:r>
      <w:r w:rsidRPr="009F6771">
        <w:rPr>
          <w:lang w:eastAsia="en-US"/>
        </w:rPr>
        <w:t>)</w:t>
      </w:r>
      <w:r>
        <w:rPr>
          <w:lang w:eastAsia="en-US"/>
        </w:rPr>
        <w:t xml:space="preserve"> </w:t>
      </w:r>
      <w:r w:rsidRPr="00262A41">
        <w:rPr>
          <w:lang w:eastAsia="en-US"/>
        </w:rPr>
        <w:t>for the source chemicals</w:t>
      </w:r>
      <w:r>
        <w:rPr>
          <w:lang w:eastAsia="en-US"/>
        </w:rPr>
        <w:t>.</w:t>
      </w:r>
      <w:r w:rsidRPr="009F6771">
        <w:rPr>
          <w:lang w:eastAsia="en-US"/>
        </w:rPr>
        <w:t xml:space="preserve"> These include effect data like a female biased sex ratio and indicative effects like feminisation of gonadal ducts, testis-ova and effects on secondary sex characteristics. </w:t>
      </w:r>
    </w:p>
    <w:p w14:paraId="214A7D52" w14:textId="77777777" w:rsidR="00C42F65" w:rsidRDefault="00C42F65" w:rsidP="00C42F65">
      <w:pPr>
        <w:pStyle w:val="NoSpacing"/>
        <w:ind w:left="1304"/>
        <w:jc w:val="both"/>
        <w:rPr>
          <w:lang w:eastAsia="en-US"/>
        </w:rPr>
      </w:pPr>
    </w:p>
    <w:p w14:paraId="41B68549" w14:textId="77777777" w:rsidR="00C42F65" w:rsidRDefault="00C42F65" w:rsidP="00C42F65">
      <w:pPr>
        <w:pStyle w:val="NoSpacing"/>
        <w:ind w:left="1304"/>
        <w:jc w:val="both"/>
        <w:rPr>
          <w:rFonts w:eastAsia="Calibri"/>
          <w:lang w:eastAsia="en-US"/>
        </w:rPr>
      </w:pPr>
      <w:r w:rsidRPr="003B765C">
        <w:rPr>
          <w:rFonts w:eastAsia="Calibri"/>
          <w:lang w:eastAsia="en-US"/>
        </w:rPr>
        <w:t>4-Nonylphenol and 4-</w:t>
      </w:r>
      <w:r w:rsidRPr="003B765C">
        <w:rPr>
          <w:rFonts w:eastAsia="Calibri"/>
          <w:i/>
          <w:lang w:eastAsia="en-US"/>
        </w:rPr>
        <w:t>tert</w:t>
      </w:r>
      <w:r w:rsidRPr="003B765C">
        <w:rPr>
          <w:rFonts w:eastAsia="Calibri"/>
          <w:lang w:eastAsia="en-US"/>
        </w:rPr>
        <w:t xml:space="preserve">-octylphenol are already identified as substances of very high concern due to their endocrine disrupting properties for the environment, which are considered </w:t>
      </w:r>
      <w:r>
        <w:rPr>
          <w:rFonts w:eastAsia="Calibri"/>
          <w:lang w:eastAsia="en-US"/>
        </w:rPr>
        <w:t xml:space="preserve">to give rise to an </w:t>
      </w:r>
      <w:r w:rsidRPr="003B765C">
        <w:rPr>
          <w:rFonts w:eastAsia="Calibri"/>
          <w:lang w:eastAsia="en-US"/>
        </w:rPr>
        <w:t xml:space="preserve">equivalent </w:t>
      </w:r>
      <w:r>
        <w:rPr>
          <w:rFonts w:eastAsia="Calibri"/>
          <w:lang w:eastAsia="en-US"/>
        </w:rPr>
        <w:t xml:space="preserve">level of </w:t>
      </w:r>
      <w:r w:rsidRPr="003B765C">
        <w:rPr>
          <w:rFonts w:eastAsia="Calibri"/>
          <w:lang w:eastAsia="en-US"/>
        </w:rPr>
        <w:t xml:space="preserve">concern. </w:t>
      </w:r>
      <w:r>
        <w:rPr>
          <w:rFonts w:eastAsia="Calibri"/>
          <w:lang w:eastAsia="en-US"/>
        </w:rPr>
        <w:t>The e</w:t>
      </w:r>
      <w:r w:rsidRPr="003B765C">
        <w:rPr>
          <w:rFonts w:eastAsia="Calibri"/>
          <w:lang w:eastAsia="en-US"/>
        </w:rPr>
        <w:t xml:space="preserve">ffects observed </w:t>
      </w:r>
      <w:r>
        <w:rPr>
          <w:rFonts w:eastAsia="Calibri"/>
          <w:lang w:eastAsia="en-US"/>
        </w:rPr>
        <w:t xml:space="preserve">for 4-HPbl </w:t>
      </w:r>
      <w:r w:rsidRPr="003B765C">
        <w:rPr>
          <w:rFonts w:eastAsia="Calibri"/>
          <w:lang w:eastAsia="en-US"/>
        </w:rPr>
        <w:t>are similar to those for 4-</w:t>
      </w:r>
      <w:r w:rsidRPr="003B765C">
        <w:rPr>
          <w:rFonts w:eastAsia="Calibri"/>
          <w:i/>
          <w:lang w:eastAsia="en-US"/>
        </w:rPr>
        <w:t>tert</w:t>
      </w:r>
      <w:r w:rsidRPr="003B765C">
        <w:rPr>
          <w:rFonts w:eastAsia="Calibri"/>
          <w:lang w:eastAsia="en-US"/>
        </w:rPr>
        <w:t xml:space="preserve">-octylphenol and 4-nonylphenol and occur </w:t>
      </w:r>
      <w:r>
        <w:rPr>
          <w:rFonts w:eastAsia="Calibri"/>
          <w:lang w:eastAsia="en-US"/>
        </w:rPr>
        <w:t xml:space="preserve">in </w:t>
      </w:r>
      <w:r w:rsidRPr="003B765C">
        <w:rPr>
          <w:rFonts w:eastAsia="Calibri"/>
          <w:lang w:eastAsia="en-US"/>
        </w:rPr>
        <w:t xml:space="preserve">similar concentration </w:t>
      </w:r>
      <w:r>
        <w:rPr>
          <w:rFonts w:eastAsia="Calibri"/>
          <w:lang w:eastAsia="en-US"/>
        </w:rPr>
        <w:t xml:space="preserve">ranges </w:t>
      </w:r>
      <w:r w:rsidRPr="003B765C">
        <w:rPr>
          <w:rFonts w:eastAsia="Calibri"/>
          <w:lang w:eastAsia="en-US"/>
        </w:rPr>
        <w:t xml:space="preserve">(ECHA, 2011 and ECHA, 2012). </w:t>
      </w:r>
    </w:p>
    <w:p w14:paraId="12241AD6" w14:textId="77777777" w:rsidR="00C42F65" w:rsidRPr="003B765C" w:rsidRDefault="00C42F65" w:rsidP="00C42F65">
      <w:pPr>
        <w:pStyle w:val="NoSpacing"/>
        <w:ind w:left="1304"/>
        <w:jc w:val="both"/>
        <w:rPr>
          <w:rFonts w:eastAsia="Calibri"/>
          <w:lang w:eastAsia="en-US"/>
        </w:rPr>
      </w:pPr>
    </w:p>
    <w:p w14:paraId="0E264B01" w14:textId="77777777" w:rsidR="00C42F65" w:rsidRDefault="00C42F65" w:rsidP="00C42F65">
      <w:pPr>
        <w:pStyle w:val="NoSpacing"/>
        <w:ind w:left="1304"/>
        <w:jc w:val="both"/>
        <w:rPr>
          <w:rFonts w:eastAsia="Calibri"/>
          <w:lang w:eastAsia="en-US"/>
        </w:rPr>
      </w:pPr>
      <w:r w:rsidRPr="003B765C">
        <w:rPr>
          <w:rFonts w:eastAsia="Calibri"/>
          <w:lang w:eastAsia="en-US"/>
        </w:rPr>
        <w:t>In summary, it is demonstrated that endocrine disrupting properties for the environment occur for alkylphenols with alkyl chain le</w:t>
      </w:r>
      <w:r>
        <w:rPr>
          <w:rFonts w:eastAsia="Calibri"/>
          <w:lang w:eastAsia="en-US"/>
        </w:rPr>
        <w:t>ngths of 4,5,7,8 and 9 C-atoms.</w:t>
      </w:r>
    </w:p>
    <w:p w14:paraId="6E180EDF" w14:textId="77777777" w:rsidR="00C42F65" w:rsidRPr="003B765C" w:rsidRDefault="00C42F65" w:rsidP="00C42F65">
      <w:pPr>
        <w:pStyle w:val="NoSpacing"/>
        <w:ind w:left="1304"/>
        <w:jc w:val="both"/>
        <w:rPr>
          <w:rFonts w:eastAsia="Calibri"/>
          <w:lang w:eastAsia="en-US"/>
        </w:rPr>
      </w:pPr>
    </w:p>
    <w:p w14:paraId="2BFF72FB" w14:textId="6495B430" w:rsidR="00C42F65" w:rsidRDefault="00C42F65" w:rsidP="00C42F65">
      <w:pPr>
        <w:pStyle w:val="NoSpacing"/>
        <w:ind w:left="1304"/>
        <w:jc w:val="both"/>
        <w:rPr>
          <w:rFonts w:eastAsia="Calibri"/>
          <w:lang w:eastAsia="en-US"/>
        </w:rPr>
      </w:pPr>
      <w:r w:rsidRPr="003B765C">
        <w:rPr>
          <w:rFonts w:eastAsia="Calibri"/>
          <w:lang w:eastAsia="en-US"/>
        </w:rPr>
        <w:t xml:space="preserve">Taking all the evidence into consideration 4-HPbl </w:t>
      </w:r>
      <w:r w:rsidR="0072531E">
        <w:rPr>
          <w:rFonts w:eastAsia="Calibri"/>
          <w:lang w:eastAsia="en-US"/>
        </w:rPr>
        <w:t>are</w:t>
      </w:r>
      <w:r>
        <w:rPr>
          <w:rFonts w:eastAsia="Calibri"/>
          <w:lang w:eastAsia="en-US"/>
        </w:rPr>
        <w:t xml:space="preserve"> identified </w:t>
      </w:r>
      <w:r w:rsidRPr="003B765C">
        <w:rPr>
          <w:rFonts w:eastAsia="Calibri"/>
          <w:lang w:eastAsia="en-US"/>
        </w:rPr>
        <w:t>as endocrine disruptor</w:t>
      </w:r>
      <w:r w:rsidR="0072531E">
        <w:rPr>
          <w:rFonts w:eastAsia="Calibri"/>
          <w:lang w:eastAsia="en-US"/>
        </w:rPr>
        <w:t>s</w:t>
      </w:r>
      <w:r w:rsidRPr="003B765C">
        <w:rPr>
          <w:rFonts w:eastAsia="Calibri"/>
          <w:lang w:eastAsia="en-US"/>
        </w:rPr>
        <w:t xml:space="preserve"> </w:t>
      </w:r>
      <w:r>
        <w:rPr>
          <w:rFonts w:eastAsia="Calibri"/>
          <w:lang w:eastAsia="en-US"/>
        </w:rPr>
        <w:t xml:space="preserve">for the environment </w:t>
      </w:r>
      <w:r w:rsidRPr="003B765C">
        <w:rPr>
          <w:rFonts w:eastAsia="Calibri"/>
          <w:lang w:eastAsia="en-US"/>
        </w:rPr>
        <w:t>according to the OECD guidance document (OECD, 2012)</w:t>
      </w:r>
      <w:r>
        <w:rPr>
          <w:rFonts w:eastAsia="Calibri"/>
          <w:lang w:eastAsia="en-US"/>
        </w:rPr>
        <w:t xml:space="preserve"> and </w:t>
      </w:r>
      <w:r w:rsidRPr="003B765C">
        <w:rPr>
          <w:rFonts w:eastAsia="Calibri"/>
          <w:lang w:eastAsia="en-US"/>
        </w:rPr>
        <w:t xml:space="preserve">the WHO/IPCS definition for endocrine disrupters. </w:t>
      </w:r>
    </w:p>
    <w:p w14:paraId="01EAC54E" w14:textId="77777777" w:rsidR="00C42F65" w:rsidRPr="003B765C" w:rsidRDefault="00C42F65" w:rsidP="00C42F65">
      <w:pPr>
        <w:pStyle w:val="NoSpacing"/>
        <w:ind w:left="1304"/>
        <w:jc w:val="both"/>
        <w:rPr>
          <w:rFonts w:eastAsia="Calibri"/>
          <w:lang w:eastAsia="en-US"/>
        </w:rPr>
      </w:pPr>
    </w:p>
    <w:p w14:paraId="269FE4B4" w14:textId="2BD47C51" w:rsidR="00C42F65" w:rsidRPr="003B765C" w:rsidRDefault="00C42F65" w:rsidP="00C42F65">
      <w:pPr>
        <w:pStyle w:val="NoSpacing"/>
        <w:ind w:left="1304"/>
        <w:jc w:val="both"/>
        <w:rPr>
          <w:rFonts w:eastAsia="Calibri"/>
          <w:lang w:eastAsia="en-US"/>
        </w:rPr>
      </w:pPr>
      <w:r w:rsidRPr="003B765C">
        <w:rPr>
          <w:rFonts w:eastAsia="Calibri"/>
          <w:lang w:eastAsia="en-US"/>
        </w:rPr>
        <w:t xml:space="preserve">4-HPbl </w:t>
      </w:r>
      <w:r w:rsidR="0072531E">
        <w:rPr>
          <w:rFonts w:eastAsia="Calibri"/>
          <w:lang w:eastAsia="en-US"/>
        </w:rPr>
        <w:t>are</w:t>
      </w:r>
      <w:r w:rsidR="0072531E" w:rsidRPr="003B765C">
        <w:rPr>
          <w:rFonts w:eastAsia="Calibri"/>
          <w:lang w:eastAsia="en-US"/>
        </w:rPr>
        <w:t xml:space="preserve"> </w:t>
      </w:r>
      <w:r w:rsidRPr="003B765C">
        <w:rPr>
          <w:rFonts w:eastAsia="Calibri"/>
          <w:lang w:eastAsia="en-US"/>
        </w:rPr>
        <w:t>assessed as substance</w:t>
      </w:r>
      <w:r>
        <w:rPr>
          <w:rFonts w:eastAsia="Calibri"/>
          <w:lang w:eastAsia="en-US"/>
        </w:rPr>
        <w:t>s</w:t>
      </w:r>
      <w:r w:rsidRPr="003B765C">
        <w:rPr>
          <w:rFonts w:eastAsia="Calibri"/>
          <w:lang w:eastAsia="en-US"/>
        </w:rPr>
        <w:t xml:space="preserve"> </w:t>
      </w:r>
      <w:r w:rsidRPr="000A2AA9">
        <w:rPr>
          <w:rFonts w:eastAsia="Calibri"/>
          <w:lang w:eastAsia="en-US"/>
        </w:rPr>
        <w:t>giving rise to an equivalent level of concern</w:t>
      </w:r>
      <w:r w:rsidRPr="003B765C">
        <w:rPr>
          <w:rFonts w:eastAsia="Calibri"/>
          <w:lang w:eastAsia="en-US"/>
        </w:rPr>
        <w:t xml:space="preserve"> due to </w:t>
      </w:r>
      <w:r>
        <w:rPr>
          <w:rFonts w:eastAsia="Calibri"/>
          <w:lang w:eastAsia="en-US"/>
        </w:rPr>
        <w:t>their</w:t>
      </w:r>
      <w:r w:rsidRPr="003B765C">
        <w:rPr>
          <w:rFonts w:eastAsia="Calibri"/>
          <w:lang w:eastAsia="en-US"/>
        </w:rPr>
        <w:t xml:space="preserve"> estrogenic mode of action and the type of effects caused by this mode of action (e.g. shift in sex ratio). </w:t>
      </w:r>
    </w:p>
    <w:p w14:paraId="5F159D0A" w14:textId="77777777" w:rsidR="00C42F65" w:rsidRPr="00B32D02" w:rsidRDefault="00C42F65" w:rsidP="00C42F65">
      <w:pPr>
        <w:pStyle w:val="NoSpacing"/>
        <w:numPr>
          <w:ilvl w:val="0"/>
          <w:numId w:val="27"/>
        </w:numPr>
        <w:ind w:left="2024"/>
        <w:jc w:val="both"/>
        <w:rPr>
          <w:lang w:val="en-US"/>
        </w:rPr>
      </w:pPr>
      <w:r w:rsidRPr="00652AE7">
        <w:t xml:space="preserve">At 1 µg/L </w:t>
      </w:r>
      <w:r>
        <w:t>the</w:t>
      </w:r>
      <w:r w:rsidRPr="00652AE7">
        <w:t xml:space="preserve"> ratio </w:t>
      </w:r>
      <w:r>
        <w:t>of male fish w</w:t>
      </w:r>
      <w:r w:rsidRPr="00652AE7">
        <w:t>as significantly decreased</w:t>
      </w:r>
      <w:r>
        <w:t xml:space="preserve"> and intersex fish appeared. At </w:t>
      </w:r>
      <w:r w:rsidRPr="00652AE7">
        <w:t xml:space="preserve">10 µg/L the ratio of female fish was significantly increased to </w:t>
      </w:r>
      <w:r w:rsidRPr="00B32D02">
        <w:t xml:space="preserve">approximately 75% while at 200 µg/L approximately 100% fish were female. These effects remained </w:t>
      </w:r>
      <w:r w:rsidRPr="00B32D02">
        <w:rPr>
          <w:lang w:val="en-US"/>
        </w:rPr>
        <w:t>manifest even after the exposure had ceased underlining that exposure during sensitive life stages may change the endocrine feedback system for the entire life.</w:t>
      </w:r>
    </w:p>
    <w:p w14:paraId="5B367CB2" w14:textId="77777777" w:rsidR="00C42F65" w:rsidRPr="00B32D02" w:rsidRDefault="00C42F65" w:rsidP="00C42F65">
      <w:pPr>
        <w:pStyle w:val="NoSpacing"/>
        <w:numPr>
          <w:ilvl w:val="0"/>
          <w:numId w:val="27"/>
        </w:numPr>
        <w:ind w:left="2024"/>
        <w:jc w:val="both"/>
        <w:rPr>
          <w:lang w:val="en-US"/>
        </w:rPr>
      </w:pPr>
      <w:r w:rsidRPr="00B32D02">
        <w:rPr>
          <w:lang w:val="en-US"/>
        </w:rPr>
        <w:t>On the basis of the available data for 4-HPbl itself and from read across, it appears difficult to derive a safe level although it may exist. A read-across from 4-</w:t>
      </w:r>
      <w:r w:rsidRPr="00B32D02">
        <w:rPr>
          <w:i/>
          <w:lang w:val="en-US"/>
        </w:rPr>
        <w:t>tert</w:t>
      </w:r>
      <w:r w:rsidRPr="00B32D02">
        <w:rPr>
          <w:lang w:val="en-US"/>
        </w:rPr>
        <w:t xml:space="preserve">-octylphenol and 4-nonylphenol indicates that </w:t>
      </w:r>
    </w:p>
    <w:p w14:paraId="545AA05D" w14:textId="77777777" w:rsidR="00C42F65" w:rsidRPr="00B32D02" w:rsidRDefault="00C42F65" w:rsidP="00C42F65">
      <w:pPr>
        <w:pStyle w:val="NoSpacing"/>
        <w:numPr>
          <w:ilvl w:val="2"/>
          <w:numId w:val="27"/>
        </w:numPr>
        <w:ind w:left="3005" w:hanging="283"/>
        <w:jc w:val="both"/>
        <w:rPr>
          <w:lang w:val="en-US"/>
        </w:rPr>
      </w:pPr>
      <w:r w:rsidRPr="00B32D02">
        <w:rPr>
          <w:lang w:val="en-US"/>
        </w:rPr>
        <w:t>Effects on non-traditional endpoints may start at much lower concentrations than those considered in the OECD test guidelines.</w:t>
      </w:r>
    </w:p>
    <w:p w14:paraId="33C6F89C" w14:textId="77777777" w:rsidR="00C42F65" w:rsidRPr="00B32D02" w:rsidRDefault="00C42F65" w:rsidP="00C42F65">
      <w:pPr>
        <w:pStyle w:val="NoSpacing"/>
        <w:ind w:left="1304"/>
        <w:jc w:val="both"/>
        <w:rPr>
          <w:lang w:val="en-US"/>
        </w:rPr>
      </w:pPr>
    </w:p>
    <w:p w14:paraId="733C56EE" w14:textId="77777777" w:rsidR="00C42F65" w:rsidRPr="00DE1898" w:rsidRDefault="00C42F65" w:rsidP="00C42F65">
      <w:pPr>
        <w:pStyle w:val="NoSpacing"/>
        <w:numPr>
          <w:ilvl w:val="2"/>
          <w:numId w:val="27"/>
        </w:numPr>
        <w:spacing w:after="120"/>
        <w:ind w:left="3006" w:hanging="284"/>
        <w:jc w:val="both"/>
        <w:rPr>
          <w:lang w:val="en-US"/>
        </w:rPr>
      </w:pPr>
      <w:r w:rsidRPr="00B32D02">
        <w:rPr>
          <w:lang w:val="en-US"/>
        </w:rPr>
        <w:t>It is not possible to clearly conclude that effects on other organisms such as invertebrates and amphibians are endocrine mediated, although steroids are known to play an important role in both invertebrates (Kendall et al., 1998) and amphibians (Kortenkamp et al., 2012). Owing to the lack of in depth knowledge of their endocrine system and the lack of test systems, it is currently difficult to estimate which species may be more sensitive than fish and which concentration can be regarded as safe for the environment.</w:t>
      </w:r>
    </w:p>
    <w:p w14:paraId="6CDFD5A1" w14:textId="77777777" w:rsidR="00C42F65" w:rsidRPr="005521E6" w:rsidRDefault="00C42F65" w:rsidP="00C42F65">
      <w:pPr>
        <w:pStyle w:val="NoSpacing"/>
        <w:numPr>
          <w:ilvl w:val="0"/>
          <w:numId w:val="27"/>
        </w:numPr>
        <w:ind w:left="2024"/>
        <w:jc w:val="both"/>
      </w:pPr>
      <w:r w:rsidRPr="00B32D02">
        <w:t>Read across of the effects observed for the similar alkylphenols 4-nonylphenol and 4-tert-octylphenol shows that exposure during sensitive life stages may result in effects that remain during the entire life and even in the following generations. Thus local exposure of migra</w:t>
      </w:r>
      <w:r w:rsidRPr="005521E6">
        <w:t>tory species might not only locally affect population stability but also in other areas.</w:t>
      </w:r>
    </w:p>
    <w:p w14:paraId="6213745A" w14:textId="77777777" w:rsidR="00C42F65" w:rsidRDefault="00C42F65" w:rsidP="00C42F65">
      <w:pPr>
        <w:pStyle w:val="NoSpacing"/>
        <w:ind w:left="1304"/>
        <w:jc w:val="both"/>
        <w:rPr>
          <w:rFonts w:eastAsia="Calibri"/>
          <w:lang w:eastAsia="en-US"/>
        </w:rPr>
      </w:pPr>
    </w:p>
    <w:p w14:paraId="1F638C12" w14:textId="77777777" w:rsidR="00C42F65" w:rsidRPr="006F2E8E" w:rsidRDefault="00C42F65" w:rsidP="00C42F65">
      <w:pPr>
        <w:widowControl/>
        <w:autoSpaceDE w:val="0"/>
        <w:autoSpaceDN w:val="0"/>
        <w:adjustRightInd w:val="0"/>
        <w:spacing w:after="120"/>
        <w:ind w:left="1304"/>
        <w:jc w:val="both"/>
        <w:rPr>
          <w:lang w:val="en-US" w:eastAsia="en-US"/>
        </w:rPr>
      </w:pPr>
      <w:r w:rsidRPr="00DE1898">
        <w:rPr>
          <w:lang w:val="en-US" w:eastAsia="en-US"/>
        </w:rPr>
        <w:t xml:space="preserve">Thus in summary, the endocrine mediated effects observed in fish after exposure to 4-HPbl and anticipated on the basis of read-across from other alkylphenols are considered to have the potential to adversely affect population stability and recruitment. These adverse effects not only persist after cease of exposure but also occur after exposure at sensitive live stages. They thus may adversely affect populations in the longer-term and migratory species not only locally but also in regions where no exposure occurred. </w:t>
      </w:r>
      <w:r w:rsidRPr="0057231B">
        <w:rPr>
          <w:rFonts w:cs="Arial"/>
          <w:szCs w:val="24"/>
          <w:lang w:eastAsia="en-US"/>
        </w:rPr>
        <w:t>No reliable information is available for 4-HPbl about whether it can cause ED-related adverse effects on taxa other than fish. 4-tert-Octylphenol and 4-nonylphenol cause effects in amphibians and invertebrates that might be endocrine mediated, i.e. caused by an estrogen-like mode of action, although it is not possible to clearly conclude that they are endocrine mediated.  Similar effects may be caused by 4-HPbl, but there are no confirmatory data.</w:t>
      </w:r>
      <w:r w:rsidRPr="00DE1898">
        <w:rPr>
          <w:rFonts w:ascii="Arial" w:hAnsi="Arial" w:cs="Arial"/>
          <w:szCs w:val="24"/>
          <w:lang w:eastAsia="en-US"/>
        </w:rPr>
        <w:t xml:space="preserve"> </w:t>
      </w:r>
      <w:r w:rsidRPr="00DE1898">
        <w:rPr>
          <w:lang w:val="en-US" w:eastAsia="en-US"/>
        </w:rPr>
        <w:t>Based</w:t>
      </w:r>
      <w:r w:rsidRPr="006F2E8E">
        <w:rPr>
          <w:lang w:val="en-US" w:eastAsia="en-US"/>
        </w:rPr>
        <w:t xml:space="preserve"> on current data and knowledge, a safe level of exposure is difficult to derive although it may exist. </w:t>
      </w:r>
    </w:p>
    <w:p w14:paraId="49014D2E" w14:textId="7D914E1A" w:rsidR="00C42F65" w:rsidRPr="00FC7CED" w:rsidRDefault="00C42F65" w:rsidP="00C42F65">
      <w:pPr>
        <w:widowControl/>
        <w:autoSpaceDE w:val="0"/>
        <w:autoSpaceDN w:val="0"/>
        <w:adjustRightInd w:val="0"/>
        <w:ind w:left="1304"/>
        <w:jc w:val="both"/>
      </w:pPr>
      <w:r w:rsidRPr="003B765C">
        <w:rPr>
          <w:rFonts w:eastAsia="Calibri"/>
          <w:lang w:eastAsia="en-US"/>
        </w:rPr>
        <w:t>Consequently</w:t>
      </w:r>
      <w:r>
        <w:rPr>
          <w:rFonts w:eastAsia="Calibri"/>
          <w:lang w:eastAsia="en-US"/>
        </w:rPr>
        <w:t>,</w:t>
      </w:r>
      <w:r w:rsidRPr="003B765C">
        <w:rPr>
          <w:rFonts w:eastAsia="Calibri"/>
          <w:lang w:eastAsia="en-US"/>
        </w:rPr>
        <w:t xml:space="preserve"> 4-HPbl </w:t>
      </w:r>
      <w:r>
        <w:rPr>
          <w:rFonts w:eastAsia="Calibri"/>
          <w:lang w:eastAsia="en-US"/>
        </w:rPr>
        <w:t>are</w:t>
      </w:r>
      <w:r w:rsidRPr="003B765C">
        <w:rPr>
          <w:rFonts w:eastAsia="Calibri"/>
          <w:lang w:eastAsia="en-US"/>
        </w:rPr>
        <w:t xml:space="preserve"> considered to </w:t>
      </w:r>
      <w:r>
        <w:rPr>
          <w:rFonts w:eastAsia="Calibri"/>
          <w:lang w:eastAsia="en-US"/>
        </w:rPr>
        <w:t>give rise to</w:t>
      </w:r>
      <w:r w:rsidRPr="003B765C">
        <w:rPr>
          <w:rFonts w:eastAsia="Calibri"/>
          <w:lang w:eastAsia="en-US"/>
        </w:rPr>
        <w:t xml:space="preserve"> an equivalent level of concern to those of othe</w:t>
      </w:r>
      <w:r>
        <w:rPr>
          <w:rFonts w:eastAsia="Calibri"/>
          <w:lang w:eastAsia="en-US"/>
        </w:rPr>
        <w:t>r substances listed in points (a</w:t>
      </w:r>
      <w:r w:rsidRPr="003B765C">
        <w:rPr>
          <w:rFonts w:eastAsia="Calibri"/>
          <w:lang w:eastAsia="en-US"/>
        </w:rPr>
        <w:t xml:space="preserve">) to (e) of Article 57 </w:t>
      </w:r>
      <w:r>
        <w:rPr>
          <w:rFonts w:eastAsia="Calibri"/>
          <w:lang w:eastAsia="en-US"/>
        </w:rPr>
        <w:t xml:space="preserve">of </w:t>
      </w:r>
      <w:r w:rsidRPr="003B765C">
        <w:rPr>
          <w:rFonts w:eastAsia="Calibri"/>
          <w:lang w:eastAsia="en-US"/>
        </w:rPr>
        <w:t>REACH.</w:t>
      </w:r>
      <w:r w:rsidR="003E0449">
        <w:rPr>
          <w:rFonts w:eastAsia="Calibri"/>
          <w:lang w:eastAsia="en-US"/>
        </w:rPr>
        <w:t>”</w:t>
      </w:r>
    </w:p>
    <w:p w14:paraId="51FAB1DB" w14:textId="77777777" w:rsidR="00C42F65" w:rsidRPr="009078B5" w:rsidRDefault="00C42F65" w:rsidP="00C42F65">
      <w:pPr>
        <w:widowControl/>
        <w:autoSpaceDE w:val="0"/>
        <w:autoSpaceDN w:val="0"/>
        <w:adjustRightInd w:val="0"/>
        <w:jc w:val="both"/>
      </w:pPr>
    </w:p>
    <w:p w14:paraId="187B6385" w14:textId="5E2E7246" w:rsidR="00B12C39" w:rsidRPr="00C42F65" w:rsidRDefault="00C42F65" w:rsidP="00C42F65">
      <w:pPr>
        <w:pStyle w:val="BodyText"/>
        <w:spacing w:after="0"/>
        <w:jc w:val="both"/>
      </w:pPr>
      <w:r>
        <w:t>Therefore, r</w:t>
      </w:r>
      <w:r>
        <w:rPr>
          <w:color w:val="000000"/>
        </w:rPr>
        <w:t>eaction products of 1,3,4-thiadiazolidine-2,5-dithione, formaldehyde and 4-</w:t>
      </w:r>
      <w:r>
        <w:rPr>
          <w:color w:val="000000"/>
        </w:rPr>
        <w:lastRenderedPageBreak/>
        <w:t xml:space="preserve">heptylphenol, branched and linear (RP-HP) </w:t>
      </w:r>
      <w:r w:rsidRPr="004C169A">
        <w:rPr>
          <w:rStyle w:val="Strong"/>
          <w:b w:val="0"/>
          <w:bCs/>
        </w:rPr>
        <w:t>with ≥0.1%</w:t>
      </w:r>
      <w:r w:rsidRPr="005B32BA">
        <w:rPr>
          <w:rStyle w:val="FootnoteReference"/>
          <w:rFonts w:ascii="Verdana" w:hAnsi="Verdana"/>
          <w:sz w:val="20"/>
        </w:rPr>
        <w:footnoteReference w:id="10"/>
      </w:r>
      <w:r w:rsidRPr="004C169A">
        <w:rPr>
          <w:rStyle w:val="Strong"/>
          <w:b w:val="0"/>
          <w:bCs/>
        </w:rPr>
        <w:t xml:space="preserve"> w/w 4-heptylphenol, branched and linear</w:t>
      </w:r>
      <w:r w:rsidR="00D84241">
        <w:rPr>
          <w:rStyle w:val="Strong"/>
          <w:b w:val="0"/>
          <w:bCs/>
        </w:rPr>
        <w:t>,</w:t>
      </w:r>
      <w:r w:rsidRPr="004C169A">
        <w:rPr>
          <w:b/>
          <w:lang w:eastAsia="en-US"/>
        </w:rPr>
        <w:t xml:space="preserve"> </w:t>
      </w:r>
      <w:r>
        <w:t xml:space="preserve">shall likewise be identified as substances of very high concern due to their endocrine disrupting properties in the environment. </w:t>
      </w:r>
    </w:p>
    <w:p w14:paraId="50A5B304" w14:textId="77777777" w:rsidR="00B12C39" w:rsidRDefault="00B12C39" w:rsidP="008F3F84">
      <w:pPr>
        <w:pStyle w:val="BulletedList1-usermanual"/>
        <w:numPr>
          <w:ilvl w:val="0"/>
          <w:numId w:val="0"/>
        </w:numPr>
        <w:rPr>
          <w:highlight w:val="yellow"/>
        </w:rPr>
      </w:pPr>
    </w:p>
    <w:p w14:paraId="0573E05C" w14:textId="7544A80C" w:rsidR="007668BC" w:rsidRPr="00790BC1" w:rsidRDefault="00B12C39" w:rsidP="00790BC1">
      <w:pPr>
        <w:pStyle w:val="Title"/>
        <w:numPr>
          <w:ilvl w:val="0"/>
          <w:numId w:val="0"/>
        </w:numPr>
        <w:jc w:val="center"/>
        <w:rPr>
          <w:sz w:val="32"/>
        </w:rPr>
      </w:pPr>
      <w:r>
        <w:rPr>
          <w:highlight w:val="yellow"/>
        </w:rPr>
        <w:br w:type="page"/>
      </w:r>
      <w:bookmarkStart w:id="315" w:name="_Toc316637392"/>
      <w:bookmarkStart w:id="316" w:name="_Toc341888619"/>
      <w:bookmarkStart w:id="317" w:name="_Toc342400479"/>
      <w:bookmarkStart w:id="318" w:name="_Toc357184272"/>
      <w:bookmarkStart w:id="319" w:name="_Toc357184508"/>
      <w:bookmarkStart w:id="320" w:name="_Toc357185310"/>
      <w:bookmarkStart w:id="321" w:name="_Toc357186158"/>
      <w:bookmarkStart w:id="322" w:name="_Toc357186307"/>
      <w:bookmarkStart w:id="323" w:name="_Toc357437596"/>
      <w:bookmarkStart w:id="324" w:name="_Toc357590869"/>
      <w:bookmarkStart w:id="325" w:name="_Toc357692901"/>
      <w:bookmarkStart w:id="326" w:name="_Toc365649727"/>
      <w:bookmarkStart w:id="327" w:name="_Toc365649876"/>
      <w:bookmarkStart w:id="328" w:name="_Toc366489928"/>
      <w:bookmarkStart w:id="329" w:name="_Toc418498632"/>
      <w:bookmarkStart w:id="330" w:name="_Toc418506087"/>
      <w:bookmarkStart w:id="331" w:name="_Toc491786405"/>
      <w:r w:rsidRPr="00CD2F3D">
        <w:rPr>
          <w:sz w:val="32"/>
        </w:rPr>
        <w:lastRenderedPageBreak/>
        <w:t>Part II</w:t>
      </w:r>
      <w:bookmarkStart w:id="332" w:name="_Toc316637393"/>
      <w:bookmarkStart w:id="333" w:name="_Toc341888620"/>
      <w:bookmarkStart w:id="334" w:name="_Toc342400480"/>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4972EFC7" w14:textId="77777777" w:rsidR="00683CE9" w:rsidRPr="00683CE9" w:rsidRDefault="00683CE9" w:rsidP="00683CE9">
      <w:pPr>
        <w:rPr>
          <w:lang w:eastAsia="en-US"/>
        </w:rPr>
      </w:pPr>
    </w:p>
    <w:p w14:paraId="596594A3" w14:textId="77777777" w:rsidR="0089087B" w:rsidRDefault="0089087B" w:rsidP="0089087B">
      <w:pPr>
        <w:pStyle w:val="Heading1"/>
      </w:pPr>
      <w:bookmarkStart w:id="335" w:name="_Toc422996193"/>
      <w:bookmarkStart w:id="336" w:name="_Toc491786406"/>
      <w:bookmarkEnd w:id="332"/>
      <w:bookmarkEnd w:id="333"/>
      <w:bookmarkEnd w:id="334"/>
      <w:r>
        <w:t>Registration and C&amp;L notification status</w:t>
      </w:r>
      <w:bookmarkEnd w:id="335"/>
      <w:bookmarkEnd w:id="336"/>
      <w:r>
        <w:t xml:space="preserve"> </w:t>
      </w:r>
    </w:p>
    <w:p w14:paraId="66FA5998" w14:textId="43874F16" w:rsidR="00790BC1" w:rsidRDefault="00790BC1" w:rsidP="003B26C6">
      <w:pPr>
        <w:pStyle w:val="BodyText"/>
        <w:jc w:val="both"/>
      </w:pPr>
      <w:r>
        <w:t>The UVCB substance “</w:t>
      </w:r>
      <w:r w:rsidRPr="00236584">
        <w:rPr>
          <w:rStyle w:val="Strong"/>
          <w:b w:val="0"/>
          <w:bCs/>
        </w:rPr>
        <w:t xml:space="preserve">reaction product </w:t>
      </w:r>
      <w:r w:rsidRPr="00236584">
        <w:t>of 1,3,4-thiadiazolidine-2,5-dithione, formaldehyde and phenol, heptyl derivs.</w:t>
      </w:r>
      <w:r>
        <w:t>” is the only representative of the group RP-HP that has been registered under REACH</w:t>
      </w:r>
      <w:r w:rsidR="00236983">
        <w:t xml:space="preserve"> so far</w:t>
      </w:r>
      <w:r>
        <w:t>.</w:t>
      </w:r>
    </w:p>
    <w:p w14:paraId="336D2A87" w14:textId="77777777" w:rsidR="00790BC1" w:rsidRPr="00790BC1" w:rsidRDefault="00790BC1" w:rsidP="00790BC1">
      <w:pPr>
        <w:pStyle w:val="BodyText"/>
      </w:pPr>
    </w:p>
    <w:p w14:paraId="290407E9" w14:textId="77777777" w:rsidR="0089087B" w:rsidRDefault="00B467B2" w:rsidP="009C000A">
      <w:pPr>
        <w:pStyle w:val="Heading2"/>
        <w:numPr>
          <w:ilvl w:val="1"/>
          <w:numId w:val="17"/>
        </w:numPr>
        <w:tabs>
          <w:tab w:val="clear" w:pos="360"/>
        </w:tabs>
        <w:jc w:val="both"/>
      </w:pPr>
      <w:bookmarkStart w:id="337" w:name="_Toc422996194"/>
      <w:bookmarkStart w:id="338" w:name="_Toc491786407"/>
      <w:r>
        <w:t>R</w:t>
      </w:r>
      <w:r w:rsidR="0089087B">
        <w:t>egistration status</w:t>
      </w:r>
      <w:bookmarkEnd w:id="337"/>
      <w:bookmarkEnd w:id="338"/>
      <w:r w:rsidR="0089087B">
        <w:t xml:space="preserve"> </w:t>
      </w:r>
    </w:p>
    <w:p w14:paraId="1AB02F31" w14:textId="030720F0" w:rsidR="003215DB" w:rsidRPr="003215DB" w:rsidRDefault="003215DB" w:rsidP="003215DB">
      <w:pPr>
        <w:pStyle w:val="Caption"/>
        <w:rPr>
          <w:b/>
          <w:sz w:val="18"/>
        </w:rPr>
      </w:pPr>
      <w:bookmarkStart w:id="339" w:name="_Toc491786615"/>
      <w:r w:rsidRPr="003215DB">
        <w:rPr>
          <w:b/>
          <w:sz w:val="18"/>
        </w:rPr>
        <w:t xml:space="preserve">Table </w:t>
      </w:r>
      <w:r w:rsidR="000721AD" w:rsidRPr="003215DB">
        <w:rPr>
          <w:b/>
          <w:sz w:val="18"/>
        </w:rPr>
        <w:fldChar w:fldCharType="begin"/>
      </w:r>
      <w:r w:rsidRPr="003215DB">
        <w:rPr>
          <w:b/>
          <w:sz w:val="18"/>
        </w:rPr>
        <w:instrText xml:space="preserve"> SEQ Table \* ARABIC </w:instrText>
      </w:r>
      <w:r w:rsidR="000721AD" w:rsidRPr="003215DB">
        <w:rPr>
          <w:b/>
          <w:sz w:val="18"/>
        </w:rPr>
        <w:fldChar w:fldCharType="separate"/>
      </w:r>
      <w:r w:rsidR="00190FD3">
        <w:rPr>
          <w:b/>
          <w:noProof/>
          <w:sz w:val="18"/>
        </w:rPr>
        <w:t>3</w:t>
      </w:r>
      <w:r w:rsidR="000721AD" w:rsidRPr="003215DB">
        <w:rPr>
          <w:b/>
          <w:sz w:val="18"/>
        </w:rPr>
        <w:fldChar w:fldCharType="end"/>
      </w:r>
      <w:r w:rsidR="00236983">
        <w:rPr>
          <w:b/>
          <w:sz w:val="18"/>
        </w:rPr>
        <w:t>:</w:t>
      </w:r>
      <w:r w:rsidRPr="003215DB">
        <w:rPr>
          <w:b/>
          <w:sz w:val="18"/>
        </w:rPr>
        <w:t xml:space="preserve"> </w:t>
      </w:r>
      <w:r w:rsidR="00B467B2">
        <w:rPr>
          <w:b/>
          <w:sz w:val="18"/>
        </w:rPr>
        <w:t>R</w:t>
      </w:r>
      <w:r w:rsidRPr="003215DB">
        <w:rPr>
          <w:b/>
          <w:sz w:val="18"/>
        </w:rPr>
        <w:t>egistration status</w:t>
      </w:r>
      <w:r w:rsidR="00790BC1">
        <w:rPr>
          <w:b/>
          <w:sz w:val="18"/>
        </w:rPr>
        <w:t xml:space="preserve"> for the </w:t>
      </w:r>
      <w:r w:rsidR="00790BC1" w:rsidRPr="00790BC1">
        <w:rPr>
          <w:b/>
          <w:sz w:val="18"/>
        </w:rPr>
        <w:t>reaction product</w:t>
      </w:r>
      <w:r w:rsidR="00790BC1" w:rsidRPr="00790BC1">
        <w:rPr>
          <w:sz w:val="18"/>
        </w:rPr>
        <w:t xml:space="preserve"> </w:t>
      </w:r>
      <w:r w:rsidR="00790BC1" w:rsidRPr="00790BC1">
        <w:rPr>
          <w:b/>
          <w:sz w:val="18"/>
        </w:rPr>
        <w:t>of 1,3,4-thiadiazolidine-2,5-dithione, formaldehyde and phenol, heptyl derivs.</w:t>
      </w:r>
      <w:bookmarkEnd w:id="339"/>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4825"/>
      </w:tblGrid>
      <w:tr w:rsidR="0089087B" w:rsidRPr="00336750" w14:paraId="05E93A5C" w14:textId="77777777" w:rsidTr="00550964">
        <w:trPr>
          <w:trHeight w:val="375"/>
          <w:jc w:val="center"/>
        </w:trPr>
        <w:tc>
          <w:tcPr>
            <w:tcW w:w="8270" w:type="dxa"/>
            <w:gridSpan w:val="2"/>
            <w:shd w:val="clear" w:color="auto" w:fill="auto"/>
            <w:vAlign w:val="center"/>
          </w:tcPr>
          <w:p w14:paraId="740F3175" w14:textId="77777777" w:rsidR="0089087B" w:rsidRPr="00C5178C" w:rsidRDefault="0089087B" w:rsidP="0089087B">
            <w:pPr>
              <w:pStyle w:val="Caption"/>
              <w:rPr>
                <w:b/>
                <w:sz w:val="20"/>
              </w:rPr>
            </w:pPr>
            <w:r w:rsidRPr="00973C04">
              <w:rPr>
                <w:b/>
                <w:sz w:val="20"/>
              </w:rPr>
              <w:t xml:space="preserve">From </w:t>
            </w:r>
            <w:r>
              <w:rPr>
                <w:b/>
                <w:sz w:val="20"/>
              </w:rPr>
              <w:t xml:space="preserve">the </w:t>
            </w:r>
            <w:r w:rsidRPr="00973C04">
              <w:rPr>
                <w:b/>
                <w:sz w:val="20"/>
              </w:rPr>
              <w:t>ECHA dissemination site</w:t>
            </w:r>
            <w:r w:rsidRPr="001340DF">
              <w:rPr>
                <w:rStyle w:val="FootnoteReference"/>
                <w:rFonts w:ascii="Verdana" w:hAnsi="Verdana"/>
                <w:b/>
                <w:sz w:val="20"/>
              </w:rPr>
              <w:footnoteReference w:id="11"/>
            </w:r>
          </w:p>
        </w:tc>
      </w:tr>
      <w:tr w:rsidR="0089087B" w:rsidRPr="00336750" w14:paraId="1AC56E40" w14:textId="77777777" w:rsidTr="00550964">
        <w:trPr>
          <w:trHeight w:val="1846"/>
          <w:jc w:val="center"/>
        </w:trPr>
        <w:tc>
          <w:tcPr>
            <w:tcW w:w="3445" w:type="dxa"/>
            <w:shd w:val="clear" w:color="auto" w:fill="auto"/>
            <w:vAlign w:val="center"/>
          </w:tcPr>
          <w:p w14:paraId="5F70A1C7" w14:textId="77777777" w:rsidR="0089087B" w:rsidRPr="00336750" w:rsidRDefault="0089087B" w:rsidP="00550964">
            <w:pPr>
              <w:pStyle w:val="Caption"/>
              <w:spacing w:before="0"/>
              <w:rPr>
                <w:sz w:val="20"/>
              </w:rPr>
            </w:pPr>
            <w:r>
              <w:rPr>
                <w:sz w:val="20"/>
              </w:rPr>
              <w:t>Registrations</w:t>
            </w:r>
          </w:p>
        </w:tc>
        <w:tc>
          <w:tcPr>
            <w:tcW w:w="4825" w:type="dxa"/>
            <w:shd w:val="clear" w:color="auto" w:fill="auto"/>
            <w:vAlign w:val="center"/>
          </w:tcPr>
          <w:p w14:paraId="7EFB3EA2" w14:textId="77777777" w:rsidR="0089087B" w:rsidRDefault="0089087B" w:rsidP="00550964">
            <w:pPr>
              <w:pStyle w:val="Caption"/>
              <w:spacing w:after="0"/>
              <w:ind w:left="1122"/>
              <w:rPr>
                <w:sz w:val="20"/>
              </w:rPr>
            </w:pPr>
            <w:r w:rsidRPr="00977FC9">
              <w:rPr>
                <w:rFonts w:ascii="MS Gothic" w:eastAsia="MS Gothic" w:hAnsi="MS Gothic" w:hint="eastAsia"/>
              </w:rPr>
              <w:t>☒</w:t>
            </w:r>
            <w:r w:rsidRPr="00336750">
              <w:rPr>
                <w:sz w:val="20"/>
              </w:rPr>
              <w:t xml:space="preserve"> Full registration(s)</w:t>
            </w:r>
          </w:p>
          <w:p w14:paraId="079EC9E9" w14:textId="77777777" w:rsidR="0089087B" w:rsidRPr="00336750" w:rsidRDefault="0089087B" w:rsidP="00550964">
            <w:pPr>
              <w:pStyle w:val="Caption"/>
              <w:spacing w:before="0"/>
              <w:ind w:left="1524"/>
              <w:rPr>
                <w:sz w:val="20"/>
              </w:rPr>
            </w:pPr>
            <w:r>
              <w:rPr>
                <w:sz w:val="20"/>
              </w:rPr>
              <w:t>(Art. 10)</w:t>
            </w:r>
          </w:p>
          <w:p w14:paraId="71B4A943" w14:textId="77777777" w:rsidR="0089087B" w:rsidRDefault="00977FC9" w:rsidP="00550964">
            <w:pPr>
              <w:pStyle w:val="Caption"/>
              <w:spacing w:after="0"/>
              <w:ind w:left="1122"/>
              <w:rPr>
                <w:sz w:val="20"/>
              </w:rPr>
            </w:pPr>
            <w:r>
              <w:rPr>
                <w:rFonts w:ascii="MS Gothic" w:eastAsia="MS Gothic" w:hAnsi="MS Gothic" w:hint="eastAsia"/>
              </w:rPr>
              <w:t>☐</w:t>
            </w:r>
            <w:r w:rsidR="0089087B" w:rsidRPr="00336750">
              <w:rPr>
                <w:sz w:val="20"/>
              </w:rPr>
              <w:t xml:space="preserve"> </w:t>
            </w:r>
            <w:r w:rsidR="0089087B">
              <w:rPr>
                <w:sz w:val="20"/>
              </w:rPr>
              <w:t>Intermediate</w:t>
            </w:r>
            <w:r w:rsidR="0089087B" w:rsidRPr="00336750">
              <w:rPr>
                <w:sz w:val="20"/>
              </w:rPr>
              <w:t xml:space="preserve"> registration(s)</w:t>
            </w:r>
          </w:p>
          <w:p w14:paraId="3ACE6354" w14:textId="77777777" w:rsidR="0089087B" w:rsidRPr="00336750" w:rsidRDefault="0089087B" w:rsidP="00550964">
            <w:pPr>
              <w:pStyle w:val="Caption"/>
              <w:spacing w:after="0"/>
              <w:ind w:left="1122"/>
              <w:rPr>
                <w:sz w:val="20"/>
              </w:rPr>
            </w:pPr>
            <w:r>
              <w:rPr>
                <w:sz w:val="20"/>
              </w:rPr>
              <w:t>(Art. 17 and/or 18)</w:t>
            </w:r>
          </w:p>
        </w:tc>
      </w:tr>
    </w:tbl>
    <w:p w14:paraId="232353D6" w14:textId="77777777" w:rsidR="0089087B" w:rsidRDefault="0089087B" w:rsidP="0089087B">
      <w:pPr>
        <w:pStyle w:val="BodyText"/>
        <w:rPr>
          <w:bCs/>
        </w:rPr>
      </w:pPr>
    </w:p>
    <w:p w14:paraId="1D53F044" w14:textId="77777777" w:rsidR="003819B8" w:rsidRDefault="003819B8" w:rsidP="0053184F">
      <w:pPr>
        <w:pStyle w:val="BodyText"/>
      </w:pPr>
    </w:p>
    <w:p w14:paraId="38352B08" w14:textId="77777777" w:rsidR="001340DF" w:rsidRDefault="001340DF" w:rsidP="001340DF">
      <w:pPr>
        <w:pStyle w:val="Heading2"/>
      </w:pPr>
      <w:bookmarkStart w:id="340" w:name="_Toc422996196"/>
      <w:bookmarkStart w:id="341" w:name="_Toc491786408"/>
      <w:r>
        <w:t>7.</w:t>
      </w:r>
      <w:r w:rsidR="001A3B94">
        <w:t>2</w:t>
      </w:r>
      <w:r>
        <w:t xml:space="preserve"> </w:t>
      </w:r>
      <w:r w:rsidRPr="00793703">
        <w:t xml:space="preserve">CLP </w:t>
      </w:r>
      <w:r>
        <w:t>n</w:t>
      </w:r>
      <w:r w:rsidRPr="00793703">
        <w:t xml:space="preserve">otification </w:t>
      </w:r>
      <w:r>
        <w:t>s</w:t>
      </w:r>
      <w:r w:rsidRPr="00793703">
        <w:t>tatus</w:t>
      </w:r>
      <w:bookmarkEnd w:id="340"/>
      <w:bookmarkEnd w:id="341"/>
    </w:p>
    <w:p w14:paraId="6AC0B2F0" w14:textId="1D67962F" w:rsidR="003215DB" w:rsidRPr="003215DB" w:rsidRDefault="003215DB" w:rsidP="00790BC1">
      <w:pPr>
        <w:pStyle w:val="Caption"/>
        <w:rPr>
          <w:b/>
          <w:sz w:val="18"/>
        </w:rPr>
      </w:pPr>
      <w:bookmarkStart w:id="342" w:name="_Toc491786616"/>
      <w:r w:rsidRPr="003215DB">
        <w:rPr>
          <w:b/>
          <w:sz w:val="18"/>
        </w:rPr>
        <w:t xml:space="preserve">Table </w:t>
      </w:r>
      <w:r w:rsidR="000721AD" w:rsidRPr="003215DB">
        <w:rPr>
          <w:b/>
          <w:sz w:val="18"/>
        </w:rPr>
        <w:fldChar w:fldCharType="begin"/>
      </w:r>
      <w:r w:rsidRPr="003215DB">
        <w:rPr>
          <w:b/>
          <w:sz w:val="18"/>
        </w:rPr>
        <w:instrText xml:space="preserve"> SEQ Table \* ARABIC </w:instrText>
      </w:r>
      <w:r w:rsidR="000721AD" w:rsidRPr="003215DB">
        <w:rPr>
          <w:b/>
          <w:sz w:val="18"/>
        </w:rPr>
        <w:fldChar w:fldCharType="separate"/>
      </w:r>
      <w:r w:rsidR="00190FD3">
        <w:rPr>
          <w:b/>
          <w:noProof/>
          <w:sz w:val="18"/>
        </w:rPr>
        <w:t>4</w:t>
      </w:r>
      <w:r w:rsidR="000721AD" w:rsidRPr="003215DB">
        <w:rPr>
          <w:b/>
          <w:sz w:val="18"/>
        </w:rPr>
        <w:fldChar w:fldCharType="end"/>
      </w:r>
      <w:r w:rsidRPr="003215DB">
        <w:rPr>
          <w:b/>
          <w:sz w:val="18"/>
        </w:rPr>
        <w:t>: CLP notifications</w:t>
      </w:r>
      <w:r w:rsidR="00790BC1">
        <w:rPr>
          <w:b/>
          <w:sz w:val="18"/>
        </w:rPr>
        <w:t xml:space="preserve"> for the </w:t>
      </w:r>
      <w:r w:rsidR="00790BC1" w:rsidRPr="00790BC1">
        <w:rPr>
          <w:b/>
          <w:sz w:val="18"/>
        </w:rPr>
        <w:t>reaction product</w:t>
      </w:r>
      <w:r w:rsidR="00790BC1" w:rsidRPr="00790BC1">
        <w:rPr>
          <w:sz w:val="18"/>
        </w:rPr>
        <w:t xml:space="preserve"> </w:t>
      </w:r>
      <w:r w:rsidR="00790BC1" w:rsidRPr="00790BC1">
        <w:rPr>
          <w:b/>
          <w:sz w:val="18"/>
        </w:rPr>
        <w:t>of 1,3,4-thiadiazolidine-2,5-dithione, formaldehyde and phenol, heptyl derivs.</w:t>
      </w:r>
      <w:bookmarkEnd w:id="342"/>
    </w:p>
    <w:tbl>
      <w:tblPr>
        <w:tblW w:w="4904" w:type="pct"/>
        <w:tblInd w:w="107" w:type="dxa"/>
        <w:tblLayout w:type="fixed"/>
        <w:tblLook w:val="0000" w:firstRow="0" w:lastRow="0" w:firstColumn="0" w:lastColumn="0" w:noHBand="0" w:noVBand="0"/>
      </w:tblPr>
      <w:tblGrid>
        <w:gridCol w:w="6639"/>
        <w:gridCol w:w="2913"/>
      </w:tblGrid>
      <w:tr w:rsidR="001340DF" w:rsidRPr="00A53620" w14:paraId="3128E1DF" w14:textId="77777777" w:rsidTr="00550964">
        <w:trPr>
          <w:cantSplit/>
          <w:trHeight w:val="98"/>
        </w:trPr>
        <w:tc>
          <w:tcPr>
            <w:tcW w:w="3475" w:type="pct"/>
            <w:tcBorders>
              <w:top w:val="single" w:sz="2" w:space="0" w:color="auto"/>
              <w:left w:val="single" w:sz="4" w:space="0" w:color="auto"/>
              <w:bottom w:val="single" w:sz="4" w:space="0" w:color="auto"/>
              <w:right w:val="single" w:sz="4" w:space="0" w:color="auto"/>
            </w:tcBorders>
          </w:tcPr>
          <w:p w14:paraId="7D9D83A4" w14:textId="77777777" w:rsidR="001340DF" w:rsidRPr="00554DC9" w:rsidRDefault="001340DF" w:rsidP="00550964">
            <w:pPr>
              <w:spacing w:before="60" w:after="60"/>
              <w:jc w:val="center"/>
              <w:rPr>
                <w:b/>
                <w:sz w:val="18"/>
                <w:szCs w:val="16"/>
              </w:rPr>
            </w:pPr>
          </w:p>
        </w:tc>
        <w:tc>
          <w:tcPr>
            <w:tcW w:w="1525" w:type="pct"/>
            <w:tcBorders>
              <w:top w:val="single" w:sz="2" w:space="0" w:color="auto"/>
              <w:left w:val="single" w:sz="4" w:space="0" w:color="auto"/>
              <w:bottom w:val="single" w:sz="4" w:space="0" w:color="auto"/>
              <w:right w:val="single" w:sz="2" w:space="0" w:color="auto"/>
            </w:tcBorders>
          </w:tcPr>
          <w:p w14:paraId="1ED01E58" w14:textId="77777777" w:rsidR="001340DF" w:rsidRPr="00554DC9" w:rsidRDefault="001340DF" w:rsidP="00550964">
            <w:pPr>
              <w:spacing w:before="60" w:after="60"/>
              <w:jc w:val="center"/>
              <w:rPr>
                <w:b/>
                <w:sz w:val="18"/>
                <w:szCs w:val="16"/>
              </w:rPr>
            </w:pPr>
            <w:r w:rsidRPr="00554DC9">
              <w:rPr>
                <w:b/>
                <w:sz w:val="18"/>
                <w:szCs w:val="16"/>
              </w:rPr>
              <w:t>CLP Notifications</w:t>
            </w:r>
            <w:r w:rsidRPr="00554DC9">
              <w:rPr>
                <w:rStyle w:val="FootnoteReference"/>
                <w:rFonts w:ascii="Verdana" w:hAnsi="Verdana"/>
                <w:b/>
                <w:sz w:val="18"/>
              </w:rPr>
              <w:footnoteReference w:id="12"/>
            </w:r>
          </w:p>
        </w:tc>
      </w:tr>
      <w:tr w:rsidR="001340DF" w:rsidRPr="00A53620" w14:paraId="3D7E5CEE" w14:textId="77777777" w:rsidTr="00550964">
        <w:trPr>
          <w:cantSplit/>
          <w:trHeight w:val="168"/>
        </w:trPr>
        <w:tc>
          <w:tcPr>
            <w:tcW w:w="3475" w:type="pct"/>
            <w:tcBorders>
              <w:top w:val="single" w:sz="2" w:space="0" w:color="auto"/>
              <w:left w:val="single" w:sz="4" w:space="0" w:color="auto"/>
              <w:bottom w:val="single" w:sz="2" w:space="0" w:color="auto"/>
              <w:right w:val="single" w:sz="4" w:space="0" w:color="auto"/>
            </w:tcBorders>
          </w:tcPr>
          <w:p w14:paraId="086E01EE" w14:textId="77777777" w:rsidR="001340DF" w:rsidRPr="00A22024" w:rsidRDefault="001340DF" w:rsidP="00550964">
            <w:pPr>
              <w:spacing w:before="60" w:after="60"/>
              <w:ind w:right="-108"/>
              <w:rPr>
                <w:sz w:val="18"/>
                <w:szCs w:val="16"/>
              </w:rPr>
            </w:pPr>
            <w:r w:rsidRPr="00A22024">
              <w:rPr>
                <w:sz w:val="18"/>
                <w:szCs w:val="16"/>
              </w:rPr>
              <w:t>Number of aggregated notifications</w:t>
            </w:r>
          </w:p>
        </w:tc>
        <w:tc>
          <w:tcPr>
            <w:tcW w:w="1525" w:type="pct"/>
            <w:tcBorders>
              <w:top w:val="single" w:sz="2" w:space="0" w:color="auto"/>
              <w:left w:val="single" w:sz="4" w:space="0" w:color="auto"/>
              <w:bottom w:val="single" w:sz="2" w:space="0" w:color="auto"/>
              <w:right w:val="single" w:sz="2" w:space="0" w:color="auto"/>
            </w:tcBorders>
          </w:tcPr>
          <w:p w14:paraId="7F4CB9BC" w14:textId="77777777" w:rsidR="001340DF" w:rsidRPr="00554DC9" w:rsidRDefault="00977FC9" w:rsidP="00550964">
            <w:pPr>
              <w:spacing w:before="60" w:after="60"/>
              <w:jc w:val="center"/>
              <w:rPr>
                <w:sz w:val="18"/>
                <w:szCs w:val="16"/>
              </w:rPr>
            </w:pPr>
            <w:r>
              <w:rPr>
                <w:sz w:val="18"/>
                <w:szCs w:val="16"/>
              </w:rPr>
              <w:t>2</w:t>
            </w:r>
          </w:p>
        </w:tc>
      </w:tr>
      <w:tr w:rsidR="001340DF" w:rsidRPr="00A53620" w14:paraId="35AEDA83" w14:textId="77777777" w:rsidTr="00550964">
        <w:trPr>
          <w:cantSplit/>
          <w:trHeight w:val="168"/>
        </w:trPr>
        <w:tc>
          <w:tcPr>
            <w:tcW w:w="3475" w:type="pct"/>
            <w:tcBorders>
              <w:top w:val="single" w:sz="2" w:space="0" w:color="auto"/>
              <w:left w:val="single" w:sz="4" w:space="0" w:color="auto"/>
              <w:bottom w:val="single" w:sz="2" w:space="0" w:color="auto"/>
              <w:right w:val="single" w:sz="4" w:space="0" w:color="auto"/>
            </w:tcBorders>
          </w:tcPr>
          <w:p w14:paraId="33BFE536" w14:textId="77777777" w:rsidR="001340DF" w:rsidRPr="00A22024" w:rsidRDefault="001340DF" w:rsidP="00550964">
            <w:pPr>
              <w:spacing w:before="60" w:after="60"/>
              <w:ind w:right="-108"/>
              <w:rPr>
                <w:color w:val="000000"/>
                <w:sz w:val="18"/>
                <w:szCs w:val="16"/>
              </w:rPr>
            </w:pPr>
            <w:r w:rsidRPr="00A22024">
              <w:rPr>
                <w:sz w:val="18"/>
                <w:szCs w:val="16"/>
              </w:rPr>
              <w:t xml:space="preserve">Total number of notifiers </w:t>
            </w:r>
          </w:p>
        </w:tc>
        <w:tc>
          <w:tcPr>
            <w:tcW w:w="1525" w:type="pct"/>
            <w:tcBorders>
              <w:top w:val="single" w:sz="2" w:space="0" w:color="auto"/>
              <w:left w:val="single" w:sz="4" w:space="0" w:color="auto"/>
              <w:bottom w:val="single" w:sz="2" w:space="0" w:color="auto"/>
              <w:right w:val="single" w:sz="2" w:space="0" w:color="auto"/>
            </w:tcBorders>
          </w:tcPr>
          <w:p w14:paraId="63C91EC8" w14:textId="77777777" w:rsidR="001340DF" w:rsidRPr="00554DC9" w:rsidRDefault="00977FC9" w:rsidP="00550964">
            <w:pPr>
              <w:spacing w:before="60" w:after="60"/>
              <w:jc w:val="center"/>
              <w:rPr>
                <w:sz w:val="18"/>
                <w:szCs w:val="16"/>
              </w:rPr>
            </w:pPr>
            <w:r>
              <w:rPr>
                <w:sz w:val="18"/>
                <w:szCs w:val="16"/>
              </w:rPr>
              <w:t>683</w:t>
            </w:r>
          </w:p>
        </w:tc>
      </w:tr>
    </w:tbl>
    <w:p w14:paraId="38D1F8E8" w14:textId="77777777" w:rsidR="00683CE9" w:rsidRDefault="00683CE9" w:rsidP="00554DC9">
      <w:pPr>
        <w:rPr>
          <w:color w:val="0046AD"/>
        </w:rPr>
      </w:pPr>
    </w:p>
    <w:p w14:paraId="7791DA7B" w14:textId="77777777" w:rsidR="00790BC1" w:rsidRDefault="00790BC1" w:rsidP="00554DC9">
      <w:pPr>
        <w:rPr>
          <w:color w:val="0046AD"/>
        </w:rPr>
      </w:pPr>
    </w:p>
    <w:p w14:paraId="6A46AE1A" w14:textId="2FD9ABD7" w:rsidR="009C000A" w:rsidRDefault="009C000A">
      <w:pPr>
        <w:widowControl/>
        <w:rPr>
          <w:color w:val="0046AD"/>
        </w:rPr>
      </w:pPr>
      <w:r>
        <w:rPr>
          <w:color w:val="0046AD"/>
        </w:rPr>
        <w:br w:type="page"/>
      </w:r>
    </w:p>
    <w:p w14:paraId="60812BE9" w14:textId="77777777" w:rsidR="00CD0831" w:rsidRPr="00CD0831" w:rsidRDefault="00CD0831" w:rsidP="00CD0831">
      <w:pPr>
        <w:pStyle w:val="Heading1"/>
      </w:pPr>
      <w:bookmarkStart w:id="343" w:name="_Toc491786409"/>
      <w:bookmarkStart w:id="344" w:name="_Toc422996197"/>
      <w:r>
        <w:lastRenderedPageBreak/>
        <w:t>Total tonnage of the substance</w:t>
      </w:r>
      <w:bookmarkEnd w:id="343"/>
      <w:r>
        <w:t xml:space="preserve"> </w:t>
      </w:r>
    </w:p>
    <w:p w14:paraId="567E7C82" w14:textId="77777777" w:rsidR="00D0549E" w:rsidRPr="00AF4E06" w:rsidRDefault="00D0549E" w:rsidP="00D0549E">
      <w:pPr>
        <w:pStyle w:val="CommentText"/>
        <w:rPr>
          <w:rFonts w:cs="Arial"/>
          <w:i/>
          <w:color w:val="002555"/>
          <w:szCs w:val="18"/>
        </w:rPr>
      </w:pPr>
    </w:p>
    <w:p w14:paraId="4D7B7286" w14:textId="280671EE" w:rsidR="00B71EAA" w:rsidRDefault="00B71EAA" w:rsidP="009C000A">
      <w:pPr>
        <w:pStyle w:val="Caption"/>
        <w:jc w:val="left"/>
        <w:rPr>
          <w:b/>
          <w:sz w:val="18"/>
        </w:rPr>
      </w:pPr>
      <w:bookmarkStart w:id="345" w:name="_Toc491786617"/>
      <w:r w:rsidRPr="003215DB">
        <w:rPr>
          <w:b/>
          <w:sz w:val="18"/>
        </w:rPr>
        <w:t xml:space="preserve">Table </w:t>
      </w:r>
      <w:r w:rsidR="000721AD" w:rsidRPr="003215DB">
        <w:rPr>
          <w:b/>
          <w:sz w:val="18"/>
        </w:rPr>
        <w:fldChar w:fldCharType="begin"/>
      </w:r>
      <w:r w:rsidRPr="003215DB">
        <w:rPr>
          <w:b/>
          <w:sz w:val="18"/>
        </w:rPr>
        <w:instrText xml:space="preserve"> SEQ Table \* ARABIC </w:instrText>
      </w:r>
      <w:r w:rsidR="000721AD" w:rsidRPr="003215DB">
        <w:rPr>
          <w:b/>
          <w:sz w:val="18"/>
        </w:rPr>
        <w:fldChar w:fldCharType="separate"/>
      </w:r>
      <w:r w:rsidR="00190FD3">
        <w:rPr>
          <w:b/>
          <w:noProof/>
          <w:sz w:val="18"/>
        </w:rPr>
        <w:t>5</w:t>
      </w:r>
      <w:r w:rsidR="000721AD" w:rsidRPr="003215DB">
        <w:rPr>
          <w:b/>
          <w:sz w:val="18"/>
        </w:rPr>
        <w:fldChar w:fldCharType="end"/>
      </w:r>
      <w:r>
        <w:rPr>
          <w:b/>
          <w:sz w:val="18"/>
        </w:rPr>
        <w:t>:</w:t>
      </w:r>
      <w:r w:rsidRPr="003215DB">
        <w:rPr>
          <w:b/>
          <w:sz w:val="18"/>
        </w:rPr>
        <w:t xml:space="preserve"> </w:t>
      </w:r>
      <w:r>
        <w:rPr>
          <w:b/>
          <w:sz w:val="18"/>
        </w:rPr>
        <w:t>Tonnage</w:t>
      </w:r>
      <w:r w:rsidRPr="003215DB">
        <w:rPr>
          <w:b/>
          <w:sz w:val="18"/>
        </w:rPr>
        <w:t xml:space="preserve"> status</w:t>
      </w:r>
      <w:r w:rsidR="00790BC1">
        <w:rPr>
          <w:b/>
          <w:sz w:val="18"/>
        </w:rPr>
        <w:t xml:space="preserve"> for the </w:t>
      </w:r>
      <w:r w:rsidR="00790BC1" w:rsidRPr="00790BC1">
        <w:rPr>
          <w:b/>
          <w:sz w:val="18"/>
        </w:rPr>
        <w:t>reaction product</w:t>
      </w:r>
      <w:r w:rsidR="00790BC1" w:rsidRPr="00790BC1">
        <w:rPr>
          <w:sz w:val="18"/>
        </w:rPr>
        <w:t xml:space="preserve"> </w:t>
      </w:r>
      <w:r w:rsidR="00790BC1" w:rsidRPr="00790BC1">
        <w:rPr>
          <w:b/>
          <w:sz w:val="18"/>
        </w:rPr>
        <w:t>of 1,3,4-thiadiazolidine-2,5-dithione, formaldehyde and phenol, heptyl derivs.</w:t>
      </w:r>
      <w:bookmarkEnd w:id="345"/>
    </w:p>
    <w:p w14:paraId="13E55CB8" w14:textId="77777777" w:rsidR="00577AFB" w:rsidRDefault="00577AFB" w:rsidP="00577AFB">
      <w:pPr>
        <w:rPr>
          <w:lang w:eastAsia="en-US"/>
        </w:rPr>
      </w:pPr>
    </w:p>
    <w:tbl>
      <w:tblPr>
        <w:tblStyle w:val="TableGrid"/>
        <w:tblW w:w="0" w:type="auto"/>
        <w:tblInd w:w="534" w:type="dxa"/>
        <w:tblLook w:val="04A0" w:firstRow="1" w:lastRow="0" w:firstColumn="1" w:lastColumn="0" w:noHBand="0" w:noVBand="1"/>
      </w:tblPr>
      <w:tblGrid>
        <w:gridCol w:w="4393"/>
        <w:gridCol w:w="4112"/>
      </w:tblGrid>
      <w:tr w:rsidR="00577AFB" w14:paraId="7B7536E4" w14:textId="77777777" w:rsidTr="00577AFB">
        <w:tc>
          <w:tcPr>
            <w:tcW w:w="4393" w:type="dxa"/>
            <w:vAlign w:val="center"/>
          </w:tcPr>
          <w:p w14:paraId="6122B0BF" w14:textId="77777777" w:rsidR="00577AFB" w:rsidRDefault="00577AFB" w:rsidP="00577AFB">
            <w:pPr>
              <w:rPr>
                <w:lang w:eastAsia="en-US"/>
              </w:rPr>
            </w:pPr>
            <w:r w:rsidRPr="00397DA7">
              <w:t>Total tonnage band for</w:t>
            </w:r>
            <w:r>
              <w:t xml:space="preserve"> the</w:t>
            </w:r>
            <w:r w:rsidRPr="00397DA7">
              <w:t xml:space="preserve"> </w:t>
            </w:r>
            <w:r w:rsidR="00815240">
              <w:t xml:space="preserve">registered </w:t>
            </w:r>
            <w:r w:rsidRPr="00397DA7">
              <w:t>substance (excluding the volume registered under Art 17 or Art 18)</w:t>
            </w:r>
            <w:r w:rsidRPr="0040013B">
              <w:rPr>
                <w:rStyle w:val="FootnoteReference"/>
                <w:rFonts w:ascii="Verdana" w:hAnsi="Verdana"/>
                <w:sz w:val="20"/>
              </w:rPr>
              <w:footnoteReference w:id="13"/>
            </w:r>
          </w:p>
        </w:tc>
        <w:tc>
          <w:tcPr>
            <w:tcW w:w="4112" w:type="dxa"/>
            <w:vAlign w:val="center"/>
          </w:tcPr>
          <w:p w14:paraId="0AE3682E" w14:textId="77777777" w:rsidR="00577AFB" w:rsidRDefault="00577AFB" w:rsidP="00FC5726">
            <w:pPr>
              <w:pStyle w:val="Caption"/>
              <w:rPr>
                <w:sz w:val="20"/>
              </w:rPr>
            </w:pPr>
          </w:p>
          <w:p w14:paraId="5120698D" w14:textId="77777777" w:rsidR="00577AFB" w:rsidRDefault="00AB7BE5" w:rsidP="00FC5726">
            <w:pPr>
              <w:pStyle w:val="BodyText"/>
              <w:jc w:val="center"/>
            </w:pPr>
            <w:r>
              <w:t>10-100</w:t>
            </w:r>
            <w:r w:rsidR="00577AFB">
              <w:t xml:space="preserve"> t/pa</w:t>
            </w:r>
          </w:p>
          <w:p w14:paraId="637E32F1" w14:textId="77777777" w:rsidR="00577AFB" w:rsidRDefault="00577AFB" w:rsidP="00577AFB">
            <w:pPr>
              <w:rPr>
                <w:lang w:eastAsia="en-US"/>
              </w:rPr>
            </w:pPr>
          </w:p>
        </w:tc>
      </w:tr>
      <w:tr w:rsidR="00577AFB" w14:paraId="713AA0EE" w14:textId="77777777" w:rsidTr="00577AFB">
        <w:tc>
          <w:tcPr>
            <w:tcW w:w="4393" w:type="dxa"/>
            <w:vAlign w:val="center"/>
          </w:tcPr>
          <w:p w14:paraId="5AC7C5E2" w14:textId="17E800AE" w:rsidR="00577AFB" w:rsidRDefault="00577AFB" w:rsidP="00D55DF1">
            <w:pPr>
              <w:rPr>
                <w:lang w:eastAsia="en-US"/>
              </w:rPr>
            </w:pPr>
            <w:r>
              <w:t>Tonnage information from public sources other than registration dossiers (if available)</w:t>
            </w:r>
          </w:p>
        </w:tc>
        <w:tc>
          <w:tcPr>
            <w:tcW w:w="4112" w:type="dxa"/>
            <w:vAlign w:val="center"/>
          </w:tcPr>
          <w:p w14:paraId="3CFF4F16" w14:textId="77777777" w:rsidR="00577AFB" w:rsidRDefault="00577AFB" w:rsidP="00FC5726">
            <w:pPr>
              <w:pStyle w:val="Caption"/>
              <w:rPr>
                <w:sz w:val="20"/>
              </w:rPr>
            </w:pPr>
          </w:p>
          <w:p w14:paraId="2989CC9F" w14:textId="77777777" w:rsidR="00577AFB" w:rsidRDefault="00AB7BE5" w:rsidP="00FC5726">
            <w:pPr>
              <w:pStyle w:val="BodyText"/>
              <w:jc w:val="center"/>
            </w:pPr>
            <w:r>
              <w:t>-</w:t>
            </w:r>
          </w:p>
          <w:p w14:paraId="267BAA22" w14:textId="77777777" w:rsidR="00577AFB" w:rsidRDefault="00577AFB" w:rsidP="00577AFB">
            <w:pPr>
              <w:rPr>
                <w:lang w:eastAsia="en-US"/>
              </w:rPr>
            </w:pPr>
          </w:p>
        </w:tc>
      </w:tr>
    </w:tbl>
    <w:p w14:paraId="713CCEB5" w14:textId="77777777" w:rsidR="00577AFB" w:rsidRPr="00577AFB" w:rsidRDefault="00577AFB" w:rsidP="00577AFB">
      <w:pPr>
        <w:rPr>
          <w:lang w:eastAsia="en-US"/>
        </w:rPr>
      </w:pPr>
    </w:p>
    <w:p w14:paraId="44D2E685" w14:textId="77777777" w:rsidR="00577AFB" w:rsidRDefault="00577AFB" w:rsidP="00B467B2">
      <w:pPr>
        <w:pStyle w:val="Heading2"/>
      </w:pPr>
    </w:p>
    <w:p w14:paraId="69E26464" w14:textId="77777777" w:rsidR="00554DC9" w:rsidRPr="0077059D" w:rsidRDefault="00554DC9" w:rsidP="00554DC9">
      <w:pPr>
        <w:pStyle w:val="Heading1"/>
      </w:pPr>
      <w:bookmarkStart w:id="346" w:name="_Toc491786410"/>
      <w:r w:rsidRPr="0077059D">
        <w:t>Information on uses of the substance</w:t>
      </w:r>
      <w:bookmarkEnd w:id="344"/>
      <w:bookmarkEnd w:id="346"/>
    </w:p>
    <w:p w14:paraId="4E9AB300" w14:textId="3177A768" w:rsidR="00B05510" w:rsidRPr="001206E6" w:rsidRDefault="00B05510" w:rsidP="001206E6">
      <w:pPr>
        <w:pStyle w:val="Caption"/>
        <w:ind w:left="993"/>
        <w:rPr>
          <w:b/>
          <w:i/>
          <w:sz w:val="18"/>
        </w:rPr>
      </w:pPr>
    </w:p>
    <w:p w14:paraId="1FD1E5A3" w14:textId="213CF9AD" w:rsidR="003215DB" w:rsidRPr="003215DB" w:rsidRDefault="003215DB" w:rsidP="00790BC1">
      <w:pPr>
        <w:pStyle w:val="Caption"/>
        <w:rPr>
          <w:b/>
          <w:sz w:val="18"/>
        </w:rPr>
      </w:pPr>
      <w:bookmarkStart w:id="347" w:name="_Toc491786618"/>
      <w:r w:rsidRPr="003215DB">
        <w:rPr>
          <w:b/>
          <w:sz w:val="18"/>
        </w:rPr>
        <w:t xml:space="preserve">Table </w:t>
      </w:r>
      <w:r w:rsidR="000721AD" w:rsidRPr="003215DB">
        <w:rPr>
          <w:b/>
          <w:sz w:val="18"/>
        </w:rPr>
        <w:fldChar w:fldCharType="begin"/>
      </w:r>
      <w:r w:rsidRPr="003215DB">
        <w:rPr>
          <w:b/>
          <w:sz w:val="18"/>
        </w:rPr>
        <w:instrText xml:space="preserve"> SEQ Table \* ARABIC </w:instrText>
      </w:r>
      <w:r w:rsidR="000721AD" w:rsidRPr="003215DB">
        <w:rPr>
          <w:b/>
          <w:sz w:val="18"/>
        </w:rPr>
        <w:fldChar w:fldCharType="separate"/>
      </w:r>
      <w:r w:rsidR="00190FD3">
        <w:rPr>
          <w:b/>
          <w:noProof/>
          <w:sz w:val="18"/>
        </w:rPr>
        <w:t>6</w:t>
      </w:r>
      <w:r w:rsidR="000721AD" w:rsidRPr="003215DB">
        <w:rPr>
          <w:b/>
          <w:sz w:val="18"/>
        </w:rPr>
        <w:fldChar w:fldCharType="end"/>
      </w:r>
      <w:r w:rsidRPr="003215DB">
        <w:rPr>
          <w:b/>
          <w:noProof/>
          <w:sz w:val="18"/>
        </w:rPr>
        <w:t>: Uses</w:t>
      </w:r>
      <w:r w:rsidR="00790BC1">
        <w:rPr>
          <w:b/>
          <w:noProof/>
          <w:sz w:val="18"/>
        </w:rPr>
        <w:t xml:space="preserve"> </w:t>
      </w:r>
      <w:r w:rsidR="00790BC1">
        <w:rPr>
          <w:b/>
          <w:sz w:val="18"/>
        </w:rPr>
        <w:t xml:space="preserve">for the </w:t>
      </w:r>
      <w:r w:rsidR="00790BC1" w:rsidRPr="00790BC1">
        <w:rPr>
          <w:b/>
          <w:sz w:val="18"/>
        </w:rPr>
        <w:t>reaction product</w:t>
      </w:r>
      <w:r w:rsidR="00790BC1" w:rsidRPr="00790BC1">
        <w:rPr>
          <w:sz w:val="18"/>
        </w:rPr>
        <w:t xml:space="preserve"> </w:t>
      </w:r>
      <w:r w:rsidR="00790BC1" w:rsidRPr="00790BC1">
        <w:rPr>
          <w:b/>
          <w:sz w:val="18"/>
        </w:rPr>
        <w:t>of 1,3,4-thiadiazolidine-2,5-dithione, formaldehyde and phenol, heptyl derivs.</w:t>
      </w:r>
      <w:bookmarkEnd w:id="347"/>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4644"/>
        <w:gridCol w:w="1571"/>
        <w:gridCol w:w="1968"/>
      </w:tblGrid>
      <w:tr w:rsidR="005C4AA4" w:rsidRPr="00035135" w14:paraId="36E3B721" w14:textId="77777777" w:rsidTr="00141B05">
        <w:tc>
          <w:tcPr>
            <w:tcW w:w="1564" w:type="dxa"/>
            <w:tcBorders>
              <w:top w:val="nil"/>
              <w:left w:val="nil"/>
            </w:tcBorders>
            <w:shd w:val="clear" w:color="auto" w:fill="auto"/>
            <w:vAlign w:val="center"/>
          </w:tcPr>
          <w:p w14:paraId="52636180" w14:textId="77777777" w:rsidR="005C4AA4" w:rsidRPr="0033478E" w:rsidRDefault="005C4AA4" w:rsidP="00550964">
            <w:pPr>
              <w:pStyle w:val="BodyText"/>
              <w:rPr>
                <w:sz w:val="18"/>
              </w:rPr>
            </w:pPr>
          </w:p>
        </w:tc>
        <w:tc>
          <w:tcPr>
            <w:tcW w:w="4644" w:type="dxa"/>
            <w:shd w:val="clear" w:color="auto" w:fill="auto"/>
          </w:tcPr>
          <w:p w14:paraId="49A049AF" w14:textId="77777777" w:rsidR="005C4AA4" w:rsidRPr="0033478E" w:rsidRDefault="005C4AA4" w:rsidP="00550964">
            <w:pPr>
              <w:pStyle w:val="Caption"/>
              <w:jc w:val="center"/>
              <w:rPr>
                <w:b/>
                <w:sz w:val="18"/>
                <w:lang w:val="en-IE"/>
              </w:rPr>
            </w:pPr>
            <w:r w:rsidRPr="0033478E">
              <w:rPr>
                <w:b/>
                <w:sz w:val="18"/>
                <w:lang w:val="en-IE"/>
              </w:rPr>
              <w:t>Use(s)</w:t>
            </w:r>
          </w:p>
        </w:tc>
        <w:tc>
          <w:tcPr>
            <w:tcW w:w="1571" w:type="dxa"/>
          </w:tcPr>
          <w:p w14:paraId="2537A4C7" w14:textId="77777777" w:rsidR="005C4AA4" w:rsidRPr="009E0412" w:rsidRDefault="005C4AA4" w:rsidP="00141B05">
            <w:pPr>
              <w:pStyle w:val="CommentText"/>
              <w:jc w:val="center"/>
              <w:rPr>
                <w:b/>
                <w:sz w:val="18"/>
              </w:rPr>
            </w:pPr>
            <w:r w:rsidRPr="009E0412">
              <w:rPr>
                <w:b/>
                <w:sz w:val="18"/>
              </w:rPr>
              <w:t>Registered use</w:t>
            </w:r>
          </w:p>
          <w:p w14:paraId="62B936D7" w14:textId="77777777" w:rsidR="005C4AA4" w:rsidRPr="009E0412" w:rsidRDefault="005C4AA4" w:rsidP="00141B05">
            <w:pPr>
              <w:pStyle w:val="CommentText"/>
              <w:rPr>
                <w:b/>
                <w:i/>
                <w:sz w:val="18"/>
                <w:lang w:val="en-IE"/>
              </w:rPr>
            </w:pPr>
            <w:r w:rsidRPr="009E0412">
              <w:rPr>
                <w:i/>
                <w:sz w:val="16"/>
              </w:rPr>
              <w:t>(If not, specify the source of the information)</w:t>
            </w:r>
          </w:p>
        </w:tc>
        <w:tc>
          <w:tcPr>
            <w:tcW w:w="1968" w:type="dxa"/>
          </w:tcPr>
          <w:p w14:paraId="7679BA0F" w14:textId="77777777" w:rsidR="005C4AA4" w:rsidRPr="0033478E" w:rsidRDefault="005C4AA4" w:rsidP="00550964">
            <w:pPr>
              <w:pStyle w:val="Caption"/>
              <w:jc w:val="center"/>
              <w:rPr>
                <w:b/>
                <w:sz w:val="18"/>
                <w:lang w:val="en-IE"/>
              </w:rPr>
            </w:pPr>
            <w:r>
              <w:rPr>
                <w:b/>
                <w:sz w:val="18"/>
                <w:lang w:val="en-IE"/>
              </w:rPr>
              <w:t>Use in the scope of Authorisation</w:t>
            </w:r>
          </w:p>
        </w:tc>
      </w:tr>
      <w:tr w:rsidR="00AB7BE5" w:rsidRPr="00035135" w14:paraId="4BF60319" w14:textId="77777777" w:rsidTr="00141B05">
        <w:tc>
          <w:tcPr>
            <w:tcW w:w="1564" w:type="dxa"/>
            <w:shd w:val="clear" w:color="auto" w:fill="auto"/>
            <w:vAlign w:val="center"/>
          </w:tcPr>
          <w:p w14:paraId="58F53332" w14:textId="77777777" w:rsidR="00AB7BE5" w:rsidRPr="0033478E" w:rsidRDefault="00AB7BE5" w:rsidP="00550964">
            <w:pPr>
              <w:pStyle w:val="BodyText"/>
              <w:rPr>
                <w:b/>
                <w:sz w:val="18"/>
              </w:rPr>
            </w:pPr>
            <w:r w:rsidRPr="0033478E">
              <w:rPr>
                <w:b/>
                <w:sz w:val="18"/>
              </w:rPr>
              <w:t>Uses as intermediate</w:t>
            </w:r>
          </w:p>
        </w:tc>
        <w:tc>
          <w:tcPr>
            <w:tcW w:w="4644" w:type="dxa"/>
            <w:shd w:val="clear" w:color="auto" w:fill="auto"/>
          </w:tcPr>
          <w:p w14:paraId="51B9E692" w14:textId="77777777" w:rsidR="00AB7BE5" w:rsidRPr="00E13563" w:rsidRDefault="00AB7BE5" w:rsidP="004D7BDF">
            <w:pPr>
              <w:pStyle w:val="BodyText"/>
              <w:rPr>
                <w:lang w:val="en"/>
              </w:rPr>
            </w:pPr>
            <w:r w:rsidRPr="00E13563">
              <w:rPr>
                <w:lang w:val="en"/>
              </w:rPr>
              <w:t>-</w:t>
            </w:r>
          </w:p>
        </w:tc>
        <w:tc>
          <w:tcPr>
            <w:tcW w:w="1571" w:type="dxa"/>
          </w:tcPr>
          <w:p w14:paraId="63CF4DF9" w14:textId="77777777" w:rsidR="00AB7BE5" w:rsidRPr="00AB7BE5" w:rsidRDefault="00AB7BE5" w:rsidP="00554DC9">
            <w:pPr>
              <w:pStyle w:val="Caption"/>
              <w:ind w:left="0"/>
              <w:jc w:val="center"/>
              <w:rPr>
                <w:sz w:val="18"/>
              </w:rPr>
            </w:pPr>
            <w:r w:rsidRPr="00AB7BE5">
              <w:rPr>
                <w:sz w:val="18"/>
              </w:rPr>
              <w:t>-</w:t>
            </w:r>
          </w:p>
        </w:tc>
        <w:tc>
          <w:tcPr>
            <w:tcW w:w="1968" w:type="dxa"/>
          </w:tcPr>
          <w:p w14:paraId="22EF289E" w14:textId="7126929C" w:rsidR="00AB7BE5" w:rsidRPr="009A2FF0" w:rsidRDefault="00E3793E" w:rsidP="00554DC9">
            <w:pPr>
              <w:pStyle w:val="Caption"/>
              <w:ind w:left="0"/>
              <w:jc w:val="center"/>
              <w:rPr>
                <w:sz w:val="18"/>
              </w:rPr>
            </w:pPr>
            <w:r>
              <w:rPr>
                <w:sz w:val="18"/>
              </w:rPr>
              <w:t>-</w:t>
            </w:r>
          </w:p>
        </w:tc>
      </w:tr>
      <w:tr w:rsidR="00AB7BE5" w:rsidRPr="00035135" w14:paraId="6B1885A2" w14:textId="77777777" w:rsidTr="00141B05">
        <w:tc>
          <w:tcPr>
            <w:tcW w:w="1564" w:type="dxa"/>
            <w:shd w:val="clear" w:color="auto" w:fill="auto"/>
            <w:vAlign w:val="center"/>
          </w:tcPr>
          <w:p w14:paraId="37E1BDC9" w14:textId="77777777" w:rsidR="00AB7BE5" w:rsidRPr="0033478E" w:rsidRDefault="00AB7BE5" w:rsidP="00550964">
            <w:pPr>
              <w:pStyle w:val="BodyText"/>
              <w:rPr>
                <w:b/>
                <w:sz w:val="18"/>
              </w:rPr>
            </w:pPr>
            <w:r w:rsidRPr="0033478E">
              <w:rPr>
                <w:b/>
                <w:sz w:val="18"/>
              </w:rPr>
              <w:t>Formulation</w:t>
            </w:r>
            <w:r>
              <w:rPr>
                <w:b/>
                <w:sz w:val="18"/>
              </w:rPr>
              <w:t xml:space="preserve"> or repacking</w:t>
            </w:r>
          </w:p>
        </w:tc>
        <w:tc>
          <w:tcPr>
            <w:tcW w:w="4644" w:type="dxa"/>
            <w:shd w:val="clear" w:color="auto" w:fill="auto"/>
          </w:tcPr>
          <w:p w14:paraId="6A3A8A7B" w14:textId="0B5FC8FB" w:rsidR="00AB7BE5" w:rsidRPr="00E13563" w:rsidRDefault="00AB7BE5" w:rsidP="004D7BDF">
            <w:pPr>
              <w:pStyle w:val="BodyText"/>
            </w:pPr>
            <w:r w:rsidRPr="00E13563">
              <w:rPr>
                <w:rFonts w:cs="Tahoma"/>
                <w:color w:val="333333"/>
              </w:rPr>
              <w:t>Formu</w:t>
            </w:r>
            <w:r w:rsidR="00E3793E" w:rsidRPr="00E13563">
              <w:rPr>
                <w:rFonts w:cs="Tahoma"/>
                <w:color w:val="333333"/>
              </w:rPr>
              <w:t>lation by manufacturer and down</w:t>
            </w:r>
            <w:r w:rsidRPr="00E13563">
              <w:rPr>
                <w:rFonts w:cs="Tahoma"/>
                <w:color w:val="333333"/>
              </w:rPr>
              <w:t>stream users: Industrial formulation of lubricant additive, lubricants and greases</w:t>
            </w:r>
          </w:p>
        </w:tc>
        <w:tc>
          <w:tcPr>
            <w:tcW w:w="1571" w:type="dxa"/>
          </w:tcPr>
          <w:p w14:paraId="62DF6EF1" w14:textId="77777777" w:rsidR="00AB7BE5" w:rsidRPr="00AB7BE5" w:rsidRDefault="00AB7BE5" w:rsidP="00554DC9">
            <w:pPr>
              <w:pStyle w:val="Caption"/>
              <w:ind w:left="0"/>
              <w:jc w:val="center"/>
              <w:rPr>
                <w:sz w:val="18"/>
              </w:rPr>
            </w:pPr>
            <w:r w:rsidRPr="00AB7BE5">
              <w:rPr>
                <w:sz w:val="18"/>
              </w:rPr>
              <w:t>Yes</w:t>
            </w:r>
          </w:p>
        </w:tc>
        <w:tc>
          <w:tcPr>
            <w:tcW w:w="1968" w:type="dxa"/>
          </w:tcPr>
          <w:p w14:paraId="30B000B9" w14:textId="417CD193" w:rsidR="00AB7BE5" w:rsidRPr="0033478E" w:rsidRDefault="00E3793E" w:rsidP="00554DC9">
            <w:pPr>
              <w:pStyle w:val="Caption"/>
              <w:ind w:left="0"/>
              <w:jc w:val="center"/>
              <w:rPr>
                <w:rStyle w:val="value1"/>
                <w:sz w:val="18"/>
                <w:szCs w:val="20"/>
              </w:rPr>
            </w:pPr>
            <w:r w:rsidRPr="00E3793E">
              <w:rPr>
                <w:sz w:val="18"/>
              </w:rPr>
              <w:t>Yes</w:t>
            </w:r>
          </w:p>
        </w:tc>
      </w:tr>
      <w:tr w:rsidR="00AB7BE5" w:rsidRPr="00035135" w14:paraId="76C54B22" w14:textId="77777777" w:rsidTr="00141B05">
        <w:tc>
          <w:tcPr>
            <w:tcW w:w="1564" w:type="dxa"/>
            <w:shd w:val="clear" w:color="auto" w:fill="auto"/>
            <w:vAlign w:val="center"/>
          </w:tcPr>
          <w:p w14:paraId="26CB7C2F" w14:textId="77777777" w:rsidR="00AB7BE5" w:rsidRPr="0033478E" w:rsidRDefault="00AB7BE5" w:rsidP="00550964">
            <w:pPr>
              <w:pStyle w:val="BodyText"/>
              <w:rPr>
                <w:b/>
                <w:sz w:val="18"/>
              </w:rPr>
            </w:pPr>
            <w:r w:rsidRPr="0033478E">
              <w:rPr>
                <w:b/>
                <w:sz w:val="18"/>
              </w:rPr>
              <w:t>Uses at industrial sites</w:t>
            </w:r>
          </w:p>
        </w:tc>
        <w:tc>
          <w:tcPr>
            <w:tcW w:w="4644" w:type="dxa"/>
            <w:shd w:val="clear" w:color="auto" w:fill="auto"/>
          </w:tcPr>
          <w:p w14:paraId="6767D2F1" w14:textId="77777777" w:rsidR="00AB7BE5" w:rsidRPr="00E13563" w:rsidRDefault="00AB7BE5" w:rsidP="004D7BDF">
            <w:pPr>
              <w:pStyle w:val="BodyText"/>
              <w:rPr>
                <w:color w:val="333333"/>
              </w:rPr>
            </w:pPr>
            <w:r w:rsidRPr="00E13563">
              <w:rPr>
                <w:color w:val="333333"/>
              </w:rPr>
              <w:t>Application of lubricant to work pieces or equipment by dipping, brushing or spraying (without exposure to heat), e.g. mould releases, corrosion protection, slide ways</w:t>
            </w:r>
          </w:p>
          <w:p w14:paraId="1514466A" w14:textId="77777777" w:rsidR="00AB7BE5" w:rsidRPr="00E13563" w:rsidRDefault="00AB7BE5" w:rsidP="004D7BDF">
            <w:pPr>
              <w:pStyle w:val="BodyText"/>
            </w:pPr>
            <w:r w:rsidRPr="00E13563">
              <w:rPr>
                <w:color w:val="333333"/>
              </w:rPr>
              <w:t>General industrial use of lubricants and greases in vehicles or machinery. Includes filling and draining of containers including enclosed machinery (including engines).</w:t>
            </w:r>
          </w:p>
        </w:tc>
        <w:tc>
          <w:tcPr>
            <w:tcW w:w="1571" w:type="dxa"/>
          </w:tcPr>
          <w:p w14:paraId="45DE0256" w14:textId="77777777" w:rsidR="00AB7BE5" w:rsidRPr="00AB7BE5" w:rsidRDefault="00AB7BE5" w:rsidP="00AB7BE5">
            <w:pPr>
              <w:pStyle w:val="Caption"/>
              <w:ind w:left="0"/>
              <w:jc w:val="center"/>
              <w:rPr>
                <w:sz w:val="18"/>
              </w:rPr>
            </w:pPr>
            <w:r w:rsidRPr="00AB7BE5">
              <w:rPr>
                <w:sz w:val="18"/>
              </w:rPr>
              <w:t>Yes</w:t>
            </w:r>
          </w:p>
        </w:tc>
        <w:tc>
          <w:tcPr>
            <w:tcW w:w="1968" w:type="dxa"/>
          </w:tcPr>
          <w:p w14:paraId="050DA024" w14:textId="7C8EB4E3" w:rsidR="00AB7BE5" w:rsidRPr="009A2FF0" w:rsidRDefault="00E3793E" w:rsidP="00E3793E">
            <w:pPr>
              <w:pStyle w:val="Caption"/>
              <w:ind w:left="0"/>
              <w:jc w:val="center"/>
              <w:rPr>
                <w:sz w:val="18"/>
              </w:rPr>
            </w:pPr>
            <w:r w:rsidRPr="00E3793E">
              <w:rPr>
                <w:sz w:val="18"/>
              </w:rPr>
              <w:t>Yes</w:t>
            </w:r>
            <w:r w:rsidRPr="00554DC9">
              <w:rPr>
                <w:sz w:val="18"/>
                <w:highlight w:val="green"/>
              </w:rPr>
              <w:t xml:space="preserve"> </w:t>
            </w:r>
          </w:p>
        </w:tc>
      </w:tr>
      <w:tr w:rsidR="00AB7BE5" w:rsidRPr="00035135" w14:paraId="32B796F0" w14:textId="77777777" w:rsidTr="004D7BDF">
        <w:tc>
          <w:tcPr>
            <w:tcW w:w="1564" w:type="dxa"/>
            <w:shd w:val="clear" w:color="auto" w:fill="auto"/>
            <w:vAlign w:val="center"/>
          </w:tcPr>
          <w:p w14:paraId="09E05130" w14:textId="77777777" w:rsidR="00AB7BE5" w:rsidRPr="0033478E" w:rsidRDefault="00AB7BE5" w:rsidP="009B1673">
            <w:pPr>
              <w:pStyle w:val="BodyText"/>
              <w:rPr>
                <w:b/>
                <w:sz w:val="18"/>
              </w:rPr>
            </w:pPr>
            <w:r>
              <w:rPr>
                <w:b/>
                <w:sz w:val="18"/>
                <w:lang w:val="en-IE"/>
              </w:rPr>
              <w:t>U</w:t>
            </w:r>
            <w:r w:rsidRPr="0033478E">
              <w:rPr>
                <w:b/>
                <w:sz w:val="18"/>
                <w:lang w:val="en-IE"/>
              </w:rPr>
              <w:t>ses by professional workers</w:t>
            </w:r>
          </w:p>
        </w:tc>
        <w:tc>
          <w:tcPr>
            <w:tcW w:w="4644" w:type="dxa"/>
            <w:shd w:val="clear" w:color="auto" w:fill="auto"/>
          </w:tcPr>
          <w:p w14:paraId="7D975F66" w14:textId="77777777" w:rsidR="00AB7BE5" w:rsidRPr="00E13563" w:rsidRDefault="00AB7BE5" w:rsidP="004D7BDF">
            <w:pPr>
              <w:pStyle w:val="BodyText"/>
              <w:rPr>
                <w:color w:val="333333"/>
              </w:rPr>
            </w:pPr>
            <w:r w:rsidRPr="00E13563">
              <w:rPr>
                <w:color w:val="333333"/>
              </w:rPr>
              <w:t>Application of lubricant to work pieces or equipment by dipping, brushing or spraying (without exposure to heat), e.g. mould releases, corrosion protection, slide ways</w:t>
            </w:r>
          </w:p>
          <w:p w14:paraId="3333B867" w14:textId="77777777" w:rsidR="00AB7BE5" w:rsidRPr="00E13563" w:rsidRDefault="00AB7BE5" w:rsidP="004D7BDF">
            <w:pPr>
              <w:pStyle w:val="BodyText"/>
            </w:pPr>
            <w:r w:rsidRPr="00E13563">
              <w:rPr>
                <w:color w:val="333333"/>
              </w:rPr>
              <w:t xml:space="preserve">General Professional use of lubricants and </w:t>
            </w:r>
            <w:r w:rsidRPr="00E13563">
              <w:rPr>
                <w:color w:val="333333"/>
              </w:rPr>
              <w:lastRenderedPageBreak/>
              <w:t>greases in vehicles or machinery. Includes filling and draining of containers including enclosed machinery (including engines)</w:t>
            </w:r>
          </w:p>
        </w:tc>
        <w:tc>
          <w:tcPr>
            <w:tcW w:w="1571" w:type="dxa"/>
          </w:tcPr>
          <w:p w14:paraId="62361411" w14:textId="77777777" w:rsidR="00AB7BE5" w:rsidRPr="00AB7BE5" w:rsidRDefault="00AB7BE5" w:rsidP="00554DC9">
            <w:pPr>
              <w:pStyle w:val="Caption"/>
              <w:jc w:val="center"/>
              <w:rPr>
                <w:sz w:val="18"/>
              </w:rPr>
            </w:pPr>
            <w:r w:rsidRPr="00AB7BE5">
              <w:rPr>
                <w:sz w:val="18"/>
              </w:rPr>
              <w:lastRenderedPageBreak/>
              <w:t>Yes</w:t>
            </w:r>
          </w:p>
        </w:tc>
        <w:tc>
          <w:tcPr>
            <w:tcW w:w="1968" w:type="dxa"/>
          </w:tcPr>
          <w:p w14:paraId="4FACC969" w14:textId="68F5F78A" w:rsidR="00AB7BE5" w:rsidRPr="0033478E" w:rsidRDefault="00E3793E" w:rsidP="00554DC9">
            <w:pPr>
              <w:pStyle w:val="Caption"/>
              <w:jc w:val="center"/>
              <w:rPr>
                <w:sz w:val="18"/>
                <w:lang w:val="en-IE"/>
              </w:rPr>
            </w:pPr>
            <w:r w:rsidRPr="00E3793E">
              <w:rPr>
                <w:sz w:val="18"/>
              </w:rPr>
              <w:t>Yes</w:t>
            </w:r>
          </w:p>
        </w:tc>
      </w:tr>
      <w:tr w:rsidR="00AB7BE5" w:rsidRPr="00035135" w14:paraId="2DF29EB4" w14:textId="77777777" w:rsidTr="004D7BDF">
        <w:tc>
          <w:tcPr>
            <w:tcW w:w="1564" w:type="dxa"/>
            <w:shd w:val="clear" w:color="auto" w:fill="auto"/>
            <w:vAlign w:val="center"/>
          </w:tcPr>
          <w:p w14:paraId="48264E34" w14:textId="77777777" w:rsidR="00AB7BE5" w:rsidRPr="0033478E" w:rsidRDefault="00AB7BE5" w:rsidP="00550964">
            <w:pPr>
              <w:pStyle w:val="BodyText"/>
              <w:rPr>
                <w:b/>
                <w:sz w:val="18"/>
              </w:rPr>
            </w:pPr>
            <w:r w:rsidRPr="0033478E">
              <w:rPr>
                <w:b/>
                <w:sz w:val="18"/>
              </w:rPr>
              <w:t xml:space="preserve">Consumer </w:t>
            </w:r>
            <w:r>
              <w:rPr>
                <w:b/>
                <w:sz w:val="18"/>
              </w:rPr>
              <w:t>u</w:t>
            </w:r>
            <w:r w:rsidRPr="0033478E">
              <w:rPr>
                <w:b/>
                <w:sz w:val="18"/>
              </w:rPr>
              <w:t>ses</w:t>
            </w:r>
          </w:p>
        </w:tc>
        <w:tc>
          <w:tcPr>
            <w:tcW w:w="4644" w:type="dxa"/>
            <w:shd w:val="clear" w:color="auto" w:fill="auto"/>
          </w:tcPr>
          <w:p w14:paraId="0092F2A4" w14:textId="77777777" w:rsidR="00AB7BE5" w:rsidRPr="00E13563" w:rsidRDefault="00AB7BE5" w:rsidP="004D7BDF">
            <w:pPr>
              <w:pStyle w:val="BodyText"/>
              <w:rPr>
                <w:color w:val="333333"/>
              </w:rPr>
            </w:pPr>
            <w:r w:rsidRPr="00E13563">
              <w:rPr>
                <w:color w:val="333333"/>
              </w:rPr>
              <w:t>General consumer use of lubricants and greases in vehicles or machinery</w:t>
            </w:r>
          </w:p>
          <w:p w14:paraId="20733793" w14:textId="77777777" w:rsidR="00AB7BE5" w:rsidRPr="00E13563" w:rsidRDefault="00AB7BE5" w:rsidP="004D7BDF">
            <w:pPr>
              <w:pStyle w:val="BodyText"/>
            </w:pPr>
            <w:r w:rsidRPr="00E13563">
              <w:rPr>
                <w:color w:val="333333"/>
              </w:rPr>
              <w:t>Consumer use of lubricants and greases in open systems</w:t>
            </w:r>
          </w:p>
        </w:tc>
        <w:tc>
          <w:tcPr>
            <w:tcW w:w="1571" w:type="dxa"/>
          </w:tcPr>
          <w:p w14:paraId="7F27CC81" w14:textId="77777777" w:rsidR="00AB7BE5" w:rsidRPr="00AB7BE5" w:rsidRDefault="00AB7BE5" w:rsidP="00554DC9">
            <w:pPr>
              <w:pStyle w:val="Caption"/>
              <w:jc w:val="center"/>
              <w:rPr>
                <w:sz w:val="18"/>
              </w:rPr>
            </w:pPr>
            <w:r w:rsidRPr="00AB7BE5">
              <w:rPr>
                <w:sz w:val="18"/>
              </w:rPr>
              <w:t>Yes</w:t>
            </w:r>
          </w:p>
        </w:tc>
        <w:tc>
          <w:tcPr>
            <w:tcW w:w="1968" w:type="dxa"/>
          </w:tcPr>
          <w:p w14:paraId="34DD6EDB" w14:textId="3B3FEC7B" w:rsidR="00AB7BE5" w:rsidRPr="0033478E" w:rsidRDefault="00E3793E" w:rsidP="00554DC9">
            <w:pPr>
              <w:pStyle w:val="Caption"/>
              <w:jc w:val="center"/>
              <w:rPr>
                <w:sz w:val="18"/>
                <w:lang w:val="en-IE"/>
              </w:rPr>
            </w:pPr>
            <w:r w:rsidRPr="00E3793E">
              <w:rPr>
                <w:sz w:val="18"/>
              </w:rPr>
              <w:t>Yes</w:t>
            </w:r>
          </w:p>
        </w:tc>
      </w:tr>
      <w:tr w:rsidR="005C4AA4" w:rsidRPr="00035135" w14:paraId="0074DFCF" w14:textId="77777777" w:rsidTr="00141B05">
        <w:tc>
          <w:tcPr>
            <w:tcW w:w="1564" w:type="dxa"/>
            <w:shd w:val="clear" w:color="auto" w:fill="auto"/>
            <w:vAlign w:val="center"/>
          </w:tcPr>
          <w:p w14:paraId="4FBF1C62" w14:textId="77777777" w:rsidR="005C4AA4" w:rsidRPr="0033478E" w:rsidRDefault="005C4AA4" w:rsidP="00550964">
            <w:pPr>
              <w:pStyle w:val="BodyText"/>
              <w:rPr>
                <w:b/>
                <w:sz w:val="18"/>
              </w:rPr>
            </w:pPr>
            <w:r>
              <w:rPr>
                <w:b/>
                <w:sz w:val="18"/>
                <w:lang w:val="en-IE"/>
              </w:rPr>
              <w:t xml:space="preserve">Article service </w:t>
            </w:r>
            <w:r w:rsidRPr="0033478E">
              <w:rPr>
                <w:b/>
                <w:sz w:val="18"/>
                <w:lang w:val="en-IE"/>
              </w:rPr>
              <w:t>life</w:t>
            </w:r>
          </w:p>
        </w:tc>
        <w:tc>
          <w:tcPr>
            <w:tcW w:w="4644" w:type="dxa"/>
            <w:shd w:val="clear" w:color="auto" w:fill="auto"/>
            <w:vAlign w:val="center"/>
          </w:tcPr>
          <w:p w14:paraId="71B0AFE5" w14:textId="77777777" w:rsidR="005C4AA4" w:rsidRPr="0033478E" w:rsidRDefault="00AB7BE5" w:rsidP="00550964">
            <w:pPr>
              <w:pStyle w:val="Caption"/>
              <w:ind w:left="0"/>
              <w:rPr>
                <w:sz w:val="18"/>
                <w:lang w:val="en-IE"/>
              </w:rPr>
            </w:pPr>
            <w:r>
              <w:rPr>
                <w:sz w:val="18"/>
                <w:lang w:val="en-IE"/>
              </w:rPr>
              <w:t>-</w:t>
            </w:r>
          </w:p>
        </w:tc>
        <w:tc>
          <w:tcPr>
            <w:tcW w:w="1571" w:type="dxa"/>
          </w:tcPr>
          <w:p w14:paraId="2258CB4B" w14:textId="77777777" w:rsidR="005C4AA4" w:rsidRPr="00AB7BE5" w:rsidRDefault="00AB7BE5" w:rsidP="00554DC9">
            <w:pPr>
              <w:pStyle w:val="Caption"/>
              <w:ind w:left="0"/>
              <w:jc w:val="center"/>
              <w:rPr>
                <w:sz w:val="18"/>
              </w:rPr>
            </w:pPr>
            <w:r w:rsidRPr="00AB7BE5">
              <w:rPr>
                <w:sz w:val="18"/>
              </w:rPr>
              <w:t>-</w:t>
            </w:r>
          </w:p>
        </w:tc>
        <w:tc>
          <w:tcPr>
            <w:tcW w:w="1968" w:type="dxa"/>
          </w:tcPr>
          <w:p w14:paraId="437BD3B0" w14:textId="77777777" w:rsidR="005C4AA4" w:rsidRPr="0033478E" w:rsidRDefault="00AB7BE5" w:rsidP="00554DC9">
            <w:pPr>
              <w:pStyle w:val="Caption"/>
              <w:ind w:left="0"/>
              <w:jc w:val="center"/>
              <w:rPr>
                <w:sz w:val="18"/>
                <w:lang w:val="en-IE"/>
              </w:rPr>
            </w:pPr>
            <w:r>
              <w:rPr>
                <w:sz w:val="18"/>
              </w:rPr>
              <w:t>No</w:t>
            </w:r>
          </w:p>
        </w:tc>
      </w:tr>
    </w:tbl>
    <w:p w14:paraId="1EBAA5A6" w14:textId="77777777" w:rsidR="00554DC9" w:rsidRPr="00B40FA2" w:rsidRDefault="00554DC9" w:rsidP="00554DC9">
      <w:pPr>
        <w:rPr>
          <w:rFonts w:cs="Verdana"/>
          <w:color w:val="000000"/>
          <w:lang w:eastAsia="en-GB"/>
        </w:rPr>
      </w:pPr>
    </w:p>
    <w:p w14:paraId="25C33A75" w14:textId="28A2FCC3" w:rsidR="00151560" w:rsidRDefault="00907654" w:rsidP="00253B98">
      <w:pPr>
        <w:jc w:val="both"/>
      </w:pPr>
      <w:bookmarkStart w:id="348" w:name="_Toc422996198"/>
      <w:r>
        <w:rPr>
          <w:color w:val="000000"/>
        </w:rPr>
        <w:t>R</w:t>
      </w:r>
      <w:r w:rsidR="00253B98">
        <w:rPr>
          <w:color w:val="000000"/>
        </w:rPr>
        <w:t xml:space="preserve">eaction products of 1,3,4-thiadiazolidine-2,5-dithione, formaldehyde and 4-heptylphenol, branched and linear (RP-HP) </w:t>
      </w:r>
      <w:r w:rsidR="00253B98">
        <w:t xml:space="preserve">are used in the formulation of lubricant additives, lubricants and greases. These are used industrially and by professionals </w:t>
      </w:r>
      <w:r w:rsidR="00253B98" w:rsidRPr="00732CC5">
        <w:t>in lubricants and greases in vehicles or machinery</w:t>
      </w:r>
      <w:r w:rsidR="00253B98">
        <w:t xml:space="preserve"> or by a</w:t>
      </w:r>
      <w:r w:rsidR="00253B98" w:rsidRPr="001F054A">
        <w:rPr>
          <w:lang w:eastAsia="de-AT"/>
        </w:rPr>
        <w:t>pplication of lubricant to work pieces or equipment</w:t>
      </w:r>
      <w:r w:rsidR="00253B98">
        <w:t xml:space="preserve">. No more detailed information on the types of industry branches using </w:t>
      </w:r>
      <w:r w:rsidR="00BA0338">
        <w:t>RP-HP</w:t>
      </w:r>
      <w:r w:rsidR="00253B98">
        <w:t xml:space="preserve"> is available. </w:t>
      </w:r>
      <w:r w:rsidR="00151560">
        <w:t>Beside</w:t>
      </w:r>
      <w:r w:rsidR="003B5115">
        <w:t>s</w:t>
      </w:r>
      <w:r w:rsidR="00151560">
        <w:t xml:space="preserve"> the automotive industry, in principle a wide range of industry branches using machinery may be concerned. </w:t>
      </w:r>
      <w:r w:rsidR="00253B98">
        <w:t xml:space="preserve">Wide dispersive indoor uses and outdoor uses in closed and open systems by industrials, professionals and consumers have been </w:t>
      </w:r>
      <w:r w:rsidR="00253B98" w:rsidRPr="00DC40ED">
        <w:t>reported via registration.</w:t>
      </w:r>
      <w:r w:rsidR="00253B98">
        <w:t xml:space="preserve"> </w:t>
      </w:r>
    </w:p>
    <w:p w14:paraId="0083226E" w14:textId="77777777" w:rsidR="00151560" w:rsidRDefault="00151560" w:rsidP="00253B98">
      <w:pPr>
        <w:jc w:val="both"/>
      </w:pPr>
    </w:p>
    <w:p w14:paraId="01F1E927" w14:textId="0FC78D26" w:rsidR="00DE5A6F" w:rsidRPr="00907654" w:rsidRDefault="00253B98" w:rsidP="00253B98">
      <w:pPr>
        <w:jc w:val="both"/>
      </w:pPr>
      <w:r w:rsidRPr="00907654">
        <w:t xml:space="preserve">Main consumer use seems to be </w:t>
      </w:r>
      <w:r w:rsidR="003E7229" w:rsidRPr="00907654">
        <w:t xml:space="preserve">as lubricant additives </w:t>
      </w:r>
      <w:r w:rsidRPr="00907654">
        <w:t xml:space="preserve">in gear oils available in public supply. Numerous gear oils containing </w:t>
      </w:r>
      <w:r w:rsidR="00BA0338">
        <w:t>RP-HP</w:t>
      </w:r>
      <w:r w:rsidRPr="00907654">
        <w:t xml:space="preserve"> in concentrations up to 2,5% have been identified via web search.</w:t>
      </w:r>
      <w:r w:rsidR="00DD0890" w:rsidRPr="00907654">
        <w:t xml:space="preserve"> </w:t>
      </w:r>
    </w:p>
    <w:p w14:paraId="45CF1B4A" w14:textId="172BCF14" w:rsidR="00EA78A5" w:rsidRDefault="00DD0890" w:rsidP="00253B98">
      <w:pPr>
        <w:jc w:val="both"/>
      </w:pPr>
      <w:r w:rsidRPr="00907654">
        <w:t xml:space="preserve">The presence of 4-HPbl in consumer products </w:t>
      </w:r>
      <w:r w:rsidR="00BA0338">
        <w:t>has been</w:t>
      </w:r>
      <w:r w:rsidRPr="00907654">
        <w:t xml:space="preserve"> verified by chemical analyses by the Environment Agency Austria (unpublished data</w:t>
      </w:r>
      <w:r w:rsidR="00FF3035">
        <w:t>, see Annex IV for details</w:t>
      </w:r>
      <w:r w:rsidRPr="00907654">
        <w:t>) in nine out of ten gear oils purchased via Internet.</w:t>
      </w:r>
      <w:r w:rsidR="00DE5A6F" w:rsidRPr="00907654">
        <w:t xml:space="preserve"> Considering a typical concentration of RP-HP in the formulated gear oils </w:t>
      </w:r>
      <w:r w:rsidR="002B1C6C" w:rsidRPr="00907654">
        <w:t xml:space="preserve">as stated in the safety data sheets </w:t>
      </w:r>
      <w:r w:rsidR="00371036" w:rsidRPr="00907654">
        <w:t>(ca. 0,5</w:t>
      </w:r>
      <w:r w:rsidR="00DE5A6F" w:rsidRPr="00907654">
        <w:t>%) the</w:t>
      </w:r>
      <w:r w:rsidR="00DE5A6F">
        <w:t xml:space="preserve"> concentration of 4-HPbl in the RP-HP </w:t>
      </w:r>
      <w:r w:rsidR="002B1C6C">
        <w:t xml:space="preserve">calculated from the analytical results </w:t>
      </w:r>
      <w:r w:rsidR="00DE5A6F">
        <w:t xml:space="preserve">exceeds the limit of 0,1%. </w:t>
      </w:r>
    </w:p>
    <w:p w14:paraId="5C4DCAA5" w14:textId="77777777" w:rsidR="00EA78A5" w:rsidRDefault="00EA78A5" w:rsidP="00253B98">
      <w:pPr>
        <w:jc w:val="both"/>
      </w:pPr>
    </w:p>
    <w:p w14:paraId="0965F1A3" w14:textId="06B3F5A1" w:rsidR="00EA78A5" w:rsidRDefault="00EA78A5" w:rsidP="00253B98">
      <w:pPr>
        <w:jc w:val="both"/>
      </w:pPr>
      <w:r>
        <w:t>It is important to note that apart from environment</w:t>
      </w:r>
      <w:r w:rsidR="00BA0338">
        <w:t>al</w:t>
      </w:r>
      <w:r>
        <w:t xml:space="preserve"> exposure resulting from </w:t>
      </w:r>
      <w:r w:rsidR="00BA0338">
        <w:t xml:space="preserve">the </w:t>
      </w:r>
      <w:r>
        <w:t xml:space="preserve">end uses, there is additional concern </w:t>
      </w:r>
      <w:r w:rsidR="00BA0338">
        <w:t xml:space="preserve">due to the </w:t>
      </w:r>
      <w:r>
        <w:t>environmental exposure during the formulation of lubricant additives and lubricants.</w:t>
      </w:r>
    </w:p>
    <w:p w14:paraId="25FBDA2D" w14:textId="77777777" w:rsidR="00AB7BE5" w:rsidRPr="00AB7BE5" w:rsidRDefault="00AB7BE5" w:rsidP="00AB7BE5">
      <w:pPr>
        <w:pStyle w:val="BodyText"/>
      </w:pPr>
    </w:p>
    <w:p w14:paraId="49EDBF66" w14:textId="77777777" w:rsidR="00554DC9" w:rsidRDefault="00CF6F1B" w:rsidP="00554DC9">
      <w:pPr>
        <w:pStyle w:val="Title"/>
        <w:numPr>
          <w:ilvl w:val="0"/>
          <w:numId w:val="0"/>
        </w:numPr>
      </w:pPr>
      <w:bookmarkStart w:id="349" w:name="_Toc491786411"/>
      <w:r>
        <w:t>10</w:t>
      </w:r>
      <w:r w:rsidR="00554DC9">
        <w:t>. Information on structure of the supply chain</w:t>
      </w:r>
      <w:bookmarkEnd w:id="348"/>
      <w:bookmarkEnd w:id="349"/>
    </w:p>
    <w:p w14:paraId="32022C4F" w14:textId="01F9934D" w:rsidR="003819B8" w:rsidRDefault="00BA0338" w:rsidP="005E6402">
      <w:pPr>
        <w:pStyle w:val="NormalItalic"/>
        <w:rPr>
          <w:i w:val="0"/>
        </w:rPr>
      </w:pPr>
      <w:r>
        <w:rPr>
          <w:i w:val="0"/>
        </w:rPr>
        <w:t>RP-HP</w:t>
      </w:r>
      <w:r w:rsidR="00DD0890" w:rsidRPr="00907654">
        <w:rPr>
          <w:i w:val="0"/>
        </w:rPr>
        <w:t xml:space="preserve"> are imported into the EU</w:t>
      </w:r>
      <w:r>
        <w:rPr>
          <w:i w:val="0"/>
        </w:rPr>
        <w:t>, and the</w:t>
      </w:r>
      <w:r w:rsidR="00DD0890" w:rsidRPr="00907654">
        <w:rPr>
          <w:i w:val="0"/>
        </w:rPr>
        <w:t xml:space="preserve"> </w:t>
      </w:r>
      <w:r>
        <w:rPr>
          <w:i w:val="0"/>
        </w:rPr>
        <w:t>f</w:t>
      </w:r>
      <w:r w:rsidR="00DD0890" w:rsidRPr="00907654">
        <w:rPr>
          <w:i w:val="0"/>
        </w:rPr>
        <w:t xml:space="preserve">ormulation into </w:t>
      </w:r>
      <w:r w:rsidR="00480C88" w:rsidRPr="00907654">
        <w:rPr>
          <w:i w:val="0"/>
        </w:rPr>
        <w:t xml:space="preserve">lubricant additives, lubricants and greases takes place within the EU. The number of formulation steps until the production of the final products is unknown. No information on the number, diversity, and spatial distribution of the actors of the supply chain is available. </w:t>
      </w:r>
    </w:p>
    <w:p w14:paraId="38B7A9F7" w14:textId="77777777" w:rsidR="00480C88" w:rsidRPr="00DD0890" w:rsidRDefault="00480C88" w:rsidP="005E6402">
      <w:pPr>
        <w:pStyle w:val="NormalItalic"/>
        <w:rPr>
          <w:i w:val="0"/>
        </w:rPr>
      </w:pPr>
    </w:p>
    <w:p w14:paraId="186A9158" w14:textId="77777777" w:rsidR="005E6402" w:rsidRDefault="00CF6F1B" w:rsidP="00CF6F1B">
      <w:pPr>
        <w:pStyle w:val="Heading1"/>
        <w:numPr>
          <w:ilvl w:val="0"/>
          <w:numId w:val="0"/>
        </w:numPr>
      </w:pPr>
      <w:bookmarkStart w:id="350" w:name="_Toc491786412"/>
      <w:r>
        <w:t xml:space="preserve">11. </w:t>
      </w:r>
      <w:r w:rsidR="005E6402">
        <w:t>Additional information</w:t>
      </w:r>
      <w:bookmarkEnd w:id="350"/>
      <w:r w:rsidR="005E6402">
        <w:t xml:space="preserve"> </w:t>
      </w:r>
    </w:p>
    <w:p w14:paraId="5215C0EA" w14:textId="77777777" w:rsidR="005E6402" w:rsidRDefault="0010600C" w:rsidP="0010600C">
      <w:pPr>
        <w:pStyle w:val="Heading2"/>
      </w:pPr>
      <w:bookmarkStart w:id="351" w:name="_Toc491786413"/>
      <w:r>
        <w:t xml:space="preserve">11.1 </w:t>
      </w:r>
      <w:r w:rsidR="005E6402" w:rsidRPr="0010600C">
        <w:t>Substances with similar hazard and use profiles</w:t>
      </w:r>
      <w:r w:rsidR="00E26FE8" w:rsidRPr="0010600C">
        <w:t xml:space="preserve"> on the Candidate List</w:t>
      </w:r>
      <w:bookmarkEnd w:id="351"/>
    </w:p>
    <w:p w14:paraId="0D92547B" w14:textId="5E94AB0A" w:rsidR="0078633D" w:rsidRPr="0078633D" w:rsidRDefault="0078633D" w:rsidP="0078633D">
      <w:pPr>
        <w:jc w:val="both"/>
        <w:rPr>
          <w:color w:val="000000"/>
        </w:rPr>
      </w:pPr>
      <w:r w:rsidRPr="0078633D">
        <w:rPr>
          <w:color w:val="000000"/>
        </w:rPr>
        <w:t xml:space="preserve">4-heptylphenol, branched and linear (4-HPbl) </w:t>
      </w:r>
      <w:r w:rsidR="00597121">
        <w:rPr>
          <w:color w:val="000000"/>
        </w:rPr>
        <w:t>has</w:t>
      </w:r>
      <w:r w:rsidRPr="0078633D">
        <w:rPr>
          <w:color w:val="000000"/>
        </w:rPr>
        <w:t xml:space="preserve"> already been identified as a group of substances with endocrine disrupting properties for which there is scientific evidence of probable serious effects to the environment which gives rise to an equivalent level of concern to those of other </w:t>
      </w:r>
      <w:r w:rsidRPr="0078633D">
        <w:rPr>
          <w:color w:val="000000"/>
        </w:rPr>
        <w:lastRenderedPageBreak/>
        <w:t>substances listed in points (</w:t>
      </w:r>
      <w:r w:rsidR="00A8338C">
        <w:rPr>
          <w:color w:val="000000"/>
        </w:rPr>
        <w:t>a</w:t>
      </w:r>
      <w:r w:rsidRPr="0078633D">
        <w:rPr>
          <w:color w:val="000000"/>
        </w:rPr>
        <w:t>) to (e) of Article 57 REACH</w:t>
      </w:r>
      <w:r w:rsidRPr="0078633D">
        <w:rPr>
          <w:color w:val="000000"/>
        </w:rPr>
        <w:footnoteReference w:id="14"/>
      </w:r>
      <w:r w:rsidRPr="0078633D">
        <w:rPr>
          <w:color w:val="000000"/>
        </w:rPr>
        <w:t xml:space="preserve"> and included in the Candidate List.</w:t>
      </w:r>
      <w:r w:rsidR="00597121">
        <w:rPr>
          <w:color w:val="000000"/>
        </w:rPr>
        <w:t xml:space="preserve"> </w:t>
      </w:r>
    </w:p>
    <w:p w14:paraId="6CF98AE2" w14:textId="77777777" w:rsidR="0078633D" w:rsidRDefault="0078633D" w:rsidP="0078633D">
      <w:pPr>
        <w:jc w:val="both"/>
        <w:rPr>
          <w:color w:val="000000"/>
        </w:rPr>
      </w:pPr>
    </w:p>
    <w:p w14:paraId="7FF66743" w14:textId="7D2CBD0B" w:rsidR="0010600C" w:rsidRDefault="0078633D" w:rsidP="009C000A">
      <w:pPr>
        <w:pStyle w:val="NoSpacing"/>
        <w:jc w:val="both"/>
        <w:rPr>
          <w:rFonts w:eastAsia="Calibri"/>
          <w:lang w:val="en-US" w:eastAsia="en-US"/>
        </w:rPr>
      </w:pPr>
      <w:r w:rsidRPr="0078633D">
        <w:rPr>
          <w:color w:val="000000"/>
        </w:rPr>
        <w:t>Furthermore,</w:t>
      </w:r>
      <w:r>
        <w:rPr>
          <w:color w:val="000000"/>
        </w:rPr>
        <w:t xml:space="preserve"> </w:t>
      </w:r>
      <w:r w:rsidRPr="00783F61">
        <w:rPr>
          <w:rFonts w:eastAsia="Calibri"/>
          <w:lang w:val="en-US" w:eastAsia="en-US"/>
        </w:rPr>
        <w:t>the similar substances 4-nonyl</w:t>
      </w:r>
      <w:r>
        <w:rPr>
          <w:rFonts w:eastAsia="Calibri"/>
          <w:lang w:val="en-US" w:eastAsia="en-US"/>
        </w:rPr>
        <w:t xml:space="preserve">phenol, branched and linear, </w:t>
      </w:r>
      <w:r w:rsidRPr="00783F61">
        <w:rPr>
          <w:rFonts w:eastAsia="Calibri"/>
          <w:lang w:val="en-US" w:eastAsia="en-US"/>
        </w:rPr>
        <w:t>4-</w:t>
      </w:r>
      <w:r w:rsidRPr="00B3637A">
        <w:rPr>
          <w:rFonts w:eastAsia="Calibri"/>
          <w:i/>
          <w:lang w:val="en-US" w:eastAsia="en-US"/>
        </w:rPr>
        <w:t>tert</w:t>
      </w:r>
      <w:r w:rsidRPr="00783F61">
        <w:rPr>
          <w:rFonts w:eastAsia="Calibri"/>
          <w:lang w:val="en-US" w:eastAsia="en-US"/>
        </w:rPr>
        <w:t xml:space="preserve">-octylphenol </w:t>
      </w:r>
      <w:r>
        <w:rPr>
          <w:rFonts w:eastAsia="Calibri"/>
          <w:lang w:val="en-US" w:eastAsia="en-US"/>
        </w:rPr>
        <w:t xml:space="preserve">and </w:t>
      </w:r>
      <w:r w:rsidRPr="00783F61">
        <w:rPr>
          <w:rFonts w:eastAsia="Calibri"/>
          <w:lang w:val="en-US" w:eastAsia="en-US"/>
        </w:rPr>
        <w:t>4-</w:t>
      </w:r>
      <w:r w:rsidRPr="00B3637A">
        <w:rPr>
          <w:rFonts w:eastAsia="Calibri"/>
          <w:i/>
          <w:lang w:val="en-US" w:eastAsia="en-US"/>
        </w:rPr>
        <w:t>tert</w:t>
      </w:r>
      <w:r w:rsidRPr="00783F61">
        <w:rPr>
          <w:rFonts w:eastAsia="Calibri"/>
          <w:lang w:val="en-US" w:eastAsia="en-US"/>
        </w:rPr>
        <w:t xml:space="preserve">-pentylphenol are already included in the candidate list due to their endocrine disrupting properties </w:t>
      </w:r>
      <w:r w:rsidR="00A8338C">
        <w:rPr>
          <w:rFonts w:eastAsia="Calibri"/>
          <w:lang w:val="en-US" w:eastAsia="en-US"/>
        </w:rPr>
        <w:t>for</w:t>
      </w:r>
      <w:r w:rsidRPr="00783F61">
        <w:rPr>
          <w:rFonts w:eastAsia="Calibri"/>
          <w:lang w:val="en-US" w:eastAsia="en-US"/>
        </w:rPr>
        <w:t xml:space="preserve"> the environment (Art. 57(f)). </w:t>
      </w:r>
    </w:p>
    <w:p w14:paraId="385D570F" w14:textId="77777777" w:rsidR="009C000A" w:rsidRPr="009C000A" w:rsidRDefault="009C000A" w:rsidP="009C000A">
      <w:pPr>
        <w:pStyle w:val="NoSpacing"/>
        <w:jc w:val="both"/>
        <w:rPr>
          <w:rFonts w:eastAsia="Calibri"/>
          <w:lang w:val="en-US" w:eastAsia="en-US"/>
        </w:rPr>
      </w:pPr>
    </w:p>
    <w:p w14:paraId="7010AC20" w14:textId="62DACFAB" w:rsidR="005E6402" w:rsidRDefault="0010600C" w:rsidP="0010600C">
      <w:pPr>
        <w:pStyle w:val="Heading2"/>
      </w:pPr>
      <w:bookmarkStart w:id="352" w:name="_Toc491786414"/>
      <w:r>
        <w:t xml:space="preserve">11.2 </w:t>
      </w:r>
      <w:r w:rsidR="007E6629" w:rsidRPr="00C81C2F">
        <w:t>Alternatives</w:t>
      </w:r>
      <w:bookmarkEnd w:id="352"/>
    </w:p>
    <w:p w14:paraId="03485C18" w14:textId="0A01ABE9" w:rsidR="009C000A" w:rsidRPr="009C000A" w:rsidRDefault="00740510" w:rsidP="003B26C6">
      <w:pPr>
        <w:pStyle w:val="BodyText"/>
        <w:jc w:val="both"/>
        <w:rPr>
          <w:rFonts w:eastAsia="Calibri"/>
          <w:lang w:val="en-US" w:eastAsia="en-US"/>
        </w:rPr>
      </w:pPr>
      <w:r>
        <w:rPr>
          <w:color w:val="000000"/>
        </w:rPr>
        <w:t xml:space="preserve">RP-HP </w:t>
      </w:r>
      <w:r>
        <w:t xml:space="preserve">are used as corrosion inhibitors in lubricant additives, lubricants and greases. Alternative chemicals for these uses are available and in use. </w:t>
      </w:r>
      <w:r w:rsidRPr="00783F61">
        <w:rPr>
          <w:rFonts w:eastAsia="Calibri"/>
          <w:lang w:val="en-US" w:eastAsia="en-US"/>
        </w:rPr>
        <w:t xml:space="preserve">Their suitability </w:t>
      </w:r>
      <w:r>
        <w:rPr>
          <w:rFonts w:eastAsia="Calibri"/>
          <w:lang w:val="en-US" w:eastAsia="en-US"/>
        </w:rPr>
        <w:t>to</w:t>
      </w:r>
      <w:r w:rsidRPr="00783F61">
        <w:rPr>
          <w:rFonts w:eastAsia="Calibri"/>
          <w:lang w:val="en-US" w:eastAsia="en-US"/>
        </w:rPr>
        <w:t xml:space="preserve"> substitute </w:t>
      </w:r>
      <w:r>
        <w:rPr>
          <w:rFonts w:eastAsia="Calibri"/>
          <w:lang w:val="en-US" w:eastAsia="en-US"/>
        </w:rPr>
        <w:t xml:space="preserve">RP-HP </w:t>
      </w:r>
      <w:r w:rsidRPr="00783F61">
        <w:rPr>
          <w:rFonts w:eastAsia="Calibri"/>
          <w:lang w:val="en-US" w:eastAsia="en-US"/>
        </w:rPr>
        <w:t>depends on the properties needed for specific applications.</w:t>
      </w:r>
      <w:r w:rsidR="005A1777">
        <w:rPr>
          <w:rFonts w:eastAsia="Calibri"/>
          <w:lang w:val="en-US" w:eastAsia="en-US"/>
        </w:rPr>
        <w:t xml:space="preserve"> </w:t>
      </w:r>
    </w:p>
    <w:p w14:paraId="4AA83C37" w14:textId="77777777" w:rsidR="005E6402" w:rsidRPr="008036AD" w:rsidRDefault="0010600C" w:rsidP="009B03B5">
      <w:pPr>
        <w:pStyle w:val="Heading2"/>
        <w:jc w:val="both"/>
      </w:pPr>
      <w:bookmarkStart w:id="353" w:name="_Toc491786415"/>
      <w:r w:rsidRPr="008036AD">
        <w:t xml:space="preserve">11.3 </w:t>
      </w:r>
      <w:r w:rsidR="005E6402" w:rsidRPr="008036AD">
        <w:t>Existing EU legislation</w:t>
      </w:r>
      <w:bookmarkEnd w:id="353"/>
    </w:p>
    <w:p w14:paraId="3682C66E" w14:textId="6A361EF8" w:rsidR="00000137" w:rsidRDefault="00000137" w:rsidP="009B03B5">
      <w:pPr>
        <w:pStyle w:val="ListParagraph"/>
        <w:ind w:left="0"/>
        <w:jc w:val="both"/>
      </w:pPr>
      <w:r>
        <w:t xml:space="preserve">4-HPbl is on the Candidate list </w:t>
      </w:r>
      <w:r w:rsidR="002D38D2">
        <w:t>according to Article 59(1) of REACH.</w:t>
      </w:r>
    </w:p>
    <w:p w14:paraId="5E61AE47" w14:textId="77777777" w:rsidR="00000137" w:rsidRDefault="00000137" w:rsidP="009B03B5">
      <w:pPr>
        <w:pStyle w:val="ListParagraph"/>
        <w:ind w:left="0"/>
        <w:jc w:val="both"/>
      </w:pPr>
    </w:p>
    <w:p w14:paraId="27865947" w14:textId="6FE19FC1" w:rsidR="008036AD" w:rsidRPr="009C000A" w:rsidRDefault="00000137" w:rsidP="009C000A">
      <w:pPr>
        <w:pStyle w:val="ListParagraph"/>
        <w:ind w:left="0"/>
        <w:jc w:val="both"/>
      </w:pPr>
      <w:r w:rsidRPr="00000137">
        <w:t xml:space="preserve">No existing </w:t>
      </w:r>
      <w:r>
        <w:t xml:space="preserve">other relevant EU </w:t>
      </w:r>
      <w:r w:rsidR="002D38D2">
        <w:t>legislation has been identified.</w:t>
      </w:r>
    </w:p>
    <w:p w14:paraId="09BAD896" w14:textId="77777777" w:rsidR="000D0078" w:rsidRPr="00C81C2F" w:rsidRDefault="000D0078" w:rsidP="00212038">
      <w:pPr>
        <w:pStyle w:val="ListParagraph"/>
        <w:ind w:left="0"/>
        <w:rPr>
          <w:i/>
          <w:caps/>
        </w:rPr>
      </w:pPr>
    </w:p>
    <w:p w14:paraId="6013A1C5" w14:textId="77777777" w:rsidR="005E6402" w:rsidRPr="0010600C" w:rsidRDefault="0010600C" w:rsidP="0010600C">
      <w:pPr>
        <w:pStyle w:val="Heading2"/>
      </w:pPr>
      <w:bookmarkStart w:id="354" w:name="_Toc491786416"/>
      <w:r>
        <w:t xml:space="preserve">11.4 </w:t>
      </w:r>
      <w:r w:rsidR="005E6402" w:rsidRPr="0010600C">
        <w:t>Previous assessments by other authorities</w:t>
      </w:r>
      <w:bookmarkEnd w:id="354"/>
    </w:p>
    <w:p w14:paraId="410FA2D1" w14:textId="0A7B0E27" w:rsidR="002D38D2" w:rsidRPr="006A117B" w:rsidRDefault="002D38D2" w:rsidP="002D38D2">
      <w:pPr>
        <w:pStyle w:val="NoSpacing"/>
        <w:jc w:val="both"/>
        <w:rPr>
          <w:rFonts w:eastAsia="Calibri"/>
          <w:vertAlign w:val="superscript"/>
          <w:lang w:eastAsia="en-US"/>
        </w:rPr>
      </w:pPr>
      <w:r w:rsidRPr="006A117B">
        <w:rPr>
          <w:rFonts w:eastAsia="Calibri"/>
          <w:lang w:eastAsia="en-US"/>
        </w:rPr>
        <w:t>Phenol, heptyl derivs., as covered by the group entry 4-HPbl, is part of the US EPA HPV Challenge program. Evaluation has started in 2003. Since then several data gaps have been closed by additional tests by industry</w:t>
      </w:r>
      <w:r w:rsidR="00A8338C">
        <w:rPr>
          <w:rFonts w:eastAsia="Calibri"/>
          <w:lang w:eastAsia="en-US"/>
        </w:rPr>
        <w:t>,</w:t>
      </w:r>
      <w:r w:rsidRPr="006A117B">
        <w:rPr>
          <w:rFonts w:eastAsia="Calibri"/>
          <w:lang w:eastAsia="en-US"/>
        </w:rPr>
        <w:t xml:space="preserve"> and </w:t>
      </w:r>
      <w:r w:rsidR="00A8338C">
        <w:rPr>
          <w:rFonts w:eastAsia="Calibri"/>
          <w:lang w:eastAsia="en-US"/>
        </w:rPr>
        <w:t xml:space="preserve">the </w:t>
      </w:r>
      <w:r w:rsidRPr="006A117B">
        <w:rPr>
          <w:rFonts w:eastAsia="Calibri"/>
          <w:lang w:eastAsia="en-US"/>
        </w:rPr>
        <w:t>finalised health and environmental effect data have been made available in 2006.</w:t>
      </w:r>
      <w:r w:rsidRPr="006A117B">
        <w:rPr>
          <w:rFonts w:eastAsia="Calibri"/>
          <w:vertAlign w:val="superscript"/>
          <w:lang w:eastAsia="en-US"/>
        </w:rPr>
        <w:footnoteReference w:id="15"/>
      </w:r>
      <w:r w:rsidRPr="006A117B">
        <w:rPr>
          <w:rFonts w:eastAsia="Calibri"/>
          <w:vertAlign w:val="superscript"/>
          <w:lang w:eastAsia="en-US"/>
        </w:rPr>
        <w:t xml:space="preserve"> </w:t>
      </w:r>
    </w:p>
    <w:p w14:paraId="0FE5FFB3" w14:textId="77777777" w:rsidR="002D38D2" w:rsidRPr="006A117B" w:rsidRDefault="002D38D2" w:rsidP="002D38D2">
      <w:pPr>
        <w:pStyle w:val="NoSpacing"/>
        <w:jc w:val="both"/>
        <w:rPr>
          <w:rFonts w:eastAsia="Calibri"/>
          <w:lang w:eastAsia="en-US"/>
        </w:rPr>
      </w:pPr>
    </w:p>
    <w:p w14:paraId="2E8220FF" w14:textId="77777777" w:rsidR="00736691" w:rsidRDefault="00E93374" w:rsidP="002D38D2">
      <w:pPr>
        <w:pStyle w:val="NoSpacing"/>
        <w:jc w:val="both"/>
        <w:rPr>
          <w:rFonts w:eastAsia="Calibri"/>
          <w:lang w:eastAsia="en-US"/>
        </w:rPr>
      </w:pPr>
      <w:r>
        <w:rPr>
          <w:rFonts w:eastAsia="Calibri"/>
          <w:lang w:eastAsia="en-US"/>
        </w:rPr>
        <w:t>I</w:t>
      </w:r>
      <w:r w:rsidR="002D38D2" w:rsidRPr="006A117B">
        <w:rPr>
          <w:rFonts w:eastAsia="Calibri"/>
          <w:lang w:eastAsia="en-US"/>
        </w:rPr>
        <w:t>n a</w:t>
      </w:r>
      <w:r w:rsidR="00A8338C">
        <w:rPr>
          <w:rFonts w:eastAsia="Calibri"/>
          <w:lang w:eastAsia="en-US"/>
        </w:rPr>
        <w:t>nother</w:t>
      </w:r>
      <w:r w:rsidR="002D38D2" w:rsidRPr="006A117B">
        <w:rPr>
          <w:rFonts w:eastAsia="Calibri"/>
          <w:lang w:eastAsia="en-US"/>
        </w:rPr>
        <w:t xml:space="preserve"> approach </w:t>
      </w:r>
      <w:r w:rsidR="00A8338C">
        <w:rPr>
          <w:rFonts w:eastAsia="Calibri"/>
          <w:lang w:eastAsia="en-US"/>
        </w:rPr>
        <w:t xml:space="preserve">by industry </w:t>
      </w:r>
      <w:r w:rsidR="002D38D2" w:rsidRPr="006A117B">
        <w:rPr>
          <w:rFonts w:eastAsia="Calibri"/>
          <w:lang w:eastAsia="en-US"/>
        </w:rPr>
        <w:t xml:space="preserve">alkyl phenols (as a group, including phenol, heptyl derivs.) have been evaluated in the HPV Challenge program. No testing for phenol, heptyl derivs. was proposed as </w:t>
      </w:r>
      <w:r>
        <w:rPr>
          <w:rFonts w:eastAsia="Calibri"/>
          <w:lang w:eastAsia="en-US"/>
        </w:rPr>
        <w:t xml:space="preserve">the </w:t>
      </w:r>
      <w:r w:rsidR="002D38D2" w:rsidRPr="006A117B">
        <w:rPr>
          <w:rFonts w:eastAsia="Calibri"/>
          <w:lang w:eastAsia="en-US"/>
        </w:rPr>
        <w:t xml:space="preserve">data gaps had been closed by </w:t>
      </w:r>
      <w:r w:rsidR="00A8338C">
        <w:rPr>
          <w:rFonts w:eastAsia="Calibri"/>
          <w:lang w:eastAsia="en-US"/>
        </w:rPr>
        <w:t>in silico</w:t>
      </w:r>
      <w:r w:rsidR="002D38D2" w:rsidRPr="006A117B">
        <w:rPr>
          <w:rFonts w:eastAsia="Calibri"/>
          <w:lang w:eastAsia="en-US"/>
        </w:rPr>
        <w:t xml:space="preserve"> and read-across</w:t>
      </w:r>
      <w:r w:rsidR="00A8338C">
        <w:rPr>
          <w:rFonts w:eastAsia="Calibri"/>
          <w:lang w:eastAsia="en-US"/>
        </w:rPr>
        <w:t xml:space="preserve"> methods</w:t>
      </w:r>
      <w:r w:rsidR="002D38D2" w:rsidRPr="006A117B">
        <w:rPr>
          <w:rFonts w:eastAsia="Calibri"/>
          <w:lang w:eastAsia="en-US"/>
        </w:rPr>
        <w:t xml:space="preserve">. </w:t>
      </w:r>
    </w:p>
    <w:p w14:paraId="056CDA4B" w14:textId="77777777" w:rsidR="00736691" w:rsidRDefault="00736691" w:rsidP="002D38D2">
      <w:pPr>
        <w:pStyle w:val="NoSpacing"/>
        <w:jc w:val="both"/>
        <w:rPr>
          <w:rFonts w:eastAsia="Calibri"/>
          <w:lang w:eastAsia="en-US"/>
        </w:rPr>
      </w:pPr>
    </w:p>
    <w:p w14:paraId="71ED7C74" w14:textId="4570BB57" w:rsidR="002D38D2" w:rsidRPr="006A117B" w:rsidRDefault="00736691" w:rsidP="002D38D2">
      <w:pPr>
        <w:pStyle w:val="NoSpacing"/>
        <w:jc w:val="both"/>
        <w:rPr>
          <w:rFonts w:eastAsia="Calibri"/>
          <w:lang w:eastAsia="en-US"/>
        </w:rPr>
      </w:pPr>
      <w:r>
        <w:rPr>
          <w:rFonts w:eastAsia="Calibri"/>
          <w:lang w:eastAsia="en-US"/>
        </w:rPr>
        <w:t xml:space="preserve">Additionally, EPA’s </w:t>
      </w:r>
      <w:r w:rsidRPr="006A117B">
        <w:rPr>
          <w:rFonts w:eastAsia="Calibri"/>
          <w:lang w:eastAsia="en-US"/>
        </w:rPr>
        <w:t>Office of Pollution Prevention and Toxics (OPPT)</w:t>
      </w:r>
      <w:r>
        <w:rPr>
          <w:rFonts w:eastAsia="Calibri"/>
          <w:lang w:eastAsia="en-US"/>
        </w:rPr>
        <w:t xml:space="preserve"> </w:t>
      </w:r>
      <w:r w:rsidRPr="006A117B">
        <w:rPr>
          <w:rFonts w:eastAsia="Calibri"/>
          <w:lang w:eastAsia="en-US"/>
        </w:rPr>
        <w:t>ha</w:t>
      </w:r>
      <w:r>
        <w:rPr>
          <w:rFonts w:eastAsia="Calibri"/>
          <w:lang w:eastAsia="en-US"/>
        </w:rPr>
        <w:t>s</w:t>
      </w:r>
      <w:r w:rsidRPr="006A117B">
        <w:rPr>
          <w:rFonts w:eastAsia="Calibri"/>
          <w:lang w:eastAsia="en-US"/>
        </w:rPr>
        <w:t xml:space="preserve"> collected and evaluated</w:t>
      </w:r>
      <w:r>
        <w:rPr>
          <w:rFonts w:eastAsia="Calibri"/>
          <w:lang w:eastAsia="en-US"/>
        </w:rPr>
        <w:t xml:space="preserve"> hazard data since 2001 (published in 2009)</w:t>
      </w:r>
      <w:r w:rsidR="002D38D2" w:rsidRPr="006A117B">
        <w:rPr>
          <w:rFonts w:eastAsia="Calibri"/>
          <w:lang w:eastAsia="en-US"/>
        </w:rPr>
        <w:t>.</w:t>
      </w:r>
      <w:r w:rsidR="002D38D2" w:rsidRPr="006A117B">
        <w:rPr>
          <w:rFonts w:eastAsia="Calibri"/>
          <w:vertAlign w:val="superscript"/>
          <w:lang w:eastAsia="en-US"/>
        </w:rPr>
        <w:footnoteReference w:id="16"/>
      </w:r>
      <w:r w:rsidR="002D38D2" w:rsidRPr="006A117B">
        <w:rPr>
          <w:rFonts w:eastAsia="Calibri"/>
          <w:vertAlign w:val="superscript"/>
          <w:lang w:eastAsia="en-US"/>
        </w:rPr>
        <w:t xml:space="preserve"> </w:t>
      </w:r>
    </w:p>
    <w:p w14:paraId="536ACAB7" w14:textId="6666C500" w:rsidR="00B12C39" w:rsidRPr="002D38D2" w:rsidRDefault="002D38D2" w:rsidP="002D38D2">
      <w:pPr>
        <w:pStyle w:val="NoSpacing"/>
        <w:rPr>
          <w:rFonts w:eastAsia="Calibri"/>
          <w:vertAlign w:val="superscript"/>
          <w:lang w:val="en-US" w:eastAsia="en-US"/>
        </w:rPr>
      </w:pPr>
      <w:r w:rsidRPr="006A117B">
        <w:rPr>
          <w:rFonts w:eastAsia="Calibri"/>
          <w:lang w:eastAsia="en-US"/>
        </w:rPr>
        <w:br/>
        <w:t>No assessments have been identified for RP-HP.</w:t>
      </w:r>
      <w:r w:rsidR="00B12C39">
        <w:br w:type="page"/>
      </w:r>
    </w:p>
    <w:p w14:paraId="29C2714A" w14:textId="598D7410" w:rsidR="006A117B" w:rsidRDefault="006A117B" w:rsidP="006A117B">
      <w:pPr>
        <w:pStyle w:val="Referencetitle"/>
        <w:jc w:val="both"/>
      </w:pPr>
      <w:bookmarkStart w:id="355" w:name="_Toc341888676"/>
      <w:bookmarkStart w:id="356" w:name="_Toc342400536"/>
      <w:bookmarkStart w:id="357" w:name="_Toc341888677"/>
      <w:bookmarkStart w:id="358" w:name="_Toc342400537"/>
      <w:bookmarkStart w:id="359" w:name="_Toc354499698"/>
      <w:bookmarkStart w:id="360" w:name="_Toc357083776"/>
      <w:bookmarkStart w:id="361" w:name="_Toc357184321"/>
      <w:bookmarkStart w:id="362" w:name="_Toc357184557"/>
      <w:bookmarkStart w:id="363" w:name="_Toc357185359"/>
      <w:bookmarkStart w:id="364" w:name="_Toc357186207"/>
      <w:bookmarkStart w:id="365" w:name="_Toc357186356"/>
      <w:bookmarkStart w:id="366" w:name="_Toc357437645"/>
      <w:bookmarkStart w:id="367" w:name="_Toc357590915"/>
      <w:bookmarkStart w:id="368" w:name="_Toc357692947"/>
      <w:bookmarkStart w:id="369" w:name="_Toc365649775"/>
      <w:bookmarkStart w:id="370" w:name="_Toc365649924"/>
      <w:bookmarkStart w:id="371" w:name="_Toc366489971"/>
      <w:bookmarkStart w:id="372" w:name="_Toc418498646"/>
      <w:bookmarkStart w:id="373" w:name="_Toc418506101"/>
      <w:r w:rsidRPr="00B93989">
        <w:lastRenderedPageBreak/>
        <w:t>References</w:t>
      </w:r>
      <w:bookmarkEnd w:id="355"/>
      <w:bookmarkEnd w:id="356"/>
    </w:p>
    <w:p w14:paraId="42EFAE2A" w14:textId="77777777" w:rsidR="00B12C39" w:rsidRDefault="00B12C39" w:rsidP="005857D8">
      <w:pPr>
        <w:pStyle w:val="Heading1"/>
        <w:numPr>
          <w:ilvl w:val="0"/>
          <w:numId w:val="0"/>
        </w:numPr>
      </w:pPr>
      <w:bookmarkStart w:id="374" w:name="_Toc491786417"/>
      <w:r>
        <w:t>References for Part I</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7FBA9872" w14:textId="77777777" w:rsidR="006A117B" w:rsidRDefault="006A117B" w:rsidP="006A117B">
      <w:pPr>
        <w:pStyle w:val="References"/>
      </w:pPr>
      <w:r w:rsidRPr="009F220A">
        <w:t>Demska-Zakęs K. (2005)</w:t>
      </w:r>
      <w:r>
        <w:t>.</w:t>
      </w:r>
      <w:r w:rsidRPr="009F220A">
        <w:t xml:space="preserve"> Effect of select xenobiotics on the development of the fish reproductive system. Dissertations and monographs UWM Olsztyn 103: 1–61 [in Polish].</w:t>
      </w:r>
    </w:p>
    <w:p w14:paraId="011CC35B" w14:textId="77777777" w:rsidR="006A117B" w:rsidRPr="00C55F35" w:rsidRDefault="006A117B" w:rsidP="006A117B">
      <w:pPr>
        <w:pStyle w:val="References"/>
      </w:pPr>
      <w:r w:rsidRPr="00C55F35">
        <w:t>ECHA (2011): Member State Committee Support Document for Identification of 4-(1,1,3,3-tetramethylbutyl)phenol as a Substance of Very High Concern because of its endocrine disrupting properties and adverse effects to</w:t>
      </w:r>
      <w:r>
        <w:t xml:space="preserve"> </w:t>
      </w:r>
      <w:r w:rsidRPr="00C55F35">
        <w:t>the environment which gives rise to an equivalent level of concern, December 2011</w:t>
      </w:r>
    </w:p>
    <w:p w14:paraId="477F1D0D" w14:textId="02CE62AC" w:rsidR="006A117B" w:rsidRDefault="006A117B" w:rsidP="006A117B">
      <w:pPr>
        <w:pStyle w:val="References"/>
      </w:pPr>
      <w:r>
        <w:rPr>
          <w:lang w:val="en-US"/>
        </w:rPr>
        <w:t xml:space="preserve">ECHA (2012) </w:t>
      </w:r>
      <w:r w:rsidR="00C9565C" w:rsidRPr="0039503A">
        <w:t xml:space="preserve">Member State Committee </w:t>
      </w:r>
      <w:r w:rsidR="00C9565C">
        <w:t>Support D</w:t>
      </w:r>
      <w:r w:rsidR="00C9565C" w:rsidRPr="0039503A">
        <w:t xml:space="preserve">ocument for identification of 4-nonylphenol, branched and linear as substances of very high concern because due to their endocrine disrupting properties they cause probable serious effects to the environment which give rise to an equivalent level of concern to those of </w:t>
      </w:r>
      <w:r w:rsidR="00C9565C">
        <w:t>CMRs and</w:t>
      </w:r>
      <w:r w:rsidR="00E13563" w:rsidRPr="0039503A">
        <w:t xml:space="preserve"> P</w:t>
      </w:r>
      <w:r w:rsidR="00C9565C">
        <w:t>BTs/vPvBs</w:t>
      </w:r>
    </w:p>
    <w:p w14:paraId="70622871" w14:textId="6F91923F" w:rsidR="006A117B" w:rsidRDefault="006A117B" w:rsidP="006A117B">
      <w:pPr>
        <w:pStyle w:val="References"/>
      </w:pPr>
      <w:r w:rsidRPr="0039503A">
        <w:t>Kendall RJ, Dickerson RL, Suk WA, Giesy JP. (1998). Principles and Processes for Evaluating Endocrine Disruption in Wildlife. Society of Environmental Toxicology &amp; Chemistry.</w:t>
      </w:r>
    </w:p>
    <w:p w14:paraId="425E94C1" w14:textId="07F70942" w:rsidR="006A117B" w:rsidRDefault="006A117B" w:rsidP="006A117B">
      <w:pPr>
        <w:pStyle w:val="References"/>
      </w:pPr>
      <w:r w:rsidRPr="00A22F34">
        <w:t>Kortenkamp, A., Evans, R., Martin, O., McKinlay, R., Orton, F., and Rosivatz, E. (2012). S</w:t>
      </w:r>
      <w:r>
        <w:t xml:space="preserve">tate of the Art Assessment of Endocrine disruptors, </w:t>
      </w:r>
      <w:r w:rsidRPr="00A22F34">
        <w:t>Final Report Annex 1 S</w:t>
      </w:r>
      <w:r>
        <w:t>ummary of the State of the Science</w:t>
      </w:r>
      <w:r w:rsidRPr="00A22F34">
        <w:t xml:space="preserve"> </w:t>
      </w:r>
      <w:r>
        <w:t>Revised Version</w:t>
      </w:r>
      <w:r w:rsidRPr="00A22F34">
        <w:t>. pp. 1-486.</w:t>
      </w:r>
    </w:p>
    <w:p w14:paraId="6A97B789" w14:textId="1EE3A894" w:rsidR="00B12C39" w:rsidRPr="00BD76B7" w:rsidRDefault="006A117B" w:rsidP="00BD76B7">
      <w:pPr>
        <w:pStyle w:val="References"/>
        <w:rPr>
          <w:lang w:val="en-US"/>
        </w:rPr>
      </w:pPr>
      <w:bookmarkStart w:id="375" w:name="_ENREF_15"/>
      <w:r w:rsidRPr="007E2DFF">
        <w:rPr>
          <w:lang w:val="en-US"/>
        </w:rPr>
        <w:t>O</w:t>
      </w:r>
      <w:r>
        <w:rPr>
          <w:lang w:val="en-US"/>
        </w:rPr>
        <w:t>ECD</w:t>
      </w:r>
      <w:r w:rsidRPr="007E2DFF">
        <w:rPr>
          <w:lang w:val="en-US"/>
        </w:rPr>
        <w:t>, 2012. Guidance Document on standardised test guidelines for evaluating chemicals for endocrine disruption,</w:t>
      </w:r>
      <w:r w:rsidRPr="0039503A">
        <w:t xml:space="preserve">Olsen, C.M., Meussen-Elholm, E.T.M., Hongslo, J.K., Stenersen, J., Tollefsen, K.E., (2005). </w:t>
      </w:r>
      <w:r w:rsidRPr="002F222F">
        <w:rPr>
          <w:lang w:val="en-US"/>
        </w:rPr>
        <w:t>Estrogenic effects of environmental chemicals: An interspecies comparison. Comparative Biochemistry and Physiology - C Toxicology and Pharmacology 141, 267-274.</w:t>
      </w:r>
      <w:bookmarkEnd w:id="375"/>
    </w:p>
    <w:p w14:paraId="5968F0B0" w14:textId="77777777" w:rsidR="00C81C2F" w:rsidRPr="00C81C2F" w:rsidRDefault="00C81C2F" w:rsidP="00C81C2F">
      <w:pPr>
        <w:pStyle w:val="BodyText"/>
      </w:pPr>
    </w:p>
    <w:p w14:paraId="29E67BB0" w14:textId="77777777" w:rsidR="00B12C39" w:rsidRDefault="00B12C39" w:rsidP="005857D8">
      <w:pPr>
        <w:pStyle w:val="Heading1"/>
        <w:numPr>
          <w:ilvl w:val="0"/>
          <w:numId w:val="0"/>
        </w:numPr>
      </w:pPr>
      <w:bookmarkStart w:id="376" w:name="_Toc341888678"/>
      <w:bookmarkStart w:id="377" w:name="_Toc342400538"/>
      <w:bookmarkStart w:id="378" w:name="_Toc354499699"/>
      <w:bookmarkStart w:id="379" w:name="_Toc357083777"/>
      <w:bookmarkStart w:id="380" w:name="_Toc357184322"/>
      <w:bookmarkStart w:id="381" w:name="_Toc357184558"/>
      <w:bookmarkStart w:id="382" w:name="_Toc357185360"/>
      <w:bookmarkStart w:id="383" w:name="_Toc357186208"/>
      <w:bookmarkStart w:id="384" w:name="_Toc357186357"/>
      <w:bookmarkStart w:id="385" w:name="_Toc357437646"/>
      <w:bookmarkStart w:id="386" w:name="_Toc357590916"/>
      <w:bookmarkStart w:id="387" w:name="_Toc357692948"/>
      <w:bookmarkStart w:id="388" w:name="_Toc365649776"/>
      <w:bookmarkStart w:id="389" w:name="_Toc365649925"/>
      <w:bookmarkStart w:id="390" w:name="_Toc366489972"/>
      <w:bookmarkStart w:id="391" w:name="_Toc418498647"/>
      <w:bookmarkStart w:id="392" w:name="_Toc418506102"/>
      <w:bookmarkStart w:id="393" w:name="_Toc491786418"/>
      <w:r w:rsidRPr="00A527CF">
        <w:t>References for Part II</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3AA09439" w14:textId="77777777" w:rsidR="00B12C39" w:rsidRPr="00B853E6" w:rsidRDefault="00B12C39" w:rsidP="00B12C39">
      <w:pPr>
        <w:pStyle w:val="References"/>
      </w:pPr>
      <w:r w:rsidRPr="00B853E6">
        <w:t>EU</w:t>
      </w:r>
      <w:r>
        <w:t>(</w:t>
      </w:r>
      <w:r w:rsidRPr="00B853E6">
        <w:t>2006</w:t>
      </w:r>
      <w:r>
        <w:t>)</w:t>
      </w:r>
      <w:r w:rsidRPr="00B853E6">
        <w:t>.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Official Journal of the European Union, L396: 1-849.</w:t>
      </w:r>
    </w:p>
    <w:p w14:paraId="3D632626" w14:textId="77777777" w:rsidR="00B12C39" w:rsidRPr="00B853E6" w:rsidRDefault="00B12C39" w:rsidP="00B12C39">
      <w:pPr>
        <w:pStyle w:val="References"/>
      </w:pPr>
      <w:r w:rsidRPr="00B853E6">
        <w:t>EU</w:t>
      </w:r>
      <w:r>
        <w:t xml:space="preserve"> (</w:t>
      </w:r>
      <w:r w:rsidRPr="00B853E6">
        <w:t>2007</w:t>
      </w:r>
      <w:r>
        <w:t>)</w:t>
      </w:r>
      <w:r w:rsidRPr="00B853E6">
        <w:t>. Corrigendum to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Official Journal of the European Union, L136: 3-280.</w:t>
      </w:r>
    </w:p>
    <w:p w14:paraId="1FBB58AC" w14:textId="77777777" w:rsidR="00B12C39" w:rsidRPr="00B853E6" w:rsidRDefault="00B12C39" w:rsidP="00B12C39">
      <w:pPr>
        <w:pStyle w:val="References"/>
      </w:pPr>
      <w:r w:rsidRPr="00B853E6">
        <w:t>EU</w:t>
      </w:r>
      <w:r>
        <w:t xml:space="preserve"> (</w:t>
      </w:r>
      <w:r w:rsidRPr="00B853E6">
        <w:t>2008</w:t>
      </w:r>
      <w:r>
        <w:t>)</w:t>
      </w:r>
      <w:r w:rsidRPr="00B853E6">
        <w:t>. Regulation (EC) No 1272/2008 of the European Parliament and of the Council of 16 December 2008 on classification, labelling and packing of substances and mixtures, amending and repealing Directives 67/548/EEC and 1999/45/EC, and amending Regulation (EC) No 1907/2006. Official Journal of the European Union, L353: 1-1355.</w:t>
      </w:r>
    </w:p>
    <w:p w14:paraId="021EEF50" w14:textId="4AED336B" w:rsidR="00FC050C" w:rsidRPr="00FC050C" w:rsidRDefault="00FC050C" w:rsidP="00A206CF">
      <w:pPr>
        <w:pStyle w:val="Heading1"/>
        <w:numPr>
          <w:ilvl w:val="0"/>
          <w:numId w:val="0"/>
        </w:numPr>
        <w:rPr>
          <w:color w:val="0000FF"/>
          <w:u w:val="single"/>
        </w:rPr>
      </w:pPr>
    </w:p>
    <w:sectPr w:rsidR="00FC050C" w:rsidRPr="00FC050C" w:rsidSect="00A206CF">
      <w:headerReference w:type="default" r:id="rId16"/>
      <w:footerReference w:type="default" r:id="rId17"/>
      <w:pgSz w:w="11907" w:h="16840" w:code="9"/>
      <w:pgMar w:top="1440" w:right="1080" w:bottom="1440" w:left="1080" w:header="854"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6C57B" w14:textId="77777777" w:rsidR="00A41430" w:rsidRDefault="00A41430">
      <w:r>
        <w:separator/>
      </w:r>
    </w:p>
  </w:endnote>
  <w:endnote w:type="continuationSeparator" w:id="0">
    <w:p w14:paraId="08F1A89F" w14:textId="77777777" w:rsidR="00A41430" w:rsidRDefault="00A4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747151"/>
      <w:docPartObj>
        <w:docPartGallery w:val="Page Numbers (Bottom of Page)"/>
        <w:docPartUnique/>
      </w:docPartObj>
    </w:sdtPr>
    <w:sdtEndPr/>
    <w:sdtContent>
      <w:p w14:paraId="683CF9A1" w14:textId="1B0790C5" w:rsidR="00A41430" w:rsidRDefault="00A41430">
        <w:pPr>
          <w:pStyle w:val="Footer"/>
          <w:jc w:val="right"/>
        </w:pPr>
        <w:r>
          <w:fldChar w:fldCharType="begin"/>
        </w:r>
        <w:r>
          <w:instrText>PAGE   \* MERGEFORMAT</w:instrText>
        </w:r>
        <w:r>
          <w:fldChar w:fldCharType="separate"/>
        </w:r>
        <w:r w:rsidR="00C22AD3" w:rsidRPr="00C22AD3">
          <w:rPr>
            <w:noProof/>
            <w:lang w:val="de-DE"/>
          </w:rPr>
          <w:t>21</w:t>
        </w:r>
        <w:r>
          <w:fldChar w:fldCharType="end"/>
        </w:r>
      </w:p>
    </w:sdtContent>
  </w:sdt>
  <w:p w14:paraId="1BD9CFF2" w14:textId="77777777" w:rsidR="00A41430" w:rsidRDefault="00A414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EE528" w14:textId="77777777" w:rsidR="00A41430" w:rsidRDefault="00A41430">
      <w:r>
        <w:separator/>
      </w:r>
    </w:p>
  </w:footnote>
  <w:footnote w:type="continuationSeparator" w:id="0">
    <w:p w14:paraId="56C4E432" w14:textId="77777777" w:rsidR="00A41430" w:rsidRDefault="00A41430">
      <w:r>
        <w:continuationSeparator/>
      </w:r>
    </w:p>
  </w:footnote>
  <w:footnote w:id="1">
    <w:p w14:paraId="5885EE35" w14:textId="1D3064D6" w:rsidR="00A41430" w:rsidRPr="00D84241" w:rsidRDefault="00A41430" w:rsidP="004D7BDF">
      <w:pPr>
        <w:widowControl/>
        <w:autoSpaceDE w:val="0"/>
        <w:autoSpaceDN w:val="0"/>
        <w:adjustRightInd w:val="0"/>
        <w:rPr>
          <w:rFonts w:cs="Verdana"/>
          <w:i/>
          <w:sz w:val="15"/>
          <w:szCs w:val="15"/>
          <w:lang w:eastAsia="en-GB"/>
        </w:rPr>
      </w:pPr>
      <w:r>
        <w:rPr>
          <w:rStyle w:val="FootnoteReference"/>
        </w:rPr>
        <w:footnoteRef/>
      </w:r>
      <w:r>
        <w:t xml:space="preserve"> </w:t>
      </w:r>
      <w:r w:rsidRPr="000B1263">
        <w:rPr>
          <w:rFonts w:cs="Verdana"/>
          <w:sz w:val="15"/>
          <w:szCs w:val="15"/>
          <w:lang w:eastAsia="en-GB"/>
        </w:rPr>
        <w:t>T</w:t>
      </w:r>
      <w:r>
        <w:rPr>
          <w:rFonts w:cs="Verdana"/>
          <w:sz w:val="15"/>
          <w:szCs w:val="15"/>
          <w:lang w:eastAsia="en-GB"/>
        </w:rPr>
        <w:t xml:space="preserve">he full name of the entry 4-heptylphenol, branched and linear as it is included in the Candidate List is: </w:t>
      </w:r>
      <w:r>
        <w:rPr>
          <w:rFonts w:cs="Verdana"/>
          <w:sz w:val="15"/>
          <w:szCs w:val="15"/>
          <w:lang w:eastAsia="en-GB"/>
        </w:rPr>
        <w:br/>
        <w:t xml:space="preserve">4-Heptylphenol, branched and linear </w:t>
      </w:r>
      <w:r w:rsidRPr="00D84241">
        <w:rPr>
          <w:rFonts w:cs="Verdana"/>
          <w:i/>
          <w:sz w:val="15"/>
          <w:szCs w:val="15"/>
          <w:lang w:eastAsia="en-GB"/>
        </w:rPr>
        <w:t>[substances with a linear and/or branched alkyl chain with a carbon number of 7 covalently bound predominantly in position 4 to phenol, covering also UVCB- and well-defined substances which include any of the individual isomers or a combination thereof]</w:t>
      </w:r>
    </w:p>
    <w:p w14:paraId="25103A34" w14:textId="77777777" w:rsidR="00A41430" w:rsidRPr="004D7BDF" w:rsidRDefault="00A41430" w:rsidP="004D7BDF">
      <w:pPr>
        <w:pStyle w:val="FootnoteText"/>
      </w:pPr>
    </w:p>
  </w:footnote>
  <w:footnote w:id="2">
    <w:p w14:paraId="087FEFE9" w14:textId="702AE3E4" w:rsidR="00A41430" w:rsidRPr="006162BB" w:rsidRDefault="00A41430" w:rsidP="00FC7CED">
      <w:pPr>
        <w:pStyle w:val="Default"/>
        <w:rPr>
          <w:rFonts w:ascii="Verdana" w:hAnsi="Verdana" w:cs="Verdana"/>
          <w:sz w:val="16"/>
          <w:szCs w:val="16"/>
        </w:rPr>
      </w:pPr>
      <w:r w:rsidRPr="006162BB">
        <w:rPr>
          <w:rStyle w:val="FootnoteReference"/>
          <w:rFonts w:ascii="Verdana" w:hAnsi="Verdana"/>
          <w:szCs w:val="16"/>
        </w:rPr>
        <w:footnoteRef/>
      </w:r>
      <w:r w:rsidRPr="006162BB">
        <w:rPr>
          <w:rFonts w:ascii="Verdana" w:hAnsi="Verdana"/>
          <w:sz w:val="16"/>
          <w:szCs w:val="16"/>
        </w:rPr>
        <w:t xml:space="preserve"> </w:t>
      </w:r>
      <w:r w:rsidRPr="006162BB">
        <w:rPr>
          <w:rFonts w:ascii="Verdana" w:hAnsi="Verdana" w:cs="Verdana"/>
          <w:color w:val="auto"/>
          <w:sz w:val="16"/>
          <w:szCs w:val="16"/>
        </w:rPr>
        <w:t>Decision of the European Chemicals Agency on the Inclusion of substances of very high concern in the Candidate List for eventual inclusion in Annex XIV</w:t>
      </w:r>
      <w:r w:rsidRPr="006162BB">
        <w:rPr>
          <w:rFonts w:ascii="Verdana" w:hAnsi="Verdana" w:cs="Verdana"/>
          <w:b/>
          <w:bCs/>
          <w:sz w:val="16"/>
          <w:szCs w:val="16"/>
        </w:rPr>
        <w:t xml:space="preserve"> </w:t>
      </w:r>
      <w:r w:rsidRPr="006162BB">
        <w:rPr>
          <w:rFonts w:ascii="Verdana" w:hAnsi="Verdana" w:cs="Verdana"/>
          <w:b/>
          <w:bCs/>
          <w:sz w:val="16"/>
          <w:szCs w:val="16"/>
        </w:rPr>
        <w:br/>
      </w:r>
      <w:hyperlink r:id="rId1" w:history="1">
        <w:r w:rsidRPr="006162BB">
          <w:rPr>
            <w:rStyle w:val="Hyperlink"/>
            <w:sz w:val="16"/>
            <w:szCs w:val="16"/>
          </w:rPr>
          <w:t>https://echa.europa.eu/documents/10162/0f8c5cf3-ccb7-3df6-c351-1c2df00cbc91</w:t>
        </w:r>
      </w:hyperlink>
    </w:p>
    <w:p w14:paraId="304B986E" w14:textId="77777777" w:rsidR="00A41430" w:rsidRPr="004C169A" w:rsidRDefault="00A41430">
      <w:pPr>
        <w:pStyle w:val="FootnoteText"/>
      </w:pPr>
    </w:p>
  </w:footnote>
  <w:footnote w:id="3">
    <w:p w14:paraId="7978FF9C" w14:textId="77777777" w:rsidR="00A41430" w:rsidRPr="006162BB" w:rsidRDefault="00A41430" w:rsidP="006E6CFE">
      <w:pPr>
        <w:pStyle w:val="FootnoteText"/>
        <w:rPr>
          <w:sz w:val="16"/>
          <w:szCs w:val="16"/>
        </w:rPr>
      </w:pPr>
      <w:r w:rsidRPr="006162BB">
        <w:rPr>
          <w:rStyle w:val="FootnoteReference"/>
          <w:rFonts w:ascii="Verdana" w:hAnsi="Verdana"/>
          <w:szCs w:val="16"/>
        </w:rPr>
        <w:footnoteRef/>
      </w:r>
      <w:r w:rsidRPr="006162BB">
        <w:rPr>
          <w:sz w:val="16"/>
          <w:szCs w:val="16"/>
        </w:rPr>
        <w:t xml:space="preserve"> </w:t>
      </w:r>
      <w:hyperlink r:id="rId2" w:history="1">
        <w:r w:rsidRPr="006162BB">
          <w:rPr>
            <w:rStyle w:val="Hyperlink"/>
            <w:sz w:val="16"/>
            <w:szCs w:val="16"/>
          </w:rPr>
          <w:t>https://echa.europa.eu/documents/10162/f3dba6ab-8dd8-2457-4213-2f390b0539f1</w:t>
        </w:r>
      </w:hyperlink>
    </w:p>
    <w:p w14:paraId="31F2F890" w14:textId="77777777" w:rsidR="00A41430" w:rsidRPr="00A22761" w:rsidRDefault="00A41430" w:rsidP="006E6CFE">
      <w:pPr>
        <w:pStyle w:val="FootnoteText"/>
      </w:pPr>
    </w:p>
  </w:footnote>
  <w:footnote w:id="4">
    <w:p w14:paraId="6BEA981F" w14:textId="77777777" w:rsidR="00A41430" w:rsidRPr="000D79E6" w:rsidRDefault="00A41430" w:rsidP="005B32BA">
      <w:pPr>
        <w:pStyle w:val="FootnoteText"/>
        <w:rPr>
          <w:sz w:val="16"/>
          <w:szCs w:val="16"/>
        </w:rPr>
      </w:pPr>
      <w:r>
        <w:rPr>
          <w:rStyle w:val="FootnoteReference"/>
        </w:rPr>
        <w:footnoteRef/>
      </w:r>
      <w:r>
        <w:t xml:space="preserve"> </w:t>
      </w:r>
      <w:r w:rsidRPr="000D79E6">
        <w:rPr>
          <w:sz w:val="16"/>
          <w:szCs w:val="16"/>
        </w:rPr>
        <w:t>Ref. to REACH, Article 56 (6)a.</w:t>
      </w:r>
    </w:p>
  </w:footnote>
  <w:footnote w:id="5">
    <w:p w14:paraId="595D7EB0" w14:textId="35CDE029" w:rsidR="00A41430" w:rsidRDefault="00A41430" w:rsidP="00C7578F">
      <w:pPr>
        <w:pStyle w:val="FootnoteText"/>
      </w:pPr>
      <w:r>
        <w:rPr>
          <w:rStyle w:val="FootnoteReference"/>
        </w:rPr>
        <w:footnoteRef/>
      </w:r>
      <w:r>
        <w:t xml:space="preserve"> </w:t>
      </w:r>
      <w:r w:rsidRPr="000C5C7A">
        <w:rPr>
          <w:sz w:val="16"/>
          <w:szCs w:val="16"/>
        </w:rPr>
        <w:t xml:space="preserve">Source: ECHA dissemination site: </w:t>
      </w:r>
      <w:hyperlink r:id="rId3" w:history="1">
        <w:r w:rsidRPr="000C5C7A">
          <w:rPr>
            <w:rStyle w:val="Hyperlink"/>
            <w:sz w:val="16"/>
            <w:szCs w:val="16"/>
          </w:rPr>
          <w:t>https://echa.europa.eu/de/registration-dossier/-/registered-dossier/12316</w:t>
        </w:r>
      </w:hyperlink>
      <w:r w:rsidRPr="000C5C7A">
        <w:rPr>
          <w:sz w:val="16"/>
          <w:szCs w:val="16"/>
        </w:rPr>
        <w:t>, accessed July 2017</w:t>
      </w:r>
    </w:p>
    <w:p w14:paraId="49335E6D" w14:textId="77777777" w:rsidR="00A41430" w:rsidRPr="0099242B" w:rsidRDefault="00A41430" w:rsidP="00C7578F">
      <w:pPr>
        <w:pStyle w:val="FootnoteText"/>
      </w:pPr>
    </w:p>
  </w:footnote>
  <w:footnote w:id="6">
    <w:p w14:paraId="7F1FF203" w14:textId="77777777" w:rsidR="00A41430" w:rsidRDefault="00A41430">
      <w:pPr>
        <w:pStyle w:val="FootnoteText"/>
      </w:pPr>
      <w:r w:rsidRPr="0054522D">
        <w:rPr>
          <w:rStyle w:val="FootnoteReference"/>
          <w:rFonts w:ascii="Verdana" w:hAnsi="Verdana"/>
        </w:rPr>
        <w:footnoteRef/>
      </w:r>
      <w:r w:rsidRPr="0054522D">
        <w:t xml:space="preserve"> </w:t>
      </w:r>
      <w:r w:rsidRPr="004C3DE6">
        <w:rPr>
          <w:rFonts w:cs="TimesNewRomanPSMT"/>
          <w:sz w:val="16"/>
          <w:szCs w:val="16"/>
          <w:lang w:eastAsia="en-GB"/>
        </w:rPr>
        <w:t>Substances of Unknown or Variable composition, Complex reaction products or Biological</w:t>
      </w:r>
      <w:r>
        <w:rPr>
          <w:rFonts w:cs="TimesNewRomanPSMT"/>
          <w:sz w:val="16"/>
          <w:szCs w:val="16"/>
          <w:lang w:eastAsia="en-GB"/>
        </w:rPr>
        <w:t xml:space="preserve"> </w:t>
      </w:r>
      <w:r w:rsidRPr="004C3DE6">
        <w:rPr>
          <w:rFonts w:cs="TimesNewRomanPSMT"/>
          <w:sz w:val="16"/>
          <w:szCs w:val="16"/>
          <w:lang w:eastAsia="en-GB"/>
        </w:rPr>
        <w:t>materials</w:t>
      </w:r>
    </w:p>
  </w:footnote>
  <w:footnote w:id="7">
    <w:p w14:paraId="64124CBD" w14:textId="499A2FF2" w:rsidR="00A41430" w:rsidRPr="00E13563" w:rsidRDefault="00A41430">
      <w:pPr>
        <w:pStyle w:val="FootnoteText"/>
        <w:rPr>
          <w:sz w:val="16"/>
          <w:szCs w:val="16"/>
        </w:rPr>
      </w:pPr>
      <w:r w:rsidRPr="00E13563">
        <w:rPr>
          <w:rStyle w:val="FootnoteReference"/>
          <w:rFonts w:ascii="Verdana" w:hAnsi="Verdana"/>
          <w:szCs w:val="16"/>
        </w:rPr>
        <w:footnoteRef/>
      </w:r>
      <w:r w:rsidRPr="00E13563">
        <w:rPr>
          <w:sz w:val="16"/>
          <w:szCs w:val="16"/>
        </w:rPr>
        <w:t xml:space="preserve"> </w:t>
      </w:r>
      <w:hyperlink r:id="rId4" w:history="1">
        <w:r w:rsidRPr="00E13563">
          <w:rPr>
            <w:rStyle w:val="Hyperlink"/>
            <w:sz w:val="16"/>
            <w:szCs w:val="16"/>
          </w:rPr>
          <w:t>https://echa.europa.eu/documents/10162/f3dba6ab-8dd8-2457-4213-2f390b0539f1</w:t>
        </w:r>
      </w:hyperlink>
    </w:p>
    <w:p w14:paraId="024F36E8" w14:textId="77777777" w:rsidR="00A41430" w:rsidRPr="00A22761" w:rsidRDefault="00A41430">
      <w:pPr>
        <w:pStyle w:val="FootnoteText"/>
      </w:pPr>
    </w:p>
  </w:footnote>
  <w:footnote w:id="8">
    <w:p w14:paraId="437D53E4" w14:textId="77777777" w:rsidR="00A41430" w:rsidRPr="00E13563" w:rsidRDefault="00A41430" w:rsidP="00C42F65">
      <w:pPr>
        <w:pStyle w:val="Default"/>
        <w:rPr>
          <w:rFonts w:ascii="Verdana" w:hAnsi="Verdana" w:cs="Verdana"/>
          <w:sz w:val="16"/>
          <w:szCs w:val="16"/>
        </w:rPr>
      </w:pPr>
      <w:r w:rsidRPr="00FC7CED">
        <w:rPr>
          <w:rStyle w:val="FootnoteReference"/>
          <w:rFonts w:ascii="Verdana" w:hAnsi="Verdana"/>
          <w:sz w:val="15"/>
          <w:szCs w:val="15"/>
        </w:rPr>
        <w:footnoteRef/>
      </w:r>
      <w:r w:rsidRPr="00FC7CED">
        <w:rPr>
          <w:rFonts w:ascii="Verdana" w:hAnsi="Verdana"/>
          <w:sz w:val="15"/>
          <w:szCs w:val="15"/>
        </w:rPr>
        <w:t xml:space="preserve"> </w:t>
      </w:r>
      <w:r w:rsidRPr="00FC7CED">
        <w:rPr>
          <w:rFonts w:ascii="Verdana" w:hAnsi="Verdana" w:cs="Verdana"/>
          <w:color w:val="auto"/>
          <w:sz w:val="15"/>
          <w:szCs w:val="15"/>
        </w:rPr>
        <w:t xml:space="preserve">Decision of the European Chemicals Agency on the </w:t>
      </w:r>
      <w:r w:rsidRPr="004C169A">
        <w:rPr>
          <w:rFonts w:ascii="Verdana" w:hAnsi="Verdana" w:cs="Verdana"/>
          <w:color w:val="auto"/>
          <w:sz w:val="15"/>
          <w:szCs w:val="15"/>
        </w:rPr>
        <w:t>Inclusion of substances of very high concern in the Candidate List for eventual inclusion in Annex XIV</w:t>
      </w:r>
      <w:r w:rsidRPr="004C169A">
        <w:rPr>
          <w:rFonts w:ascii="Verdana" w:hAnsi="Verdana" w:cs="Verdana"/>
          <w:b/>
          <w:bCs/>
          <w:sz w:val="15"/>
          <w:szCs w:val="15"/>
        </w:rPr>
        <w:t xml:space="preserve"> </w:t>
      </w:r>
      <w:r w:rsidRPr="00FC7CED">
        <w:rPr>
          <w:rFonts w:ascii="Verdana" w:hAnsi="Verdana" w:cs="Verdana"/>
          <w:b/>
          <w:bCs/>
          <w:sz w:val="15"/>
          <w:szCs w:val="15"/>
        </w:rPr>
        <w:br/>
      </w:r>
      <w:hyperlink r:id="rId5" w:history="1">
        <w:r w:rsidRPr="00E13563">
          <w:rPr>
            <w:rStyle w:val="Hyperlink"/>
            <w:sz w:val="16"/>
            <w:szCs w:val="16"/>
          </w:rPr>
          <w:t>https://echa.europa.eu/documents/10162/0f8c5cf3-ccb7-3df6-c351-1c2df00cbc91</w:t>
        </w:r>
      </w:hyperlink>
    </w:p>
    <w:p w14:paraId="3A0829F2" w14:textId="77777777" w:rsidR="00A41430" w:rsidRPr="00E13563" w:rsidRDefault="00A41430" w:rsidP="00C42F65">
      <w:pPr>
        <w:pStyle w:val="FootnoteText"/>
        <w:rPr>
          <w:sz w:val="16"/>
          <w:szCs w:val="16"/>
        </w:rPr>
      </w:pPr>
    </w:p>
  </w:footnote>
  <w:footnote w:id="9">
    <w:p w14:paraId="3F70F888" w14:textId="77777777" w:rsidR="00A41430" w:rsidRPr="00E13563" w:rsidRDefault="00A41430" w:rsidP="00B3084C">
      <w:pPr>
        <w:pStyle w:val="FootnoteText"/>
        <w:rPr>
          <w:sz w:val="16"/>
          <w:szCs w:val="16"/>
        </w:rPr>
      </w:pPr>
      <w:r w:rsidRPr="00E13563">
        <w:rPr>
          <w:rStyle w:val="FootnoteReference"/>
          <w:rFonts w:ascii="Verdana" w:hAnsi="Verdana"/>
          <w:szCs w:val="16"/>
        </w:rPr>
        <w:footnoteRef/>
      </w:r>
      <w:r w:rsidRPr="00E13563">
        <w:rPr>
          <w:sz w:val="16"/>
          <w:szCs w:val="16"/>
        </w:rPr>
        <w:t xml:space="preserve"> </w:t>
      </w:r>
      <w:hyperlink r:id="rId6" w:history="1">
        <w:r w:rsidRPr="00E13563">
          <w:rPr>
            <w:rStyle w:val="Hyperlink"/>
            <w:sz w:val="16"/>
            <w:szCs w:val="16"/>
          </w:rPr>
          <w:t>https://echa.europa.eu/documents/10162/f3dba6ab-8dd8-2457-4213-2f390b0539f1</w:t>
        </w:r>
      </w:hyperlink>
    </w:p>
    <w:p w14:paraId="6BFB6021" w14:textId="77777777" w:rsidR="00A41430" w:rsidRPr="00A22761" w:rsidRDefault="00A41430" w:rsidP="00B3084C">
      <w:pPr>
        <w:pStyle w:val="FootnoteText"/>
      </w:pPr>
    </w:p>
  </w:footnote>
  <w:footnote w:id="10">
    <w:p w14:paraId="663DF3C4" w14:textId="4BF935FA" w:rsidR="00A41430" w:rsidRPr="000D79E6" w:rsidRDefault="00A41430" w:rsidP="00C42F65">
      <w:pPr>
        <w:pStyle w:val="FootnoteText"/>
        <w:rPr>
          <w:sz w:val="16"/>
          <w:szCs w:val="16"/>
        </w:rPr>
      </w:pPr>
      <w:r w:rsidRPr="00E13563">
        <w:rPr>
          <w:rStyle w:val="FootnoteReference"/>
          <w:rFonts w:ascii="Verdana" w:hAnsi="Verdana"/>
        </w:rPr>
        <w:footnoteRef/>
      </w:r>
      <w:r w:rsidRPr="00E13563">
        <w:t xml:space="preserve"> </w:t>
      </w:r>
      <w:r>
        <w:rPr>
          <w:sz w:val="16"/>
          <w:szCs w:val="16"/>
        </w:rPr>
        <w:t>Ref. to REACH, Article 56</w:t>
      </w:r>
      <w:r w:rsidRPr="000D79E6">
        <w:rPr>
          <w:sz w:val="16"/>
          <w:szCs w:val="16"/>
        </w:rPr>
        <w:t>(6)a.</w:t>
      </w:r>
    </w:p>
  </w:footnote>
  <w:footnote w:id="11">
    <w:p w14:paraId="0C4B4233" w14:textId="77777777" w:rsidR="00A41430" w:rsidRPr="0089087B" w:rsidRDefault="00A41430">
      <w:pPr>
        <w:pStyle w:val="FootnoteText"/>
      </w:pPr>
      <w:r w:rsidRPr="0089087B">
        <w:rPr>
          <w:rStyle w:val="FootnoteReference"/>
          <w:rFonts w:ascii="Verdana" w:hAnsi="Verdana"/>
        </w:rPr>
        <w:footnoteRef/>
      </w:r>
      <w:r w:rsidRPr="0089087B">
        <w:t xml:space="preserve"> </w:t>
      </w:r>
      <w:hyperlink r:id="rId7" w:history="1">
        <w:r w:rsidRPr="00966E88">
          <w:rPr>
            <w:rStyle w:val="Hyperlink"/>
            <w:i/>
            <w:sz w:val="16"/>
          </w:rPr>
          <w:t>https://echa.europa.eu/substance-information/-/substanceinfo/100.226.747</w:t>
        </w:r>
      </w:hyperlink>
      <w:r>
        <w:rPr>
          <w:i/>
          <w:sz w:val="16"/>
        </w:rPr>
        <w:t xml:space="preserve"> (</w:t>
      </w:r>
      <w:r w:rsidRPr="00904836">
        <w:rPr>
          <w:sz w:val="16"/>
          <w:szCs w:val="16"/>
        </w:rPr>
        <w:t xml:space="preserve">accessed </w:t>
      </w:r>
      <w:r w:rsidRPr="00AB7BE5">
        <w:rPr>
          <w:sz w:val="16"/>
          <w:szCs w:val="16"/>
        </w:rPr>
        <w:t>21 06 2017</w:t>
      </w:r>
      <w:r w:rsidRPr="0089087B">
        <w:rPr>
          <w:i/>
          <w:sz w:val="16"/>
        </w:rPr>
        <w:t>)</w:t>
      </w:r>
    </w:p>
  </w:footnote>
  <w:footnote w:id="12">
    <w:p w14:paraId="3E37523A" w14:textId="77777777" w:rsidR="00A41430" w:rsidRDefault="00A41430" w:rsidP="001340DF">
      <w:pPr>
        <w:pStyle w:val="FootnoteText"/>
      </w:pPr>
      <w:r w:rsidRPr="001340DF">
        <w:rPr>
          <w:rStyle w:val="FootnoteReference"/>
          <w:rFonts w:ascii="Verdana" w:hAnsi="Verdana"/>
        </w:rPr>
        <w:footnoteRef/>
      </w:r>
      <w:r w:rsidRPr="001340DF">
        <w:t xml:space="preserve"> </w:t>
      </w:r>
      <w:r>
        <w:rPr>
          <w:sz w:val="16"/>
          <w:szCs w:val="16"/>
        </w:rPr>
        <w:t xml:space="preserve">C&amp;L Inventory database, </w:t>
      </w:r>
      <w:hyperlink r:id="rId8" w:history="1">
        <w:r w:rsidRPr="00904836">
          <w:rPr>
            <w:rStyle w:val="Hyperlink"/>
            <w:sz w:val="16"/>
            <w:szCs w:val="16"/>
          </w:rPr>
          <w:t>http://echa.europa.eu/web/guest/information-on-chemicals/cl-inventory-database</w:t>
        </w:r>
      </w:hyperlink>
      <w:r w:rsidRPr="00904836">
        <w:rPr>
          <w:sz w:val="16"/>
          <w:szCs w:val="16"/>
        </w:rPr>
        <w:t xml:space="preserve"> (accessed </w:t>
      </w:r>
      <w:r w:rsidRPr="00AB7BE5">
        <w:rPr>
          <w:sz w:val="16"/>
          <w:szCs w:val="16"/>
        </w:rPr>
        <w:t>21 06 2017</w:t>
      </w:r>
      <w:r>
        <w:rPr>
          <w:sz w:val="16"/>
          <w:szCs w:val="16"/>
        </w:rPr>
        <w:t>)</w:t>
      </w:r>
    </w:p>
  </w:footnote>
  <w:footnote w:id="13">
    <w:p w14:paraId="6B5A61A5" w14:textId="77777777" w:rsidR="00A41430" w:rsidRPr="0089087B" w:rsidRDefault="00A41430" w:rsidP="00B467B2">
      <w:pPr>
        <w:pStyle w:val="FootnoteText"/>
      </w:pPr>
      <w:r w:rsidRPr="0089087B">
        <w:rPr>
          <w:rStyle w:val="FootnoteReference"/>
          <w:rFonts w:ascii="Verdana" w:hAnsi="Verdana"/>
        </w:rPr>
        <w:footnoteRef/>
      </w:r>
      <w:r w:rsidRPr="0089087B">
        <w:t xml:space="preserve"> </w:t>
      </w:r>
      <w:r w:rsidRPr="00AB7BE5">
        <w:rPr>
          <w:i/>
          <w:sz w:val="16"/>
        </w:rPr>
        <w:t xml:space="preserve">https://echa.europa.eu/registration-dossier/-/registered-dossier/12316 </w:t>
      </w:r>
      <w:r w:rsidRPr="0089087B">
        <w:rPr>
          <w:i/>
          <w:sz w:val="16"/>
        </w:rPr>
        <w:t>(</w:t>
      </w:r>
      <w:r w:rsidRPr="00904836">
        <w:rPr>
          <w:sz w:val="16"/>
          <w:szCs w:val="16"/>
        </w:rPr>
        <w:t xml:space="preserve">accessed </w:t>
      </w:r>
      <w:r w:rsidRPr="00AB7BE5">
        <w:rPr>
          <w:sz w:val="16"/>
          <w:szCs w:val="16"/>
        </w:rPr>
        <w:t>21 06 2017</w:t>
      </w:r>
      <w:r w:rsidRPr="0089087B">
        <w:rPr>
          <w:i/>
          <w:sz w:val="16"/>
        </w:rPr>
        <w:t>)</w:t>
      </w:r>
    </w:p>
  </w:footnote>
  <w:footnote w:id="14">
    <w:p w14:paraId="41BF98AC" w14:textId="77777777" w:rsidR="00A41430" w:rsidRPr="00E13563" w:rsidRDefault="00A41430" w:rsidP="0078633D">
      <w:pPr>
        <w:pStyle w:val="Default"/>
        <w:rPr>
          <w:rFonts w:ascii="Verdana" w:hAnsi="Verdana" w:cs="Verdana"/>
          <w:sz w:val="16"/>
          <w:szCs w:val="16"/>
        </w:rPr>
      </w:pPr>
      <w:r w:rsidRPr="00E13563">
        <w:rPr>
          <w:rStyle w:val="FootnoteReference"/>
          <w:rFonts w:ascii="Verdana" w:hAnsi="Verdana"/>
          <w:szCs w:val="16"/>
        </w:rPr>
        <w:footnoteRef/>
      </w:r>
      <w:r w:rsidRPr="00E13563">
        <w:rPr>
          <w:rFonts w:ascii="Verdana" w:hAnsi="Verdana"/>
          <w:sz w:val="16"/>
          <w:szCs w:val="16"/>
        </w:rPr>
        <w:t xml:space="preserve"> </w:t>
      </w:r>
      <w:r w:rsidRPr="00E13563">
        <w:rPr>
          <w:rFonts w:ascii="Verdana" w:hAnsi="Verdana" w:cs="Verdana"/>
          <w:color w:val="auto"/>
          <w:sz w:val="16"/>
          <w:szCs w:val="16"/>
        </w:rPr>
        <w:t>Decision of the European Chemicals Agency on the Inclusion of substances of very high concern in the Candidate List for eventual inclusion in Annex XIV</w:t>
      </w:r>
      <w:r w:rsidRPr="00E13563">
        <w:rPr>
          <w:rFonts w:ascii="Verdana" w:hAnsi="Verdana" w:cs="Verdana"/>
          <w:b/>
          <w:bCs/>
          <w:sz w:val="16"/>
          <w:szCs w:val="16"/>
        </w:rPr>
        <w:t xml:space="preserve"> </w:t>
      </w:r>
      <w:r w:rsidRPr="00E13563">
        <w:rPr>
          <w:rFonts w:ascii="Verdana" w:hAnsi="Verdana" w:cs="Verdana"/>
          <w:b/>
          <w:bCs/>
          <w:sz w:val="16"/>
          <w:szCs w:val="16"/>
        </w:rPr>
        <w:br/>
      </w:r>
      <w:hyperlink r:id="rId9" w:history="1">
        <w:r w:rsidRPr="00E13563">
          <w:rPr>
            <w:rStyle w:val="Hyperlink"/>
            <w:sz w:val="16"/>
            <w:szCs w:val="16"/>
          </w:rPr>
          <w:t>https://echa.europa.eu/documents/10162/0f8c5cf3-ccb7-3df6-c351-1c2df00cbc91</w:t>
        </w:r>
      </w:hyperlink>
    </w:p>
    <w:p w14:paraId="6E50DBD8" w14:textId="77777777" w:rsidR="00A41430" w:rsidRPr="004C169A" w:rsidRDefault="00A41430" w:rsidP="0078633D">
      <w:pPr>
        <w:pStyle w:val="FootnoteText"/>
      </w:pPr>
    </w:p>
  </w:footnote>
  <w:footnote w:id="15">
    <w:p w14:paraId="60A5469E" w14:textId="77777777" w:rsidR="00A41430" w:rsidRPr="00540ECD" w:rsidRDefault="00A41430" w:rsidP="002D38D2">
      <w:pPr>
        <w:pStyle w:val="FootnoteText"/>
      </w:pPr>
      <w:r>
        <w:rPr>
          <w:rStyle w:val="FootnoteReference"/>
        </w:rPr>
        <w:footnoteRef/>
      </w:r>
      <w:r>
        <w:t xml:space="preserve"> </w:t>
      </w:r>
      <w:hyperlink r:id="rId10" w:history="1">
        <w:r>
          <w:rPr>
            <w:rStyle w:val="Hyperlink"/>
            <w:rFonts w:ascii="Calibri" w:hAnsi="Calibri"/>
          </w:rPr>
          <w:t>https://java.epa.gov/oppt_chemical_search/</w:t>
        </w:r>
      </w:hyperlink>
      <w:r w:rsidRPr="008D47B8">
        <w:rPr>
          <w:rFonts w:ascii="Calibri" w:hAnsi="Calibri"/>
          <w:color w:val="1F497D"/>
        </w:rPr>
        <w:t xml:space="preserve"> </w:t>
      </w:r>
      <w:r>
        <w:rPr>
          <w:rFonts w:ascii="Calibri" w:hAnsi="Calibri"/>
          <w:color w:val="1F497D"/>
        </w:rPr>
        <w:t>  (search term 72624-02-3)</w:t>
      </w:r>
    </w:p>
  </w:footnote>
  <w:footnote w:id="16">
    <w:p w14:paraId="3F931801" w14:textId="77777777" w:rsidR="00A41430" w:rsidRPr="005126E7" w:rsidRDefault="00A41430" w:rsidP="002D38D2">
      <w:pPr>
        <w:rPr>
          <w:bCs/>
        </w:rPr>
      </w:pPr>
      <w:r>
        <w:rPr>
          <w:rStyle w:val="FootnoteReference"/>
        </w:rPr>
        <w:footnoteRef/>
      </w:r>
      <w:r>
        <w:t xml:space="preserve"> </w:t>
      </w:r>
      <w:hyperlink r:id="rId11" w:history="1">
        <w:r>
          <w:rPr>
            <w:rStyle w:val="Hyperlink"/>
            <w:rFonts w:ascii="Calibri" w:hAnsi="Calibri"/>
          </w:rPr>
          <w:t>https://java.epa.gov/oppt_chemical_search/</w:t>
        </w:r>
      </w:hyperlink>
      <w:r w:rsidRPr="008D47B8">
        <w:rPr>
          <w:rFonts w:ascii="Calibri" w:hAnsi="Calibri"/>
          <w:color w:val="1F497D"/>
        </w:rPr>
        <w:t xml:space="preserve"> </w:t>
      </w:r>
      <w:r>
        <w:rPr>
          <w:rFonts w:ascii="Calibri" w:hAnsi="Calibri"/>
          <w:color w:val="1F497D"/>
        </w:rPr>
        <w:t>   (search term a</w:t>
      </w:r>
      <w:r w:rsidRPr="00783F61">
        <w:rPr>
          <w:rFonts w:ascii="Calibri" w:hAnsi="Calibri"/>
          <w:color w:val="1F497D"/>
        </w:rPr>
        <w:t>lkylphenols</w:t>
      </w:r>
      <w:r>
        <w:rPr>
          <w:rFonts w:ascii="Calibri" w:hAnsi="Calibri"/>
          <w:color w:val="1F497D"/>
        </w:rPr>
        <w:t>)</w:t>
      </w:r>
      <w:r>
        <w:rPr>
          <w:color w:val="FF0000"/>
        </w:rPr>
        <w:t xml:space="preserve"> </w:t>
      </w:r>
    </w:p>
    <w:p w14:paraId="090CBAD4" w14:textId="77777777" w:rsidR="00A41430" w:rsidRPr="00540ECD" w:rsidRDefault="00A41430" w:rsidP="002D38D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6C8BF" w14:textId="73C064BC" w:rsidR="00A41430" w:rsidRPr="00FC050C" w:rsidRDefault="00A41430" w:rsidP="00FC050C">
    <w:pPr>
      <w:pStyle w:val="Header"/>
      <w:pBdr>
        <w:bottom w:val="single" w:sz="4" w:space="1" w:color="auto"/>
      </w:pBdr>
      <w:rPr>
        <w:sz w:val="18"/>
        <w:szCs w:val="18"/>
      </w:rPr>
    </w:pPr>
    <w:r w:rsidRPr="00FC050C">
      <w:rPr>
        <w:sz w:val="18"/>
        <w:szCs w:val="18"/>
      </w:rPr>
      <w:t xml:space="preserve">ANNEX XV – IDENTIFICATION OF REACTION PRODUCTS OF 1,3,4-THIADIAZOLIDINE-2,5-DITHIONE, FORMALDEHYDE AND </w:t>
    </w:r>
    <w:r w:rsidRPr="00FC050C">
      <w:rPr>
        <w:rStyle w:val="Strong"/>
        <w:b w:val="0"/>
        <w:bCs/>
        <w:sz w:val="18"/>
        <w:szCs w:val="18"/>
      </w:rPr>
      <w:t xml:space="preserve">4-HEPTYLPHENOL, branched and linear (RP-HP) </w:t>
    </w:r>
    <w:r w:rsidRPr="00FC050C">
      <w:rPr>
        <w:sz w:val="18"/>
        <w:szCs w:val="18"/>
      </w:rPr>
      <w:t>AS SVHC</w:t>
    </w:r>
  </w:p>
  <w:p w14:paraId="7725E12A" w14:textId="1C974F0D" w:rsidR="00A41430" w:rsidRDefault="00A41430">
    <w:pPr>
      <w:pStyle w:val="Header"/>
    </w:pPr>
  </w:p>
  <w:p w14:paraId="492538C2" w14:textId="77777777" w:rsidR="00A41430" w:rsidRDefault="00A414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5AE4"/>
    <w:multiLevelType w:val="hybridMultilevel"/>
    <w:tmpl w:val="5A8C0F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520774"/>
    <w:multiLevelType w:val="multilevel"/>
    <w:tmpl w:val="8258EE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34388F"/>
    <w:multiLevelType w:val="hybridMultilevel"/>
    <w:tmpl w:val="F9A4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D686A"/>
    <w:multiLevelType w:val="hybridMultilevel"/>
    <w:tmpl w:val="F5F670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3AD7ED3"/>
    <w:multiLevelType w:val="hybridMultilevel"/>
    <w:tmpl w:val="5E36D17A"/>
    <w:lvl w:ilvl="0" w:tplc="C84E037E">
      <w:start w:val="1"/>
      <w:numFmt w:val="bullet"/>
      <w:pStyle w:val="ListBullet"/>
      <w:lvlText w:val=""/>
      <w:lvlJc w:val="left"/>
      <w:pPr>
        <w:tabs>
          <w:tab w:val="num" w:pos="425"/>
        </w:tabs>
        <w:ind w:left="425" w:hanging="425"/>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448F0"/>
    <w:multiLevelType w:val="multilevel"/>
    <w:tmpl w:val="771A86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1B96637"/>
    <w:multiLevelType w:val="hybridMultilevel"/>
    <w:tmpl w:val="3FBA4C5E"/>
    <w:lvl w:ilvl="0" w:tplc="3C62EC34">
      <w:numFmt w:val="bullet"/>
      <w:lvlText w:val="-"/>
      <w:lvlJc w:val="left"/>
      <w:pPr>
        <w:tabs>
          <w:tab w:val="num" w:pos="720"/>
        </w:tabs>
        <w:ind w:left="720" w:hanging="360"/>
      </w:pPr>
      <w:rPr>
        <w:rFonts w:ascii="Arial" w:eastAsia="Times New Roman" w:hAnsi="Arial" w:hint="default"/>
      </w:rPr>
    </w:lvl>
    <w:lvl w:ilvl="1" w:tplc="3C62EC34">
      <w:numFmt w:val="bullet"/>
      <w:lvlText w:val="-"/>
      <w:lvlJc w:val="left"/>
      <w:pPr>
        <w:tabs>
          <w:tab w:val="num" w:pos="1440"/>
        </w:tabs>
        <w:ind w:left="1440" w:hanging="360"/>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32022"/>
    <w:multiLevelType w:val="hybridMultilevel"/>
    <w:tmpl w:val="EA80C2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3">
      <w:start w:val="1"/>
      <w:numFmt w:val="bullet"/>
      <w:lvlText w:val="o"/>
      <w:lvlJc w:val="left"/>
      <w:pPr>
        <w:ind w:left="2880" w:hanging="360"/>
      </w:pPr>
      <w:rPr>
        <w:rFonts w:ascii="Courier New" w:hAnsi="Courier New" w:hint="default"/>
      </w:rPr>
    </w:lvl>
    <w:lvl w:ilvl="3" w:tplc="3C62EC34">
      <w:numFmt w:val="bullet"/>
      <w:lvlText w:val="-"/>
      <w:lvlJc w:val="left"/>
      <w:pPr>
        <w:ind w:left="3600" w:hanging="360"/>
      </w:pPr>
      <w:rPr>
        <w:rFonts w:ascii="Arial" w:eastAsia="Times New Roman" w:hAnsi="Aria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8D4D41"/>
    <w:multiLevelType w:val="hybridMultilevel"/>
    <w:tmpl w:val="0D46920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3">
      <w:start w:val="1"/>
      <w:numFmt w:val="bullet"/>
      <w:lvlText w:val="o"/>
      <w:lvlJc w:val="left"/>
      <w:pPr>
        <w:ind w:left="2160" w:hanging="360"/>
      </w:pPr>
      <w:rPr>
        <w:rFonts w:ascii="Courier New" w:hAnsi="Courier New" w:cs="Courier New"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1525F08"/>
    <w:multiLevelType w:val="hybridMultilevel"/>
    <w:tmpl w:val="EF623B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8AE272B"/>
    <w:multiLevelType w:val="hybridMultilevel"/>
    <w:tmpl w:val="CA7EEF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3364C"/>
    <w:multiLevelType w:val="hybridMultilevel"/>
    <w:tmpl w:val="5CBACA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D6241"/>
    <w:multiLevelType w:val="multilevel"/>
    <w:tmpl w:val="3BAA4868"/>
    <w:lvl w:ilvl="0">
      <w:start w:val="4"/>
      <w:numFmt w:val="decimal"/>
      <w:lvlText w:val="%1"/>
      <w:lvlJc w:val="left"/>
      <w:pPr>
        <w:ind w:left="588" w:hanging="588"/>
      </w:pPr>
      <w:rPr>
        <w:rFonts w:hint="default"/>
        <w:i w:val="0"/>
      </w:rPr>
    </w:lvl>
    <w:lvl w:ilvl="1">
      <w:start w:val="10"/>
      <w:numFmt w:val="decimal"/>
      <w:lvlText w:val="%1.%2"/>
      <w:lvlJc w:val="left"/>
      <w:pPr>
        <w:ind w:left="720" w:hanging="720"/>
      </w:pPr>
      <w:rPr>
        <w:rFonts w:hint="default"/>
        <w:i w:val="0"/>
      </w:rPr>
    </w:lvl>
    <w:lvl w:ilvl="2">
      <w:start w:val="1"/>
      <w:numFmt w:val="decimal"/>
      <w:lvlText w:val="%1.%2.%3"/>
      <w:lvlJc w:val="left"/>
      <w:pPr>
        <w:ind w:left="1080" w:hanging="108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800" w:hanging="1800"/>
      </w:pPr>
      <w:rPr>
        <w:rFonts w:hint="default"/>
        <w:i w:val="0"/>
      </w:rPr>
    </w:lvl>
    <w:lvl w:ilvl="6">
      <w:start w:val="1"/>
      <w:numFmt w:val="decimal"/>
      <w:lvlText w:val="%1.%2.%3.%4.%5.%6.%7"/>
      <w:lvlJc w:val="left"/>
      <w:pPr>
        <w:ind w:left="2160" w:hanging="216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520" w:hanging="2520"/>
      </w:pPr>
      <w:rPr>
        <w:rFonts w:hint="default"/>
        <w:i w:val="0"/>
      </w:rPr>
    </w:lvl>
  </w:abstractNum>
  <w:abstractNum w:abstractNumId="13" w15:restartNumberingAfterBreak="0">
    <w:nsid w:val="447925E3"/>
    <w:multiLevelType w:val="multilevel"/>
    <w:tmpl w:val="17265C0A"/>
    <w:styleLink w:val="ECHABulletlist"/>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911A0E"/>
    <w:multiLevelType w:val="hybridMultilevel"/>
    <w:tmpl w:val="9334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B0CBE"/>
    <w:multiLevelType w:val="hybridMultilevel"/>
    <w:tmpl w:val="B56CA8E8"/>
    <w:lvl w:ilvl="0" w:tplc="46BCF86A">
      <w:start w:val="1"/>
      <w:numFmt w:val="lowerLetter"/>
      <w:lvlText w:val="(%1)"/>
      <w:lvlJc w:val="left"/>
      <w:pPr>
        <w:ind w:left="1664" w:hanging="360"/>
      </w:pPr>
      <w:rPr>
        <w:rFonts w:cs="Times New Roman" w:hint="default"/>
      </w:rPr>
    </w:lvl>
    <w:lvl w:ilvl="1" w:tplc="08090019" w:tentative="1">
      <w:start w:val="1"/>
      <w:numFmt w:val="lowerLetter"/>
      <w:lvlText w:val="%2."/>
      <w:lvlJc w:val="left"/>
      <w:pPr>
        <w:ind w:left="2384" w:hanging="360"/>
      </w:pPr>
      <w:rPr>
        <w:rFonts w:cs="Times New Roman"/>
      </w:rPr>
    </w:lvl>
    <w:lvl w:ilvl="2" w:tplc="0809001B" w:tentative="1">
      <w:start w:val="1"/>
      <w:numFmt w:val="lowerRoman"/>
      <w:lvlText w:val="%3."/>
      <w:lvlJc w:val="right"/>
      <w:pPr>
        <w:ind w:left="3104" w:hanging="180"/>
      </w:pPr>
      <w:rPr>
        <w:rFonts w:cs="Times New Roman"/>
      </w:rPr>
    </w:lvl>
    <w:lvl w:ilvl="3" w:tplc="0809000F" w:tentative="1">
      <w:start w:val="1"/>
      <w:numFmt w:val="decimal"/>
      <w:lvlText w:val="%4."/>
      <w:lvlJc w:val="left"/>
      <w:pPr>
        <w:ind w:left="3824" w:hanging="360"/>
      </w:pPr>
      <w:rPr>
        <w:rFonts w:cs="Times New Roman"/>
      </w:rPr>
    </w:lvl>
    <w:lvl w:ilvl="4" w:tplc="08090019" w:tentative="1">
      <w:start w:val="1"/>
      <w:numFmt w:val="lowerLetter"/>
      <w:lvlText w:val="%5."/>
      <w:lvlJc w:val="left"/>
      <w:pPr>
        <w:ind w:left="4544" w:hanging="360"/>
      </w:pPr>
      <w:rPr>
        <w:rFonts w:cs="Times New Roman"/>
      </w:rPr>
    </w:lvl>
    <w:lvl w:ilvl="5" w:tplc="0809001B" w:tentative="1">
      <w:start w:val="1"/>
      <w:numFmt w:val="lowerRoman"/>
      <w:lvlText w:val="%6."/>
      <w:lvlJc w:val="right"/>
      <w:pPr>
        <w:ind w:left="5264" w:hanging="180"/>
      </w:pPr>
      <w:rPr>
        <w:rFonts w:cs="Times New Roman"/>
      </w:rPr>
    </w:lvl>
    <w:lvl w:ilvl="6" w:tplc="0809000F" w:tentative="1">
      <w:start w:val="1"/>
      <w:numFmt w:val="decimal"/>
      <w:lvlText w:val="%7."/>
      <w:lvlJc w:val="left"/>
      <w:pPr>
        <w:ind w:left="5984" w:hanging="360"/>
      </w:pPr>
      <w:rPr>
        <w:rFonts w:cs="Times New Roman"/>
      </w:rPr>
    </w:lvl>
    <w:lvl w:ilvl="7" w:tplc="08090019" w:tentative="1">
      <w:start w:val="1"/>
      <w:numFmt w:val="lowerLetter"/>
      <w:lvlText w:val="%8."/>
      <w:lvlJc w:val="left"/>
      <w:pPr>
        <w:ind w:left="6704" w:hanging="360"/>
      </w:pPr>
      <w:rPr>
        <w:rFonts w:cs="Times New Roman"/>
      </w:rPr>
    </w:lvl>
    <w:lvl w:ilvl="8" w:tplc="0809001B" w:tentative="1">
      <w:start w:val="1"/>
      <w:numFmt w:val="lowerRoman"/>
      <w:lvlText w:val="%9."/>
      <w:lvlJc w:val="right"/>
      <w:pPr>
        <w:ind w:left="7424" w:hanging="180"/>
      </w:pPr>
      <w:rPr>
        <w:rFonts w:cs="Times New Roman"/>
      </w:rPr>
    </w:lvl>
  </w:abstractNum>
  <w:abstractNum w:abstractNumId="16" w15:restartNumberingAfterBreak="0">
    <w:nsid w:val="469C217B"/>
    <w:multiLevelType w:val="hybridMultilevel"/>
    <w:tmpl w:val="6C4888C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3">
      <w:start w:val="1"/>
      <w:numFmt w:val="bullet"/>
      <w:lvlText w:val="o"/>
      <w:lvlJc w:val="left"/>
      <w:pPr>
        <w:ind w:left="2880" w:hanging="360"/>
      </w:pPr>
      <w:rPr>
        <w:rFonts w:ascii="Courier New" w:hAnsi="Courier New"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A015FEB"/>
    <w:multiLevelType w:val="hybridMultilevel"/>
    <w:tmpl w:val="B03C5B12"/>
    <w:lvl w:ilvl="0" w:tplc="9EC2FF12">
      <w:numFmt w:val="bullet"/>
      <w:lvlText w:val=""/>
      <w:lvlJc w:val="left"/>
      <w:pPr>
        <w:tabs>
          <w:tab w:val="num" w:pos="720"/>
        </w:tabs>
        <w:ind w:left="72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596437"/>
    <w:multiLevelType w:val="hybridMultilevel"/>
    <w:tmpl w:val="155E2266"/>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3">
      <w:start w:val="1"/>
      <w:numFmt w:val="bullet"/>
      <w:lvlText w:val="o"/>
      <w:lvlJc w:val="left"/>
      <w:pPr>
        <w:ind w:left="2880" w:hanging="360"/>
      </w:pPr>
      <w:rPr>
        <w:rFonts w:ascii="Courier New" w:hAnsi="Courier New"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D13098A"/>
    <w:multiLevelType w:val="hybridMultilevel"/>
    <w:tmpl w:val="66B83F02"/>
    <w:lvl w:ilvl="0" w:tplc="3C62EC34">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0A1E25"/>
    <w:multiLevelType w:val="multilevel"/>
    <w:tmpl w:val="48AA0558"/>
    <w:styleLink w:val="ECHANumberlist"/>
    <w:lvl w:ilvl="0">
      <w:start w:val="1"/>
      <w:numFmt w:val="decimal"/>
      <w:lvlText w:val="%1."/>
      <w:lvlJc w:val="left"/>
      <w:pPr>
        <w:tabs>
          <w:tab w:val="num" w:pos="720"/>
        </w:tabs>
        <w:ind w:left="720" w:hanging="360"/>
      </w:pPr>
      <w:rPr>
        <w:rFonts w:ascii="Verdana" w:hAnsi="Verdana" w:cs="Times New Roman"/>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4157233"/>
    <w:multiLevelType w:val="hybridMultilevel"/>
    <w:tmpl w:val="0DCCB9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986E69"/>
    <w:multiLevelType w:val="hybridMultilevel"/>
    <w:tmpl w:val="F4CC00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6BD5819"/>
    <w:multiLevelType w:val="hybridMultilevel"/>
    <w:tmpl w:val="ABB85468"/>
    <w:lvl w:ilvl="0" w:tplc="3C62EC34">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3C62EC34">
      <w:numFmt w:val="bullet"/>
      <w:lvlText w:val="-"/>
      <w:lvlJc w:val="left"/>
      <w:pPr>
        <w:tabs>
          <w:tab w:val="num" w:pos="2160"/>
        </w:tabs>
        <w:ind w:left="2160" w:hanging="360"/>
      </w:pPr>
      <w:rPr>
        <w:rFonts w:ascii="Arial" w:eastAsia="Times New Roman" w:hAnsi="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6B1C48"/>
    <w:multiLevelType w:val="multilevel"/>
    <w:tmpl w:val="771A86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F416B90"/>
    <w:multiLevelType w:val="multilevel"/>
    <w:tmpl w:val="CC1CFA68"/>
    <w:lvl w:ilvl="0">
      <w:start w:val="1"/>
      <w:numFmt w:val="upperRoman"/>
      <w:pStyle w:val="Heading"/>
      <w:lvlText w:val="Annex %1"/>
      <w:lvlJc w:val="left"/>
      <w:pPr>
        <w:tabs>
          <w:tab w:val="num" w:pos="1077"/>
        </w:tabs>
        <w:ind w:left="1077" w:hanging="1077"/>
      </w:pPr>
      <w:rPr>
        <w:rFonts w:ascii="Verdana" w:hAnsi="Verdana" w:cs="Times New Roman" w:hint="default"/>
        <w:b/>
        <w:i w:val="0"/>
        <w:sz w:val="28"/>
      </w:rPr>
    </w:lvl>
    <w:lvl w:ilvl="1">
      <w:start w:val="1"/>
      <w:numFmt w:val="decimal"/>
      <w:lvlText w:val="%1.%2"/>
      <w:lvlJc w:val="left"/>
      <w:pPr>
        <w:tabs>
          <w:tab w:val="num" w:pos="1077"/>
        </w:tabs>
        <w:ind w:left="1077" w:hanging="1077"/>
      </w:pPr>
      <w:rPr>
        <w:rFonts w:ascii="Times New Roman" w:hAnsi="Times New Roman" w:cs="Times New Roman" w:hint="default"/>
        <w:b/>
        <w:i w:val="0"/>
        <w:sz w:val="24"/>
      </w:rPr>
    </w:lvl>
    <w:lvl w:ilvl="2">
      <w:start w:val="1"/>
      <w:numFmt w:val="decimal"/>
      <w:lvlText w:val="%1.%2.%3"/>
      <w:lvlJc w:val="left"/>
      <w:pPr>
        <w:tabs>
          <w:tab w:val="num" w:pos="1077"/>
        </w:tabs>
        <w:ind w:left="1077" w:hanging="1077"/>
      </w:pPr>
      <w:rPr>
        <w:rFonts w:ascii="Times New Roman" w:hAnsi="Times New Roman" w:cs="Times New Roman" w:hint="default"/>
        <w:b/>
        <w:i w:val="0"/>
        <w:sz w:val="24"/>
      </w:rPr>
    </w:lvl>
    <w:lvl w:ilvl="3">
      <w:start w:val="1"/>
      <w:numFmt w:val="decimal"/>
      <w:lvlText w:val="%1.%2.%3.%4"/>
      <w:lvlJc w:val="left"/>
      <w:pPr>
        <w:tabs>
          <w:tab w:val="num" w:pos="1077"/>
        </w:tabs>
        <w:ind w:left="1304" w:hanging="1020"/>
      </w:pPr>
      <w:rPr>
        <w:rFonts w:ascii="Times New Roman" w:hAnsi="Times New Roman" w:cs="Times New Roman" w:hint="default"/>
        <w:b/>
        <w:i w:val="0"/>
        <w:sz w:val="24"/>
      </w:rPr>
    </w:lvl>
    <w:lvl w:ilvl="4">
      <w:start w:val="1"/>
      <w:numFmt w:val="decimal"/>
      <w:lvlText w:val="%1.%2.%3.%4.%5"/>
      <w:lvlJc w:val="left"/>
      <w:pPr>
        <w:tabs>
          <w:tab w:val="num" w:pos="1843"/>
        </w:tabs>
        <w:ind w:left="1843" w:hanging="1843"/>
      </w:pPr>
      <w:rPr>
        <w:rFonts w:ascii="Times New Roman" w:hAnsi="Times New Roman" w:cs="Times New Roman" w:hint="default"/>
        <w:b/>
        <w:i w:val="0"/>
        <w:sz w:val="24"/>
      </w:rPr>
    </w:lvl>
    <w:lvl w:ilvl="5">
      <w:start w:val="1"/>
      <w:numFmt w:val="none"/>
      <w:lvlText w:val="%1.%2.%3.%4.%5.%61."/>
      <w:lvlJc w:val="left"/>
      <w:pPr>
        <w:tabs>
          <w:tab w:val="num" w:pos="1843"/>
        </w:tabs>
        <w:ind w:left="1843" w:hanging="1843"/>
      </w:pPr>
      <w:rPr>
        <w:rFonts w:cs="Times New Roman" w:hint="default"/>
        <w:b/>
        <w:i w:val="0"/>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741C2C3A"/>
    <w:multiLevelType w:val="hybridMultilevel"/>
    <w:tmpl w:val="1282771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BF412DD"/>
    <w:multiLevelType w:val="hybridMultilevel"/>
    <w:tmpl w:val="B48E562A"/>
    <w:lvl w:ilvl="0" w:tplc="3C62EC34">
      <w:numFmt w:val="bullet"/>
      <w:lvlText w:val="-"/>
      <w:lvlJc w:val="left"/>
      <w:pPr>
        <w:tabs>
          <w:tab w:val="num" w:pos="720"/>
        </w:tabs>
        <w:ind w:left="720" w:hanging="360"/>
      </w:pPr>
      <w:rPr>
        <w:rFonts w:ascii="Arial" w:eastAsia="Times New Roman" w:hAnsi="Arial" w:hint="default"/>
      </w:rPr>
    </w:lvl>
    <w:lvl w:ilvl="1" w:tplc="08090001">
      <w:start w:val="1"/>
      <w:numFmt w:val="bullet"/>
      <w:lvlText w:val=""/>
      <w:lvlJc w:val="left"/>
      <w:pPr>
        <w:tabs>
          <w:tab w:val="num" w:pos="1440"/>
        </w:tabs>
        <w:ind w:left="1440" w:hanging="360"/>
      </w:pPr>
      <w:rPr>
        <w:rFonts w:ascii="Symbol" w:hAnsi="Symbol" w:hint="default"/>
      </w:rPr>
    </w:lvl>
    <w:lvl w:ilvl="2" w:tplc="3C62EC34">
      <w:numFmt w:val="bullet"/>
      <w:lvlText w:val="-"/>
      <w:lvlJc w:val="left"/>
      <w:pPr>
        <w:tabs>
          <w:tab w:val="num" w:pos="2160"/>
        </w:tabs>
        <w:ind w:left="2160" w:hanging="360"/>
      </w:pPr>
      <w:rPr>
        <w:rFonts w:ascii="Arial" w:eastAsia="Times New Roman" w:hAnsi="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FA6B4D"/>
    <w:multiLevelType w:val="multilevel"/>
    <w:tmpl w:val="99E6AFE0"/>
    <w:lvl w:ilvl="0">
      <w:start w:val="1"/>
      <w:numFmt w:val="decimal"/>
      <w:pStyle w:val="Heading1"/>
      <w:suff w:val="space"/>
      <w:lvlText w:val="%1."/>
      <w:lvlJc w:val="left"/>
      <w:pPr>
        <w:ind w:left="0" w:firstLine="0"/>
      </w:pPr>
      <w:rPr>
        <w:rFonts w:ascii="Verdana" w:hAnsi="Verdana" w:cs="Times New Roman" w:hint="default"/>
        <w:b/>
        <w:i w:val="0"/>
        <w:color w:val="0046AD"/>
        <w:sz w:val="28"/>
      </w:rPr>
    </w:lvl>
    <w:lvl w:ilvl="1">
      <w:start w:val="1"/>
      <w:numFmt w:val="decimal"/>
      <w:lvlText w:val="%2.1"/>
      <w:lvlJc w:val="left"/>
      <w:pPr>
        <w:tabs>
          <w:tab w:val="num" w:pos="360"/>
        </w:tabs>
        <w:ind w:left="0" w:firstLine="0"/>
      </w:pPr>
      <w:rPr>
        <w:rFonts w:cs="Times New Roman" w:hint="default"/>
      </w:rPr>
    </w:lvl>
    <w:lvl w:ilvl="2">
      <w:numFmt w:val="none"/>
      <w:pStyle w:val="Heading3"/>
      <w:lvlText w:val=""/>
      <w:lvlJc w:val="left"/>
      <w:pPr>
        <w:tabs>
          <w:tab w:val="num" w:pos="360"/>
        </w:tabs>
        <w:ind w:left="0" w:firstLine="0"/>
      </w:pPr>
      <w:rPr>
        <w:rFonts w:cs="Times New Roman" w:hint="default"/>
      </w:rPr>
    </w:lvl>
    <w:lvl w:ilvl="3">
      <w:numFmt w:val="decimal"/>
      <w:pStyle w:val="Heading4"/>
      <w:lvlText w:val=""/>
      <w:lvlJc w:val="left"/>
      <w:pPr>
        <w:ind w:left="0" w:firstLine="0"/>
      </w:pPr>
      <w:rPr>
        <w:rFonts w:cs="Times New Roman" w:hint="default"/>
      </w:rPr>
    </w:lvl>
    <w:lvl w:ilvl="4">
      <w:numFmt w:val="decimal"/>
      <w:pStyle w:val="Heading5"/>
      <w:lvlText w:val=""/>
      <w:lvlJc w:val="left"/>
      <w:pPr>
        <w:ind w:left="0" w:firstLine="0"/>
      </w:pPr>
      <w:rPr>
        <w:rFonts w:cs="Times New Roman" w:hint="default"/>
      </w:rPr>
    </w:lvl>
    <w:lvl w:ilvl="5">
      <w:numFmt w:val="decimal"/>
      <w:pStyle w:val="Heading6"/>
      <w:lvlText w:val=""/>
      <w:lvlJc w:val="left"/>
      <w:pPr>
        <w:ind w:left="0" w:firstLine="0"/>
      </w:pPr>
      <w:rPr>
        <w:rFonts w:cs="Times New Roman" w:hint="default"/>
      </w:rPr>
    </w:lvl>
    <w:lvl w:ilvl="6">
      <w:numFmt w:val="decimal"/>
      <w:pStyle w:val="Heading7"/>
      <w:lvlText w:val=""/>
      <w:lvlJc w:val="left"/>
      <w:pPr>
        <w:ind w:left="0" w:firstLine="0"/>
      </w:pPr>
      <w:rPr>
        <w:rFonts w:cs="Times New Roman" w:hint="default"/>
      </w:rPr>
    </w:lvl>
    <w:lvl w:ilvl="7">
      <w:numFmt w:val="decimal"/>
      <w:pStyle w:val="Heading8"/>
      <w:lvlText w:val=""/>
      <w:lvlJc w:val="left"/>
      <w:pPr>
        <w:ind w:left="0" w:firstLine="0"/>
      </w:pPr>
      <w:rPr>
        <w:rFonts w:cs="Times New Roman" w:hint="default"/>
      </w:rPr>
    </w:lvl>
    <w:lvl w:ilvl="8">
      <w:numFmt w:val="decimal"/>
      <w:pStyle w:val="Heading9"/>
      <w:lvlText w:val=""/>
      <w:lvlJc w:val="left"/>
      <w:pPr>
        <w:ind w:left="0" w:firstLine="0"/>
      </w:pPr>
      <w:rPr>
        <w:rFonts w:cs="Times New Roman" w:hint="default"/>
      </w:rPr>
    </w:lvl>
  </w:abstractNum>
  <w:abstractNum w:abstractNumId="29" w15:restartNumberingAfterBreak="0">
    <w:nsid w:val="7C215CD9"/>
    <w:multiLevelType w:val="hybridMultilevel"/>
    <w:tmpl w:val="747883B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7C871AFA"/>
    <w:multiLevelType w:val="multilevel"/>
    <w:tmpl w:val="250224A4"/>
    <w:lvl w:ilvl="0">
      <w:numFmt w:val="decimal"/>
      <w:pStyle w:val="BulletedList1-usermanu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8"/>
  </w:num>
  <w:num w:numId="2">
    <w:abstractNumId w:val="13"/>
  </w:num>
  <w:num w:numId="3">
    <w:abstractNumId w:val="20"/>
  </w:num>
  <w:num w:numId="4">
    <w:abstractNumId w:val="30"/>
  </w:num>
  <w:num w:numId="5">
    <w:abstractNumId w:val="23"/>
  </w:num>
  <w:num w:numId="6">
    <w:abstractNumId w:val="17"/>
  </w:num>
  <w:num w:numId="7">
    <w:abstractNumId w:val="25"/>
  </w:num>
  <w:num w:numId="8">
    <w:abstractNumId w:val="21"/>
  </w:num>
  <w:num w:numId="9">
    <w:abstractNumId w:val="10"/>
  </w:num>
  <w:num w:numId="10">
    <w:abstractNumId w:val="11"/>
  </w:num>
  <w:num w:numId="11">
    <w:abstractNumId w:val="18"/>
  </w:num>
  <w:num w:numId="12">
    <w:abstractNumId w:val="16"/>
  </w:num>
  <w:num w:numId="13">
    <w:abstractNumId w:val="14"/>
  </w:num>
  <w:num w:numId="14">
    <w:abstractNumId w:val="27"/>
  </w:num>
  <w:num w:numId="15">
    <w:abstractNumId w:val="7"/>
  </w:num>
  <w:num w:numId="16">
    <w:abstractNumId w:val="15"/>
  </w:num>
  <w:num w:numId="17">
    <w:abstractNumId w:val="28"/>
    <w:lvlOverride w:ilvl="0">
      <w:startOverride w:val="7"/>
    </w:lvlOverride>
    <w:lvlOverride w:ilvl="1">
      <w:startOverride w:val="7"/>
    </w:lvlOverride>
    <w:lvlOverride w:ilvl="2"/>
    <w:lvlOverride w:ilvl="3"/>
    <w:lvlOverride w:ilvl="4"/>
    <w:lvlOverride w:ilvl="5"/>
    <w:lvlOverride w:ilvl="6"/>
    <w:lvlOverride w:ilvl="7"/>
    <w:lvlOverride w:ilvl="8"/>
  </w:num>
  <w:num w:numId="18">
    <w:abstractNumId w:val="19"/>
  </w:num>
  <w:num w:numId="19">
    <w:abstractNumId w:val="6"/>
  </w:num>
  <w:num w:numId="20">
    <w:abstractNumId w:val="12"/>
  </w:num>
  <w:num w:numId="21">
    <w:abstractNumId w:val="4"/>
  </w:num>
  <w:num w:numId="22">
    <w:abstractNumId w:val="9"/>
  </w:num>
  <w:num w:numId="23">
    <w:abstractNumId w:val="1"/>
  </w:num>
  <w:num w:numId="24">
    <w:abstractNumId w:val="2"/>
  </w:num>
  <w:num w:numId="25">
    <w:abstractNumId w:val="22"/>
  </w:num>
  <w:num w:numId="26">
    <w:abstractNumId w:val="0"/>
  </w:num>
  <w:num w:numId="27">
    <w:abstractNumId w:val="8"/>
  </w:num>
  <w:num w:numId="28">
    <w:abstractNumId w:val="3"/>
  </w:num>
  <w:num w:numId="29">
    <w:abstractNumId w:val="29"/>
  </w:num>
  <w:num w:numId="30">
    <w:abstractNumId w:val="26"/>
  </w:num>
  <w:num w:numId="31">
    <w:abstractNumId w:val="24"/>
  </w:num>
  <w:num w:numId="32">
    <w:abstractNumId w:val="5"/>
  </w:num>
  <w:num w:numId="33">
    <w:abstractNumId w:val="28"/>
  </w:num>
  <w:num w:numId="34">
    <w:abstractNumId w:val="28"/>
  </w:num>
  <w:num w:numId="3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isplayBackgroundShap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1304"/>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32"/>
    <w:rsid w:val="00000137"/>
    <w:rsid w:val="000011FB"/>
    <w:rsid w:val="0000234D"/>
    <w:rsid w:val="00004D57"/>
    <w:rsid w:val="000051A2"/>
    <w:rsid w:val="0000628B"/>
    <w:rsid w:val="00007F2B"/>
    <w:rsid w:val="00010C9D"/>
    <w:rsid w:val="00011FED"/>
    <w:rsid w:val="00013440"/>
    <w:rsid w:val="000134CC"/>
    <w:rsid w:val="00014B0D"/>
    <w:rsid w:val="00016BEE"/>
    <w:rsid w:val="000173ED"/>
    <w:rsid w:val="00020A21"/>
    <w:rsid w:val="0002406A"/>
    <w:rsid w:val="0002427A"/>
    <w:rsid w:val="00024E93"/>
    <w:rsid w:val="00025C99"/>
    <w:rsid w:val="00026CFF"/>
    <w:rsid w:val="0002715F"/>
    <w:rsid w:val="000276B1"/>
    <w:rsid w:val="0003066E"/>
    <w:rsid w:val="000308EB"/>
    <w:rsid w:val="000322E6"/>
    <w:rsid w:val="0003279A"/>
    <w:rsid w:val="0003344B"/>
    <w:rsid w:val="00033993"/>
    <w:rsid w:val="000366C4"/>
    <w:rsid w:val="000374E6"/>
    <w:rsid w:val="0004212E"/>
    <w:rsid w:val="000423CE"/>
    <w:rsid w:val="0004256D"/>
    <w:rsid w:val="000435B4"/>
    <w:rsid w:val="00043E96"/>
    <w:rsid w:val="00044012"/>
    <w:rsid w:val="00044A20"/>
    <w:rsid w:val="00045A8D"/>
    <w:rsid w:val="00045AD4"/>
    <w:rsid w:val="00045D28"/>
    <w:rsid w:val="000516C0"/>
    <w:rsid w:val="000518E7"/>
    <w:rsid w:val="00051E87"/>
    <w:rsid w:val="000533B1"/>
    <w:rsid w:val="000550DB"/>
    <w:rsid w:val="00055983"/>
    <w:rsid w:val="00055A45"/>
    <w:rsid w:val="000575CF"/>
    <w:rsid w:val="000600C3"/>
    <w:rsid w:val="000610AB"/>
    <w:rsid w:val="00061796"/>
    <w:rsid w:val="00062A33"/>
    <w:rsid w:val="000634C2"/>
    <w:rsid w:val="00064C58"/>
    <w:rsid w:val="00065EBE"/>
    <w:rsid w:val="00071167"/>
    <w:rsid w:val="000721AD"/>
    <w:rsid w:val="0007332F"/>
    <w:rsid w:val="00075E83"/>
    <w:rsid w:val="00075F39"/>
    <w:rsid w:val="000763F7"/>
    <w:rsid w:val="00076478"/>
    <w:rsid w:val="00076778"/>
    <w:rsid w:val="00076B0A"/>
    <w:rsid w:val="00077780"/>
    <w:rsid w:val="000803D3"/>
    <w:rsid w:val="00080EB6"/>
    <w:rsid w:val="000840E2"/>
    <w:rsid w:val="000843FE"/>
    <w:rsid w:val="00086315"/>
    <w:rsid w:val="000902BF"/>
    <w:rsid w:val="00092EED"/>
    <w:rsid w:val="00093F94"/>
    <w:rsid w:val="00093FE6"/>
    <w:rsid w:val="00094D1A"/>
    <w:rsid w:val="00095D35"/>
    <w:rsid w:val="00096110"/>
    <w:rsid w:val="00096A17"/>
    <w:rsid w:val="00096A9A"/>
    <w:rsid w:val="000970A2"/>
    <w:rsid w:val="000A05CE"/>
    <w:rsid w:val="000A07B3"/>
    <w:rsid w:val="000A124E"/>
    <w:rsid w:val="000A192F"/>
    <w:rsid w:val="000A1F9D"/>
    <w:rsid w:val="000A3009"/>
    <w:rsid w:val="000A392D"/>
    <w:rsid w:val="000A3DEB"/>
    <w:rsid w:val="000A4D59"/>
    <w:rsid w:val="000A601C"/>
    <w:rsid w:val="000A775C"/>
    <w:rsid w:val="000B1263"/>
    <w:rsid w:val="000B1F71"/>
    <w:rsid w:val="000B2E04"/>
    <w:rsid w:val="000B3423"/>
    <w:rsid w:val="000B342A"/>
    <w:rsid w:val="000B3A1D"/>
    <w:rsid w:val="000B5BD9"/>
    <w:rsid w:val="000B6BC6"/>
    <w:rsid w:val="000B75D0"/>
    <w:rsid w:val="000B75DA"/>
    <w:rsid w:val="000B7BBE"/>
    <w:rsid w:val="000B7D2E"/>
    <w:rsid w:val="000C1E7C"/>
    <w:rsid w:val="000C389E"/>
    <w:rsid w:val="000C3CB8"/>
    <w:rsid w:val="000C5C7A"/>
    <w:rsid w:val="000C6530"/>
    <w:rsid w:val="000C7D2E"/>
    <w:rsid w:val="000D0078"/>
    <w:rsid w:val="000D10EF"/>
    <w:rsid w:val="000D26BA"/>
    <w:rsid w:val="000D2CDE"/>
    <w:rsid w:val="000E3105"/>
    <w:rsid w:val="000E35B3"/>
    <w:rsid w:val="000E5312"/>
    <w:rsid w:val="000F20D8"/>
    <w:rsid w:val="000F28D2"/>
    <w:rsid w:val="000F2DF2"/>
    <w:rsid w:val="000F3DA5"/>
    <w:rsid w:val="000F41A0"/>
    <w:rsid w:val="000F619F"/>
    <w:rsid w:val="000F7C56"/>
    <w:rsid w:val="00100AB6"/>
    <w:rsid w:val="00101887"/>
    <w:rsid w:val="001030AC"/>
    <w:rsid w:val="0010600C"/>
    <w:rsid w:val="001100D9"/>
    <w:rsid w:val="00112108"/>
    <w:rsid w:val="00112253"/>
    <w:rsid w:val="00113FCA"/>
    <w:rsid w:val="00114399"/>
    <w:rsid w:val="00114628"/>
    <w:rsid w:val="00115C1E"/>
    <w:rsid w:val="0011783E"/>
    <w:rsid w:val="001206E6"/>
    <w:rsid w:val="001215C2"/>
    <w:rsid w:val="00121CD9"/>
    <w:rsid w:val="001223AF"/>
    <w:rsid w:val="00123653"/>
    <w:rsid w:val="00124BA8"/>
    <w:rsid w:val="00127DF0"/>
    <w:rsid w:val="001303DB"/>
    <w:rsid w:val="001340DF"/>
    <w:rsid w:val="00136859"/>
    <w:rsid w:val="001411DD"/>
    <w:rsid w:val="001419E0"/>
    <w:rsid w:val="00141B05"/>
    <w:rsid w:val="0014609D"/>
    <w:rsid w:val="00151560"/>
    <w:rsid w:val="00151FC4"/>
    <w:rsid w:val="001541EF"/>
    <w:rsid w:val="00156D5E"/>
    <w:rsid w:val="00157ADA"/>
    <w:rsid w:val="00157B3D"/>
    <w:rsid w:val="00160086"/>
    <w:rsid w:val="0016016B"/>
    <w:rsid w:val="0016056A"/>
    <w:rsid w:val="0016072C"/>
    <w:rsid w:val="00160C38"/>
    <w:rsid w:val="00160E01"/>
    <w:rsid w:val="00161248"/>
    <w:rsid w:val="00161DF2"/>
    <w:rsid w:val="00162E15"/>
    <w:rsid w:val="0016339A"/>
    <w:rsid w:val="00163684"/>
    <w:rsid w:val="00164CB5"/>
    <w:rsid w:val="00167A6D"/>
    <w:rsid w:val="00167CC0"/>
    <w:rsid w:val="001723D9"/>
    <w:rsid w:val="00172ABA"/>
    <w:rsid w:val="00173012"/>
    <w:rsid w:val="00173976"/>
    <w:rsid w:val="00173D06"/>
    <w:rsid w:val="001763FD"/>
    <w:rsid w:val="00176845"/>
    <w:rsid w:val="00182E5E"/>
    <w:rsid w:val="00187999"/>
    <w:rsid w:val="001908AC"/>
    <w:rsid w:val="00190FD3"/>
    <w:rsid w:val="00191E47"/>
    <w:rsid w:val="00193388"/>
    <w:rsid w:val="001935E8"/>
    <w:rsid w:val="00193A09"/>
    <w:rsid w:val="001955DC"/>
    <w:rsid w:val="00197D96"/>
    <w:rsid w:val="001A05DB"/>
    <w:rsid w:val="001A3B94"/>
    <w:rsid w:val="001A4430"/>
    <w:rsid w:val="001A60CE"/>
    <w:rsid w:val="001A7031"/>
    <w:rsid w:val="001B06FB"/>
    <w:rsid w:val="001B222B"/>
    <w:rsid w:val="001B3789"/>
    <w:rsid w:val="001B439F"/>
    <w:rsid w:val="001C2B0A"/>
    <w:rsid w:val="001C30D9"/>
    <w:rsid w:val="001C3DCB"/>
    <w:rsid w:val="001C7341"/>
    <w:rsid w:val="001C7618"/>
    <w:rsid w:val="001D2D78"/>
    <w:rsid w:val="001D3478"/>
    <w:rsid w:val="001D39B1"/>
    <w:rsid w:val="001D3C6F"/>
    <w:rsid w:val="001D3D5A"/>
    <w:rsid w:val="001D556F"/>
    <w:rsid w:val="001D5C42"/>
    <w:rsid w:val="001D604D"/>
    <w:rsid w:val="001D61B0"/>
    <w:rsid w:val="001D6360"/>
    <w:rsid w:val="001D736D"/>
    <w:rsid w:val="001D7962"/>
    <w:rsid w:val="001D7BB0"/>
    <w:rsid w:val="001E1808"/>
    <w:rsid w:val="001E1AAE"/>
    <w:rsid w:val="001E2D7F"/>
    <w:rsid w:val="001E584C"/>
    <w:rsid w:val="001E639A"/>
    <w:rsid w:val="001F1363"/>
    <w:rsid w:val="001F13EB"/>
    <w:rsid w:val="001F1F11"/>
    <w:rsid w:val="001F2944"/>
    <w:rsid w:val="001F2FA5"/>
    <w:rsid w:val="001F43ED"/>
    <w:rsid w:val="001F53EB"/>
    <w:rsid w:val="001F5783"/>
    <w:rsid w:val="001F76BF"/>
    <w:rsid w:val="00200975"/>
    <w:rsid w:val="00200EA7"/>
    <w:rsid w:val="00204425"/>
    <w:rsid w:val="00205E7E"/>
    <w:rsid w:val="00212038"/>
    <w:rsid w:val="00212524"/>
    <w:rsid w:val="00212A4E"/>
    <w:rsid w:val="0021592A"/>
    <w:rsid w:val="00215ECB"/>
    <w:rsid w:val="002164EE"/>
    <w:rsid w:val="00216CC4"/>
    <w:rsid w:val="00216D78"/>
    <w:rsid w:val="0022402E"/>
    <w:rsid w:val="002243E0"/>
    <w:rsid w:val="00224B99"/>
    <w:rsid w:val="002270D2"/>
    <w:rsid w:val="00227E24"/>
    <w:rsid w:val="00230703"/>
    <w:rsid w:val="00232BB4"/>
    <w:rsid w:val="00232D4A"/>
    <w:rsid w:val="00232DA6"/>
    <w:rsid w:val="00235D87"/>
    <w:rsid w:val="00235F14"/>
    <w:rsid w:val="00236584"/>
    <w:rsid w:val="00236983"/>
    <w:rsid w:val="002375B7"/>
    <w:rsid w:val="0023797E"/>
    <w:rsid w:val="002429A4"/>
    <w:rsid w:val="002438D5"/>
    <w:rsid w:val="00246403"/>
    <w:rsid w:val="00246CDB"/>
    <w:rsid w:val="0024747B"/>
    <w:rsid w:val="002504D8"/>
    <w:rsid w:val="00251960"/>
    <w:rsid w:val="00253B98"/>
    <w:rsid w:val="002549E4"/>
    <w:rsid w:val="0025511B"/>
    <w:rsid w:val="002551BD"/>
    <w:rsid w:val="00255B24"/>
    <w:rsid w:val="00256AC2"/>
    <w:rsid w:val="0025714C"/>
    <w:rsid w:val="002622F2"/>
    <w:rsid w:val="00262493"/>
    <w:rsid w:val="00262AF9"/>
    <w:rsid w:val="00262E79"/>
    <w:rsid w:val="00263AFE"/>
    <w:rsid w:val="00264345"/>
    <w:rsid w:val="0026744B"/>
    <w:rsid w:val="00270DA9"/>
    <w:rsid w:val="00273349"/>
    <w:rsid w:val="002750FE"/>
    <w:rsid w:val="0027585A"/>
    <w:rsid w:val="002770C2"/>
    <w:rsid w:val="002774C8"/>
    <w:rsid w:val="00277BCF"/>
    <w:rsid w:val="00277F71"/>
    <w:rsid w:val="00280AA9"/>
    <w:rsid w:val="0028291E"/>
    <w:rsid w:val="002833BB"/>
    <w:rsid w:val="0028471E"/>
    <w:rsid w:val="0028559C"/>
    <w:rsid w:val="00285968"/>
    <w:rsid w:val="002863B3"/>
    <w:rsid w:val="00290E50"/>
    <w:rsid w:val="00293438"/>
    <w:rsid w:val="00294045"/>
    <w:rsid w:val="00294D99"/>
    <w:rsid w:val="00295E9B"/>
    <w:rsid w:val="002975AC"/>
    <w:rsid w:val="002A08D7"/>
    <w:rsid w:val="002A2076"/>
    <w:rsid w:val="002A3AEE"/>
    <w:rsid w:val="002A61B5"/>
    <w:rsid w:val="002A658A"/>
    <w:rsid w:val="002A77D1"/>
    <w:rsid w:val="002B0361"/>
    <w:rsid w:val="002B0800"/>
    <w:rsid w:val="002B15FD"/>
    <w:rsid w:val="002B1C6C"/>
    <w:rsid w:val="002B3BDB"/>
    <w:rsid w:val="002B3FC0"/>
    <w:rsid w:val="002B58B6"/>
    <w:rsid w:val="002B6230"/>
    <w:rsid w:val="002B7411"/>
    <w:rsid w:val="002C0BBF"/>
    <w:rsid w:val="002C2C03"/>
    <w:rsid w:val="002C475F"/>
    <w:rsid w:val="002C5D9B"/>
    <w:rsid w:val="002C6A7C"/>
    <w:rsid w:val="002C700E"/>
    <w:rsid w:val="002D23F2"/>
    <w:rsid w:val="002D38D2"/>
    <w:rsid w:val="002D3951"/>
    <w:rsid w:val="002D4A61"/>
    <w:rsid w:val="002D5819"/>
    <w:rsid w:val="002D669D"/>
    <w:rsid w:val="002E2095"/>
    <w:rsid w:val="002E36FF"/>
    <w:rsid w:val="002E3BB8"/>
    <w:rsid w:val="002E43DD"/>
    <w:rsid w:val="002E6725"/>
    <w:rsid w:val="002E765F"/>
    <w:rsid w:val="002E785A"/>
    <w:rsid w:val="002F18A1"/>
    <w:rsid w:val="002F255D"/>
    <w:rsid w:val="002F25D9"/>
    <w:rsid w:val="002F2C81"/>
    <w:rsid w:val="002F309C"/>
    <w:rsid w:val="002F50D5"/>
    <w:rsid w:val="002F523C"/>
    <w:rsid w:val="002F560E"/>
    <w:rsid w:val="002F572F"/>
    <w:rsid w:val="00300300"/>
    <w:rsid w:val="003005FF"/>
    <w:rsid w:val="003006F9"/>
    <w:rsid w:val="00302930"/>
    <w:rsid w:val="003044C5"/>
    <w:rsid w:val="003050A1"/>
    <w:rsid w:val="00305644"/>
    <w:rsid w:val="003058AA"/>
    <w:rsid w:val="003059D0"/>
    <w:rsid w:val="00306E7A"/>
    <w:rsid w:val="003122B0"/>
    <w:rsid w:val="00312D0D"/>
    <w:rsid w:val="00313376"/>
    <w:rsid w:val="0031577D"/>
    <w:rsid w:val="00315FEA"/>
    <w:rsid w:val="003160F9"/>
    <w:rsid w:val="00317BA7"/>
    <w:rsid w:val="00317E34"/>
    <w:rsid w:val="00320847"/>
    <w:rsid w:val="00320D25"/>
    <w:rsid w:val="0032120F"/>
    <w:rsid w:val="003215DB"/>
    <w:rsid w:val="00321CD7"/>
    <w:rsid w:val="0032353B"/>
    <w:rsid w:val="00324AFC"/>
    <w:rsid w:val="00324C4F"/>
    <w:rsid w:val="00325F67"/>
    <w:rsid w:val="00326BC8"/>
    <w:rsid w:val="00330875"/>
    <w:rsid w:val="0033254C"/>
    <w:rsid w:val="0033693E"/>
    <w:rsid w:val="00336A1B"/>
    <w:rsid w:val="00336C84"/>
    <w:rsid w:val="003379F8"/>
    <w:rsid w:val="00340728"/>
    <w:rsid w:val="003423BD"/>
    <w:rsid w:val="00342651"/>
    <w:rsid w:val="00342B0F"/>
    <w:rsid w:val="00345B98"/>
    <w:rsid w:val="0034612B"/>
    <w:rsid w:val="00347163"/>
    <w:rsid w:val="00350AEB"/>
    <w:rsid w:val="003512EB"/>
    <w:rsid w:val="00352992"/>
    <w:rsid w:val="003537C9"/>
    <w:rsid w:val="003549FC"/>
    <w:rsid w:val="00355484"/>
    <w:rsid w:val="00356576"/>
    <w:rsid w:val="00356A58"/>
    <w:rsid w:val="003579E3"/>
    <w:rsid w:val="00362536"/>
    <w:rsid w:val="0036263D"/>
    <w:rsid w:val="00362EF1"/>
    <w:rsid w:val="00363105"/>
    <w:rsid w:val="00363646"/>
    <w:rsid w:val="00365013"/>
    <w:rsid w:val="00365C7B"/>
    <w:rsid w:val="003661F8"/>
    <w:rsid w:val="00366EE8"/>
    <w:rsid w:val="00371036"/>
    <w:rsid w:val="00372B89"/>
    <w:rsid w:val="00372CB0"/>
    <w:rsid w:val="00373846"/>
    <w:rsid w:val="003740C1"/>
    <w:rsid w:val="00374A01"/>
    <w:rsid w:val="00376D02"/>
    <w:rsid w:val="00380975"/>
    <w:rsid w:val="00380E39"/>
    <w:rsid w:val="003817A3"/>
    <w:rsid w:val="003819B8"/>
    <w:rsid w:val="0038266E"/>
    <w:rsid w:val="00382B27"/>
    <w:rsid w:val="0038440E"/>
    <w:rsid w:val="00384EB0"/>
    <w:rsid w:val="00385D96"/>
    <w:rsid w:val="003901FF"/>
    <w:rsid w:val="003909BD"/>
    <w:rsid w:val="00390A44"/>
    <w:rsid w:val="00390ED5"/>
    <w:rsid w:val="003925E9"/>
    <w:rsid w:val="00394D29"/>
    <w:rsid w:val="00395238"/>
    <w:rsid w:val="00395CC2"/>
    <w:rsid w:val="00395D7D"/>
    <w:rsid w:val="003A00D9"/>
    <w:rsid w:val="003A0F3C"/>
    <w:rsid w:val="003A22A4"/>
    <w:rsid w:val="003A26AB"/>
    <w:rsid w:val="003A2F50"/>
    <w:rsid w:val="003A3554"/>
    <w:rsid w:val="003A5B5D"/>
    <w:rsid w:val="003A66F2"/>
    <w:rsid w:val="003A71A2"/>
    <w:rsid w:val="003A7F3B"/>
    <w:rsid w:val="003A7FB0"/>
    <w:rsid w:val="003B1B52"/>
    <w:rsid w:val="003B20A9"/>
    <w:rsid w:val="003B26C6"/>
    <w:rsid w:val="003B276D"/>
    <w:rsid w:val="003B305E"/>
    <w:rsid w:val="003B4361"/>
    <w:rsid w:val="003B5115"/>
    <w:rsid w:val="003B5A41"/>
    <w:rsid w:val="003B6C91"/>
    <w:rsid w:val="003B6FD6"/>
    <w:rsid w:val="003B7422"/>
    <w:rsid w:val="003B7B69"/>
    <w:rsid w:val="003C0010"/>
    <w:rsid w:val="003C1CA9"/>
    <w:rsid w:val="003C25B7"/>
    <w:rsid w:val="003C2C56"/>
    <w:rsid w:val="003C419D"/>
    <w:rsid w:val="003C5298"/>
    <w:rsid w:val="003C52AB"/>
    <w:rsid w:val="003C5310"/>
    <w:rsid w:val="003C70C9"/>
    <w:rsid w:val="003D0A5F"/>
    <w:rsid w:val="003D1A35"/>
    <w:rsid w:val="003D2CEA"/>
    <w:rsid w:val="003D36EB"/>
    <w:rsid w:val="003D5772"/>
    <w:rsid w:val="003D7802"/>
    <w:rsid w:val="003D7950"/>
    <w:rsid w:val="003E00E5"/>
    <w:rsid w:val="003E0449"/>
    <w:rsid w:val="003E5107"/>
    <w:rsid w:val="003E7229"/>
    <w:rsid w:val="003E7C02"/>
    <w:rsid w:val="003F16A5"/>
    <w:rsid w:val="003F2F19"/>
    <w:rsid w:val="003F358D"/>
    <w:rsid w:val="003F3D8A"/>
    <w:rsid w:val="003F4EA3"/>
    <w:rsid w:val="003F583B"/>
    <w:rsid w:val="003F73F1"/>
    <w:rsid w:val="0040013B"/>
    <w:rsid w:val="00401A2B"/>
    <w:rsid w:val="0040241E"/>
    <w:rsid w:val="004031F3"/>
    <w:rsid w:val="00403ED6"/>
    <w:rsid w:val="00406C7B"/>
    <w:rsid w:val="00407EC7"/>
    <w:rsid w:val="0041055E"/>
    <w:rsid w:val="0041075B"/>
    <w:rsid w:val="00410EA2"/>
    <w:rsid w:val="004112D9"/>
    <w:rsid w:val="00411636"/>
    <w:rsid w:val="00420ACA"/>
    <w:rsid w:val="00421DF4"/>
    <w:rsid w:val="00421EA9"/>
    <w:rsid w:val="00422057"/>
    <w:rsid w:val="004222C6"/>
    <w:rsid w:val="004230D4"/>
    <w:rsid w:val="00423B44"/>
    <w:rsid w:val="004255E8"/>
    <w:rsid w:val="00426447"/>
    <w:rsid w:val="00431F42"/>
    <w:rsid w:val="004320BB"/>
    <w:rsid w:val="00432307"/>
    <w:rsid w:val="00432D9A"/>
    <w:rsid w:val="00433182"/>
    <w:rsid w:val="004346EA"/>
    <w:rsid w:val="00440171"/>
    <w:rsid w:val="004413AA"/>
    <w:rsid w:val="00443DC9"/>
    <w:rsid w:val="00444889"/>
    <w:rsid w:val="00444B2B"/>
    <w:rsid w:val="00446174"/>
    <w:rsid w:val="004500A2"/>
    <w:rsid w:val="00451129"/>
    <w:rsid w:val="004516B1"/>
    <w:rsid w:val="00453835"/>
    <w:rsid w:val="00453F5D"/>
    <w:rsid w:val="00454075"/>
    <w:rsid w:val="004569E8"/>
    <w:rsid w:val="00456AEB"/>
    <w:rsid w:val="00456B7E"/>
    <w:rsid w:val="00457899"/>
    <w:rsid w:val="00457FAB"/>
    <w:rsid w:val="004607CB"/>
    <w:rsid w:val="00460D31"/>
    <w:rsid w:val="00461EB8"/>
    <w:rsid w:val="004624BD"/>
    <w:rsid w:val="00462718"/>
    <w:rsid w:val="004640D5"/>
    <w:rsid w:val="0046529D"/>
    <w:rsid w:val="004660E9"/>
    <w:rsid w:val="004703C8"/>
    <w:rsid w:val="0047122E"/>
    <w:rsid w:val="00471B4F"/>
    <w:rsid w:val="00473363"/>
    <w:rsid w:val="00473F8A"/>
    <w:rsid w:val="00474002"/>
    <w:rsid w:val="00475193"/>
    <w:rsid w:val="00476106"/>
    <w:rsid w:val="00480C88"/>
    <w:rsid w:val="00481010"/>
    <w:rsid w:val="00482ED6"/>
    <w:rsid w:val="0048562D"/>
    <w:rsid w:val="00485E4B"/>
    <w:rsid w:val="0048631D"/>
    <w:rsid w:val="0048725B"/>
    <w:rsid w:val="004904C2"/>
    <w:rsid w:val="004921F5"/>
    <w:rsid w:val="00494BD9"/>
    <w:rsid w:val="004954E7"/>
    <w:rsid w:val="00496488"/>
    <w:rsid w:val="00496513"/>
    <w:rsid w:val="004968F1"/>
    <w:rsid w:val="004971AC"/>
    <w:rsid w:val="00497825"/>
    <w:rsid w:val="004A35DB"/>
    <w:rsid w:val="004A3DA0"/>
    <w:rsid w:val="004A7767"/>
    <w:rsid w:val="004A7A37"/>
    <w:rsid w:val="004B094F"/>
    <w:rsid w:val="004B1742"/>
    <w:rsid w:val="004B4E9E"/>
    <w:rsid w:val="004B501A"/>
    <w:rsid w:val="004B6CF1"/>
    <w:rsid w:val="004B7333"/>
    <w:rsid w:val="004B77FA"/>
    <w:rsid w:val="004C095C"/>
    <w:rsid w:val="004C1658"/>
    <w:rsid w:val="004C169A"/>
    <w:rsid w:val="004C1BDE"/>
    <w:rsid w:val="004C3C40"/>
    <w:rsid w:val="004C3DE6"/>
    <w:rsid w:val="004C41C9"/>
    <w:rsid w:val="004C4D5B"/>
    <w:rsid w:val="004C6B32"/>
    <w:rsid w:val="004C7600"/>
    <w:rsid w:val="004C7639"/>
    <w:rsid w:val="004D2CFE"/>
    <w:rsid w:val="004D2FB9"/>
    <w:rsid w:val="004D4758"/>
    <w:rsid w:val="004D4A3C"/>
    <w:rsid w:val="004D51BA"/>
    <w:rsid w:val="004D5610"/>
    <w:rsid w:val="004D5CC4"/>
    <w:rsid w:val="004D7BDF"/>
    <w:rsid w:val="004E0725"/>
    <w:rsid w:val="004E18BA"/>
    <w:rsid w:val="004E23DB"/>
    <w:rsid w:val="004E7566"/>
    <w:rsid w:val="004E7D1A"/>
    <w:rsid w:val="004F0C0F"/>
    <w:rsid w:val="004F0EE2"/>
    <w:rsid w:val="004F174D"/>
    <w:rsid w:val="004F4641"/>
    <w:rsid w:val="004F47AE"/>
    <w:rsid w:val="004F56EB"/>
    <w:rsid w:val="004F679E"/>
    <w:rsid w:val="004F68C4"/>
    <w:rsid w:val="004F7A95"/>
    <w:rsid w:val="004F7F75"/>
    <w:rsid w:val="005002B5"/>
    <w:rsid w:val="0050087C"/>
    <w:rsid w:val="00502B69"/>
    <w:rsid w:val="00502FBC"/>
    <w:rsid w:val="00504024"/>
    <w:rsid w:val="00504304"/>
    <w:rsid w:val="00504931"/>
    <w:rsid w:val="005050AF"/>
    <w:rsid w:val="0050559B"/>
    <w:rsid w:val="00506345"/>
    <w:rsid w:val="0050686B"/>
    <w:rsid w:val="00507748"/>
    <w:rsid w:val="005119CB"/>
    <w:rsid w:val="00512044"/>
    <w:rsid w:val="00513404"/>
    <w:rsid w:val="0051383C"/>
    <w:rsid w:val="005151C1"/>
    <w:rsid w:val="00517999"/>
    <w:rsid w:val="005210D0"/>
    <w:rsid w:val="0052131E"/>
    <w:rsid w:val="00521B2E"/>
    <w:rsid w:val="00521DB6"/>
    <w:rsid w:val="00522B90"/>
    <w:rsid w:val="005239C4"/>
    <w:rsid w:val="00525EFA"/>
    <w:rsid w:val="00527BD9"/>
    <w:rsid w:val="00527CF7"/>
    <w:rsid w:val="00527E99"/>
    <w:rsid w:val="0053184F"/>
    <w:rsid w:val="005323BE"/>
    <w:rsid w:val="005327EC"/>
    <w:rsid w:val="00532EEA"/>
    <w:rsid w:val="0054006B"/>
    <w:rsid w:val="00540EB1"/>
    <w:rsid w:val="00541022"/>
    <w:rsid w:val="005414F6"/>
    <w:rsid w:val="00542577"/>
    <w:rsid w:val="00542667"/>
    <w:rsid w:val="00542BD6"/>
    <w:rsid w:val="005433F3"/>
    <w:rsid w:val="0054522D"/>
    <w:rsid w:val="0054665E"/>
    <w:rsid w:val="005503AF"/>
    <w:rsid w:val="005506F8"/>
    <w:rsid w:val="00550964"/>
    <w:rsid w:val="00550A4C"/>
    <w:rsid w:val="00551D67"/>
    <w:rsid w:val="00554DC9"/>
    <w:rsid w:val="00555E72"/>
    <w:rsid w:val="00561CC3"/>
    <w:rsid w:val="00563ABB"/>
    <w:rsid w:val="00563F8E"/>
    <w:rsid w:val="00564B60"/>
    <w:rsid w:val="005654BE"/>
    <w:rsid w:val="0056731F"/>
    <w:rsid w:val="00571547"/>
    <w:rsid w:val="0057188A"/>
    <w:rsid w:val="00574F32"/>
    <w:rsid w:val="00576313"/>
    <w:rsid w:val="00576DC2"/>
    <w:rsid w:val="00577480"/>
    <w:rsid w:val="00577AFB"/>
    <w:rsid w:val="005806A6"/>
    <w:rsid w:val="00581032"/>
    <w:rsid w:val="00581FAB"/>
    <w:rsid w:val="00582121"/>
    <w:rsid w:val="00583AE3"/>
    <w:rsid w:val="005847AA"/>
    <w:rsid w:val="005857D8"/>
    <w:rsid w:val="0058714A"/>
    <w:rsid w:val="0058740F"/>
    <w:rsid w:val="00587775"/>
    <w:rsid w:val="00587EB0"/>
    <w:rsid w:val="00591BCF"/>
    <w:rsid w:val="00594EE1"/>
    <w:rsid w:val="00595534"/>
    <w:rsid w:val="0059573C"/>
    <w:rsid w:val="00595AAA"/>
    <w:rsid w:val="00596066"/>
    <w:rsid w:val="005967EE"/>
    <w:rsid w:val="00597121"/>
    <w:rsid w:val="00597567"/>
    <w:rsid w:val="00597BC0"/>
    <w:rsid w:val="005A01FD"/>
    <w:rsid w:val="005A0902"/>
    <w:rsid w:val="005A1732"/>
    <w:rsid w:val="005A1777"/>
    <w:rsid w:val="005A3EE6"/>
    <w:rsid w:val="005A50C3"/>
    <w:rsid w:val="005A6164"/>
    <w:rsid w:val="005A67C1"/>
    <w:rsid w:val="005A762F"/>
    <w:rsid w:val="005A7ACA"/>
    <w:rsid w:val="005B0315"/>
    <w:rsid w:val="005B1101"/>
    <w:rsid w:val="005B212C"/>
    <w:rsid w:val="005B32BA"/>
    <w:rsid w:val="005B33FE"/>
    <w:rsid w:val="005B35AD"/>
    <w:rsid w:val="005B3665"/>
    <w:rsid w:val="005B6EDC"/>
    <w:rsid w:val="005B7042"/>
    <w:rsid w:val="005B7135"/>
    <w:rsid w:val="005C109C"/>
    <w:rsid w:val="005C2552"/>
    <w:rsid w:val="005C4AA4"/>
    <w:rsid w:val="005C5627"/>
    <w:rsid w:val="005C6D9A"/>
    <w:rsid w:val="005C7059"/>
    <w:rsid w:val="005D06C4"/>
    <w:rsid w:val="005D1BC4"/>
    <w:rsid w:val="005D1D94"/>
    <w:rsid w:val="005D1E25"/>
    <w:rsid w:val="005D74C6"/>
    <w:rsid w:val="005D7FFE"/>
    <w:rsid w:val="005E0C5F"/>
    <w:rsid w:val="005E1F7E"/>
    <w:rsid w:val="005E230A"/>
    <w:rsid w:val="005E37A1"/>
    <w:rsid w:val="005E3E4F"/>
    <w:rsid w:val="005E487C"/>
    <w:rsid w:val="005E6402"/>
    <w:rsid w:val="005E725D"/>
    <w:rsid w:val="005F37A2"/>
    <w:rsid w:val="005F5662"/>
    <w:rsid w:val="005F5F86"/>
    <w:rsid w:val="005F6353"/>
    <w:rsid w:val="005F6757"/>
    <w:rsid w:val="00600F6A"/>
    <w:rsid w:val="006016ED"/>
    <w:rsid w:val="006019A6"/>
    <w:rsid w:val="00601FFA"/>
    <w:rsid w:val="00602707"/>
    <w:rsid w:val="00603A4D"/>
    <w:rsid w:val="00603AE8"/>
    <w:rsid w:val="0061035F"/>
    <w:rsid w:val="006162BB"/>
    <w:rsid w:val="00616445"/>
    <w:rsid w:val="00616A78"/>
    <w:rsid w:val="00616A99"/>
    <w:rsid w:val="00617D84"/>
    <w:rsid w:val="00620C22"/>
    <w:rsid w:val="00621076"/>
    <w:rsid w:val="00621242"/>
    <w:rsid w:val="006215F2"/>
    <w:rsid w:val="00622D6A"/>
    <w:rsid w:val="00626669"/>
    <w:rsid w:val="00633F93"/>
    <w:rsid w:val="006358C1"/>
    <w:rsid w:val="00636F07"/>
    <w:rsid w:val="00637A05"/>
    <w:rsid w:val="00640F56"/>
    <w:rsid w:val="006411E6"/>
    <w:rsid w:val="006479F7"/>
    <w:rsid w:val="00647A13"/>
    <w:rsid w:val="00650002"/>
    <w:rsid w:val="0065139C"/>
    <w:rsid w:val="00651B0A"/>
    <w:rsid w:val="006538DF"/>
    <w:rsid w:val="00653EBA"/>
    <w:rsid w:val="006605D9"/>
    <w:rsid w:val="00660D10"/>
    <w:rsid w:val="00661804"/>
    <w:rsid w:val="0066195B"/>
    <w:rsid w:val="00662BA4"/>
    <w:rsid w:val="006631F9"/>
    <w:rsid w:val="00665935"/>
    <w:rsid w:val="00665BD9"/>
    <w:rsid w:val="00666D4E"/>
    <w:rsid w:val="00667291"/>
    <w:rsid w:val="0067016F"/>
    <w:rsid w:val="00672AA9"/>
    <w:rsid w:val="00673373"/>
    <w:rsid w:val="00673519"/>
    <w:rsid w:val="00673EB3"/>
    <w:rsid w:val="00674099"/>
    <w:rsid w:val="00674754"/>
    <w:rsid w:val="00675339"/>
    <w:rsid w:val="00675F8E"/>
    <w:rsid w:val="00676A0F"/>
    <w:rsid w:val="00677455"/>
    <w:rsid w:val="00680FA5"/>
    <w:rsid w:val="00682AF4"/>
    <w:rsid w:val="00683C15"/>
    <w:rsid w:val="00683CE9"/>
    <w:rsid w:val="00683E2D"/>
    <w:rsid w:val="00684388"/>
    <w:rsid w:val="00690039"/>
    <w:rsid w:val="006918EE"/>
    <w:rsid w:val="00692366"/>
    <w:rsid w:val="00693A60"/>
    <w:rsid w:val="00695449"/>
    <w:rsid w:val="00696FD0"/>
    <w:rsid w:val="006A117B"/>
    <w:rsid w:val="006A18DF"/>
    <w:rsid w:val="006A1B9A"/>
    <w:rsid w:val="006A272E"/>
    <w:rsid w:val="006A2807"/>
    <w:rsid w:val="006A6B69"/>
    <w:rsid w:val="006A6D40"/>
    <w:rsid w:val="006B039A"/>
    <w:rsid w:val="006B12AE"/>
    <w:rsid w:val="006B2075"/>
    <w:rsid w:val="006B29B7"/>
    <w:rsid w:val="006B3601"/>
    <w:rsid w:val="006B3BD3"/>
    <w:rsid w:val="006B4E3C"/>
    <w:rsid w:val="006B55A1"/>
    <w:rsid w:val="006B5A7C"/>
    <w:rsid w:val="006B695A"/>
    <w:rsid w:val="006B7925"/>
    <w:rsid w:val="006C0B15"/>
    <w:rsid w:val="006C1C3F"/>
    <w:rsid w:val="006C3689"/>
    <w:rsid w:val="006C49B8"/>
    <w:rsid w:val="006C6083"/>
    <w:rsid w:val="006C7052"/>
    <w:rsid w:val="006C716B"/>
    <w:rsid w:val="006C7304"/>
    <w:rsid w:val="006C7AB8"/>
    <w:rsid w:val="006D4162"/>
    <w:rsid w:val="006D5031"/>
    <w:rsid w:val="006D5426"/>
    <w:rsid w:val="006D6192"/>
    <w:rsid w:val="006D6700"/>
    <w:rsid w:val="006D6A68"/>
    <w:rsid w:val="006D6B4F"/>
    <w:rsid w:val="006D7EDF"/>
    <w:rsid w:val="006E0787"/>
    <w:rsid w:val="006E2209"/>
    <w:rsid w:val="006E3166"/>
    <w:rsid w:val="006E5206"/>
    <w:rsid w:val="006E529C"/>
    <w:rsid w:val="006E5E60"/>
    <w:rsid w:val="006E6CFE"/>
    <w:rsid w:val="006E735A"/>
    <w:rsid w:val="006F082C"/>
    <w:rsid w:val="006F4B04"/>
    <w:rsid w:val="007002EE"/>
    <w:rsid w:val="00701920"/>
    <w:rsid w:val="00701B88"/>
    <w:rsid w:val="007030F7"/>
    <w:rsid w:val="00703CC7"/>
    <w:rsid w:val="00703D97"/>
    <w:rsid w:val="007046E8"/>
    <w:rsid w:val="00704861"/>
    <w:rsid w:val="00704E05"/>
    <w:rsid w:val="007064AA"/>
    <w:rsid w:val="007068E9"/>
    <w:rsid w:val="0071152C"/>
    <w:rsid w:val="00711DE8"/>
    <w:rsid w:val="00711E84"/>
    <w:rsid w:val="00712492"/>
    <w:rsid w:val="00713C4F"/>
    <w:rsid w:val="00713C73"/>
    <w:rsid w:val="00714842"/>
    <w:rsid w:val="0071507F"/>
    <w:rsid w:val="00715938"/>
    <w:rsid w:val="0071655C"/>
    <w:rsid w:val="00716967"/>
    <w:rsid w:val="007174A6"/>
    <w:rsid w:val="007177B2"/>
    <w:rsid w:val="007201B5"/>
    <w:rsid w:val="007208CE"/>
    <w:rsid w:val="0072531E"/>
    <w:rsid w:val="007269D5"/>
    <w:rsid w:val="00726B71"/>
    <w:rsid w:val="00726C82"/>
    <w:rsid w:val="007300ED"/>
    <w:rsid w:val="007302E2"/>
    <w:rsid w:val="00731667"/>
    <w:rsid w:val="007318D3"/>
    <w:rsid w:val="00732495"/>
    <w:rsid w:val="00732868"/>
    <w:rsid w:val="00734124"/>
    <w:rsid w:val="0073413C"/>
    <w:rsid w:val="0073502B"/>
    <w:rsid w:val="00735584"/>
    <w:rsid w:val="00736691"/>
    <w:rsid w:val="007367AF"/>
    <w:rsid w:val="007368DF"/>
    <w:rsid w:val="007377C6"/>
    <w:rsid w:val="00737B85"/>
    <w:rsid w:val="00737FE1"/>
    <w:rsid w:val="00740510"/>
    <w:rsid w:val="00740C7F"/>
    <w:rsid w:val="00740F2D"/>
    <w:rsid w:val="00742FB6"/>
    <w:rsid w:val="00743430"/>
    <w:rsid w:val="00744591"/>
    <w:rsid w:val="007464DB"/>
    <w:rsid w:val="00747055"/>
    <w:rsid w:val="0074772C"/>
    <w:rsid w:val="0074799F"/>
    <w:rsid w:val="007504F4"/>
    <w:rsid w:val="00750B5D"/>
    <w:rsid w:val="00752947"/>
    <w:rsid w:val="00752B70"/>
    <w:rsid w:val="00760800"/>
    <w:rsid w:val="00760F49"/>
    <w:rsid w:val="00761D70"/>
    <w:rsid w:val="00761FA3"/>
    <w:rsid w:val="00762019"/>
    <w:rsid w:val="00763471"/>
    <w:rsid w:val="00764D1E"/>
    <w:rsid w:val="0076557B"/>
    <w:rsid w:val="00765EDD"/>
    <w:rsid w:val="007668BC"/>
    <w:rsid w:val="00770DA9"/>
    <w:rsid w:val="00770EF8"/>
    <w:rsid w:val="00772EB4"/>
    <w:rsid w:val="00773948"/>
    <w:rsid w:val="00773E1D"/>
    <w:rsid w:val="00775002"/>
    <w:rsid w:val="00775EFA"/>
    <w:rsid w:val="007765E6"/>
    <w:rsid w:val="00776A3F"/>
    <w:rsid w:val="00776E64"/>
    <w:rsid w:val="00780FA6"/>
    <w:rsid w:val="00781976"/>
    <w:rsid w:val="00782B33"/>
    <w:rsid w:val="00782B5E"/>
    <w:rsid w:val="0078439C"/>
    <w:rsid w:val="00784B34"/>
    <w:rsid w:val="00784D95"/>
    <w:rsid w:val="00786085"/>
    <w:rsid w:val="00786186"/>
    <w:rsid w:val="0078633D"/>
    <w:rsid w:val="007874D7"/>
    <w:rsid w:val="00790BC1"/>
    <w:rsid w:val="00791219"/>
    <w:rsid w:val="00792A82"/>
    <w:rsid w:val="00794E68"/>
    <w:rsid w:val="00794E80"/>
    <w:rsid w:val="007973EA"/>
    <w:rsid w:val="007A06FF"/>
    <w:rsid w:val="007A0CD7"/>
    <w:rsid w:val="007A0CFD"/>
    <w:rsid w:val="007A0F80"/>
    <w:rsid w:val="007A25BC"/>
    <w:rsid w:val="007A3303"/>
    <w:rsid w:val="007A3D36"/>
    <w:rsid w:val="007A4CB9"/>
    <w:rsid w:val="007A64CE"/>
    <w:rsid w:val="007A772C"/>
    <w:rsid w:val="007B04E3"/>
    <w:rsid w:val="007B2537"/>
    <w:rsid w:val="007B2E3D"/>
    <w:rsid w:val="007B3F15"/>
    <w:rsid w:val="007B525F"/>
    <w:rsid w:val="007B5979"/>
    <w:rsid w:val="007B7032"/>
    <w:rsid w:val="007C0131"/>
    <w:rsid w:val="007C0A10"/>
    <w:rsid w:val="007C1505"/>
    <w:rsid w:val="007C1673"/>
    <w:rsid w:val="007C2351"/>
    <w:rsid w:val="007C2586"/>
    <w:rsid w:val="007C263B"/>
    <w:rsid w:val="007C3CAD"/>
    <w:rsid w:val="007C63B9"/>
    <w:rsid w:val="007C6AC3"/>
    <w:rsid w:val="007C78BC"/>
    <w:rsid w:val="007C79EF"/>
    <w:rsid w:val="007D00DA"/>
    <w:rsid w:val="007D1140"/>
    <w:rsid w:val="007D1D0B"/>
    <w:rsid w:val="007D1D9C"/>
    <w:rsid w:val="007D1F60"/>
    <w:rsid w:val="007D2165"/>
    <w:rsid w:val="007D2758"/>
    <w:rsid w:val="007D40C4"/>
    <w:rsid w:val="007D69D7"/>
    <w:rsid w:val="007D6EBA"/>
    <w:rsid w:val="007D726B"/>
    <w:rsid w:val="007D76A1"/>
    <w:rsid w:val="007E0896"/>
    <w:rsid w:val="007E2392"/>
    <w:rsid w:val="007E399C"/>
    <w:rsid w:val="007E4663"/>
    <w:rsid w:val="007E5861"/>
    <w:rsid w:val="007E6629"/>
    <w:rsid w:val="007F0F94"/>
    <w:rsid w:val="007F219F"/>
    <w:rsid w:val="007F2A12"/>
    <w:rsid w:val="007F42D7"/>
    <w:rsid w:val="007F5947"/>
    <w:rsid w:val="007F5C84"/>
    <w:rsid w:val="007F6509"/>
    <w:rsid w:val="007F733C"/>
    <w:rsid w:val="007F752B"/>
    <w:rsid w:val="00800499"/>
    <w:rsid w:val="0080138E"/>
    <w:rsid w:val="00802098"/>
    <w:rsid w:val="00802437"/>
    <w:rsid w:val="008036AD"/>
    <w:rsid w:val="00803871"/>
    <w:rsid w:val="00803D3E"/>
    <w:rsid w:val="00805DA0"/>
    <w:rsid w:val="008123A6"/>
    <w:rsid w:val="0081318C"/>
    <w:rsid w:val="008131E5"/>
    <w:rsid w:val="00814088"/>
    <w:rsid w:val="008143E2"/>
    <w:rsid w:val="00814509"/>
    <w:rsid w:val="00815240"/>
    <w:rsid w:val="008160BF"/>
    <w:rsid w:val="008164BF"/>
    <w:rsid w:val="00817292"/>
    <w:rsid w:val="0081788C"/>
    <w:rsid w:val="0082331B"/>
    <w:rsid w:val="00823935"/>
    <w:rsid w:val="00825664"/>
    <w:rsid w:val="00825C5B"/>
    <w:rsid w:val="00825C5C"/>
    <w:rsid w:val="0082735D"/>
    <w:rsid w:val="0083052D"/>
    <w:rsid w:val="008338B5"/>
    <w:rsid w:val="008359A7"/>
    <w:rsid w:val="00835BE1"/>
    <w:rsid w:val="00836021"/>
    <w:rsid w:val="00836815"/>
    <w:rsid w:val="00837732"/>
    <w:rsid w:val="00837FC5"/>
    <w:rsid w:val="008413DE"/>
    <w:rsid w:val="00841AFD"/>
    <w:rsid w:val="00845FF6"/>
    <w:rsid w:val="00846EFA"/>
    <w:rsid w:val="008476D2"/>
    <w:rsid w:val="00847A18"/>
    <w:rsid w:val="0085040F"/>
    <w:rsid w:val="00852117"/>
    <w:rsid w:val="008524A6"/>
    <w:rsid w:val="00853E4F"/>
    <w:rsid w:val="00854EBC"/>
    <w:rsid w:val="00856A02"/>
    <w:rsid w:val="00856D21"/>
    <w:rsid w:val="0085799D"/>
    <w:rsid w:val="00860A30"/>
    <w:rsid w:val="00862846"/>
    <w:rsid w:val="00863774"/>
    <w:rsid w:val="00864F85"/>
    <w:rsid w:val="00866C88"/>
    <w:rsid w:val="00867C01"/>
    <w:rsid w:val="00871ED7"/>
    <w:rsid w:val="00872415"/>
    <w:rsid w:val="00872E18"/>
    <w:rsid w:val="008732EF"/>
    <w:rsid w:val="00875193"/>
    <w:rsid w:val="00876A13"/>
    <w:rsid w:val="00883419"/>
    <w:rsid w:val="00883470"/>
    <w:rsid w:val="00884A1E"/>
    <w:rsid w:val="0089087B"/>
    <w:rsid w:val="00891184"/>
    <w:rsid w:val="0089291E"/>
    <w:rsid w:val="008930FC"/>
    <w:rsid w:val="008962CC"/>
    <w:rsid w:val="00896E8C"/>
    <w:rsid w:val="008A23DA"/>
    <w:rsid w:val="008A350D"/>
    <w:rsid w:val="008A3A1A"/>
    <w:rsid w:val="008A3E90"/>
    <w:rsid w:val="008A4EF7"/>
    <w:rsid w:val="008A4FDB"/>
    <w:rsid w:val="008A5C1E"/>
    <w:rsid w:val="008B00B4"/>
    <w:rsid w:val="008B0F9C"/>
    <w:rsid w:val="008B10C4"/>
    <w:rsid w:val="008B1607"/>
    <w:rsid w:val="008B161C"/>
    <w:rsid w:val="008B1AC8"/>
    <w:rsid w:val="008B3262"/>
    <w:rsid w:val="008B5027"/>
    <w:rsid w:val="008B670C"/>
    <w:rsid w:val="008B7566"/>
    <w:rsid w:val="008C0C97"/>
    <w:rsid w:val="008C17CD"/>
    <w:rsid w:val="008C2E81"/>
    <w:rsid w:val="008C496D"/>
    <w:rsid w:val="008C64FF"/>
    <w:rsid w:val="008C6C74"/>
    <w:rsid w:val="008C6EE6"/>
    <w:rsid w:val="008C6FCC"/>
    <w:rsid w:val="008D0DBB"/>
    <w:rsid w:val="008D15BF"/>
    <w:rsid w:val="008D261F"/>
    <w:rsid w:val="008D29FA"/>
    <w:rsid w:val="008D2A00"/>
    <w:rsid w:val="008D3538"/>
    <w:rsid w:val="008D59DA"/>
    <w:rsid w:val="008D73CB"/>
    <w:rsid w:val="008E0CC6"/>
    <w:rsid w:val="008E3101"/>
    <w:rsid w:val="008E3D11"/>
    <w:rsid w:val="008F0679"/>
    <w:rsid w:val="008F3123"/>
    <w:rsid w:val="008F3ABE"/>
    <w:rsid w:val="008F3F84"/>
    <w:rsid w:val="008F49B1"/>
    <w:rsid w:val="008F59EF"/>
    <w:rsid w:val="008F5CC4"/>
    <w:rsid w:val="008F6463"/>
    <w:rsid w:val="008F6865"/>
    <w:rsid w:val="008F7272"/>
    <w:rsid w:val="008F75CD"/>
    <w:rsid w:val="009013E0"/>
    <w:rsid w:val="009024CD"/>
    <w:rsid w:val="0090297A"/>
    <w:rsid w:val="009054CA"/>
    <w:rsid w:val="00905F38"/>
    <w:rsid w:val="00906A9A"/>
    <w:rsid w:val="00907654"/>
    <w:rsid w:val="009078B5"/>
    <w:rsid w:val="00907B55"/>
    <w:rsid w:val="00907B5F"/>
    <w:rsid w:val="00907EBE"/>
    <w:rsid w:val="00907F94"/>
    <w:rsid w:val="00911138"/>
    <w:rsid w:val="00911E6C"/>
    <w:rsid w:val="00915B7A"/>
    <w:rsid w:val="00917B86"/>
    <w:rsid w:val="0092043B"/>
    <w:rsid w:val="00921129"/>
    <w:rsid w:val="00921D2D"/>
    <w:rsid w:val="009224E4"/>
    <w:rsid w:val="00925387"/>
    <w:rsid w:val="00925A33"/>
    <w:rsid w:val="00930B4F"/>
    <w:rsid w:val="00931037"/>
    <w:rsid w:val="00931099"/>
    <w:rsid w:val="00931AF6"/>
    <w:rsid w:val="00931FC3"/>
    <w:rsid w:val="009320EC"/>
    <w:rsid w:val="00932264"/>
    <w:rsid w:val="00932471"/>
    <w:rsid w:val="00932EE1"/>
    <w:rsid w:val="009334EF"/>
    <w:rsid w:val="00933CBA"/>
    <w:rsid w:val="00933FC6"/>
    <w:rsid w:val="00935F19"/>
    <w:rsid w:val="00936989"/>
    <w:rsid w:val="00936ADF"/>
    <w:rsid w:val="009374E0"/>
    <w:rsid w:val="00937AFB"/>
    <w:rsid w:val="00937D73"/>
    <w:rsid w:val="0094108B"/>
    <w:rsid w:val="00941C1C"/>
    <w:rsid w:val="00942AD7"/>
    <w:rsid w:val="009454D6"/>
    <w:rsid w:val="0094568D"/>
    <w:rsid w:val="00945F44"/>
    <w:rsid w:val="00950343"/>
    <w:rsid w:val="00950F72"/>
    <w:rsid w:val="0095112C"/>
    <w:rsid w:val="00953226"/>
    <w:rsid w:val="00953959"/>
    <w:rsid w:val="00953D94"/>
    <w:rsid w:val="00955922"/>
    <w:rsid w:val="00955DAD"/>
    <w:rsid w:val="00955E6B"/>
    <w:rsid w:val="00957E55"/>
    <w:rsid w:val="00960955"/>
    <w:rsid w:val="00961C4C"/>
    <w:rsid w:val="00966586"/>
    <w:rsid w:val="00970456"/>
    <w:rsid w:val="00971A13"/>
    <w:rsid w:val="00971B09"/>
    <w:rsid w:val="009745EB"/>
    <w:rsid w:val="00975396"/>
    <w:rsid w:val="0097785C"/>
    <w:rsid w:val="00977FC9"/>
    <w:rsid w:val="009812B3"/>
    <w:rsid w:val="00982C8A"/>
    <w:rsid w:val="0098334D"/>
    <w:rsid w:val="00983612"/>
    <w:rsid w:val="00983B98"/>
    <w:rsid w:val="00983CAA"/>
    <w:rsid w:val="009849AE"/>
    <w:rsid w:val="00985039"/>
    <w:rsid w:val="00987317"/>
    <w:rsid w:val="009907F6"/>
    <w:rsid w:val="0099242B"/>
    <w:rsid w:val="009973D5"/>
    <w:rsid w:val="009974D8"/>
    <w:rsid w:val="009A0757"/>
    <w:rsid w:val="009A4BC5"/>
    <w:rsid w:val="009A4C54"/>
    <w:rsid w:val="009A5369"/>
    <w:rsid w:val="009A71F5"/>
    <w:rsid w:val="009A71F6"/>
    <w:rsid w:val="009A7474"/>
    <w:rsid w:val="009A782A"/>
    <w:rsid w:val="009B03B5"/>
    <w:rsid w:val="009B0A0D"/>
    <w:rsid w:val="009B1673"/>
    <w:rsid w:val="009B2102"/>
    <w:rsid w:val="009B2360"/>
    <w:rsid w:val="009B49E1"/>
    <w:rsid w:val="009B5109"/>
    <w:rsid w:val="009B77E9"/>
    <w:rsid w:val="009B7927"/>
    <w:rsid w:val="009C000A"/>
    <w:rsid w:val="009C04D8"/>
    <w:rsid w:val="009C0556"/>
    <w:rsid w:val="009C4BF4"/>
    <w:rsid w:val="009C5CF2"/>
    <w:rsid w:val="009C5D63"/>
    <w:rsid w:val="009C7751"/>
    <w:rsid w:val="009C7AE8"/>
    <w:rsid w:val="009D00AA"/>
    <w:rsid w:val="009D0229"/>
    <w:rsid w:val="009D04E5"/>
    <w:rsid w:val="009D1C1E"/>
    <w:rsid w:val="009D1CCE"/>
    <w:rsid w:val="009D2030"/>
    <w:rsid w:val="009D344A"/>
    <w:rsid w:val="009D3BC1"/>
    <w:rsid w:val="009D4EA2"/>
    <w:rsid w:val="009D5D11"/>
    <w:rsid w:val="009D5EC6"/>
    <w:rsid w:val="009D6DA2"/>
    <w:rsid w:val="009E0108"/>
    <w:rsid w:val="009E0412"/>
    <w:rsid w:val="009E3EE0"/>
    <w:rsid w:val="009E6BE7"/>
    <w:rsid w:val="009F20EF"/>
    <w:rsid w:val="009F2950"/>
    <w:rsid w:val="009F3F8A"/>
    <w:rsid w:val="009F572D"/>
    <w:rsid w:val="009F65E6"/>
    <w:rsid w:val="009F6C6B"/>
    <w:rsid w:val="00A001BD"/>
    <w:rsid w:val="00A00ADF"/>
    <w:rsid w:val="00A00D99"/>
    <w:rsid w:val="00A03956"/>
    <w:rsid w:val="00A047BA"/>
    <w:rsid w:val="00A049EB"/>
    <w:rsid w:val="00A05A55"/>
    <w:rsid w:val="00A06D2F"/>
    <w:rsid w:val="00A106EB"/>
    <w:rsid w:val="00A10E01"/>
    <w:rsid w:val="00A13E2B"/>
    <w:rsid w:val="00A144F8"/>
    <w:rsid w:val="00A15397"/>
    <w:rsid w:val="00A15742"/>
    <w:rsid w:val="00A15D4F"/>
    <w:rsid w:val="00A172E7"/>
    <w:rsid w:val="00A206CF"/>
    <w:rsid w:val="00A20D5B"/>
    <w:rsid w:val="00A22024"/>
    <w:rsid w:val="00A22761"/>
    <w:rsid w:val="00A2339D"/>
    <w:rsid w:val="00A2385D"/>
    <w:rsid w:val="00A2775F"/>
    <w:rsid w:val="00A314D0"/>
    <w:rsid w:val="00A324ED"/>
    <w:rsid w:val="00A32CAD"/>
    <w:rsid w:val="00A354DB"/>
    <w:rsid w:val="00A35A9F"/>
    <w:rsid w:val="00A36C5F"/>
    <w:rsid w:val="00A36E3E"/>
    <w:rsid w:val="00A37786"/>
    <w:rsid w:val="00A4058C"/>
    <w:rsid w:val="00A4060F"/>
    <w:rsid w:val="00A41430"/>
    <w:rsid w:val="00A4233D"/>
    <w:rsid w:val="00A43267"/>
    <w:rsid w:val="00A45FF1"/>
    <w:rsid w:val="00A4696A"/>
    <w:rsid w:val="00A51E4C"/>
    <w:rsid w:val="00A525D1"/>
    <w:rsid w:val="00A527CF"/>
    <w:rsid w:val="00A54478"/>
    <w:rsid w:val="00A5496E"/>
    <w:rsid w:val="00A54DF0"/>
    <w:rsid w:val="00A55E0F"/>
    <w:rsid w:val="00A5627E"/>
    <w:rsid w:val="00A5668B"/>
    <w:rsid w:val="00A6182C"/>
    <w:rsid w:val="00A6275A"/>
    <w:rsid w:val="00A62AE2"/>
    <w:rsid w:val="00A642E5"/>
    <w:rsid w:val="00A64D1F"/>
    <w:rsid w:val="00A64D56"/>
    <w:rsid w:val="00A7009C"/>
    <w:rsid w:val="00A74769"/>
    <w:rsid w:val="00A77084"/>
    <w:rsid w:val="00A770AD"/>
    <w:rsid w:val="00A77701"/>
    <w:rsid w:val="00A77D07"/>
    <w:rsid w:val="00A808C8"/>
    <w:rsid w:val="00A8338C"/>
    <w:rsid w:val="00A90E19"/>
    <w:rsid w:val="00A91D4F"/>
    <w:rsid w:val="00A92D19"/>
    <w:rsid w:val="00A93284"/>
    <w:rsid w:val="00A954AE"/>
    <w:rsid w:val="00A95893"/>
    <w:rsid w:val="00AA00A2"/>
    <w:rsid w:val="00AA1BF2"/>
    <w:rsid w:val="00AA1ED1"/>
    <w:rsid w:val="00AA219A"/>
    <w:rsid w:val="00AA259D"/>
    <w:rsid w:val="00AA38A5"/>
    <w:rsid w:val="00AA4055"/>
    <w:rsid w:val="00AA5255"/>
    <w:rsid w:val="00AA67ED"/>
    <w:rsid w:val="00AB1697"/>
    <w:rsid w:val="00AB2133"/>
    <w:rsid w:val="00AB2CE7"/>
    <w:rsid w:val="00AB6B40"/>
    <w:rsid w:val="00AB770D"/>
    <w:rsid w:val="00AB77F6"/>
    <w:rsid w:val="00AB7BE5"/>
    <w:rsid w:val="00AC092B"/>
    <w:rsid w:val="00AC2CA3"/>
    <w:rsid w:val="00AC30A5"/>
    <w:rsid w:val="00AC36C5"/>
    <w:rsid w:val="00AC69CA"/>
    <w:rsid w:val="00AC733E"/>
    <w:rsid w:val="00AD01C5"/>
    <w:rsid w:val="00AD370B"/>
    <w:rsid w:val="00AD4322"/>
    <w:rsid w:val="00AD4ECA"/>
    <w:rsid w:val="00AE0DED"/>
    <w:rsid w:val="00AE704C"/>
    <w:rsid w:val="00AF02E0"/>
    <w:rsid w:val="00AF09C4"/>
    <w:rsid w:val="00AF46B4"/>
    <w:rsid w:val="00AF4E06"/>
    <w:rsid w:val="00AF4EBA"/>
    <w:rsid w:val="00AF4F79"/>
    <w:rsid w:val="00AF50AA"/>
    <w:rsid w:val="00AF5A0C"/>
    <w:rsid w:val="00AF7273"/>
    <w:rsid w:val="00AF7C93"/>
    <w:rsid w:val="00B00613"/>
    <w:rsid w:val="00B00799"/>
    <w:rsid w:val="00B00D2F"/>
    <w:rsid w:val="00B016BA"/>
    <w:rsid w:val="00B02C78"/>
    <w:rsid w:val="00B04C12"/>
    <w:rsid w:val="00B05510"/>
    <w:rsid w:val="00B064EB"/>
    <w:rsid w:val="00B06688"/>
    <w:rsid w:val="00B07452"/>
    <w:rsid w:val="00B10373"/>
    <w:rsid w:val="00B110D7"/>
    <w:rsid w:val="00B12610"/>
    <w:rsid w:val="00B12C39"/>
    <w:rsid w:val="00B133A9"/>
    <w:rsid w:val="00B13ACE"/>
    <w:rsid w:val="00B144CE"/>
    <w:rsid w:val="00B159B6"/>
    <w:rsid w:val="00B172F0"/>
    <w:rsid w:val="00B21D38"/>
    <w:rsid w:val="00B2300D"/>
    <w:rsid w:val="00B2365C"/>
    <w:rsid w:val="00B25391"/>
    <w:rsid w:val="00B25952"/>
    <w:rsid w:val="00B26295"/>
    <w:rsid w:val="00B278E2"/>
    <w:rsid w:val="00B3084C"/>
    <w:rsid w:val="00B322A4"/>
    <w:rsid w:val="00B3332D"/>
    <w:rsid w:val="00B34B3D"/>
    <w:rsid w:val="00B34B7F"/>
    <w:rsid w:val="00B35B48"/>
    <w:rsid w:val="00B36E57"/>
    <w:rsid w:val="00B40606"/>
    <w:rsid w:val="00B467B2"/>
    <w:rsid w:val="00B468C9"/>
    <w:rsid w:val="00B47866"/>
    <w:rsid w:val="00B52577"/>
    <w:rsid w:val="00B54C3A"/>
    <w:rsid w:val="00B5561F"/>
    <w:rsid w:val="00B61257"/>
    <w:rsid w:val="00B62285"/>
    <w:rsid w:val="00B62893"/>
    <w:rsid w:val="00B6376F"/>
    <w:rsid w:val="00B63C35"/>
    <w:rsid w:val="00B65EC1"/>
    <w:rsid w:val="00B664C2"/>
    <w:rsid w:val="00B67213"/>
    <w:rsid w:val="00B67A4D"/>
    <w:rsid w:val="00B711C8"/>
    <w:rsid w:val="00B71EAA"/>
    <w:rsid w:val="00B747ED"/>
    <w:rsid w:val="00B74F3F"/>
    <w:rsid w:val="00B76533"/>
    <w:rsid w:val="00B76614"/>
    <w:rsid w:val="00B769E5"/>
    <w:rsid w:val="00B77C8C"/>
    <w:rsid w:val="00B80E7F"/>
    <w:rsid w:val="00B81B05"/>
    <w:rsid w:val="00B8216D"/>
    <w:rsid w:val="00B83AAE"/>
    <w:rsid w:val="00B84600"/>
    <w:rsid w:val="00B85145"/>
    <w:rsid w:val="00B853E6"/>
    <w:rsid w:val="00B85BE6"/>
    <w:rsid w:val="00B85CE8"/>
    <w:rsid w:val="00B87534"/>
    <w:rsid w:val="00B87A94"/>
    <w:rsid w:val="00B90D3E"/>
    <w:rsid w:val="00B90D86"/>
    <w:rsid w:val="00B9223F"/>
    <w:rsid w:val="00B93989"/>
    <w:rsid w:val="00B93DD0"/>
    <w:rsid w:val="00B96DDE"/>
    <w:rsid w:val="00B96E48"/>
    <w:rsid w:val="00BA0338"/>
    <w:rsid w:val="00BA03FB"/>
    <w:rsid w:val="00BA0E34"/>
    <w:rsid w:val="00BA14DE"/>
    <w:rsid w:val="00BA212C"/>
    <w:rsid w:val="00BA476E"/>
    <w:rsid w:val="00BA53A3"/>
    <w:rsid w:val="00BA62DD"/>
    <w:rsid w:val="00BA6382"/>
    <w:rsid w:val="00BA6E5E"/>
    <w:rsid w:val="00BA7AC6"/>
    <w:rsid w:val="00BB0C44"/>
    <w:rsid w:val="00BB4037"/>
    <w:rsid w:val="00BB50C6"/>
    <w:rsid w:val="00BB5B33"/>
    <w:rsid w:val="00BB5D2F"/>
    <w:rsid w:val="00BB5DA6"/>
    <w:rsid w:val="00BB6734"/>
    <w:rsid w:val="00BB68D1"/>
    <w:rsid w:val="00BB6DC1"/>
    <w:rsid w:val="00BB7BE9"/>
    <w:rsid w:val="00BC010D"/>
    <w:rsid w:val="00BC0999"/>
    <w:rsid w:val="00BC1D62"/>
    <w:rsid w:val="00BC39B9"/>
    <w:rsid w:val="00BC3B38"/>
    <w:rsid w:val="00BC76A0"/>
    <w:rsid w:val="00BD1805"/>
    <w:rsid w:val="00BD1CE6"/>
    <w:rsid w:val="00BD1FE8"/>
    <w:rsid w:val="00BD2574"/>
    <w:rsid w:val="00BD2C2B"/>
    <w:rsid w:val="00BD5963"/>
    <w:rsid w:val="00BD76B7"/>
    <w:rsid w:val="00BE0CE0"/>
    <w:rsid w:val="00BE1F28"/>
    <w:rsid w:val="00BE2340"/>
    <w:rsid w:val="00BE265E"/>
    <w:rsid w:val="00BE6A53"/>
    <w:rsid w:val="00BE7FC6"/>
    <w:rsid w:val="00BF58B5"/>
    <w:rsid w:val="00BF69ED"/>
    <w:rsid w:val="00BF78CF"/>
    <w:rsid w:val="00C048F7"/>
    <w:rsid w:val="00C061FC"/>
    <w:rsid w:val="00C0658C"/>
    <w:rsid w:val="00C06FDE"/>
    <w:rsid w:val="00C07CEF"/>
    <w:rsid w:val="00C10B8A"/>
    <w:rsid w:val="00C117A7"/>
    <w:rsid w:val="00C11E53"/>
    <w:rsid w:val="00C12A0F"/>
    <w:rsid w:val="00C160E6"/>
    <w:rsid w:val="00C16200"/>
    <w:rsid w:val="00C164AB"/>
    <w:rsid w:val="00C168CB"/>
    <w:rsid w:val="00C16D6F"/>
    <w:rsid w:val="00C173D9"/>
    <w:rsid w:val="00C17668"/>
    <w:rsid w:val="00C17B13"/>
    <w:rsid w:val="00C201C3"/>
    <w:rsid w:val="00C2045C"/>
    <w:rsid w:val="00C211E6"/>
    <w:rsid w:val="00C22AD3"/>
    <w:rsid w:val="00C25289"/>
    <w:rsid w:val="00C26FF3"/>
    <w:rsid w:val="00C308C7"/>
    <w:rsid w:val="00C30F4C"/>
    <w:rsid w:val="00C321ED"/>
    <w:rsid w:val="00C325D7"/>
    <w:rsid w:val="00C32777"/>
    <w:rsid w:val="00C3352B"/>
    <w:rsid w:val="00C33901"/>
    <w:rsid w:val="00C34C07"/>
    <w:rsid w:val="00C4134F"/>
    <w:rsid w:val="00C4183A"/>
    <w:rsid w:val="00C42A79"/>
    <w:rsid w:val="00C42D6A"/>
    <w:rsid w:val="00C42F65"/>
    <w:rsid w:val="00C431FF"/>
    <w:rsid w:val="00C438A4"/>
    <w:rsid w:val="00C4479C"/>
    <w:rsid w:val="00C44AFF"/>
    <w:rsid w:val="00C51977"/>
    <w:rsid w:val="00C51D55"/>
    <w:rsid w:val="00C5246D"/>
    <w:rsid w:val="00C5614F"/>
    <w:rsid w:val="00C5652B"/>
    <w:rsid w:val="00C5660E"/>
    <w:rsid w:val="00C57200"/>
    <w:rsid w:val="00C57AD9"/>
    <w:rsid w:val="00C609A1"/>
    <w:rsid w:val="00C61174"/>
    <w:rsid w:val="00C61FA6"/>
    <w:rsid w:val="00C642E4"/>
    <w:rsid w:val="00C65B64"/>
    <w:rsid w:val="00C67A9B"/>
    <w:rsid w:val="00C7072D"/>
    <w:rsid w:val="00C7124D"/>
    <w:rsid w:val="00C713B0"/>
    <w:rsid w:val="00C741DB"/>
    <w:rsid w:val="00C748EF"/>
    <w:rsid w:val="00C7578F"/>
    <w:rsid w:val="00C7691B"/>
    <w:rsid w:val="00C77E99"/>
    <w:rsid w:val="00C80117"/>
    <w:rsid w:val="00C80990"/>
    <w:rsid w:val="00C81A21"/>
    <w:rsid w:val="00C81C2F"/>
    <w:rsid w:val="00C821B5"/>
    <w:rsid w:val="00C83629"/>
    <w:rsid w:val="00C85225"/>
    <w:rsid w:val="00C85A85"/>
    <w:rsid w:val="00C860C0"/>
    <w:rsid w:val="00C8727E"/>
    <w:rsid w:val="00C904DC"/>
    <w:rsid w:val="00C919B0"/>
    <w:rsid w:val="00C93F58"/>
    <w:rsid w:val="00C94560"/>
    <w:rsid w:val="00C945FA"/>
    <w:rsid w:val="00C94F15"/>
    <w:rsid w:val="00C952E7"/>
    <w:rsid w:val="00C9565C"/>
    <w:rsid w:val="00C96CC9"/>
    <w:rsid w:val="00C9750E"/>
    <w:rsid w:val="00CA049E"/>
    <w:rsid w:val="00CA36B0"/>
    <w:rsid w:val="00CA3C66"/>
    <w:rsid w:val="00CA420F"/>
    <w:rsid w:val="00CA4847"/>
    <w:rsid w:val="00CA4884"/>
    <w:rsid w:val="00CA4F43"/>
    <w:rsid w:val="00CA6F26"/>
    <w:rsid w:val="00CB1F4E"/>
    <w:rsid w:val="00CB1F8E"/>
    <w:rsid w:val="00CB25EC"/>
    <w:rsid w:val="00CB30B5"/>
    <w:rsid w:val="00CB47B3"/>
    <w:rsid w:val="00CB77D8"/>
    <w:rsid w:val="00CC2632"/>
    <w:rsid w:val="00CC3E3B"/>
    <w:rsid w:val="00CC4B6E"/>
    <w:rsid w:val="00CC53BB"/>
    <w:rsid w:val="00CC594F"/>
    <w:rsid w:val="00CC605E"/>
    <w:rsid w:val="00CD0831"/>
    <w:rsid w:val="00CD08A8"/>
    <w:rsid w:val="00CD171B"/>
    <w:rsid w:val="00CD1D37"/>
    <w:rsid w:val="00CD2095"/>
    <w:rsid w:val="00CD22FC"/>
    <w:rsid w:val="00CD245C"/>
    <w:rsid w:val="00CD2F3D"/>
    <w:rsid w:val="00CD5A6A"/>
    <w:rsid w:val="00CD6F1C"/>
    <w:rsid w:val="00CE1453"/>
    <w:rsid w:val="00CE17C9"/>
    <w:rsid w:val="00CE228A"/>
    <w:rsid w:val="00CE2A6F"/>
    <w:rsid w:val="00CE498A"/>
    <w:rsid w:val="00CE4DE5"/>
    <w:rsid w:val="00CE5280"/>
    <w:rsid w:val="00CE5695"/>
    <w:rsid w:val="00CE6304"/>
    <w:rsid w:val="00CE6A0C"/>
    <w:rsid w:val="00CF0027"/>
    <w:rsid w:val="00CF16D1"/>
    <w:rsid w:val="00CF1E26"/>
    <w:rsid w:val="00CF3C77"/>
    <w:rsid w:val="00CF51E0"/>
    <w:rsid w:val="00CF5EF3"/>
    <w:rsid w:val="00CF6F1B"/>
    <w:rsid w:val="00CF74E6"/>
    <w:rsid w:val="00D006CE"/>
    <w:rsid w:val="00D01A33"/>
    <w:rsid w:val="00D0397F"/>
    <w:rsid w:val="00D0549E"/>
    <w:rsid w:val="00D07A50"/>
    <w:rsid w:val="00D10FA8"/>
    <w:rsid w:val="00D123E2"/>
    <w:rsid w:val="00D12439"/>
    <w:rsid w:val="00D12A15"/>
    <w:rsid w:val="00D1390C"/>
    <w:rsid w:val="00D14C74"/>
    <w:rsid w:val="00D1733E"/>
    <w:rsid w:val="00D21FF5"/>
    <w:rsid w:val="00D22437"/>
    <w:rsid w:val="00D242EB"/>
    <w:rsid w:val="00D2442B"/>
    <w:rsid w:val="00D245A8"/>
    <w:rsid w:val="00D27B3C"/>
    <w:rsid w:val="00D3264A"/>
    <w:rsid w:val="00D327B3"/>
    <w:rsid w:val="00D329AE"/>
    <w:rsid w:val="00D33DC2"/>
    <w:rsid w:val="00D40C17"/>
    <w:rsid w:val="00D41CDA"/>
    <w:rsid w:val="00D428AB"/>
    <w:rsid w:val="00D42D97"/>
    <w:rsid w:val="00D469DE"/>
    <w:rsid w:val="00D46A51"/>
    <w:rsid w:val="00D52365"/>
    <w:rsid w:val="00D54361"/>
    <w:rsid w:val="00D55CB7"/>
    <w:rsid w:val="00D55DF1"/>
    <w:rsid w:val="00D56183"/>
    <w:rsid w:val="00D60710"/>
    <w:rsid w:val="00D639F5"/>
    <w:rsid w:val="00D64438"/>
    <w:rsid w:val="00D644CD"/>
    <w:rsid w:val="00D65850"/>
    <w:rsid w:val="00D65F6D"/>
    <w:rsid w:val="00D67DBA"/>
    <w:rsid w:val="00D70F5E"/>
    <w:rsid w:val="00D721C0"/>
    <w:rsid w:val="00D729DD"/>
    <w:rsid w:val="00D749E4"/>
    <w:rsid w:val="00D7760D"/>
    <w:rsid w:val="00D83654"/>
    <w:rsid w:val="00D84241"/>
    <w:rsid w:val="00D8533B"/>
    <w:rsid w:val="00D8557A"/>
    <w:rsid w:val="00D85ACA"/>
    <w:rsid w:val="00D93146"/>
    <w:rsid w:val="00D93796"/>
    <w:rsid w:val="00D93E54"/>
    <w:rsid w:val="00D965F0"/>
    <w:rsid w:val="00D97D1B"/>
    <w:rsid w:val="00DA2728"/>
    <w:rsid w:val="00DA339B"/>
    <w:rsid w:val="00DA3B32"/>
    <w:rsid w:val="00DA4E33"/>
    <w:rsid w:val="00DA4EC5"/>
    <w:rsid w:val="00DA5683"/>
    <w:rsid w:val="00DA676C"/>
    <w:rsid w:val="00DA7DC2"/>
    <w:rsid w:val="00DB37F4"/>
    <w:rsid w:val="00DC0175"/>
    <w:rsid w:val="00DC09F0"/>
    <w:rsid w:val="00DC0C67"/>
    <w:rsid w:val="00DC4079"/>
    <w:rsid w:val="00DC47F5"/>
    <w:rsid w:val="00DC4926"/>
    <w:rsid w:val="00DC4FA4"/>
    <w:rsid w:val="00DC5E29"/>
    <w:rsid w:val="00DD0890"/>
    <w:rsid w:val="00DD103F"/>
    <w:rsid w:val="00DD1227"/>
    <w:rsid w:val="00DD20B5"/>
    <w:rsid w:val="00DD3552"/>
    <w:rsid w:val="00DD36C7"/>
    <w:rsid w:val="00DD38E0"/>
    <w:rsid w:val="00DD55CE"/>
    <w:rsid w:val="00DD6AB2"/>
    <w:rsid w:val="00DD7C80"/>
    <w:rsid w:val="00DE1DFA"/>
    <w:rsid w:val="00DE35FF"/>
    <w:rsid w:val="00DE439C"/>
    <w:rsid w:val="00DE5A6F"/>
    <w:rsid w:val="00DE71E3"/>
    <w:rsid w:val="00DF2B2D"/>
    <w:rsid w:val="00DF2F3D"/>
    <w:rsid w:val="00DF3DF3"/>
    <w:rsid w:val="00DF47C9"/>
    <w:rsid w:val="00DF702F"/>
    <w:rsid w:val="00DF76D5"/>
    <w:rsid w:val="00E0275B"/>
    <w:rsid w:val="00E03719"/>
    <w:rsid w:val="00E04389"/>
    <w:rsid w:val="00E06677"/>
    <w:rsid w:val="00E071E4"/>
    <w:rsid w:val="00E10027"/>
    <w:rsid w:val="00E1054E"/>
    <w:rsid w:val="00E105D5"/>
    <w:rsid w:val="00E10A39"/>
    <w:rsid w:val="00E13563"/>
    <w:rsid w:val="00E16918"/>
    <w:rsid w:val="00E20137"/>
    <w:rsid w:val="00E23825"/>
    <w:rsid w:val="00E24A49"/>
    <w:rsid w:val="00E24DE6"/>
    <w:rsid w:val="00E26626"/>
    <w:rsid w:val="00E26FE8"/>
    <w:rsid w:val="00E30B3C"/>
    <w:rsid w:val="00E30F69"/>
    <w:rsid w:val="00E32AA0"/>
    <w:rsid w:val="00E347AB"/>
    <w:rsid w:val="00E34C28"/>
    <w:rsid w:val="00E351CE"/>
    <w:rsid w:val="00E353BD"/>
    <w:rsid w:val="00E36000"/>
    <w:rsid w:val="00E37767"/>
    <w:rsid w:val="00E3793E"/>
    <w:rsid w:val="00E400C9"/>
    <w:rsid w:val="00E40D52"/>
    <w:rsid w:val="00E41F56"/>
    <w:rsid w:val="00E42790"/>
    <w:rsid w:val="00E43F1D"/>
    <w:rsid w:val="00E44388"/>
    <w:rsid w:val="00E45915"/>
    <w:rsid w:val="00E47B90"/>
    <w:rsid w:val="00E5034B"/>
    <w:rsid w:val="00E5191B"/>
    <w:rsid w:val="00E532F8"/>
    <w:rsid w:val="00E53717"/>
    <w:rsid w:val="00E55DE1"/>
    <w:rsid w:val="00E5642C"/>
    <w:rsid w:val="00E56BD3"/>
    <w:rsid w:val="00E57DC7"/>
    <w:rsid w:val="00E625CC"/>
    <w:rsid w:val="00E63149"/>
    <w:rsid w:val="00E644C4"/>
    <w:rsid w:val="00E710E5"/>
    <w:rsid w:val="00E71F89"/>
    <w:rsid w:val="00E72908"/>
    <w:rsid w:val="00E72B77"/>
    <w:rsid w:val="00E73CAF"/>
    <w:rsid w:val="00E74CBD"/>
    <w:rsid w:val="00E74E6F"/>
    <w:rsid w:val="00E76397"/>
    <w:rsid w:val="00E76A84"/>
    <w:rsid w:val="00E76D84"/>
    <w:rsid w:val="00E8289D"/>
    <w:rsid w:val="00E8502C"/>
    <w:rsid w:val="00E850B3"/>
    <w:rsid w:val="00E863A4"/>
    <w:rsid w:val="00E92023"/>
    <w:rsid w:val="00E93374"/>
    <w:rsid w:val="00E936AE"/>
    <w:rsid w:val="00E94F1B"/>
    <w:rsid w:val="00E95177"/>
    <w:rsid w:val="00E951A3"/>
    <w:rsid w:val="00E96B22"/>
    <w:rsid w:val="00E97142"/>
    <w:rsid w:val="00EA0911"/>
    <w:rsid w:val="00EA5041"/>
    <w:rsid w:val="00EA53E2"/>
    <w:rsid w:val="00EA78A5"/>
    <w:rsid w:val="00EB108C"/>
    <w:rsid w:val="00EB168E"/>
    <w:rsid w:val="00EB2248"/>
    <w:rsid w:val="00EB3592"/>
    <w:rsid w:val="00EB4C64"/>
    <w:rsid w:val="00EB7171"/>
    <w:rsid w:val="00EC29CA"/>
    <w:rsid w:val="00EC2BE8"/>
    <w:rsid w:val="00EC2E2D"/>
    <w:rsid w:val="00EC3724"/>
    <w:rsid w:val="00EC4C15"/>
    <w:rsid w:val="00EC5610"/>
    <w:rsid w:val="00EC69AE"/>
    <w:rsid w:val="00EC7846"/>
    <w:rsid w:val="00ED0077"/>
    <w:rsid w:val="00ED060A"/>
    <w:rsid w:val="00ED0C73"/>
    <w:rsid w:val="00ED0E3A"/>
    <w:rsid w:val="00ED5AB2"/>
    <w:rsid w:val="00ED67F6"/>
    <w:rsid w:val="00ED6A49"/>
    <w:rsid w:val="00ED6BA3"/>
    <w:rsid w:val="00EE4047"/>
    <w:rsid w:val="00EE43A1"/>
    <w:rsid w:val="00EE6C21"/>
    <w:rsid w:val="00EE748D"/>
    <w:rsid w:val="00EF1AE1"/>
    <w:rsid w:val="00EF21C3"/>
    <w:rsid w:val="00EF24C9"/>
    <w:rsid w:val="00EF2545"/>
    <w:rsid w:val="00EF312A"/>
    <w:rsid w:val="00EF6590"/>
    <w:rsid w:val="00EF7C91"/>
    <w:rsid w:val="00F00392"/>
    <w:rsid w:val="00F026DE"/>
    <w:rsid w:val="00F030C7"/>
    <w:rsid w:val="00F1156A"/>
    <w:rsid w:val="00F1157C"/>
    <w:rsid w:val="00F13E1A"/>
    <w:rsid w:val="00F14073"/>
    <w:rsid w:val="00F14539"/>
    <w:rsid w:val="00F14DEC"/>
    <w:rsid w:val="00F15EAD"/>
    <w:rsid w:val="00F16578"/>
    <w:rsid w:val="00F165F2"/>
    <w:rsid w:val="00F17301"/>
    <w:rsid w:val="00F22002"/>
    <w:rsid w:val="00F23C8D"/>
    <w:rsid w:val="00F32638"/>
    <w:rsid w:val="00F32650"/>
    <w:rsid w:val="00F329C1"/>
    <w:rsid w:val="00F34572"/>
    <w:rsid w:val="00F3504B"/>
    <w:rsid w:val="00F365DE"/>
    <w:rsid w:val="00F37CF8"/>
    <w:rsid w:val="00F40819"/>
    <w:rsid w:val="00F4112B"/>
    <w:rsid w:val="00F4458A"/>
    <w:rsid w:val="00F4576B"/>
    <w:rsid w:val="00F47088"/>
    <w:rsid w:val="00F478B7"/>
    <w:rsid w:val="00F47C10"/>
    <w:rsid w:val="00F510D5"/>
    <w:rsid w:val="00F51677"/>
    <w:rsid w:val="00F52ED5"/>
    <w:rsid w:val="00F535D3"/>
    <w:rsid w:val="00F53D09"/>
    <w:rsid w:val="00F546F7"/>
    <w:rsid w:val="00F560A1"/>
    <w:rsid w:val="00F5631F"/>
    <w:rsid w:val="00F6079D"/>
    <w:rsid w:val="00F65AB2"/>
    <w:rsid w:val="00F66468"/>
    <w:rsid w:val="00F66757"/>
    <w:rsid w:val="00F668B6"/>
    <w:rsid w:val="00F66DF8"/>
    <w:rsid w:val="00F67026"/>
    <w:rsid w:val="00F670E4"/>
    <w:rsid w:val="00F67A15"/>
    <w:rsid w:val="00F71442"/>
    <w:rsid w:val="00F7392F"/>
    <w:rsid w:val="00F73D90"/>
    <w:rsid w:val="00F7542E"/>
    <w:rsid w:val="00F75C97"/>
    <w:rsid w:val="00F76A4F"/>
    <w:rsid w:val="00F77D01"/>
    <w:rsid w:val="00F80352"/>
    <w:rsid w:val="00F80904"/>
    <w:rsid w:val="00F81F77"/>
    <w:rsid w:val="00F8236F"/>
    <w:rsid w:val="00F8436D"/>
    <w:rsid w:val="00F855A4"/>
    <w:rsid w:val="00F875A6"/>
    <w:rsid w:val="00F8781F"/>
    <w:rsid w:val="00F87EF5"/>
    <w:rsid w:val="00F9075C"/>
    <w:rsid w:val="00F940E1"/>
    <w:rsid w:val="00F943F0"/>
    <w:rsid w:val="00F966ED"/>
    <w:rsid w:val="00FA353D"/>
    <w:rsid w:val="00FA4417"/>
    <w:rsid w:val="00FA5B19"/>
    <w:rsid w:val="00FA5DB7"/>
    <w:rsid w:val="00FA6294"/>
    <w:rsid w:val="00FA66FC"/>
    <w:rsid w:val="00FA6F76"/>
    <w:rsid w:val="00FA7C56"/>
    <w:rsid w:val="00FB0FF6"/>
    <w:rsid w:val="00FB1D0A"/>
    <w:rsid w:val="00FB5019"/>
    <w:rsid w:val="00FB69BA"/>
    <w:rsid w:val="00FB752F"/>
    <w:rsid w:val="00FC050C"/>
    <w:rsid w:val="00FC1FE9"/>
    <w:rsid w:val="00FC3392"/>
    <w:rsid w:val="00FC34D9"/>
    <w:rsid w:val="00FC4ED4"/>
    <w:rsid w:val="00FC5726"/>
    <w:rsid w:val="00FC5D4E"/>
    <w:rsid w:val="00FC725E"/>
    <w:rsid w:val="00FC7CED"/>
    <w:rsid w:val="00FD3BAC"/>
    <w:rsid w:val="00FD606E"/>
    <w:rsid w:val="00FD794F"/>
    <w:rsid w:val="00FE1631"/>
    <w:rsid w:val="00FE4E3C"/>
    <w:rsid w:val="00FE57A2"/>
    <w:rsid w:val="00FE5DAA"/>
    <w:rsid w:val="00FE60F6"/>
    <w:rsid w:val="00FE6203"/>
    <w:rsid w:val="00FE65CA"/>
    <w:rsid w:val="00FE7AD5"/>
    <w:rsid w:val="00FF058E"/>
    <w:rsid w:val="00FF0FF1"/>
    <w:rsid w:val="00FF1302"/>
    <w:rsid w:val="00FF1A64"/>
    <w:rsid w:val="00FF3035"/>
    <w:rsid w:val="00FF3DFB"/>
    <w:rsid w:val="00FF49AF"/>
    <w:rsid w:val="00FF4FAF"/>
    <w:rsid w:val="00FF688C"/>
    <w:rsid w:val="00FF6E1C"/>
    <w:rsid w:val="00FF6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7CFEDF42"/>
  <w15:docId w15:val="{E1647A49-4D36-4BD0-80E9-B968D311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Verdana"/>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cs="Times New Roman"/>
      <w:lang w:eastAsia="fi-FI"/>
    </w:rPr>
  </w:style>
  <w:style w:type="paragraph" w:styleId="Heading1">
    <w:name w:val="heading 1"/>
    <w:aliases w:val="ECHA Heading 1"/>
    <w:basedOn w:val="Normal"/>
    <w:next w:val="BodyText"/>
    <w:link w:val="Heading1Char"/>
    <w:qFormat/>
    <w:pPr>
      <w:keepNext/>
      <w:keepLines/>
      <w:numPr>
        <w:numId w:val="1"/>
      </w:numPr>
      <w:spacing w:after="240"/>
      <w:outlineLvl w:val="0"/>
    </w:pPr>
    <w:rPr>
      <w:b/>
      <w:color w:val="0046AD"/>
      <w:sz w:val="28"/>
      <w:szCs w:val="24"/>
    </w:rPr>
  </w:style>
  <w:style w:type="paragraph" w:styleId="Heading2">
    <w:name w:val="heading 2"/>
    <w:aliases w:val="ECHA Heading 2"/>
    <w:basedOn w:val="Heading1"/>
    <w:next w:val="BodyText"/>
    <w:link w:val="Heading2Char"/>
    <w:qFormat/>
    <w:pPr>
      <w:numPr>
        <w:numId w:val="0"/>
      </w:numPr>
      <w:outlineLvl w:val="1"/>
    </w:pPr>
    <w:rPr>
      <w:rFonts w:cs="Arial"/>
      <w:sz w:val="24"/>
      <w:szCs w:val="22"/>
    </w:rPr>
  </w:style>
  <w:style w:type="paragraph" w:styleId="Heading3">
    <w:name w:val="heading 3"/>
    <w:aliases w:val="ECHA Heading 3"/>
    <w:basedOn w:val="Heading2"/>
    <w:next w:val="BodyText"/>
    <w:link w:val="Heading3Char"/>
    <w:qFormat/>
    <w:pPr>
      <w:numPr>
        <w:ilvl w:val="2"/>
        <w:numId w:val="1"/>
      </w:numPr>
      <w:outlineLvl w:val="2"/>
    </w:pPr>
    <w:rPr>
      <w:bCs/>
      <w:color w:val="000000"/>
      <w:sz w:val="22"/>
    </w:rPr>
  </w:style>
  <w:style w:type="paragraph" w:styleId="Heading4">
    <w:name w:val="heading 4"/>
    <w:aliases w:val="ECHA Heading 4"/>
    <w:basedOn w:val="Heading3"/>
    <w:next w:val="BodyText"/>
    <w:link w:val="Heading4Char"/>
    <w:qFormat/>
    <w:pPr>
      <w:numPr>
        <w:ilvl w:val="3"/>
      </w:numPr>
      <w:outlineLvl w:val="3"/>
    </w:pPr>
    <w:rPr>
      <w:b w:val="0"/>
      <w:bCs w:val="0"/>
      <w:szCs w:val="28"/>
    </w:rPr>
  </w:style>
  <w:style w:type="paragraph" w:styleId="Heading5">
    <w:name w:val="heading 5"/>
    <w:aliases w:val="ECHA Heading 5"/>
    <w:basedOn w:val="Heading3"/>
    <w:next w:val="BodyText"/>
    <w:link w:val="Heading5Char"/>
    <w:qFormat/>
    <w:pPr>
      <w:numPr>
        <w:ilvl w:val="4"/>
      </w:numPr>
      <w:outlineLvl w:val="4"/>
    </w:pPr>
    <w:rPr>
      <w:bCs w:val="0"/>
      <w:iCs/>
      <w:sz w:val="20"/>
      <w:szCs w:val="26"/>
    </w:rPr>
  </w:style>
  <w:style w:type="paragraph" w:styleId="Heading6">
    <w:name w:val="heading 6"/>
    <w:aliases w:val="ECHA Heading 6"/>
    <w:basedOn w:val="Heading5"/>
    <w:next w:val="BodyText"/>
    <w:link w:val="Heading6Char"/>
    <w:qFormat/>
    <w:pPr>
      <w:numPr>
        <w:ilvl w:val="5"/>
      </w:numPr>
      <w:outlineLvl w:val="5"/>
    </w:pPr>
    <w:rPr>
      <w:bCs/>
      <w:szCs w:val="22"/>
    </w:rPr>
  </w:style>
  <w:style w:type="paragraph" w:styleId="Heading7">
    <w:name w:val="heading 7"/>
    <w:aliases w:val="ECHA Heading 7"/>
    <w:basedOn w:val="Heading5"/>
    <w:next w:val="BodyText"/>
    <w:link w:val="Heading7Char"/>
    <w:qFormat/>
    <w:pPr>
      <w:numPr>
        <w:ilvl w:val="6"/>
      </w:numPr>
      <w:outlineLvl w:val="6"/>
    </w:pPr>
    <w:rPr>
      <w:szCs w:val="24"/>
    </w:rPr>
  </w:style>
  <w:style w:type="paragraph" w:styleId="Heading8">
    <w:name w:val="heading 8"/>
    <w:aliases w:val="ECHA Heading 8"/>
    <w:basedOn w:val="Heading5"/>
    <w:next w:val="BodyText"/>
    <w:link w:val="Heading8Char"/>
    <w:qFormat/>
    <w:pPr>
      <w:numPr>
        <w:ilvl w:val="7"/>
      </w:numPr>
      <w:outlineLvl w:val="7"/>
    </w:pPr>
    <w:rPr>
      <w:iCs w:val="0"/>
      <w:szCs w:val="24"/>
    </w:rPr>
  </w:style>
  <w:style w:type="paragraph" w:styleId="Heading9">
    <w:name w:val="heading 9"/>
    <w:aliases w:val="ECHA Heading 9"/>
    <w:basedOn w:val="Heading5"/>
    <w:next w:val="BodyText"/>
    <w:link w:val="Heading9Char"/>
    <w:qFormat/>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HA Heading 1 Char"/>
    <w:basedOn w:val="DefaultParagraphFont"/>
    <w:link w:val="Heading1"/>
    <w:locked/>
    <w:rPr>
      <w:rFonts w:cs="Times New Roman"/>
      <w:b/>
      <w:color w:val="0046AD"/>
      <w:sz w:val="28"/>
      <w:szCs w:val="24"/>
      <w:lang w:eastAsia="fi-FI"/>
    </w:rPr>
  </w:style>
  <w:style w:type="character" w:customStyle="1" w:styleId="Heading2Char">
    <w:name w:val="Heading 2 Char"/>
    <w:aliases w:val="ECHA Heading 2 Char"/>
    <w:basedOn w:val="DefaultParagraphFont"/>
    <w:link w:val="Heading2"/>
    <w:locked/>
    <w:rPr>
      <w:rFonts w:ascii="Cambria" w:hAnsi="Cambria"/>
      <w:b/>
      <w:i/>
      <w:sz w:val="28"/>
      <w:lang w:val="x-none" w:eastAsia="fi-FI"/>
    </w:rPr>
  </w:style>
  <w:style w:type="character" w:customStyle="1" w:styleId="Heading3Char">
    <w:name w:val="Heading 3 Char"/>
    <w:aliases w:val="ECHA Heading 3 Char"/>
    <w:basedOn w:val="DefaultParagraphFont"/>
    <w:link w:val="Heading3"/>
    <w:locked/>
    <w:rPr>
      <w:rFonts w:cs="Arial"/>
      <w:b/>
      <w:bCs/>
      <w:color w:val="000000"/>
      <w:sz w:val="22"/>
      <w:szCs w:val="22"/>
      <w:lang w:eastAsia="fi-FI"/>
    </w:rPr>
  </w:style>
  <w:style w:type="character" w:customStyle="1" w:styleId="Heading4Char">
    <w:name w:val="Heading 4 Char"/>
    <w:aliases w:val="ECHA Heading 4 Char"/>
    <w:basedOn w:val="DefaultParagraphFont"/>
    <w:link w:val="Heading4"/>
    <w:locked/>
    <w:rPr>
      <w:rFonts w:cs="Arial"/>
      <w:color w:val="000000"/>
      <w:sz w:val="22"/>
      <w:szCs w:val="28"/>
      <w:lang w:eastAsia="fi-FI"/>
    </w:rPr>
  </w:style>
  <w:style w:type="character" w:customStyle="1" w:styleId="Heading5Char">
    <w:name w:val="Heading 5 Char"/>
    <w:aliases w:val="ECHA Heading 5 Char"/>
    <w:basedOn w:val="DefaultParagraphFont"/>
    <w:link w:val="Heading5"/>
    <w:locked/>
    <w:rPr>
      <w:rFonts w:cs="Arial"/>
      <w:b/>
      <w:iCs/>
      <w:color w:val="000000"/>
      <w:szCs w:val="26"/>
      <w:lang w:eastAsia="fi-FI"/>
    </w:rPr>
  </w:style>
  <w:style w:type="character" w:customStyle="1" w:styleId="Heading6Char">
    <w:name w:val="Heading 6 Char"/>
    <w:aliases w:val="ECHA Heading 6 Char"/>
    <w:basedOn w:val="DefaultParagraphFont"/>
    <w:link w:val="Heading6"/>
    <w:locked/>
    <w:rPr>
      <w:rFonts w:cs="Arial"/>
      <w:b/>
      <w:bCs/>
      <w:iCs/>
      <w:color w:val="000000"/>
      <w:szCs w:val="22"/>
      <w:lang w:eastAsia="fi-FI"/>
    </w:rPr>
  </w:style>
  <w:style w:type="character" w:customStyle="1" w:styleId="Heading7Char">
    <w:name w:val="Heading 7 Char"/>
    <w:aliases w:val="ECHA Heading 7 Char"/>
    <w:basedOn w:val="DefaultParagraphFont"/>
    <w:link w:val="Heading7"/>
    <w:locked/>
    <w:rPr>
      <w:rFonts w:cs="Arial"/>
      <w:b/>
      <w:iCs/>
      <w:color w:val="000000"/>
      <w:szCs w:val="24"/>
      <w:lang w:eastAsia="fi-FI"/>
    </w:rPr>
  </w:style>
  <w:style w:type="character" w:customStyle="1" w:styleId="Heading8Char">
    <w:name w:val="Heading 8 Char"/>
    <w:aliases w:val="ECHA Heading 8 Char"/>
    <w:basedOn w:val="DefaultParagraphFont"/>
    <w:link w:val="Heading8"/>
    <w:locked/>
    <w:rPr>
      <w:rFonts w:cs="Arial"/>
      <w:b/>
      <w:color w:val="000000"/>
      <w:szCs w:val="24"/>
      <w:lang w:eastAsia="fi-FI"/>
    </w:rPr>
  </w:style>
  <w:style w:type="character" w:customStyle="1" w:styleId="Heading9Char">
    <w:name w:val="Heading 9 Char"/>
    <w:aliases w:val="ECHA Heading 9 Char"/>
    <w:basedOn w:val="DefaultParagraphFont"/>
    <w:link w:val="Heading9"/>
    <w:locked/>
    <w:rPr>
      <w:rFonts w:cs="Arial"/>
      <w:b/>
      <w:iCs/>
      <w:color w:val="000000"/>
      <w:szCs w:val="22"/>
      <w:lang w:eastAsia="fi-FI"/>
    </w:rPr>
  </w:style>
  <w:style w:type="paragraph" w:styleId="Header">
    <w:name w:val="header"/>
    <w:basedOn w:val="Normal"/>
    <w:link w:val="HeaderChar"/>
    <w:uiPriority w:val="99"/>
    <w:pPr>
      <w:tabs>
        <w:tab w:val="left" w:pos="4536"/>
        <w:tab w:val="left" w:pos="7088"/>
        <w:tab w:val="left" w:pos="8789"/>
      </w:tabs>
      <w:jc w:val="right"/>
    </w:pPr>
  </w:style>
  <w:style w:type="character" w:customStyle="1" w:styleId="HeaderChar">
    <w:name w:val="Header Char"/>
    <w:basedOn w:val="DefaultParagraphFont"/>
    <w:link w:val="Header"/>
    <w:uiPriority w:val="99"/>
    <w:locked/>
    <w:rPr>
      <w:lang w:val="x-none" w:eastAsia="fi-FI"/>
    </w:rPr>
  </w:style>
  <w:style w:type="paragraph" w:styleId="Footer">
    <w:name w:val="footer"/>
    <w:basedOn w:val="Normal"/>
    <w:link w:val="FooterChar"/>
    <w:uiPriority w:val="99"/>
    <w:pPr>
      <w:spacing w:line="160" w:lineRule="exact"/>
    </w:pPr>
    <w:rPr>
      <w:spacing w:val="2"/>
      <w:sz w:val="13"/>
    </w:rPr>
  </w:style>
  <w:style w:type="character" w:customStyle="1" w:styleId="FooterChar">
    <w:name w:val="Footer Char"/>
    <w:basedOn w:val="DefaultParagraphFont"/>
    <w:link w:val="Footer"/>
    <w:uiPriority w:val="99"/>
    <w:locked/>
    <w:rPr>
      <w:spacing w:val="2"/>
      <w:sz w:val="13"/>
      <w:lang w:val="x-none" w:eastAsia="fi-FI"/>
    </w:rPr>
  </w:style>
  <w:style w:type="character" w:styleId="PageNumber">
    <w:name w:val="page number"/>
    <w:basedOn w:val="DefaultParagraphFont"/>
    <w:uiPriority w:val="99"/>
    <w:rPr>
      <w:rFonts w:ascii="Verdana" w:hAnsi="Verdana"/>
      <w:sz w:val="20"/>
    </w:rPr>
  </w:style>
  <w:style w:type="character" w:customStyle="1" w:styleId="Italic">
    <w:name w:val="Italic"/>
    <w:rPr>
      <w:rFonts w:ascii="Verdana" w:hAnsi="Verdana"/>
      <w:i/>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x-none" w:eastAsia="fi-FI"/>
    </w:rPr>
  </w:style>
  <w:style w:type="paragraph" w:styleId="TOC1">
    <w:name w:val="toc 1"/>
    <w:basedOn w:val="Normal"/>
    <w:next w:val="Normal"/>
    <w:autoRedefine/>
    <w:uiPriority w:val="39"/>
    <w:pPr>
      <w:tabs>
        <w:tab w:val="right" w:leader="dot" w:pos="9629"/>
      </w:tabs>
      <w:spacing w:before="120" w:after="120"/>
    </w:pPr>
    <w:rPr>
      <w:rFonts w:ascii="Calibri" w:hAnsi="Calibri" w:cs="Calibri"/>
      <w:b/>
      <w:bCs/>
      <w:caps/>
    </w:rPr>
  </w:style>
  <w:style w:type="paragraph" w:styleId="TOC2">
    <w:name w:val="toc 2"/>
    <w:basedOn w:val="Normal"/>
    <w:next w:val="Normal"/>
    <w:autoRedefine/>
    <w:uiPriority w:val="39"/>
    <w:rsid w:val="003C0010"/>
    <w:pPr>
      <w:tabs>
        <w:tab w:val="right" w:leader="dot" w:pos="9629"/>
      </w:tabs>
      <w:ind w:left="567" w:hanging="367"/>
    </w:pPr>
    <w:rPr>
      <w:rFonts w:ascii="Calibri" w:hAnsi="Calibri" w:cs="Calibri"/>
    </w:rPr>
  </w:style>
  <w:style w:type="paragraph" w:styleId="TOC3">
    <w:name w:val="toc 3"/>
    <w:basedOn w:val="Normal"/>
    <w:next w:val="Normal"/>
    <w:autoRedefine/>
    <w:uiPriority w:val="39"/>
    <w:pPr>
      <w:ind w:left="400"/>
    </w:pPr>
    <w:rPr>
      <w:rFonts w:ascii="Calibri" w:hAnsi="Calibri" w:cs="Calibri"/>
      <w:i/>
      <w:iCs/>
    </w:rPr>
  </w:style>
  <w:style w:type="character" w:styleId="Hyperlink">
    <w:name w:val="Hyperlink"/>
    <w:basedOn w:val="DefaultParagraphFont"/>
    <w:uiPriority w:val="99"/>
    <w:rPr>
      <w:rFonts w:ascii="Verdana" w:hAnsi="Verdana"/>
      <w:color w:val="0000FF"/>
      <w:sz w:val="20"/>
      <w:u w:val="single"/>
    </w:rPr>
  </w:style>
  <w:style w:type="paragraph" w:customStyle="1" w:styleId="Leipteksti1">
    <w:name w:val="Leipäteksti1"/>
    <w:basedOn w:val="Normal"/>
    <w:semiHidden/>
    <w:pPr>
      <w:ind w:left="2608"/>
    </w:pPr>
    <w:rPr>
      <w:szCs w:val="24"/>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locked/>
    <w:rPr>
      <w:lang w:val="x-none" w:eastAsia="fi-FI"/>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lang w:val="x-none" w:eastAsia="fi-FI"/>
    </w:rPr>
  </w:style>
  <w:style w:type="character" w:styleId="FollowedHyperlink">
    <w:name w:val="FollowedHyperlink"/>
    <w:aliases w:val="Hyperlink opened"/>
    <w:basedOn w:val="DefaultParagraphFont"/>
    <w:uiPriority w:val="99"/>
    <w:rPr>
      <w:rFonts w:ascii="Verdana" w:hAnsi="Verdana"/>
      <w:color w:val="800080"/>
      <w:sz w:val="20"/>
      <w:u w:val="single"/>
    </w:rPr>
  </w:style>
  <w:style w:type="paragraph" w:styleId="BodyText">
    <w:name w:val="Body Text"/>
    <w:aliases w:val="Text"/>
    <w:basedOn w:val="Normal"/>
    <w:link w:val="BodyTextChar"/>
    <w:uiPriority w:val="99"/>
    <w:pPr>
      <w:spacing w:after="240"/>
    </w:pPr>
  </w:style>
  <w:style w:type="character" w:customStyle="1" w:styleId="BodyTextChar">
    <w:name w:val="Body Text Char"/>
    <w:aliases w:val="Text Char"/>
    <w:basedOn w:val="DefaultParagraphFont"/>
    <w:link w:val="BodyText"/>
    <w:uiPriority w:val="99"/>
    <w:locked/>
    <w:rsid w:val="006358C1"/>
    <w:rPr>
      <w:lang w:val="x-none" w:eastAsia="fi-FI"/>
    </w:rPr>
  </w:style>
  <w:style w:type="paragraph" w:styleId="BodyTextFirstIndent">
    <w:name w:val="Body Text First Indent"/>
    <w:basedOn w:val="BodyText"/>
    <w:link w:val="BodyTextFirstIndentChar"/>
    <w:uiPriority w:val="99"/>
    <w:semiHidden/>
    <w:pPr>
      <w:spacing w:after="120"/>
      <w:ind w:firstLine="210"/>
    </w:pPr>
  </w:style>
  <w:style w:type="character" w:customStyle="1" w:styleId="BodyTextFirstIndentChar">
    <w:name w:val="Body Text First Indent Char"/>
    <w:basedOn w:val="BodyTextChar"/>
    <w:link w:val="BodyTextFirstIndent"/>
    <w:uiPriority w:val="99"/>
    <w:semiHidden/>
    <w:locked/>
    <w:rPr>
      <w:lang w:val="x-none" w:eastAsia="fi-FI"/>
    </w:rPr>
  </w:style>
  <w:style w:type="character" w:customStyle="1" w:styleId="Bold">
    <w:name w:val="Bold"/>
    <w:rPr>
      <w:rFonts w:ascii="Verdana" w:hAnsi="Verdana"/>
      <w:b/>
      <w:sz w:val="20"/>
    </w:rPr>
  </w:style>
  <w:style w:type="paragraph" w:customStyle="1" w:styleId="BulletedList1-usermanual">
    <w:name w:val="Bulleted List 1 - user manual"/>
    <w:basedOn w:val="Normal"/>
    <w:pPr>
      <w:numPr>
        <w:numId w:val="4"/>
      </w:numPr>
      <w:spacing w:line="360" w:lineRule="auto"/>
    </w:pPr>
  </w:style>
  <w:style w:type="paragraph" w:styleId="Title">
    <w:name w:val="Title"/>
    <w:aliases w:val="ECHA Heading"/>
    <w:basedOn w:val="Heading1"/>
    <w:next w:val="BodyText"/>
    <w:link w:val="TitleChar"/>
    <w:qFormat/>
    <w:rPr>
      <w:rFonts w:cs="Arial"/>
      <w:bCs/>
      <w:szCs w:val="32"/>
    </w:rPr>
  </w:style>
  <w:style w:type="character" w:customStyle="1" w:styleId="TitleChar">
    <w:name w:val="Title Char"/>
    <w:aliases w:val="ECHA Heading Char"/>
    <w:basedOn w:val="DefaultParagraphFont"/>
    <w:link w:val="Title"/>
    <w:locked/>
    <w:rPr>
      <w:rFonts w:cs="Arial"/>
      <w:b/>
      <w:bCs/>
      <w:color w:val="0046AD"/>
      <w:sz w:val="28"/>
      <w:szCs w:val="32"/>
      <w:lang w:eastAsia="fi-FI"/>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locked/>
    <w:rPr>
      <w:lang w:val="x-none" w:eastAsia="fi-FI"/>
    </w:rPr>
  </w:style>
  <w:style w:type="paragraph" w:styleId="BodyTextFirstIndent2">
    <w:name w:val="Body Text First Indent 2"/>
    <w:basedOn w:val="Normal"/>
    <w:link w:val="BodyTextFirstIndent2Char"/>
    <w:uiPriority w:val="99"/>
    <w:semiHidden/>
    <w:pPr>
      <w:spacing w:after="120"/>
      <w:ind w:left="283" w:firstLine="210"/>
    </w:pPr>
  </w:style>
  <w:style w:type="character" w:customStyle="1" w:styleId="BodyTextFirstIndent2Char">
    <w:name w:val="Body Text First Indent 2 Char"/>
    <w:basedOn w:val="BodyTextIndentChar"/>
    <w:link w:val="BodyTextFirstIndent2"/>
    <w:uiPriority w:val="99"/>
    <w:semiHidden/>
    <w:locked/>
    <w:rPr>
      <w:lang w:val="x-none" w:eastAsia="fi-FI"/>
    </w:rPr>
  </w:style>
  <w:style w:type="paragraph" w:customStyle="1" w:styleId="Footnotes">
    <w:name w:val="Footnotes"/>
    <w:basedOn w:val="BodyText"/>
    <w:rPr>
      <w:rFonts w:ascii="Georgia" w:hAnsi="Georgia"/>
      <w:sz w:val="18"/>
    </w:rPr>
  </w:style>
  <w:style w:type="paragraph" w:customStyle="1" w:styleId="Disclaimer">
    <w:name w:val="Disclaimer"/>
    <w:basedOn w:val="Footer"/>
    <w:pPr>
      <w:spacing w:before="120" w:line="140" w:lineRule="exact"/>
    </w:pPr>
    <w:rPr>
      <w:spacing w:val="0"/>
      <w:sz w:val="11"/>
    </w:rPr>
  </w:style>
  <w:style w:type="table" w:styleId="TableGrid">
    <w:name w:val="Table Grid"/>
    <w:basedOn w:val="TableNormal"/>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w:basedOn w:val="Normal"/>
    <w:link w:val="FootnoteTextChar"/>
    <w:qFormat/>
  </w:style>
  <w:style w:type="character" w:customStyle="1" w:styleId="FootnoteTextChar">
    <w:name w:val="Footnote Text Char"/>
    <w:aliases w:val="Footnote Text Char Char Char"/>
    <w:basedOn w:val="DefaultParagraphFont"/>
    <w:link w:val="FootnoteText"/>
    <w:locked/>
    <w:rPr>
      <w:lang w:val="x-none" w:eastAsia="fi-FI"/>
    </w:rPr>
  </w:style>
  <w:style w:type="character" w:styleId="FootnoteReference">
    <w:name w:val="footnote reference"/>
    <w:aliases w:val="Footnote,Footnote Reference/"/>
    <w:basedOn w:val="DefaultParagraphFont"/>
    <w:qFormat/>
    <w:rPr>
      <w:rFonts w:ascii="Georgia" w:hAnsi="Georgia"/>
      <w:sz w:val="16"/>
      <w:vertAlign w:val="superscript"/>
    </w:rPr>
  </w:style>
  <w:style w:type="paragraph" w:customStyle="1" w:styleId="Tableheader">
    <w:name w:val="Table header"/>
    <w:basedOn w:val="BodyText"/>
    <w:pPr>
      <w:spacing w:after="120"/>
    </w:pPr>
    <w:rPr>
      <w:b/>
      <w:color w:val="FFCC00"/>
      <w:sz w:val="18"/>
      <w:szCs w:val="18"/>
    </w:rPr>
  </w:style>
  <w:style w:type="paragraph" w:customStyle="1" w:styleId="Tabletext">
    <w:name w:val="Tabletext"/>
    <w:basedOn w:val="BodyText"/>
    <w:pPr>
      <w:spacing w:after="0"/>
    </w:pPr>
    <w:rPr>
      <w:sz w:val="18"/>
    </w:rPr>
  </w:style>
  <w:style w:type="paragraph" w:customStyle="1" w:styleId="Covertitle">
    <w:name w:val="Cover title"/>
    <w:basedOn w:val="Normal"/>
    <w:link w:val="CovertitleChar"/>
    <w:qFormat/>
    <w:pPr>
      <w:widowControl/>
      <w:spacing w:before="2160" w:after="240"/>
      <w:jc w:val="center"/>
    </w:pPr>
    <w:rPr>
      <w:b/>
      <w:sz w:val="32"/>
      <w:szCs w:val="24"/>
      <w:lang w:eastAsia="en-US"/>
    </w:rPr>
  </w:style>
  <w:style w:type="paragraph" w:customStyle="1" w:styleId="NormalItalic">
    <w:name w:val="Normal Italic"/>
    <w:basedOn w:val="Normal"/>
    <w:link w:val="NormalItalicCharChar"/>
    <w:pPr>
      <w:widowControl/>
      <w:spacing w:after="180"/>
      <w:jc w:val="both"/>
    </w:pPr>
    <w:rPr>
      <w:i/>
      <w:szCs w:val="24"/>
      <w:lang w:eastAsia="en-US"/>
    </w:rPr>
  </w:style>
  <w:style w:type="character" w:customStyle="1" w:styleId="CovertitleChar">
    <w:name w:val="Cover title Char"/>
    <w:link w:val="Covertitle"/>
    <w:locked/>
    <w:rPr>
      <w:b/>
      <w:sz w:val="24"/>
      <w:lang w:val="x-none" w:eastAsia="en-US"/>
    </w:rPr>
  </w:style>
  <w:style w:type="character" w:customStyle="1" w:styleId="NormalItalicCharChar">
    <w:name w:val="Normal Italic Char Char"/>
    <w:link w:val="NormalItalic"/>
    <w:locked/>
    <w:rPr>
      <w:i/>
      <w:sz w:val="24"/>
      <w:lang w:val="x-none" w:eastAsia="en-US"/>
    </w:rPr>
  </w:style>
  <w:style w:type="paragraph" w:customStyle="1" w:styleId="Sectiontitle">
    <w:name w:val="Section title"/>
    <w:basedOn w:val="Normal"/>
    <w:next w:val="Normal"/>
    <w:link w:val="SectiontitleChar"/>
    <w:pPr>
      <w:widowControl/>
      <w:spacing w:before="240" w:after="360"/>
      <w:jc w:val="center"/>
    </w:pPr>
    <w:rPr>
      <w:b/>
      <w:caps/>
      <w:sz w:val="32"/>
      <w:szCs w:val="32"/>
      <w:lang w:eastAsia="en-US"/>
    </w:rPr>
  </w:style>
  <w:style w:type="character" w:customStyle="1" w:styleId="SectiontitleChar">
    <w:name w:val="Section title Char"/>
    <w:link w:val="Sectiontitle"/>
    <w:locked/>
    <w:rPr>
      <w:b/>
      <w:caps/>
      <w:sz w:val="32"/>
      <w:lang w:val="x-none" w:eastAsia="en-US"/>
    </w:rPr>
  </w:style>
  <w:style w:type="paragraph" w:styleId="Caption">
    <w:name w:val="caption"/>
    <w:aliases w:val="Caption Table"/>
    <w:basedOn w:val="Normal"/>
    <w:next w:val="Normal"/>
    <w:link w:val="CaptionChar"/>
    <w:qFormat/>
    <w:pPr>
      <w:keepNext/>
      <w:widowControl/>
      <w:spacing w:before="120" w:after="90"/>
      <w:ind w:left="57"/>
      <w:jc w:val="both"/>
    </w:pPr>
    <w:rPr>
      <w:bCs/>
      <w:sz w:val="22"/>
      <w:szCs w:val="24"/>
      <w:lang w:eastAsia="en-US"/>
    </w:rPr>
  </w:style>
  <w:style w:type="character" w:customStyle="1" w:styleId="CaptionChar">
    <w:name w:val="Caption Char"/>
    <w:aliases w:val="Caption Table Char"/>
    <w:link w:val="Caption"/>
    <w:locked/>
    <w:rPr>
      <w:sz w:val="24"/>
      <w:lang w:val="x-none" w:eastAsia="en-US"/>
    </w:rPr>
  </w:style>
  <w:style w:type="paragraph" w:customStyle="1" w:styleId="TableRowHeader">
    <w:name w:val="Table Row Header"/>
    <w:basedOn w:val="Normal"/>
    <w:pPr>
      <w:keepNext/>
      <w:keepLines/>
      <w:widowControl/>
      <w:spacing w:before="54" w:after="54"/>
      <w:ind w:left="113"/>
      <w:jc w:val="both"/>
    </w:pPr>
    <w:rPr>
      <w:b/>
      <w:bCs/>
      <w:szCs w:val="22"/>
      <w:lang w:eastAsia="da-DK"/>
    </w:rPr>
  </w:style>
  <w:style w:type="paragraph" w:customStyle="1" w:styleId="StyleTabletextItalic">
    <w:name w:val="Style Table text + Italic"/>
    <w:basedOn w:val="Normal"/>
    <w:pPr>
      <w:keepNext/>
      <w:keepLines/>
      <w:widowControl/>
      <w:spacing w:before="54" w:after="54"/>
      <w:ind w:left="113"/>
      <w:jc w:val="both"/>
    </w:pPr>
    <w:rPr>
      <w:i/>
      <w:iCs/>
      <w:szCs w:val="24"/>
      <w:lang w:eastAsia="da-DK"/>
    </w:rPr>
  </w:style>
  <w:style w:type="paragraph" w:customStyle="1" w:styleId="StyleTableRowHeaderItalic">
    <w:name w:val="Style Table Row Header + Italic"/>
    <w:basedOn w:val="TableRowHeader"/>
    <w:rPr>
      <w:i/>
      <w:iCs/>
    </w:rPr>
  </w:style>
  <w:style w:type="paragraph" w:customStyle="1" w:styleId="TableColumnHeader">
    <w:name w:val="Table Column Header"/>
    <w:basedOn w:val="Normal"/>
    <w:pPr>
      <w:keepNext/>
      <w:keepLines/>
      <w:widowControl/>
      <w:spacing w:before="54" w:after="54"/>
      <w:ind w:left="113"/>
      <w:jc w:val="center"/>
    </w:pPr>
    <w:rPr>
      <w:b/>
      <w:bCs/>
      <w:szCs w:val="22"/>
      <w:lang w:eastAsia="da-DK"/>
    </w:rPr>
  </w:style>
  <w:style w:type="paragraph" w:customStyle="1" w:styleId="Tablenote">
    <w:name w:val="Table note"/>
    <w:next w:val="BodyText"/>
    <w:pPr>
      <w:spacing w:before="90"/>
      <w:ind w:left="839"/>
      <w:jc w:val="both"/>
    </w:pPr>
    <w:rPr>
      <w:rFonts w:ascii="Times New Roman" w:hAnsi="Times New Roman" w:cs="Times New Roman"/>
      <w:spacing w:val="-3"/>
      <w:lang w:val="en-US" w:eastAsia="en-US"/>
    </w:rPr>
  </w:style>
  <w:style w:type="paragraph" w:customStyle="1" w:styleId="Tabletext0">
    <w:name w:val="Table text"/>
    <w:basedOn w:val="Normal"/>
    <w:link w:val="TabletextCar"/>
    <w:pPr>
      <w:keepNext/>
      <w:keepLines/>
      <w:widowControl/>
      <w:spacing w:before="54" w:after="54"/>
      <w:ind w:left="113"/>
      <w:jc w:val="both"/>
    </w:pPr>
    <w:rPr>
      <w:szCs w:val="24"/>
      <w:lang w:eastAsia="da-DK"/>
    </w:rPr>
  </w:style>
  <w:style w:type="character" w:customStyle="1" w:styleId="TabletextCar">
    <w:name w:val="Table text Car"/>
    <w:link w:val="Tabletext0"/>
    <w:locked/>
    <w:rPr>
      <w:sz w:val="24"/>
      <w:lang w:val="x-none" w:eastAsia="da-DK"/>
    </w:rPr>
  </w:style>
  <w:style w:type="paragraph" w:customStyle="1" w:styleId="Normalbold">
    <w:name w:val="Normal bold"/>
    <w:basedOn w:val="Normal"/>
    <w:link w:val="NormalboldChar"/>
    <w:pPr>
      <w:widowControl/>
      <w:spacing w:after="180"/>
      <w:jc w:val="both"/>
    </w:pPr>
    <w:rPr>
      <w:b/>
      <w:szCs w:val="24"/>
      <w:lang w:eastAsia="en-US"/>
    </w:rPr>
  </w:style>
  <w:style w:type="paragraph" w:customStyle="1" w:styleId="Tablenumbers">
    <w:name w:val="Table numbers"/>
    <w:basedOn w:val="Tabletext0"/>
    <w:link w:val="TablenumbersChar"/>
    <w:pPr>
      <w:jc w:val="center"/>
    </w:pPr>
  </w:style>
  <w:style w:type="character" w:customStyle="1" w:styleId="TablenumbersChar">
    <w:name w:val="Table numbers Char"/>
    <w:link w:val="Tablenumbers"/>
    <w:locked/>
    <w:rPr>
      <w:sz w:val="24"/>
      <w:lang w:val="x-none" w:eastAsia="da-DK"/>
    </w:rPr>
  </w:style>
  <w:style w:type="paragraph" w:customStyle="1" w:styleId="Figure">
    <w:name w:val="Figure"/>
    <w:basedOn w:val="Normal"/>
    <w:next w:val="CaptionFigure"/>
    <w:pPr>
      <w:widowControl/>
      <w:spacing w:before="360" w:after="180"/>
      <w:jc w:val="center"/>
    </w:pPr>
    <w:rPr>
      <w:szCs w:val="24"/>
      <w:lang w:eastAsia="en-US"/>
    </w:rPr>
  </w:style>
  <w:style w:type="paragraph" w:customStyle="1" w:styleId="CaptionFigure">
    <w:name w:val="Caption Figure"/>
    <w:basedOn w:val="Caption"/>
    <w:pPr>
      <w:jc w:val="center"/>
    </w:pPr>
    <w:rPr>
      <w:sz w:val="24"/>
    </w:rPr>
  </w:style>
  <w:style w:type="character" w:customStyle="1" w:styleId="NormalboldChar">
    <w:name w:val="Normal bold Char"/>
    <w:link w:val="Normalbold"/>
    <w:locked/>
    <w:rPr>
      <w:b/>
      <w:sz w:val="24"/>
      <w:lang w:val="x-none" w:eastAsia="en-US"/>
    </w:rPr>
  </w:style>
  <w:style w:type="paragraph" w:customStyle="1" w:styleId="References">
    <w:name w:val="References"/>
    <w:basedOn w:val="Normal"/>
    <w:pPr>
      <w:widowControl/>
      <w:spacing w:after="180"/>
      <w:ind w:left="720" w:hanging="720"/>
      <w:jc w:val="both"/>
    </w:pPr>
    <w:rPr>
      <w:szCs w:val="24"/>
      <w:lang w:eastAsia="en-US"/>
    </w:rPr>
  </w:style>
  <w:style w:type="paragraph" w:customStyle="1" w:styleId="Heading">
    <w:name w:val="Heading"/>
    <w:basedOn w:val="Normal"/>
    <w:next w:val="Normal"/>
    <w:link w:val="HeadingChar"/>
    <w:pPr>
      <w:keepNext/>
      <w:widowControl/>
      <w:numPr>
        <w:numId w:val="7"/>
      </w:numPr>
      <w:suppressAutoHyphens/>
      <w:spacing w:before="240" w:after="120"/>
    </w:pPr>
    <w:rPr>
      <w:rFonts w:eastAsia="SimSun"/>
      <w:b/>
      <w:caps/>
      <w:szCs w:val="28"/>
      <w:lang w:eastAsia="ar-SA"/>
    </w:rPr>
  </w:style>
  <w:style w:type="paragraph" w:styleId="TableofFigures">
    <w:name w:val="table of figures"/>
    <w:basedOn w:val="Normal"/>
    <w:next w:val="Normal"/>
    <w:uiPriority w:val="99"/>
  </w:style>
  <w:style w:type="paragraph" w:styleId="TOC4">
    <w:name w:val="toc 4"/>
    <w:basedOn w:val="Normal"/>
    <w:next w:val="Normal"/>
    <w:autoRedefine/>
    <w:uiPriority w:val="39"/>
    <w:pPr>
      <w:ind w:left="600"/>
    </w:pPr>
    <w:rPr>
      <w:rFonts w:ascii="Calibri" w:hAnsi="Calibri" w:cs="Calibri"/>
      <w:sz w:val="18"/>
      <w:szCs w:val="18"/>
    </w:rPr>
  </w:style>
  <w:style w:type="paragraph" w:styleId="TOC5">
    <w:name w:val="toc 5"/>
    <w:basedOn w:val="Normal"/>
    <w:next w:val="Normal"/>
    <w:autoRedefine/>
    <w:uiPriority w:val="39"/>
    <w:pPr>
      <w:ind w:left="800"/>
    </w:pPr>
    <w:rPr>
      <w:rFonts w:ascii="Calibri" w:hAnsi="Calibri" w:cs="Calibri"/>
      <w:sz w:val="18"/>
      <w:szCs w:val="18"/>
    </w:rPr>
  </w:style>
  <w:style w:type="paragraph" w:styleId="TOC6">
    <w:name w:val="toc 6"/>
    <w:basedOn w:val="Normal"/>
    <w:next w:val="Normal"/>
    <w:autoRedefine/>
    <w:uiPriority w:val="39"/>
    <w:pPr>
      <w:ind w:left="1000"/>
    </w:pPr>
    <w:rPr>
      <w:rFonts w:ascii="Calibri" w:hAnsi="Calibri" w:cs="Calibri"/>
      <w:sz w:val="18"/>
      <w:szCs w:val="18"/>
    </w:rPr>
  </w:style>
  <w:style w:type="paragraph" w:styleId="TOC7">
    <w:name w:val="toc 7"/>
    <w:basedOn w:val="Normal"/>
    <w:next w:val="Normal"/>
    <w:autoRedefine/>
    <w:uiPriority w:val="39"/>
    <w:pPr>
      <w:ind w:left="1200"/>
    </w:pPr>
    <w:rPr>
      <w:rFonts w:ascii="Calibri" w:hAnsi="Calibri" w:cs="Calibri"/>
      <w:sz w:val="18"/>
      <w:szCs w:val="18"/>
    </w:rPr>
  </w:style>
  <w:style w:type="paragraph" w:styleId="TOC8">
    <w:name w:val="toc 8"/>
    <w:basedOn w:val="Normal"/>
    <w:next w:val="Normal"/>
    <w:autoRedefine/>
    <w:uiPriority w:val="39"/>
    <w:pPr>
      <w:spacing w:before="120" w:after="120"/>
    </w:pPr>
    <w:rPr>
      <w:rFonts w:ascii="Calibri" w:hAnsi="Calibri" w:cs="Calibri"/>
      <w:b/>
      <w:caps/>
      <w:szCs w:val="18"/>
    </w:rPr>
  </w:style>
  <w:style w:type="paragraph" w:styleId="TOC9">
    <w:name w:val="toc 9"/>
    <w:basedOn w:val="Normal"/>
    <w:next w:val="Normal"/>
    <w:autoRedefine/>
    <w:uiPriority w:val="39"/>
    <w:pPr>
      <w:tabs>
        <w:tab w:val="left" w:pos="2412"/>
        <w:tab w:val="right" w:leader="dot" w:pos="9629"/>
      </w:tabs>
    </w:pPr>
    <w:rPr>
      <w:rFonts w:ascii="Calibri" w:hAnsi="Calibri" w:cs="Calibri"/>
      <w:szCs w:val="18"/>
    </w:rPr>
  </w:style>
  <w:style w:type="paragraph" w:customStyle="1" w:styleId="Titleintro">
    <w:name w:val="Title intro"/>
    <w:basedOn w:val="Sectiontitle"/>
    <w:link w:val="TitleintroChar"/>
    <w:qFormat/>
  </w:style>
  <w:style w:type="paragraph" w:customStyle="1" w:styleId="ANNEX">
    <w:name w:val="ANNEX"/>
    <w:basedOn w:val="Heading"/>
    <w:link w:val="ANNEXChar"/>
    <w:qFormat/>
    <w:pPr>
      <w:ind w:left="0" w:firstLine="1077"/>
    </w:pPr>
  </w:style>
  <w:style w:type="character" w:customStyle="1" w:styleId="TitleintroChar">
    <w:name w:val="Title intro Char"/>
    <w:link w:val="Titleintro"/>
    <w:locked/>
    <w:rPr>
      <w:b/>
      <w:caps/>
      <w:sz w:val="32"/>
      <w:lang w:val="x-none" w:eastAsia="en-US"/>
    </w:rPr>
  </w:style>
  <w:style w:type="character" w:styleId="Strong">
    <w:name w:val="Strong"/>
    <w:basedOn w:val="DefaultParagraphFont"/>
    <w:uiPriority w:val="22"/>
    <w:qFormat/>
    <w:rPr>
      <w:b/>
    </w:rPr>
  </w:style>
  <w:style w:type="character" w:customStyle="1" w:styleId="HeadingChar">
    <w:name w:val="Heading Char"/>
    <w:link w:val="Heading"/>
    <w:locked/>
    <w:rPr>
      <w:rFonts w:eastAsia="SimSun" w:cs="Times New Roman"/>
      <w:b/>
      <w:caps/>
      <w:szCs w:val="28"/>
      <w:lang w:eastAsia="ar-SA"/>
    </w:rPr>
  </w:style>
  <w:style w:type="character" w:customStyle="1" w:styleId="ANNEXChar">
    <w:name w:val="ANNEX Char"/>
    <w:link w:val="ANNEX"/>
    <w:locked/>
    <w:rPr>
      <w:rFonts w:eastAsia="SimSun" w:cs="Times New Roman"/>
      <w:b/>
      <w:caps/>
      <w:szCs w:val="28"/>
      <w:lang w:eastAsia="ar-SA"/>
    </w:rPr>
  </w:style>
  <w:style w:type="paragraph" w:customStyle="1" w:styleId="Referencetitle">
    <w:name w:val="Reference title"/>
    <w:basedOn w:val="Titleintro"/>
    <w:link w:val="ReferencetitleChar"/>
    <w:qFormat/>
  </w:style>
  <w:style w:type="paragraph" w:customStyle="1" w:styleId="CM1">
    <w:name w:val="CM1"/>
    <w:basedOn w:val="Normal"/>
    <w:next w:val="Normal"/>
    <w:uiPriority w:val="99"/>
    <w:pPr>
      <w:widowControl/>
      <w:autoSpaceDE w:val="0"/>
      <w:autoSpaceDN w:val="0"/>
      <w:adjustRightInd w:val="0"/>
    </w:pPr>
    <w:rPr>
      <w:rFonts w:ascii="Times New Roman" w:hAnsi="Times New Roman"/>
      <w:sz w:val="24"/>
      <w:szCs w:val="24"/>
      <w:lang w:eastAsia="en-GB"/>
    </w:rPr>
  </w:style>
  <w:style w:type="character" w:customStyle="1" w:styleId="ReferencetitleChar">
    <w:name w:val="Reference title Char"/>
    <w:link w:val="Referencetitle"/>
    <w:locked/>
  </w:style>
  <w:style w:type="paragraph" w:customStyle="1" w:styleId="CM3">
    <w:name w:val="CM3"/>
    <w:basedOn w:val="Normal"/>
    <w:next w:val="Normal"/>
    <w:uiPriority w:val="99"/>
    <w:pPr>
      <w:widowControl/>
      <w:autoSpaceDE w:val="0"/>
      <w:autoSpaceDN w:val="0"/>
      <w:adjustRightInd w:val="0"/>
    </w:pPr>
    <w:rPr>
      <w:rFonts w:ascii="Times New Roman" w:hAnsi="Times New Roman"/>
      <w:sz w:val="24"/>
      <w:szCs w:val="24"/>
      <w:lang w:eastAsia="en-GB"/>
    </w:rPr>
  </w:style>
  <w:style w:type="paragraph" w:customStyle="1" w:styleId="CM4">
    <w:name w:val="CM4"/>
    <w:basedOn w:val="Normal"/>
    <w:next w:val="Normal"/>
    <w:uiPriority w:val="99"/>
    <w:pPr>
      <w:widowControl/>
      <w:autoSpaceDE w:val="0"/>
      <w:autoSpaceDN w:val="0"/>
      <w:adjustRightInd w:val="0"/>
    </w:pPr>
    <w:rPr>
      <w:rFonts w:ascii="Times New Roman" w:hAnsi="Times New Roman"/>
      <w:sz w:val="24"/>
      <w:szCs w:val="24"/>
      <w:lang w:eastAsia="en-GB"/>
    </w:rPr>
  </w:style>
  <w:style w:type="paragraph" w:styleId="PlainText">
    <w:name w:val="Plain Text"/>
    <w:basedOn w:val="Normal"/>
    <w:link w:val="PlainTextChar"/>
    <w:uiPriority w:val="99"/>
    <w:unhideWhenUsed/>
    <w:pPr>
      <w:widowControl/>
    </w:pPr>
    <w:rPr>
      <w:szCs w:val="21"/>
      <w:lang w:eastAsia="en-US"/>
    </w:rPr>
  </w:style>
  <w:style w:type="character" w:customStyle="1" w:styleId="PlainTextChar">
    <w:name w:val="Plain Text Char"/>
    <w:basedOn w:val="DefaultParagraphFont"/>
    <w:link w:val="PlainText"/>
    <w:uiPriority w:val="99"/>
    <w:locked/>
    <w:rPr>
      <w:rFonts w:eastAsia="Times New Roman"/>
      <w:sz w:val="21"/>
      <w:lang w:val="x-none" w:eastAsia="en-US"/>
    </w:rPr>
  </w:style>
  <w:style w:type="paragraph" w:customStyle="1" w:styleId="Sisllysluettelonotsikko">
    <w:name w:val="Sisällysluettelon otsikko"/>
    <w:basedOn w:val="Heading1"/>
    <w:next w:val="Normal"/>
    <w:uiPriority w:val="39"/>
    <w:semiHidden/>
    <w:unhideWhenUsed/>
    <w:qFormat/>
    <w:pPr>
      <w:widowControl/>
      <w:numPr>
        <w:numId w:val="0"/>
      </w:numPr>
      <w:spacing w:before="480" w:after="0" w:line="276" w:lineRule="auto"/>
      <w:outlineLvl w:val="9"/>
    </w:pPr>
    <w:rPr>
      <w:rFonts w:ascii="Cambria" w:eastAsia="MS Gothic" w:hAnsi="Cambria"/>
      <w:bCs/>
      <w:color w:val="365F91"/>
      <w:szCs w:val="28"/>
      <w:lang w:val="en-US" w:eastAsia="ja-JP"/>
    </w:rPr>
  </w:style>
  <w:style w:type="paragraph" w:styleId="TOCHeading">
    <w:name w:val="TOC Heading"/>
    <w:basedOn w:val="Heading1"/>
    <w:next w:val="Normal"/>
    <w:uiPriority w:val="39"/>
    <w:qFormat/>
    <w:rsid w:val="00B6376F"/>
    <w:pPr>
      <w:widowControl/>
      <w:numPr>
        <w:numId w:val="0"/>
      </w:numPr>
      <w:spacing w:before="480" w:after="0" w:line="276" w:lineRule="auto"/>
      <w:outlineLvl w:val="9"/>
    </w:pPr>
    <w:rPr>
      <w:rFonts w:ascii="Cambria" w:eastAsia="MS Gothic" w:hAnsi="Cambria"/>
      <w:bCs/>
      <w:color w:val="365F91"/>
      <w:szCs w:val="28"/>
      <w:lang w:val="en-US" w:eastAsia="ja-JP"/>
    </w:rPr>
  </w:style>
  <w:style w:type="paragraph" w:styleId="Revision">
    <w:name w:val="Revision"/>
    <w:hidden/>
    <w:uiPriority w:val="99"/>
    <w:semiHidden/>
    <w:rsid w:val="00473F8A"/>
    <w:rPr>
      <w:rFonts w:cs="Times New Roman"/>
      <w:lang w:eastAsia="fi-FI"/>
    </w:rPr>
  </w:style>
  <w:style w:type="paragraph" w:styleId="NoSpacing">
    <w:name w:val="No Spacing"/>
    <w:uiPriority w:val="1"/>
    <w:qFormat/>
    <w:rsid w:val="001F5783"/>
    <w:pPr>
      <w:widowControl w:val="0"/>
    </w:pPr>
    <w:rPr>
      <w:rFonts w:cs="Times New Roman"/>
      <w:lang w:eastAsia="fi-FI"/>
    </w:rPr>
  </w:style>
  <w:style w:type="paragraph" w:styleId="ListParagraph">
    <w:name w:val="List Paragraph"/>
    <w:basedOn w:val="Normal"/>
    <w:uiPriority w:val="34"/>
    <w:qFormat/>
    <w:rsid w:val="003909BD"/>
    <w:pPr>
      <w:ind w:left="720"/>
    </w:pPr>
  </w:style>
  <w:style w:type="paragraph" w:customStyle="1" w:styleId="Default">
    <w:name w:val="Default"/>
    <w:rsid w:val="00B61257"/>
    <w:pPr>
      <w:autoSpaceDE w:val="0"/>
      <w:autoSpaceDN w:val="0"/>
      <w:adjustRightInd w:val="0"/>
    </w:pPr>
    <w:rPr>
      <w:rFonts w:ascii="Symbol" w:hAnsi="Symbol" w:cs="Symbol"/>
      <w:color w:val="000000"/>
      <w:sz w:val="24"/>
      <w:szCs w:val="24"/>
    </w:rPr>
  </w:style>
  <w:style w:type="numbering" w:customStyle="1" w:styleId="ECHABulletlist">
    <w:name w:val="ECHA Bullet list"/>
    <w:pPr>
      <w:numPr>
        <w:numId w:val="2"/>
      </w:numPr>
    </w:pPr>
  </w:style>
  <w:style w:type="numbering" w:customStyle="1" w:styleId="ECHANumberlist">
    <w:name w:val="ECHA Number list"/>
    <w:pPr>
      <w:numPr>
        <w:numId w:val="3"/>
      </w:numPr>
    </w:pPr>
  </w:style>
  <w:style w:type="character" w:customStyle="1" w:styleId="value1">
    <w:name w:val="value1"/>
    <w:rsid w:val="00554DC9"/>
    <w:rPr>
      <w:vanish w:val="0"/>
      <w:webHidden w:val="0"/>
      <w:color w:val="4A6463"/>
      <w:sz w:val="29"/>
      <w:szCs w:val="29"/>
      <w:specVanish w:val="0"/>
    </w:rPr>
  </w:style>
  <w:style w:type="paragraph" w:styleId="ListBullet">
    <w:name w:val="List Bullet"/>
    <w:next w:val="BodyText"/>
    <w:rsid w:val="00AF4F79"/>
    <w:pPr>
      <w:numPr>
        <w:numId w:val="21"/>
      </w:numPr>
      <w:tabs>
        <w:tab w:val="clear" w:pos="425"/>
        <w:tab w:val="left" w:pos="357"/>
      </w:tabs>
      <w:ind w:left="357" w:hanging="357"/>
      <w:jc w:val="both"/>
    </w:pPr>
    <w:rPr>
      <w:rFonts w:ascii="Times New Roman" w:hAnsi="Times New Roman" w:cs="Times New Roman"/>
      <w:sz w:val="24"/>
      <w:lang w:eastAsia="en-US"/>
    </w:rPr>
  </w:style>
  <w:style w:type="paragraph" w:customStyle="1" w:styleId="NormalLeft">
    <w:name w:val="Normal Left"/>
    <w:basedOn w:val="Normal"/>
    <w:rsid w:val="007E399C"/>
    <w:pPr>
      <w:autoSpaceDE w:val="0"/>
      <w:autoSpaceDN w:val="0"/>
      <w:spacing w:before="120" w:after="120"/>
      <w:jc w:val="both"/>
    </w:pPr>
    <w:rPr>
      <w:snapToGrid w:val="0"/>
      <w:lang w:eastAsia="en-GB"/>
    </w:rPr>
  </w:style>
  <w:style w:type="character" w:customStyle="1" w:styleId="cli-no-wrap">
    <w:name w:val="cli-no-wrap"/>
    <w:basedOn w:val="DefaultParagraphFont"/>
    <w:rsid w:val="007E399C"/>
  </w:style>
  <w:style w:type="character" w:customStyle="1" w:styleId="clinventoryhelpcursor3">
    <w:name w:val="clinventoryhelpcursor3"/>
    <w:basedOn w:val="DefaultParagraphFont"/>
    <w:rsid w:val="007E399C"/>
  </w:style>
  <w:style w:type="paragraph" w:customStyle="1" w:styleId="SupportDOCTitle">
    <w:name w:val="Support DOC Title"/>
    <w:basedOn w:val="Covertitle"/>
    <w:rsid w:val="00A22761"/>
    <w:pPr>
      <w:spacing w:before="120" w:after="120"/>
      <w:ind w:left="2552"/>
      <w:jc w:val="left"/>
    </w:pPr>
    <w:rPr>
      <w:rFonts w:ascii="Times New Roman Bold" w:hAnsi="Times New Roman Bold"/>
    </w:rPr>
  </w:style>
  <w:style w:type="paragraph" w:styleId="HTMLPreformatted">
    <w:name w:val="HTML Preformatted"/>
    <w:basedOn w:val="Normal"/>
    <w:link w:val="HTMLPreformattedChar"/>
    <w:uiPriority w:val="99"/>
    <w:semiHidden/>
    <w:unhideWhenUsed/>
    <w:rsid w:val="00907B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AT" w:eastAsia="de-AT"/>
    </w:rPr>
  </w:style>
  <w:style w:type="character" w:customStyle="1" w:styleId="HTMLPreformattedChar">
    <w:name w:val="HTML Preformatted Char"/>
    <w:basedOn w:val="DefaultParagraphFont"/>
    <w:link w:val="HTMLPreformatted"/>
    <w:uiPriority w:val="99"/>
    <w:semiHidden/>
    <w:rsid w:val="00907B55"/>
    <w:rPr>
      <w:rFonts w:ascii="Courier New" w:hAnsi="Courier New" w:cs="Courier New"/>
      <w:lang w:val="de-AT" w:eastAsia="de-AT"/>
    </w:rPr>
  </w:style>
  <w:style w:type="table" w:customStyle="1" w:styleId="TableNormal1">
    <w:name w:val="Table Normal1"/>
    <w:uiPriority w:val="2"/>
    <w:semiHidden/>
    <w:unhideWhenUsed/>
    <w:qFormat/>
    <w:rsid w:val="004B733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7333"/>
    <w:pPr>
      <w:autoSpaceDE w:val="0"/>
      <w:autoSpaceDN w:val="0"/>
      <w:spacing w:before="23"/>
      <w:ind w:left="103"/>
    </w:pPr>
    <w:rPr>
      <w:rFonts w:ascii="Arial" w:eastAsia="Arial" w:hAnsi="Arial" w:cs="Arial"/>
      <w:sz w:val="22"/>
      <w:szCs w:val="22"/>
      <w:lang w:val="en-US" w:eastAsia="en-US"/>
    </w:rPr>
  </w:style>
  <w:style w:type="character" w:customStyle="1" w:styleId="hvr">
    <w:name w:val="hvr"/>
    <w:basedOn w:val="DefaultParagraphFont"/>
    <w:rsid w:val="000B1263"/>
  </w:style>
  <w:style w:type="paragraph" w:styleId="EndnoteText">
    <w:name w:val="endnote text"/>
    <w:basedOn w:val="Normal"/>
    <w:link w:val="EndnoteTextChar"/>
    <w:rsid w:val="005002B5"/>
    <w:rPr>
      <w:snapToGrid w:val="0"/>
    </w:rPr>
  </w:style>
  <w:style w:type="character" w:customStyle="1" w:styleId="EndnoteTextChar">
    <w:name w:val="Endnote Text Char"/>
    <w:basedOn w:val="DefaultParagraphFont"/>
    <w:link w:val="EndnoteText"/>
    <w:rsid w:val="005002B5"/>
    <w:rPr>
      <w:rFonts w:cs="Times New Roman"/>
      <w:snapToGrid w:val="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899838">
      <w:bodyDiv w:val="1"/>
      <w:marLeft w:val="0"/>
      <w:marRight w:val="0"/>
      <w:marTop w:val="0"/>
      <w:marBottom w:val="0"/>
      <w:divBdr>
        <w:top w:val="none" w:sz="0" w:space="0" w:color="auto"/>
        <w:left w:val="none" w:sz="0" w:space="0" w:color="auto"/>
        <w:bottom w:val="none" w:sz="0" w:space="0" w:color="auto"/>
        <w:right w:val="none" w:sz="0" w:space="0" w:color="auto"/>
      </w:divBdr>
    </w:div>
    <w:div w:id="819227394">
      <w:bodyDiv w:val="1"/>
      <w:marLeft w:val="0"/>
      <w:marRight w:val="0"/>
      <w:marTop w:val="0"/>
      <w:marBottom w:val="0"/>
      <w:divBdr>
        <w:top w:val="none" w:sz="0" w:space="0" w:color="auto"/>
        <w:left w:val="none" w:sz="0" w:space="0" w:color="auto"/>
        <w:bottom w:val="none" w:sz="0" w:space="0" w:color="auto"/>
        <w:right w:val="none" w:sz="0" w:space="0" w:color="auto"/>
      </w:divBdr>
    </w:div>
    <w:div w:id="842206097">
      <w:bodyDiv w:val="1"/>
      <w:marLeft w:val="0"/>
      <w:marRight w:val="0"/>
      <w:marTop w:val="0"/>
      <w:marBottom w:val="0"/>
      <w:divBdr>
        <w:top w:val="none" w:sz="0" w:space="0" w:color="auto"/>
        <w:left w:val="none" w:sz="0" w:space="0" w:color="auto"/>
        <w:bottom w:val="none" w:sz="0" w:space="0" w:color="auto"/>
        <w:right w:val="none" w:sz="0" w:space="0" w:color="auto"/>
      </w:divBdr>
    </w:div>
    <w:div w:id="856577556">
      <w:bodyDiv w:val="1"/>
      <w:marLeft w:val="0"/>
      <w:marRight w:val="0"/>
      <w:marTop w:val="0"/>
      <w:marBottom w:val="0"/>
      <w:divBdr>
        <w:top w:val="none" w:sz="0" w:space="0" w:color="auto"/>
        <w:left w:val="none" w:sz="0" w:space="0" w:color="auto"/>
        <w:bottom w:val="none" w:sz="0" w:space="0" w:color="auto"/>
        <w:right w:val="none" w:sz="0" w:space="0" w:color="auto"/>
      </w:divBdr>
    </w:div>
    <w:div w:id="900285397">
      <w:bodyDiv w:val="1"/>
      <w:marLeft w:val="0"/>
      <w:marRight w:val="0"/>
      <w:marTop w:val="0"/>
      <w:marBottom w:val="0"/>
      <w:divBdr>
        <w:top w:val="none" w:sz="0" w:space="0" w:color="auto"/>
        <w:left w:val="none" w:sz="0" w:space="0" w:color="auto"/>
        <w:bottom w:val="none" w:sz="0" w:space="0" w:color="auto"/>
        <w:right w:val="none" w:sz="0" w:space="0" w:color="auto"/>
      </w:divBdr>
    </w:div>
    <w:div w:id="927693776">
      <w:bodyDiv w:val="1"/>
      <w:marLeft w:val="0"/>
      <w:marRight w:val="0"/>
      <w:marTop w:val="0"/>
      <w:marBottom w:val="0"/>
      <w:divBdr>
        <w:top w:val="none" w:sz="0" w:space="0" w:color="auto"/>
        <w:left w:val="none" w:sz="0" w:space="0" w:color="auto"/>
        <w:bottom w:val="none" w:sz="0" w:space="0" w:color="auto"/>
        <w:right w:val="none" w:sz="0" w:space="0" w:color="auto"/>
      </w:divBdr>
    </w:div>
    <w:div w:id="1526289818">
      <w:bodyDiv w:val="1"/>
      <w:marLeft w:val="0"/>
      <w:marRight w:val="0"/>
      <w:marTop w:val="0"/>
      <w:marBottom w:val="0"/>
      <w:divBdr>
        <w:top w:val="none" w:sz="0" w:space="0" w:color="auto"/>
        <w:left w:val="none" w:sz="0" w:space="0" w:color="auto"/>
        <w:bottom w:val="none" w:sz="0" w:space="0" w:color="auto"/>
        <w:right w:val="none" w:sz="0" w:space="0" w:color="auto"/>
      </w:divBdr>
    </w:div>
    <w:div w:id="1588539924">
      <w:bodyDiv w:val="1"/>
      <w:marLeft w:val="0"/>
      <w:marRight w:val="0"/>
      <w:marTop w:val="0"/>
      <w:marBottom w:val="0"/>
      <w:divBdr>
        <w:top w:val="none" w:sz="0" w:space="0" w:color="auto"/>
        <w:left w:val="none" w:sz="0" w:space="0" w:color="auto"/>
        <w:bottom w:val="none" w:sz="0" w:space="0" w:color="auto"/>
        <w:right w:val="none" w:sz="0" w:space="0" w:color="auto"/>
      </w:divBdr>
    </w:div>
    <w:div w:id="1670712953">
      <w:bodyDiv w:val="1"/>
      <w:marLeft w:val="0"/>
      <w:marRight w:val="0"/>
      <w:marTop w:val="0"/>
      <w:marBottom w:val="0"/>
      <w:divBdr>
        <w:top w:val="none" w:sz="0" w:space="0" w:color="auto"/>
        <w:left w:val="none" w:sz="0" w:space="0" w:color="auto"/>
        <w:bottom w:val="none" w:sz="0" w:space="0" w:color="auto"/>
        <w:right w:val="none" w:sz="0" w:space="0" w:color="auto"/>
      </w:divBdr>
    </w:div>
    <w:div w:id="2000305926">
      <w:marLeft w:val="0"/>
      <w:marRight w:val="0"/>
      <w:marTop w:val="0"/>
      <w:marBottom w:val="0"/>
      <w:divBdr>
        <w:top w:val="none" w:sz="0" w:space="0" w:color="auto"/>
        <w:left w:val="none" w:sz="0" w:space="0" w:color="auto"/>
        <w:bottom w:val="none" w:sz="0" w:space="0" w:color="auto"/>
        <w:right w:val="none" w:sz="0" w:space="0" w:color="auto"/>
      </w:divBdr>
    </w:div>
    <w:div w:id="2000305927">
      <w:marLeft w:val="0"/>
      <w:marRight w:val="0"/>
      <w:marTop w:val="0"/>
      <w:marBottom w:val="0"/>
      <w:divBdr>
        <w:top w:val="none" w:sz="0" w:space="0" w:color="auto"/>
        <w:left w:val="none" w:sz="0" w:space="0" w:color="auto"/>
        <w:bottom w:val="none" w:sz="0" w:space="0" w:color="auto"/>
        <w:right w:val="none" w:sz="0" w:space="0" w:color="auto"/>
      </w:divBdr>
    </w:div>
    <w:div w:id="2000305928">
      <w:marLeft w:val="0"/>
      <w:marRight w:val="0"/>
      <w:marTop w:val="0"/>
      <w:marBottom w:val="0"/>
      <w:divBdr>
        <w:top w:val="none" w:sz="0" w:space="0" w:color="auto"/>
        <w:left w:val="none" w:sz="0" w:space="0" w:color="auto"/>
        <w:bottom w:val="none" w:sz="0" w:space="0" w:color="auto"/>
        <w:right w:val="none" w:sz="0" w:space="0" w:color="auto"/>
      </w:divBdr>
    </w:div>
    <w:div w:id="2000305929">
      <w:marLeft w:val="0"/>
      <w:marRight w:val="0"/>
      <w:marTop w:val="0"/>
      <w:marBottom w:val="0"/>
      <w:divBdr>
        <w:top w:val="none" w:sz="0" w:space="0" w:color="auto"/>
        <w:left w:val="none" w:sz="0" w:space="0" w:color="auto"/>
        <w:bottom w:val="none" w:sz="0" w:space="0" w:color="auto"/>
        <w:right w:val="none" w:sz="0" w:space="0" w:color="auto"/>
      </w:divBdr>
    </w:div>
    <w:div w:id="2000305930">
      <w:marLeft w:val="0"/>
      <w:marRight w:val="0"/>
      <w:marTop w:val="0"/>
      <w:marBottom w:val="0"/>
      <w:divBdr>
        <w:top w:val="none" w:sz="0" w:space="0" w:color="auto"/>
        <w:left w:val="none" w:sz="0" w:space="0" w:color="auto"/>
        <w:bottom w:val="none" w:sz="0" w:space="0" w:color="auto"/>
        <w:right w:val="none" w:sz="0" w:space="0" w:color="auto"/>
      </w:divBdr>
    </w:div>
    <w:div w:id="2000305931">
      <w:marLeft w:val="0"/>
      <w:marRight w:val="0"/>
      <w:marTop w:val="0"/>
      <w:marBottom w:val="0"/>
      <w:divBdr>
        <w:top w:val="none" w:sz="0" w:space="0" w:color="auto"/>
        <w:left w:val="none" w:sz="0" w:space="0" w:color="auto"/>
        <w:bottom w:val="none" w:sz="0" w:space="0" w:color="auto"/>
        <w:right w:val="none" w:sz="0" w:space="0" w:color="auto"/>
      </w:divBdr>
    </w:div>
    <w:div w:id="2000305932">
      <w:marLeft w:val="0"/>
      <w:marRight w:val="0"/>
      <w:marTop w:val="0"/>
      <w:marBottom w:val="0"/>
      <w:divBdr>
        <w:top w:val="none" w:sz="0" w:space="0" w:color="auto"/>
        <w:left w:val="none" w:sz="0" w:space="0" w:color="auto"/>
        <w:bottom w:val="none" w:sz="0" w:space="0" w:color="auto"/>
        <w:right w:val="none" w:sz="0" w:space="0" w:color="auto"/>
      </w:divBdr>
    </w:div>
    <w:div w:id="2000305933">
      <w:marLeft w:val="0"/>
      <w:marRight w:val="0"/>
      <w:marTop w:val="0"/>
      <w:marBottom w:val="0"/>
      <w:divBdr>
        <w:top w:val="none" w:sz="0" w:space="0" w:color="auto"/>
        <w:left w:val="none" w:sz="0" w:space="0" w:color="auto"/>
        <w:bottom w:val="none" w:sz="0" w:space="0" w:color="auto"/>
        <w:right w:val="none" w:sz="0" w:space="0" w:color="auto"/>
      </w:divBdr>
    </w:div>
    <w:div w:id="213794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cha.europa.eu/de/substance-information/-/substanceinfo/100.091.13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cha.europa.eu/web/guest/information-on-chemicals/cl-inventory-database" TargetMode="External"/><Relationship Id="rId3" Type="http://schemas.openxmlformats.org/officeDocument/2006/relationships/hyperlink" Target="https://echa.europa.eu/de/registration-dossier/-/registered-dossier/12316" TargetMode="External"/><Relationship Id="rId7" Type="http://schemas.openxmlformats.org/officeDocument/2006/relationships/hyperlink" Target="https://echa.europa.eu/substance-information/-/substanceinfo/100.226.747" TargetMode="External"/><Relationship Id="rId2" Type="http://schemas.openxmlformats.org/officeDocument/2006/relationships/hyperlink" Target="https://echa.europa.eu/documents/10162/f3dba6ab-8dd8-2457-4213-2f390b0539f1" TargetMode="External"/><Relationship Id="rId1" Type="http://schemas.openxmlformats.org/officeDocument/2006/relationships/hyperlink" Target="https://echa.europa.eu/documents/10162/0f8c5cf3-ccb7-3df6-c351-1c2df00cbc91" TargetMode="External"/><Relationship Id="rId6" Type="http://schemas.openxmlformats.org/officeDocument/2006/relationships/hyperlink" Target="https://echa.europa.eu/documents/10162/f3dba6ab-8dd8-2457-4213-2f390b0539f1" TargetMode="External"/><Relationship Id="rId11" Type="http://schemas.openxmlformats.org/officeDocument/2006/relationships/hyperlink" Target="https://java.epa.gov/oppt_chemical_search/" TargetMode="External"/><Relationship Id="rId5" Type="http://schemas.openxmlformats.org/officeDocument/2006/relationships/hyperlink" Target="https://echa.europa.eu/documents/10162/0f8c5cf3-ccb7-3df6-c351-1c2df00cbc91" TargetMode="External"/><Relationship Id="rId10" Type="http://schemas.openxmlformats.org/officeDocument/2006/relationships/hyperlink" Target="https://java.epa.gov/oppt_chemical_search/" TargetMode="External"/><Relationship Id="rId4" Type="http://schemas.openxmlformats.org/officeDocument/2006/relationships/hyperlink" Target="https://echa.europa.eu/documents/10162/f3dba6ab-8dd8-2457-4213-2f390b0539f1" TargetMode="External"/><Relationship Id="rId9" Type="http://schemas.openxmlformats.org/officeDocument/2006/relationships/hyperlink" Target="https://echa.europa.eu/documents/10162/0f8c5cf3-ccb7-3df6-c351-1c2df00cbc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DD4FDD6E4B78FC41B62B6C4D47C7107E" ma:contentTypeVersion="16" ma:contentTypeDescription="Content type for ECHA process documents" ma:contentTypeScope="" ma:versionID="0113b05c1f05d57c4172b60fd863b172">
  <xsd:schema xmlns:xsd="http://www.w3.org/2001/XMLSchema" xmlns:xs="http://www.w3.org/2001/XMLSchema" xmlns:p="http://schemas.microsoft.com/office/2006/metadata/properties" xmlns:ns2="4811b924-dee2-413a-bdc8-2cc023473c17" xmlns:ns3="b80ede5c-af4c-4bf2-9a87-706a3579dc11" targetNamespace="http://schemas.microsoft.com/office/2006/metadata/properties" ma:root="true" ma:fieldsID="f4d5235ea4be938ed52839c5b79c8146" ns2:_="" ns3:_="">
    <xsd:import namespace="4811b924-dee2-413a-bdc8-2cc023473c17"/>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3:TaxCatchAll" minOccurs="0"/>
                <xsd:element ref="ns3: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1b924-dee2-413a-bdc8-2cc023473c17"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2f01920a-32c0-4bfc-852f-a78ec103ad1f}" ma:internalName="TaxCatchAll" ma:showField="CatchAllData" ma:web="4811b924-dee2-413a-bdc8-2cc023473c1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f01920a-32c0-4bfc-852f-a78ec103ad1f}" ma:internalName="TaxCatchAllLabel" ma:readOnly="true" ma:showField="CatchAllDataLabel" ma:web="4811b924-dee2-413a-bdc8-2cc023473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ECHAProcessTaxHTField0 xmlns="4811b924-dee2-413a-bdc8-2cc023473c17">
      <Terms xmlns="http://schemas.microsoft.com/office/infopath/2007/PartnerControls">
        <TermInfo xmlns="http://schemas.microsoft.com/office/infopath/2007/PartnerControls">
          <TermName xmlns="http://schemas.microsoft.com/office/infopath/2007/PartnerControls">03.02 Identification of SVHC</TermName>
          <TermId xmlns="http://schemas.microsoft.com/office/infopath/2007/PartnerControls">fac8bca8-be2f-4140-b9c1-52d35de63c6b</TermId>
        </TermInfo>
      </Terms>
    </ECHAProcessTaxHTField0>
    <ECHACategoryTaxHTField0 xmlns="4811b924-dee2-413a-bdc8-2cc023473c17">
      <Terms xmlns="http://schemas.microsoft.com/office/infopath/2007/PartnerControls"/>
    </ECHACategoryTaxHTField0>
    <TaxCatchAll xmlns="b80ede5c-af4c-4bf2-9a87-706a3579dc11">
      <Value>13</Value>
      <Value>1</Value>
    </TaxCatchAll>
    <ECHADocumentTypeTaxHTField0 xmlns="4811b924-dee2-413a-bdc8-2cc023473c17">
      <Terms xmlns="http://schemas.microsoft.com/office/infopath/2007/PartnerControls"/>
    </ECHADocumentTypeTaxHTField0>
    <ECHASecClassTaxHTField0 xmlns="4811b924-dee2-413a-bdc8-2cc023473c17">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a0307bc2-faf9-4068-8aeb-b713e4fa2a0f</TermId>
        </TermInfo>
      </Terms>
    </ECHASecClassTaxHTField0>
    <_dlc_DocId xmlns="b80ede5c-af4c-4bf2-9a87-706a3579dc11">ACTV3-17-428</_dlc_DocId>
    <_dlc_DocIdUrl xmlns="b80ede5c-af4c-4bf2-9a87-706a3579dc11">
      <Url>https://activity.echa.europa.eu/sites/act-3/process-3-2/_layouts/DocIdRedir.aspx?ID=ACTV3-17-428</Url>
      <Description>ACTV3-17-428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4FA8D-8C0F-4176-A3B2-179A5853A8D4}">
  <ds:schemaRefs>
    <ds:schemaRef ds:uri="http://schemas.microsoft.com/sharepoint/v3/contenttype/forms"/>
  </ds:schemaRefs>
</ds:datastoreItem>
</file>

<file path=customXml/itemProps2.xml><?xml version="1.0" encoding="utf-8"?>
<ds:datastoreItem xmlns:ds="http://schemas.openxmlformats.org/officeDocument/2006/customXml" ds:itemID="{9846D0A0-F05C-4F72-9DAC-451E5B527C2D}">
  <ds:schemaRefs>
    <ds:schemaRef ds:uri="http://schemas.microsoft.com/office/2006/metadata/longProperties"/>
  </ds:schemaRefs>
</ds:datastoreItem>
</file>

<file path=customXml/itemProps3.xml><?xml version="1.0" encoding="utf-8"?>
<ds:datastoreItem xmlns:ds="http://schemas.openxmlformats.org/officeDocument/2006/customXml" ds:itemID="{578B4E57-DE0D-4883-A998-30D6033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1b924-dee2-413a-bdc8-2cc023473c17"/>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66D1D-BB90-4201-8DE5-92401F04A9FF}">
  <ds:schemaRefs>
    <ds:schemaRef ds:uri="Microsoft.SharePoint.Taxonomy.ContentTypeSync"/>
  </ds:schemaRefs>
</ds:datastoreItem>
</file>

<file path=customXml/itemProps5.xml><?xml version="1.0" encoding="utf-8"?>
<ds:datastoreItem xmlns:ds="http://schemas.openxmlformats.org/officeDocument/2006/customXml" ds:itemID="{9AAE77C9-E8AF-4FE2-8E90-0EFAFFA0AA40}">
  <ds:schemaRefs>
    <ds:schemaRef ds:uri="http://schemas.microsoft.com/sharepoint/events"/>
  </ds:schemaRefs>
</ds:datastoreItem>
</file>

<file path=customXml/itemProps6.xml><?xml version="1.0" encoding="utf-8"?>
<ds:datastoreItem xmlns:ds="http://schemas.openxmlformats.org/officeDocument/2006/customXml" ds:itemID="{646CE269-1E98-411A-A103-D2EC417022C6}">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4811b924-dee2-413a-bdc8-2cc023473c17"/>
    <ds:schemaRef ds:uri="b80ede5c-af4c-4bf2-9a87-706a3579dc11"/>
    <ds:schemaRef ds:uri="http://www.w3.org/XML/1998/namespace"/>
  </ds:schemaRefs>
</ds:datastoreItem>
</file>

<file path=customXml/itemProps7.xml><?xml version="1.0" encoding="utf-8"?>
<ds:datastoreItem xmlns:ds="http://schemas.openxmlformats.org/officeDocument/2006/customXml" ds:itemID="{56F9865F-282A-4723-BBD7-BC261318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9819EC94.dotm</Template>
  <TotalTime>13</TotalTime>
  <Pages>23</Pages>
  <Words>6279</Words>
  <Characters>35794</Characters>
  <Application>Microsoft Office Word</Application>
  <DocSecurity>0</DocSecurity>
  <Lines>298</Lines>
  <Paragraphs>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 XV report</vt:lpstr>
      <vt:lpstr>Annex XV report</vt:lpstr>
    </vt:vector>
  </TitlesOfParts>
  <Company>European Chemicals Agency</Company>
  <LinksUpToDate>false</LinksUpToDate>
  <CharactersWithSpaces>41990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XV report</dc:title>
  <dc:creator>NORAH OFARRELL</dc:creator>
  <cp:lastModifiedBy>CLENAGHAN Conor</cp:lastModifiedBy>
  <cp:revision>5</cp:revision>
  <cp:lastPrinted>2017-08-07T09:36:00Z</cp:lastPrinted>
  <dcterms:created xsi:type="dcterms:W3CDTF">2017-08-29T12:59:00Z</dcterms:created>
  <dcterms:modified xsi:type="dcterms:W3CDTF">2017-08-29T13:40:00Z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0x010100B558917389A54ADDB58930FBD7E6FD57008586DED9191B4C4CBD31A5DF7F304A7100DD4FDD6E4B78FC41B62B6C4D47C7107E</vt:lpwstr>
  </property>
  <property fmtid="{D5CDD505-2E9C-101B-9397-08002B2CF9AE}" pid="3" name="ECHAProcess">
    <vt:lpwstr>13;#03.02 Identification of SVHC|fac8bca8-be2f-4140-b9c1-52d35de63c6b</vt:lpwstr>
  </property>
  <property fmtid="{D5CDD505-2E9C-101B-9397-08002B2CF9AE}" pid="4" name="ECHADocumentType">
    <vt:lpwstr/>
  </property>
  <property fmtid="{D5CDD505-2E9C-101B-9397-08002B2CF9AE}" pid="5" name="ECHASecClass">
    <vt:lpwstr>1;#|a0307bc2-faf9-4068-8aeb-b713e4fa2a0f</vt:lpwstr>
  </property>
  <property fmtid="{D5CDD505-2E9C-101B-9397-08002B2CF9AE}" pid="6" name="ECHACategory">
    <vt:lpwstr/>
  </property>
  <property fmtid="{D5CDD505-2E9C-101B-9397-08002B2CF9AE}" pid="7" name="_dlc_DocIdItemGuid">
    <vt:lpwstr>4c53ebc0-4e27-46a8-81e3-bddeca35670c</vt:lpwstr>
  </property>
</Properties>
</file>