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0414" w14:textId="77777777" w:rsidR="00D579EB" w:rsidRPr="00190AB2" w:rsidRDefault="00D579EB">
      <w:pPr>
        <w:tabs>
          <w:tab w:val="right" w:pos="9026"/>
        </w:tabs>
        <w:suppressAutoHyphens/>
        <w:jc w:val="center"/>
        <w:rPr>
          <w:spacing w:val="-3"/>
          <w:u w:val="single"/>
          <w:lang w:val="en-IE"/>
        </w:rPr>
      </w:pPr>
    </w:p>
    <w:p w14:paraId="7E5C6202" w14:textId="77777777" w:rsidR="00D579EB" w:rsidRPr="00190AB2" w:rsidRDefault="00B924D7">
      <w:pPr>
        <w:tabs>
          <w:tab w:val="right" w:pos="9026"/>
        </w:tabs>
        <w:suppressAutoHyphens/>
        <w:jc w:val="center"/>
        <w:rPr>
          <w:spacing w:val="-3"/>
          <w:u w:val="single"/>
          <w:lang w:val="en-IE"/>
        </w:rPr>
      </w:pPr>
      <w:r w:rsidRPr="00190AB2">
        <w:rPr>
          <w:noProof/>
          <w:lang w:val="en-IE" w:eastAsia="en-IE"/>
        </w:rPr>
        <w:drawing>
          <wp:inline distT="0" distB="0" distL="0" distR="0" wp14:anchorId="3544FF9F" wp14:editId="330F3F85">
            <wp:extent cx="6572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inline>
        </w:drawing>
      </w:r>
    </w:p>
    <w:p w14:paraId="3928D28D" w14:textId="77777777" w:rsidR="005466B2" w:rsidRPr="00190AB2" w:rsidRDefault="005466B2" w:rsidP="005466B2">
      <w:pPr>
        <w:tabs>
          <w:tab w:val="right" w:pos="9026"/>
        </w:tabs>
        <w:suppressAutoHyphens/>
        <w:jc w:val="center"/>
        <w:rPr>
          <w:spacing w:val="-3"/>
          <w:u w:val="single"/>
          <w:lang w:val="en-IE"/>
        </w:rPr>
      </w:pPr>
    </w:p>
    <w:p w14:paraId="6E222D62" w14:textId="77777777" w:rsidR="00D579EB" w:rsidRPr="00190AB2" w:rsidRDefault="00D579EB" w:rsidP="005466B2">
      <w:pPr>
        <w:tabs>
          <w:tab w:val="right" w:pos="9026"/>
        </w:tabs>
        <w:suppressAutoHyphens/>
        <w:jc w:val="right"/>
        <w:rPr>
          <w:spacing w:val="-3"/>
          <w:lang w:val="en-IE"/>
        </w:rPr>
      </w:pPr>
      <w:r w:rsidRPr="00190AB2">
        <w:rPr>
          <w:spacing w:val="-3"/>
          <w:u w:val="single"/>
          <w:lang w:val="en-IE"/>
        </w:rPr>
        <w:t>AUTHORISATION NUMBER:</w:t>
      </w:r>
      <w:r w:rsidR="0074066A" w:rsidRPr="00190AB2">
        <w:rPr>
          <w:spacing w:val="-3"/>
          <w:lang w:val="en-IE"/>
        </w:rPr>
        <w:t xml:space="preserve"> </w:t>
      </w:r>
      <w:r w:rsidR="005466B2" w:rsidRPr="00190AB2">
        <w:rPr>
          <w:b/>
          <w:spacing w:val="-3"/>
          <w:lang w:val="en-IE"/>
        </w:rPr>
        <w:t>I</w:t>
      </w:r>
      <w:r w:rsidRPr="00190AB2">
        <w:rPr>
          <w:b/>
          <w:spacing w:val="-3"/>
          <w:lang w:val="en-IE"/>
        </w:rPr>
        <w:t xml:space="preserve">E/BPA </w:t>
      </w:r>
      <w:r w:rsidR="00C8487F" w:rsidRPr="00190AB2">
        <w:rPr>
          <w:b/>
          <w:spacing w:val="-3"/>
          <w:lang w:val="en-IE"/>
        </w:rPr>
        <w:t>70751</w:t>
      </w:r>
    </w:p>
    <w:p w14:paraId="3033F15A" w14:textId="77777777" w:rsidR="00D579EB" w:rsidRPr="00190AB2" w:rsidRDefault="00860F82" w:rsidP="00860F82">
      <w:pPr>
        <w:tabs>
          <w:tab w:val="left" w:pos="-720"/>
        </w:tabs>
        <w:suppressAutoHyphens/>
        <w:jc w:val="right"/>
        <w:rPr>
          <w:spacing w:val="-3"/>
          <w:lang w:val="en-IE"/>
        </w:rPr>
      </w:pPr>
      <w:r w:rsidRPr="00190AB2">
        <w:rPr>
          <w:spacing w:val="-3"/>
          <w:lang w:val="en-IE"/>
        </w:rPr>
        <w:tab/>
      </w:r>
      <w:r w:rsidRPr="00190AB2">
        <w:rPr>
          <w:spacing w:val="-3"/>
          <w:lang w:val="en-IE"/>
        </w:rPr>
        <w:tab/>
      </w:r>
      <w:r w:rsidRPr="00190AB2">
        <w:rPr>
          <w:spacing w:val="-3"/>
          <w:lang w:val="en-IE"/>
        </w:rPr>
        <w:tab/>
      </w:r>
      <w:r w:rsidRPr="00190AB2">
        <w:rPr>
          <w:spacing w:val="-3"/>
          <w:lang w:val="en-IE"/>
        </w:rPr>
        <w:tab/>
      </w:r>
      <w:r w:rsidRPr="00190AB2">
        <w:rPr>
          <w:spacing w:val="-3"/>
          <w:lang w:val="en-IE"/>
        </w:rPr>
        <w:tab/>
      </w:r>
      <w:r w:rsidRPr="00190AB2">
        <w:rPr>
          <w:spacing w:val="-3"/>
          <w:lang w:val="en-IE"/>
        </w:rPr>
        <w:tab/>
      </w:r>
    </w:p>
    <w:p w14:paraId="53BEE123" w14:textId="77777777" w:rsidR="00D579EB" w:rsidRPr="00190AB2" w:rsidRDefault="00D579EB">
      <w:pPr>
        <w:tabs>
          <w:tab w:val="center" w:pos="4513"/>
        </w:tabs>
        <w:suppressAutoHyphens/>
        <w:jc w:val="center"/>
        <w:rPr>
          <w:spacing w:val="-3"/>
          <w:u w:val="single"/>
          <w:lang w:val="en-IE"/>
        </w:rPr>
      </w:pPr>
      <w:r w:rsidRPr="00190AB2">
        <w:rPr>
          <w:spacing w:val="-3"/>
          <w:u w:val="single"/>
          <w:lang w:val="en-IE"/>
        </w:rPr>
        <w:t xml:space="preserve">EUROPEAN COMMUNITIES (AUTHORISATION, PLACING ON THE MARKET, </w:t>
      </w:r>
    </w:p>
    <w:p w14:paraId="5CCFD494" w14:textId="77777777" w:rsidR="00D579EB" w:rsidRPr="00190AB2" w:rsidRDefault="00D579EB">
      <w:pPr>
        <w:tabs>
          <w:tab w:val="center" w:pos="4513"/>
        </w:tabs>
        <w:suppressAutoHyphens/>
        <w:jc w:val="center"/>
        <w:rPr>
          <w:spacing w:val="-3"/>
          <w:u w:val="single"/>
          <w:lang w:val="en-IE"/>
        </w:rPr>
      </w:pPr>
      <w:r w:rsidRPr="00190AB2">
        <w:rPr>
          <w:spacing w:val="-3"/>
          <w:u w:val="single"/>
          <w:lang w:val="en-IE"/>
        </w:rPr>
        <w:t xml:space="preserve">USE AND CONTROL OF BIOCIDAL PRODUCTS) </w:t>
      </w:r>
    </w:p>
    <w:p w14:paraId="2C1B1BF1" w14:textId="77777777" w:rsidR="00D579EB" w:rsidRPr="00190AB2" w:rsidRDefault="00D579EB">
      <w:pPr>
        <w:tabs>
          <w:tab w:val="center" w:pos="4513"/>
        </w:tabs>
        <w:suppressAutoHyphens/>
        <w:jc w:val="center"/>
        <w:rPr>
          <w:spacing w:val="-3"/>
          <w:lang w:val="en-IE"/>
        </w:rPr>
      </w:pPr>
      <w:r w:rsidRPr="00190AB2">
        <w:rPr>
          <w:spacing w:val="-3"/>
          <w:u w:val="single"/>
          <w:lang w:val="en-IE"/>
        </w:rPr>
        <w:t>REGULATIONS</w:t>
      </w:r>
    </w:p>
    <w:p w14:paraId="270BAECA" w14:textId="77777777" w:rsidR="00D579EB" w:rsidRPr="00190AB2" w:rsidRDefault="00D579EB">
      <w:pPr>
        <w:tabs>
          <w:tab w:val="left" w:pos="-720"/>
        </w:tabs>
        <w:suppressAutoHyphens/>
        <w:jc w:val="both"/>
        <w:rPr>
          <w:spacing w:val="-3"/>
          <w:lang w:val="en-IE"/>
        </w:rPr>
      </w:pPr>
    </w:p>
    <w:p w14:paraId="063D44BE" w14:textId="77777777" w:rsidR="00D579EB" w:rsidRPr="00190AB2" w:rsidRDefault="00D579EB">
      <w:pPr>
        <w:tabs>
          <w:tab w:val="center" w:pos="4513"/>
        </w:tabs>
        <w:suppressAutoHyphens/>
        <w:jc w:val="center"/>
        <w:rPr>
          <w:spacing w:val="-3"/>
          <w:lang w:val="en-IE"/>
        </w:rPr>
      </w:pPr>
      <w:r w:rsidRPr="00190AB2">
        <w:rPr>
          <w:spacing w:val="-3"/>
          <w:u w:val="single"/>
          <w:lang w:val="en-IE"/>
        </w:rPr>
        <w:t>CERTIFICATE OF AUTHORISATION</w:t>
      </w:r>
      <w:r w:rsidRPr="00190AB2">
        <w:rPr>
          <w:spacing w:val="-3"/>
          <w:highlight w:val="yellow"/>
          <w:u w:val="single"/>
          <w:lang w:val="en-IE"/>
        </w:rPr>
        <w:t xml:space="preserve"> </w:t>
      </w:r>
    </w:p>
    <w:p w14:paraId="7782D9D4" w14:textId="77777777" w:rsidR="00D579EB" w:rsidRPr="00190AB2" w:rsidRDefault="00D579EB">
      <w:pPr>
        <w:tabs>
          <w:tab w:val="left" w:pos="-720"/>
        </w:tabs>
        <w:suppressAutoHyphens/>
        <w:jc w:val="both"/>
        <w:rPr>
          <w:spacing w:val="-3"/>
          <w:lang w:val="en-IE"/>
        </w:rPr>
      </w:pPr>
    </w:p>
    <w:p w14:paraId="71EB8BAE" w14:textId="77777777" w:rsidR="00D579EB" w:rsidRPr="00190AB2" w:rsidRDefault="00D579EB">
      <w:pPr>
        <w:rPr>
          <w:lang w:val="en-IE"/>
        </w:rPr>
      </w:pPr>
      <w:r w:rsidRPr="00190AB2">
        <w:rPr>
          <w:lang w:val="en-IE"/>
        </w:rPr>
        <w:t xml:space="preserve">The </w:t>
      </w:r>
      <w:r w:rsidR="00045F6B" w:rsidRPr="00190AB2">
        <w:rPr>
          <w:lang w:val="en-IE"/>
        </w:rPr>
        <w:t>Competent Authority for Biocides in Ireland</w:t>
      </w:r>
      <w:r w:rsidR="001504AB" w:rsidRPr="00190AB2">
        <w:rPr>
          <w:lang w:val="en-IE"/>
        </w:rPr>
        <w:t>,</w:t>
      </w:r>
      <w:r w:rsidR="004F6387" w:rsidRPr="00190AB2">
        <w:rPr>
          <w:lang w:val="en-IE"/>
        </w:rPr>
        <w:t xml:space="preserve"> </w:t>
      </w:r>
      <w:r w:rsidRPr="00190AB2">
        <w:rPr>
          <w:lang w:val="en-IE"/>
        </w:rPr>
        <w:t>pursuant to the provisions of</w:t>
      </w:r>
      <w:r w:rsidR="0074066A" w:rsidRPr="00190AB2">
        <w:rPr>
          <w:lang w:val="en-IE"/>
        </w:rPr>
        <w:t xml:space="preserve"> Regulation (EU) No 528/2012 of the European Parliament and of the Council concerning the making available on the market and use of biocidal products</w:t>
      </w:r>
      <w:r w:rsidR="002F214F" w:rsidRPr="00190AB2">
        <w:rPr>
          <w:lang w:val="en-IE"/>
        </w:rPr>
        <w:t>, as amended by Regulation (EU) No 334/2014,</w:t>
      </w:r>
      <w:r w:rsidR="0074066A" w:rsidRPr="00190AB2">
        <w:rPr>
          <w:lang w:val="en-IE"/>
        </w:rPr>
        <w:t xml:space="preserve"> and </w:t>
      </w:r>
      <w:r w:rsidRPr="00190AB2">
        <w:rPr>
          <w:lang w:val="en-IE"/>
        </w:rPr>
        <w:t xml:space="preserve">European </w:t>
      </w:r>
      <w:r w:rsidR="00EA2223" w:rsidRPr="00190AB2">
        <w:rPr>
          <w:lang w:val="en-IE"/>
        </w:rPr>
        <w:t>Union (Biocidal Products) Regulation</w:t>
      </w:r>
      <w:r w:rsidR="0074066A" w:rsidRPr="00190AB2">
        <w:rPr>
          <w:lang w:val="en-IE"/>
        </w:rPr>
        <w:t>s</w:t>
      </w:r>
      <w:r w:rsidR="00EA2223" w:rsidRPr="00190AB2">
        <w:rPr>
          <w:lang w:val="en-IE"/>
        </w:rPr>
        <w:t>, 2013,</w:t>
      </w:r>
      <w:r w:rsidRPr="00190AB2">
        <w:rPr>
          <w:lang w:val="en-IE"/>
        </w:rPr>
        <w:t xml:space="preserve"> (S.I</w:t>
      </w:r>
      <w:r w:rsidR="00231D5C" w:rsidRPr="00190AB2">
        <w:rPr>
          <w:lang w:val="en-IE"/>
        </w:rPr>
        <w:t>.</w:t>
      </w:r>
      <w:r w:rsidRPr="00190AB2">
        <w:rPr>
          <w:lang w:val="en-IE"/>
        </w:rPr>
        <w:t xml:space="preserve"> </w:t>
      </w:r>
      <w:r w:rsidR="00EA2223" w:rsidRPr="00190AB2">
        <w:rPr>
          <w:lang w:val="en-IE"/>
        </w:rPr>
        <w:t>427</w:t>
      </w:r>
      <w:r w:rsidRPr="00190AB2">
        <w:rPr>
          <w:lang w:val="en-IE"/>
        </w:rPr>
        <w:t xml:space="preserve"> of 20</w:t>
      </w:r>
      <w:r w:rsidR="00EA2223" w:rsidRPr="00190AB2">
        <w:rPr>
          <w:lang w:val="en-IE"/>
        </w:rPr>
        <w:t>13</w:t>
      </w:r>
      <w:r w:rsidR="00A93CE4" w:rsidRPr="00190AB2">
        <w:rPr>
          <w:lang w:val="en-IE"/>
        </w:rPr>
        <w:t>), grants authorisation to make available on the market in Ireland, the biocidal product:</w:t>
      </w:r>
      <w:r w:rsidRPr="00190AB2">
        <w:rPr>
          <w:lang w:val="en-IE"/>
        </w:rPr>
        <w:t xml:space="preserve"> </w:t>
      </w:r>
    </w:p>
    <w:p w14:paraId="745A812D" w14:textId="77777777" w:rsidR="00D579EB" w:rsidRPr="00190AB2" w:rsidRDefault="00D579EB">
      <w:pPr>
        <w:rPr>
          <w:lang w:val="en-IE"/>
        </w:rPr>
      </w:pPr>
    </w:p>
    <w:tbl>
      <w:tblPr>
        <w:tblW w:w="0" w:type="auto"/>
        <w:tblInd w:w="45" w:type="dxa"/>
        <w:tblLayout w:type="fixed"/>
        <w:tblCellMar>
          <w:left w:w="0" w:type="dxa"/>
          <w:right w:w="0" w:type="dxa"/>
        </w:tblCellMar>
        <w:tblLook w:val="0000" w:firstRow="0" w:lastRow="0" w:firstColumn="0" w:lastColumn="0" w:noHBand="0" w:noVBand="0"/>
      </w:tblPr>
      <w:tblGrid>
        <w:gridCol w:w="3681"/>
        <w:gridCol w:w="992"/>
        <w:gridCol w:w="4353"/>
      </w:tblGrid>
      <w:tr w:rsidR="00D4001F" w:rsidRPr="00190AB2" w14:paraId="7B6C22CB" w14:textId="77777777" w:rsidTr="00D4001F">
        <w:trPr>
          <w:tblHeader/>
        </w:trPr>
        <w:tc>
          <w:tcPr>
            <w:tcW w:w="368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1A9C00" w14:textId="77777777" w:rsidR="00D4001F" w:rsidRPr="00190AB2" w:rsidRDefault="00EE768B" w:rsidP="00EE768B">
            <w:pPr>
              <w:rPr>
                <w:szCs w:val="24"/>
                <w:lang w:val="en-IE"/>
              </w:rPr>
            </w:pPr>
            <w:r w:rsidRPr="00190AB2">
              <w:rPr>
                <w:b/>
                <w:szCs w:val="24"/>
                <w:lang w:val="en-IE" w:eastAsia="en-GB"/>
              </w:rPr>
              <w:t>Product</w:t>
            </w:r>
            <w:r w:rsidR="00D4001F" w:rsidRPr="00190AB2">
              <w:rPr>
                <w:b/>
                <w:szCs w:val="24"/>
                <w:lang w:val="en-IE" w:eastAsia="en-GB"/>
              </w:rPr>
              <w:t xml:space="preserve"> name:</w:t>
            </w:r>
          </w:p>
        </w:tc>
        <w:tc>
          <w:tcPr>
            <w:tcW w:w="5345" w:type="dxa"/>
            <w:gridSpan w:val="2"/>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ADF8131" w14:textId="77777777" w:rsidR="004F5873" w:rsidRPr="00190AB2" w:rsidRDefault="00C8487F" w:rsidP="00465E7F">
            <w:pPr>
              <w:rPr>
                <w:szCs w:val="24"/>
                <w:lang w:val="en-IE"/>
              </w:rPr>
            </w:pPr>
            <w:r w:rsidRPr="00190AB2">
              <w:rPr>
                <w:szCs w:val="24"/>
                <w:lang w:val="en-IE"/>
              </w:rPr>
              <w:t>SELONTRA</w:t>
            </w:r>
          </w:p>
        </w:tc>
      </w:tr>
      <w:tr w:rsidR="00C8487F" w:rsidRPr="00190AB2" w14:paraId="493BD69C" w14:textId="77777777" w:rsidTr="00D27972">
        <w:tc>
          <w:tcPr>
            <w:tcW w:w="3681"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7E7FB875" w14:textId="77777777" w:rsidR="00C8487F" w:rsidRPr="00190AB2" w:rsidRDefault="00C8487F" w:rsidP="00465E7F">
            <w:pPr>
              <w:rPr>
                <w:b/>
                <w:szCs w:val="24"/>
                <w:lang w:val="en-IE"/>
              </w:rPr>
            </w:pPr>
            <w:r w:rsidRPr="00190AB2">
              <w:rPr>
                <w:b/>
                <w:szCs w:val="24"/>
                <w:lang w:val="en-IE" w:eastAsia="en-GB"/>
              </w:rPr>
              <w:t>Name and address of the authorisation holder</w:t>
            </w:r>
          </w:p>
        </w:tc>
        <w:tc>
          <w:tcPr>
            <w:tcW w:w="99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4D4644F" w14:textId="77777777" w:rsidR="00C8487F" w:rsidRPr="00190AB2" w:rsidRDefault="00C8487F" w:rsidP="00465E7F">
            <w:pPr>
              <w:rPr>
                <w:b/>
                <w:szCs w:val="24"/>
                <w:lang w:val="en-IE"/>
              </w:rPr>
            </w:pPr>
            <w:r w:rsidRPr="00190AB2">
              <w:rPr>
                <w:b/>
                <w:szCs w:val="24"/>
                <w:lang w:val="en-IE" w:eastAsia="en-GB"/>
              </w:rPr>
              <w:t>Name</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318CB4B" w14:textId="77777777" w:rsidR="00C8487F" w:rsidRPr="00190AB2" w:rsidRDefault="00C8487F" w:rsidP="00C8487F">
            <w:pPr>
              <w:pStyle w:val="Special"/>
              <w:rPr>
                <w:rFonts w:ascii="Times New Roman" w:hAnsi="Times New Roman" w:cs="Times New Roman"/>
                <w:sz w:val="24"/>
                <w:szCs w:val="24"/>
                <w:lang w:val="en-IE"/>
              </w:rPr>
            </w:pPr>
            <w:r w:rsidRPr="00190AB2">
              <w:rPr>
                <w:rFonts w:ascii="Times New Roman" w:hAnsi="Times New Roman" w:cs="Times New Roman"/>
                <w:sz w:val="24"/>
                <w:szCs w:val="24"/>
                <w:lang w:val="en-IE"/>
              </w:rPr>
              <w:t xml:space="preserve">BASF Ireland Limited </w:t>
            </w:r>
          </w:p>
        </w:tc>
      </w:tr>
      <w:tr w:rsidR="00C8487F" w:rsidRPr="00190AB2" w14:paraId="3B7F40D8" w14:textId="77777777" w:rsidTr="00D27972">
        <w:tc>
          <w:tcPr>
            <w:tcW w:w="3681"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17A4FAC3" w14:textId="77777777" w:rsidR="00C8487F" w:rsidRPr="00190AB2" w:rsidRDefault="00C8487F" w:rsidP="00465E7F">
            <w:pPr>
              <w:pStyle w:val="Special"/>
              <w:rPr>
                <w:rFonts w:ascii="Times New Roman" w:hAnsi="Times New Roman" w:cs="Times New Roman"/>
                <w:b/>
                <w:sz w:val="24"/>
                <w:szCs w:val="24"/>
                <w:lang w:val="en-IE"/>
              </w:rPr>
            </w:pPr>
          </w:p>
        </w:tc>
        <w:tc>
          <w:tcPr>
            <w:tcW w:w="992" w:type="dxa"/>
            <w:tcBorders>
              <w:top w:val="nil"/>
              <w:left w:val="nil"/>
              <w:bottom w:val="single" w:sz="4" w:space="0" w:color="000000"/>
              <w:right w:val="single" w:sz="4" w:space="0" w:color="000000"/>
            </w:tcBorders>
            <w:tcMar>
              <w:top w:w="40" w:type="dxa"/>
              <w:left w:w="40" w:type="dxa"/>
              <w:bottom w:w="40" w:type="dxa"/>
              <w:right w:w="40" w:type="dxa"/>
            </w:tcMar>
          </w:tcPr>
          <w:p w14:paraId="2F34C762" w14:textId="77777777" w:rsidR="00C8487F" w:rsidRPr="00190AB2" w:rsidRDefault="00C8487F" w:rsidP="00465E7F">
            <w:pPr>
              <w:rPr>
                <w:b/>
                <w:szCs w:val="24"/>
                <w:lang w:val="en-IE"/>
              </w:rPr>
            </w:pPr>
            <w:r w:rsidRPr="00190AB2">
              <w:rPr>
                <w:b/>
                <w:szCs w:val="24"/>
                <w:lang w:val="en-IE" w:eastAsia="en-GB"/>
              </w:rPr>
              <w:t>Address</w:t>
            </w:r>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14:paraId="16D1CB74" w14:textId="77777777" w:rsidR="00C8487F" w:rsidRPr="00190AB2" w:rsidRDefault="00C8487F" w:rsidP="00C8487F">
            <w:pPr>
              <w:pStyle w:val="Special"/>
              <w:rPr>
                <w:rFonts w:ascii="Times New Roman" w:hAnsi="Times New Roman" w:cs="Times New Roman"/>
                <w:sz w:val="24"/>
                <w:szCs w:val="24"/>
                <w:lang w:val="en-IE"/>
              </w:rPr>
            </w:pPr>
            <w:proofErr w:type="spellStart"/>
            <w:r w:rsidRPr="00190AB2">
              <w:rPr>
                <w:rFonts w:ascii="Times New Roman" w:hAnsi="Times New Roman" w:cs="Times New Roman"/>
                <w:sz w:val="24"/>
                <w:szCs w:val="24"/>
                <w:lang w:val="en-IE"/>
              </w:rPr>
              <w:t>Asgard</w:t>
            </w:r>
            <w:proofErr w:type="spellEnd"/>
            <w:r w:rsidRPr="00190AB2">
              <w:rPr>
                <w:rFonts w:ascii="Times New Roman" w:hAnsi="Times New Roman" w:cs="Times New Roman"/>
                <w:sz w:val="24"/>
                <w:szCs w:val="24"/>
                <w:lang w:val="en-IE"/>
              </w:rPr>
              <w:t xml:space="preserve"> House </w:t>
            </w:r>
          </w:p>
          <w:p w14:paraId="0976D43F" w14:textId="77777777" w:rsidR="00C8487F" w:rsidRPr="00190AB2" w:rsidRDefault="00C8487F" w:rsidP="00C8487F">
            <w:pPr>
              <w:pStyle w:val="Special"/>
              <w:rPr>
                <w:rFonts w:ascii="Times New Roman" w:hAnsi="Times New Roman" w:cs="Times New Roman"/>
                <w:sz w:val="24"/>
                <w:szCs w:val="24"/>
                <w:lang w:val="en-IE"/>
              </w:rPr>
            </w:pPr>
            <w:r w:rsidRPr="00190AB2">
              <w:rPr>
                <w:rFonts w:ascii="Times New Roman" w:hAnsi="Times New Roman" w:cs="Times New Roman"/>
                <w:sz w:val="24"/>
                <w:szCs w:val="24"/>
                <w:lang w:val="en-IE"/>
              </w:rPr>
              <w:t xml:space="preserve">19-20 City Quay </w:t>
            </w:r>
          </w:p>
          <w:p w14:paraId="2EB923B8" w14:textId="77777777" w:rsidR="00C8487F" w:rsidRPr="00190AB2" w:rsidRDefault="00C8487F" w:rsidP="00C8487F">
            <w:pPr>
              <w:pStyle w:val="Special"/>
              <w:rPr>
                <w:rFonts w:ascii="Times New Roman" w:hAnsi="Times New Roman" w:cs="Times New Roman"/>
                <w:sz w:val="24"/>
                <w:szCs w:val="24"/>
                <w:lang w:val="en-IE"/>
              </w:rPr>
            </w:pPr>
            <w:r w:rsidRPr="00190AB2">
              <w:rPr>
                <w:rFonts w:ascii="Times New Roman" w:hAnsi="Times New Roman" w:cs="Times New Roman"/>
                <w:sz w:val="24"/>
                <w:szCs w:val="24"/>
                <w:lang w:val="en-IE"/>
              </w:rPr>
              <w:t xml:space="preserve">D02 K744 </w:t>
            </w:r>
          </w:p>
          <w:p w14:paraId="0F9C117A" w14:textId="77777777" w:rsidR="00C8487F" w:rsidRPr="00190AB2" w:rsidRDefault="00C8487F" w:rsidP="00C8487F">
            <w:pPr>
              <w:rPr>
                <w:szCs w:val="24"/>
                <w:lang w:val="en-IE"/>
              </w:rPr>
            </w:pPr>
            <w:r w:rsidRPr="00190AB2">
              <w:rPr>
                <w:szCs w:val="24"/>
                <w:lang w:val="en-IE"/>
              </w:rPr>
              <w:t>Dublin</w:t>
            </w:r>
          </w:p>
          <w:p w14:paraId="715741AB" w14:textId="77777777" w:rsidR="00C8487F" w:rsidRPr="00190AB2" w:rsidRDefault="00C8487F" w:rsidP="00C8487F">
            <w:pPr>
              <w:rPr>
                <w:szCs w:val="24"/>
                <w:lang w:val="en-IE"/>
              </w:rPr>
            </w:pPr>
            <w:r w:rsidRPr="00190AB2">
              <w:rPr>
                <w:szCs w:val="24"/>
                <w:lang w:val="en-IE"/>
              </w:rPr>
              <w:t>Ireland</w:t>
            </w:r>
          </w:p>
        </w:tc>
      </w:tr>
      <w:tr w:rsidR="00D4001F" w:rsidRPr="00190AB2" w14:paraId="4E8AD388" w14:textId="77777777" w:rsidTr="00D27972">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E784E6" w14:textId="77777777" w:rsidR="00D4001F" w:rsidRPr="00190AB2" w:rsidRDefault="00D4001F" w:rsidP="00465E7F">
            <w:pPr>
              <w:rPr>
                <w:b/>
                <w:szCs w:val="24"/>
                <w:lang w:val="en-IE"/>
              </w:rPr>
            </w:pPr>
            <w:r w:rsidRPr="00190AB2">
              <w:rPr>
                <w:b/>
                <w:szCs w:val="24"/>
                <w:lang w:val="en-IE" w:eastAsia="en-GB"/>
              </w:rPr>
              <w:t>Authorisation number</w:t>
            </w:r>
          </w:p>
        </w:tc>
        <w:tc>
          <w:tcPr>
            <w:tcW w:w="5345" w:type="dxa"/>
            <w:gridSpan w:val="2"/>
            <w:tcBorders>
              <w:top w:val="nil"/>
              <w:left w:val="nil"/>
              <w:bottom w:val="single" w:sz="4" w:space="0" w:color="000000"/>
              <w:right w:val="single" w:sz="4" w:space="0" w:color="000000"/>
            </w:tcBorders>
            <w:tcMar>
              <w:top w:w="40" w:type="dxa"/>
              <w:left w:w="40" w:type="dxa"/>
              <w:bottom w:w="40" w:type="dxa"/>
              <w:right w:w="40" w:type="dxa"/>
            </w:tcMar>
          </w:tcPr>
          <w:p w14:paraId="1BE22AA6" w14:textId="77777777" w:rsidR="00D4001F" w:rsidRPr="00190AB2" w:rsidRDefault="00C8487F" w:rsidP="00444CA4">
            <w:pPr>
              <w:pStyle w:val="Special"/>
              <w:rPr>
                <w:rFonts w:ascii="Times New Roman" w:hAnsi="Times New Roman" w:cs="Times New Roman"/>
                <w:sz w:val="24"/>
                <w:szCs w:val="24"/>
                <w:lang w:val="en-IE"/>
              </w:rPr>
            </w:pPr>
            <w:r w:rsidRPr="00190AB2">
              <w:rPr>
                <w:rFonts w:ascii="Times New Roman" w:hAnsi="Times New Roman" w:cs="Times New Roman"/>
                <w:sz w:val="24"/>
                <w:szCs w:val="24"/>
                <w:lang w:val="en-IE"/>
              </w:rPr>
              <w:t>IE/BPA 70751</w:t>
            </w:r>
          </w:p>
        </w:tc>
      </w:tr>
      <w:tr w:rsidR="00EE768B" w:rsidRPr="00190AB2" w14:paraId="06CE426D" w14:textId="77777777" w:rsidTr="00D27972">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E1EF35" w14:textId="77777777" w:rsidR="00EE768B" w:rsidRPr="00190AB2" w:rsidRDefault="00FC2A88" w:rsidP="00465E7F">
            <w:pPr>
              <w:rPr>
                <w:b/>
                <w:szCs w:val="24"/>
                <w:lang w:val="en-IE" w:eastAsia="en-GB"/>
              </w:rPr>
            </w:pPr>
            <w:r w:rsidRPr="00190AB2">
              <w:rPr>
                <w:b/>
                <w:szCs w:val="24"/>
                <w:lang w:val="en-IE" w:eastAsia="en-GB"/>
              </w:rPr>
              <w:t>Authorisation type</w:t>
            </w:r>
          </w:p>
        </w:tc>
        <w:tc>
          <w:tcPr>
            <w:tcW w:w="5345" w:type="dxa"/>
            <w:gridSpan w:val="2"/>
            <w:tcBorders>
              <w:top w:val="nil"/>
              <w:left w:val="nil"/>
              <w:bottom w:val="single" w:sz="4" w:space="0" w:color="000000"/>
              <w:right w:val="single" w:sz="4" w:space="0" w:color="000000"/>
            </w:tcBorders>
            <w:tcMar>
              <w:top w:w="40" w:type="dxa"/>
              <w:left w:w="40" w:type="dxa"/>
              <w:bottom w:w="40" w:type="dxa"/>
              <w:right w:w="40" w:type="dxa"/>
            </w:tcMar>
          </w:tcPr>
          <w:p w14:paraId="7CA2A62F" w14:textId="77777777" w:rsidR="00EE768B" w:rsidRPr="00190AB2" w:rsidRDefault="00C8487F" w:rsidP="00DC24E8">
            <w:pPr>
              <w:pStyle w:val="Special"/>
              <w:rPr>
                <w:rFonts w:ascii="Times New Roman" w:hAnsi="Times New Roman" w:cs="Times New Roman"/>
                <w:sz w:val="24"/>
                <w:szCs w:val="24"/>
                <w:lang w:val="en-IE"/>
              </w:rPr>
            </w:pPr>
            <w:r w:rsidRPr="00190AB2">
              <w:rPr>
                <w:rFonts w:ascii="Times New Roman" w:hAnsi="Times New Roman" w:cs="Times New Roman"/>
                <w:sz w:val="24"/>
                <w:szCs w:val="24"/>
                <w:lang w:val="en-IE"/>
              </w:rPr>
              <w:t>Mutual recognition in parallel (NA-MRP)</w:t>
            </w:r>
          </w:p>
        </w:tc>
      </w:tr>
      <w:tr w:rsidR="00D4001F" w:rsidRPr="00190AB2" w14:paraId="061AB7EE" w14:textId="77777777" w:rsidTr="00D27972">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D7120F" w14:textId="77777777" w:rsidR="00D4001F" w:rsidRPr="00190AB2" w:rsidRDefault="00D4001F" w:rsidP="00465E7F">
            <w:pPr>
              <w:rPr>
                <w:b/>
                <w:szCs w:val="24"/>
                <w:lang w:val="en-IE"/>
              </w:rPr>
            </w:pPr>
            <w:r w:rsidRPr="00190AB2">
              <w:rPr>
                <w:b/>
                <w:szCs w:val="24"/>
                <w:lang w:val="en-IE" w:eastAsia="en-GB"/>
              </w:rPr>
              <w:t>Date of the authorisation</w:t>
            </w:r>
          </w:p>
        </w:tc>
        <w:tc>
          <w:tcPr>
            <w:tcW w:w="5345" w:type="dxa"/>
            <w:gridSpan w:val="2"/>
            <w:tcBorders>
              <w:top w:val="nil"/>
              <w:left w:val="nil"/>
              <w:bottom w:val="single" w:sz="4" w:space="0" w:color="000000"/>
              <w:right w:val="single" w:sz="4" w:space="0" w:color="000000"/>
            </w:tcBorders>
            <w:tcMar>
              <w:top w:w="40" w:type="dxa"/>
              <w:left w:w="40" w:type="dxa"/>
              <w:bottom w:w="40" w:type="dxa"/>
              <w:right w:w="40" w:type="dxa"/>
            </w:tcMar>
          </w:tcPr>
          <w:p w14:paraId="22DCA7B6" w14:textId="77777777" w:rsidR="00D4001F" w:rsidRPr="00190AB2" w:rsidRDefault="00190AB2" w:rsidP="00465E7F">
            <w:pPr>
              <w:pStyle w:val="Special"/>
              <w:rPr>
                <w:rFonts w:ascii="Times New Roman" w:hAnsi="Times New Roman" w:cs="Times New Roman"/>
                <w:sz w:val="24"/>
                <w:szCs w:val="24"/>
                <w:lang w:val="en-IE"/>
              </w:rPr>
            </w:pPr>
            <w:r w:rsidRPr="00190AB2">
              <w:rPr>
                <w:rFonts w:ascii="Times New Roman" w:hAnsi="Times New Roman" w:cs="Times New Roman"/>
                <w:sz w:val="24"/>
                <w:szCs w:val="24"/>
                <w:lang w:val="en-IE"/>
              </w:rPr>
              <w:t>15</w:t>
            </w:r>
            <w:r w:rsidR="00C8487F" w:rsidRPr="00190AB2">
              <w:rPr>
                <w:rFonts w:ascii="Times New Roman" w:hAnsi="Times New Roman" w:cs="Times New Roman"/>
                <w:sz w:val="24"/>
                <w:szCs w:val="24"/>
                <w:vertAlign w:val="superscript"/>
                <w:lang w:val="en-IE"/>
              </w:rPr>
              <w:t>th</w:t>
            </w:r>
            <w:r w:rsidR="00C8487F" w:rsidRPr="00190AB2">
              <w:rPr>
                <w:rFonts w:ascii="Times New Roman" w:hAnsi="Times New Roman" w:cs="Times New Roman"/>
                <w:sz w:val="24"/>
                <w:szCs w:val="24"/>
                <w:lang w:val="en-IE"/>
              </w:rPr>
              <w:t xml:space="preserve"> July 2020</w:t>
            </w:r>
          </w:p>
        </w:tc>
      </w:tr>
      <w:tr w:rsidR="00D4001F" w:rsidRPr="00190AB2" w14:paraId="617A06E2" w14:textId="77777777" w:rsidTr="00D27972">
        <w:tc>
          <w:tcPr>
            <w:tcW w:w="36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A0ECB86" w14:textId="77777777" w:rsidR="00D4001F" w:rsidRPr="00190AB2" w:rsidRDefault="00D4001F" w:rsidP="00465E7F">
            <w:pPr>
              <w:rPr>
                <w:b/>
                <w:szCs w:val="24"/>
                <w:lang w:val="en-IE"/>
              </w:rPr>
            </w:pPr>
            <w:r w:rsidRPr="00190AB2">
              <w:rPr>
                <w:b/>
                <w:szCs w:val="24"/>
                <w:lang w:val="en-IE" w:eastAsia="en-GB"/>
              </w:rPr>
              <w:t>Expiry date of the authorisation</w:t>
            </w:r>
          </w:p>
        </w:tc>
        <w:tc>
          <w:tcPr>
            <w:tcW w:w="5345" w:type="dxa"/>
            <w:gridSpan w:val="2"/>
            <w:tcBorders>
              <w:top w:val="nil"/>
              <w:left w:val="nil"/>
              <w:bottom w:val="single" w:sz="4" w:space="0" w:color="000000"/>
              <w:right w:val="single" w:sz="4" w:space="0" w:color="000000"/>
            </w:tcBorders>
            <w:tcMar>
              <w:top w:w="40" w:type="dxa"/>
              <w:left w:w="40" w:type="dxa"/>
              <w:bottom w:w="40" w:type="dxa"/>
              <w:right w:w="40" w:type="dxa"/>
            </w:tcMar>
          </w:tcPr>
          <w:p w14:paraId="34A2B802" w14:textId="77777777" w:rsidR="00D4001F" w:rsidRPr="00190AB2" w:rsidRDefault="00C8487F" w:rsidP="00465E7F">
            <w:pPr>
              <w:pStyle w:val="Special"/>
              <w:rPr>
                <w:rFonts w:ascii="Times New Roman" w:hAnsi="Times New Roman" w:cs="Times New Roman"/>
                <w:sz w:val="24"/>
                <w:szCs w:val="24"/>
                <w:lang w:val="en-IE"/>
              </w:rPr>
            </w:pPr>
            <w:r w:rsidRPr="00190AB2">
              <w:rPr>
                <w:rFonts w:ascii="Times New Roman" w:hAnsi="Times New Roman" w:cs="Times New Roman"/>
                <w:sz w:val="24"/>
                <w:szCs w:val="24"/>
                <w:lang w:val="en-IE"/>
              </w:rPr>
              <w:t>27</w:t>
            </w:r>
            <w:r w:rsidRPr="00190AB2">
              <w:rPr>
                <w:rFonts w:ascii="Times New Roman" w:hAnsi="Times New Roman" w:cs="Times New Roman"/>
                <w:sz w:val="24"/>
                <w:szCs w:val="24"/>
                <w:vertAlign w:val="superscript"/>
                <w:lang w:val="en-IE"/>
              </w:rPr>
              <w:t>th</w:t>
            </w:r>
            <w:r w:rsidRPr="00190AB2">
              <w:rPr>
                <w:rFonts w:ascii="Times New Roman" w:hAnsi="Times New Roman" w:cs="Times New Roman"/>
                <w:sz w:val="24"/>
                <w:szCs w:val="24"/>
                <w:lang w:val="en-IE"/>
              </w:rPr>
              <w:t xml:space="preserve"> April 2025</w:t>
            </w:r>
          </w:p>
        </w:tc>
      </w:tr>
    </w:tbl>
    <w:p w14:paraId="2166E3FF" w14:textId="77777777" w:rsidR="00D579EB" w:rsidRPr="00190AB2" w:rsidRDefault="00D579EB">
      <w:pPr>
        <w:rPr>
          <w:b/>
          <w:lang w:val="en-IE"/>
        </w:rPr>
      </w:pPr>
    </w:p>
    <w:p w14:paraId="03456397" w14:textId="77777777" w:rsidR="00D579EB" w:rsidRPr="00190AB2" w:rsidRDefault="00D579EB">
      <w:pPr>
        <w:tabs>
          <w:tab w:val="left" w:pos="-720"/>
        </w:tabs>
        <w:suppressAutoHyphens/>
        <w:jc w:val="both"/>
        <w:rPr>
          <w:spacing w:val="-3"/>
          <w:lang w:val="en-IE"/>
        </w:rPr>
      </w:pPr>
      <w:r w:rsidRPr="00190AB2">
        <w:rPr>
          <w:lang w:val="en-IE"/>
        </w:rPr>
        <w:t>subject to the conditions detailed in the Annexes to this certificate.</w:t>
      </w:r>
    </w:p>
    <w:p w14:paraId="180A42F1" w14:textId="77777777" w:rsidR="00D579EB" w:rsidRPr="00190AB2" w:rsidRDefault="00D579EB">
      <w:pPr>
        <w:tabs>
          <w:tab w:val="left" w:pos="-720"/>
        </w:tabs>
        <w:suppressAutoHyphens/>
        <w:jc w:val="both"/>
        <w:rPr>
          <w:spacing w:val="-3"/>
          <w:lang w:val="en-IE"/>
        </w:rPr>
      </w:pPr>
    </w:p>
    <w:p w14:paraId="5CB6DC09" w14:textId="77777777" w:rsidR="00D579EB" w:rsidRPr="00190AB2" w:rsidRDefault="00D579EB">
      <w:pPr>
        <w:tabs>
          <w:tab w:val="left" w:pos="-720"/>
        </w:tabs>
        <w:suppressAutoHyphens/>
        <w:jc w:val="both"/>
        <w:rPr>
          <w:spacing w:val="-3"/>
          <w:lang w:val="en-IE"/>
        </w:rPr>
      </w:pPr>
      <w:r w:rsidRPr="00190AB2">
        <w:rPr>
          <w:spacing w:val="-3"/>
          <w:lang w:val="en-IE"/>
        </w:rPr>
        <w:t>====================================================================</w:t>
      </w:r>
    </w:p>
    <w:p w14:paraId="6E2436DC" w14:textId="77777777" w:rsidR="00A723CA" w:rsidRPr="00190AB2" w:rsidRDefault="00A723CA" w:rsidP="00A723CA">
      <w:pPr>
        <w:tabs>
          <w:tab w:val="left" w:pos="-720"/>
        </w:tabs>
        <w:suppressAutoHyphens/>
        <w:jc w:val="both"/>
        <w:rPr>
          <w:lang w:val="en-IE"/>
        </w:rPr>
      </w:pPr>
      <w:r w:rsidRPr="00190AB2">
        <w:rPr>
          <w:spacing w:val="-3"/>
          <w:lang w:val="en-IE"/>
        </w:rPr>
        <w:t xml:space="preserve">Authorisation granted on behalf of the </w:t>
      </w:r>
      <w:r w:rsidRPr="00190AB2">
        <w:rPr>
          <w:lang w:val="en-IE"/>
        </w:rPr>
        <w:t>Competent Authority for Biocides in Ireland by</w:t>
      </w:r>
    </w:p>
    <w:p w14:paraId="7E597DD8" w14:textId="77777777" w:rsidR="009D5302" w:rsidRPr="00190AB2" w:rsidRDefault="009D5302">
      <w:pPr>
        <w:tabs>
          <w:tab w:val="left" w:pos="-720"/>
        </w:tabs>
        <w:suppressAutoHyphens/>
        <w:jc w:val="both"/>
        <w:rPr>
          <w:spacing w:val="-3"/>
          <w:lang w:val="en-IE"/>
        </w:rPr>
      </w:pPr>
    </w:p>
    <w:p w14:paraId="4A3DC546" w14:textId="77777777" w:rsidR="00D579EB" w:rsidRPr="00190AB2" w:rsidRDefault="00D579EB">
      <w:pPr>
        <w:tabs>
          <w:tab w:val="left" w:pos="-720"/>
        </w:tabs>
        <w:suppressAutoHyphens/>
        <w:jc w:val="both"/>
        <w:rPr>
          <w:spacing w:val="-3"/>
          <w:lang w:val="en-IE"/>
        </w:rPr>
      </w:pPr>
      <w:r w:rsidRPr="00190AB2">
        <w:rPr>
          <w:spacing w:val="-3"/>
          <w:lang w:val="en-IE"/>
        </w:rPr>
        <w:tab/>
      </w:r>
      <w:r w:rsidRPr="00190AB2">
        <w:rPr>
          <w:spacing w:val="-3"/>
          <w:lang w:val="en-IE"/>
        </w:rPr>
        <w:tab/>
      </w:r>
      <w:r w:rsidRPr="00190AB2">
        <w:rPr>
          <w:spacing w:val="-3"/>
          <w:lang w:val="en-IE"/>
        </w:rPr>
        <w:tab/>
      </w:r>
      <w:r w:rsidRPr="00190AB2">
        <w:rPr>
          <w:spacing w:val="-3"/>
          <w:lang w:val="en-IE"/>
        </w:rPr>
        <w:tab/>
      </w:r>
      <w:r w:rsidRPr="00190AB2">
        <w:rPr>
          <w:spacing w:val="-3"/>
          <w:lang w:val="en-IE"/>
        </w:rPr>
        <w:tab/>
        <w:t>_____________________________________________</w:t>
      </w:r>
    </w:p>
    <w:p w14:paraId="3EC5E75F" w14:textId="77777777" w:rsidR="00D579EB" w:rsidRPr="00190AB2" w:rsidRDefault="00D579EB">
      <w:pPr>
        <w:tabs>
          <w:tab w:val="left" w:pos="-720"/>
        </w:tabs>
        <w:suppressAutoHyphens/>
        <w:jc w:val="both"/>
        <w:rPr>
          <w:spacing w:val="-3"/>
          <w:lang w:val="en-IE"/>
        </w:rPr>
      </w:pPr>
    </w:p>
    <w:p w14:paraId="4949F24A" w14:textId="77777777" w:rsidR="00D579EB" w:rsidRPr="00190AB2" w:rsidRDefault="00D579EB">
      <w:pPr>
        <w:tabs>
          <w:tab w:val="left" w:pos="-720"/>
        </w:tabs>
        <w:suppressAutoHyphens/>
        <w:jc w:val="both"/>
        <w:rPr>
          <w:spacing w:val="-3"/>
          <w:lang w:val="en-IE"/>
        </w:rPr>
      </w:pPr>
      <w:r w:rsidRPr="00190AB2">
        <w:rPr>
          <w:spacing w:val="-3"/>
          <w:lang w:val="en-IE"/>
        </w:rPr>
        <w:tab/>
      </w:r>
      <w:r w:rsidRPr="00190AB2">
        <w:rPr>
          <w:spacing w:val="-3"/>
          <w:lang w:val="en-IE"/>
        </w:rPr>
        <w:tab/>
      </w:r>
      <w:r w:rsidRPr="00190AB2">
        <w:rPr>
          <w:spacing w:val="-3"/>
          <w:lang w:val="en-IE"/>
        </w:rPr>
        <w:tab/>
      </w:r>
      <w:r w:rsidRPr="00190AB2">
        <w:rPr>
          <w:spacing w:val="-3"/>
          <w:lang w:val="en-IE"/>
        </w:rPr>
        <w:tab/>
      </w:r>
      <w:r w:rsidRPr="00190AB2">
        <w:rPr>
          <w:spacing w:val="-3"/>
          <w:lang w:val="en-IE"/>
        </w:rPr>
        <w:tab/>
        <w:t>_____________________________________________</w:t>
      </w:r>
    </w:p>
    <w:p w14:paraId="34E0E55D" w14:textId="77777777" w:rsidR="00D579EB" w:rsidRPr="00190AB2" w:rsidRDefault="00D579EB">
      <w:pPr>
        <w:tabs>
          <w:tab w:val="left" w:pos="-720"/>
        </w:tabs>
        <w:suppressAutoHyphens/>
        <w:jc w:val="both"/>
        <w:rPr>
          <w:spacing w:val="-3"/>
          <w:lang w:val="en-IE"/>
        </w:rPr>
      </w:pPr>
    </w:p>
    <w:p w14:paraId="32CBEA84" w14:textId="77777777" w:rsidR="00D35B56" w:rsidRPr="00190AB2" w:rsidRDefault="00D35B56" w:rsidP="00D35B56">
      <w:pPr>
        <w:tabs>
          <w:tab w:val="left" w:pos="-720"/>
        </w:tabs>
        <w:suppressAutoHyphens/>
        <w:rPr>
          <w:spacing w:val="-3"/>
          <w:lang w:val="en-IE"/>
        </w:rPr>
      </w:pPr>
      <w:r w:rsidRPr="00190AB2">
        <w:rPr>
          <w:spacing w:val="-3"/>
          <w:lang w:val="en-IE"/>
        </w:rPr>
        <w:tab/>
      </w:r>
      <w:r w:rsidRPr="00190AB2">
        <w:rPr>
          <w:spacing w:val="-3"/>
          <w:lang w:val="en-IE"/>
        </w:rPr>
        <w:tab/>
      </w:r>
      <w:r w:rsidRPr="00190AB2">
        <w:rPr>
          <w:spacing w:val="-3"/>
          <w:lang w:val="en-IE"/>
        </w:rPr>
        <w:tab/>
      </w:r>
      <w:r w:rsidRPr="00190AB2">
        <w:rPr>
          <w:spacing w:val="-3"/>
          <w:lang w:val="en-IE"/>
        </w:rPr>
        <w:tab/>
      </w:r>
      <w:r w:rsidRPr="00190AB2">
        <w:rPr>
          <w:spacing w:val="-3"/>
          <w:lang w:val="en-IE"/>
        </w:rPr>
        <w:tab/>
        <w:t xml:space="preserve">Pesticide Control Division </w:t>
      </w:r>
      <w:r w:rsidR="00F57D50" w:rsidRPr="00190AB2">
        <w:rPr>
          <w:spacing w:val="-3"/>
          <w:lang w:val="en-IE"/>
        </w:rPr>
        <w:t>(</w:t>
      </w:r>
      <w:r w:rsidRPr="00190AB2">
        <w:rPr>
          <w:spacing w:val="-3"/>
          <w:lang w:val="en-IE"/>
        </w:rPr>
        <w:t>PCD</w:t>
      </w:r>
      <w:r w:rsidR="00F57D50" w:rsidRPr="00190AB2">
        <w:rPr>
          <w:spacing w:val="-3"/>
          <w:lang w:val="en-IE"/>
        </w:rPr>
        <w:t>)</w:t>
      </w:r>
    </w:p>
    <w:p w14:paraId="53F0999A" w14:textId="77777777" w:rsidR="00D579EB" w:rsidRPr="00190AB2" w:rsidRDefault="00D579EB">
      <w:pPr>
        <w:tabs>
          <w:tab w:val="left" w:pos="-720"/>
        </w:tabs>
        <w:suppressAutoHyphens/>
        <w:jc w:val="both"/>
        <w:rPr>
          <w:spacing w:val="-3"/>
          <w:lang w:val="en-IE"/>
        </w:rPr>
      </w:pPr>
    </w:p>
    <w:p w14:paraId="50418601" w14:textId="15136773" w:rsidR="00D579EB" w:rsidRPr="00190AB2" w:rsidRDefault="00D579EB">
      <w:pPr>
        <w:pStyle w:val="Header"/>
        <w:tabs>
          <w:tab w:val="clear" w:pos="4153"/>
          <w:tab w:val="clear" w:pos="8306"/>
          <w:tab w:val="right" w:pos="9026"/>
        </w:tabs>
        <w:suppressAutoHyphens/>
        <w:rPr>
          <w:spacing w:val="-3"/>
          <w:lang w:val="en-IE"/>
        </w:rPr>
      </w:pPr>
      <w:r w:rsidRPr="00190AB2">
        <w:rPr>
          <w:spacing w:val="-3"/>
          <w:lang w:val="en-IE"/>
        </w:rPr>
        <w:t>Official Stamp:</w:t>
      </w:r>
    </w:p>
    <w:p w14:paraId="7CBEC521" w14:textId="2474571C" w:rsidR="00D4001F" w:rsidRPr="00190AB2" w:rsidRDefault="00E00F67">
      <w:pPr>
        <w:pStyle w:val="Header"/>
        <w:tabs>
          <w:tab w:val="clear" w:pos="4153"/>
          <w:tab w:val="clear" w:pos="8306"/>
          <w:tab w:val="right" w:pos="9026"/>
        </w:tabs>
        <w:suppressAutoHyphens/>
        <w:rPr>
          <w:spacing w:val="-3"/>
          <w:lang w:val="en-IE"/>
        </w:rPr>
      </w:pPr>
      <w:r w:rsidRPr="00190AB2">
        <w:rPr>
          <w:noProof/>
          <w:lang w:val="en-IE" w:eastAsia="en-IE"/>
        </w:rPr>
        <w:drawing>
          <wp:anchor distT="0" distB="0" distL="114300" distR="114300" simplePos="0" relativeHeight="251658240" behindDoc="1" locked="0" layoutInCell="1" allowOverlap="1" wp14:anchorId="6B04931A" wp14:editId="68CC1D6D">
            <wp:simplePos x="0" y="0"/>
            <wp:positionH relativeFrom="column">
              <wp:posOffset>1024890</wp:posOffset>
            </wp:positionH>
            <wp:positionV relativeFrom="paragraph">
              <wp:posOffset>140335</wp:posOffset>
            </wp:positionV>
            <wp:extent cx="1774825" cy="1197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1197610"/>
                    </a:xfrm>
                    <a:prstGeom prst="rect">
                      <a:avLst/>
                    </a:prstGeom>
                    <a:noFill/>
                    <a:ln>
                      <a:noFill/>
                    </a:ln>
                  </pic:spPr>
                </pic:pic>
              </a:graphicData>
            </a:graphic>
          </wp:anchor>
        </w:drawing>
      </w:r>
    </w:p>
    <w:p w14:paraId="3D9D6AFD" w14:textId="54621BD7" w:rsidR="00D4001F" w:rsidRDefault="008A0B10">
      <w:pPr>
        <w:pStyle w:val="Header"/>
        <w:tabs>
          <w:tab w:val="clear" w:pos="4153"/>
          <w:tab w:val="clear" w:pos="8306"/>
          <w:tab w:val="right" w:pos="9026"/>
        </w:tabs>
        <w:suppressAutoHyphens/>
        <w:rPr>
          <w:spacing w:val="-3"/>
          <w:lang w:val="en-IE"/>
        </w:rPr>
      </w:pPr>
      <w:r w:rsidRPr="00190AB2">
        <w:rPr>
          <w:spacing w:val="-3"/>
          <w:lang w:val="en-IE"/>
        </w:rPr>
        <w:t>Version:</w:t>
      </w:r>
      <w:r w:rsidR="00DC24E8" w:rsidRPr="00190AB2">
        <w:rPr>
          <w:spacing w:val="-3"/>
          <w:lang w:val="en-IE"/>
        </w:rPr>
        <w:t xml:space="preserve"> 1.</w:t>
      </w:r>
      <w:r w:rsidR="00E00F67">
        <w:rPr>
          <w:spacing w:val="-3"/>
          <w:lang w:val="en-IE"/>
        </w:rPr>
        <w:t>1</w:t>
      </w:r>
    </w:p>
    <w:p w14:paraId="015C9AF3" w14:textId="77777777" w:rsidR="00E00F67" w:rsidRDefault="00E00F67">
      <w:pPr>
        <w:pStyle w:val="Header"/>
        <w:tabs>
          <w:tab w:val="clear" w:pos="4153"/>
          <w:tab w:val="clear" w:pos="8306"/>
          <w:tab w:val="right" w:pos="9026"/>
        </w:tabs>
        <w:suppressAutoHyphens/>
        <w:rPr>
          <w:spacing w:val="-3"/>
          <w:lang w:val="en-IE"/>
        </w:rPr>
      </w:pPr>
    </w:p>
    <w:p w14:paraId="1AE73A1A" w14:textId="77777777" w:rsidR="00E00F67" w:rsidRPr="00190AB2" w:rsidRDefault="00E00F67">
      <w:pPr>
        <w:pStyle w:val="Header"/>
        <w:tabs>
          <w:tab w:val="clear" w:pos="4153"/>
          <w:tab w:val="clear" w:pos="8306"/>
          <w:tab w:val="right" w:pos="9026"/>
        </w:tabs>
        <w:suppressAutoHyphens/>
        <w:rPr>
          <w:spacing w:val="-3"/>
          <w:lang w:val="en-IE"/>
        </w:rPr>
      </w:pPr>
    </w:p>
    <w:p w14:paraId="5B1E4A3E" w14:textId="77777777" w:rsidR="00D4001F" w:rsidRPr="00190AB2" w:rsidRDefault="00D4001F">
      <w:pPr>
        <w:pStyle w:val="Header"/>
        <w:tabs>
          <w:tab w:val="clear" w:pos="4153"/>
          <w:tab w:val="clear" w:pos="8306"/>
          <w:tab w:val="right" w:pos="9026"/>
        </w:tabs>
        <w:suppressAutoHyphens/>
        <w:rPr>
          <w:spacing w:val="-3"/>
          <w:lang w:val="en-IE"/>
        </w:rPr>
      </w:pPr>
    </w:p>
    <w:p w14:paraId="341320AA" w14:textId="77777777" w:rsidR="00D4001F" w:rsidRPr="00190AB2" w:rsidRDefault="00D4001F">
      <w:pPr>
        <w:pStyle w:val="Header"/>
        <w:tabs>
          <w:tab w:val="clear" w:pos="4153"/>
          <w:tab w:val="clear" w:pos="8306"/>
          <w:tab w:val="right" w:pos="9026"/>
        </w:tabs>
        <w:suppressAutoHyphens/>
        <w:rPr>
          <w:spacing w:val="-3"/>
          <w:lang w:val="en-IE"/>
        </w:rPr>
      </w:pPr>
    </w:p>
    <w:p w14:paraId="5CD8E210" w14:textId="77777777" w:rsidR="00D4001F" w:rsidRPr="00190AB2" w:rsidRDefault="00D4001F">
      <w:pPr>
        <w:pStyle w:val="Header"/>
        <w:tabs>
          <w:tab w:val="clear" w:pos="4153"/>
          <w:tab w:val="clear" w:pos="8306"/>
          <w:tab w:val="right" w:pos="9026"/>
        </w:tabs>
        <w:suppressAutoHyphens/>
        <w:rPr>
          <w:spacing w:val="-3"/>
          <w:lang w:val="en-IE"/>
        </w:rPr>
      </w:pPr>
    </w:p>
    <w:p w14:paraId="57CDFA96" w14:textId="77777777" w:rsidR="00D4001F" w:rsidRPr="00190AB2" w:rsidRDefault="00D4001F">
      <w:pPr>
        <w:pStyle w:val="Header"/>
        <w:tabs>
          <w:tab w:val="clear" w:pos="4153"/>
          <w:tab w:val="clear" w:pos="8306"/>
          <w:tab w:val="right" w:pos="9026"/>
        </w:tabs>
        <w:suppressAutoHyphens/>
        <w:rPr>
          <w:spacing w:val="-3"/>
          <w:lang w:val="en-IE"/>
        </w:rPr>
      </w:pPr>
    </w:p>
    <w:p w14:paraId="14133625" w14:textId="77777777" w:rsidR="00D579EB" w:rsidRPr="00190AB2" w:rsidRDefault="00D579EB" w:rsidP="003F20E9">
      <w:pPr>
        <w:pStyle w:val="Header"/>
        <w:tabs>
          <w:tab w:val="clear" w:pos="4153"/>
          <w:tab w:val="clear" w:pos="8306"/>
          <w:tab w:val="right" w:pos="9026"/>
        </w:tabs>
        <w:suppressAutoHyphens/>
        <w:rPr>
          <w:spacing w:val="-3"/>
          <w:lang w:val="en-IE"/>
        </w:rPr>
        <w:sectPr w:rsidR="00D579EB" w:rsidRPr="00190AB2">
          <w:footerReference w:type="default" r:id="rId9"/>
          <w:pgSz w:w="11909" w:h="16834"/>
          <w:pgMar w:top="864" w:right="1440" w:bottom="864" w:left="1440" w:header="1440" w:footer="1440" w:gutter="0"/>
          <w:pgNumType w:start="1"/>
          <w:cols w:space="720"/>
          <w:noEndnote/>
          <w:titlePg/>
          <w:docGrid w:linePitch="326"/>
        </w:sectPr>
      </w:pPr>
    </w:p>
    <w:p w14:paraId="4010E143" w14:textId="77777777" w:rsidR="00D579EB" w:rsidRPr="00190AB2" w:rsidRDefault="00D579EB" w:rsidP="00DC6C11">
      <w:pPr>
        <w:tabs>
          <w:tab w:val="center" w:pos="4513"/>
        </w:tabs>
        <w:suppressAutoHyphens/>
        <w:jc w:val="center"/>
        <w:rPr>
          <w:b/>
          <w:spacing w:val="-3"/>
          <w:szCs w:val="24"/>
          <w:u w:val="single"/>
          <w:lang w:val="en-IE"/>
        </w:rPr>
      </w:pPr>
      <w:r w:rsidRPr="00190AB2">
        <w:rPr>
          <w:b/>
          <w:spacing w:val="-3"/>
          <w:szCs w:val="24"/>
          <w:u w:val="single"/>
          <w:lang w:val="en-IE"/>
        </w:rPr>
        <w:lastRenderedPageBreak/>
        <w:t>ANNEX I</w:t>
      </w:r>
    </w:p>
    <w:p w14:paraId="629EAD8A" w14:textId="77777777" w:rsidR="00D579EB" w:rsidRPr="00190AB2" w:rsidRDefault="00D579EB" w:rsidP="004D15F5">
      <w:pPr>
        <w:jc w:val="center"/>
        <w:rPr>
          <w:szCs w:val="24"/>
          <w:lang w:val="en-IE"/>
        </w:rPr>
      </w:pPr>
    </w:p>
    <w:p w14:paraId="7C747E0A" w14:textId="77777777" w:rsidR="009231A8" w:rsidRPr="00190AB2" w:rsidRDefault="00FA63D3" w:rsidP="009231A8">
      <w:pPr>
        <w:jc w:val="center"/>
        <w:rPr>
          <w:b/>
          <w:szCs w:val="24"/>
          <w:lang w:val="en-IE"/>
        </w:rPr>
      </w:pPr>
      <w:r w:rsidRPr="00190AB2">
        <w:rPr>
          <w:b/>
          <w:szCs w:val="24"/>
          <w:lang w:val="en-IE"/>
        </w:rPr>
        <w:t xml:space="preserve">Product Summary and </w:t>
      </w:r>
      <w:r w:rsidR="00D579EB" w:rsidRPr="00190AB2">
        <w:rPr>
          <w:b/>
          <w:szCs w:val="24"/>
          <w:lang w:val="en-IE"/>
        </w:rPr>
        <w:t xml:space="preserve">Conditions </w:t>
      </w:r>
      <w:r w:rsidR="002F214F" w:rsidRPr="00190AB2">
        <w:rPr>
          <w:b/>
          <w:szCs w:val="24"/>
          <w:lang w:val="en-IE"/>
        </w:rPr>
        <w:t>of Authorisation</w:t>
      </w:r>
    </w:p>
    <w:p w14:paraId="1C144FF4" w14:textId="77777777" w:rsidR="00E36ED3" w:rsidRPr="00190AB2" w:rsidRDefault="00E36ED3" w:rsidP="009231A8">
      <w:pPr>
        <w:jc w:val="center"/>
        <w:rPr>
          <w:b/>
          <w:szCs w:val="24"/>
          <w:lang w:val="en-IE"/>
        </w:rPr>
      </w:pPr>
    </w:p>
    <w:tbl>
      <w:tblPr>
        <w:tblW w:w="0" w:type="auto"/>
        <w:tblInd w:w="45" w:type="dxa"/>
        <w:tblLayout w:type="fixed"/>
        <w:tblCellMar>
          <w:left w:w="0" w:type="dxa"/>
          <w:right w:w="0" w:type="dxa"/>
        </w:tblCellMar>
        <w:tblLook w:val="0000" w:firstRow="0" w:lastRow="0" w:firstColumn="0" w:lastColumn="0" w:noHBand="0" w:noVBand="0"/>
      </w:tblPr>
      <w:tblGrid>
        <w:gridCol w:w="2689"/>
        <w:gridCol w:w="6337"/>
      </w:tblGrid>
      <w:tr w:rsidR="0080346C" w:rsidRPr="00190AB2" w14:paraId="6A4EE7EF" w14:textId="77777777" w:rsidTr="00EE768B">
        <w:trPr>
          <w:tblHeader/>
        </w:trPr>
        <w:tc>
          <w:tcPr>
            <w:tcW w:w="268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4C031B" w14:textId="77777777" w:rsidR="0080346C" w:rsidRPr="00190AB2" w:rsidRDefault="0080346C" w:rsidP="00465E7F">
            <w:pPr>
              <w:rPr>
                <w:szCs w:val="24"/>
                <w:lang w:val="en-IE"/>
              </w:rPr>
            </w:pPr>
            <w:bookmarkStart w:id="0" w:name="d0e13"/>
            <w:r w:rsidRPr="00190AB2">
              <w:rPr>
                <w:b/>
                <w:szCs w:val="24"/>
                <w:lang w:val="en-IE" w:eastAsia="en-GB"/>
              </w:rPr>
              <w:t>Trade name</w:t>
            </w:r>
          </w:p>
        </w:tc>
        <w:tc>
          <w:tcPr>
            <w:tcW w:w="633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91FF6E1" w14:textId="77777777" w:rsidR="0080346C" w:rsidRPr="00190AB2" w:rsidRDefault="00C8487F">
            <w:pPr>
              <w:rPr>
                <w:szCs w:val="24"/>
                <w:highlight w:val="yellow"/>
                <w:lang w:val="en-IE"/>
              </w:rPr>
            </w:pPr>
            <w:r w:rsidRPr="00190AB2">
              <w:rPr>
                <w:szCs w:val="24"/>
                <w:lang w:val="en-IE"/>
              </w:rPr>
              <w:t>SELONTRA            IE/BPA 70751</w:t>
            </w:r>
          </w:p>
        </w:tc>
      </w:tr>
      <w:tr w:rsidR="0080346C" w:rsidRPr="00190AB2" w14:paraId="2B7794E3" w14:textId="77777777" w:rsidTr="00EE768B">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0249FA0" w14:textId="77777777" w:rsidR="0080346C" w:rsidRPr="00190AB2" w:rsidRDefault="0080346C" w:rsidP="00465E7F">
            <w:pPr>
              <w:rPr>
                <w:b/>
                <w:szCs w:val="24"/>
                <w:lang w:val="en-IE"/>
              </w:rPr>
            </w:pPr>
            <w:bookmarkStart w:id="1" w:name="d0e26"/>
            <w:bookmarkEnd w:id="0"/>
            <w:r w:rsidRPr="00190AB2">
              <w:rPr>
                <w:b/>
                <w:szCs w:val="24"/>
                <w:lang w:val="en-IE"/>
              </w:rPr>
              <w:t>Other Trade Names</w:t>
            </w:r>
          </w:p>
        </w:tc>
        <w:tc>
          <w:tcPr>
            <w:tcW w:w="6337" w:type="dxa"/>
            <w:tcBorders>
              <w:top w:val="nil"/>
              <w:left w:val="nil"/>
              <w:bottom w:val="single" w:sz="4" w:space="0" w:color="000000"/>
              <w:right w:val="single" w:sz="4" w:space="0" w:color="000000"/>
            </w:tcBorders>
            <w:tcMar>
              <w:top w:w="40" w:type="dxa"/>
              <w:left w:w="40" w:type="dxa"/>
              <w:bottom w:w="40" w:type="dxa"/>
              <w:right w:w="40" w:type="dxa"/>
            </w:tcMar>
          </w:tcPr>
          <w:p w14:paraId="480CBB3B" w14:textId="77777777" w:rsidR="0080346C" w:rsidRPr="00190AB2" w:rsidRDefault="00C8487F" w:rsidP="00BA5E91">
            <w:pPr>
              <w:rPr>
                <w:szCs w:val="24"/>
                <w:highlight w:val="yellow"/>
                <w:lang w:val="en-IE"/>
              </w:rPr>
            </w:pPr>
            <w:r w:rsidRPr="00190AB2">
              <w:rPr>
                <w:szCs w:val="24"/>
                <w:lang w:val="en-IE"/>
              </w:rPr>
              <w:t>RELPEXA               IE/BPA 70751-01</w:t>
            </w:r>
          </w:p>
        </w:tc>
      </w:tr>
      <w:tr w:rsidR="00513308" w:rsidRPr="00190AB2" w14:paraId="111C6E26" w14:textId="77777777" w:rsidTr="00EE768B">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9782C3" w14:textId="77777777" w:rsidR="00513308" w:rsidRPr="00190AB2" w:rsidRDefault="00513308" w:rsidP="00465E7F">
            <w:pPr>
              <w:rPr>
                <w:b/>
                <w:szCs w:val="24"/>
                <w:lang w:val="en-IE"/>
              </w:rPr>
            </w:pPr>
            <w:r w:rsidRPr="00190AB2">
              <w:rPr>
                <w:b/>
                <w:szCs w:val="24"/>
                <w:lang w:val="en-IE"/>
              </w:rPr>
              <w:t>R4BP asset number</w:t>
            </w:r>
          </w:p>
        </w:tc>
        <w:tc>
          <w:tcPr>
            <w:tcW w:w="6337" w:type="dxa"/>
            <w:tcBorders>
              <w:top w:val="nil"/>
              <w:left w:val="nil"/>
              <w:bottom w:val="single" w:sz="4" w:space="0" w:color="000000"/>
              <w:right w:val="single" w:sz="4" w:space="0" w:color="000000"/>
            </w:tcBorders>
            <w:tcMar>
              <w:top w:w="40" w:type="dxa"/>
              <w:left w:w="40" w:type="dxa"/>
              <w:bottom w:w="40" w:type="dxa"/>
              <w:right w:w="40" w:type="dxa"/>
            </w:tcMar>
          </w:tcPr>
          <w:p w14:paraId="40803274" w14:textId="77777777" w:rsidR="00513308" w:rsidRPr="00190AB2" w:rsidRDefault="00190AB2">
            <w:pPr>
              <w:rPr>
                <w:szCs w:val="24"/>
                <w:highlight w:val="yellow"/>
                <w:lang w:val="en-IE"/>
              </w:rPr>
            </w:pPr>
            <w:r w:rsidRPr="00190AB2">
              <w:rPr>
                <w:szCs w:val="24"/>
                <w:lang w:val="en-IE"/>
              </w:rPr>
              <w:t>IE-0023581-0000</w:t>
            </w:r>
          </w:p>
        </w:tc>
      </w:tr>
      <w:bookmarkEnd w:id="1"/>
      <w:tr w:rsidR="0080346C" w:rsidRPr="00190AB2" w14:paraId="1CE740D7" w14:textId="77777777" w:rsidTr="00D27972">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AB0408" w14:textId="07C2451D" w:rsidR="00513308" w:rsidRPr="00190AB2" w:rsidRDefault="004F5873" w:rsidP="00465E7F">
            <w:pPr>
              <w:rPr>
                <w:b/>
                <w:szCs w:val="24"/>
                <w:lang w:val="en-IE"/>
              </w:rPr>
            </w:pPr>
            <w:r w:rsidRPr="00190AB2">
              <w:rPr>
                <w:b/>
                <w:szCs w:val="24"/>
                <w:lang w:val="en-IE"/>
              </w:rPr>
              <w:t>Name of Marketing Comp</w:t>
            </w:r>
            <w:r w:rsidR="00E00F67">
              <w:rPr>
                <w:b/>
                <w:szCs w:val="24"/>
                <w:lang w:val="en-IE"/>
              </w:rPr>
              <w:t>a</w:t>
            </w:r>
            <w:r w:rsidRPr="00190AB2">
              <w:rPr>
                <w:b/>
                <w:szCs w:val="24"/>
                <w:lang w:val="en-IE"/>
              </w:rPr>
              <w:t>ny</w:t>
            </w:r>
            <w:r w:rsidR="00E00F67">
              <w:rPr>
                <w:b/>
                <w:szCs w:val="24"/>
                <w:lang w:val="en-IE"/>
              </w:rPr>
              <w:t xml:space="preserve"> </w:t>
            </w:r>
            <w:r w:rsidR="00513308" w:rsidRPr="00190AB2">
              <w:rPr>
                <w:b/>
                <w:szCs w:val="24"/>
                <w:lang w:val="en-IE"/>
              </w:rPr>
              <w:t>Address</w:t>
            </w:r>
          </w:p>
        </w:tc>
        <w:tc>
          <w:tcPr>
            <w:tcW w:w="6337" w:type="dxa"/>
            <w:tcBorders>
              <w:top w:val="nil"/>
              <w:left w:val="nil"/>
              <w:bottom w:val="single" w:sz="4" w:space="0" w:color="000000"/>
              <w:right w:val="single" w:sz="4" w:space="0" w:color="000000"/>
            </w:tcBorders>
            <w:tcMar>
              <w:top w:w="40" w:type="dxa"/>
              <w:left w:w="40" w:type="dxa"/>
              <w:bottom w:w="40" w:type="dxa"/>
              <w:right w:w="40" w:type="dxa"/>
            </w:tcMar>
          </w:tcPr>
          <w:p w14:paraId="14C6779B" w14:textId="77777777" w:rsidR="0080346C" w:rsidRPr="00190AB2" w:rsidRDefault="00C8487F">
            <w:pPr>
              <w:rPr>
                <w:szCs w:val="24"/>
                <w:highlight w:val="yellow"/>
                <w:lang w:val="en-IE"/>
              </w:rPr>
            </w:pPr>
            <w:r w:rsidRPr="00190AB2">
              <w:rPr>
                <w:szCs w:val="24"/>
                <w:lang w:val="en-IE"/>
              </w:rPr>
              <w:t>To be confirmed</w:t>
            </w:r>
          </w:p>
        </w:tc>
      </w:tr>
    </w:tbl>
    <w:p w14:paraId="6EAF2F2D" w14:textId="77777777" w:rsidR="00D27972" w:rsidRPr="00190AB2" w:rsidRDefault="00D27972" w:rsidP="009231A8">
      <w:pPr>
        <w:jc w:val="both"/>
        <w:rPr>
          <w:szCs w:val="24"/>
          <w:lang w:val="en-IE"/>
        </w:rPr>
      </w:pPr>
    </w:p>
    <w:tbl>
      <w:tblPr>
        <w:tblW w:w="0" w:type="auto"/>
        <w:tblInd w:w="45" w:type="dxa"/>
        <w:tblLayout w:type="fixed"/>
        <w:tblCellMar>
          <w:left w:w="0" w:type="dxa"/>
          <w:right w:w="0" w:type="dxa"/>
        </w:tblCellMar>
        <w:tblLook w:val="0000" w:firstRow="0" w:lastRow="0" w:firstColumn="0" w:lastColumn="0" w:noHBand="0" w:noVBand="0"/>
      </w:tblPr>
      <w:tblGrid>
        <w:gridCol w:w="2689"/>
        <w:gridCol w:w="6336"/>
      </w:tblGrid>
      <w:tr w:rsidR="00C8487F" w:rsidRPr="00190AB2" w14:paraId="47B50BD6" w14:textId="77777777" w:rsidTr="00C8487F">
        <w:trPr>
          <w:trHeight w:val="1008"/>
        </w:trPr>
        <w:tc>
          <w:tcPr>
            <w:tcW w:w="2689" w:type="dxa"/>
            <w:tcBorders>
              <w:top w:val="single" w:sz="4" w:space="0" w:color="000000"/>
              <w:left w:val="single" w:sz="4" w:space="0" w:color="000000"/>
              <w:right w:val="single" w:sz="4" w:space="0" w:color="000000"/>
            </w:tcBorders>
            <w:tcMar>
              <w:top w:w="40" w:type="dxa"/>
              <w:left w:w="40" w:type="dxa"/>
              <w:bottom w:w="40" w:type="dxa"/>
              <w:right w:w="40" w:type="dxa"/>
            </w:tcMar>
          </w:tcPr>
          <w:p w14:paraId="51B1BE98" w14:textId="77777777" w:rsidR="00C8487F" w:rsidRPr="00190AB2" w:rsidRDefault="00C8487F" w:rsidP="00203934">
            <w:pPr>
              <w:ind w:left="57" w:right="57"/>
              <w:jc w:val="both"/>
              <w:rPr>
                <w:b/>
                <w:szCs w:val="24"/>
                <w:lang w:val="en-IE" w:eastAsia="en-GB"/>
              </w:rPr>
            </w:pPr>
            <w:r w:rsidRPr="00190AB2">
              <w:rPr>
                <w:b/>
                <w:szCs w:val="24"/>
                <w:lang w:val="en-IE" w:eastAsia="en-GB"/>
              </w:rPr>
              <w:t xml:space="preserve">Active Substance(s) </w:t>
            </w:r>
          </w:p>
          <w:p w14:paraId="2AE9A0C4" w14:textId="77777777" w:rsidR="00C8487F" w:rsidRPr="00190AB2" w:rsidRDefault="00C8487F" w:rsidP="00203934">
            <w:pPr>
              <w:ind w:left="57" w:right="57"/>
              <w:jc w:val="both"/>
              <w:rPr>
                <w:b/>
                <w:szCs w:val="24"/>
                <w:lang w:val="en-IE" w:eastAsia="en-GB"/>
              </w:rPr>
            </w:pPr>
            <w:r w:rsidRPr="00190AB2">
              <w:rPr>
                <w:b/>
                <w:szCs w:val="24"/>
                <w:lang w:val="en-IE" w:eastAsia="en-GB"/>
              </w:rPr>
              <w:t>(% w/w):</w:t>
            </w:r>
          </w:p>
        </w:tc>
        <w:tc>
          <w:tcPr>
            <w:tcW w:w="6336" w:type="dxa"/>
            <w:tcBorders>
              <w:top w:val="single" w:sz="4" w:space="0" w:color="000000"/>
              <w:left w:val="nil"/>
              <w:right w:val="single" w:sz="4" w:space="0" w:color="000000"/>
            </w:tcBorders>
            <w:tcMar>
              <w:top w:w="40" w:type="dxa"/>
              <w:left w:w="40" w:type="dxa"/>
              <w:bottom w:w="40" w:type="dxa"/>
              <w:right w:w="40" w:type="dxa"/>
            </w:tcMar>
          </w:tcPr>
          <w:p w14:paraId="5FC946FC" w14:textId="77777777" w:rsidR="00C8487F" w:rsidRPr="00190AB2" w:rsidRDefault="00C8487F" w:rsidP="0080346C">
            <w:pPr>
              <w:ind w:right="57"/>
              <w:jc w:val="both"/>
              <w:rPr>
                <w:szCs w:val="24"/>
                <w:lang w:val="en-IE"/>
              </w:rPr>
            </w:pPr>
            <w:r w:rsidRPr="00190AB2">
              <w:rPr>
                <w:szCs w:val="24"/>
                <w:lang w:val="en-IE"/>
              </w:rPr>
              <w:t>Cholecalciferol [0.077 % w/w]</w:t>
            </w:r>
          </w:p>
        </w:tc>
      </w:tr>
      <w:tr w:rsidR="00FF5BCF" w:rsidRPr="00190AB2" w14:paraId="47FEADC0" w14:textId="77777777" w:rsidTr="00FF5BCF">
        <w:tc>
          <w:tcPr>
            <w:tcW w:w="268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93E5DD" w14:textId="77777777" w:rsidR="00FA63D3" w:rsidRPr="00190AB2" w:rsidRDefault="00FA63D3" w:rsidP="00203934">
            <w:pPr>
              <w:ind w:left="57" w:right="57"/>
              <w:jc w:val="both"/>
              <w:rPr>
                <w:b/>
                <w:szCs w:val="24"/>
                <w:lang w:val="en-IE"/>
              </w:rPr>
            </w:pPr>
            <w:r w:rsidRPr="00190AB2">
              <w:rPr>
                <w:b/>
                <w:szCs w:val="24"/>
                <w:lang w:val="en-IE" w:eastAsia="en-GB"/>
              </w:rPr>
              <w:t>Product-Type:</w:t>
            </w:r>
          </w:p>
        </w:tc>
        <w:tc>
          <w:tcPr>
            <w:tcW w:w="6336"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4FE60FF3" w14:textId="77777777" w:rsidR="00FA63D3" w:rsidRPr="00190AB2" w:rsidRDefault="00621ED9" w:rsidP="00203934">
            <w:pPr>
              <w:ind w:left="57" w:right="57"/>
              <w:jc w:val="both"/>
              <w:rPr>
                <w:szCs w:val="24"/>
                <w:lang w:val="en-IE"/>
              </w:rPr>
            </w:pPr>
            <w:r w:rsidRPr="00190AB2">
              <w:rPr>
                <w:szCs w:val="24"/>
                <w:lang w:val="en-IE"/>
              </w:rPr>
              <w:t>PT14 Rodenticides</w:t>
            </w:r>
          </w:p>
        </w:tc>
      </w:tr>
      <w:tr w:rsidR="00FF5BCF" w:rsidRPr="00190AB2" w14:paraId="76AD15D6" w14:textId="77777777" w:rsidTr="00FF5BCF">
        <w:tc>
          <w:tcPr>
            <w:tcW w:w="268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5C7BBD" w14:textId="77777777" w:rsidR="006669E0" w:rsidRPr="00190AB2" w:rsidRDefault="006669E0" w:rsidP="00203934">
            <w:pPr>
              <w:ind w:left="57" w:right="57"/>
              <w:jc w:val="both"/>
              <w:rPr>
                <w:b/>
                <w:szCs w:val="24"/>
                <w:lang w:val="en-IE" w:eastAsia="en-GB"/>
              </w:rPr>
            </w:pPr>
            <w:r w:rsidRPr="00190AB2">
              <w:rPr>
                <w:b/>
                <w:szCs w:val="24"/>
                <w:lang w:val="en-IE" w:eastAsia="en-GB"/>
              </w:rPr>
              <w:t>Product Composition:</w:t>
            </w:r>
          </w:p>
        </w:tc>
        <w:tc>
          <w:tcPr>
            <w:tcW w:w="6336"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4703C518" w14:textId="77777777" w:rsidR="006669E0" w:rsidRPr="00190AB2" w:rsidRDefault="00EB09E8" w:rsidP="00203934">
            <w:pPr>
              <w:ind w:left="57" w:right="57"/>
              <w:jc w:val="both"/>
              <w:rPr>
                <w:szCs w:val="24"/>
                <w:lang w:val="en-IE"/>
              </w:rPr>
            </w:pPr>
            <w:r w:rsidRPr="00190AB2">
              <w:rPr>
                <w:szCs w:val="24"/>
                <w:lang w:val="en-IE"/>
              </w:rPr>
              <w:t>See Confidential PAR on R4BP3</w:t>
            </w:r>
          </w:p>
        </w:tc>
      </w:tr>
      <w:tr w:rsidR="00FF5BCF" w:rsidRPr="00190AB2" w14:paraId="19F5369D" w14:textId="77777777" w:rsidTr="00FF5BCF">
        <w:tc>
          <w:tcPr>
            <w:tcW w:w="268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2BB710" w14:textId="77777777" w:rsidR="00EE768B" w:rsidRPr="00190AB2" w:rsidRDefault="00EE768B" w:rsidP="00C8487F">
            <w:pPr>
              <w:ind w:left="57" w:right="57"/>
              <w:rPr>
                <w:b/>
                <w:szCs w:val="24"/>
                <w:lang w:val="en-IE" w:eastAsia="en-GB"/>
              </w:rPr>
            </w:pPr>
            <w:r w:rsidRPr="00190AB2">
              <w:rPr>
                <w:b/>
                <w:szCs w:val="24"/>
                <w:lang w:val="en-IE" w:eastAsia="en-GB"/>
              </w:rPr>
              <w:t xml:space="preserve">Substance(s) of Concern: </w:t>
            </w:r>
          </w:p>
        </w:tc>
        <w:tc>
          <w:tcPr>
            <w:tcW w:w="6336"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4D1AD89F" w14:textId="77777777" w:rsidR="00EE768B" w:rsidRPr="00190AB2" w:rsidRDefault="00C8487F" w:rsidP="00203934">
            <w:pPr>
              <w:tabs>
                <w:tab w:val="left" w:pos="1584"/>
              </w:tabs>
              <w:ind w:left="57" w:right="57"/>
              <w:jc w:val="both"/>
              <w:rPr>
                <w:szCs w:val="24"/>
                <w:lang w:val="en-IE"/>
              </w:rPr>
            </w:pPr>
            <w:r w:rsidRPr="00190AB2">
              <w:rPr>
                <w:szCs w:val="24"/>
                <w:lang w:val="en-IE"/>
              </w:rPr>
              <w:t>2-Phenylphenol [0.0496 %w/w]</w:t>
            </w:r>
          </w:p>
        </w:tc>
      </w:tr>
      <w:tr w:rsidR="00127E72" w:rsidRPr="00190AB2" w14:paraId="7FF065A2" w14:textId="77777777" w:rsidTr="00EE768B">
        <w:tc>
          <w:tcPr>
            <w:tcW w:w="268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3CD942" w14:textId="77777777" w:rsidR="00127E72" w:rsidRPr="00190AB2" w:rsidRDefault="00127E72" w:rsidP="00203934">
            <w:pPr>
              <w:ind w:left="57" w:right="57"/>
              <w:jc w:val="both"/>
              <w:rPr>
                <w:b/>
                <w:szCs w:val="24"/>
                <w:lang w:val="en-IE" w:eastAsia="en-GB"/>
              </w:rPr>
            </w:pPr>
            <w:r w:rsidRPr="00190AB2">
              <w:rPr>
                <w:b/>
                <w:szCs w:val="24"/>
                <w:lang w:val="en-IE" w:eastAsia="en-GB"/>
              </w:rPr>
              <w:t>Comparative Assessment Required:</w:t>
            </w:r>
          </w:p>
        </w:tc>
        <w:tc>
          <w:tcPr>
            <w:tcW w:w="633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C67A9F9" w14:textId="77777777" w:rsidR="00127E72" w:rsidRPr="00190AB2" w:rsidRDefault="00C8487F" w:rsidP="00203934">
            <w:pPr>
              <w:tabs>
                <w:tab w:val="left" w:pos="1584"/>
              </w:tabs>
              <w:ind w:left="57" w:right="57"/>
              <w:jc w:val="both"/>
              <w:rPr>
                <w:szCs w:val="24"/>
                <w:lang w:val="en-IE"/>
              </w:rPr>
            </w:pPr>
            <w:r w:rsidRPr="00190AB2">
              <w:rPr>
                <w:szCs w:val="24"/>
                <w:lang w:val="en-IE"/>
              </w:rPr>
              <w:t>No</w:t>
            </w:r>
          </w:p>
        </w:tc>
      </w:tr>
      <w:tr w:rsidR="009D5533" w:rsidRPr="00190AB2" w14:paraId="47BEF716" w14:textId="77777777" w:rsidTr="00C8487F">
        <w:tc>
          <w:tcPr>
            <w:tcW w:w="268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77F030" w14:textId="77777777" w:rsidR="009D5533" w:rsidRPr="00190AB2" w:rsidRDefault="009D5533" w:rsidP="00203934">
            <w:pPr>
              <w:ind w:left="57" w:right="57"/>
              <w:jc w:val="both"/>
              <w:rPr>
                <w:b/>
                <w:szCs w:val="24"/>
                <w:lang w:val="en-IE" w:eastAsia="en-GB"/>
              </w:rPr>
            </w:pPr>
            <w:r w:rsidRPr="00190AB2">
              <w:rPr>
                <w:b/>
                <w:szCs w:val="24"/>
                <w:lang w:val="en-IE" w:eastAsia="en-GB"/>
              </w:rPr>
              <w:t>Formulation Type:</w:t>
            </w:r>
          </w:p>
        </w:tc>
        <w:tc>
          <w:tcPr>
            <w:tcW w:w="6336"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4846307D" w14:textId="77777777" w:rsidR="009D5533" w:rsidRPr="00190AB2" w:rsidRDefault="00C8487F" w:rsidP="00C8487F">
            <w:pPr>
              <w:tabs>
                <w:tab w:val="left" w:pos="1584"/>
              </w:tabs>
              <w:ind w:left="57" w:right="57"/>
              <w:jc w:val="both"/>
              <w:rPr>
                <w:szCs w:val="24"/>
                <w:highlight w:val="yellow"/>
                <w:lang w:val="en-IE"/>
              </w:rPr>
            </w:pPr>
            <w:r w:rsidRPr="00190AB2">
              <w:rPr>
                <w:szCs w:val="24"/>
                <w:lang w:val="en-IE"/>
              </w:rPr>
              <w:t>Bait – Ready to use (RB)</w:t>
            </w:r>
          </w:p>
        </w:tc>
      </w:tr>
      <w:tr w:rsidR="006669E0" w:rsidRPr="00190AB2" w14:paraId="71A55748" w14:textId="77777777" w:rsidTr="00EE768B">
        <w:tc>
          <w:tcPr>
            <w:tcW w:w="268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19F25E" w14:textId="77777777" w:rsidR="006669E0" w:rsidRPr="00190AB2" w:rsidRDefault="006669E0" w:rsidP="00203934">
            <w:pPr>
              <w:ind w:left="57" w:right="57"/>
              <w:jc w:val="both"/>
              <w:rPr>
                <w:b/>
                <w:szCs w:val="24"/>
                <w:lang w:val="en-IE" w:eastAsia="en-GB"/>
              </w:rPr>
            </w:pPr>
            <w:r w:rsidRPr="00190AB2">
              <w:rPr>
                <w:b/>
                <w:szCs w:val="24"/>
                <w:lang w:val="en-IE" w:eastAsia="en-GB"/>
              </w:rPr>
              <w:t>Area of Use:</w:t>
            </w:r>
          </w:p>
        </w:tc>
        <w:tc>
          <w:tcPr>
            <w:tcW w:w="633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273BEC9" w14:textId="77777777" w:rsidR="00C431FC" w:rsidRPr="00190AB2" w:rsidRDefault="00C431FC" w:rsidP="00203934">
            <w:pPr>
              <w:tabs>
                <w:tab w:val="left" w:pos="1584"/>
              </w:tabs>
              <w:ind w:left="57" w:right="57"/>
              <w:jc w:val="both"/>
              <w:rPr>
                <w:szCs w:val="24"/>
                <w:lang w:val="en-IE"/>
              </w:rPr>
            </w:pPr>
            <w:r w:rsidRPr="00190AB2">
              <w:rPr>
                <w:szCs w:val="24"/>
                <w:lang w:val="en-IE"/>
              </w:rPr>
              <w:t xml:space="preserve">Indoor use </w:t>
            </w:r>
          </w:p>
          <w:p w14:paraId="5D6B1F87" w14:textId="77777777" w:rsidR="006669E0" w:rsidRPr="00190AB2" w:rsidRDefault="00C431FC" w:rsidP="00C8487F">
            <w:pPr>
              <w:tabs>
                <w:tab w:val="left" w:pos="1584"/>
              </w:tabs>
              <w:ind w:left="57" w:right="57"/>
              <w:jc w:val="both"/>
              <w:rPr>
                <w:szCs w:val="24"/>
                <w:lang w:val="en-IE"/>
              </w:rPr>
            </w:pPr>
            <w:r w:rsidRPr="00190AB2">
              <w:rPr>
                <w:szCs w:val="24"/>
                <w:lang w:val="en-IE"/>
              </w:rPr>
              <w:t>Outdoor use (around buildings)</w:t>
            </w:r>
          </w:p>
        </w:tc>
      </w:tr>
      <w:tr w:rsidR="00261D1D" w:rsidRPr="00190AB2" w14:paraId="27F9C136" w14:textId="77777777" w:rsidTr="00EE768B">
        <w:tc>
          <w:tcPr>
            <w:tcW w:w="268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124BCE" w14:textId="77777777" w:rsidR="00261D1D" w:rsidRPr="00190AB2" w:rsidRDefault="00261D1D" w:rsidP="00203934">
            <w:pPr>
              <w:ind w:left="57" w:right="57"/>
              <w:jc w:val="both"/>
              <w:rPr>
                <w:b/>
                <w:szCs w:val="24"/>
                <w:lang w:val="en-IE" w:eastAsia="en-GB"/>
              </w:rPr>
            </w:pPr>
            <w:r w:rsidRPr="00190AB2">
              <w:rPr>
                <w:b/>
                <w:szCs w:val="24"/>
                <w:lang w:val="en-IE" w:eastAsia="en-GB"/>
              </w:rPr>
              <w:t>Statement of Use:</w:t>
            </w:r>
          </w:p>
        </w:tc>
        <w:tc>
          <w:tcPr>
            <w:tcW w:w="633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F31858" w14:textId="77777777" w:rsidR="00261D1D" w:rsidRPr="00190AB2" w:rsidRDefault="007D5DEC" w:rsidP="00C8487F">
            <w:pPr>
              <w:ind w:left="57" w:right="57"/>
              <w:jc w:val="both"/>
              <w:rPr>
                <w:szCs w:val="24"/>
                <w:lang w:val="en-IE"/>
              </w:rPr>
            </w:pPr>
            <w:r w:rsidRPr="00190AB2">
              <w:rPr>
                <w:spacing w:val="-3"/>
                <w:szCs w:val="24"/>
                <w:lang w:val="en-IE"/>
              </w:rPr>
              <w:t xml:space="preserve">A ready-to-use </w:t>
            </w:r>
            <w:r w:rsidR="00C8487F" w:rsidRPr="00190AB2">
              <w:rPr>
                <w:spacing w:val="-3"/>
                <w:szCs w:val="24"/>
                <w:lang w:val="en-IE"/>
              </w:rPr>
              <w:t>rodenticide</w:t>
            </w:r>
            <w:r w:rsidRPr="00190AB2">
              <w:rPr>
                <w:spacing w:val="-3"/>
                <w:szCs w:val="24"/>
                <w:lang w:val="en-IE"/>
              </w:rPr>
              <w:t xml:space="preserve"> bait containing </w:t>
            </w:r>
            <w:r w:rsidR="00C8487F" w:rsidRPr="00190AB2">
              <w:rPr>
                <w:szCs w:val="24"/>
                <w:lang w:val="en-IE"/>
              </w:rPr>
              <w:t xml:space="preserve">Cholecalciferol [0.077 % w/w] </w:t>
            </w:r>
            <w:r w:rsidRPr="00190AB2">
              <w:rPr>
                <w:spacing w:val="-3"/>
                <w:szCs w:val="24"/>
                <w:lang w:val="en-IE"/>
              </w:rPr>
              <w:t xml:space="preserve">for use as a rodenticide </w:t>
            </w:r>
            <w:r w:rsidR="0053412B" w:rsidRPr="00190AB2">
              <w:rPr>
                <w:spacing w:val="-3"/>
                <w:szCs w:val="24"/>
                <w:lang w:val="en-IE"/>
              </w:rPr>
              <w:t xml:space="preserve">by </w:t>
            </w:r>
            <w:r w:rsidR="00C8487F" w:rsidRPr="00190AB2">
              <w:rPr>
                <w:szCs w:val="24"/>
                <w:lang w:val="en-IE"/>
              </w:rPr>
              <w:t>Professional and</w:t>
            </w:r>
            <w:r w:rsidRPr="00190AB2">
              <w:rPr>
                <w:szCs w:val="24"/>
                <w:lang w:val="en-IE"/>
              </w:rPr>
              <w:t xml:space="preserve"> Trained Professionals</w:t>
            </w:r>
            <w:r w:rsidRPr="00190AB2">
              <w:rPr>
                <w:spacing w:val="-3"/>
                <w:szCs w:val="24"/>
                <w:lang w:val="en-IE"/>
              </w:rPr>
              <w:t xml:space="preserve"> for the co</w:t>
            </w:r>
            <w:r w:rsidR="00C8487F" w:rsidRPr="00190AB2">
              <w:rPr>
                <w:spacing w:val="-3"/>
                <w:szCs w:val="24"/>
                <w:lang w:val="en-IE"/>
              </w:rPr>
              <w:t xml:space="preserve">ntrol of rats and mice indoors and </w:t>
            </w:r>
            <w:r w:rsidRPr="00190AB2">
              <w:rPr>
                <w:spacing w:val="-3"/>
                <w:szCs w:val="24"/>
                <w:lang w:val="en-IE"/>
              </w:rPr>
              <w:t xml:space="preserve">outdoors around buildings </w:t>
            </w:r>
            <w:r w:rsidRPr="00190AB2">
              <w:rPr>
                <w:szCs w:val="24"/>
                <w:lang w:val="en-IE"/>
              </w:rPr>
              <w:t xml:space="preserve">for the protection of public health, stored </w:t>
            </w:r>
            <w:proofErr w:type="gramStart"/>
            <w:r w:rsidRPr="00190AB2">
              <w:rPr>
                <w:szCs w:val="24"/>
                <w:lang w:val="en-IE"/>
              </w:rPr>
              <w:t>products</w:t>
            </w:r>
            <w:proofErr w:type="gramEnd"/>
            <w:r w:rsidRPr="00190AB2">
              <w:rPr>
                <w:szCs w:val="24"/>
                <w:lang w:val="en-IE"/>
              </w:rPr>
              <w:t xml:space="preserve"> and materials</w:t>
            </w:r>
            <w:r w:rsidRPr="00190AB2">
              <w:rPr>
                <w:spacing w:val="-3"/>
                <w:szCs w:val="24"/>
                <w:lang w:val="en-IE"/>
              </w:rPr>
              <w:t>.</w:t>
            </w:r>
          </w:p>
        </w:tc>
      </w:tr>
      <w:tr w:rsidR="006669E0" w:rsidRPr="00190AB2" w14:paraId="148F16BF" w14:textId="77777777" w:rsidTr="00EE768B">
        <w:tc>
          <w:tcPr>
            <w:tcW w:w="268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75F4E8" w14:textId="77777777" w:rsidR="006669E0" w:rsidRPr="00190AB2" w:rsidRDefault="006669E0" w:rsidP="00203934">
            <w:pPr>
              <w:ind w:left="57" w:right="57"/>
              <w:jc w:val="both"/>
              <w:rPr>
                <w:b/>
                <w:szCs w:val="24"/>
                <w:lang w:val="en-IE" w:eastAsia="en-GB"/>
              </w:rPr>
            </w:pPr>
            <w:r w:rsidRPr="00190AB2">
              <w:rPr>
                <w:b/>
                <w:szCs w:val="24"/>
                <w:lang w:val="en-IE" w:eastAsia="en-GB"/>
              </w:rPr>
              <w:t>User Category:</w:t>
            </w:r>
          </w:p>
        </w:tc>
        <w:tc>
          <w:tcPr>
            <w:tcW w:w="633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F413C46" w14:textId="77777777" w:rsidR="003C6F39" w:rsidRPr="00190AB2" w:rsidRDefault="006669E0" w:rsidP="007D5DEC">
            <w:pPr>
              <w:pStyle w:val="Heading1"/>
              <w:rPr>
                <w:b w:val="0"/>
              </w:rPr>
            </w:pPr>
            <w:r w:rsidRPr="00190AB2">
              <w:rPr>
                <w:b w:val="0"/>
              </w:rPr>
              <w:t>Professional</w:t>
            </w:r>
            <w:r w:rsidR="003C6F39" w:rsidRPr="00190AB2">
              <w:rPr>
                <w:b w:val="0"/>
              </w:rPr>
              <w:t>s</w:t>
            </w:r>
          </w:p>
          <w:p w14:paraId="14B23B06" w14:textId="77777777" w:rsidR="00621ED9" w:rsidRPr="00190AB2" w:rsidRDefault="00621ED9" w:rsidP="007D5DEC">
            <w:pPr>
              <w:pStyle w:val="Heading1"/>
            </w:pPr>
            <w:r w:rsidRPr="00190AB2">
              <w:rPr>
                <w:b w:val="0"/>
              </w:rPr>
              <w:t>Trained Professional</w:t>
            </w:r>
            <w:r w:rsidR="003C6F39" w:rsidRPr="00190AB2">
              <w:rPr>
                <w:b w:val="0"/>
              </w:rPr>
              <w:t>s</w:t>
            </w:r>
          </w:p>
        </w:tc>
      </w:tr>
      <w:tr w:rsidR="008234B6" w:rsidRPr="00190AB2" w14:paraId="0E18FCF7" w14:textId="77777777" w:rsidTr="00EE768B">
        <w:tc>
          <w:tcPr>
            <w:tcW w:w="268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684E64" w14:textId="77777777" w:rsidR="00252042" w:rsidRPr="00190AB2" w:rsidRDefault="008234B6" w:rsidP="00203934">
            <w:pPr>
              <w:ind w:left="57" w:right="57"/>
              <w:jc w:val="both"/>
              <w:rPr>
                <w:b/>
                <w:szCs w:val="24"/>
                <w:lang w:val="en-IE" w:eastAsia="en-GB"/>
              </w:rPr>
            </w:pPr>
            <w:r w:rsidRPr="00190AB2">
              <w:rPr>
                <w:b/>
                <w:szCs w:val="24"/>
                <w:lang w:val="en-IE" w:eastAsia="en-GB"/>
              </w:rPr>
              <w:t>Special labelling provisions for Ireland:</w:t>
            </w:r>
          </w:p>
          <w:p w14:paraId="4C942439" w14:textId="77777777" w:rsidR="008234B6" w:rsidRPr="00190AB2" w:rsidRDefault="008234B6" w:rsidP="00203934">
            <w:pPr>
              <w:ind w:left="57" w:right="57"/>
              <w:jc w:val="both"/>
              <w:rPr>
                <w:szCs w:val="24"/>
                <w:lang w:val="en-IE" w:eastAsia="en-GB"/>
              </w:rPr>
            </w:pPr>
            <w:r w:rsidRPr="00190AB2">
              <w:rPr>
                <w:szCs w:val="24"/>
                <w:lang w:val="en-IE" w:eastAsia="en-GB"/>
              </w:rPr>
              <w:tab/>
            </w:r>
          </w:p>
          <w:p w14:paraId="6A3E8D00" w14:textId="77777777" w:rsidR="008234B6" w:rsidRPr="00190AB2" w:rsidRDefault="008234B6" w:rsidP="00203934">
            <w:pPr>
              <w:ind w:left="57" w:right="57"/>
              <w:jc w:val="both"/>
              <w:rPr>
                <w:b/>
                <w:szCs w:val="24"/>
                <w:lang w:val="en-IE" w:eastAsia="en-GB"/>
              </w:rPr>
            </w:pPr>
          </w:p>
        </w:tc>
        <w:tc>
          <w:tcPr>
            <w:tcW w:w="633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CB42139" w14:textId="77777777" w:rsidR="00701213" w:rsidRPr="00190AB2" w:rsidRDefault="008900B2" w:rsidP="00682A5F">
            <w:pPr>
              <w:ind w:left="57" w:right="57"/>
              <w:jc w:val="both"/>
              <w:rPr>
                <w:szCs w:val="24"/>
                <w:lang w:val="en-IE" w:eastAsia="en-GB"/>
              </w:rPr>
            </w:pPr>
            <w:r w:rsidRPr="00190AB2">
              <w:rPr>
                <w:szCs w:val="24"/>
                <w:lang w:val="en-IE"/>
              </w:rPr>
              <w:t>In addition to the details recorded on the SPC, the following details shall be recorded on the product label(s).</w:t>
            </w:r>
            <w:r w:rsidR="00BB4AA0" w:rsidRPr="00190AB2">
              <w:rPr>
                <w:szCs w:val="24"/>
                <w:lang w:val="en-IE"/>
              </w:rPr>
              <w:t xml:space="preserve"> </w:t>
            </w:r>
          </w:p>
          <w:p w14:paraId="256B7AF3" w14:textId="77777777" w:rsidR="00701213" w:rsidRPr="00190AB2" w:rsidRDefault="00701213" w:rsidP="00682A5F">
            <w:pPr>
              <w:ind w:left="57" w:right="57"/>
              <w:jc w:val="both"/>
              <w:rPr>
                <w:szCs w:val="24"/>
                <w:lang w:val="en-IE" w:eastAsia="en-GB"/>
              </w:rPr>
            </w:pPr>
          </w:p>
          <w:p w14:paraId="27587DD7" w14:textId="77777777" w:rsidR="00252042" w:rsidRPr="00190AB2" w:rsidRDefault="00252042" w:rsidP="00682A5F">
            <w:pPr>
              <w:ind w:left="57" w:right="57"/>
              <w:jc w:val="both"/>
              <w:rPr>
                <w:b/>
                <w:szCs w:val="24"/>
                <w:u w:val="single"/>
                <w:lang w:val="en-IE"/>
              </w:rPr>
            </w:pPr>
            <w:r w:rsidRPr="00190AB2">
              <w:rPr>
                <w:b/>
                <w:szCs w:val="24"/>
                <w:u w:val="single"/>
                <w:lang w:val="en-IE"/>
              </w:rPr>
              <w:t>All users:</w:t>
            </w:r>
          </w:p>
          <w:p w14:paraId="08E0787A" w14:textId="77777777" w:rsidR="008234B6" w:rsidRPr="00190AB2" w:rsidRDefault="008234B6" w:rsidP="00682A5F">
            <w:pPr>
              <w:ind w:left="57" w:right="57"/>
              <w:jc w:val="both"/>
              <w:rPr>
                <w:b/>
                <w:szCs w:val="24"/>
                <w:lang w:val="en-IE"/>
              </w:rPr>
            </w:pPr>
            <w:r w:rsidRPr="00190AB2">
              <w:rPr>
                <w:b/>
                <w:szCs w:val="24"/>
                <w:lang w:val="en-IE"/>
              </w:rPr>
              <w:t>Use Biocides Safely and Sustainably</w:t>
            </w:r>
            <w:r w:rsidR="005C7702" w:rsidRPr="00190AB2">
              <w:rPr>
                <w:b/>
                <w:szCs w:val="24"/>
                <w:lang w:val="en-IE"/>
              </w:rPr>
              <w:t>.</w:t>
            </w:r>
          </w:p>
          <w:p w14:paraId="267A8BDB" w14:textId="77777777" w:rsidR="008234B6" w:rsidRPr="00190AB2" w:rsidRDefault="008234B6" w:rsidP="00682A5F">
            <w:pPr>
              <w:ind w:left="57" w:right="57"/>
              <w:jc w:val="both"/>
              <w:rPr>
                <w:b/>
                <w:szCs w:val="24"/>
                <w:lang w:val="en-IE"/>
              </w:rPr>
            </w:pPr>
            <w:r w:rsidRPr="00190AB2">
              <w:rPr>
                <w:b/>
                <w:szCs w:val="24"/>
                <w:lang w:val="en-IE"/>
              </w:rPr>
              <w:t>It is illegal to use this product for uses or in a manner other than that prescribed on this label.</w:t>
            </w:r>
          </w:p>
          <w:p w14:paraId="4654187D" w14:textId="77777777" w:rsidR="005C7702" w:rsidRPr="00190AB2" w:rsidRDefault="005C7702" w:rsidP="00682A5F">
            <w:pPr>
              <w:ind w:left="57" w:right="57"/>
              <w:jc w:val="both"/>
              <w:rPr>
                <w:szCs w:val="24"/>
                <w:lang w:val="en-IE"/>
              </w:rPr>
            </w:pPr>
          </w:p>
          <w:p w14:paraId="233C5BA3" w14:textId="77777777" w:rsidR="00DC24E8" w:rsidRPr="00190AB2" w:rsidRDefault="005C7702" w:rsidP="00682A5F">
            <w:pPr>
              <w:ind w:left="57" w:right="57"/>
              <w:jc w:val="both"/>
              <w:rPr>
                <w:szCs w:val="24"/>
                <w:lang w:val="en-IE"/>
              </w:rPr>
            </w:pPr>
            <w:r w:rsidRPr="00190AB2">
              <w:rPr>
                <w:b/>
                <w:szCs w:val="24"/>
                <w:lang w:val="en-IE"/>
              </w:rPr>
              <w:t>Bait stations:</w:t>
            </w:r>
            <w:r w:rsidRPr="00190AB2">
              <w:rPr>
                <w:szCs w:val="24"/>
                <w:lang w:val="en-IE"/>
              </w:rPr>
              <w:t xml:space="preserve"> </w:t>
            </w:r>
          </w:p>
          <w:p w14:paraId="5D944917" w14:textId="77777777" w:rsidR="005C7702" w:rsidRPr="00190AB2" w:rsidRDefault="00DC24E8" w:rsidP="00682A5F">
            <w:pPr>
              <w:ind w:left="57" w:right="57"/>
              <w:jc w:val="both"/>
              <w:rPr>
                <w:szCs w:val="24"/>
                <w:lang w:val="en-IE"/>
              </w:rPr>
            </w:pPr>
            <w:r w:rsidRPr="00190AB2">
              <w:rPr>
                <w:szCs w:val="24"/>
                <w:lang w:val="en-IE"/>
              </w:rPr>
              <w:t>M</w:t>
            </w:r>
            <w:r w:rsidR="005C7702" w:rsidRPr="00190AB2">
              <w:rPr>
                <w:szCs w:val="24"/>
                <w:lang w:val="en-IE"/>
              </w:rPr>
              <w:t>ust be labelled with the following information:  "</w:t>
            </w:r>
            <w:r w:rsidR="005C7702" w:rsidRPr="00190AB2">
              <w:rPr>
                <w:b/>
                <w:szCs w:val="24"/>
                <w:lang w:val="en-IE"/>
              </w:rPr>
              <w:t>Product name or authorisation number</w:t>
            </w:r>
            <w:r w:rsidR="005C7702" w:rsidRPr="00190AB2">
              <w:rPr>
                <w:szCs w:val="24"/>
                <w:lang w:val="en-IE"/>
              </w:rPr>
              <w:t>"; "</w:t>
            </w:r>
            <w:r w:rsidR="005C7702" w:rsidRPr="00190AB2">
              <w:rPr>
                <w:b/>
                <w:szCs w:val="24"/>
                <w:lang w:val="en-IE"/>
              </w:rPr>
              <w:t>Active substance(s)</w:t>
            </w:r>
            <w:r w:rsidR="005C7702" w:rsidRPr="00190AB2">
              <w:rPr>
                <w:szCs w:val="24"/>
                <w:lang w:val="en-IE"/>
              </w:rPr>
              <w:t xml:space="preserve">" </w:t>
            </w:r>
            <w:r w:rsidRPr="00190AB2">
              <w:rPr>
                <w:szCs w:val="24"/>
                <w:lang w:val="en-IE"/>
              </w:rPr>
              <w:t>"</w:t>
            </w:r>
            <w:r w:rsidRPr="00190AB2">
              <w:rPr>
                <w:b/>
                <w:szCs w:val="24"/>
                <w:lang w:val="en-IE"/>
              </w:rPr>
              <w:t>Contains a rodenticide</w:t>
            </w:r>
            <w:r w:rsidRPr="00190AB2">
              <w:rPr>
                <w:szCs w:val="24"/>
                <w:lang w:val="en-IE"/>
              </w:rPr>
              <w:t>"; "</w:t>
            </w:r>
            <w:r w:rsidRPr="00190AB2">
              <w:rPr>
                <w:b/>
                <w:szCs w:val="24"/>
                <w:lang w:val="en-IE"/>
              </w:rPr>
              <w:t>Do not move or open</w:t>
            </w:r>
            <w:r w:rsidRPr="00190AB2">
              <w:rPr>
                <w:szCs w:val="24"/>
                <w:lang w:val="en-IE"/>
              </w:rPr>
              <w:t xml:space="preserve">”; </w:t>
            </w:r>
            <w:r w:rsidR="005C7702" w:rsidRPr="00190AB2">
              <w:rPr>
                <w:szCs w:val="24"/>
                <w:lang w:val="en-IE"/>
              </w:rPr>
              <w:t>and "</w:t>
            </w:r>
            <w:r w:rsidR="005C7702" w:rsidRPr="00190AB2">
              <w:rPr>
                <w:b/>
                <w:szCs w:val="24"/>
                <w:lang w:val="en-IE"/>
              </w:rPr>
              <w:t>In case of incident, call the National Poisons Information Centre on (01) 809 2166</w:t>
            </w:r>
            <w:r w:rsidR="005C7702" w:rsidRPr="00190AB2">
              <w:rPr>
                <w:szCs w:val="24"/>
                <w:lang w:val="en-IE"/>
              </w:rPr>
              <w:t>".</w:t>
            </w:r>
          </w:p>
          <w:p w14:paraId="1CC4DF22" w14:textId="77777777" w:rsidR="00DC24E8" w:rsidRPr="00190AB2" w:rsidRDefault="00DC24E8" w:rsidP="00682A5F">
            <w:pPr>
              <w:ind w:left="57" w:right="57"/>
              <w:jc w:val="both"/>
              <w:rPr>
                <w:szCs w:val="24"/>
                <w:lang w:val="en-IE"/>
              </w:rPr>
            </w:pPr>
          </w:p>
          <w:p w14:paraId="47B0E4C8" w14:textId="77777777" w:rsidR="00701213" w:rsidRPr="00190AB2" w:rsidRDefault="008234B6" w:rsidP="00682A5F">
            <w:pPr>
              <w:ind w:left="57" w:right="57"/>
              <w:jc w:val="both"/>
              <w:rPr>
                <w:szCs w:val="24"/>
                <w:lang w:val="en-IE"/>
              </w:rPr>
            </w:pPr>
            <w:r w:rsidRPr="00190AB2">
              <w:rPr>
                <w:b/>
                <w:szCs w:val="24"/>
                <w:lang w:val="en-IE"/>
              </w:rPr>
              <w:t>Poison Information</w:t>
            </w:r>
            <w:r w:rsidRPr="00190AB2">
              <w:rPr>
                <w:szCs w:val="24"/>
                <w:lang w:val="en-IE"/>
              </w:rPr>
              <w:t xml:space="preserve">: </w:t>
            </w:r>
          </w:p>
          <w:p w14:paraId="6845A6CB" w14:textId="77777777" w:rsidR="008234B6" w:rsidRPr="00190AB2" w:rsidRDefault="008234B6" w:rsidP="00682A5F">
            <w:pPr>
              <w:ind w:left="57" w:right="57"/>
              <w:jc w:val="both"/>
              <w:rPr>
                <w:szCs w:val="24"/>
                <w:lang w:val="en-IE"/>
              </w:rPr>
            </w:pPr>
            <w:r w:rsidRPr="00190AB2">
              <w:rPr>
                <w:szCs w:val="24"/>
                <w:lang w:val="en-IE"/>
              </w:rPr>
              <w:t xml:space="preserve">For information or to report a poisoning incident contact </w:t>
            </w:r>
            <w:r w:rsidRPr="00190AB2">
              <w:rPr>
                <w:b/>
                <w:szCs w:val="24"/>
                <w:lang w:val="en-IE"/>
              </w:rPr>
              <w:t>The National Poisons Information Centre, Beaumont Hospital, Dublin (01-809</w:t>
            </w:r>
            <w:r w:rsidR="00FD0F68" w:rsidRPr="00190AB2">
              <w:rPr>
                <w:b/>
                <w:szCs w:val="24"/>
                <w:lang w:val="en-IE"/>
              </w:rPr>
              <w:t xml:space="preserve"> </w:t>
            </w:r>
            <w:r w:rsidRPr="00190AB2">
              <w:rPr>
                <w:b/>
                <w:szCs w:val="24"/>
                <w:lang w:val="en-IE"/>
              </w:rPr>
              <w:t>2166)</w:t>
            </w:r>
            <w:r w:rsidRPr="00190AB2">
              <w:rPr>
                <w:szCs w:val="24"/>
                <w:lang w:val="en-IE"/>
              </w:rPr>
              <w:t>, retain the label for reference.</w:t>
            </w:r>
          </w:p>
          <w:p w14:paraId="0D4AB128" w14:textId="77777777" w:rsidR="00252042" w:rsidRPr="00190AB2" w:rsidRDefault="005C7702" w:rsidP="00682A5F">
            <w:pPr>
              <w:ind w:left="57" w:right="57"/>
              <w:jc w:val="both"/>
              <w:rPr>
                <w:b/>
                <w:szCs w:val="24"/>
                <w:lang w:val="en-IE"/>
              </w:rPr>
            </w:pPr>
            <w:r w:rsidRPr="00190AB2">
              <w:rPr>
                <w:b/>
                <w:szCs w:val="24"/>
                <w:lang w:val="en-IE"/>
              </w:rPr>
              <w:lastRenderedPageBreak/>
              <w:t>First Aid:</w:t>
            </w:r>
            <w:r w:rsidR="00252042" w:rsidRPr="00190AB2">
              <w:rPr>
                <w:b/>
                <w:szCs w:val="24"/>
                <w:lang w:val="en-IE"/>
              </w:rPr>
              <w:tab/>
            </w:r>
          </w:p>
          <w:p w14:paraId="057AF4E5" w14:textId="77777777" w:rsidR="005C7702" w:rsidRPr="00190AB2" w:rsidRDefault="005C7702" w:rsidP="00682A5F">
            <w:pPr>
              <w:ind w:left="57" w:right="57"/>
              <w:jc w:val="both"/>
              <w:rPr>
                <w:szCs w:val="24"/>
                <w:lang w:val="en-IE"/>
              </w:rPr>
            </w:pPr>
            <w:r w:rsidRPr="00190AB2">
              <w:rPr>
                <w:szCs w:val="24"/>
                <w:lang w:val="en-IE"/>
              </w:rPr>
              <w:t xml:space="preserve">In case of: </w:t>
            </w:r>
            <w:r w:rsidR="00252042" w:rsidRPr="00190AB2">
              <w:rPr>
                <w:szCs w:val="24"/>
                <w:lang w:val="en-IE"/>
              </w:rPr>
              <w:t xml:space="preserve">Oral exposure, rinse mouth carefully with water. Never give anything by mouth to unconscious person. Do not provoke vomiting. If swallowed, seek medical advice immediately and show the product's container or label. </w:t>
            </w:r>
          </w:p>
          <w:p w14:paraId="5911B2DB" w14:textId="77777777" w:rsidR="00252042" w:rsidRPr="00190AB2" w:rsidRDefault="00252042" w:rsidP="00682A5F">
            <w:pPr>
              <w:ind w:left="57" w:right="57"/>
              <w:jc w:val="both"/>
              <w:rPr>
                <w:szCs w:val="24"/>
                <w:lang w:val="en-IE"/>
              </w:rPr>
            </w:pPr>
            <w:r w:rsidRPr="00190AB2">
              <w:rPr>
                <w:szCs w:val="24"/>
                <w:lang w:val="en-IE"/>
              </w:rPr>
              <w:t>Contact a veterinary surgeon in case of ingestion by a pet.</w:t>
            </w:r>
          </w:p>
          <w:p w14:paraId="17076835" w14:textId="77777777" w:rsidR="00CE226E" w:rsidRPr="00190AB2" w:rsidRDefault="00CE226E" w:rsidP="00682A5F">
            <w:pPr>
              <w:ind w:left="57" w:right="57"/>
              <w:jc w:val="both"/>
              <w:rPr>
                <w:szCs w:val="24"/>
                <w:lang w:val="en-IE"/>
              </w:rPr>
            </w:pPr>
          </w:p>
          <w:p w14:paraId="12357B45" w14:textId="77777777" w:rsidR="00CE226E" w:rsidRPr="00190AB2" w:rsidRDefault="001D7FED" w:rsidP="00682A5F">
            <w:pPr>
              <w:ind w:right="57"/>
              <w:jc w:val="both"/>
              <w:rPr>
                <w:b/>
                <w:szCs w:val="24"/>
                <w:lang w:val="en-IE"/>
              </w:rPr>
            </w:pPr>
            <w:r w:rsidRPr="00190AB2">
              <w:rPr>
                <w:b/>
                <w:szCs w:val="24"/>
                <w:lang w:val="en-IE"/>
              </w:rPr>
              <w:t>Disposal of uneaten bait:</w:t>
            </w:r>
          </w:p>
          <w:p w14:paraId="28C6BA85" w14:textId="77777777" w:rsidR="00252042" w:rsidRPr="00190AB2" w:rsidRDefault="00252042" w:rsidP="00682A5F">
            <w:pPr>
              <w:ind w:left="57" w:right="57"/>
              <w:jc w:val="both"/>
              <w:rPr>
                <w:szCs w:val="24"/>
                <w:lang w:val="en-IE"/>
              </w:rPr>
            </w:pPr>
            <w:r w:rsidRPr="00190AB2">
              <w:rPr>
                <w:szCs w:val="24"/>
                <w:lang w:val="en-IE"/>
              </w:rPr>
              <w:t>At the end of the treatment, dispose of uneaten bait and the packaging in accordance with EPA requirements for the disposal of hazardous waste. Use of gloves is recommended.</w:t>
            </w:r>
          </w:p>
          <w:p w14:paraId="6AEE397C" w14:textId="77777777" w:rsidR="007D5DEC" w:rsidRPr="00190AB2" w:rsidRDefault="007D5DEC" w:rsidP="00682A5F">
            <w:pPr>
              <w:ind w:right="57"/>
              <w:jc w:val="both"/>
              <w:rPr>
                <w:szCs w:val="24"/>
                <w:lang w:val="en-IE"/>
              </w:rPr>
            </w:pPr>
          </w:p>
          <w:p w14:paraId="50203A97" w14:textId="77777777" w:rsidR="006966D2" w:rsidRPr="00190AB2" w:rsidRDefault="006966D2" w:rsidP="00682A5F">
            <w:pPr>
              <w:ind w:left="57" w:right="57"/>
              <w:jc w:val="both"/>
              <w:rPr>
                <w:szCs w:val="24"/>
                <w:u w:val="single"/>
                <w:lang w:val="en-IE"/>
              </w:rPr>
            </w:pPr>
            <w:r w:rsidRPr="00190AB2">
              <w:rPr>
                <w:b/>
                <w:szCs w:val="24"/>
                <w:u w:val="single"/>
                <w:lang w:val="en-IE"/>
              </w:rPr>
              <w:t>Professional and Trained Professional users</w:t>
            </w:r>
            <w:r w:rsidRPr="00190AB2">
              <w:rPr>
                <w:szCs w:val="24"/>
                <w:u w:val="single"/>
                <w:lang w:val="en-IE"/>
              </w:rPr>
              <w:t>:</w:t>
            </w:r>
          </w:p>
          <w:p w14:paraId="7F748619" w14:textId="77777777" w:rsidR="00FD0F68" w:rsidRPr="00190AB2" w:rsidRDefault="00FD0F68" w:rsidP="00682A5F">
            <w:pPr>
              <w:ind w:left="57" w:right="57"/>
              <w:jc w:val="both"/>
              <w:rPr>
                <w:szCs w:val="24"/>
                <w:lang w:val="en-IE"/>
              </w:rPr>
            </w:pPr>
            <w:r w:rsidRPr="00190AB2">
              <w:rPr>
                <w:szCs w:val="24"/>
                <w:lang w:val="en-IE"/>
              </w:rPr>
              <w:t xml:space="preserve">Not for sale to the general public </w:t>
            </w:r>
          </w:p>
          <w:p w14:paraId="344965B8" w14:textId="77777777" w:rsidR="006966D2" w:rsidRPr="00190AB2" w:rsidRDefault="006966D2" w:rsidP="00682A5F">
            <w:pPr>
              <w:ind w:left="57" w:right="57"/>
              <w:jc w:val="both"/>
              <w:rPr>
                <w:szCs w:val="24"/>
                <w:lang w:val="en-IE"/>
              </w:rPr>
            </w:pPr>
            <w:r w:rsidRPr="00190AB2">
              <w:rPr>
                <w:szCs w:val="24"/>
                <w:lang w:val="en-IE"/>
              </w:rPr>
              <w:t>This product should only be used in accordance with a code of best practice such as the CRRU Ireland Best Practice Requirements for Rodent Control and Safe Use of Rodenticides. Follow any additional instructions in th</w:t>
            </w:r>
            <w:r w:rsidR="00896C05" w:rsidRPr="00190AB2">
              <w:rPr>
                <w:szCs w:val="24"/>
                <w:lang w:val="en-IE"/>
              </w:rPr>
              <w:t>at code of b</w:t>
            </w:r>
            <w:r w:rsidRPr="00190AB2">
              <w:rPr>
                <w:szCs w:val="24"/>
                <w:lang w:val="en-IE"/>
              </w:rPr>
              <w:t xml:space="preserve">est </w:t>
            </w:r>
            <w:r w:rsidR="00896C05" w:rsidRPr="00190AB2">
              <w:rPr>
                <w:szCs w:val="24"/>
                <w:lang w:val="en-IE"/>
              </w:rPr>
              <w:t>p</w:t>
            </w:r>
            <w:r w:rsidRPr="00190AB2">
              <w:rPr>
                <w:szCs w:val="24"/>
                <w:lang w:val="en-IE"/>
              </w:rPr>
              <w:t xml:space="preserve">ractice. </w:t>
            </w:r>
          </w:p>
          <w:p w14:paraId="7ED00866" w14:textId="77777777" w:rsidR="006966D2" w:rsidRPr="00190AB2" w:rsidRDefault="006966D2" w:rsidP="00682A5F">
            <w:pPr>
              <w:ind w:left="57" w:right="57"/>
              <w:jc w:val="both"/>
              <w:rPr>
                <w:szCs w:val="24"/>
                <w:lang w:val="en-IE"/>
              </w:rPr>
            </w:pPr>
            <w:r w:rsidRPr="00190AB2">
              <w:rPr>
                <w:szCs w:val="24"/>
                <w:lang w:val="en-IE"/>
              </w:rPr>
              <w:t>Where possible, prior to the treatment inform any possible bystanders (</w:t>
            </w:r>
            <w:proofErr w:type="gramStart"/>
            <w:r w:rsidRPr="00190AB2">
              <w:rPr>
                <w:szCs w:val="24"/>
                <w:lang w:val="en-IE"/>
              </w:rPr>
              <w:t>e.g.</w:t>
            </w:r>
            <w:proofErr w:type="gramEnd"/>
            <w:r w:rsidRPr="00190AB2">
              <w:rPr>
                <w:szCs w:val="24"/>
                <w:lang w:val="en-IE"/>
              </w:rPr>
              <w:t xml:space="preserve"> users of the treated area and their surroundings) about the rodent control campaign in accordance with the </w:t>
            </w:r>
            <w:r w:rsidR="008900B2" w:rsidRPr="00190AB2">
              <w:rPr>
                <w:szCs w:val="24"/>
                <w:lang w:val="en-IE"/>
              </w:rPr>
              <w:t>code of best practice</w:t>
            </w:r>
            <w:r w:rsidRPr="00190AB2">
              <w:rPr>
                <w:szCs w:val="24"/>
                <w:lang w:val="en-IE"/>
              </w:rPr>
              <w:t>.</w:t>
            </w:r>
          </w:p>
          <w:p w14:paraId="0DDF38FA" w14:textId="77777777" w:rsidR="006966D2" w:rsidRPr="00190AB2" w:rsidRDefault="006966D2" w:rsidP="00682A5F">
            <w:pPr>
              <w:ind w:left="57" w:right="57"/>
              <w:jc w:val="both"/>
              <w:rPr>
                <w:szCs w:val="24"/>
                <w:lang w:val="en-IE"/>
              </w:rPr>
            </w:pPr>
            <w:r w:rsidRPr="00190AB2">
              <w:rPr>
                <w:szCs w:val="24"/>
                <w:lang w:val="en-IE"/>
              </w:rPr>
              <w:t>Wear protective chemical resistant gloves during product handling phase (EN374).</w:t>
            </w:r>
          </w:p>
          <w:p w14:paraId="4799957A" w14:textId="77777777" w:rsidR="007E0176" w:rsidRPr="00190AB2" w:rsidRDefault="007E0176" w:rsidP="00682A5F">
            <w:pPr>
              <w:ind w:left="57" w:right="57"/>
              <w:jc w:val="both"/>
              <w:rPr>
                <w:szCs w:val="24"/>
                <w:lang w:val="en-IE"/>
              </w:rPr>
            </w:pPr>
          </w:p>
          <w:p w14:paraId="6A084E2C" w14:textId="77777777" w:rsidR="007E0176" w:rsidRPr="00190AB2" w:rsidRDefault="007E0176" w:rsidP="00682A5F">
            <w:pPr>
              <w:ind w:left="57" w:right="57"/>
              <w:jc w:val="both"/>
              <w:rPr>
                <w:b/>
                <w:szCs w:val="24"/>
                <w:lang w:val="en-IE"/>
              </w:rPr>
            </w:pPr>
            <w:r w:rsidRPr="00190AB2">
              <w:rPr>
                <w:b/>
                <w:szCs w:val="24"/>
                <w:lang w:val="en-IE"/>
              </w:rPr>
              <w:t xml:space="preserve">Proof of </w:t>
            </w:r>
            <w:r w:rsidR="00EA192A" w:rsidRPr="00190AB2">
              <w:rPr>
                <w:b/>
                <w:szCs w:val="24"/>
                <w:lang w:val="en-IE"/>
              </w:rPr>
              <w:t>competence</w:t>
            </w:r>
          </w:p>
          <w:p w14:paraId="5BABDA8E" w14:textId="77777777" w:rsidR="00DD7464" w:rsidRPr="00190AB2" w:rsidRDefault="007E0176" w:rsidP="00682A5F">
            <w:pPr>
              <w:ind w:left="57" w:right="57"/>
              <w:jc w:val="both"/>
              <w:rPr>
                <w:szCs w:val="24"/>
                <w:lang w:val="en-IE"/>
              </w:rPr>
            </w:pPr>
            <w:r w:rsidRPr="00190AB2">
              <w:rPr>
                <w:szCs w:val="24"/>
                <w:lang w:val="en-IE"/>
              </w:rPr>
              <w:t xml:space="preserve">Trained professional users must register with DAFM as a ‘Trained Professional - Pest Management Professional’ (PMU) and must present their PMU No at point of sale to purchase this product for use only as specified on the label.  </w:t>
            </w:r>
          </w:p>
          <w:p w14:paraId="6AEC5AFE" w14:textId="77777777" w:rsidR="007E0176" w:rsidRPr="00190AB2" w:rsidRDefault="007E0176" w:rsidP="00682A5F">
            <w:pPr>
              <w:ind w:left="57" w:right="57"/>
              <w:jc w:val="both"/>
              <w:rPr>
                <w:szCs w:val="24"/>
                <w:lang w:val="en-IE"/>
              </w:rPr>
            </w:pPr>
            <w:r w:rsidRPr="00190AB2">
              <w:rPr>
                <w:szCs w:val="24"/>
                <w:lang w:val="en-IE"/>
              </w:rPr>
              <w:t xml:space="preserve">Professional users must present their professional number </w:t>
            </w:r>
            <w:r w:rsidR="00DD7464" w:rsidRPr="00190AB2">
              <w:rPr>
                <w:szCs w:val="24"/>
                <w:lang w:val="en-IE"/>
              </w:rPr>
              <w:t xml:space="preserve">such as herd/flock number </w:t>
            </w:r>
            <w:r w:rsidRPr="00190AB2">
              <w:rPr>
                <w:szCs w:val="24"/>
                <w:lang w:val="en-IE"/>
              </w:rPr>
              <w:t>at point of sale to purchase this product for use only as specified on this label.</w:t>
            </w:r>
          </w:p>
          <w:p w14:paraId="086BA136" w14:textId="77777777" w:rsidR="001D7FED" w:rsidRPr="00190AB2" w:rsidRDefault="001D7FED" w:rsidP="00682A5F">
            <w:pPr>
              <w:ind w:left="57" w:right="57"/>
              <w:jc w:val="both"/>
              <w:rPr>
                <w:szCs w:val="24"/>
                <w:lang w:val="en-IE"/>
              </w:rPr>
            </w:pPr>
          </w:p>
          <w:p w14:paraId="24144D7D" w14:textId="77777777" w:rsidR="001D7FED" w:rsidRPr="00190AB2" w:rsidRDefault="001D7FED" w:rsidP="00682A5F">
            <w:pPr>
              <w:ind w:left="57" w:right="57"/>
              <w:jc w:val="both"/>
              <w:rPr>
                <w:b/>
                <w:szCs w:val="24"/>
                <w:lang w:val="en-IE"/>
              </w:rPr>
            </w:pPr>
            <w:r w:rsidRPr="00190AB2">
              <w:rPr>
                <w:b/>
                <w:szCs w:val="24"/>
                <w:lang w:val="en-IE"/>
              </w:rPr>
              <w:t>Disposal of dead rodents:</w:t>
            </w:r>
          </w:p>
          <w:p w14:paraId="39ED8914" w14:textId="77777777" w:rsidR="005C7702" w:rsidRPr="00190AB2" w:rsidRDefault="005C7702" w:rsidP="00682A5F">
            <w:pPr>
              <w:ind w:left="57" w:right="57"/>
              <w:jc w:val="both"/>
              <w:rPr>
                <w:szCs w:val="24"/>
                <w:lang w:val="en-IE"/>
              </w:rPr>
            </w:pPr>
            <w:r w:rsidRPr="00190AB2">
              <w:rPr>
                <w:szCs w:val="24"/>
                <w:lang w:val="en-IE"/>
              </w:rPr>
              <w:t xml:space="preserve">Dispose of dead rodents in accordance with local requirements, using one of the following methods of disposal (in order of preference): via an on-site or on-farm small carcass incinerator; with the </w:t>
            </w:r>
            <w:proofErr w:type="gramStart"/>
            <w:r w:rsidRPr="00190AB2">
              <w:rPr>
                <w:szCs w:val="24"/>
                <w:lang w:val="en-IE"/>
              </w:rPr>
              <w:t>site’s</w:t>
            </w:r>
            <w:proofErr w:type="gramEnd"/>
            <w:r w:rsidRPr="00190AB2">
              <w:rPr>
                <w:szCs w:val="24"/>
                <w:lang w:val="en-IE"/>
              </w:rPr>
              <w:t xml:space="preserve"> or farm’s domestic waste; in the site’s or farm’s normal non-hazardous waste; or by burial on-site, but away from sensitive areas.</w:t>
            </w:r>
            <w:r w:rsidRPr="00190AB2">
              <w:rPr>
                <w:szCs w:val="24"/>
                <w:lang w:val="en-IE"/>
              </w:rPr>
              <w:tab/>
            </w:r>
          </w:p>
          <w:p w14:paraId="68B0A7D8" w14:textId="77777777" w:rsidR="003103DB" w:rsidRPr="00190AB2" w:rsidRDefault="003103DB" w:rsidP="00682A5F">
            <w:pPr>
              <w:ind w:right="57"/>
              <w:jc w:val="both"/>
              <w:rPr>
                <w:b/>
                <w:szCs w:val="24"/>
                <w:lang w:val="en-IE"/>
              </w:rPr>
            </w:pPr>
          </w:p>
          <w:p w14:paraId="5C23F2AB" w14:textId="77777777" w:rsidR="009B75AE" w:rsidRPr="00190AB2" w:rsidRDefault="009B75AE" w:rsidP="00682A5F">
            <w:pPr>
              <w:ind w:right="57"/>
              <w:jc w:val="both"/>
              <w:rPr>
                <w:szCs w:val="24"/>
                <w:u w:val="single"/>
                <w:lang w:val="en-IE"/>
              </w:rPr>
            </w:pPr>
            <w:r w:rsidRPr="00190AB2">
              <w:rPr>
                <w:b/>
                <w:szCs w:val="24"/>
                <w:u w:val="single"/>
                <w:lang w:val="en-IE"/>
              </w:rPr>
              <w:t>Trained Professionals only</w:t>
            </w:r>
            <w:r w:rsidRPr="00190AB2">
              <w:rPr>
                <w:szCs w:val="24"/>
                <w:u w:val="single"/>
                <w:lang w:val="en-IE"/>
              </w:rPr>
              <w:t>:</w:t>
            </w:r>
          </w:p>
          <w:p w14:paraId="6A2164DB" w14:textId="77777777" w:rsidR="005C7702" w:rsidRPr="00190AB2" w:rsidRDefault="00FD0F68" w:rsidP="00682A5F">
            <w:pPr>
              <w:ind w:left="57" w:right="57"/>
              <w:jc w:val="both"/>
              <w:rPr>
                <w:szCs w:val="24"/>
                <w:lang w:val="en-IE"/>
              </w:rPr>
            </w:pPr>
            <w:r w:rsidRPr="00190AB2">
              <w:t xml:space="preserve">Not for sale to the </w:t>
            </w:r>
            <w:proofErr w:type="gramStart"/>
            <w:r w:rsidRPr="00190AB2">
              <w:t>general public</w:t>
            </w:r>
            <w:proofErr w:type="gramEnd"/>
            <w:r w:rsidRPr="00190AB2">
              <w:t xml:space="preserve"> or any person other than trained professionals.</w:t>
            </w:r>
          </w:p>
          <w:p w14:paraId="1E27247D" w14:textId="77777777" w:rsidR="009B75AE" w:rsidRPr="00190AB2" w:rsidRDefault="009B75AE" w:rsidP="00682A5F">
            <w:pPr>
              <w:ind w:left="57" w:right="57"/>
              <w:jc w:val="both"/>
              <w:rPr>
                <w:szCs w:val="24"/>
                <w:lang w:val="en-IE"/>
              </w:rPr>
            </w:pPr>
            <w:r w:rsidRPr="00190AB2">
              <w:rPr>
                <w:szCs w:val="24"/>
                <w:lang w:val="en-IE"/>
              </w:rPr>
              <w:t xml:space="preserve">To reduce risk of secondary poisoning, search for and remove dead rodents during treatment at frequent intervals, in line with the recommendations provided by the CRRU Ireland Best Practice Requirements for Rodent Control and Safe Use of Rodenticides. </w:t>
            </w:r>
          </w:p>
          <w:p w14:paraId="5EAF9DB5" w14:textId="77777777" w:rsidR="00E1009D" w:rsidRPr="00190AB2" w:rsidRDefault="009B75AE" w:rsidP="00682A5F">
            <w:pPr>
              <w:ind w:left="57" w:right="57"/>
              <w:jc w:val="both"/>
              <w:rPr>
                <w:szCs w:val="24"/>
                <w:lang w:val="en-IE"/>
              </w:rPr>
            </w:pPr>
            <w:r w:rsidRPr="00190AB2">
              <w:rPr>
                <w:szCs w:val="24"/>
                <w:lang w:val="en-IE"/>
              </w:rPr>
              <w:t xml:space="preserve">The frequency of visits to the treated area should be at the </w:t>
            </w:r>
            <w:r w:rsidRPr="00190AB2">
              <w:rPr>
                <w:szCs w:val="24"/>
                <w:lang w:val="en-IE"/>
              </w:rPr>
              <w:lastRenderedPageBreak/>
              <w:t xml:space="preserve">discretion of the operator, in the light of the survey conducted at the outset of the treatment. That frequency should be consistent with the recommendations provided by the </w:t>
            </w:r>
            <w:r w:rsidR="008900B2" w:rsidRPr="00190AB2">
              <w:rPr>
                <w:szCs w:val="24"/>
                <w:lang w:val="en-IE"/>
              </w:rPr>
              <w:t>code of b</w:t>
            </w:r>
            <w:r w:rsidRPr="00190AB2">
              <w:rPr>
                <w:szCs w:val="24"/>
                <w:lang w:val="en-IE"/>
              </w:rPr>
              <w:t xml:space="preserve">est </w:t>
            </w:r>
            <w:r w:rsidR="008900B2" w:rsidRPr="00190AB2">
              <w:rPr>
                <w:szCs w:val="24"/>
                <w:lang w:val="en-IE"/>
              </w:rPr>
              <w:t>p</w:t>
            </w:r>
            <w:r w:rsidRPr="00190AB2">
              <w:rPr>
                <w:szCs w:val="24"/>
                <w:lang w:val="en-IE"/>
              </w:rPr>
              <w:t>ractice.</w:t>
            </w:r>
          </w:p>
          <w:p w14:paraId="124221D7" w14:textId="77777777" w:rsidR="00E1009D" w:rsidRPr="00190AB2" w:rsidRDefault="00E1009D" w:rsidP="00682A5F">
            <w:pPr>
              <w:ind w:left="57" w:right="57"/>
              <w:jc w:val="both"/>
              <w:rPr>
                <w:szCs w:val="24"/>
                <w:lang w:val="en-IE"/>
              </w:rPr>
            </w:pPr>
            <w:r w:rsidRPr="00190AB2">
              <w:rPr>
                <w:szCs w:val="24"/>
                <w:lang w:val="en-IE"/>
              </w:rPr>
              <w:t>When the product is being used in public areas and tamper resistant bait stations are not used, the areas treated must be marked during the treatment period and a notice explaining the risk of primary or secondary poisoning by the anticoagulant, as well as indicating the first measures to be taken in case of poisoning, must be made available alongside the baits.</w:t>
            </w:r>
          </w:p>
        </w:tc>
      </w:tr>
    </w:tbl>
    <w:p w14:paraId="6FAD4A9F" w14:textId="77777777" w:rsidR="00FA63D3" w:rsidRPr="00190AB2" w:rsidRDefault="00FA63D3" w:rsidP="00203934">
      <w:pPr>
        <w:jc w:val="both"/>
        <w:rPr>
          <w:szCs w:val="24"/>
          <w:lang w:val="en-IE"/>
        </w:rPr>
      </w:pPr>
    </w:p>
    <w:p w14:paraId="6614AD1F" w14:textId="77777777" w:rsidR="00D579EB" w:rsidRPr="00190AB2" w:rsidRDefault="00D579EB" w:rsidP="00A15D11">
      <w:pPr>
        <w:jc w:val="both"/>
        <w:rPr>
          <w:szCs w:val="24"/>
          <w:lang w:val="en-IE"/>
        </w:rPr>
      </w:pPr>
      <w:r w:rsidRPr="00190AB2">
        <w:rPr>
          <w:szCs w:val="24"/>
          <w:lang w:val="en-IE"/>
        </w:rPr>
        <w:t xml:space="preserve">This </w:t>
      </w:r>
      <w:r w:rsidR="00862D71" w:rsidRPr="00190AB2">
        <w:rPr>
          <w:szCs w:val="24"/>
          <w:lang w:val="en-IE"/>
        </w:rPr>
        <w:t>authori</w:t>
      </w:r>
      <w:r w:rsidR="000442F9" w:rsidRPr="00190AB2">
        <w:rPr>
          <w:szCs w:val="24"/>
          <w:lang w:val="en-IE"/>
        </w:rPr>
        <w:t>s</w:t>
      </w:r>
      <w:r w:rsidR="00862D71" w:rsidRPr="00190AB2">
        <w:rPr>
          <w:szCs w:val="24"/>
          <w:lang w:val="en-IE"/>
        </w:rPr>
        <w:t>ation</w:t>
      </w:r>
      <w:r w:rsidRPr="00190AB2">
        <w:rPr>
          <w:szCs w:val="24"/>
          <w:lang w:val="en-IE"/>
        </w:rPr>
        <w:t xml:space="preserve"> may be subject to review in accordance with </w:t>
      </w:r>
      <w:r w:rsidR="0074066A" w:rsidRPr="00190AB2">
        <w:rPr>
          <w:lang w:val="en-IE"/>
        </w:rPr>
        <w:t>Regulation (EU) No 528/2012</w:t>
      </w:r>
      <w:r w:rsidR="002F214F" w:rsidRPr="00190AB2">
        <w:rPr>
          <w:lang w:val="en-IE"/>
        </w:rPr>
        <w:t>, as amended by Regulation (EU) No 334/2014,</w:t>
      </w:r>
      <w:r w:rsidR="0074066A" w:rsidRPr="00190AB2">
        <w:rPr>
          <w:lang w:val="en-IE"/>
        </w:rPr>
        <w:t xml:space="preserve"> or the</w:t>
      </w:r>
      <w:r w:rsidRPr="00190AB2">
        <w:rPr>
          <w:szCs w:val="24"/>
          <w:lang w:val="en-IE"/>
        </w:rPr>
        <w:t xml:space="preserve"> </w:t>
      </w:r>
      <w:r w:rsidR="00EA2223" w:rsidRPr="00190AB2">
        <w:rPr>
          <w:szCs w:val="24"/>
          <w:lang w:val="en-IE"/>
        </w:rPr>
        <w:t>European Union (Biocidal Products) Regulation</w:t>
      </w:r>
      <w:r w:rsidR="0074066A" w:rsidRPr="00190AB2">
        <w:rPr>
          <w:szCs w:val="24"/>
          <w:lang w:val="en-IE"/>
        </w:rPr>
        <w:t>s</w:t>
      </w:r>
      <w:r w:rsidR="00EA2223" w:rsidRPr="00190AB2">
        <w:rPr>
          <w:szCs w:val="24"/>
          <w:lang w:val="en-IE"/>
        </w:rPr>
        <w:t>, 2013, (S.I. 427 of 2013)</w:t>
      </w:r>
      <w:r w:rsidRPr="00190AB2">
        <w:rPr>
          <w:szCs w:val="24"/>
          <w:lang w:val="en-IE"/>
        </w:rPr>
        <w:t xml:space="preserve">. </w:t>
      </w:r>
      <w:r w:rsidR="00231D5C" w:rsidRPr="00190AB2">
        <w:rPr>
          <w:szCs w:val="24"/>
          <w:lang w:val="en-IE"/>
        </w:rPr>
        <w:t xml:space="preserve"> </w:t>
      </w:r>
      <w:r w:rsidRPr="00190AB2">
        <w:rPr>
          <w:szCs w:val="24"/>
          <w:lang w:val="en-IE"/>
        </w:rPr>
        <w:t xml:space="preserve">The outcome of such a review may lead to amendments to or the revocation of this </w:t>
      </w:r>
      <w:r w:rsidR="009231A8" w:rsidRPr="00190AB2">
        <w:rPr>
          <w:szCs w:val="24"/>
          <w:lang w:val="en-IE"/>
        </w:rPr>
        <w:t>authori</w:t>
      </w:r>
      <w:r w:rsidR="000442F9" w:rsidRPr="00190AB2">
        <w:rPr>
          <w:szCs w:val="24"/>
          <w:lang w:val="en-IE"/>
        </w:rPr>
        <w:t>s</w:t>
      </w:r>
      <w:r w:rsidR="009231A8" w:rsidRPr="00190AB2">
        <w:rPr>
          <w:szCs w:val="24"/>
          <w:lang w:val="en-IE"/>
        </w:rPr>
        <w:t>ation</w:t>
      </w:r>
      <w:r w:rsidRPr="00190AB2">
        <w:rPr>
          <w:szCs w:val="24"/>
          <w:lang w:val="en-IE"/>
        </w:rPr>
        <w:t>.</w:t>
      </w:r>
    </w:p>
    <w:p w14:paraId="424265BD" w14:textId="77777777" w:rsidR="00DE6441" w:rsidRPr="00190AB2" w:rsidRDefault="00DE6441" w:rsidP="00A15D11">
      <w:pPr>
        <w:tabs>
          <w:tab w:val="left" w:pos="-720"/>
        </w:tabs>
        <w:suppressAutoHyphens/>
        <w:jc w:val="both"/>
        <w:rPr>
          <w:spacing w:val="-3"/>
          <w:szCs w:val="24"/>
          <w:lang w:val="en-IE"/>
        </w:rPr>
      </w:pPr>
    </w:p>
    <w:p w14:paraId="0845D795" w14:textId="77777777" w:rsidR="00D579EB" w:rsidRPr="00190AB2" w:rsidRDefault="00D579EB" w:rsidP="00A15D11">
      <w:pPr>
        <w:tabs>
          <w:tab w:val="left" w:pos="-720"/>
        </w:tabs>
        <w:suppressAutoHyphens/>
        <w:jc w:val="both"/>
        <w:rPr>
          <w:spacing w:val="-3"/>
          <w:szCs w:val="24"/>
          <w:lang w:val="en-IE"/>
        </w:rPr>
      </w:pPr>
      <w:r w:rsidRPr="00190AB2">
        <w:rPr>
          <w:spacing w:val="-3"/>
          <w:szCs w:val="24"/>
          <w:lang w:val="en-IE"/>
        </w:rPr>
        <w:t>The following conditions</w:t>
      </w:r>
      <w:r w:rsidR="006669E0" w:rsidRPr="00190AB2">
        <w:rPr>
          <w:spacing w:val="-3"/>
          <w:szCs w:val="24"/>
          <w:lang w:val="en-IE"/>
        </w:rPr>
        <w:t xml:space="preserve"> and restrictions</w:t>
      </w:r>
      <w:r w:rsidRPr="00190AB2">
        <w:rPr>
          <w:spacing w:val="-3"/>
          <w:szCs w:val="24"/>
          <w:lang w:val="en-IE"/>
        </w:rPr>
        <w:t xml:space="preserve"> apply:</w:t>
      </w:r>
    </w:p>
    <w:p w14:paraId="7A6C3363" w14:textId="77777777" w:rsidR="00D35B56" w:rsidRPr="00190AB2" w:rsidRDefault="00D35B56" w:rsidP="00A15D11">
      <w:pPr>
        <w:pStyle w:val="ListParagraph"/>
        <w:spacing w:after="0" w:line="240" w:lineRule="auto"/>
        <w:ind w:left="0"/>
        <w:jc w:val="both"/>
        <w:rPr>
          <w:rFonts w:ascii="Times New Roman" w:hAnsi="Times New Roman"/>
          <w:sz w:val="16"/>
          <w:szCs w:val="16"/>
        </w:rPr>
      </w:pPr>
    </w:p>
    <w:p w14:paraId="23FC4903" w14:textId="77777777" w:rsidR="00DE6441" w:rsidRPr="00190AB2" w:rsidRDefault="00DE6441" w:rsidP="00A15D11">
      <w:pPr>
        <w:pStyle w:val="ListParagraph"/>
        <w:numPr>
          <w:ilvl w:val="0"/>
          <w:numId w:val="17"/>
        </w:numPr>
        <w:spacing w:after="0" w:line="240" w:lineRule="auto"/>
        <w:ind w:left="426" w:hanging="426"/>
        <w:jc w:val="both"/>
        <w:rPr>
          <w:rFonts w:ascii="Times New Roman" w:hAnsi="Times New Roman"/>
          <w:sz w:val="24"/>
          <w:szCs w:val="24"/>
        </w:rPr>
      </w:pPr>
      <w:r w:rsidRPr="00190AB2">
        <w:rPr>
          <w:rFonts w:ascii="Times New Roman" w:hAnsi="Times New Roman"/>
          <w:sz w:val="24"/>
          <w:szCs w:val="24"/>
        </w:rPr>
        <w:t xml:space="preserve">Product may </w:t>
      </w:r>
      <w:r w:rsidRPr="00190AB2">
        <w:rPr>
          <w:rFonts w:ascii="Times New Roman" w:hAnsi="Times New Roman"/>
          <w:b/>
          <w:sz w:val="24"/>
          <w:szCs w:val="24"/>
        </w:rPr>
        <w:t>not</w:t>
      </w:r>
      <w:r w:rsidRPr="00190AB2">
        <w:rPr>
          <w:rFonts w:ascii="Times New Roman" w:hAnsi="Times New Roman"/>
          <w:sz w:val="24"/>
          <w:szCs w:val="24"/>
        </w:rPr>
        <w:t xml:space="preserve"> be </w:t>
      </w:r>
      <w:r w:rsidR="00ED21B7" w:rsidRPr="00190AB2">
        <w:rPr>
          <w:rFonts w:ascii="Times New Roman" w:hAnsi="Times New Roman"/>
          <w:sz w:val="24"/>
          <w:szCs w:val="24"/>
        </w:rPr>
        <w:t xml:space="preserve">made available on the market </w:t>
      </w:r>
      <w:r w:rsidR="0074066A" w:rsidRPr="00190AB2">
        <w:rPr>
          <w:rFonts w:ascii="Times New Roman" w:hAnsi="Times New Roman"/>
          <w:sz w:val="24"/>
          <w:szCs w:val="24"/>
        </w:rPr>
        <w:t xml:space="preserve">or used </w:t>
      </w:r>
      <w:r w:rsidR="00ED21B7" w:rsidRPr="00190AB2">
        <w:rPr>
          <w:rFonts w:ascii="Times New Roman" w:hAnsi="Times New Roman"/>
          <w:sz w:val="24"/>
          <w:szCs w:val="24"/>
        </w:rPr>
        <w:t xml:space="preserve">in the Republic of Ireland </w:t>
      </w:r>
      <w:r w:rsidRPr="00190AB2">
        <w:rPr>
          <w:rFonts w:ascii="Times New Roman" w:hAnsi="Times New Roman"/>
          <w:sz w:val="24"/>
          <w:szCs w:val="24"/>
        </w:rPr>
        <w:t>unless it complies with the Annexes of this authorisation.</w:t>
      </w:r>
    </w:p>
    <w:p w14:paraId="2089CF3C" w14:textId="77777777" w:rsidR="00DE6441" w:rsidRPr="00190AB2" w:rsidRDefault="00DE6441" w:rsidP="00A15D11">
      <w:pPr>
        <w:pStyle w:val="ListParagraph"/>
        <w:spacing w:after="0" w:line="240" w:lineRule="auto"/>
        <w:ind w:left="0"/>
        <w:jc w:val="both"/>
        <w:rPr>
          <w:rFonts w:ascii="Times New Roman" w:hAnsi="Times New Roman"/>
          <w:sz w:val="16"/>
          <w:szCs w:val="16"/>
        </w:rPr>
      </w:pPr>
    </w:p>
    <w:p w14:paraId="61DFEDC9" w14:textId="77777777" w:rsidR="00AB0E81" w:rsidRPr="00190AB2" w:rsidRDefault="00AD3891" w:rsidP="00A15D11">
      <w:pPr>
        <w:pStyle w:val="ListParagraph"/>
        <w:numPr>
          <w:ilvl w:val="0"/>
          <w:numId w:val="17"/>
        </w:numPr>
        <w:spacing w:after="0" w:line="240" w:lineRule="auto"/>
        <w:jc w:val="both"/>
        <w:rPr>
          <w:rFonts w:ascii="Times New Roman" w:hAnsi="Times New Roman"/>
          <w:sz w:val="24"/>
          <w:szCs w:val="24"/>
        </w:rPr>
      </w:pPr>
      <w:r w:rsidRPr="00190AB2">
        <w:rPr>
          <w:rFonts w:ascii="Times New Roman" w:hAnsi="Times New Roman"/>
          <w:sz w:val="24"/>
          <w:szCs w:val="24"/>
        </w:rPr>
        <w:t xml:space="preserve">The requirements and conditions, specified in the Annexes, of this authorisation may </w:t>
      </w:r>
      <w:r w:rsidRPr="00190AB2">
        <w:rPr>
          <w:rFonts w:ascii="Times New Roman" w:hAnsi="Times New Roman"/>
          <w:b/>
          <w:sz w:val="24"/>
          <w:szCs w:val="24"/>
        </w:rPr>
        <w:t>not</w:t>
      </w:r>
      <w:r w:rsidRPr="00190AB2">
        <w:rPr>
          <w:rFonts w:ascii="Times New Roman" w:hAnsi="Times New Roman"/>
          <w:sz w:val="24"/>
          <w:szCs w:val="24"/>
        </w:rPr>
        <w:t xml:space="preserve"> be altered without prior approval </w:t>
      </w:r>
      <w:r w:rsidR="008108EE" w:rsidRPr="00190AB2">
        <w:rPr>
          <w:rFonts w:ascii="Times New Roman" w:hAnsi="Times New Roman"/>
          <w:sz w:val="24"/>
          <w:szCs w:val="24"/>
        </w:rPr>
        <w:t>of modifications by the</w:t>
      </w:r>
      <w:r w:rsidRPr="00190AB2">
        <w:rPr>
          <w:rFonts w:ascii="Times New Roman" w:hAnsi="Times New Roman"/>
          <w:sz w:val="24"/>
          <w:szCs w:val="24"/>
        </w:rPr>
        <w:t xml:space="preserve"> </w:t>
      </w:r>
      <w:r w:rsidR="00E133A9" w:rsidRPr="00190AB2">
        <w:rPr>
          <w:rFonts w:ascii="Times New Roman" w:hAnsi="Times New Roman"/>
          <w:sz w:val="24"/>
          <w:szCs w:val="24"/>
        </w:rPr>
        <w:t>Irish</w:t>
      </w:r>
      <w:r w:rsidR="00DE6441" w:rsidRPr="00190AB2">
        <w:rPr>
          <w:rFonts w:ascii="Times New Roman" w:hAnsi="Times New Roman"/>
          <w:sz w:val="24"/>
          <w:szCs w:val="24"/>
        </w:rPr>
        <w:t xml:space="preserve"> </w:t>
      </w:r>
      <w:r w:rsidR="00FC66AE" w:rsidRPr="00190AB2">
        <w:rPr>
          <w:rFonts w:ascii="Times New Roman" w:hAnsi="Times New Roman"/>
          <w:sz w:val="24"/>
          <w:szCs w:val="24"/>
        </w:rPr>
        <w:t>C</w:t>
      </w:r>
      <w:r w:rsidR="00DE6441" w:rsidRPr="00190AB2">
        <w:rPr>
          <w:rFonts w:ascii="Times New Roman" w:hAnsi="Times New Roman"/>
          <w:sz w:val="24"/>
          <w:szCs w:val="24"/>
        </w:rPr>
        <w:t xml:space="preserve">ompetent </w:t>
      </w:r>
      <w:r w:rsidR="00FC66AE" w:rsidRPr="00190AB2">
        <w:rPr>
          <w:rFonts w:ascii="Times New Roman" w:hAnsi="Times New Roman"/>
          <w:sz w:val="24"/>
          <w:szCs w:val="24"/>
        </w:rPr>
        <w:t>A</w:t>
      </w:r>
      <w:r w:rsidR="00DE6441" w:rsidRPr="00190AB2">
        <w:rPr>
          <w:rFonts w:ascii="Times New Roman" w:hAnsi="Times New Roman"/>
          <w:sz w:val="24"/>
          <w:szCs w:val="24"/>
        </w:rPr>
        <w:t>uthority</w:t>
      </w:r>
      <w:r w:rsidR="003B40DD" w:rsidRPr="00190AB2">
        <w:rPr>
          <w:rFonts w:ascii="Times New Roman" w:hAnsi="Times New Roman"/>
          <w:sz w:val="24"/>
          <w:szCs w:val="24"/>
        </w:rPr>
        <w:t xml:space="preserve"> for Biocides in Ireland.</w:t>
      </w:r>
      <w:r w:rsidR="00FC66AE" w:rsidRPr="00190AB2">
        <w:rPr>
          <w:rFonts w:ascii="Times New Roman" w:hAnsi="Times New Roman"/>
          <w:sz w:val="24"/>
          <w:szCs w:val="24"/>
        </w:rPr>
        <w:t xml:space="preserve"> Where any amendments are made to the original authorisation</w:t>
      </w:r>
      <w:r w:rsidR="00475AFC" w:rsidRPr="00190AB2">
        <w:rPr>
          <w:rFonts w:ascii="Times New Roman" w:hAnsi="Times New Roman"/>
          <w:sz w:val="24"/>
          <w:szCs w:val="24"/>
        </w:rPr>
        <w:t xml:space="preserve"> in another Member State</w:t>
      </w:r>
      <w:r w:rsidR="00FC66AE" w:rsidRPr="00190AB2">
        <w:rPr>
          <w:rFonts w:ascii="Times New Roman" w:hAnsi="Times New Roman"/>
          <w:sz w:val="24"/>
          <w:szCs w:val="24"/>
        </w:rPr>
        <w:t xml:space="preserve">, the </w:t>
      </w:r>
      <w:r w:rsidR="00E133A9" w:rsidRPr="00190AB2">
        <w:rPr>
          <w:rFonts w:ascii="Times New Roman" w:hAnsi="Times New Roman"/>
          <w:sz w:val="24"/>
          <w:szCs w:val="24"/>
        </w:rPr>
        <w:t>Irish</w:t>
      </w:r>
      <w:r w:rsidR="00DE6441" w:rsidRPr="00190AB2">
        <w:rPr>
          <w:rFonts w:ascii="Times New Roman" w:hAnsi="Times New Roman"/>
          <w:sz w:val="24"/>
          <w:szCs w:val="24"/>
        </w:rPr>
        <w:t xml:space="preserve"> Competent Authority </w:t>
      </w:r>
      <w:r w:rsidR="00FC66AE" w:rsidRPr="00190AB2">
        <w:rPr>
          <w:rFonts w:ascii="Times New Roman" w:hAnsi="Times New Roman"/>
          <w:sz w:val="24"/>
          <w:szCs w:val="24"/>
        </w:rPr>
        <w:t xml:space="preserve">for Biocides in Ireland must be informed by </w:t>
      </w:r>
      <w:r w:rsidR="00BD5467" w:rsidRPr="00190AB2">
        <w:rPr>
          <w:rFonts w:ascii="Times New Roman" w:hAnsi="Times New Roman"/>
          <w:sz w:val="24"/>
          <w:szCs w:val="24"/>
        </w:rPr>
        <w:t>the Authorisation Holder</w:t>
      </w:r>
      <w:r w:rsidR="00FC66AE" w:rsidRPr="00190AB2">
        <w:rPr>
          <w:rFonts w:ascii="Times New Roman" w:hAnsi="Times New Roman"/>
          <w:sz w:val="24"/>
          <w:szCs w:val="24"/>
        </w:rPr>
        <w:t>.</w:t>
      </w:r>
    </w:p>
    <w:p w14:paraId="66B232AD" w14:textId="77777777" w:rsidR="00262B5F" w:rsidRPr="00190AB2" w:rsidRDefault="00262B5F" w:rsidP="00A15D11">
      <w:pPr>
        <w:pStyle w:val="ListParagraph"/>
        <w:spacing w:after="0" w:line="240" w:lineRule="auto"/>
        <w:jc w:val="both"/>
        <w:rPr>
          <w:rFonts w:ascii="Times New Roman" w:hAnsi="Times New Roman"/>
          <w:sz w:val="16"/>
          <w:szCs w:val="16"/>
        </w:rPr>
      </w:pPr>
    </w:p>
    <w:p w14:paraId="5D4EFDF3" w14:textId="77777777" w:rsidR="00262B5F" w:rsidRPr="00190AB2" w:rsidRDefault="000D71A1" w:rsidP="00A15D11">
      <w:pPr>
        <w:pStyle w:val="ListParagraph"/>
        <w:numPr>
          <w:ilvl w:val="0"/>
          <w:numId w:val="17"/>
        </w:numPr>
        <w:spacing w:after="0" w:line="240" w:lineRule="auto"/>
        <w:jc w:val="both"/>
        <w:rPr>
          <w:rFonts w:ascii="Times New Roman" w:hAnsi="Times New Roman"/>
          <w:sz w:val="24"/>
          <w:szCs w:val="24"/>
        </w:rPr>
      </w:pPr>
      <w:r w:rsidRPr="00190AB2">
        <w:rPr>
          <w:rFonts w:ascii="Times New Roman" w:hAnsi="Times New Roman"/>
          <w:sz w:val="24"/>
          <w:szCs w:val="24"/>
        </w:rPr>
        <w:t>The holder of this certificate for authorisation must inform or provide the Irish Competent Authority for Biocides with any new or requested information/data, respectively, that shows this biocidal product and/or any of its active substances cause or may cause an adverse effect on human or animal health, ground water or the environment.</w:t>
      </w:r>
    </w:p>
    <w:p w14:paraId="3A712AB8" w14:textId="77777777" w:rsidR="00C30758" w:rsidRPr="00190AB2" w:rsidRDefault="00C30758" w:rsidP="00A15D11">
      <w:pPr>
        <w:pStyle w:val="ListParagraph"/>
        <w:spacing w:after="0" w:line="240" w:lineRule="auto"/>
        <w:ind w:left="0"/>
        <w:jc w:val="both"/>
        <w:rPr>
          <w:rFonts w:ascii="Times New Roman" w:hAnsi="Times New Roman"/>
          <w:sz w:val="16"/>
          <w:szCs w:val="16"/>
        </w:rPr>
      </w:pPr>
    </w:p>
    <w:p w14:paraId="2280ADB6" w14:textId="77777777" w:rsidR="00D579EB" w:rsidRPr="00190AB2" w:rsidRDefault="007E38A8" w:rsidP="00A15D11">
      <w:pPr>
        <w:pStyle w:val="ListParagraph"/>
        <w:numPr>
          <w:ilvl w:val="0"/>
          <w:numId w:val="17"/>
        </w:numPr>
        <w:spacing w:after="0" w:line="240" w:lineRule="auto"/>
        <w:jc w:val="both"/>
        <w:rPr>
          <w:rFonts w:ascii="Times New Roman" w:hAnsi="Times New Roman"/>
          <w:sz w:val="24"/>
          <w:szCs w:val="24"/>
        </w:rPr>
      </w:pPr>
      <w:r w:rsidRPr="00190AB2">
        <w:rPr>
          <w:rFonts w:ascii="Times New Roman" w:hAnsi="Times New Roman"/>
          <w:sz w:val="24"/>
          <w:szCs w:val="24"/>
        </w:rPr>
        <w:t xml:space="preserve">All </w:t>
      </w:r>
      <w:proofErr w:type="gramStart"/>
      <w:r w:rsidRPr="00190AB2">
        <w:rPr>
          <w:rFonts w:ascii="Times New Roman" w:hAnsi="Times New Roman"/>
          <w:sz w:val="24"/>
          <w:szCs w:val="24"/>
        </w:rPr>
        <w:t>product</w:t>
      </w:r>
      <w:proofErr w:type="gramEnd"/>
      <w:r w:rsidRPr="00190AB2">
        <w:rPr>
          <w:rFonts w:ascii="Times New Roman" w:hAnsi="Times New Roman"/>
          <w:sz w:val="24"/>
          <w:szCs w:val="24"/>
        </w:rPr>
        <w:t xml:space="preserve"> made available on the market in Ireland must comply with the classification, labelling and packaging requirements established in: Article 69 of Regulation (EU) No 528/2012;</w:t>
      </w:r>
      <w:r w:rsidRPr="00190AB2">
        <w:rPr>
          <w:rFonts w:ascii="Times New Roman" w:hAnsi="Times New Roman"/>
          <w:bCs/>
          <w:sz w:val="24"/>
          <w:szCs w:val="24"/>
        </w:rPr>
        <w:t xml:space="preserve"> </w:t>
      </w:r>
      <w:r w:rsidRPr="00190AB2">
        <w:rPr>
          <w:rFonts w:ascii="Times New Roman" w:eastAsia="Times New Roman" w:hAnsi="Times New Roman"/>
          <w:sz w:val="24"/>
          <w:szCs w:val="24"/>
        </w:rPr>
        <w:t xml:space="preserve">the Chemicals Act 2008 (as amended) </w:t>
      </w:r>
      <w:r w:rsidR="00EF4202" w:rsidRPr="00190AB2">
        <w:rPr>
          <w:rFonts w:ascii="Times New Roman" w:eastAsia="Times New Roman" w:hAnsi="Times New Roman"/>
          <w:sz w:val="24"/>
          <w:szCs w:val="24"/>
        </w:rPr>
        <w:t>giving further effect to</w:t>
      </w:r>
      <w:r w:rsidRPr="00190AB2">
        <w:rPr>
          <w:rFonts w:ascii="Times New Roman" w:eastAsia="Times New Roman" w:hAnsi="Times New Roman"/>
          <w:sz w:val="24"/>
          <w:szCs w:val="24"/>
        </w:rPr>
        <w:t xml:space="preserve"> </w:t>
      </w:r>
      <w:r w:rsidRPr="00190AB2">
        <w:rPr>
          <w:rFonts w:ascii="Times New Roman" w:hAnsi="Times New Roman"/>
          <w:sz w:val="24"/>
          <w:szCs w:val="24"/>
        </w:rPr>
        <w:t>Regulation (EC) No 1272/2008;</w:t>
      </w:r>
      <w:r w:rsidRPr="00190AB2">
        <w:rPr>
          <w:rFonts w:ascii="Times New Roman" w:hAnsi="Times New Roman"/>
          <w:bCs/>
          <w:sz w:val="24"/>
          <w:szCs w:val="24"/>
        </w:rPr>
        <w:t xml:space="preserve"> </w:t>
      </w:r>
      <w:r w:rsidRPr="00190AB2">
        <w:rPr>
          <w:rFonts w:ascii="Times New Roman" w:hAnsi="Times New Roman"/>
          <w:sz w:val="24"/>
          <w:szCs w:val="24"/>
        </w:rPr>
        <w:t>and the classification, labelling and Safety Data Sheet information detailed in the Annex II to this certificate</w:t>
      </w:r>
      <w:r w:rsidR="0038413D" w:rsidRPr="00190AB2">
        <w:rPr>
          <w:rFonts w:ascii="Times New Roman" w:hAnsi="Times New Roman"/>
          <w:sz w:val="24"/>
          <w:szCs w:val="24"/>
        </w:rPr>
        <w:t>.</w:t>
      </w:r>
    </w:p>
    <w:p w14:paraId="3D94E2EE" w14:textId="77777777" w:rsidR="00F46CCC" w:rsidRPr="00190AB2" w:rsidRDefault="00F46CCC" w:rsidP="00A15D11">
      <w:pPr>
        <w:pStyle w:val="ListParagraph"/>
        <w:spacing w:after="0" w:line="240" w:lineRule="auto"/>
        <w:jc w:val="both"/>
        <w:rPr>
          <w:rFonts w:ascii="Times New Roman" w:hAnsi="Times New Roman"/>
          <w:sz w:val="16"/>
          <w:szCs w:val="16"/>
        </w:rPr>
      </w:pPr>
    </w:p>
    <w:p w14:paraId="13D286B3" w14:textId="77777777" w:rsidR="00F46CCC" w:rsidRPr="00190AB2" w:rsidRDefault="00F46CCC" w:rsidP="00A15D11">
      <w:pPr>
        <w:pStyle w:val="ListParagraph"/>
        <w:numPr>
          <w:ilvl w:val="0"/>
          <w:numId w:val="17"/>
        </w:numPr>
        <w:spacing w:after="0" w:line="240" w:lineRule="auto"/>
        <w:jc w:val="both"/>
        <w:rPr>
          <w:rFonts w:ascii="Times New Roman" w:hAnsi="Times New Roman"/>
          <w:sz w:val="24"/>
          <w:szCs w:val="24"/>
        </w:rPr>
      </w:pPr>
      <w:r w:rsidRPr="00190AB2">
        <w:rPr>
          <w:rFonts w:ascii="Times New Roman" w:hAnsi="Times New Roman"/>
          <w:sz w:val="24"/>
          <w:szCs w:val="24"/>
        </w:rPr>
        <w:t>All biocidal products advertised must comply with Article 72 of Regulation (EU) No 528/2012.</w:t>
      </w:r>
    </w:p>
    <w:p w14:paraId="0E864A63" w14:textId="77777777" w:rsidR="00D579EB" w:rsidRPr="00190AB2" w:rsidRDefault="00D579EB" w:rsidP="00A15D11">
      <w:pPr>
        <w:pStyle w:val="ListParagraph"/>
        <w:spacing w:after="0" w:line="240" w:lineRule="auto"/>
        <w:jc w:val="both"/>
        <w:rPr>
          <w:rFonts w:ascii="Times New Roman" w:hAnsi="Times New Roman"/>
          <w:sz w:val="16"/>
          <w:szCs w:val="16"/>
        </w:rPr>
      </w:pPr>
    </w:p>
    <w:p w14:paraId="50E064C5" w14:textId="77777777" w:rsidR="00D579EB" w:rsidRPr="00190AB2" w:rsidRDefault="00807CD9" w:rsidP="00A15D11">
      <w:pPr>
        <w:pStyle w:val="ListParagraph"/>
        <w:numPr>
          <w:ilvl w:val="0"/>
          <w:numId w:val="17"/>
        </w:numPr>
        <w:spacing w:after="0" w:line="240" w:lineRule="auto"/>
        <w:jc w:val="both"/>
        <w:rPr>
          <w:rFonts w:ascii="Times New Roman" w:hAnsi="Times New Roman"/>
          <w:sz w:val="24"/>
          <w:szCs w:val="24"/>
        </w:rPr>
      </w:pPr>
      <w:r w:rsidRPr="00190AB2">
        <w:rPr>
          <w:rFonts w:ascii="Times New Roman" w:hAnsi="Times New Roman"/>
          <w:sz w:val="24"/>
          <w:szCs w:val="24"/>
        </w:rPr>
        <w:t>A printed copy of the Irish label</w:t>
      </w:r>
      <w:r w:rsidR="00226201" w:rsidRPr="00190AB2">
        <w:rPr>
          <w:rFonts w:ascii="Times New Roman" w:hAnsi="Times New Roman"/>
          <w:sz w:val="24"/>
          <w:szCs w:val="24"/>
        </w:rPr>
        <w:t>(s)</w:t>
      </w:r>
      <w:r w:rsidRPr="00190AB2">
        <w:rPr>
          <w:rFonts w:ascii="Times New Roman" w:hAnsi="Times New Roman"/>
          <w:sz w:val="24"/>
          <w:szCs w:val="24"/>
        </w:rPr>
        <w:t xml:space="preserve"> </w:t>
      </w:r>
      <w:r w:rsidR="00AC1587" w:rsidRPr="00190AB2">
        <w:rPr>
          <w:rFonts w:ascii="Times New Roman" w:hAnsi="Times New Roman"/>
          <w:sz w:val="24"/>
          <w:szCs w:val="24"/>
        </w:rPr>
        <w:t xml:space="preserve">in accordance with the Annexes of this authorisation </w:t>
      </w:r>
      <w:r w:rsidRPr="00190AB2">
        <w:rPr>
          <w:rFonts w:ascii="Times New Roman" w:hAnsi="Times New Roman"/>
          <w:sz w:val="24"/>
          <w:szCs w:val="24"/>
        </w:rPr>
        <w:t xml:space="preserve">must be submitted to the </w:t>
      </w:r>
      <w:r w:rsidR="00E133A9" w:rsidRPr="00190AB2">
        <w:rPr>
          <w:rFonts w:ascii="Times New Roman" w:hAnsi="Times New Roman"/>
          <w:sz w:val="24"/>
          <w:szCs w:val="24"/>
        </w:rPr>
        <w:t>Irish</w:t>
      </w:r>
      <w:r w:rsidR="00DE6441" w:rsidRPr="00190AB2">
        <w:rPr>
          <w:rFonts w:ascii="Times New Roman" w:hAnsi="Times New Roman"/>
          <w:sz w:val="24"/>
          <w:szCs w:val="24"/>
        </w:rPr>
        <w:t xml:space="preserve"> Competent Authority for Biocides</w:t>
      </w:r>
      <w:r w:rsidR="002E6D99" w:rsidRPr="00190AB2">
        <w:rPr>
          <w:rFonts w:ascii="Times New Roman" w:hAnsi="Times New Roman"/>
          <w:sz w:val="24"/>
          <w:szCs w:val="24"/>
        </w:rPr>
        <w:t xml:space="preserve"> </w:t>
      </w:r>
      <w:r w:rsidRPr="00190AB2">
        <w:rPr>
          <w:rFonts w:ascii="Times New Roman" w:hAnsi="Times New Roman"/>
          <w:sz w:val="24"/>
          <w:szCs w:val="24"/>
        </w:rPr>
        <w:t xml:space="preserve">prior to any product being </w:t>
      </w:r>
      <w:r w:rsidR="00AC1587" w:rsidRPr="00190AB2">
        <w:rPr>
          <w:rFonts w:ascii="Times New Roman" w:hAnsi="Times New Roman"/>
          <w:sz w:val="24"/>
          <w:szCs w:val="24"/>
        </w:rPr>
        <w:t>made available on the market in Ireland</w:t>
      </w:r>
      <w:r w:rsidRPr="00190AB2">
        <w:rPr>
          <w:rFonts w:ascii="Times New Roman" w:hAnsi="Times New Roman"/>
          <w:sz w:val="24"/>
          <w:szCs w:val="24"/>
        </w:rPr>
        <w:t>.</w:t>
      </w:r>
      <w:r w:rsidR="00D579EB" w:rsidRPr="00190AB2">
        <w:rPr>
          <w:rFonts w:ascii="Times New Roman" w:hAnsi="Times New Roman"/>
          <w:sz w:val="24"/>
          <w:szCs w:val="24"/>
        </w:rPr>
        <w:t xml:space="preserve"> All product labels must carry the authorisation number </w:t>
      </w:r>
      <w:r w:rsidR="008900B2" w:rsidRPr="00190AB2">
        <w:rPr>
          <w:rFonts w:ascii="Times New Roman" w:hAnsi="Times New Roman"/>
          <w:sz w:val="24"/>
          <w:szCs w:val="24"/>
        </w:rPr>
        <w:t>in</w:t>
      </w:r>
      <w:r w:rsidR="00D579EB" w:rsidRPr="00190AB2">
        <w:rPr>
          <w:rFonts w:ascii="Times New Roman" w:hAnsi="Times New Roman"/>
          <w:sz w:val="24"/>
          <w:szCs w:val="24"/>
        </w:rPr>
        <w:t xml:space="preserve"> the form: IE/BPA </w:t>
      </w:r>
      <w:r w:rsidR="00C8487F" w:rsidRPr="00190AB2">
        <w:rPr>
          <w:rFonts w:ascii="Times New Roman" w:hAnsi="Times New Roman"/>
          <w:sz w:val="24"/>
          <w:szCs w:val="24"/>
        </w:rPr>
        <w:t>70751</w:t>
      </w:r>
      <w:r w:rsidR="009E1C38" w:rsidRPr="00190AB2">
        <w:rPr>
          <w:szCs w:val="24"/>
        </w:rPr>
        <w:t>.</w:t>
      </w:r>
      <w:r w:rsidR="00D579EB" w:rsidRPr="00190AB2">
        <w:rPr>
          <w:rFonts w:ascii="Times New Roman" w:hAnsi="Times New Roman"/>
          <w:sz w:val="24"/>
          <w:szCs w:val="24"/>
        </w:rPr>
        <w:t xml:space="preserve"> </w:t>
      </w:r>
    </w:p>
    <w:p w14:paraId="4B86CB3B" w14:textId="77777777" w:rsidR="00D579EB" w:rsidRPr="00190AB2" w:rsidRDefault="00D579EB" w:rsidP="00A15D11">
      <w:pPr>
        <w:pStyle w:val="ListParagraph"/>
        <w:spacing w:after="0" w:line="240" w:lineRule="auto"/>
        <w:ind w:left="0"/>
        <w:jc w:val="both"/>
        <w:rPr>
          <w:rFonts w:ascii="Times New Roman" w:hAnsi="Times New Roman"/>
          <w:sz w:val="16"/>
          <w:szCs w:val="16"/>
        </w:rPr>
      </w:pPr>
    </w:p>
    <w:p w14:paraId="0D2F8555" w14:textId="77777777" w:rsidR="002F214F" w:rsidRPr="00190AB2" w:rsidRDefault="002F214F" w:rsidP="00A15D11">
      <w:pPr>
        <w:pStyle w:val="ListParagraph"/>
        <w:numPr>
          <w:ilvl w:val="0"/>
          <w:numId w:val="17"/>
        </w:numPr>
        <w:spacing w:after="0" w:line="240" w:lineRule="auto"/>
        <w:jc w:val="both"/>
        <w:rPr>
          <w:rFonts w:ascii="Times New Roman" w:hAnsi="Times New Roman"/>
          <w:sz w:val="24"/>
          <w:szCs w:val="24"/>
        </w:rPr>
      </w:pPr>
      <w:r w:rsidRPr="00190AB2">
        <w:rPr>
          <w:rFonts w:ascii="Times New Roman" w:hAnsi="Times New Roman"/>
          <w:sz w:val="24"/>
          <w:szCs w:val="24"/>
        </w:rPr>
        <w:t>Safety Data Sheets (SDS) for the biocidal product(s) shall be prepared and made available in accordance with Article 70 of the Biocidal Products Regulation 528/2012 (as amended). Relevant sections of t</w:t>
      </w:r>
      <w:r w:rsidRPr="00190AB2">
        <w:rPr>
          <w:rFonts w:ascii="Times New Roman" w:hAnsi="Times New Roman"/>
          <w:spacing w:val="-3"/>
          <w:sz w:val="24"/>
          <w:szCs w:val="24"/>
        </w:rPr>
        <w:t xml:space="preserve">he SDS must be updated post-authorisation in accordance with Annex II of the authorisation certificate. In particular, Section 15 of the SDS should be updated to contain the authorisation number IE/BPA </w:t>
      </w:r>
      <w:r w:rsidR="00C8487F" w:rsidRPr="00190AB2">
        <w:rPr>
          <w:rFonts w:ascii="Times New Roman" w:hAnsi="Times New Roman"/>
          <w:sz w:val="24"/>
          <w:szCs w:val="24"/>
        </w:rPr>
        <w:t>70751</w:t>
      </w:r>
      <w:r w:rsidRPr="00190AB2">
        <w:rPr>
          <w:rFonts w:ascii="Times New Roman" w:hAnsi="Times New Roman"/>
          <w:spacing w:val="-3"/>
          <w:sz w:val="24"/>
          <w:szCs w:val="24"/>
        </w:rPr>
        <w:t xml:space="preserve">. </w:t>
      </w:r>
      <w:r w:rsidRPr="00190AB2">
        <w:rPr>
          <w:rFonts w:ascii="Times New Roman" w:hAnsi="Times New Roman"/>
          <w:sz w:val="24"/>
          <w:szCs w:val="24"/>
        </w:rPr>
        <w:t xml:space="preserve">The SDS must be submitted to the Irish Competent Authority for Biocides and the National Poisons Information Centre of Ireland </w:t>
      </w:r>
      <w:hyperlink r:id="rId10" w:history="1">
        <w:r w:rsidRPr="00190AB2">
          <w:rPr>
            <w:rStyle w:val="Hyperlink"/>
            <w:rFonts w:ascii="Times New Roman" w:hAnsi="Times New Roman"/>
            <w:color w:val="auto"/>
            <w:sz w:val="24"/>
            <w:szCs w:val="24"/>
          </w:rPr>
          <w:t>http://www.poisons.ie/manufacturers.asp</w:t>
        </w:r>
      </w:hyperlink>
      <w:r w:rsidRPr="00190AB2">
        <w:rPr>
          <w:rFonts w:ascii="Times New Roman" w:hAnsi="Times New Roman"/>
          <w:sz w:val="24"/>
          <w:szCs w:val="24"/>
        </w:rPr>
        <w:t xml:space="preserve"> before the product is made available on the market for sale or use.</w:t>
      </w:r>
    </w:p>
    <w:p w14:paraId="731ABAC2" w14:textId="77777777" w:rsidR="002F214F" w:rsidRPr="00190AB2" w:rsidRDefault="002F214F" w:rsidP="00A15D11">
      <w:pPr>
        <w:pStyle w:val="ListParagraph"/>
        <w:spacing w:after="0" w:line="240" w:lineRule="auto"/>
        <w:ind w:left="0"/>
        <w:jc w:val="both"/>
        <w:rPr>
          <w:rFonts w:ascii="Times New Roman" w:hAnsi="Times New Roman"/>
          <w:sz w:val="16"/>
          <w:szCs w:val="16"/>
        </w:rPr>
      </w:pPr>
    </w:p>
    <w:p w14:paraId="637B9D1C" w14:textId="77777777" w:rsidR="003B1750" w:rsidRPr="00190AB2" w:rsidRDefault="002F214F" w:rsidP="00A15D11">
      <w:pPr>
        <w:pStyle w:val="ListParagraph"/>
        <w:numPr>
          <w:ilvl w:val="0"/>
          <w:numId w:val="17"/>
        </w:numPr>
        <w:spacing w:after="0" w:line="240" w:lineRule="auto"/>
        <w:ind w:left="357" w:hanging="357"/>
        <w:jc w:val="both"/>
        <w:rPr>
          <w:rFonts w:ascii="Times New Roman" w:hAnsi="Times New Roman"/>
          <w:sz w:val="24"/>
          <w:szCs w:val="24"/>
        </w:rPr>
      </w:pPr>
      <w:r w:rsidRPr="00190AB2">
        <w:rPr>
          <w:rFonts w:ascii="Times New Roman" w:hAnsi="Times New Roman"/>
          <w:sz w:val="24"/>
          <w:szCs w:val="24"/>
        </w:rPr>
        <w:lastRenderedPageBreak/>
        <w:t>On an annual basis, details of the quantities of this product (by pack size) manufactured in Ireland, imported into Ireland and/or exported from Ireland must be submitted to the Irish Competent Authority for Biocides by 31 January of the following year.</w:t>
      </w:r>
      <w:r w:rsidR="003B1750" w:rsidRPr="00190AB2">
        <w:rPr>
          <w:rFonts w:ascii="Times New Roman" w:hAnsi="Times New Roman"/>
          <w:sz w:val="24"/>
          <w:szCs w:val="24"/>
        </w:rPr>
        <w:t xml:space="preserve"> Details of the distributors name and address must also be submitted at this time.</w:t>
      </w:r>
    </w:p>
    <w:p w14:paraId="18472619" w14:textId="77777777" w:rsidR="003B1750" w:rsidRPr="00190AB2" w:rsidRDefault="003B1750" w:rsidP="00A15D11">
      <w:pPr>
        <w:pStyle w:val="ListParagraph"/>
        <w:spacing w:after="0" w:line="240" w:lineRule="auto"/>
        <w:jc w:val="both"/>
        <w:rPr>
          <w:rFonts w:ascii="Times New Roman" w:hAnsi="Times New Roman"/>
          <w:sz w:val="24"/>
          <w:szCs w:val="24"/>
        </w:rPr>
      </w:pPr>
    </w:p>
    <w:p w14:paraId="7C8D4846" w14:textId="77777777" w:rsidR="003B1750" w:rsidRPr="00190AB2" w:rsidRDefault="003B1750" w:rsidP="00A15D11">
      <w:pPr>
        <w:pStyle w:val="ListParagraph"/>
        <w:numPr>
          <w:ilvl w:val="0"/>
          <w:numId w:val="17"/>
        </w:numPr>
        <w:spacing w:after="0" w:line="240" w:lineRule="auto"/>
        <w:jc w:val="both"/>
        <w:rPr>
          <w:rFonts w:ascii="Times New Roman" w:hAnsi="Times New Roman"/>
          <w:sz w:val="24"/>
          <w:szCs w:val="24"/>
        </w:rPr>
      </w:pPr>
      <w:r w:rsidRPr="00190AB2">
        <w:rPr>
          <w:rFonts w:ascii="Times New Roman" w:hAnsi="Times New Roman"/>
          <w:sz w:val="24"/>
          <w:szCs w:val="24"/>
        </w:rPr>
        <w:t xml:space="preserve">Authorisation holders and marketing companies must inform distributors, </w:t>
      </w:r>
      <w:proofErr w:type="gramStart"/>
      <w:r w:rsidRPr="00190AB2">
        <w:rPr>
          <w:rFonts w:ascii="Times New Roman" w:hAnsi="Times New Roman"/>
          <w:sz w:val="24"/>
          <w:szCs w:val="24"/>
        </w:rPr>
        <w:t>wholesaler</w:t>
      </w:r>
      <w:r w:rsidR="00783FF0" w:rsidRPr="00190AB2">
        <w:rPr>
          <w:rFonts w:ascii="Times New Roman" w:hAnsi="Times New Roman"/>
          <w:sz w:val="24"/>
          <w:szCs w:val="24"/>
        </w:rPr>
        <w:t>s</w:t>
      </w:r>
      <w:proofErr w:type="gramEnd"/>
      <w:r w:rsidRPr="00190AB2">
        <w:rPr>
          <w:rFonts w:ascii="Times New Roman" w:hAnsi="Times New Roman"/>
          <w:sz w:val="24"/>
          <w:szCs w:val="24"/>
        </w:rPr>
        <w:t xml:space="preserve"> and retailers of their requirements to keep records of goods in and goods out which can be requested by DAFM for inspection.</w:t>
      </w:r>
    </w:p>
    <w:p w14:paraId="531A924D" w14:textId="77777777" w:rsidR="002F214F" w:rsidRPr="00190AB2" w:rsidRDefault="002F214F" w:rsidP="00A15D11">
      <w:pPr>
        <w:pStyle w:val="ListParagraph"/>
        <w:spacing w:after="0" w:line="240" w:lineRule="auto"/>
        <w:ind w:left="0"/>
        <w:jc w:val="both"/>
        <w:rPr>
          <w:rFonts w:ascii="Times New Roman" w:hAnsi="Times New Roman"/>
          <w:sz w:val="16"/>
          <w:szCs w:val="16"/>
        </w:rPr>
      </w:pPr>
    </w:p>
    <w:p w14:paraId="3D6B6AF7" w14:textId="77777777" w:rsidR="002F214F" w:rsidRPr="00190AB2" w:rsidRDefault="002F214F" w:rsidP="00A15D11">
      <w:pPr>
        <w:pStyle w:val="ListParagraph"/>
        <w:numPr>
          <w:ilvl w:val="0"/>
          <w:numId w:val="17"/>
        </w:numPr>
        <w:tabs>
          <w:tab w:val="left" w:pos="-720"/>
        </w:tabs>
        <w:suppressAutoHyphens/>
        <w:spacing w:after="0" w:line="240" w:lineRule="auto"/>
        <w:ind w:left="340"/>
        <w:jc w:val="both"/>
        <w:rPr>
          <w:rFonts w:ascii="Times New Roman" w:hAnsi="Times New Roman"/>
          <w:b/>
          <w:spacing w:val="-3"/>
          <w:sz w:val="24"/>
          <w:szCs w:val="24"/>
        </w:rPr>
      </w:pPr>
      <w:r w:rsidRPr="00190AB2">
        <w:rPr>
          <w:rFonts w:ascii="Times New Roman" w:hAnsi="Times New Roman"/>
          <w:sz w:val="24"/>
          <w:szCs w:val="24"/>
        </w:rPr>
        <w:t xml:space="preserve">Fees are payable for the maintenance of the product on the Register of Biocidal Products and shall be paid by the </w:t>
      </w:r>
      <w:proofErr w:type="gramStart"/>
      <w:r w:rsidRPr="00190AB2">
        <w:rPr>
          <w:rFonts w:ascii="Times New Roman" w:hAnsi="Times New Roman"/>
          <w:sz w:val="24"/>
          <w:szCs w:val="24"/>
        </w:rPr>
        <w:t>31</w:t>
      </w:r>
      <w:r w:rsidRPr="00190AB2">
        <w:rPr>
          <w:rFonts w:ascii="Times New Roman" w:hAnsi="Times New Roman"/>
          <w:sz w:val="24"/>
          <w:szCs w:val="24"/>
          <w:vertAlign w:val="superscript"/>
        </w:rPr>
        <w:t>st</w:t>
      </w:r>
      <w:proofErr w:type="gramEnd"/>
      <w:r w:rsidRPr="00190AB2">
        <w:rPr>
          <w:rFonts w:ascii="Times New Roman" w:hAnsi="Times New Roman"/>
          <w:sz w:val="24"/>
          <w:szCs w:val="24"/>
        </w:rPr>
        <w:t xml:space="preserve"> December of the following year and each year thereafter.</w:t>
      </w:r>
    </w:p>
    <w:p w14:paraId="5CF35B26" w14:textId="77777777" w:rsidR="00B23D5E" w:rsidRPr="00190AB2" w:rsidRDefault="00B23D5E" w:rsidP="00A15D11">
      <w:pPr>
        <w:pStyle w:val="ListParagraph"/>
        <w:spacing w:after="0" w:line="240" w:lineRule="auto"/>
        <w:jc w:val="both"/>
        <w:rPr>
          <w:rFonts w:ascii="Times New Roman" w:hAnsi="Times New Roman"/>
          <w:b/>
          <w:spacing w:val="-3"/>
          <w:sz w:val="24"/>
          <w:szCs w:val="24"/>
        </w:rPr>
      </w:pPr>
    </w:p>
    <w:p w14:paraId="7EFC9D56" w14:textId="77777777" w:rsidR="00FA63D3" w:rsidRPr="00190AB2" w:rsidRDefault="00FA63D3" w:rsidP="00A15D11">
      <w:pPr>
        <w:pStyle w:val="ListParagraph"/>
        <w:spacing w:after="0" w:line="240" w:lineRule="auto"/>
        <w:jc w:val="both"/>
        <w:rPr>
          <w:rFonts w:ascii="Times New Roman" w:hAnsi="Times New Roman"/>
          <w:b/>
          <w:spacing w:val="-3"/>
          <w:sz w:val="24"/>
          <w:szCs w:val="24"/>
        </w:rPr>
      </w:pPr>
    </w:p>
    <w:p w14:paraId="3C2CF8F5" w14:textId="77777777" w:rsidR="00B87481" w:rsidRPr="00190AB2" w:rsidRDefault="00B87481" w:rsidP="00D27972">
      <w:pPr>
        <w:tabs>
          <w:tab w:val="left" w:pos="-720"/>
        </w:tabs>
        <w:suppressAutoHyphens/>
        <w:jc w:val="both"/>
        <w:rPr>
          <w:b/>
          <w:spacing w:val="-3"/>
        </w:rPr>
      </w:pPr>
      <w:r w:rsidRPr="00190AB2">
        <w:rPr>
          <w:b/>
          <w:spacing w:val="-3"/>
        </w:rPr>
        <w:br w:type="page"/>
      </w:r>
    </w:p>
    <w:p w14:paraId="2457ADA4" w14:textId="77777777" w:rsidR="00A93CE4" w:rsidRPr="00190AB2" w:rsidRDefault="00A93CE4" w:rsidP="00AC1587">
      <w:pPr>
        <w:tabs>
          <w:tab w:val="left" w:pos="-720"/>
        </w:tabs>
        <w:suppressAutoHyphens/>
        <w:jc w:val="center"/>
        <w:rPr>
          <w:b/>
          <w:szCs w:val="24"/>
          <w:lang w:val="en-IE"/>
        </w:rPr>
      </w:pPr>
      <w:r w:rsidRPr="00190AB2">
        <w:rPr>
          <w:b/>
          <w:szCs w:val="24"/>
          <w:lang w:val="en-IE"/>
        </w:rPr>
        <w:lastRenderedPageBreak/>
        <w:t>(b) Amendments to Authorisation</w:t>
      </w:r>
    </w:p>
    <w:p w14:paraId="52AD2FDD" w14:textId="77777777" w:rsidR="00A93CE4" w:rsidRPr="00190AB2" w:rsidRDefault="00A93CE4" w:rsidP="00AC1587">
      <w:pPr>
        <w:tabs>
          <w:tab w:val="left" w:pos="-720"/>
        </w:tabs>
        <w:suppressAutoHyphens/>
        <w:jc w:val="center"/>
        <w:rPr>
          <w:b/>
          <w:szCs w:val="24"/>
          <w:u w:val="single"/>
          <w:lang w:val="en-IE"/>
        </w:rPr>
      </w:pPr>
    </w:p>
    <w:p w14:paraId="59120F78" w14:textId="77777777" w:rsidR="00A93CE4" w:rsidRPr="00190AB2" w:rsidRDefault="00A93CE4" w:rsidP="00A93CE4">
      <w:pPr>
        <w:pStyle w:val="BodyText"/>
        <w:rPr>
          <w:szCs w:val="24"/>
        </w:rPr>
      </w:pPr>
      <w:r w:rsidRPr="00190AB2">
        <w:rPr>
          <w:szCs w:val="24"/>
        </w:rPr>
        <w:t>The following amendments apply to the conditions of authorisation for the biocidal product:</w:t>
      </w:r>
    </w:p>
    <w:p w14:paraId="24E854CC" w14:textId="77777777" w:rsidR="00A93CE4" w:rsidRPr="00190AB2" w:rsidRDefault="00A93CE4" w:rsidP="00AC1587">
      <w:pPr>
        <w:tabs>
          <w:tab w:val="left" w:pos="-720"/>
        </w:tabs>
        <w:suppressAutoHyphens/>
        <w:jc w:val="center"/>
        <w:rPr>
          <w:b/>
          <w:szCs w:val="24"/>
          <w:u w:val="single"/>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335"/>
        <w:gridCol w:w="929"/>
        <w:gridCol w:w="5644"/>
      </w:tblGrid>
      <w:tr w:rsidR="00D4001F" w:rsidRPr="00190AB2" w14:paraId="33FF87C3" w14:textId="77777777" w:rsidTr="00E00F67">
        <w:trPr>
          <w:trHeight w:val="356"/>
        </w:trPr>
        <w:tc>
          <w:tcPr>
            <w:tcW w:w="727" w:type="pct"/>
            <w:vAlign w:val="center"/>
          </w:tcPr>
          <w:p w14:paraId="0009E6A9" w14:textId="77777777" w:rsidR="00D4001F" w:rsidRPr="00E00F67" w:rsidRDefault="00D4001F" w:rsidP="00E00F67">
            <w:pPr>
              <w:tabs>
                <w:tab w:val="left" w:pos="-720"/>
              </w:tabs>
              <w:suppressAutoHyphens/>
              <w:jc w:val="center"/>
              <w:rPr>
                <w:b/>
                <w:bCs/>
                <w:spacing w:val="-3"/>
                <w:sz w:val="22"/>
                <w:szCs w:val="22"/>
                <w:lang w:val="en-IE"/>
              </w:rPr>
            </w:pPr>
            <w:r w:rsidRPr="00E00F67">
              <w:rPr>
                <w:b/>
                <w:bCs/>
                <w:spacing w:val="-3"/>
                <w:sz w:val="22"/>
                <w:szCs w:val="22"/>
                <w:lang w:val="en-IE"/>
              </w:rPr>
              <w:t>Issue</w:t>
            </w:r>
          </w:p>
        </w:tc>
        <w:tc>
          <w:tcPr>
            <w:tcW w:w="726" w:type="pct"/>
            <w:vAlign w:val="center"/>
          </w:tcPr>
          <w:p w14:paraId="16E29EFD" w14:textId="77777777" w:rsidR="00D4001F" w:rsidRPr="00E00F67" w:rsidRDefault="00D4001F" w:rsidP="00E00F67">
            <w:pPr>
              <w:tabs>
                <w:tab w:val="left" w:pos="-720"/>
              </w:tabs>
              <w:suppressAutoHyphens/>
              <w:jc w:val="center"/>
              <w:rPr>
                <w:b/>
                <w:bCs/>
                <w:spacing w:val="-3"/>
                <w:sz w:val="22"/>
                <w:szCs w:val="22"/>
                <w:lang w:val="en-IE"/>
              </w:rPr>
            </w:pPr>
            <w:r w:rsidRPr="00E00F67">
              <w:rPr>
                <w:b/>
                <w:bCs/>
                <w:spacing w:val="-3"/>
                <w:sz w:val="22"/>
                <w:szCs w:val="22"/>
                <w:lang w:val="en-IE"/>
              </w:rPr>
              <w:t>Re-issue</w:t>
            </w:r>
          </w:p>
        </w:tc>
        <w:tc>
          <w:tcPr>
            <w:tcW w:w="491" w:type="pct"/>
            <w:vAlign w:val="center"/>
          </w:tcPr>
          <w:p w14:paraId="0EFA0F3B" w14:textId="77777777" w:rsidR="00D4001F" w:rsidRPr="00E00F67" w:rsidRDefault="00D4001F" w:rsidP="00E00F67">
            <w:pPr>
              <w:tabs>
                <w:tab w:val="left" w:pos="-720"/>
              </w:tabs>
              <w:suppressAutoHyphens/>
              <w:jc w:val="center"/>
              <w:rPr>
                <w:b/>
                <w:bCs/>
                <w:spacing w:val="-3"/>
                <w:sz w:val="22"/>
                <w:szCs w:val="22"/>
                <w:lang w:val="en-IE"/>
              </w:rPr>
            </w:pPr>
            <w:r w:rsidRPr="00E00F67">
              <w:rPr>
                <w:b/>
                <w:bCs/>
                <w:spacing w:val="-3"/>
                <w:sz w:val="22"/>
                <w:szCs w:val="22"/>
                <w:lang w:val="en-IE"/>
              </w:rPr>
              <w:t>Version</w:t>
            </w:r>
          </w:p>
        </w:tc>
        <w:tc>
          <w:tcPr>
            <w:tcW w:w="3056" w:type="pct"/>
            <w:vAlign w:val="center"/>
          </w:tcPr>
          <w:p w14:paraId="2A26F7DC" w14:textId="77777777" w:rsidR="00D4001F" w:rsidRPr="00E00F67" w:rsidRDefault="00D4001F" w:rsidP="00E00F67">
            <w:pPr>
              <w:tabs>
                <w:tab w:val="left" w:pos="-720"/>
              </w:tabs>
              <w:suppressAutoHyphens/>
              <w:jc w:val="center"/>
              <w:rPr>
                <w:b/>
                <w:bCs/>
                <w:spacing w:val="-3"/>
                <w:sz w:val="22"/>
                <w:szCs w:val="22"/>
                <w:lang w:val="en-IE"/>
              </w:rPr>
            </w:pPr>
            <w:r w:rsidRPr="00E00F67">
              <w:rPr>
                <w:b/>
                <w:bCs/>
                <w:spacing w:val="-3"/>
                <w:sz w:val="22"/>
                <w:szCs w:val="22"/>
                <w:lang w:val="en-IE"/>
              </w:rPr>
              <w:t>Modifications applied</w:t>
            </w:r>
            <w:r w:rsidRPr="00E00F67">
              <w:rPr>
                <w:b/>
                <w:bCs/>
                <w:spacing w:val="-3"/>
                <w:sz w:val="22"/>
                <w:szCs w:val="22"/>
                <w:vertAlign w:val="superscript"/>
                <w:lang w:val="en-IE"/>
              </w:rPr>
              <w:t>2</w:t>
            </w:r>
          </w:p>
        </w:tc>
      </w:tr>
      <w:tr w:rsidR="00D4001F" w:rsidRPr="00190AB2" w14:paraId="67CEBB93" w14:textId="77777777" w:rsidTr="00E00F67">
        <w:trPr>
          <w:trHeight w:val="356"/>
        </w:trPr>
        <w:tc>
          <w:tcPr>
            <w:tcW w:w="727" w:type="pct"/>
            <w:vAlign w:val="center"/>
          </w:tcPr>
          <w:p w14:paraId="6D08071F" w14:textId="77777777" w:rsidR="00D4001F" w:rsidRPr="00E00F67" w:rsidRDefault="00750380" w:rsidP="00E00F67">
            <w:pPr>
              <w:tabs>
                <w:tab w:val="left" w:pos="-720"/>
              </w:tabs>
              <w:suppressAutoHyphens/>
              <w:jc w:val="center"/>
              <w:rPr>
                <w:spacing w:val="-3"/>
                <w:sz w:val="22"/>
                <w:szCs w:val="22"/>
                <w:lang w:val="en-IE"/>
              </w:rPr>
            </w:pPr>
            <w:r w:rsidRPr="00E00F67">
              <w:rPr>
                <w:spacing w:val="-3"/>
                <w:sz w:val="22"/>
                <w:szCs w:val="22"/>
                <w:lang w:val="en-IE"/>
              </w:rPr>
              <w:t>15</w:t>
            </w:r>
            <w:r w:rsidR="00C8487F" w:rsidRPr="00E00F67">
              <w:rPr>
                <w:spacing w:val="-3"/>
                <w:sz w:val="22"/>
                <w:szCs w:val="22"/>
                <w:lang w:val="en-IE"/>
              </w:rPr>
              <w:t>/07/2020</w:t>
            </w:r>
          </w:p>
        </w:tc>
        <w:tc>
          <w:tcPr>
            <w:tcW w:w="726" w:type="pct"/>
            <w:vAlign w:val="center"/>
          </w:tcPr>
          <w:p w14:paraId="680634CF" w14:textId="77777777" w:rsidR="00D4001F" w:rsidRPr="00E00F67" w:rsidRDefault="00D4001F" w:rsidP="00E00F67">
            <w:pPr>
              <w:tabs>
                <w:tab w:val="left" w:pos="-720"/>
              </w:tabs>
              <w:suppressAutoHyphens/>
              <w:jc w:val="center"/>
              <w:rPr>
                <w:spacing w:val="-3"/>
                <w:sz w:val="22"/>
                <w:szCs w:val="22"/>
                <w:lang w:val="en-IE"/>
              </w:rPr>
            </w:pPr>
            <w:r w:rsidRPr="00E00F67">
              <w:rPr>
                <w:spacing w:val="-3"/>
                <w:sz w:val="22"/>
                <w:szCs w:val="22"/>
                <w:lang w:val="en-IE"/>
              </w:rPr>
              <w:t>-</w:t>
            </w:r>
          </w:p>
        </w:tc>
        <w:tc>
          <w:tcPr>
            <w:tcW w:w="491" w:type="pct"/>
            <w:vAlign w:val="center"/>
          </w:tcPr>
          <w:p w14:paraId="5124CF7A" w14:textId="77777777" w:rsidR="00D4001F" w:rsidRPr="00E00F67" w:rsidRDefault="00D4001F" w:rsidP="00E00F67">
            <w:pPr>
              <w:tabs>
                <w:tab w:val="left" w:pos="-720"/>
              </w:tabs>
              <w:suppressAutoHyphens/>
              <w:jc w:val="center"/>
              <w:rPr>
                <w:spacing w:val="-3"/>
                <w:sz w:val="22"/>
                <w:szCs w:val="22"/>
                <w:lang w:val="en-IE"/>
              </w:rPr>
            </w:pPr>
            <w:r w:rsidRPr="00E00F67">
              <w:rPr>
                <w:spacing w:val="-3"/>
                <w:sz w:val="22"/>
                <w:szCs w:val="22"/>
                <w:lang w:val="en-IE"/>
              </w:rPr>
              <w:t>1.0</w:t>
            </w:r>
          </w:p>
        </w:tc>
        <w:tc>
          <w:tcPr>
            <w:tcW w:w="3056" w:type="pct"/>
            <w:vAlign w:val="center"/>
          </w:tcPr>
          <w:p w14:paraId="0C3852D7" w14:textId="77777777" w:rsidR="00D4001F" w:rsidRPr="00E00F67" w:rsidRDefault="00E70341" w:rsidP="00E00F67">
            <w:pPr>
              <w:tabs>
                <w:tab w:val="left" w:pos="-720"/>
              </w:tabs>
              <w:suppressAutoHyphens/>
              <w:rPr>
                <w:spacing w:val="-3"/>
                <w:sz w:val="22"/>
                <w:szCs w:val="22"/>
              </w:rPr>
            </w:pPr>
            <w:r w:rsidRPr="00E00F67">
              <w:rPr>
                <w:spacing w:val="-3"/>
                <w:sz w:val="22"/>
                <w:szCs w:val="22"/>
              </w:rPr>
              <w:t>Original certificate</w:t>
            </w:r>
          </w:p>
        </w:tc>
      </w:tr>
      <w:tr w:rsidR="00D4001F" w:rsidRPr="00190AB2" w14:paraId="270630AD" w14:textId="77777777" w:rsidTr="00E00F67">
        <w:trPr>
          <w:trHeight w:val="356"/>
        </w:trPr>
        <w:tc>
          <w:tcPr>
            <w:tcW w:w="727" w:type="pct"/>
            <w:vAlign w:val="center"/>
          </w:tcPr>
          <w:p w14:paraId="00FEDC75" w14:textId="42E2221B" w:rsidR="00D4001F" w:rsidRPr="00E00F67" w:rsidRDefault="00E00F67" w:rsidP="00E00F67">
            <w:pPr>
              <w:tabs>
                <w:tab w:val="left" w:pos="-720"/>
              </w:tabs>
              <w:suppressAutoHyphens/>
              <w:jc w:val="center"/>
              <w:rPr>
                <w:spacing w:val="-3"/>
                <w:sz w:val="22"/>
                <w:szCs w:val="22"/>
                <w:lang w:val="en-IE"/>
              </w:rPr>
            </w:pPr>
            <w:r w:rsidRPr="00E00F67">
              <w:rPr>
                <w:spacing w:val="-3"/>
                <w:sz w:val="22"/>
                <w:szCs w:val="22"/>
                <w:lang w:val="en-IE"/>
              </w:rPr>
              <w:t>-</w:t>
            </w:r>
          </w:p>
        </w:tc>
        <w:tc>
          <w:tcPr>
            <w:tcW w:w="726" w:type="pct"/>
            <w:vAlign w:val="center"/>
          </w:tcPr>
          <w:p w14:paraId="4C5C371D" w14:textId="06FEFBE4" w:rsidR="00D4001F" w:rsidRPr="00E00F67" w:rsidRDefault="00E00F67" w:rsidP="00E00F67">
            <w:pPr>
              <w:tabs>
                <w:tab w:val="left" w:pos="-720"/>
              </w:tabs>
              <w:suppressAutoHyphens/>
              <w:jc w:val="center"/>
              <w:rPr>
                <w:spacing w:val="-3"/>
                <w:sz w:val="22"/>
                <w:szCs w:val="22"/>
                <w:lang w:val="en-IE"/>
              </w:rPr>
            </w:pPr>
            <w:r w:rsidRPr="00E00F67">
              <w:rPr>
                <w:spacing w:val="-3"/>
                <w:sz w:val="22"/>
                <w:szCs w:val="22"/>
                <w:lang w:val="en-IE"/>
              </w:rPr>
              <w:t>31/07/2023</w:t>
            </w:r>
          </w:p>
        </w:tc>
        <w:tc>
          <w:tcPr>
            <w:tcW w:w="491" w:type="pct"/>
            <w:vAlign w:val="center"/>
          </w:tcPr>
          <w:p w14:paraId="08BB3FBD" w14:textId="051B6A18" w:rsidR="00D4001F" w:rsidRPr="00E00F67" w:rsidRDefault="00E00F67" w:rsidP="00E00F67">
            <w:pPr>
              <w:tabs>
                <w:tab w:val="left" w:pos="-720"/>
              </w:tabs>
              <w:suppressAutoHyphens/>
              <w:jc w:val="center"/>
              <w:rPr>
                <w:spacing w:val="-3"/>
                <w:sz w:val="22"/>
                <w:szCs w:val="22"/>
                <w:lang w:val="en-IE"/>
              </w:rPr>
            </w:pPr>
            <w:r w:rsidRPr="00E00F67">
              <w:rPr>
                <w:spacing w:val="-3"/>
                <w:sz w:val="22"/>
                <w:szCs w:val="22"/>
                <w:lang w:val="en-IE"/>
              </w:rPr>
              <w:t>1.1</w:t>
            </w:r>
          </w:p>
        </w:tc>
        <w:tc>
          <w:tcPr>
            <w:tcW w:w="3056" w:type="pct"/>
            <w:vAlign w:val="center"/>
          </w:tcPr>
          <w:p w14:paraId="1288D954" w14:textId="3C0EE631" w:rsidR="00D4001F" w:rsidRPr="00E00F67" w:rsidRDefault="00E00F67" w:rsidP="00E00F67">
            <w:pPr>
              <w:rPr>
                <w:spacing w:val="-3"/>
                <w:sz w:val="22"/>
                <w:szCs w:val="22"/>
              </w:rPr>
            </w:pPr>
            <w:r w:rsidRPr="00E00F67">
              <w:rPr>
                <w:spacing w:val="-3"/>
                <w:sz w:val="22"/>
                <w:szCs w:val="22"/>
              </w:rPr>
              <w:t xml:space="preserve">NA-MIC </w:t>
            </w:r>
            <w:r w:rsidRPr="00E00F67">
              <w:rPr>
                <w:spacing w:val="-3"/>
                <w:sz w:val="22"/>
                <w:szCs w:val="22"/>
              </w:rPr>
              <w:t>BC-KC075210-62</w:t>
            </w:r>
          </w:p>
        </w:tc>
      </w:tr>
    </w:tbl>
    <w:p w14:paraId="3386296D" w14:textId="77777777" w:rsidR="00A93CE4" w:rsidRPr="00190AB2" w:rsidRDefault="00A93CE4" w:rsidP="00AC1587">
      <w:pPr>
        <w:tabs>
          <w:tab w:val="left" w:pos="-720"/>
        </w:tabs>
        <w:suppressAutoHyphens/>
        <w:jc w:val="center"/>
        <w:rPr>
          <w:b/>
          <w:szCs w:val="24"/>
          <w:u w:val="single"/>
          <w:lang w:val="en-IE"/>
        </w:rPr>
      </w:pPr>
    </w:p>
    <w:p w14:paraId="3CF00680" w14:textId="77777777" w:rsidR="00A93CE4" w:rsidRPr="00190AB2" w:rsidRDefault="00A93CE4" w:rsidP="00AC1587">
      <w:pPr>
        <w:tabs>
          <w:tab w:val="left" w:pos="-720"/>
        </w:tabs>
        <w:suppressAutoHyphens/>
        <w:jc w:val="center"/>
        <w:rPr>
          <w:b/>
          <w:szCs w:val="24"/>
          <w:u w:val="single"/>
          <w:lang w:val="en-IE"/>
        </w:rPr>
      </w:pPr>
    </w:p>
    <w:p w14:paraId="5F36366A" w14:textId="77777777" w:rsidR="00A93CE4" w:rsidRPr="00190AB2" w:rsidRDefault="00A93CE4" w:rsidP="00AC1587">
      <w:pPr>
        <w:tabs>
          <w:tab w:val="left" w:pos="-720"/>
        </w:tabs>
        <w:suppressAutoHyphens/>
        <w:jc w:val="center"/>
        <w:rPr>
          <w:b/>
          <w:szCs w:val="24"/>
          <w:u w:val="single"/>
          <w:lang w:val="en-IE"/>
        </w:rPr>
      </w:pPr>
    </w:p>
    <w:p w14:paraId="3DD25926" w14:textId="77777777" w:rsidR="00D4001F" w:rsidRPr="00190AB2" w:rsidRDefault="00D4001F" w:rsidP="00AC1587">
      <w:pPr>
        <w:tabs>
          <w:tab w:val="left" w:pos="-720"/>
        </w:tabs>
        <w:suppressAutoHyphens/>
        <w:jc w:val="center"/>
        <w:rPr>
          <w:b/>
          <w:szCs w:val="24"/>
          <w:u w:val="single"/>
          <w:lang w:val="en-IE"/>
        </w:rPr>
      </w:pPr>
    </w:p>
    <w:p w14:paraId="49B2DC13" w14:textId="77777777" w:rsidR="00D4001F" w:rsidRPr="00190AB2" w:rsidRDefault="00D4001F" w:rsidP="00AC1587">
      <w:pPr>
        <w:tabs>
          <w:tab w:val="left" w:pos="-720"/>
        </w:tabs>
        <w:suppressAutoHyphens/>
        <w:jc w:val="center"/>
        <w:rPr>
          <w:b/>
          <w:szCs w:val="24"/>
          <w:u w:val="single"/>
          <w:lang w:val="en-IE"/>
        </w:rPr>
      </w:pPr>
    </w:p>
    <w:p w14:paraId="6DB19380" w14:textId="77777777" w:rsidR="00D4001F" w:rsidRPr="00190AB2" w:rsidRDefault="00D4001F" w:rsidP="00AC1587">
      <w:pPr>
        <w:tabs>
          <w:tab w:val="left" w:pos="-720"/>
        </w:tabs>
        <w:suppressAutoHyphens/>
        <w:jc w:val="center"/>
        <w:rPr>
          <w:b/>
          <w:szCs w:val="24"/>
          <w:u w:val="single"/>
          <w:lang w:val="en-IE"/>
        </w:rPr>
      </w:pPr>
    </w:p>
    <w:p w14:paraId="50748418" w14:textId="77777777" w:rsidR="00D4001F" w:rsidRPr="00190AB2" w:rsidRDefault="00D4001F" w:rsidP="00AC1587">
      <w:pPr>
        <w:tabs>
          <w:tab w:val="left" w:pos="-720"/>
        </w:tabs>
        <w:suppressAutoHyphens/>
        <w:jc w:val="center"/>
        <w:rPr>
          <w:b/>
          <w:szCs w:val="24"/>
          <w:u w:val="single"/>
          <w:lang w:val="en-IE"/>
        </w:rPr>
      </w:pPr>
    </w:p>
    <w:p w14:paraId="20FC6A75" w14:textId="77777777" w:rsidR="00D4001F" w:rsidRPr="00190AB2" w:rsidRDefault="00D4001F" w:rsidP="00AC1587">
      <w:pPr>
        <w:tabs>
          <w:tab w:val="left" w:pos="-720"/>
        </w:tabs>
        <w:suppressAutoHyphens/>
        <w:jc w:val="center"/>
        <w:rPr>
          <w:b/>
          <w:szCs w:val="24"/>
          <w:u w:val="single"/>
          <w:lang w:val="en-IE"/>
        </w:rPr>
      </w:pPr>
    </w:p>
    <w:p w14:paraId="0E8CC6E6" w14:textId="77777777" w:rsidR="00D4001F" w:rsidRPr="00190AB2" w:rsidRDefault="00D4001F" w:rsidP="00AC1587">
      <w:pPr>
        <w:tabs>
          <w:tab w:val="left" w:pos="-720"/>
        </w:tabs>
        <w:suppressAutoHyphens/>
        <w:jc w:val="center"/>
        <w:rPr>
          <w:b/>
          <w:szCs w:val="24"/>
          <w:u w:val="single"/>
          <w:lang w:val="en-IE"/>
        </w:rPr>
      </w:pPr>
    </w:p>
    <w:p w14:paraId="49B72877" w14:textId="77777777" w:rsidR="00D4001F" w:rsidRPr="00190AB2" w:rsidRDefault="00D4001F" w:rsidP="00AC1587">
      <w:pPr>
        <w:tabs>
          <w:tab w:val="left" w:pos="-720"/>
        </w:tabs>
        <w:suppressAutoHyphens/>
        <w:jc w:val="center"/>
        <w:rPr>
          <w:b/>
          <w:szCs w:val="24"/>
          <w:u w:val="single"/>
          <w:lang w:val="en-IE"/>
        </w:rPr>
      </w:pPr>
    </w:p>
    <w:p w14:paraId="12983EF1" w14:textId="77777777" w:rsidR="00D4001F" w:rsidRPr="00190AB2" w:rsidRDefault="00D4001F" w:rsidP="00AC1587">
      <w:pPr>
        <w:tabs>
          <w:tab w:val="left" w:pos="-720"/>
        </w:tabs>
        <w:suppressAutoHyphens/>
        <w:jc w:val="center"/>
        <w:rPr>
          <w:b/>
          <w:szCs w:val="24"/>
          <w:u w:val="single"/>
          <w:lang w:val="en-IE"/>
        </w:rPr>
      </w:pPr>
    </w:p>
    <w:p w14:paraId="75B351A1" w14:textId="77777777" w:rsidR="00D4001F" w:rsidRPr="00190AB2" w:rsidRDefault="00D4001F" w:rsidP="00AC1587">
      <w:pPr>
        <w:tabs>
          <w:tab w:val="left" w:pos="-720"/>
        </w:tabs>
        <w:suppressAutoHyphens/>
        <w:jc w:val="center"/>
        <w:rPr>
          <w:b/>
          <w:szCs w:val="24"/>
          <w:u w:val="single"/>
          <w:lang w:val="en-IE"/>
        </w:rPr>
      </w:pPr>
      <w:r w:rsidRPr="00190AB2">
        <w:rPr>
          <w:b/>
          <w:szCs w:val="24"/>
          <w:u w:val="single"/>
          <w:lang w:val="en-IE"/>
        </w:rPr>
        <w:br w:type="page"/>
      </w:r>
    </w:p>
    <w:p w14:paraId="7B4F8286" w14:textId="77777777" w:rsidR="00AC1587" w:rsidRPr="00190AB2" w:rsidRDefault="00AC1587" w:rsidP="00AC1587">
      <w:pPr>
        <w:tabs>
          <w:tab w:val="left" w:pos="-720"/>
        </w:tabs>
        <w:suppressAutoHyphens/>
        <w:jc w:val="center"/>
        <w:rPr>
          <w:b/>
          <w:szCs w:val="24"/>
          <w:u w:val="single"/>
          <w:lang w:val="en-IE"/>
        </w:rPr>
      </w:pPr>
      <w:r w:rsidRPr="00190AB2">
        <w:rPr>
          <w:b/>
          <w:szCs w:val="24"/>
          <w:u w:val="single"/>
          <w:lang w:val="en-IE"/>
        </w:rPr>
        <w:lastRenderedPageBreak/>
        <w:t>ANNEX II</w:t>
      </w:r>
    </w:p>
    <w:p w14:paraId="344F4465" w14:textId="77777777" w:rsidR="00AC1587" w:rsidRPr="00190AB2" w:rsidRDefault="00AC1587" w:rsidP="00AC1587">
      <w:pPr>
        <w:jc w:val="both"/>
        <w:rPr>
          <w:szCs w:val="24"/>
          <w:lang w:val="en-IE"/>
        </w:rPr>
      </w:pPr>
    </w:p>
    <w:p w14:paraId="5FFF97F4" w14:textId="77777777" w:rsidR="00AC1587" w:rsidRPr="00190AB2" w:rsidRDefault="00AC1587" w:rsidP="00AC1587">
      <w:pPr>
        <w:jc w:val="center"/>
        <w:rPr>
          <w:b/>
          <w:szCs w:val="24"/>
          <w:lang w:val="en-IE"/>
        </w:rPr>
      </w:pPr>
      <w:r w:rsidRPr="00190AB2">
        <w:rPr>
          <w:b/>
          <w:szCs w:val="24"/>
          <w:lang w:val="en-IE"/>
        </w:rPr>
        <w:t>Summary of Product Characteristics (SPC) for a biocidal product</w:t>
      </w:r>
    </w:p>
    <w:p w14:paraId="6B754D7F" w14:textId="77777777" w:rsidR="00D579EB" w:rsidRPr="00190AB2" w:rsidRDefault="00D579EB">
      <w:pPr>
        <w:tabs>
          <w:tab w:val="left" w:pos="-720"/>
        </w:tabs>
        <w:suppressAutoHyphens/>
        <w:jc w:val="both"/>
        <w:rPr>
          <w:b/>
          <w:spacing w:val="-3"/>
          <w:lang w:val="en-IE"/>
        </w:rPr>
      </w:pPr>
    </w:p>
    <w:p w14:paraId="0E2AE385" w14:textId="77777777" w:rsidR="00D27972" w:rsidRPr="00190AB2" w:rsidRDefault="00D27972" w:rsidP="00D27972">
      <w:pPr>
        <w:tabs>
          <w:tab w:val="left" w:pos="-720"/>
        </w:tabs>
        <w:suppressAutoHyphens/>
        <w:jc w:val="both"/>
        <w:rPr>
          <w:szCs w:val="24"/>
        </w:rPr>
      </w:pPr>
      <w:r w:rsidRPr="00190AB2">
        <w:rPr>
          <w:szCs w:val="24"/>
        </w:rPr>
        <w:t>The following conditions, outlined in the summary of product characteristics (SPC), apply to the authorisation for the biocidal product as provided for in Article 22 of Regulation (EU) No 528/2012 as amended. The authorised biocidal product SPC file is referenced below:</w:t>
      </w:r>
    </w:p>
    <w:p w14:paraId="1E672BD4" w14:textId="77777777" w:rsidR="00403EBD" w:rsidRPr="00190AB2" w:rsidRDefault="00403EBD">
      <w:pPr>
        <w:tabs>
          <w:tab w:val="left" w:pos="-720"/>
        </w:tabs>
        <w:suppressAutoHyphens/>
        <w:jc w:val="both"/>
        <w:rPr>
          <w:b/>
          <w:spacing w:val="-3"/>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335"/>
        <w:gridCol w:w="929"/>
        <w:gridCol w:w="5644"/>
      </w:tblGrid>
      <w:tr w:rsidR="00403EBD" w:rsidRPr="00190AB2" w14:paraId="61B9C910" w14:textId="77777777" w:rsidTr="00E00F67">
        <w:trPr>
          <w:trHeight w:val="356"/>
        </w:trPr>
        <w:tc>
          <w:tcPr>
            <w:tcW w:w="727" w:type="pct"/>
            <w:vAlign w:val="center"/>
          </w:tcPr>
          <w:p w14:paraId="77091491" w14:textId="77777777" w:rsidR="00403EBD" w:rsidRPr="00E00F67" w:rsidRDefault="00403EBD" w:rsidP="00E00F67">
            <w:pPr>
              <w:tabs>
                <w:tab w:val="left" w:pos="-720"/>
              </w:tabs>
              <w:suppressAutoHyphens/>
              <w:jc w:val="center"/>
              <w:rPr>
                <w:b/>
                <w:bCs/>
                <w:spacing w:val="-3"/>
                <w:sz w:val="22"/>
                <w:szCs w:val="22"/>
                <w:lang w:val="en-IE"/>
              </w:rPr>
            </w:pPr>
            <w:r w:rsidRPr="00E00F67">
              <w:rPr>
                <w:b/>
                <w:bCs/>
                <w:spacing w:val="-3"/>
                <w:sz w:val="22"/>
                <w:szCs w:val="22"/>
                <w:lang w:val="en-IE"/>
              </w:rPr>
              <w:t>Issue</w:t>
            </w:r>
          </w:p>
        </w:tc>
        <w:tc>
          <w:tcPr>
            <w:tcW w:w="726" w:type="pct"/>
            <w:vAlign w:val="center"/>
          </w:tcPr>
          <w:p w14:paraId="3266F37D" w14:textId="77777777" w:rsidR="00403EBD" w:rsidRPr="00E00F67" w:rsidRDefault="00403EBD" w:rsidP="00E00F67">
            <w:pPr>
              <w:tabs>
                <w:tab w:val="left" w:pos="-720"/>
              </w:tabs>
              <w:suppressAutoHyphens/>
              <w:jc w:val="center"/>
              <w:rPr>
                <w:b/>
                <w:bCs/>
                <w:spacing w:val="-3"/>
                <w:sz w:val="22"/>
                <w:szCs w:val="22"/>
                <w:lang w:val="en-IE"/>
              </w:rPr>
            </w:pPr>
            <w:r w:rsidRPr="00E00F67">
              <w:rPr>
                <w:b/>
                <w:bCs/>
                <w:spacing w:val="-3"/>
                <w:sz w:val="22"/>
                <w:szCs w:val="22"/>
                <w:lang w:val="en-IE"/>
              </w:rPr>
              <w:t>Re-issue</w:t>
            </w:r>
          </w:p>
        </w:tc>
        <w:tc>
          <w:tcPr>
            <w:tcW w:w="491" w:type="pct"/>
            <w:vAlign w:val="center"/>
          </w:tcPr>
          <w:p w14:paraId="3297E325" w14:textId="77777777" w:rsidR="00403EBD" w:rsidRPr="00E00F67" w:rsidRDefault="00403EBD" w:rsidP="00E00F67">
            <w:pPr>
              <w:tabs>
                <w:tab w:val="left" w:pos="-720"/>
              </w:tabs>
              <w:suppressAutoHyphens/>
              <w:jc w:val="center"/>
              <w:rPr>
                <w:b/>
                <w:bCs/>
                <w:spacing w:val="-3"/>
                <w:sz w:val="22"/>
                <w:szCs w:val="22"/>
                <w:lang w:val="en-IE"/>
              </w:rPr>
            </w:pPr>
            <w:r w:rsidRPr="00E00F67">
              <w:rPr>
                <w:b/>
                <w:bCs/>
                <w:spacing w:val="-3"/>
                <w:sz w:val="22"/>
                <w:szCs w:val="22"/>
                <w:lang w:val="en-IE"/>
              </w:rPr>
              <w:t>Version</w:t>
            </w:r>
          </w:p>
        </w:tc>
        <w:tc>
          <w:tcPr>
            <w:tcW w:w="3056" w:type="pct"/>
            <w:vAlign w:val="center"/>
          </w:tcPr>
          <w:p w14:paraId="07F1C907" w14:textId="77777777" w:rsidR="00403EBD" w:rsidRPr="00E00F67" w:rsidRDefault="00403EBD" w:rsidP="00E00F67">
            <w:pPr>
              <w:tabs>
                <w:tab w:val="left" w:pos="-720"/>
              </w:tabs>
              <w:suppressAutoHyphens/>
              <w:jc w:val="center"/>
              <w:rPr>
                <w:b/>
                <w:bCs/>
                <w:spacing w:val="-3"/>
                <w:sz w:val="22"/>
                <w:szCs w:val="22"/>
                <w:lang w:val="en-IE"/>
              </w:rPr>
            </w:pPr>
            <w:r w:rsidRPr="00E00F67">
              <w:rPr>
                <w:b/>
                <w:bCs/>
                <w:spacing w:val="-3"/>
                <w:sz w:val="22"/>
                <w:szCs w:val="22"/>
                <w:lang w:val="en-IE"/>
              </w:rPr>
              <w:t>File Name</w:t>
            </w:r>
          </w:p>
        </w:tc>
      </w:tr>
      <w:tr w:rsidR="00403EBD" w:rsidRPr="00190AB2" w14:paraId="36FF2395" w14:textId="77777777" w:rsidTr="00E00F67">
        <w:trPr>
          <w:trHeight w:val="356"/>
        </w:trPr>
        <w:tc>
          <w:tcPr>
            <w:tcW w:w="727" w:type="pct"/>
            <w:vAlign w:val="center"/>
          </w:tcPr>
          <w:p w14:paraId="2F635B82" w14:textId="77777777" w:rsidR="00403EBD" w:rsidRPr="00E00F67" w:rsidRDefault="00750380" w:rsidP="00E00F67">
            <w:pPr>
              <w:tabs>
                <w:tab w:val="left" w:pos="-720"/>
              </w:tabs>
              <w:suppressAutoHyphens/>
              <w:jc w:val="center"/>
              <w:rPr>
                <w:spacing w:val="-3"/>
                <w:sz w:val="22"/>
                <w:szCs w:val="22"/>
                <w:lang w:val="en-IE"/>
              </w:rPr>
            </w:pPr>
            <w:r w:rsidRPr="00E00F67">
              <w:rPr>
                <w:spacing w:val="-3"/>
                <w:sz w:val="22"/>
                <w:szCs w:val="22"/>
                <w:lang w:val="en-IE"/>
              </w:rPr>
              <w:t>15</w:t>
            </w:r>
            <w:r w:rsidR="004576B8" w:rsidRPr="00E00F67">
              <w:rPr>
                <w:spacing w:val="-3"/>
                <w:sz w:val="22"/>
                <w:szCs w:val="22"/>
                <w:lang w:val="en-IE"/>
              </w:rPr>
              <w:t>/07/2020</w:t>
            </w:r>
          </w:p>
        </w:tc>
        <w:tc>
          <w:tcPr>
            <w:tcW w:w="726" w:type="pct"/>
            <w:vAlign w:val="center"/>
          </w:tcPr>
          <w:p w14:paraId="11BA44E6" w14:textId="77777777" w:rsidR="00403EBD" w:rsidRPr="00E00F67" w:rsidRDefault="00403EBD" w:rsidP="00E00F67">
            <w:pPr>
              <w:tabs>
                <w:tab w:val="left" w:pos="-720"/>
              </w:tabs>
              <w:suppressAutoHyphens/>
              <w:jc w:val="center"/>
              <w:rPr>
                <w:spacing w:val="-3"/>
                <w:sz w:val="22"/>
                <w:szCs w:val="22"/>
                <w:lang w:val="en-IE"/>
              </w:rPr>
            </w:pPr>
            <w:r w:rsidRPr="00E00F67">
              <w:rPr>
                <w:spacing w:val="-3"/>
                <w:sz w:val="22"/>
                <w:szCs w:val="22"/>
                <w:lang w:val="en-IE"/>
              </w:rPr>
              <w:t>-</w:t>
            </w:r>
          </w:p>
        </w:tc>
        <w:tc>
          <w:tcPr>
            <w:tcW w:w="491" w:type="pct"/>
            <w:vAlign w:val="center"/>
          </w:tcPr>
          <w:p w14:paraId="31F1E7A6" w14:textId="77777777" w:rsidR="00403EBD" w:rsidRPr="00E00F67" w:rsidRDefault="00403EBD" w:rsidP="00E00F67">
            <w:pPr>
              <w:tabs>
                <w:tab w:val="left" w:pos="-720"/>
              </w:tabs>
              <w:suppressAutoHyphens/>
              <w:jc w:val="center"/>
              <w:rPr>
                <w:spacing w:val="-3"/>
                <w:sz w:val="22"/>
                <w:szCs w:val="22"/>
                <w:lang w:val="en-IE"/>
              </w:rPr>
            </w:pPr>
            <w:r w:rsidRPr="00E00F67">
              <w:rPr>
                <w:spacing w:val="-3"/>
                <w:sz w:val="22"/>
                <w:szCs w:val="22"/>
                <w:lang w:val="en-IE"/>
              </w:rPr>
              <w:t>1.0</w:t>
            </w:r>
          </w:p>
        </w:tc>
        <w:tc>
          <w:tcPr>
            <w:tcW w:w="3056" w:type="pct"/>
            <w:vAlign w:val="center"/>
          </w:tcPr>
          <w:p w14:paraId="285098B5" w14:textId="77777777" w:rsidR="00403EBD" w:rsidRPr="00E00F67" w:rsidRDefault="00E4250F" w:rsidP="00E00F67">
            <w:pPr>
              <w:tabs>
                <w:tab w:val="left" w:pos="-720"/>
              </w:tabs>
              <w:suppressAutoHyphens/>
              <w:rPr>
                <w:spacing w:val="-3"/>
                <w:sz w:val="22"/>
                <w:szCs w:val="22"/>
              </w:rPr>
            </w:pPr>
            <w:r w:rsidRPr="00E00F67">
              <w:rPr>
                <w:spacing w:val="-3"/>
                <w:sz w:val="22"/>
                <w:szCs w:val="22"/>
              </w:rPr>
              <w:t>spc_Selontra_IE_en_202007151256</w:t>
            </w:r>
          </w:p>
        </w:tc>
      </w:tr>
      <w:tr w:rsidR="00403EBD" w:rsidRPr="00190AB2" w14:paraId="773272FF" w14:textId="77777777" w:rsidTr="00E00F67">
        <w:trPr>
          <w:trHeight w:val="356"/>
        </w:trPr>
        <w:tc>
          <w:tcPr>
            <w:tcW w:w="727" w:type="pct"/>
            <w:vAlign w:val="center"/>
          </w:tcPr>
          <w:p w14:paraId="7504DE12" w14:textId="22A1A9FD" w:rsidR="00403EBD" w:rsidRPr="00E00F67" w:rsidRDefault="00E00F67" w:rsidP="00E00F67">
            <w:pPr>
              <w:tabs>
                <w:tab w:val="left" w:pos="-720"/>
              </w:tabs>
              <w:suppressAutoHyphens/>
              <w:jc w:val="center"/>
              <w:rPr>
                <w:spacing w:val="-3"/>
                <w:sz w:val="22"/>
                <w:szCs w:val="22"/>
                <w:lang w:val="en-IE"/>
              </w:rPr>
            </w:pPr>
            <w:r w:rsidRPr="00E00F67">
              <w:rPr>
                <w:spacing w:val="-3"/>
                <w:sz w:val="22"/>
                <w:szCs w:val="22"/>
                <w:lang w:val="en-IE"/>
              </w:rPr>
              <w:t>-</w:t>
            </w:r>
          </w:p>
        </w:tc>
        <w:tc>
          <w:tcPr>
            <w:tcW w:w="726" w:type="pct"/>
            <w:vAlign w:val="center"/>
          </w:tcPr>
          <w:p w14:paraId="56C85BAA" w14:textId="5E51D611" w:rsidR="00403EBD" w:rsidRPr="00E00F67" w:rsidRDefault="00E00F67" w:rsidP="00E00F67">
            <w:pPr>
              <w:tabs>
                <w:tab w:val="left" w:pos="-720"/>
              </w:tabs>
              <w:suppressAutoHyphens/>
              <w:jc w:val="center"/>
              <w:rPr>
                <w:spacing w:val="-3"/>
                <w:sz w:val="22"/>
                <w:szCs w:val="22"/>
                <w:lang w:val="en-IE"/>
              </w:rPr>
            </w:pPr>
            <w:r w:rsidRPr="00E00F67">
              <w:rPr>
                <w:spacing w:val="-3"/>
                <w:sz w:val="22"/>
                <w:szCs w:val="22"/>
                <w:lang w:val="en-IE"/>
              </w:rPr>
              <w:t>31/07/2023</w:t>
            </w:r>
          </w:p>
        </w:tc>
        <w:tc>
          <w:tcPr>
            <w:tcW w:w="491" w:type="pct"/>
            <w:vAlign w:val="center"/>
          </w:tcPr>
          <w:p w14:paraId="5F715DCD" w14:textId="46926D2E" w:rsidR="00403EBD" w:rsidRPr="00E00F67" w:rsidRDefault="00E00F67" w:rsidP="00E00F67">
            <w:pPr>
              <w:tabs>
                <w:tab w:val="left" w:pos="-720"/>
              </w:tabs>
              <w:suppressAutoHyphens/>
              <w:jc w:val="center"/>
              <w:rPr>
                <w:spacing w:val="-3"/>
                <w:sz w:val="22"/>
                <w:szCs w:val="22"/>
                <w:lang w:val="en-IE"/>
              </w:rPr>
            </w:pPr>
            <w:r w:rsidRPr="00E00F67">
              <w:rPr>
                <w:spacing w:val="-3"/>
                <w:sz w:val="22"/>
                <w:szCs w:val="22"/>
                <w:lang w:val="en-IE"/>
              </w:rPr>
              <w:t>1.1</w:t>
            </w:r>
          </w:p>
        </w:tc>
        <w:tc>
          <w:tcPr>
            <w:tcW w:w="3056" w:type="pct"/>
            <w:vAlign w:val="center"/>
          </w:tcPr>
          <w:p w14:paraId="1B286189" w14:textId="4D789A9B" w:rsidR="00403EBD" w:rsidRPr="00E00F67" w:rsidRDefault="00E00F67" w:rsidP="00E00F67">
            <w:pPr>
              <w:rPr>
                <w:spacing w:val="-3"/>
                <w:sz w:val="22"/>
                <w:szCs w:val="22"/>
              </w:rPr>
            </w:pPr>
            <w:r w:rsidRPr="00E00F67">
              <w:rPr>
                <w:spacing w:val="-3"/>
                <w:sz w:val="22"/>
                <w:szCs w:val="22"/>
              </w:rPr>
              <w:t>spc_Selontra_IE_en_202307181543</w:t>
            </w:r>
          </w:p>
        </w:tc>
      </w:tr>
    </w:tbl>
    <w:p w14:paraId="6572A39C" w14:textId="77777777" w:rsidR="00403EBD" w:rsidRPr="00190AB2" w:rsidRDefault="00403EBD">
      <w:pPr>
        <w:tabs>
          <w:tab w:val="left" w:pos="-720"/>
        </w:tabs>
        <w:suppressAutoHyphens/>
        <w:jc w:val="both"/>
        <w:rPr>
          <w:b/>
          <w:spacing w:val="-3"/>
          <w:lang w:val="en-IE"/>
        </w:rPr>
      </w:pPr>
    </w:p>
    <w:p w14:paraId="79FB84FD" w14:textId="77777777" w:rsidR="00403EBD" w:rsidRPr="00190AB2" w:rsidRDefault="00403EBD">
      <w:pPr>
        <w:tabs>
          <w:tab w:val="left" w:pos="-720"/>
        </w:tabs>
        <w:suppressAutoHyphens/>
        <w:jc w:val="both"/>
        <w:rPr>
          <w:b/>
          <w:spacing w:val="-3"/>
          <w:lang w:val="en-IE"/>
        </w:rPr>
      </w:pPr>
    </w:p>
    <w:p w14:paraId="4129DEA3" w14:textId="77777777" w:rsidR="004F6042" w:rsidRPr="00190AB2" w:rsidRDefault="009E1C38" w:rsidP="009E1C38">
      <w:pPr>
        <w:pStyle w:val="BodyText"/>
        <w:jc w:val="center"/>
        <w:rPr>
          <w:b/>
          <w:bCs/>
          <w:strike/>
          <w:lang w:val="en-IE"/>
        </w:rPr>
      </w:pPr>
      <w:r w:rsidRPr="00190AB2">
        <w:rPr>
          <w:b/>
          <w:bCs/>
          <w:strike/>
          <w:lang w:val="en-IE"/>
        </w:rPr>
        <w:t xml:space="preserve"> </w:t>
      </w:r>
    </w:p>
    <w:p w14:paraId="7E4EEF73" w14:textId="77777777" w:rsidR="00190AB2" w:rsidRPr="00190AB2" w:rsidRDefault="00190AB2">
      <w:pPr>
        <w:pStyle w:val="BodyText"/>
        <w:jc w:val="center"/>
        <w:rPr>
          <w:b/>
          <w:bCs/>
          <w:strike/>
          <w:lang w:val="en-IE"/>
        </w:rPr>
      </w:pPr>
    </w:p>
    <w:sectPr w:rsidR="00190AB2" w:rsidRPr="00190AB2" w:rsidSect="00223A3E">
      <w:headerReference w:type="even" r:id="rId11"/>
      <w:headerReference w:type="default" r:id="rId12"/>
      <w:headerReference w:type="first" r:id="rId13"/>
      <w:pgSz w:w="11909" w:h="16834"/>
      <w:pgMar w:top="1059" w:right="1440" w:bottom="567" w:left="1440" w:header="284" w:footer="77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24F0" w14:textId="77777777" w:rsidR="00C8487F" w:rsidRDefault="00C8487F">
      <w:r>
        <w:separator/>
      </w:r>
    </w:p>
  </w:endnote>
  <w:endnote w:type="continuationSeparator" w:id="0">
    <w:p w14:paraId="73E4C3A1" w14:textId="77777777" w:rsidR="00C8487F" w:rsidRDefault="00C8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C138" w14:textId="77777777" w:rsidR="00C8487F" w:rsidRDefault="00C8487F" w:rsidP="00664FB3">
    <w:pPr>
      <w:pStyle w:val="Footer"/>
      <w:tabs>
        <w:tab w:val="clear" w:pos="4153"/>
        <w:tab w:val="clear" w:pos="8306"/>
        <w:tab w:val="center" w:pos="4514"/>
        <w:tab w:val="right" w:pos="9029"/>
      </w:tabs>
    </w:pPr>
    <w:r w:rsidRPr="0099104B">
      <w:rPr>
        <w:spacing w:val="-3"/>
        <w:sz w:val="20"/>
        <w:lang w:val="en-GB"/>
      </w:rPr>
      <w:tab/>
    </w:r>
    <w:r w:rsidRPr="0099104B">
      <w:rPr>
        <w:sz w:val="20"/>
      </w:rPr>
      <w:t xml:space="preserve">Page </w:t>
    </w:r>
    <w:r w:rsidR="000969C8" w:rsidRPr="0099104B">
      <w:rPr>
        <w:sz w:val="20"/>
      </w:rPr>
      <w:fldChar w:fldCharType="begin"/>
    </w:r>
    <w:r w:rsidRPr="0099104B">
      <w:rPr>
        <w:sz w:val="20"/>
      </w:rPr>
      <w:instrText xml:space="preserve"> PAGE </w:instrText>
    </w:r>
    <w:r w:rsidR="000969C8" w:rsidRPr="0099104B">
      <w:rPr>
        <w:sz w:val="20"/>
      </w:rPr>
      <w:fldChar w:fldCharType="separate"/>
    </w:r>
    <w:r w:rsidR="00190AB2">
      <w:rPr>
        <w:noProof/>
        <w:sz w:val="20"/>
      </w:rPr>
      <w:t>7</w:t>
    </w:r>
    <w:r w:rsidR="000969C8" w:rsidRPr="0099104B">
      <w:rPr>
        <w:sz w:val="20"/>
      </w:rPr>
      <w:fldChar w:fldCharType="end"/>
    </w:r>
    <w:r w:rsidRPr="0099104B">
      <w:rPr>
        <w:sz w:val="20"/>
      </w:rPr>
      <w:t xml:space="preserve"> of </w:t>
    </w:r>
    <w:r w:rsidR="000969C8" w:rsidRPr="0099104B">
      <w:rPr>
        <w:sz w:val="20"/>
      </w:rPr>
      <w:fldChar w:fldCharType="begin"/>
    </w:r>
    <w:r w:rsidRPr="0099104B">
      <w:rPr>
        <w:sz w:val="20"/>
      </w:rPr>
      <w:instrText xml:space="preserve"> NUMPAGES  </w:instrText>
    </w:r>
    <w:r w:rsidR="000969C8" w:rsidRPr="0099104B">
      <w:rPr>
        <w:sz w:val="20"/>
      </w:rPr>
      <w:fldChar w:fldCharType="separate"/>
    </w:r>
    <w:r w:rsidR="00190AB2">
      <w:rPr>
        <w:noProof/>
        <w:sz w:val="20"/>
      </w:rPr>
      <w:t>7</w:t>
    </w:r>
    <w:r w:rsidR="000969C8" w:rsidRPr="0099104B">
      <w:rPr>
        <w:sz w:val="20"/>
      </w:rPr>
      <w:fldChar w:fldCharType="end"/>
    </w:r>
    <w:r>
      <w:rPr>
        <w:sz w:val="20"/>
      </w:rPr>
      <w:tab/>
    </w:r>
    <w:r w:rsidR="000969C8" w:rsidRPr="00AE0E15">
      <w:rPr>
        <w:sz w:val="20"/>
      </w:rPr>
      <w:fldChar w:fldCharType="begin"/>
    </w:r>
    <w:r w:rsidRPr="00AE0E15">
      <w:rPr>
        <w:sz w:val="20"/>
      </w:rPr>
      <w:instrText xml:space="preserve"> DATE \@ "d MMMM yyyy" </w:instrText>
    </w:r>
    <w:r w:rsidR="000969C8" w:rsidRPr="00AE0E15">
      <w:rPr>
        <w:sz w:val="20"/>
      </w:rPr>
      <w:fldChar w:fldCharType="separate"/>
    </w:r>
    <w:r w:rsidR="00E00F67">
      <w:rPr>
        <w:noProof/>
        <w:sz w:val="20"/>
      </w:rPr>
      <w:t>19 July 2023</w:t>
    </w:r>
    <w:r w:rsidR="000969C8" w:rsidRPr="00AE0E1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B075" w14:textId="77777777" w:rsidR="00C8487F" w:rsidRDefault="00C8487F">
      <w:r>
        <w:separator/>
      </w:r>
    </w:p>
  </w:footnote>
  <w:footnote w:type="continuationSeparator" w:id="0">
    <w:p w14:paraId="37997ECC" w14:textId="77777777" w:rsidR="00C8487F" w:rsidRDefault="00C84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07BD" w14:textId="77777777" w:rsidR="00C8487F" w:rsidRDefault="00C84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71CE" w14:textId="77777777" w:rsidR="00C8487F" w:rsidRDefault="00C8487F" w:rsidP="00A3687B">
    <w:pPr>
      <w:pStyle w:val="Footer"/>
      <w:tabs>
        <w:tab w:val="clear" w:pos="4153"/>
        <w:tab w:val="clear" w:pos="8306"/>
        <w:tab w:val="center" w:pos="4514"/>
        <w:tab w:val="right" w:pos="9029"/>
      </w:tabs>
      <w:jc w:val="right"/>
    </w:pPr>
    <w:r w:rsidRPr="0099104B">
      <w:rPr>
        <w:spacing w:val="-3"/>
        <w:sz w:val="20"/>
        <w:lang w:val="en-GB"/>
      </w:rPr>
      <w:t>Authorisation No.: IE/</w:t>
    </w:r>
    <w:r w:rsidRPr="002200F5">
      <w:rPr>
        <w:spacing w:val="-3"/>
        <w:sz w:val="20"/>
        <w:lang w:val="en-GB"/>
      </w:rPr>
      <w:t xml:space="preserve">BPA </w:t>
    </w:r>
    <w:r>
      <w:rPr>
        <w:szCs w:val="24"/>
        <w:lang w:val="en-IE"/>
      </w:rPr>
      <w:t>70751</w:t>
    </w:r>
  </w:p>
  <w:p w14:paraId="47DFBD82" w14:textId="77777777" w:rsidR="00C8487F" w:rsidRDefault="00C8487F">
    <w:pPr>
      <w:tabs>
        <w:tab w:val="center" w:pos="4513"/>
      </w:tabs>
      <w:suppressAutoHyphens/>
      <w:jc w:val="both"/>
      <w:rPr>
        <w:spacing w:val="-3"/>
        <w:lang w:val="en-GB"/>
      </w:rPr>
    </w:pPr>
    <w:r>
      <w:rPr>
        <w:spacing w:val="-3"/>
        <w:lang w:val="en-GB"/>
      </w:rPr>
      <w:tab/>
    </w:r>
  </w:p>
  <w:p w14:paraId="6D75FD9D" w14:textId="77777777" w:rsidR="00C8487F" w:rsidRDefault="00C84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19E1" w14:textId="77777777" w:rsidR="00C8487F" w:rsidRDefault="00C84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A14187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1167CB"/>
    <w:multiLevelType w:val="hybridMultilevel"/>
    <w:tmpl w:val="2ACE855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7BD1BF0"/>
    <w:multiLevelType w:val="hybridMultilevel"/>
    <w:tmpl w:val="E04A1A7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7A4F6C"/>
    <w:multiLevelType w:val="hybridMultilevel"/>
    <w:tmpl w:val="6DD4C6C4"/>
    <w:lvl w:ilvl="0" w:tplc="A76694B4">
      <w:start w:val="1"/>
      <w:numFmt w:val="decimal"/>
      <w:lvlText w:val="%1."/>
      <w:lvlJc w:val="left"/>
      <w:pPr>
        <w:ind w:left="360" w:hanging="360"/>
      </w:pPr>
      <w:rPr>
        <w:rFonts w:ascii="Times New Roman" w:hAnsi="Times New Roman" w:cs="Times New Roman" w:hint="default"/>
        <w:b w:val="0"/>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5B665D9"/>
    <w:multiLevelType w:val="hybridMultilevel"/>
    <w:tmpl w:val="1C100514"/>
    <w:lvl w:ilvl="0" w:tplc="AFFCE882">
      <w:start w:val="6"/>
      <w:numFmt w:val="decimal"/>
      <w:lvlText w:val="%1."/>
      <w:lvlJc w:val="left"/>
      <w:pPr>
        <w:tabs>
          <w:tab w:val="num" w:pos="1068"/>
        </w:tabs>
        <w:ind w:left="1068" w:hanging="708"/>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7ED5A5F"/>
    <w:multiLevelType w:val="hybridMultilevel"/>
    <w:tmpl w:val="65085A2C"/>
    <w:lvl w:ilvl="0" w:tplc="FF82A5C0">
      <w:start w:val="2"/>
      <w:numFmt w:val="bullet"/>
      <w:lvlText w:val="-"/>
      <w:lvlJc w:val="left"/>
      <w:pPr>
        <w:tabs>
          <w:tab w:val="num" w:pos="1440"/>
        </w:tabs>
        <w:ind w:left="1440" w:hanging="540"/>
      </w:pPr>
      <w:rPr>
        <w:rFonts w:ascii="Times New Roman" w:eastAsia="Times New Roman" w:hAnsi="Times New Roman" w:cs="Times New Roman"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53D1AC5"/>
    <w:multiLevelType w:val="hybridMultilevel"/>
    <w:tmpl w:val="D45EC908"/>
    <w:lvl w:ilvl="0" w:tplc="4D260FF0">
      <w:start w:val="2"/>
      <w:numFmt w:val="bullet"/>
      <w:lvlText w:val="-"/>
      <w:lvlJc w:val="left"/>
      <w:pPr>
        <w:tabs>
          <w:tab w:val="num" w:pos="1440"/>
        </w:tabs>
        <w:ind w:left="1440" w:hanging="540"/>
      </w:pPr>
      <w:rPr>
        <w:rFonts w:ascii="Times New Roman" w:eastAsia="Times New Roman" w:hAnsi="Times New Roman" w:cs="Times New Roman"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8C87CFD"/>
    <w:multiLevelType w:val="hybridMultilevel"/>
    <w:tmpl w:val="9A7022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C624D70"/>
    <w:multiLevelType w:val="singleLevel"/>
    <w:tmpl w:val="1EFE78B2"/>
    <w:lvl w:ilvl="0">
      <w:start w:val="5"/>
      <w:numFmt w:val="decimal"/>
      <w:lvlText w:val="%1."/>
      <w:legacy w:legacy="1" w:legacySpace="0" w:legacyIndent="720"/>
      <w:lvlJc w:val="left"/>
      <w:pPr>
        <w:ind w:left="720" w:hanging="720"/>
      </w:pPr>
    </w:lvl>
  </w:abstractNum>
  <w:abstractNum w:abstractNumId="9" w15:restartNumberingAfterBreak="0">
    <w:nsid w:val="3E557669"/>
    <w:multiLevelType w:val="hybridMultilevel"/>
    <w:tmpl w:val="BDD65E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E5745E0"/>
    <w:multiLevelType w:val="hybridMultilevel"/>
    <w:tmpl w:val="9468E694"/>
    <w:lvl w:ilvl="0" w:tplc="0409000F">
      <w:start w:val="6"/>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36378E9"/>
    <w:multiLevelType w:val="hybridMultilevel"/>
    <w:tmpl w:val="B42224A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AC5C95"/>
    <w:multiLevelType w:val="hybridMultilevel"/>
    <w:tmpl w:val="09B4883A"/>
    <w:lvl w:ilvl="0" w:tplc="A76694B4">
      <w:start w:val="1"/>
      <w:numFmt w:val="decimal"/>
      <w:lvlText w:val="%1."/>
      <w:lvlJc w:val="left"/>
      <w:pPr>
        <w:ind w:left="360" w:hanging="360"/>
      </w:pPr>
      <w:rPr>
        <w:rFonts w:ascii="Times New Roman" w:hAnsi="Times New Roman" w:cs="Times New Roman"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A241D53"/>
    <w:multiLevelType w:val="hybridMultilevel"/>
    <w:tmpl w:val="704EEEBC"/>
    <w:lvl w:ilvl="0" w:tplc="CDA2682A">
      <w:start w:val="5"/>
      <w:numFmt w:val="decimal"/>
      <w:lvlText w:val="%1."/>
      <w:lvlJc w:val="left"/>
      <w:pPr>
        <w:tabs>
          <w:tab w:val="num" w:pos="420"/>
        </w:tabs>
        <w:ind w:left="420" w:hanging="360"/>
      </w:pPr>
    </w:lvl>
    <w:lvl w:ilvl="1" w:tplc="9BDA9512">
      <w:start w:val="1"/>
      <w:numFmt w:val="lowerLetter"/>
      <w:lvlText w:val="%2)"/>
      <w:lvlJc w:val="left"/>
      <w:pPr>
        <w:tabs>
          <w:tab w:val="num" w:pos="1140"/>
        </w:tabs>
        <w:ind w:left="11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0465325"/>
    <w:multiLevelType w:val="hybridMultilevel"/>
    <w:tmpl w:val="16786C46"/>
    <w:lvl w:ilvl="0" w:tplc="55062DD2">
      <w:numFmt w:val="bullet"/>
      <w:lvlText w:val="-"/>
      <w:lvlJc w:val="left"/>
      <w:pPr>
        <w:tabs>
          <w:tab w:val="num" w:pos="1956"/>
        </w:tabs>
        <w:ind w:left="1956" w:hanging="360"/>
      </w:pPr>
      <w:rPr>
        <w:rFonts w:ascii="Times New Roman" w:eastAsia="Times New Roman" w:hAnsi="Times New Roman" w:cs="Times New Roman" w:hint="default"/>
      </w:rPr>
    </w:lvl>
    <w:lvl w:ilvl="1" w:tplc="04090003" w:tentative="1">
      <w:start w:val="1"/>
      <w:numFmt w:val="bullet"/>
      <w:lvlText w:val="o"/>
      <w:lvlJc w:val="left"/>
      <w:pPr>
        <w:tabs>
          <w:tab w:val="num" w:pos="2676"/>
        </w:tabs>
        <w:ind w:left="2676" w:hanging="360"/>
      </w:pPr>
      <w:rPr>
        <w:rFonts w:ascii="Courier New" w:hAnsi="Courier New" w:hint="default"/>
      </w:rPr>
    </w:lvl>
    <w:lvl w:ilvl="2" w:tplc="04090005" w:tentative="1">
      <w:start w:val="1"/>
      <w:numFmt w:val="bullet"/>
      <w:lvlText w:val=""/>
      <w:lvlJc w:val="left"/>
      <w:pPr>
        <w:tabs>
          <w:tab w:val="num" w:pos="3396"/>
        </w:tabs>
        <w:ind w:left="3396" w:hanging="360"/>
      </w:pPr>
      <w:rPr>
        <w:rFonts w:ascii="Wingdings" w:hAnsi="Wingdings" w:hint="default"/>
      </w:rPr>
    </w:lvl>
    <w:lvl w:ilvl="3" w:tplc="04090001" w:tentative="1">
      <w:start w:val="1"/>
      <w:numFmt w:val="bullet"/>
      <w:lvlText w:val=""/>
      <w:lvlJc w:val="left"/>
      <w:pPr>
        <w:tabs>
          <w:tab w:val="num" w:pos="4116"/>
        </w:tabs>
        <w:ind w:left="4116" w:hanging="360"/>
      </w:pPr>
      <w:rPr>
        <w:rFonts w:ascii="Symbol" w:hAnsi="Symbol" w:hint="default"/>
      </w:rPr>
    </w:lvl>
    <w:lvl w:ilvl="4" w:tplc="04090003" w:tentative="1">
      <w:start w:val="1"/>
      <w:numFmt w:val="bullet"/>
      <w:lvlText w:val="o"/>
      <w:lvlJc w:val="left"/>
      <w:pPr>
        <w:tabs>
          <w:tab w:val="num" w:pos="4836"/>
        </w:tabs>
        <w:ind w:left="4836" w:hanging="360"/>
      </w:pPr>
      <w:rPr>
        <w:rFonts w:ascii="Courier New" w:hAnsi="Courier New" w:hint="default"/>
      </w:rPr>
    </w:lvl>
    <w:lvl w:ilvl="5" w:tplc="04090005" w:tentative="1">
      <w:start w:val="1"/>
      <w:numFmt w:val="bullet"/>
      <w:lvlText w:val=""/>
      <w:lvlJc w:val="left"/>
      <w:pPr>
        <w:tabs>
          <w:tab w:val="num" w:pos="5556"/>
        </w:tabs>
        <w:ind w:left="5556" w:hanging="360"/>
      </w:pPr>
      <w:rPr>
        <w:rFonts w:ascii="Wingdings" w:hAnsi="Wingdings" w:hint="default"/>
      </w:rPr>
    </w:lvl>
    <w:lvl w:ilvl="6" w:tplc="04090001" w:tentative="1">
      <w:start w:val="1"/>
      <w:numFmt w:val="bullet"/>
      <w:lvlText w:val=""/>
      <w:lvlJc w:val="left"/>
      <w:pPr>
        <w:tabs>
          <w:tab w:val="num" w:pos="6276"/>
        </w:tabs>
        <w:ind w:left="6276" w:hanging="360"/>
      </w:pPr>
      <w:rPr>
        <w:rFonts w:ascii="Symbol" w:hAnsi="Symbol" w:hint="default"/>
      </w:rPr>
    </w:lvl>
    <w:lvl w:ilvl="7" w:tplc="04090003" w:tentative="1">
      <w:start w:val="1"/>
      <w:numFmt w:val="bullet"/>
      <w:lvlText w:val="o"/>
      <w:lvlJc w:val="left"/>
      <w:pPr>
        <w:tabs>
          <w:tab w:val="num" w:pos="6996"/>
        </w:tabs>
        <w:ind w:left="6996" w:hanging="360"/>
      </w:pPr>
      <w:rPr>
        <w:rFonts w:ascii="Courier New" w:hAnsi="Courier New" w:hint="default"/>
      </w:rPr>
    </w:lvl>
    <w:lvl w:ilvl="8" w:tplc="04090005" w:tentative="1">
      <w:start w:val="1"/>
      <w:numFmt w:val="bullet"/>
      <w:lvlText w:val=""/>
      <w:lvlJc w:val="left"/>
      <w:pPr>
        <w:tabs>
          <w:tab w:val="num" w:pos="7716"/>
        </w:tabs>
        <w:ind w:left="7716" w:hanging="360"/>
      </w:pPr>
      <w:rPr>
        <w:rFonts w:ascii="Wingdings" w:hAnsi="Wingdings" w:hint="default"/>
      </w:rPr>
    </w:lvl>
  </w:abstractNum>
  <w:abstractNum w:abstractNumId="15" w15:restartNumberingAfterBreak="0">
    <w:nsid w:val="56CE5E90"/>
    <w:multiLevelType w:val="hybridMultilevel"/>
    <w:tmpl w:val="E20ED922"/>
    <w:lvl w:ilvl="0" w:tplc="923ED63E">
      <w:start w:val="1"/>
      <w:numFmt w:val="lowerLetter"/>
      <w:lvlText w:val="%1)"/>
      <w:lvlJc w:val="left"/>
      <w:pPr>
        <w:tabs>
          <w:tab w:val="num" w:pos="1128"/>
        </w:tabs>
        <w:ind w:left="1128" w:hanging="360"/>
      </w:pPr>
    </w:lvl>
    <w:lvl w:ilvl="1" w:tplc="7C008BB6">
      <w:start w:val="1"/>
      <w:numFmt w:val="lowerLetter"/>
      <w:lvlText w:val="%2."/>
      <w:lvlJc w:val="left"/>
      <w:pPr>
        <w:tabs>
          <w:tab w:val="num" w:pos="1848"/>
        </w:tabs>
        <w:ind w:left="1848"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0D5E0C"/>
    <w:multiLevelType w:val="hybridMultilevel"/>
    <w:tmpl w:val="CCD8FE6A"/>
    <w:lvl w:ilvl="0" w:tplc="8422A1CE">
      <w:start w:val="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CB73018"/>
    <w:multiLevelType w:val="hybridMultilevel"/>
    <w:tmpl w:val="ADFADA7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38943E3"/>
    <w:multiLevelType w:val="hybridMultilevel"/>
    <w:tmpl w:val="300CBE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60112F4"/>
    <w:multiLevelType w:val="hybridMultilevel"/>
    <w:tmpl w:val="A9E8D2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BBD039C"/>
    <w:multiLevelType w:val="hybridMultilevel"/>
    <w:tmpl w:val="403EDD2A"/>
    <w:lvl w:ilvl="0" w:tplc="18090001">
      <w:start w:val="1"/>
      <w:numFmt w:val="bullet"/>
      <w:lvlText w:val=""/>
      <w:lvlJc w:val="left"/>
      <w:pPr>
        <w:ind w:left="784" w:hanging="360"/>
      </w:pPr>
      <w:rPr>
        <w:rFonts w:ascii="Symbol" w:hAnsi="Symbol" w:hint="default"/>
      </w:rPr>
    </w:lvl>
    <w:lvl w:ilvl="1" w:tplc="18090003" w:tentative="1">
      <w:start w:val="1"/>
      <w:numFmt w:val="bullet"/>
      <w:lvlText w:val="o"/>
      <w:lvlJc w:val="left"/>
      <w:pPr>
        <w:ind w:left="1504" w:hanging="360"/>
      </w:pPr>
      <w:rPr>
        <w:rFonts w:ascii="Courier New" w:hAnsi="Courier New" w:cs="Courier New" w:hint="default"/>
      </w:rPr>
    </w:lvl>
    <w:lvl w:ilvl="2" w:tplc="18090005" w:tentative="1">
      <w:start w:val="1"/>
      <w:numFmt w:val="bullet"/>
      <w:lvlText w:val=""/>
      <w:lvlJc w:val="left"/>
      <w:pPr>
        <w:ind w:left="2224" w:hanging="360"/>
      </w:pPr>
      <w:rPr>
        <w:rFonts w:ascii="Wingdings" w:hAnsi="Wingdings" w:hint="default"/>
      </w:rPr>
    </w:lvl>
    <w:lvl w:ilvl="3" w:tplc="18090001" w:tentative="1">
      <w:start w:val="1"/>
      <w:numFmt w:val="bullet"/>
      <w:lvlText w:val=""/>
      <w:lvlJc w:val="left"/>
      <w:pPr>
        <w:ind w:left="2944" w:hanging="360"/>
      </w:pPr>
      <w:rPr>
        <w:rFonts w:ascii="Symbol" w:hAnsi="Symbol" w:hint="default"/>
      </w:rPr>
    </w:lvl>
    <w:lvl w:ilvl="4" w:tplc="18090003" w:tentative="1">
      <w:start w:val="1"/>
      <w:numFmt w:val="bullet"/>
      <w:lvlText w:val="o"/>
      <w:lvlJc w:val="left"/>
      <w:pPr>
        <w:ind w:left="3664" w:hanging="360"/>
      </w:pPr>
      <w:rPr>
        <w:rFonts w:ascii="Courier New" w:hAnsi="Courier New" w:cs="Courier New" w:hint="default"/>
      </w:rPr>
    </w:lvl>
    <w:lvl w:ilvl="5" w:tplc="18090005" w:tentative="1">
      <w:start w:val="1"/>
      <w:numFmt w:val="bullet"/>
      <w:lvlText w:val=""/>
      <w:lvlJc w:val="left"/>
      <w:pPr>
        <w:ind w:left="4384" w:hanging="360"/>
      </w:pPr>
      <w:rPr>
        <w:rFonts w:ascii="Wingdings" w:hAnsi="Wingdings" w:hint="default"/>
      </w:rPr>
    </w:lvl>
    <w:lvl w:ilvl="6" w:tplc="18090001" w:tentative="1">
      <w:start w:val="1"/>
      <w:numFmt w:val="bullet"/>
      <w:lvlText w:val=""/>
      <w:lvlJc w:val="left"/>
      <w:pPr>
        <w:ind w:left="5104" w:hanging="360"/>
      </w:pPr>
      <w:rPr>
        <w:rFonts w:ascii="Symbol" w:hAnsi="Symbol" w:hint="default"/>
      </w:rPr>
    </w:lvl>
    <w:lvl w:ilvl="7" w:tplc="18090003" w:tentative="1">
      <w:start w:val="1"/>
      <w:numFmt w:val="bullet"/>
      <w:lvlText w:val="o"/>
      <w:lvlJc w:val="left"/>
      <w:pPr>
        <w:ind w:left="5824" w:hanging="360"/>
      </w:pPr>
      <w:rPr>
        <w:rFonts w:ascii="Courier New" w:hAnsi="Courier New" w:cs="Courier New" w:hint="default"/>
      </w:rPr>
    </w:lvl>
    <w:lvl w:ilvl="8" w:tplc="18090005" w:tentative="1">
      <w:start w:val="1"/>
      <w:numFmt w:val="bullet"/>
      <w:lvlText w:val=""/>
      <w:lvlJc w:val="left"/>
      <w:pPr>
        <w:ind w:left="6544" w:hanging="360"/>
      </w:pPr>
      <w:rPr>
        <w:rFonts w:ascii="Wingdings" w:hAnsi="Wingdings" w:hint="default"/>
      </w:rPr>
    </w:lvl>
  </w:abstractNum>
  <w:abstractNum w:abstractNumId="21" w15:restartNumberingAfterBreak="0">
    <w:nsid w:val="6DB63321"/>
    <w:multiLevelType w:val="hybridMultilevel"/>
    <w:tmpl w:val="B492CF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1BF0CF9"/>
    <w:multiLevelType w:val="hybridMultilevel"/>
    <w:tmpl w:val="DE0ADFE0"/>
    <w:lvl w:ilvl="0" w:tplc="5292FF6E">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5870A47"/>
    <w:multiLevelType w:val="hybridMultilevel"/>
    <w:tmpl w:val="D01EA1CA"/>
    <w:lvl w:ilvl="0" w:tplc="0CF8071A">
      <w:start w:val="5"/>
      <w:numFmt w:val="decimal"/>
      <w:lvlText w:val="%1."/>
      <w:lvlJc w:val="left"/>
      <w:pPr>
        <w:tabs>
          <w:tab w:val="num" w:pos="1068"/>
        </w:tabs>
        <w:ind w:left="1068" w:hanging="7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D413B4"/>
    <w:multiLevelType w:val="hybridMultilevel"/>
    <w:tmpl w:val="01624ACC"/>
    <w:lvl w:ilvl="0" w:tplc="91B0B40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3891939">
    <w:abstractNumId w:val="8"/>
  </w:num>
  <w:num w:numId="2" w16cid:durableId="845243232">
    <w:abstractNumId w:val="14"/>
  </w:num>
  <w:num w:numId="3" w16cid:durableId="1286354877">
    <w:abstractNumId w:val="0"/>
  </w:num>
  <w:num w:numId="4" w16cid:durableId="1590699723">
    <w:abstractNumId w:val="5"/>
  </w:num>
  <w:num w:numId="5" w16cid:durableId="1247498029">
    <w:abstractNumId w:val="6"/>
  </w:num>
  <w:num w:numId="6" w16cid:durableId="1922369828">
    <w:abstractNumId w:val="18"/>
  </w:num>
  <w:num w:numId="7" w16cid:durableId="94314922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91841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711399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612">
    <w:abstractNumId w:val="23"/>
  </w:num>
  <w:num w:numId="11" w16cid:durableId="897520604">
    <w:abstractNumId w:val="21"/>
  </w:num>
  <w:num w:numId="12" w16cid:durableId="587009946">
    <w:abstractNumId w:val="19"/>
  </w:num>
  <w:num w:numId="13" w16cid:durableId="184752883">
    <w:abstractNumId w:val="4"/>
  </w:num>
  <w:num w:numId="14" w16cid:durableId="728959565">
    <w:abstractNumId w:val="7"/>
  </w:num>
  <w:num w:numId="15" w16cid:durableId="1423605105">
    <w:abstractNumId w:val="1"/>
  </w:num>
  <w:num w:numId="16" w16cid:durableId="413861031">
    <w:abstractNumId w:val="22"/>
  </w:num>
  <w:num w:numId="17" w16cid:durableId="558825632">
    <w:abstractNumId w:val="12"/>
  </w:num>
  <w:num w:numId="18" w16cid:durableId="2126385206">
    <w:abstractNumId w:val="2"/>
  </w:num>
  <w:num w:numId="19" w16cid:durableId="158153765">
    <w:abstractNumId w:val="17"/>
  </w:num>
  <w:num w:numId="20" w16cid:durableId="527110925">
    <w:abstractNumId w:val="9"/>
  </w:num>
  <w:num w:numId="21" w16cid:durableId="135122519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3067978">
    <w:abstractNumId w:val="20"/>
  </w:num>
  <w:num w:numId="23" w16cid:durableId="1769079230">
    <w:abstractNumId w:val="16"/>
  </w:num>
  <w:num w:numId="24" w16cid:durableId="1497652043">
    <w:abstractNumId w:val="3"/>
  </w:num>
  <w:num w:numId="25" w16cid:durableId="1987006633">
    <w:abstractNumId w:val="11"/>
  </w:num>
  <w:num w:numId="26" w16cid:durableId="985721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0FC4"/>
    <w:rsid w:val="000023CE"/>
    <w:rsid w:val="00010788"/>
    <w:rsid w:val="00035DD6"/>
    <w:rsid w:val="00043F60"/>
    <w:rsid w:val="000442F9"/>
    <w:rsid w:val="00045F6B"/>
    <w:rsid w:val="000629F9"/>
    <w:rsid w:val="00062B1D"/>
    <w:rsid w:val="00063B98"/>
    <w:rsid w:val="0007365A"/>
    <w:rsid w:val="00077C19"/>
    <w:rsid w:val="000969C8"/>
    <w:rsid w:val="000A2F2F"/>
    <w:rsid w:val="000A7461"/>
    <w:rsid w:val="000C11CD"/>
    <w:rsid w:val="000D4838"/>
    <w:rsid w:val="000D71A1"/>
    <w:rsid w:val="000E0A60"/>
    <w:rsid w:val="000E4578"/>
    <w:rsid w:val="000E51DC"/>
    <w:rsid w:val="00107160"/>
    <w:rsid w:val="0012190C"/>
    <w:rsid w:val="00127E72"/>
    <w:rsid w:val="001310D2"/>
    <w:rsid w:val="00132DF5"/>
    <w:rsid w:val="001428A9"/>
    <w:rsid w:val="001479C9"/>
    <w:rsid w:val="001504AB"/>
    <w:rsid w:val="00156B1D"/>
    <w:rsid w:val="00161516"/>
    <w:rsid w:val="00175F1C"/>
    <w:rsid w:val="00185C83"/>
    <w:rsid w:val="00190AB2"/>
    <w:rsid w:val="00193F14"/>
    <w:rsid w:val="00195EBC"/>
    <w:rsid w:val="001A6FA6"/>
    <w:rsid w:val="001B011A"/>
    <w:rsid w:val="001C4FBC"/>
    <w:rsid w:val="001D7FED"/>
    <w:rsid w:val="001E1AE6"/>
    <w:rsid w:val="001F46C7"/>
    <w:rsid w:val="001F6E41"/>
    <w:rsid w:val="00202DA9"/>
    <w:rsid w:val="00203934"/>
    <w:rsid w:val="002121D9"/>
    <w:rsid w:val="002200F5"/>
    <w:rsid w:val="00222E31"/>
    <w:rsid w:val="00223A3E"/>
    <w:rsid w:val="00226201"/>
    <w:rsid w:val="00231D5C"/>
    <w:rsid w:val="00235227"/>
    <w:rsid w:val="00242B11"/>
    <w:rsid w:val="00245D43"/>
    <w:rsid w:val="00252042"/>
    <w:rsid w:val="00255D3E"/>
    <w:rsid w:val="00260EC2"/>
    <w:rsid w:val="00261D1D"/>
    <w:rsid w:val="00261D92"/>
    <w:rsid w:val="00262B5F"/>
    <w:rsid w:val="00264CE8"/>
    <w:rsid w:val="00266991"/>
    <w:rsid w:val="00272D0B"/>
    <w:rsid w:val="0027534E"/>
    <w:rsid w:val="002868BF"/>
    <w:rsid w:val="00295253"/>
    <w:rsid w:val="002957B3"/>
    <w:rsid w:val="002A4918"/>
    <w:rsid w:val="002B0A22"/>
    <w:rsid w:val="002C6757"/>
    <w:rsid w:val="002C7808"/>
    <w:rsid w:val="002D265C"/>
    <w:rsid w:val="002D4691"/>
    <w:rsid w:val="002D5298"/>
    <w:rsid w:val="002E6D99"/>
    <w:rsid w:val="002F214F"/>
    <w:rsid w:val="002F3882"/>
    <w:rsid w:val="002F39BE"/>
    <w:rsid w:val="002F5A54"/>
    <w:rsid w:val="00300FA2"/>
    <w:rsid w:val="003071FF"/>
    <w:rsid w:val="003103DB"/>
    <w:rsid w:val="00310859"/>
    <w:rsid w:val="00322825"/>
    <w:rsid w:val="00350BA5"/>
    <w:rsid w:val="00350CD9"/>
    <w:rsid w:val="00356F93"/>
    <w:rsid w:val="003661CA"/>
    <w:rsid w:val="00375D0C"/>
    <w:rsid w:val="0038413D"/>
    <w:rsid w:val="00393B96"/>
    <w:rsid w:val="00394574"/>
    <w:rsid w:val="003A0D79"/>
    <w:rsid w:val="003A2A70"/>
    <w:rsid w:val="003A6F5E"/>
    <w:rsid w:val="003B1750"/>
    <w:rsid w:val="003B1F6C"/>
    <w:rsid w:val="003B40DD"/>
    <w:rsid w:val="003B66A3"/>
    <w:rsid w:val="003C05DF"/>
    <w:rsid w:val="003C635D"/>
    <w:rsid w:val="003C6F39"/>
    <w:rsid w:val="003E191D"/>
    <w:rsid w:val="003E5FD4"/>
    <w:rsid w:val="003F20E9"/>
    <w:rsid w:val="003F487D"/>
    <w:rsid w:val="00403EBD"/>
    <w:rsid w:val="004117A9"/>
    <w:rsid w:val="00420855"/>
    <w:rsid w:val="004252E4"/>
    <w:rsid w:val="00436CE3"/>
    <w:rsid w:val="0044128E"/>
    <w:rsid w:val="00441662"/>
    <w:rsid w:val="00444CA4"/>
    <w:rsid w:val="0045484D"/>
    <w:rsid w:val="004576B8"/>
    <w:rsid w:val="00457AE6"/>
    <w:rsid w:val="00465E7F"/>
    <w:rsid w:val="004660CE"/>
    <w:rsid w:val="00467AC1"/>
    <w:rsid w:val="00475AFC"/>
    <w:rsid w:val="00485F4C"/>
    <w:rsid w:val="004A32A9"/>
    <w:rsid w:val="004A48BA"/>
    <w:rsid w:val="004B537C"/>
    <w:rsid w:val="004D15F5"/>
    <w:rsid w:val="004E0426"/>
    <w:rsid w:val="004E288F"/>
    <w:rsid w:val="004E7990"/>
    <w:rsid w:val="004E7EB3"/>
    <w:rsid w:val="004F2B87"/>
    <w:rsid w:val="004F5873"/>
    <w:rsid w:val="004F5C54"/>
    <w:rsid w:val="004F6042"/>
    <w:rsid w:val="004F6387"/>
    <w:rsid w:val="004F700D"/>
    <w:rsid w:val="00510887"/>
    <w:rsid w:val="005114C2"/>
    <w:rsid w:val="00513308"/>
    <w:rsid w:val="00514846"/>
    <w:rsid w:val="0053412B"/>
    <w:rsid w:val="00536031"/>
    <w:rsid w:val="005466B2"/>
    <w:rsid w:val="00546CC2"/>
    <w:rsid w:val="00546F9D"/>
    <w:rsid w:val="00553587"/>
    <w:rsid w:val="00571E53"/>
    <w:rsid w:val="005758E3"/>
    <w:rsid w:val="00576796"/>
    <w:rsid w:val="00576A5E"/>
    <w:rsid w:val="005850DC"/>
    <w:rsid w:val="00586911"/>
    <w:rsid w:val="00590E31"/>
    <w:rsid w:val="005B0DE3"/>
    <w:rsid w:val="005B5855"/>
    <w:rsid w:val="005B645C"/>
    <w:rsid w:val="005C2881"/>
    <w:rsid w:val="005C2B5D"/>
    <w:rsid w:val="005C5AE2"/>
    <w:rsid w:val="005C7702"/>
    <w:rsid w:val="005D0071"/>
    <w:rsid w:val="005D00E2"/>
    <w:rsid w:val="005D77BF"/>
    <w:rsid w:val="005F1AB4"/>
    <w:rsid w:val="005F1C88"/>
    <w:rsid w:val="00604880"/>
    <w:rsid w:val="00605A97"/>
    <w:rsid w:val="00616C75"/>
    <w:rsid w:val="00621ED9"/>
    <w:rsid w:val="00624199"/>
    <w:rsid w:val="00632141"/>
    <w:rsid w:val="00636F6C"/>
    <w:rsid w:val="00637A04"/>
    <w:rsid w:val="00641A3B"/>
    <w:rsid w:val="00644541"/>
    <w:rsid w:val="006445DF"/>
    <w:rsid w:val="00644716"/>
    <w:rsid w:val="00652217"/>
    <w:rsid w:val="00664FB3"/>
    <w:rsid w:val="006669E0"/>
    <w:rsid w:val="006802C7"/>
    <w:rsid w:val="00680E06"/>
    <w:rsid w:val="00682A5F"/>
    <w:rsid w:val="00694135"/>
    <w:rsid w:val="006957D9"/>
    <w:rsid w:val="006966D2"/>
    <w:rsid w:val="00696B5D"/>
    <w:rsid w:val="006A0DFC"/>
    <w:rsid w:val="006B591E"/>
    <w:rsid w:val="006C024C"/>
    <w:rsid w:val="006C26A1"/>
    <w:rsid w:val="006D09EB"/>
    <w:rsid w:val="006D151D"/>
    <w:rsid w:val="006D6945"/>
    <w:rsid w:val="006E0B23"/>
    <w:rsid w:val="006F201E"/>
    <w:rsid w:val="006F2873"/>
    <w:rsid w:val="00701213"/>
    <w:rsid w:val="00706F2F"/>
    <w:rsid w:val="00715E01"/>
    <w:rsid w:val="00717279"/>
    <w:rsid w:val="0072281A"/>
    <w:rsid w:val="00733839"/>
    <w:rsid w:val="00733A0A"/>
    <w:rsid w:val="0074066A"/>
    <w:rsid w:val="00747CE8"/>
    <w:rsid w:val="00750380"/>
    <w:rsid w:val="00751645"/>
    <w:rsid w:val="00763C9F"/>
    <w:rsid w:val="00770D65"/>
    <w:rsid w:val="0077172E"/>
    <w:rsid w:val="00772A6E"/>
    <w:rsid w:val="00783FF0"/>
    <w:rsid w:val="00784899"/>
    <w:rsid w:val="0078567E"/>
    <w:rsid w:val="0079459E"/>
    <w:rsid w:val="007A2310"/>
    <w:rsid w:val="007B2C99"/>
    <w:rsid w:val="007C1AB6"/>
    <w:rsid w:val="007C371C"/>
    <w:rsid w:val="007D5DEC"/>
    <w:rsid w:val="007D69BE"/>
    <w:rsid w:val="007D7059"/>
    <w:rsid w:val="007E0176"/>
    <w:rsid w:val="007E38A8"/>
    <w:rsid w:val="007E7413"/>
    <w:rsid w:val="00801514"/>
    <w:rsid w:val="0080346C"/>
    <w:rsid w:val="00805C61"/>
    <w:rsid w:val="00807CD9"/>
    <w:rsid w:val="008108EE"/>
    <w:rsid w:val="00810CDD"/>
    <w:rsid w:val="00816556"/>
    <w:rsid w:val="008234B6"/>
    <w:rsid w:val="00825E48"/>
    <w:rsid w:val="00827869"/>
    <w:rsid w:val="00834C4B"/>
    <w:rsid w:val="008443C7"/>
    <w:rsid w:val="008552EC"/>
    <w:rsid w:val="00857498"/>
    <w:rsid w:val="008600B9"/>
    <w:rsid w:val="00860F82"/>
    <w:rsid w:val="00862D71"/>
    <w:rsid w:val="00873DD1"/>
    <w:rsid w:val="008900B2"/>
    <w:rsid w:val="00891A5D"/>
    <w:rsid w:val="00893DDD"/>
    <w:rsid w:val="00896C05"/>
    <w:rsid w:val="008A0B10"/>
    <w:rsid w:val="008A0BBA"/>
    <w:rsid w:val="008A42DB"/>
    <w:rsid w:val="008A53C9"/>
    <w:rsid w:val="008B467E"/>
    <w:rsid w:val="008B6710"/>
    <w:rsid w:val="008C1786"/>
    <w:rsid w:val="008D5C02"/>
    <w:rsid w:val="008F01AB"/>
    <w:rsid w:val="008F6494"/>
    <w:rsid w:val="00903D15"/>
    <w:rsid w:val="00905C6C"/>
    <w:rsid w:val="009203C6"/>
    <w:rsid w:val="00920822"/>
    <w:rsid w:val="009231A8"/>
    <w:rsid w:val="009337AA"/>
    <w:rsid w:val="00945D15"/>
    <w:rsid w:val="0096212E"/>
    <w:rsid w:val="00964AEE"/>
    <w:rsid w:val="009707A3"/>
    <w:rsid w:val="009750FC"/>
    <w:rsid w:val="009756B8"/>
    <w:rsid w:val="00975AD6"/>
    <w:rsid w:val="00977CD8"/>
    <w:rsid w:val="00983225"/>
    <w:rsid w:val="0099104B"/>
    <w:rsid w:val="00993944"/>
    <w:rsid w:val="00997B44"/>
    <w:rsid w:val="009A1F91"/>
    <w:rsid w:val="009B75AE"/>
    <w:rsid w:val="009C3F8F"/>
    <w:rsid w:val="009C5869"/>
    <w:rsid w:val="009D2C49"/>
    <w:rsid w:val="009D5302"/>
    <w:rsid w:val="009D5533"/>
    <w:rsid w:val="009E1C38"/>
    <w:rsid w:val="009F0088"/>
    <w:rsid w:val="009F5A17"/>
    <w:rsid w:val="00A02627"/>
    <w:rsid w:val="00A15D11"/>
    <w:rsid w:val="00A1677C"/>
    <w:rsid w:val="00A2118F"/>
    <w:rsid w:val="00A31C7C"/>
    <w:rsid w:val="00A3687B"/>
    <w:rsid w:val="00A3766A"/>
    <w:rsid w:val="00A46F00"/>
    <w:rsid w:val="00A50214"/>
    <w:rsid w:val="00A52B62"/>
    <w:rsid w:val="00A54FC8"/>
    <w:rsid w:val="00A6685E"/>
    <w:rsid w:val="00A723CA"/>
    <w:rsid w:val="00A728D9"/>
    <w:rsid w:val="00A7471F"/>
    <w:rsid w:val="00A81C5B"/>
    <w:rsid w:val="00A81E47"/>
    <w:rsid w:val="00A84E33"/>
    <w:rsid w:val="00A93CE4"/>
    <w:rsid w:val="00A96349"/>
    <w:rsid w:val="00AA2228"/>
    <w:rsid w:val="00AB0E81"/>
    <w:rsid w:val="00AC1587"/>
    <w:rsid w:val="00AD0583"/>
    <w:rsid w:val="00AD3891"/>
    <w:rsid w:val="00AD420B"/>
    <w:rsid w:val="00AD5179"/>
    <w:rsid w:val="00AD6F78"/>
    <w:rsid w:val="00AE0E15"/>
    <w:rsid w:val="00AE75F4"/>
    <w:rsid w:val="00B07D96"/>
    <w:rsid w:val="00B112B9"/>
    <w:rsid w:val="00B13910"/>
    <w:rsid w:val="00B162D4"/>
    <w:rsid w:val="00B20B10"/>
    <w:rsid w:val="00B23D5E"/>
    <w:rsid w:val="00B2487F"/>
    <w:rsid w:val="00B26BF0"/>
    <w:rsid w:val="00B30662"/>
    <w:rsid w:val="00B42BCE"/>
    <w:rsid w:val="00B42E74"/>
    <w:rsid w:val="00B47885"/>
    <w:rsid w:val="00B509AD"/>
    <w:rsid w:val="00B51D5B"/>
    <w:rsid w:val="00B5407E"/>
    <w:rsid w:val="00B636D1"/>
    <w:rsid w:val="00B6498C"/>
    <w:rsid w:val="00B80AF2"/>
    <w:rsid w:val="00B87481"/>
    <w:rsid w:val="00B923DB"/>
    <w:rsid w:val="00B924D7"/>
    <w:rsid w:val="00B95C0F"/>
    <w:rsid w:val="00BA5E91"/>
    <w:rsid w:val="00BB04E7"/>
    <w:rsid w:val="00BB4AA0"/>
    <w:rsid w:val="00BB506D"/>
    <w:rsid w:val="00BB5738"/>
    <w:rsid w:val="00BC7199"/>
    <w:rsid w:val="00BD44F1"/>
    <w:rsid w:val="00BD520F"/>
    <w:rsid w:val="00BD5467"/>
    <w:rsid w:val="00BD639C"/>
    <w:rsid w:val="00BD66DB"/>
    <w:rsid w:val="00BE512D"/>
    <w:rsid w:val="00BF7C82"/>
    <w:rsid w:val="00C0037B"/>
    <w:rsid w:val="00C20338"/>
    <w:rsid w:val="00C230BB"/>
    <w:rsid w:val="00C25349"/>
    <w:rsid w:val="00C25BE5"/>
    <w:rsid w:val="00C30758"/>
    <w:rsid w:val="00C34EE9"/>
    <w:rsid w:val="00C431FC"/>
    <w:rsid w:val="00C57C43"/>
    <w:rsid w:val="00C635C2"/>
    <w:rsid w:val="00C720E5"/>
    <w:rsid w:val="00C8410E"/>
    <w:rsid w:val="00C8487F"/>
    <w:rsid w:val="00C860A9"/>
    <w:rsid w:val="00C94C60"/>
    <w:rsid w:val="00C9570B"/>
    <w:rsid w:val="00CA1A3C"/>
    <w:rsid w:val="00CA55D9"/>
    <w:rsid w:val="00CB19E4"/>
    <w:rsid w:val="00CC2865"/>
    <w:rsid w:val="00CD4089"/>
    <w:rsid w:val="00CE226E"/>
    <w:rsid w:val="00CE297D"/>
    <w:rsid w:val="00CF02B4"/>
    <w:rsid w:val="00CF6012"/>
    <w:rsid w:val="00CF742F"/>
    <w:rsid w:val="00D04295"/>
    <w:rsid w:val="00D05EDC"/>
    <w:rsid w:val="00D1309B"/>
    <w:rsid w:val="00D22DFE"/>
    <w:rsid w:val="00D26951"/>
    <w:rsid w:val="00D27972"/>
    <w:rsid w:val="00D30FF3"/>
    <w:rsid w:val="00D35B56"/>
    <w:rsid w:val="00D37310"/>
    <w:rsid w:val="00D4001F"/>
    <w:rsid w:val="00D579EB"/>
    <w:rsid w:val="00D7457E"/>
    <w:rsid w:val="00D747F2"/>
    <w:rsid w:val="00D76D1A"/>
    <w:rsid w:val="00D93BD6"/>
    <w:rsid w:val="00D94C8C"/>
    <w:rsid w:val="00DA2BA0"/>
    <w:rsid w:val="00DB32D0"/>
    <w:rsid w:val="00DC0978"/>
    <w:rsid w:val="00DC1974"/>
    <w:rsid w:val="00DC24E8"/>
    <w:rsid w:val="00DC299A"/>
    <w:rsid w:val="00DC6C11"/>
    <w:rsid w:val="00DD057F"/>
    <w:rsid w:val="00DD4423"/>
    <w:rsid w:val="00DD50BE"/>
    <w:rsid w:val="00DD5A01"/>
    <w:rsid w:val="00DD7464"/>
    <w:rsid w:val="00DE550A"/>
    <w:rsid w:val="00DE5FDE"/>
    <w:rsid w:val="00DE6441"/>
    <w:rsid w:val="00DE6F58"/>
    <w:rsid w:val="00DF253E"/>
    <w:rsid w:val="00DF4047"/>
    <w:rsid w:val="00DF5FCD"/>
    <w:rsid w:val="00DF7886"/>
    <w:rsid w:val="00E00F67"/>
    <w:rsid w:val="00E1009D"/>
    <w:rsid w:val="00E133A9"/>
    <w:rsid w:val="00E16CCD"/>
    <w:rsid w:val="00E30DF0"/>
    <w:rsid w:val="00E32424"/>
    <w:rsid w:val="00E356EB"/>
    <w:rsid w:val="00E36ED3"/>
    <w:rsid w:val="00E4250F"/>
    <w:rsid w:val="00E437E1"/>
    <w:rsid w:val="00E60F9E"/>
    <w:rsid w:val="00E63ACB"/>
    <w:rsid w:val="00E70341"/>
    <w:rsid w:val="00E703F1"/>
    <w:rsid w:val="00E70DF0"/>
    <w:rsid w:val="00E72244"/>
    <w:rsid w:val="00E738DC"/>
    <w:rsid w:val="00E748A1"/>
    <w:rsid w:val="00E81BB8"/>
    <w:rsid w:val="00E83CBF"/>
    <w:rsid w:val="00E8410E"/>
    <w:rsid w:val="00E86819"/>
    <w:rsid w:val="00E876D6"/>
    <w:rsid w:val="00E94164"/>
    <w:rsid w:val="00EA192A"/>
    <w:rsid w:val="00EA2223"/>
    <w:rsid w:val="00EA4C60"/>
    <w:rsid w:val="00EB09E8"/>
    <w:rsid w:val="00EB29D1"/>
    <w:rsid w:val="00EB6E91"/>
    <w:rsid w:val="00EC1191"/>
    <w:rsid w:val="00EC1517"/>
    <w:rsid w:val="00ED21B7"/>
    <w:rsid w:val="00ED6064"/>
    <w:rsid w:val="00ED685A"/>
    <w:rsid w:val="00ED6C6B"/>
    <w:rsid w:val="00ED790F"/>
    <w:rsid w:val="00EE021A"/>
    <w:rsid w:val="00EE0AA1"/>
    <w:rsid w:val="00EE550E"/>
    <w:rsid w:val="00EE768B"/>
    <w:rsid w:val="00EF271B"/>
    <w:rsid w:val="00EF4202"/>
    <w:rsid w:val="00EF6D4B"/>
    <w:rsid w:val="00F00EFC"/>
    <w:rsid w:val="00F02A0C"/>
    <w:rsid w:val="00F030D1"/>
    <w:rsid w:val="00F07CEE"/>
    <w:rsid w:val="00F101D0"/>
    <w:rsid w:val="00F12592"/>
    <w:rsid w:val="00F13D83"/>
    <w:rsid w:val="00F338AA"/>
    <w:rsid w:val="00F43764"/>
    <w:rsid w:val="00F43E51"/>
    <w:rsid w:val="00F46CCC"/>
    <w:rsid w:val="00F57D50"/>
    <w:rsid w:val="00F60091"/>
    <w:rsid w:val="00F720AC"/>
    <w:rsid w:val="00F73F59"/>
    <w:rsid w:val="00F76456"/>
    <w:rsid w:val="00F84132"/>
    <w:rsid w:val="00F90FC4"/>
    <w:rsid w:val="00FA0097"/>
    <w:rsid w:val="00FA22B8"/>
    <w:rsid w:val="00FA2E7D"/>
    <w:rsid w:val="00FA4CC9"/>
    <w:rsid w:val="00FA63D3"/>
    <w:rsid w:val="00FB483B"/>
    <w:rsid w:val="00FC2A88"/>
    <w:rsid w:val="00FC3842"/>
    <w:rsid w:val="00FC66AE"/>
    <w:rsid w:val="00FC6BD5"/>
    <w:rsid w:val="00FD0F68"/>
    <w:rsid w:val="00FD1A36"/>
    <w:rsid w:val="00FE7B40"/>
    <w:rsid w:val="00FF280E"/>
    <w:rsid w:val="00FF3411"/>
    <w:rsid w:val="00FF3988"/>
    <w:rsid w:val="00FF5A0D"/>
    <w:rsid w:val="00FF5BCF"/>
    <w:rsid w:val="00FF71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1F26FA"/>
  <w15:docId w15:val="{D07D54E5-A405-4BF0-A4AB-DF58D4CA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702"/>
    <w:rPr>
      <w:sz w:val="24"/>
      <w:lang w:val="en-US" w:eastAsia="en-US"/>
    </w:rPr>
  </w:style>
  <w:style w:type="paragraph" w:styleId="Heading1">
    <w:name w:val="heading 1"/>
    <w:basedOn w:val="Normal"/>
    <w:next w:val="Normal"/>
    <w:qFormat/>
    <w:rsid w:val="00223A3E"/>
    <w:pPr>
      <w:keepNext/>
      <w:tabs>
        <w:tab w:val="left" w:pos="0"/>
      </w:tabs>
      <w:suppressAutoHyphens/>
      <w:jc w:val="both"/>
      <w:outlineLvl w:val="0"/>
    </w:pPr>
    <w:rPr>
      <w:b/>
      <w:spacing w:val="-3"/>
      <w:lang w:val="en-GB"/>
    </w:rPr>
  </w:style>
  <w:style w:type="paragraph" w:styleId="Heading2">
    <w:name w:val="heading 2"/>
    <w:basedOn w:val="Normal"/>
    <w:next w:val="Normal"/>
    <w:qFormat/>
    <w:rsid w:val="00223A3E"/>
    <w:pPr>
      <w:keepNext/>
      <w:tabs>
        <w:tab w:val="left" w:pos="-720"/>
        <w:tab w:val="left" w:pos="0"/>
        <w:tab w:val="left" w:pos="720"/>
        <w:tab w:val="left" w:pos="1440"/>
        <w:tab w:val="left" w:pos="2160"/>
        <w:tab w:val="left" w:pos="3600"/>
        <w:tab w:val="left" w:pos="4320"/>
        <w:tab w:val="left" w:pos="5040"/>
      </w:tabs>
      <w:suppressAutoHyphens/>
      <w:outlineLvl w:val="1"/>
    </w:pPr>
    <w:rPr>
      <w:b/>
      <w:spacing w:val="-3"/>
      <w:sz w:val="22"/>
      <w:lang w:val="en-GB"/>
    </w:rPr>
  </w:style>
  <w:style w:type="paragraph" w:styleId="Heading3">
    <w:name w:val="heading 3"/>
    <w:basedOn w:val="Normal"/>
    <w:next w:val="Normal"/>
    <w:qFormat/>
    <w:rsid w:val="00223A3E"/>
    <w:pPr>
      <w:keepNext/>
      <w:tabs>
        <w:tab w:val="left" w:pos="0"/>
        <w:tab w:val="left" w:pos="720"/>
      </w:tabs>
      <w:suppressAutoHyphens/>
      <w:outlineLvl w:val="2"/>
    </w:pPr>
    <w:rPr>
      <w:b/>
      <w:sz w:val="20"/>
      <w:szCs w:val="24"/>
      <w:lang w:val="en-IE"/>
    </w:rPr>
  </w:style>
  <w:style w:type="paragraph" w:styleId="Heading4">
    <w:name w:val="heading 4"/>
    <w:basedOn w:val="Normal"/>
    <w:next w:val="Normal"/>
    <w:qFormat/>
    <w:rsid w:val="00223A3E"/>
    <w:pPr>
      <w:keepNext/>
      <w:tabs>
        <w:tab w:val="left" w:pos="0"/>
        <w:tab w:val="left" w:pos="720"/>
      </w:tabs>
      <w:suppressAutoHyphens/>
      <w:outlineLvl w:val="3"/>
    </w:pPr>
    <w:rPr>
      <w:b/>
      <w:szCs w:val="24"/>
      <w:lang w:val="en-IE"/>
    </w:rPr>
  </w:style>
  <w:style w:type="paragraph" w:styleId="Heading5">
    <w:name w:val="heading 5"/>
    <w:basedOn w:val="Normal"/>
    <w:next w:val="Normal"/>
    <w:qFormat/>
    <w:rsid w:val="00223A3E"/>
    <w:pPr>
      <w:keepNext/>
      <w:tabs>
        <w:tab w:val="left" w:pos="0"/>
        <w:tab w:val="left" w:pos="720"/>
      </w:tabs>
      <w:suppressAutoHyphens/>
      <w:jc w:val="center"/>
      <w:outlineLvl w:val="4"/>
    </w:pPr>
    <w:rPr>
      <w:b/>
      <w:bCs/>
      <w:color w:val="FF0000"/>
      <w:spacing w:val="-3"/>
      <w:lang w:val="en-IE"/>
    </w:rPr>
  </w:style>
  <w:style w:type="paragraph" w:styleId="Heading9">
    <w:name w:val="heading 9"/>
    <w:basedOn w:val="Normal"/>
    <w:next w:val="Normal"/>
    <w:qFormat/>
    <w:rsid w:val="00223A3E"/>
    <w:pPr>
      <w:keepNext/>
      <w:tabs>
        <w:tab w:val="left" w:pos="0"/>
        <w:tab w:val="left" w:pos="720"/>
      </w:tabs>
      <w:suppressAutoHyphens/>
      <w:spacing w:line="360" w:lineRule="auto"/>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23A3E"/>
    <w:pPr>
      <w:tabs>
        <w:tab w:val="left" w:pos="-720"/>
      </w:tabs>
      <w:suppressAutoHyphens/>
      <w:jc w:val="both"/>
    </w:pPr>
    <w:rPr>
      <w:spacing w:val="-3"/>
      <w:lang w:val="en-GB"/>
    </w:rPr>
  </w:style>
  <w:style w:type="paragraph" w:styleId="BodyTextIndent">
    <w:name w:val="Body Text Indent"/>
    <w:basedOn w:val="Normal"/>
    <w:semiHidden/>
    <w:rsid w:val="00223A3E"/>
    <w:pPr>
      <w:tabs>
        <w:tab w:val="left" w:pos="-720"/>
        <w:tab w:val="left" w:pos="709"/>
        <w:tab w:val="left" w:pos="1418"/>
      </w:tabs>
      <w:suppressAutoHyphens/>
      <w:ind w:left="2127" w:hanging="2127"/>
      <w:jc w:val="both"/>
    </w:pPr>
    <w:rPr>
      <w:b/>
      <w:spacing w:val="-3"/>
      <w:lang w:val="en-GB"/>
    </w:rPr>
  </w:style>
  <w:style w:type="paragraph" w:styleId="BodyTextIndent2">
    <w:name w:val="Body Text Indent 2"/>
    <w:basedOn w:val="Normal"/>
    <w:semiHidden/>
    <w:rsid w:val="00223A3E"/>
    <w:pPr>
      <w:tabs>
        <w:tab w:val="left" w:pos="0"/>
        <w:tab w:val="left" w:pos="720"/>
      </w:tabs>
      <w:suppressAutoHyphens/>
      <w:ind w:left="1440" w:hanging="22"/>
      <w:jc w:val="both"/>
    </w:pPr>
    <w:rPr>
      <w:spacing w:val="-3"/>
      <w:lang w:val="en-GB"/>
    </w:rPr>
  </w:style>
  <w:style w:type="paragraph" w:styleId="Header">
    <w:name w:val="header"/>
    <w:basedOn w:val="Normal"/>
    <w:semiHidden/>
    <w:rsid w:val="00223A3E"/>
    <w:pPr>
      <w:tabs>
        <w:tab w:val="center" w:pos="4153"/>
        <w:tab w:val="right" w:pos="8306"/>
      </w:tabs>
    </w:pPr>
  </w:style>
  <w:style w:type="paragraph" w:styleId="Footer">
    <w:name w:val="footer"/>
    <w:basedOn w:val="Normal"/>
    <w:semiHidden/>
    <w:rsid w:val="00223A3E"/>
    <w:pPr>
      <w:tabs>
        <w:tab w:val="center" w:pos="4153"/>
        <w:tab w:val="right" w:pos="8306"/>
      </w:tabs>
    </w:pPr>
  </w:style>
  <w:style w:type="paragraph" w:styleId="BodyTextIndent3">
    <w:name w:val="Body Text Indent 3"/>
    <w:basedOn w:val="Normal"/>
    <w:semiHidden/>
    <w:rsid w:val="00223A3E"/>
    <w:pPr>
      <w:tabs>
        <w:tab w:val="left" w:pos="-720"/>
      </w:tabs>
      <w:suppressAutoHyphens/>
      <w:ind w:left="709" w:hanging="709"/>
      <w:jc w:val="both"/>
    </w:pPr>
    <w:rPr>
      <w:spacing w:val="-3"/>
      <w:lang w:val="en-GB"/>
    </w:rPr>
  </w:style>
  <w:style w:type="paragraph" w:styleId="BodyText2">
    <w:name w:val="Body Text 2"/>
    <w:basedOn w:val="Normal"/>
    <w:semiHidden/>
    <w:rsid w:val="00223A3E"/>
    <w:pPr>
      <w:tabs>
        <w:tab w:val="left" w:pos="0"/>
        <w:tab w:val="left" w:pos="720"/>
      </w:tabs>
      <w:suppressAutoHyphens/>
    </w:pPr>
    <w:rPr>
      <w:b/>
      <w:bCs/>
      <w:spacing w:val="-3"/>
      <w:lang w:val="en-GB"/>
    </w:rPr>
  </w:style>
  <w:style w:type="paragraph" w:styleId="FootnoteText">
    <w:name w:val="footnote text"/>
    <w:basedOn w:val="Normal"/>
    <w:uiPriority w:val="99"/>
    <w:semiHidden/>
    <w:rsid w:val="00223A3E"/>
    <w:rPr>
      <w:rFonts w:eastAsia="Calibri"/>
      <w:sz w:val="20"/>
      <w:lang w:val="sv-SE" w:eastAsia="sv-SE"/>
    </w:rPr>
  </w:style>
  <w:style w:type="character" w:customStyle="1" w:styleId="FootnoteTextChar">
    <w:name w:val="Footnote Text Char"/>
    <w:uiPriority w:val="99"/>
    <w:rsid w:val="00223A3E"/>
    <w:rPr>
      <w:rFonts w:eastAsia="Calibri"/>
      <w:lang w:val="sv-SE" w:eastAsia="sv-SE"/>
    </w:rPr>
  </w:style>
  <w:style w:type="character" w:customStyle="1" w:styleId="FooterChar">
    <w:name w:val="Footer Char"/>
    <w:rsid w:val="00223A3E"/>
    <w:rPr>
      <w:sz w:val="24"/>
      <w:lang w:val="en-US" w:eastAsia="en-US"/>
    </w:rPr>
  </w:style>
  <w:style w:type="paragraph" w:styleId="ListParagraph">
    <w:name w:val="List Paragraph"/>
    <w:basedOn w:val="Normal"/>
    <w:uiPriority w:val="34"/>
    <w:qFormat/>
    <w:rsid w:val="00223A3E"/>
    <w:pPr>
      <w:spacing w:after="200" w:line="276" w:lineRule="auto"/>
      <w:ind w:left="720"/>
      <w:contextualSpacing/>
    </w:pPr>
    <w:rPr>
      <w:rFonts w:ascii="Calibri" w:eastAsia="Calibri" w:hAnsi="Calibri"/>
      <w:sz w:val="22"/>
      <w:szCs w:val="22"/>
      <w:lang w:val="en-IE"/>
    </w:rPr>
  </w:style>
  <w:style w:type="paragraph" w:customStyle="1" w:styleId="Standard-italics">
    <w:name w:val="Standard-italics"/>
    <w:basedOn w:val="Normal"/>
    <w:uiPriority w:val="99"/>
    <w:rsid w:val="00223A3E"/>
    <w:pPr>
      <w:keepNext/>
      <w:spacing w:before="60" w:after="60"/>
    </w:pPr>
    <w:rPr>
      <w:i/>
      <w:sz w:val="20"/>
      <w:lang w:val="de-DE"/>
    </w:rPr>
  </w:style>
  <w:style w:type="paragraph" w:styleId="BalloonText">
    <w:name w:val="Balloon Text"/>
    <w:basedOn w:val="Normal"/>
    <w:semiHidden/>
    <w:unhideWhenUsed/>
    <w:rsid w:val="00223A3E"/>
    <w:rPr>
      <w:rFonts w:ascii="Tahoma" w:hAnsi="Tahoma" w:cs="Tahoma"/>
      <w:sz w:val="16"/>
      <w:szCs w:val="16"/>
    </w:rPr>
  </w:style>
  <w:style w:type="character" w:customStyle="1" w:styleId="BalloonTextChar">
    <w:name w:val="Balloon Text Char"/>
    <w:semiHidden/>
    <w:rsid w:val="00223A3E"/>
    <w:rPr>
      <w:rFonts w:ascii="Tahoma" w:hAnsi="Tahoma" w:cs="Tahoma"/>
      <w:sz w:val="16"/>
      <w:szCs w:val="16"/>
      <w:lang w:val="en-US" w:eastAsia="en-US"/>
    </w:rPr>
  </w:style>
  <w:style w:type="paragraph" w:customStyle="1" w:styleId="Standard-fett">
    <w:name w:val="Standard-fett"/>
    <w:basedOn w:val="Normal"/>
    <w:rsid w:val="00FF5A0D"/>
    <w:pPr>
      <w:spacing w:before="60" w:after="60"/>
    </w:pPr>
    <w:rPr>
      <w:b/>
      <w:bCs/>
      <w:sz w:val="20"/>
      <w:lang w:val="de-DE"/>
    </w:rPr>
  </w:style>
  <w:style w:type="paragraph" w:customStyle="1" w:styleId="Default">
    <w:name w:val="Default"/>
    <w:rsid w:val="00DB32D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260E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231D5C"/>
    <w:rPr>
      <w:sz w:val="16"/>
      <w:szCs w:val="16"/>
    </w:rPr>
  </w:style>
  <w:style w:type="paragraph" w:styleId="CommentText">
    <w:name w:val="annotation text"/>
    <w:basedOn w:val="Normal"/>
    <w:link w:val="CommentTextChar"/>
    <w:uiPriority w:val="99"/>
    <w:semiHidden/>
    <w:unhideWhenUsed/>
    <w:rsid w:val="00231D5C"/>
    <w:rPr>
      <w:sz w:val="20"/>
    </w:rPr>
  </w:style>
  <w:style w:type="character" w:customStyle="1" w:styleId="CommentTextChar">
    <w:name w:val="Comment Text Char"/>
    <w:link w:val="CommentText"/>
    <w:uiPriority w:val="99"/>
    <w:semiHidden/>
    <w:rsid w:val="00231D5C"/>
    <w:rPr>
      <w:lang w:val="en-US" w:eastAsia="en-US"/>
    </w:rPr>
  </w:style>
  <w:style w:type="paragraph" w:styleId="CommentSubject">
    <w:name w:val="annotation subject"/>
    <w:basedOn w:val="CommentText"/>
    <w:next w:val="CommentText"/>
    <w:link w:val="CommentSubjectChar"/>
    <w:uiPriority w:val="99"/>
    <w:semiHidden/>
    <w:unhideWhenUsed/>
    <w:rsid w:val="00231D5C"/>
    <w:rPr>
      <w:b/>
      <w:bCs/>
    </w:rPr>
  </w:style>
  <w:style w:type="character" w:customStyle="1" w:styleId="CommentSubjectChar">
    <w:name w:val="Comment Subject Char"/>
    <w:link w:val="CommentSubject"/>
    <w:uiPriority w:val="99"/>
    <w:semiHidden/>
    <w:rsid w:val="00231D5C"/>
    <w:rPr>
      <w:b/>
      <w:bCs/>
      <w:lang w:val="en-US" w:eastAsia="en-US"/>
    </w:rPr>
  </w:style>
  <w:style w:type="character" w:styleId="FootnoteReference">
    <w:name w:val="footnote reference"/>
    <w:uiPriority w:val="99"/>
    <w:semiHidden/>
    <w:unhideWhenUsed/>
    <w:rsid w:val="00C8410E"/>
    <w:rPr>
      <w:vertAlign w:val="superscript"/>
    </w:rPr>
  </w:style>
  <w:style w:type="character" w:styleId="Hyperlink">
    <w:name w:val="Hyperlink"/>
    <w:uiPriority w:val="99"/>
    <w:unhideWhenUsed/>
    <w:rsid w:val="00B30662"/>
    <w:rPr>
      <w:color w:val="0000FF"/>
      <w:u w:val="single"/>
    </w:rPr>
  </w:style>
  <w:style w:type="paragraph" w:customStyle="1" w:styleId="Special">
    <w:name w:val="Special"/>
    <w:basedOn w:val="Normal"/>
    <w:next w:val="Normal"/>
    <w:uiPriority w:val="1"/>
    <w:qFormat/>
    <w:rsid w:val="00AC1587"/>
    <w:pPr>
      <w:widowControl w:val="0"/>
      <w:autoSpaceDE w:val="0"/>
      <w:autoSpaceDN w:val="0"/>
      <w:adjustRightInd w:val="0"/>
    </w:pPr>
    <w:rPr>
      <w:rFonts w:ascii="Verdana" w:hAnsi="Verdana" w:cs="Times"/>
      <w:bCs/>
      <w:sz w:val="16"/>
      <w:szCs w:val="29"/>
      <w:lang w:val="de-DE" w:eastAsia="de-DE"/>
    </w:rPr>
  </w:style>
  <w:style w:type="paragraph" w:styleId="Caption">
    <w:name w:val="caption"/>
    <w:basedOn w:val="Normal"/>
    <w:next w:val="Normal"/>
    <w:uiPriority w:val="35"/>
    <w:unhideWhenUsed/>
    <w:qFormat/>
    <w:rsid w:val="00AC1587"/>
    <w:pPr>
      <w:widowControl w:val="0"/>
      <w:autoSpaceDE w:val="0"/>
      <w:autoSpaceDN w:val="0"/>
      <w:adjustRightInd w:val="0"/>
    </w:pPr>
    <w:rPr>
      <w:rFonts w:ascii="Verdana" w:hAnsi="Verdana" w:cs="Times"/>
      <w:b/>
      <w:bCs/>
      <w:sz w:val="20"/>
      <w:lang w:val="de-DE" w:eastAsia="de-DE"/>
    </w:rPr>
  </w:style>
  <w:style w:type="character" w:customStyle="1" w:styleId="BodyTextChar">
    <w:name w:val="Body Text Char"/>
    <w:link w:val="BodyText"/>
    <w:semiHidden/>
    <w:rsid w:val="00A93CE4"/>
    <w:rPr>
      <w:spacing w:val="-3"/>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2520">
      <w:bodyDiv w:val="1"/>
      <w:marLeft w:val="0"/>
      <w:marRight w:val="0"/>
      <w:marTop w:val="0"/>
      <w:marBottom w:val="0"/>
      <w:divBdr>
        <w:top w:val="none" w:sz="0" w:space="0" w:color="auto"/>
        <w:left w:val="none" w:sz="0" w:space="0" w:color="auto"/>
        <w:bottom w:val="none" w:sz="0" w:space="0" w:color="auto"/>
        <w:right w:val="none" w:sz="0" w:space="0" w:color="auto"/>
      </w:divBdr>
    </w:div>
    <w:div w:id="1875842820">
      <w:bodyDiv w:val="1"/>
      <w:marLeft w:val="0"/>
      <w:marRight w:val="0"/>
      <w:marTop w:val="0"/>
      <w:marBottom w:val="0"/>
      <w:divBdr>
        <w:top w:val="none" w:sz="0" w:space="0" w:color="auto"/>
        <w:left w:val="none" w:sz="0" w:space="0" w:color="auto"/>
        <w:bottom w:val="none" w:sz="0" w:space="0" w:color="auto"/>
        <w:right w:val="none" w:sz="0" w:space="0" w:color="auto"/>
      </w:divBdr>
    </w:div>
    <w:div w:id="189257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isons.ie/manufacturers.as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CERTIFICATE NUMBER: PM01621</vt:lpstr>
    </vt:vector>
  </TitlesOfParts>
  <Company>Department of Agriculture &amp; Food</Company>
  <LinksUpToDate>false</LinksUpToDate>
  <CharactersWithSpaces>10163</CharactersWithSpaces>
  <SharedDoc>false</SharedDoc>
  <HLinks>
    <vt:vector size="6" baseType="variant">
      <vt:variant>
        <vt:i4>3407981</vt:i4>
      </vt:variant>
      <vt:variant>
        <vt:i4>0</vt:i4>
      </vt:variant>
      <vt:variant>
        <vt:i4>0</vt:i4>
      </vt:variant>
      <vt:variant>
        <vt:i4>5</vt:i4>
      </vt:variant>
      <vt:variant>
        <vt:lpwstr>http://www.poisons.ie/manufacturers.asp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NUMBER: PM01621</dc:title>
  <dc:creator>Finbar Brown</dc:creator>
  <cp:lastModifiedBy>Pierce, Louise</cp:lastModifiedBy>
  <cp:revision>2</cp:revision>
  <cp:lastPrinted>2017-12-13T17:17:00Z</cp:lastPrinted>
  <dcterms:created xsi:type="dcterms:W3CDTF">2023-07-19T10:27:00Z</dcterms:created>
  <dcterms:modified xsi:type="dcterms:W3CDTF">2023-07-19T10:27:00Z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-1494205834</vt:i4>
  </property>
  <property fmtid="{D5CDD505-2E9C-101B-9397-08002B2CF9AE}" pid="3" name="ContentTypeId">
    <vt:lpwstr>0x0101000C7F7CC350C3C64FB19EB76B0742A2F9</vt:lpwstr>
  </property>
</Properties>
</file>