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53996" w14:textId="7C2CACA4" w:rsidR="00F57736" w:rsidRPr="003016DF" w:rsidRDefault="00F57736" w:rsidP="00F57736"/>
    <w:p w14:paraId="68353997" w14:textId="1B22BE4E" w:rsidR="00F57736" w:rsidRPr="003016DF" w:rsidRDefault="00F57736" w:rsidP="00F57736"/>
    <w:p w14:paraId="68353998" w14:textId="1EEB8649" w:rsidR="00F57736" w:rsidRPr="003016DF" w:rsidRDefault="00494A96" w:rsidP="00F57736">
      <w:r>
        <w:rPr>
          <w:noProof/>
          <w:lang w:eastAsia="en-GB"/>
        </w:rPr>
        <w:drawing>
          <wp:anchor distT="0" distB="0" distL="114300" distR="114300" simplePos="0" relativeHeight="251658240" behindDoc="0" locked="0" layoutInCell="1" allowOverlap="1" wp14:anchorId="783D994A" wp14:editId="1F4EC289">
            <wp:simplePos x="0" y="0"/>
            <wp:positionH relativeFrom="column">
              <wp:posOffset>3426708</wp:posOffset>
            </wp:positionH>
            <wp:positionV relativeFrom="paragraph">
              <wp:posOffset>9028</wp:posOffset>
            </wp:positionV>
            <wp:extent cx="1411111" cy="762000"/>
            <wp:effectExtent l="0" t="0" r="0" b="0"/>
            <wp:wrapSquare wrapText="bothSides"/>
            <wp:docPr id="2" name="Bildobjekt 2"/>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11111" cy="762000"/>
                    </a:xfrm>
                    <a:prstGeom prst="rect">
                      <a:avLst/>
                    </a:prstGeom>
                    <a:ln>
                      <a:noFill/>
                    </a:ln>
                  </pic:spPr>
                </pic:pic>
              </a:graphicData>
            </a:graphic>
          </wp:anchor>
        </w:drawing>
      </w:r>
    </w:p>
    <w:p w14:paraId="68353999" w14:textId="46274DA9" w:rsidR="00F57736" w:rsidRPr="003016DF" w:rsidRDefault="00F57736" w:rsidP="00F57736"/>
    <w:p w14:paraId="6835399A" w14:textId="442B63C8" w:rsidR="00F57736" w:rsidRPr="003016DF" w:rsidRDefault="00F57736" w:rsidP="00F57736"/>
    <w:p w14:paraId="6835399B" w14:textId="26101FDB" w:rsidR="00F57736" w:rsidRPr="003016DF" w:rsidRDefault="00F57736" w:rsidP="00F57736"/>
    <w:p w14:paraId="6835399C" w14:textId="77777777" w:rsidR="00F57736" w:rsidRPr="003016DF" w:rsidRDefault="00F57736" w:rsidP="00F57736">
      <w:pPr>
        <w:jc w:val="center"/>
        <w:rPr>
          <w:b/>
          <w:sz w:val="28"/>
          <w:szCs w:val="28"/>
        </w:rPr>
      </w:pPr>
    </w:p>
    <w:p w14:paraId="6835399D" w14:textId="77777777" w:rsidR="00F57736" w:rsidRDefault="00F57736" w:rsidP="00F57736">
      <w:pPr>
        <w:spacing w:after="360"/>
        <w:jc w:val="center"/>
        <w:rPr>
          <w:b/>
          <w:sz w:val="32"/>
          <w:szCs w:val="32"/>
        </w:rPr>
      </w:pPr>
    </w:p>
    <w:p w14:paraId="6835399E" w14:textId="77777777" w:rsidR="00F57736" w:rsidRDefault="00F57736" w:rsidP="00F57736">
      <w:pPr>
        <w:spacing w:after="360"/>
        <w:jc w:val="center"/>
        <w:rPr>
          <w:b/>
          <w:sz w:val="32"/>
          <w:szCs w:val="32"/>
        </w:rPr>
      </w:pPr>
    </w:p>
    <w:p w14:paraId="6835399F" w14:textId="77777777" w:rsidR="00F57736" w:rsidRPr="00E86372" w:rsidRDefault="00F57736" w:rsidP="00F57736">
      <w:pPr>
        <w:spacing w:after="360"/>
        <w:jc w:val="center"/>
        <w:rPr>
          <w:b/>
          <w:sz w:val="24"/>
          <w:szCs w:val="24"/>
        </w:rPr>
      </w:pPr>
    </w:p>
    <w:p w14:paraId="683539A0" w14:textId="6CDC0AA4" w:rsidR="00F57736" w:rsidRPr="00933AC5" w:rsidRDefault="001C1F13" w:rsidP="00E86372">
      <w:pPr>
        <w:spacing w:after="360"/>
        <w:jc w:val="center"/>
        <w:rPr>
          <w:b/>
          <w:sz w:val="24"/>
          <w:szCs w:val="24"/>
        </w:rPr>
      </w:pPr>
      <w:r w:rsidRPr="00933AC5">
        <w:rPr>
          <w:b/>
          <w:sz w:val="24"/>
          <w:szCs w:val="24"/>
        </w:rPr>
        <w:t>Risk Management Option Analysis Conclusion Document</w:t>
      </w:r>
      <w:r w:rsidR="00F57736" w:rsidRPr="00933AC5">
        <w:rPr>
          <w:b/>
          <w:sz w:val="24"/>
          <w:szCs w:val="24"/>
        </w:rPr>
        <w:t xml:space="preserve"> </w:t>
      </w:r>
    </w:p>
    <w:p w14:paraId="683539A2" w14:textId="63B84370" w:rsidR="00F57736" w:rsidRDefault="00F57736" w:rsidP="00F57736">
      <w:pPr>
        <w:jc w:val="center"/>
        <w:rPr>
          <w:b/>
          <w:sz w:val="28"/>
          <w:szCs w:val="28"/>
        </w:rPr>
      </w:pPr>
    </w:p>
    <w:p w14:paraId="2F001E78" w14:textId="77777777" w:rsidR="0073407D" w:rsidRPr="00933AC5" w:rsidRDefault="0073407D" w:rsidP="00F57736">
      <w:pPr>
        <w:jc w:val="center"/>
        <w:rPr>
          <w:b/>
          <w:sz w:val="28"/>
          <w:szCs w:val="28"/>
        </w:rPr>
      </w:pPr>
    </w:p>
    <w:p w14:paraId="683539A3" w14:textId="77777777" w:rsidR="00E86372" w:rsidRPr="00933AC5" w:rsidRDefault="00E86372" w:rsidP="00E86372">
      <w:pPr>
        <w:pStyle w:val="Brdtext"/>
        <w:rPr>
          <w:b/>
        </w:rPr>
      </w:pPr>
    </w:p>
    <w:p w14:paraId="683539A4" w14:textId="17E40622" w:rsidR="00E86372" w:rsidRPr="00937276" w:rsidRDefault="00E86372" w:rsidP="00E86372">
      <w:pPr>
        <w:pStyle w:val="Brdtext"/>
      </w:pPr>
      <w:r>
        <w:rPr>
          <w:b/>
        </w:rPr>
        <w:t xml:space="preserve">Substance </w:t>
      </w:r>
      <w:r w:rsidR="00100105">
        <w:rPr>
          <w:b/>
        </w:rPr>
        <w:t>N</w:t>
      </w:r>
      <w:r w:rsidR="00092369">
        <w:rPr>
          <w:b/>
        </w:rPr>
        <w:t>ame</w:t>
      </w:r>
      <w:r w:rsidR="0073407D">
        <w:rPr>
          <w:b/>
        </w:rPr>
        <w:t>s</w:t>
      </w:r>
      <w:r w:rsidRPr="003607CA">
        <w:rPr>
          <w:b/>
        </w:rPr>
        <w:t>:</w:t>
      </w:r>
      <w:r w:rsidR="0073407D">
        <w:rPr>
          <w:b/>
        </w:rPr>
        <w:t xml:space="preserve"> Vinyl acetate [1]; Vinyl propionate [2]</w:t>
      </w:r>
    </w:p>
    <w:p w14:paraId="683539A5" w14:textId="2BB46F3D" w:rsidR="00E86372" w:rsidRPr="00937276" w:rsidRDefault="00E86372" w:rsidP="00E86372">
      <w:pPr>
        <w:pStyle w:val="Brdtext"/>
      </w:pPr>
      <w:r w:rsidRPr="003607CA">
        <w:rPr>
          <w:b/>
        </w:rPr>
        <w:t xml:space="preserve">EC </w:t>
      </w:r>
      <w:r w:rsidR="00100105">
        <w:rPr>
          <w:b/>
        </w:rPr>
        <w:t>N</w:t>
      </w:r>
      <w:r w:rsidR="00092369" w:rsidRPr="003607CA">
        <w:rPr>
          <w:b/>
        </w:rPr>
        <w:t>umber</w:t>
      </w:r>
      <w:r w:rsidR="0073407D">
        <w:rPr>
          <w:b/>
        </w:rPr>
        <w:t>s</w:t>
      </w:r>
      <w:r w:rsidRPr="003607CA">
        <w:rPr>
          <w:b/>
        </w:rPr>
        <w:t>:</w:t>
      </w:r>
      <w:r w:rsidR="0073407D">
        <w:rPr>
          <w:b/>
        </w:rPr>
        <w:t xml:space="preserve"> 203-545-4 [1]; 203-293-5 [2]</w:t>
      </w:r>
    </w:p>
    <w:p w14:paraId="683539A6" w14:textId="09A7A95A" w:rsidR="00E86372" w:rsidRPr="00937276" w:rsidRDefault="00E86372" w:rsidP="00E86372">
      <w:pPr>
        <w:pStyle w:val="Brdtext"/>
        <w:rPr>
          <w:sz w:val="32"/>
        </w:rPr>
      </w:pPr>
      <w:r w:rsidRPr="003607CA">
        <w:rPr>
          <w:b/>
        </w:rPr>
        <w:t xml:space="preserve">CAS </w:t>
      </w:r>
      <w:r w:rsidR="00100105">
        <w:rPr>
          <w:b/>
        </w:rPr>
        <w:t>n</w:t>
      </w:r>
      <w:r w:rsidR="00092369" w:rsidRPr="003607CA">
        <w:rPr>
          <w:b/>
        </w:rPr>
        <w:t>umber</w:t>
      </w:r>
      <w:r w:rsidR="0073407D">
        <w:rPr>
          <w:b/>
        </w:rPr>
        <w:t>s</w:t>
      </w:r>
      <w:r w:rsidRPr="003607CA">
        <w:rPr>
          <w:b/>
        </w:rPr>
        <w:t>:</w:t>
      </w:r>
      <w:r w:rsidR="0073407D">
        <w:rPr>
          <w:b/>
        </w:rPr>
        <w:t xml:space="preserve"> 108-05-4 [1]; 105-38-4 [2]</w:t>
      </w:r>
    </w:p>
    <w:p w14:paraId="683539A7" w14:textId="77777777" w:rsidR="00E86372" w:rsidRDefault="00E86372" w:rsidP="00E86372">
      <w:pPr>
        <w:pStyle w:val="Brdtext"/>
        <w:rPr>
          <w:b/>
          <w:sz w:val="32"/>
        </w:rPr>
      </w:pPr>
    </w:p>
    <w:p w14:paraId="683539A8" w14:textId="2CCB2014" w:rsidR="00E86372" w:rsidRPr="00B3713B" w:rsidRDefault="00E86372" w:rsidP="00E86372">
      <w:pPr>
        <w:pStyle w:val="Brdtext"/>
        <w:rPr>
          <w:b/>
          <w:sz w:val="32"/>
        </w:rPr>
      </w:pPr>
      <w:r w:rsidRPr="00B3713B">
        <w:rPr>
          <w:b/>
        </w:rPr>
        <w:t>Authority:</w:t>
      </w:r>
      <w:r w:rsidR="0073407D" w:rsidRPr="00B3713B">
        <w:rPr>
          <w:b/>
        </w:rPr>
        <w:t xml:space="preserve"> Swedish Chemicals Agency</w:t>
      </w:r>
      <w:r w:rsidR="00B740C5" w:rsidRPr="00B3713B">
        <w:rPr>
          <w:b/>
        </w:rPr>
        <w:t xml:space="preserve"> (</w:t>
      </w:r>
      <w:proofErr w:type="spellStart"/>
      <w:r w:rsidR="00B740C5" w:rsidRPr="00B3713B">
        <w:rPr>
          <w:b/>
        </w:rPr>
        <w:t>KemI</w:t>
      </w:r>
      <w:proofErr w:type="spellEnd"/>
      <w:r w:rsidR="00B740C5" w:rsidRPr="00B3713B">
        <w:rPr>
          <w:b/>
        </w:rPr>
        <w:t>)</w:t>
      </w:r>
    </w:p>
    <w:p w14:paraId="683539A9" w14:textId="795E0D0E" w:rsidR="00E86372" w:rsidRDefault="00E86372" w:rsidP="00E86372">
      <w:pPr>
        <w:pStyle w:val="Brdtext"/>
        <w:rPr>
          <w:b/>
        </w:rPr>
      </w:pPr>
      <w:r w:rsidRPr="00B3713B">
        <w:rPr>
          <w:b/>
        </w:rPr>
        <w:t>Date:</w:t>
      </w:r>
      <w:r w:rsidR="00494A96" w:rsidRPr="00B3713B">
        <w:rPr>
          <w:b/>
        </w:rPr>
        <w:t xml:space="preserve"> </w:t>
      </w:r>
      <w:r w:rsidR="00100105" w:rsidRPr="00B3713B">
        <w:rPr>
          <w:b/>
        </w:rPr>
        <w:t>11</w:t>
      </w:r>
      <w:r w:rsidR="00494A96" w:rsidRPr="00B3713B">
        <w:rPr>
          <w:b/>
        </w:rPr>
        <w:t xml:space="preserve"> </w:t>
      </w:r>
      <w:r w:rsidR="00B65E1F" w:rsidRPr="00B3713B">
        <w:rPr>
          <w:b/>
        </w:rPr>
        <w:t>December</w:t>
      </w:r>
      <w:r w:rsidR="00494A96" w:rsidRPr="00B3713B">
        <w:rPr>
          <w:b/>
        </w:rPr>
        <w:t xml:space="preserve"> 2020</w:t>
      </w:r>
    </w:p>
    <w:p w14:paraId="683539AA" w14:textId="77777777" w:rsidR="00A41F93" w:rsidRDefault="00A41F93" w:rsidP="00A41F93">
      <w:pPr>
        <w:widowControl/>
        <w:spacing w:after="200" w:line="276" w:lineRule="auto"/>
        <w:rPr>
          <w:b/>
          <w:i/>
          <w:color w:val="FF0000"/>
        </w:rPr>
      </w:pPr>
    </w:p>
    <w:p w14:paraId="683539AB" w14:textId="77777777" w:rsidR="00A41F93" w:rsidRDefault="00A41F93" w:rsidP="00A41F93">
      <w:pPr>
        <w:widowControl/>
        <w:spacing w:after="200" w:line="276" w:lineRule="auto"/>
        <w:rPr>
          <w:b/>
          <w:i/>
          <w:color w:val="FF0000"/>
        </w:rPr>
      </w:pPr>
    </w:p>
    <w:p w14:paraId="683539AC" w14:textId="77777777" w:rsidR="00A41F93" w:rsidRDefault="00A41F93" w:rsidP="00A41F93">
      <w:pPr>
        <w:widowControl/>
        <w:spacing w:after="200" w:line="276" w:lineRule="auto"/>
        <w:rPr>
          <w:b/>
          <w:i/>
          <w:color w:val="FF0000"/>
        </w:rPr>
      </w:pPr>
    </w:p>
    <w:p w14:paraId="683539AD" w14:textId="77777777" w:rsidR="00E86372" w:rsidRDefault="00E86372" w:rsidP="00A41F93">
      <w:pPr>
        <w:widowControl/>
        <w:spacing w:after="200" w:line="276" w:lineRule="auto"/>
        <w:rPr>
          <w:b/>
          <w:i/>
          <w:color w:val="FF0000"/>
        </w:rPr>
      </w:pPr>
    </w:p>
    <w:p w14:paraId="683539AE" w14:textId="77777777" w:rsidR="00E86372" w:rsidRDefault="00E86372" w:rsidP="00A41F93">
      <w:pPr>
        <w:widowControl/>
        <w:spacing w:after="200" w:line="276" w:lineRule="auto"/>
        <w:rPr>
          <w:b/>
          <w:i/>
          <w:color w:val="FF0000"/>
        </w:rPr>
      </w:pPr>
    </w:p>
    <w:p w14:paraId="683539AF" w14:textId="77777777" w:rsidR="00E86372" w:rsidRDefault="00E86372" w:rsidP="00A41F93">
      <w:pPr>
        <w:widowControl/>
        <w:spacing w:after="200" w:line="276" w:lineRule="auto"/>
        <w:rPr>
          <w:b/>
          <w:i/>
          <w:color w:val="FF0000"/>
        </w:rPr>
      </w:pPr>
    </w:p>
    <w:p w14:paraId="683539B0" w14:textId="77777777" w:rsidR="00E86372" w:rsidRDefault="00E86372" w:rsidP="00A41F93">
      <w:pPr>
        <w:widowControl/>
        <w:spacing w:after="200" w:line="276" w:lineRule="auto"/>
        <w:rPr>
          <w:b/>
          <w:i/>
          <w:color w:val="FF0000"/>
        </w:rPr>
      </w:pPr>
    </w:p>
    <w:p w14:paraId="683539B1" w14:textId="77777777" w:rsidR="002E4026" w:rsidRDefault="002E4026" w:rsidP="00471457">
      <w:pPr>
        <w:spacing w:after="120"/>
        <w:jc w:val="both"/>
        <w:rPr>
          <w:b/>
        </w:rPr>
        <w:sectPr w:rsidR="002E4026">
          <w:headerReference w:type="default" r:id="rId14"/>
          <w:footerReference w:type="default" r:id="rId15"/>
          <w:pgSz w:w="11906" w:h="16838"/>
          <w:pgMar w:top="1440" w:right="1440" w:bottom="1440" w:left="1440" w:header="708" w:footer="708" w:gutter="0"/>
          <w:cols w:space="708"/>
          <w:docGrid w:linePitch="360"/>
        </w:sectPr>
      </w:pPr>
    </w:p>
    <w:p w14:paraId="683539B2" w14:textId="77777777" w:rsidR="00AD40AE" w:rsidRDefault="00AD40AE" w:rsidP="00AD40AE">
      <w:pPr>
        <w:jc w:val="center"/>
        <w:rPr>
          <w:b/>
          <w:iCs/>
        </w:rPr>
      </w:pPr>
      <w:bookmarkStart w:id="0" w:name="_Toc387819847"/>
    </w:p>
    <w:p w14:paraId="683539B3" w14:textId="77777777" w:rsidR="00AD40AE" w:rsidRDefault="00AD40AE" w:rsidP="00AD40AE">
      <w:pPr>
        <w:jc w:val="center"/>
        <w:rPr>
          <w:b/>
          <w:iCs/>
        </w:rPr>
      </w:pPr>
    </w:p>
    <w:p w14:paraId="683539B4" w14:textId="77777777" w:rsidR="00AD40AE" w:rsidRPr="0013615E" w:rsidRDefault="00AD40AE" w:rsidP="00AD40AE">
      <w:pPr>
        <w:jc w:val="center"/>
        <w:rPr>
          <w:b/>
          <w:iCs/>
        </w:rPr>
      </w:pPr>
      <w:r w:rsidRPr="0013615E">
        <w:rPr>
          <w:b/>
          <w:iCs/>
        </w:rPr>
        <w:t>DISCLAIMER</w:t>
      </w:r>
    </w:p>
    <w:p w14:paraId="683539B5" w14:textId="77777777" w:rsidR="00AD40AE" w:rsidRDefault="00AD40AE" w:rsidP="00AD40AE">
      <w:pPr>
        <w:pStyle w:val="Brdtext"/>
        <w:jc w:val="center"/>
      </w:pPr>
    </w:p>
    <w:p w14:paraId="683539B6" w14:textId="77777777" w:rsidR="00AD40AE" w:rsidRDefault="00AD40AE" w:rsidP="00AD40AE">
      <w:pPr>
        <w:pStyle w:val="Brdtext"/>
        <w:jc w:val="center"/>
      </w:pPr>
    </w:p>
    <w:p w14:paraId="683539B7" w14:textId="183D0041" w:rsidR="007A39FF" w:rsidRDefault="007A39FF" w:rsidP="007A39FF">
      <w:pPr>
        <w:pStyle w:val="Brdtext"/>
      </w:pPr>
    </w:p>
    <w:p w14:paraId="683539BC" w14:textId="451BBF13" w:rsidR="007A39FF" w:rsidRDefault="001C1F13" w:rsidP="007A39FF">
      <w:pPr>
        <w:pStyle w:val="Brdtext"/>
        <w:jc w:val="both"/>
      </w:pPr>
      <w:r w:rsidRPr="001C1F13">
        <w:t xml:space="preserve">The author does not accept any liability </w:t>
      </w:r>
      <w:proofErr w:type="gramStart"/>
      <w:r w:rsidRPr="001C1F13">
        <w:t>with regard to</w:t>
      </w:r>
      <w:proofErr w:type="gramEnd"/>
      <w:r w:rsidRPr="001C1F13">
        <w:t xml:space="preserve"> the use that may be made of the information contained in this document. Usage of the information remains under the sole responsibility of the user. Statements made or information contained in the document are without prejudice to any further regulatory work that ECHA or the Member States may initiate at a later stage. Risk Management Option Analyses and their conclusions are compiled </w:t>
      </w:r>
      <w:proofErr w:type="gramStart"/>
      <w:r w:rsidRPr="001C1F13">
        <w:t>on the basis of</w:t>
      </w:r>
      <w:proofErr w:type="gramEnd"/>
      <w:r w:rsidRPr="001C1F13">
        <w:t xml:space="preserve"> available information and may change in light of newly available information or further assessment.</w:t>
      </w:r>
    </w:p>
    <w:p w14:paraId="683539BD" w14:textId="77777777" w:rsidR="007A39FF" w:rsidRPr="00270FFE" w:rsidRDefault="007A39FF" w:rsidP="007A39FF">
      <w:pPr>
        <w:pStyle w:val="Brdtext"/>
        <w:jc w:val="both"/>
        <w:sectPr w:rsidR="007A39FF" w:rsidRPr="00270FFE">
          <w:footerReference w:type="default" r:id="rId16"/>
          <w:pgSz w:w="11906" w:h="16838"/>
          <w:pgMar w:top="1440" w:right="1440" w:bottom="1440" w:left="1440" w:header="708" w:footer="708" w:gutter="0"/>
          <w:cols w:space="708"/>
          <w:docGrid w:linePitch="360"/>
        </w:sectPr>
      </w:pPr>
    </w:p>
    <w:p w14:paraId="683539BE" w14:textId="77777777" w:rsidR="002E4026" w:rsidRPr="002E4026" w:rsidRDefault="002E4026" w:rsidP="002E4026">
      <w:pPr>
        <w:pStyle w:val="Rubrik1"/>
        <w:rPr>
          <w:color w:val="4F81BD"/>
        </w:rPr>
      </w:pPr>
      <w:r w:rsidRPr="002E4026">
        <w:rPr>
          <w:color w:val="4F81BD"/>
        </w:rPr>
        <w:lastRenderedPageBreak/>
        <w:t>Foreword</w:t>
      </w:r>
      <w:bookmarkEnd w:id="0"/>
    </w:p>
    <w:p w14:paraId="683539BF" w14:textId="77777777" w:rsidR="002E4026" w:rsidRPr="003016DF" w:rsidRDefault="002E4026" w:rsidP="002E4026">
      <w:pPr>
        <w:rPr>
          <w:sz w:val="24"/>
          <w:szCs w:val="24"/>
        </w:rPr>
      </w:pPr>
    </w:p>
    <w:p w14:paraId="0640B7FF" w14:textId="77777777" w:rsidR="001C1F13" w:rsidRDefault="001C1F13" w:rsidP="001C1F13">
      <w:pPr>
        <w:jc w:val="both"/>
      </w:pPr>
      <w:r>
        <w:t xml:space="preserve">The purpose of Risk Management Option analysis (RMOA) is to help authorities decide whether further regulatory risk management activities are required for a substance and to identify the most appropriate instrument to address a concern. </w:t>
      </w:r>
    </w:p>
    <w:p w14:paraId="7BDF57EC" w14:textId="77777777" w:rsidR="001C1F13" w:rsidRDefault="001C1F13" w:rsidP="001C1F13">
      <w:pPr>
        <w:jc w:val="both"/>
      </w:pPr>
    </w:p>
    <w:p w14:paraId="423CF1F8" w14:textId="77777777" w:rsidR="001C1F13" w:rsidRDefault="001C1F13" w:rsidP="001C1F13">
      <w:pPr>
        <w:jc w:val="both"/>
      </w:pPr>
      <w:r>
        <w:t xml:space="preserve">RMOA is a voluntary step, i.e., it is not part of the processes as defined in the legislation. For authorities, documenting the RMOA allows the sharing of information and promoting early discussion, which helps lead to a common understanding on the action pursued. A Member State or ECHA (at the request of the Commission) can carry out this case-by-case analysis </w:t>
      </w:r>
      <w:proofErr w:type="gramStart"/>
      <w:r>
        <w:t>in order to</w:t>
      </w:r>
      <w:proofErr w:type="gramEnd"/>
      <w:r>
        <w:t xml:space="preserve"> conclude whether a substance is a 'relevant substance of very high concern (SVHC)' in the sense of the SVHC Roadmap to 2020</w:t>
      </w:r>
      <w:r>
        <w:rPr>
          <w:rStyle w:val="Fotnotsreferens"/>
        </w:rPr>
        <w:footnoteReference w:id="1"/>
      </w:r>
      <w:r>
        <w:t>.</w:t>
      </w:r>
    </w:p>
    <w:p w14:paraId="371B8D0A" w14:textId="77777777" w:rsidR="001C1F13" w:rsidRDefault="001C1F13" w:rsidP="001C1F13">
      <w:pPr>
        <w:jc w:val="both"/>
      </w:pPr>
    </w:p>
    <w:p w14:paraId="36FE7939" w14:textId="1240C50F" w:rsidR="001C1F13" w:rsidRDefault="001C1F13" w:rsidP="001C1F13">
      <w:pPr>
        <w:jc w:val="both"/>
      </w:pPr>
      <w:r>
        <w:t>An RMOA can conclude that regulatory risk management at EU level is required for a substance (</w:t>
      </w:r>
      <w:proofErr w:type="gramStart"/>
      <w:r>
        <w:t>e.g.</w:t>
      </w:r>
      <w:proofErr w:type="gramEnd"/>
      <w:r>
        <w:t xml:space="preserve"> harmonised classification and labelling, Candidate List inclusion, restriction, other EU legislation) or that no regulatory action is required at EU level. Any subsequent regulatory processes under the REACH Regulation include consultation of interested parties and appropriate </w:t>
      </w:r>
      <w:r w:rsidR="008C0F8D">
        <w:t>decision-making</w:t>
      </w:r>
      <w:r>
        <w:t xml:space="preserve"> involving Member State Competent Authorities and the European Commission as defined in REACH.</w:t>
      </w:r>
    </w:p>
    <w:p w14:paraId="5B7D4936" w14:textId="77777777" w:rsidR="001C1F13" w:rsidRDefault="001C1F13" w:rsidP="001C1F13">
      <w:pPr>
        <w:spacing w:after="120"/>
        <w:jc w:val="both"/>
      </w:pPr>
    </w:p>
    <w:p w14:paraId="706E7DB9" w14:textId="6925A024" w:rsidR="001C1F13" w:rsidRDefault="001C1F13" w:rsidP="001C1F13">
      <w:pPr>
        <w:spacing w:after="120"/>
        <w:jc w:val="both"/>
      </w:pPr>
      <w:r>
        <w:t xml:space="preserve">This Conclusion document provides the </w:t>
      </w:r>
      <w:r w:rsidRPr="003016DF">
        <w:t xml:space="preserve">outcome of the </w:t>
      </w:r>
      <w:r>
        <w:t>RMOA</w:t>
      </w:r>
      <w:r w:rsidRPr="003016DF">
        <w:t xml:space="preserve"> carried out by the </w:t>
      </w:r>
      <w:r>
        <w:t>author authority</w:t>
      </w:r>
      <w:r w:rsidRPr="003016DF">
        <w:t xml:space="preserve">.  In this conclusion document, the </w:t>
      </w:r>
      <w:r>
        <w:t>authority</w:t>
      </w:r>
      <w:r w:rsidRPr="003016DF">
        <w:t xml:space="preserve"> consider</w:t>
      </w:r>
      <w:r>
        <w:t>s</w:t>
      </w:r>
      <w:r w:rsidRPr="003016DF">
        <w:t xml:space="preserve"> how the</w:t>
      </w:r>
      <w:r>
        <w:t xml:space="preserve"> available </w:t>
      </w:r>
      <w:r w:rsidRPr="003016DF">
        <w:t xml:space="preserve">information </w:t>
      </w:r>
      <w:r>
        <w:t xml:space="preserve">collected </w:t>
      </w:r>
      <w:r w:rsidRPr="003016DF">
        <w:t xml:space="preserve">on the substance can be used </w:t>
      </w:r>
      <w:r>
        <w:t>to conclude whether regulatory risk management activities are required for a substance and which is the most appropriate instrument to address a concern</w:t>
      </w:r>
      <w:r w:rsidRPr="003016DF">
        <w:t>. Wi</w:t>
      </w:r>
      <w:r>
        <w:t xml:space="preserve">th this Conclusion document </w:t>
      </w:r>
      <w:r w:rsidRPr="003016DF">
        <w:t>the Commission, the competent authorities of the other Member States</w:t>
      </w:r>
      <w:r>
        <w:t xml:space="preserve"> and stakeholders</w:t>
      </w:r>
      <w:r w:rsidRPr="003016DF">
        <w:t xml:space="preserve"> are informed of the considerations of the </w:t>
      </w:r>
      <w:r>
        <w:t>author authority</w:t>
      </w:r>
      <w:r w:rsidRPr="003016DF">
        <w:t xml:space="preserve">. In case the </w:t>
      </w:r>
      <w:r>
        <w:t>author authority</w:t>
      </w:r>
      <w:r w:rsidRPr="003016DF">
        <w:t xml:space="preserve"> proposes</w:t>
      </w:r>
      <w:r>
        <w:t xml:space="preserve"> in this conclusion document</w:t>
      </w:r>
      <w:r w:rsidRPr="003016DF">
        <w:t xml:space="preserve"> further regulatory risk management measures, this shall not be considered initiating those other measures or processes. </w:t>
      </w:r>
      <w:r>
        <w:t>Since this document only reflects the views of the author authority, it does not preclude Member States or the European Commission from considering or initiating regulatory risk management measures which they deem appropriate.</w:t>
      </w:r>
    </w:p>
    <w:p w14:paraId="683539C7" w14:textId="77777777" w:rsidR="002E4026" w:rsidRDefault="002E4026" w:rsidP="002E4026">
      <w:pPr>
        <w:spacing w:after="120"/>
        <w:jc w:val="both"/>
        <w:rPr>
          <w:b/>
        </w:rPr>
        <w:sectPr w:rsidR="002E4026">
          <w:pgSz w:w="11906" w:h="16838"/>
          <w:pgMar w:top="1440" w:right="1440" w:bottom="1440" w:left="1440" w:header="708" w:footer="708" w:gutter="0"/>
          <w:cols w:space="708"/>
          <w:docGrid w:linePitch="360"/>
        </w:sectPr>
      </w:pPr>
    </w:p>
    <w:p w14:paraId="683539CB" w14:textId="1EEE73F3" w:rsidR="00E86372" w:rsidRPr="00E54CE6" w:rsidRDefault="009C2172" w:rsidP="00FF659C">
      <w:pPr>
        <w:pStyle w:val="Rubrik3"/>
        <w:numPr>
          <w:ilvl w:val="0"/>
          <w:numId w:val="6"/>
        </w:numPr>
        <w:jc w:val="both"/>
        <w:rPr>
          <w:color w:val="4F81BD" w:themeColor="accent1"/>
          <w:sz w:val="24"/>
          <w:szCs w:val="28"/>
        </w:rPr>
      </w:pPr>
      <w:r w:rsidRPr="000711F7">
        <w:rPr>
          <w:color w:val="4F81BD" w:themeColor="accent1"/>
          <w:sz w:val="24"/>
          <w:szCs w:val="28"/>
        </w:rPr>
        <w:lastRenderedPageBreak/>
        <w:t xml:space="preserve">OVERVIEW OF OTHER </w:t>
      </w:r>
      <w:r w:rsidR="00BE5AF4" w:rsidRPr="000711F7">
        <w:rPr>
          <w:color w:val="4F81BD" w:themeColor="accent1"/>
          <w:sz w:val="24"/>
          <w:szCs w:val="28"/>
        </w:rPr>
        <w:t>PROCESSES</w:t>
      </w:r>
      <w:r w:rsidR="00262180" w:rsidRPr="000711F7">
        <w:rPr>
          <w:color w:val="4F81BD" w:themeColor="accent1"/>
          <w:sz w:val="24"/>
          <w:szCs w:val="28"/>
        </w:rPr>
        <w:t xml:space="preserve"> / EU </w:t>
      </w:r>
      <w:r w:rsidR="005575E6" w:rsidRPr="000711F7">
        <w:rPr>
          <w:color w:val="4F81BD" w:themeColor="accent1"/>
          <w:sz w:val="24"/>
          <w:szCs w:val="28"/>
        </w:rPr>
        <w:t>LEGISLATION</w:t>
      </w:r>
    </w:p>
    <w:p w14:paraId="4A556AC8" w14:textId="14CF3BFB" w:rsidR="008E70DE" w:rsidRDefault="008E70DE" w:rsidP="00FF659C">
      <w:pPr>
        <w:pStyle w:val="Brdtext"/>
        <w:jc w:val="both"/>
        <w:rPr>
          <w:szCs w:val="16"/>
        </w:rPr>
      </w:pPr>
      <w:r>
        <w:rPr>
          <w:szCs w:val="16"/>
        </w:rPr>
        <w:t>In 2011, the RAC has adopted the Opinion for harmonised classification</w:t>
      </w:r>
      <w:r w:rsidR="00C43579">
        <w:rPr>
          <w:rStyle w:val="Fotnotsreferens"/>
          <w:szCs w:val="16"/>
        </w:rPr>
        <w:footnoteReference w:id="2"/>
      </w:r>
      <w:r>
        <w:rPr>
          <w:szCs w:val="16"/>
        </w:rPr>
        <w:t xml:space="preserve"> of v</w:t>
      </w:r>
      <w:r w:rsidR="00FF659C" w:rsidRPr="002D5B6C">
        <w:rPr>
          <w:szCs w:val="16"/>
        </w:rPr>
        <w:t>inyl acetate</w:t>
      </w:r>
      <w:r w:rsidR="00E51924">
        <w:rPr>
          <w:szCs w:val="16"/>
        </w:rPr>
        <w:t xml:space="preserve"> (VA)</w:t>
      </w:r>
      <w:r w:rsidR="00FF659C" w:rsidRPr="002D5B6C">
        <w:rPr>
          <w:szCs w:val="16"/>
        </w:rPr>
        <w:t xml:space="preserve"> as </w:t>
      </w:r>
      <w:proofErr w:type="spellStart"/>
      <w:r w:rsidR="00FF659C" w:rsidRPr="002D5B6C">
        <w:rPr>
          <w:szCs w:val="16"/>
        </w:rPr>
        <w:t>Carc</w:t>
      </w:r>
      <w:proofErr w:type="spellEnd"/>
      <w:r w:rsidR="00FF659C" w:rsidRPr="002D5B6C">
        <w:rPr>
          <w:szCs w:val="16"/>
        </w:rPr>
        <w:t>. 2 (H</w:t>
      </w:r>
      <w:r w:rsidR="00FF659C">
        <w:rPr>
          <w:szCs w:val="16"/>
        </w:rPr>
        <w:t>351</w:t>
      </w:r>
      <w:r w:rsidR="00FF659C" w:rsidRPr="002D5B6C">
        <w:rPr>
          <w:szCs w:val="16"/>
        </w:rPr>
        <w:t>),</w:t>
      </w:r>
      <w:r w:rsidR="00FF659C">
        <w:rPr>
          <w:szCs w:val="16"/>
        </w:rPr>
        <w:t xml:space="preserve"> Acute Tox. 4 (H332),</w:t>
      </w:r>
      <w:r w:rsidR="00FF659C" w:rsidRPr="002D5B6C">
        <w:rPr>
          <w:szCs w:val="16"/>
        </w:rPr>
        <w:t xml:space="preserve"> STOT SE 3 (H3</w:t>
      </w:r>
      <w:r w:rsidR="00FF659C">
        <w:rPr>
          <w:szCs w:val="16"/>
        </w:rPr>
        <w:t>35</w:t>
      </w:r>
      <w:r w:rsidR="00FF659C" w:rsidRPr="002D5B6C">
        <w:rPr>
          <w:szCs w:val="16"/>
        </w:rPr>
        <w:t>),</w:t>
      </w:r>
      <w:r w:rsidR="00FF659C">
        <w:rPr>
          <w:szCs w:val="16"/>
        </w:rPr>
        <w:t xml:space="preserve"> Flam. Liq. 2 (H225).</w:t>
      </w:r>
      <w:r w:rsidR="00FF107F">
        <w:rPr>
          <w:szCs w:val="16"/>
        </w:rPr>
        <w:t xml:space="preserve"> </w:t>
      </w:r>
    </w:p>
    <w:p w14:paraId="4DBD75E5" w14:textId="6F98A314" w:rsidR="00B7241C" w:rsidRDefault="00E51924" w:rsidP="00FF659C">
      <w:pPr>
        <w:pStyle w:val="Brdtext"/>
        <w:jc w:val="both"/>
        <w:rPr>
          <w:szCs w:val="16"/>
        </w:rPr>
      </w:pPr>
      <w:r>
        <w:rPr>
          <w:szCs w:val="16"/>
        </w:rPr>
        <w:t>Vinyl propionate (</w:t>
      </w:r>
      <w:r w:rsidR="00FF659C">
        <w:rPr>
          <w:szCs w:val="16"/>
        </w:rPr>
        <w:t>VP</w:t>
      </w:r>
      <w:r>
        <w:rPr>
          <w:szCs w:val="16"/>
        </w:rPr>
        <w:t>)</w:t>
      </w:r>
      <w:r w:rsidR="00FF659C" w:rsidRPr="00BB460B">
        <w:rPr>
          <w:szCs w:val="16"/>
        </w:rPr>
        <w:t xml:space="preserve"> has no harmonised classification</w:t>
      </w:r>
      <w:r w:rsidR="00AD0847">
        <w:rPr>
          <w:szCs w:val="16"/>
        </w:rPr>
        <w:t>.</w:t>
      </w:r>
      <w:r w:rsidR="00FF659C">
        <w:rPr>
          <w:szCs w:val="16"/>
        </w:rPr>
        <w:t xml:space="preserve"> </w:t>
      </w:r>
      <w:r w:rsidR="00AD0847">
        <w:rPr>
          <w:szCs w:val="16"/>
        </w:rPr>
        <w:t>T</w:t>
      </w:r>
      <w:r w:rsidR="00FF659C">
        <w:rPr>
          <w:szCs w:val="16"/>
        </w:rPr>
        <w:t xml:space="preserve">he registrant has self-classified </w:t>
      </w:r>
      <w:r w:rsidR="00AF75D2">
        <w:rPr>
          <w:szCs w:val="16"/>
        </w:rPr>
        <w:t xml:space="preserve">it </w:t>
      </w:r>
      <w:r w:rsidR="00FF659C">
        <w:rPr>
          <w:szCs w:val="16"/>
        </w:rPr>
        <w:t xml:space="preserve">as </w:t>
      </w:r>
      <w:proofErr w:type="spellStart"/>
      <w:r w:rsidR="00FF659C">
        <w:rPr>
          <w:szCs w:val="16"/>
        </w:rPr>
        <w:t>Carc</w:t>
      </w:r>
      <w:proofErr w:type="spellEnd"/>
      <w:r w:rsidR="00FF659C">
        <w:rPr>
          <w:szCs w:val="16"/>
        </w:rPr>
        <w:t xml:space="preserve">. 2 (H351) using </w:t>
      </w:r>
      <w:proofErr w:type="gramStart"/>
      <w:r w:rsidR="00FF659C">
        <w:rPr>
          <w:szCs w:val="16"/>
        </w:rPr>
        <w:t>read-across</w:t>
      </w:r>
      <w:proofErr w:type="gramEnd"/>
      <w:r w:rsidR="00FF659C">
        <w:rPr>
          <w:szCs w:val="16"/>
        </w:rPr>
        <w:t xml:space="preserve"> of data from the studies available on VA in order to fill the data gaps for </w:t>
      </w:r>
      <w:r w:rsidR="00FF659C" w:rsidRPr="00196FCB">
        <w:rPr>
          <w:i/>
          <w:iCs/>
          <w:szCs w:val="16"/>
        </w:rPr>
        <w:t>in vivo</w:t>
      </w:r>
      <w:r w:rsidR="00FF659C">
        <w:rPr>
          <w:szCs w:val="16"/>
        </w:rPr>
        <w:t xml:space="preserve"> mutagenicity and carcinogenicity.</w:t>
      </w:r>
      <w:r w:rsidR="00EF3712">
        <w:rPr>
          <w:szCs w:val="16"/>
        </w:rPr>
        <w:t xml:space="preserve"> </w:t>
      </w:r>
      <w:r w:rsidR="0083157A" w:rsidRPr="0083157A">
        <w:rPr>
          <w:szCs w:val="16"/>
        </w:rPr>
        <w:t xml:space="preserve"> </w:t>
      </w:r>
    </w:p>
    <w:p w14:paraId="10FACE29" w14:textId="4763CFCE" w:rsidR="008E70DE" w:rsidRDefault="008E70DE" w:rsidP="008E70DE">
      <w:pPr>
        <w:autoSpaceDE w:val="0"/>
        <w:autoSpaceDN w:val="0"/>
        <w:adjustRightInd w:val="0"/>
        <w:spacing w:after="120"/>
        <w:jc w:val="both"/>
        <w:rPr>
          <w:bCs/>
        </w:rPr>
      </w:pPr>
      <w:r w:rsidRPr="009D0A6E">
        <w:rPr>
          <w:bCs/>
        </w:rPr>
        <w:t xml:space="preserve">In 2015, </w:t>
      </w:r>
      <w:r>
        <w:rPr>
          <w:bCs/>
        </w:rPr>
        <w:t>VA</w:t>
      </w:r>
      <w:r w:rsidRPr="009D0A6E">
        <w:rPr>
          <w:bCs/>
        </w:rPr>
        <w:t xml:space="preserve"> was subject to manual screening due to an initial concern for endocrine</w:t>
      </w:r>
      <w:r>
        <w:rPr>
          <w:bCs/>
        </w:rPr>
        <w:t xml:space="preserve"> disruption and CMR properties. The outcome of the </w:t>
      </w:r>
      <w:r w:rsidRPr="00673FD2">
        <w:rPr>
          <w:bCs/>
        </w:rPr>
        <w:t xml:space="preserve">manual screening performed by the </w:t>
      </w:r>
      <w:r>
        <w:rPr>
          <w:bCs/>
        </w:rPr>
        <w:t>Finnish CA</w:t>
      </w:r>
      <w:r w:rsidRPr="00673FD2">
        <w:rPr>
          <w:bCs/>
        </w:rPr>
        <w:t xml:space="preserve"> was </w:t>
      </w:r>
      <w:r>
        <w:rPr>
          <w:bCs/>
        </w:rPr>
        <w:t xml:space="preserve">“Candidate for substance evaluation - </w:t>
      </w:r>
      <w:proofErr w:type="spellStart"/>
      <w:r>
        <w:rPr>
          <w:bCs/>
        </w:rPr>
        <w:t>CoRAP</w:t>
      </w:r>
      <w:proofErr w:type="spellEnd"/>
      <w:r w:rsidRPr="00673FD2">
        <w:rPr>
          <w:bCs/>
        </w:rPr>
        <w:t>”</w:t>
      </w:r>
      <w:r w:rsidR="005050E6">
        <w:rPr>
          <w:bCs/>
        </w:rPr>
        <w:t xml:space="preserve"> based on potential concerns for endocrine disruption, toxicity to reproduction and sensitization. The outcome of the SEV</w:t>
      </w:r>
      <w:r w:rsidR="00401C65">
        <w:rPr>
          <w:rStyle w:val="Fotnotsreferens"/>
          <w:bCs/>
        </w:rPr>
        <w:footnoteReference w:id="3"/>
      </w:r>
      <w:r w:rsidR="005050E6">
        <w:rPr>
          <w:bCs/>
        </w:rPr>
        <w:t xml:space="preserve"> was </w:t>
      </w:r>
      <w:r w:rsidR="00F550BF">
        <w:rPr>
          <w:bCs/>
        </w:rPr>
        <w:t xml:space="preserve">published in </w:t>
      </w:r>
      <w:r w:rsidR="005050E6">
        <w:rPr>
          <w:bCs/>
        </w:rPr>
        <w:t>November 2020. Based on the information</w:t>
      </w:r>
      <w:r w:rsidR="00560494">
        <w:rPr>
          <w:bCs/>
        </w:rPr>
        <w:t xml:space="preserve"> available</w:t>
      </w:r>
      <w:r w:rsidR="005050E6">
        <w:rPr>
          <w:bCs/>
        </w:rPr>
        <w:t xml:space="preserve"> in the registration dossier, t</w:t>
      </w:r>
      <w:r w:rsidR="000E21F8">
        <w:rPr>
          <w:bCs/>
        </w:rPr>
        <w:t xml:space="preserve">he </w:t>
      </w:r>
      <w:proofErr w:type="spellStart"/>
      <w:r w:rsidR="00530D48">
        <w:rPr>
          <w:bCs/>
        </w:rPr>
        <w:t>eMSCA</w:t>
      </w:r>
      <w:proofErr w:type="spellEnd"/>
      <w:r w:rsidR="005050E6">
        <w:rPr>
          <w:bCs/>
        </w:rPr>
        <w:t xml:space="preserve"> (Latvia) did not identify any potential or inadequately controlled risk for any of the endpoints of concern, thus concluding that there was no need for regulatory follow-up at EU level. </w:t>
      </w:r>
    </w:p>
    <w:p w14:paraId="00C3AA7A" w14:textId="7942F850" w:rsidR="008E70DE" w:rsidRPr="001C21A5" w:rsidRDefault="008E70DE" w:rsidP="001C21A5">
      <w:pPr>
        <w:pStyle w:val="Brdtext"/>
        <w:jc w:val="both"/>
        <w:rPr>
          <w:szCs w:val="16"/>
        </w:rPr>
      </w:pPr>
      <w:r>
        <w:rPr>
          <w:bCs/>
          <w:lang w:val="en-US" w:eastAsia="en-US"/>
        </w:rPr>
        <w:t>In 2019, both vinyl esters were subject to manual screening (performed by SE CA) as part of the vinyl esters group due to an initial concern for carcinogenicity and mutagenicity effects, with vinyl acetate as a group seed.</w:t>
      </w:r>
      <w:r w:rsidR="00BA66ED">
        <w:rPr>
          <w:bCs/>
          <w:lang w:val="en-US" w:eastAsia="en-US"/>
        </w:rPr>
        <w:t xml:space="preserve"> Based on the read-across justification document provided in the registration dossier, </w:t>
      </w:r>
      <w:r w:rsidR="00BA66ED">
        <w:rPr>
          <w:szCs w:val="16"/>
        </w:rPr>
        <w:t xml:space="preserve">the Swedish CA </w:t>
      </w:r>
      <w:proofErr w:type="gramStart"/>
      <w:r w:rsidR="00BA66ED">
        <w:rPr>
          <w:szCs w:val="16"/>
        </w:rPr>
        <w:t>was</w:t>
      </w:r>
      <w:r w:rsidR="00BA66ED">
        <w:rPr>
          <w:szCs w:val="16"/>
        </w:rPr>
        <w:t xml:space="preserve"> of the opinion tha</w:t>
      </w:r>
      <w:r w:rsidR="00BA66ED">
        <w:rPr>
          <w:szCs w:val="16"/>
        </w:rPr>
        <w:t>t</w:t>
      </w:r>
      <w:proofErr w:type="gramEnd"/>
      <w:r w:rsidR="00BA66ED">
        <w:rPr>
          <w:szCs w:val="16"/>
        </w:rPr>
        <w:t xml:space="preserve"> </w:t>
      </w:r>
      <w:r w:rsidR="00BA66ED">
        <w:rPr>
          <w:szCs w:val="16"/>
        </w:rPr>
        <w:t xml:space="preserve">the read-across of data from VA performed for covering the data gaps in the registration dossier of VP is acceptable. Therefore, the self-classification of VP as </w:t>
      </w:r>
      <w:proofErr w:type="spellStart"/>
      <w:r w:rsidR="00BA66ED">
        <w:rPr>
          <w:szCs w:val="16"/>
        </w:rPr>
        <w:t>Carc</w:t>
      </w:r>
      <w:proofErr w:type="spellEnd"/>
      <w:r w:rsidR="00BA66ED">
        <w:rPr>
          <w:szCs w:val="16"/>
        </w:rPr>
        <w:t xml:space="preserve">. 2 based upon </w:t>
      </w:r>
      <w:proofErr w:type="gramStart"/>
      <w:r w:rsidR="00BA66ED">
        <w:rPr>
          <w:szCs w:val="16"/>
        </w:rPr>
        <w:t>read-across</w:t>
      </w:r>
      <w:proofErr w:type="gramEnd"/>
      <w:r w:rsidR="00BA66ED">
        <w:rPr>
          <w:szCs w:val="16"/>
        </w:rPr>
        <w:t xml:space="preserve"> of data from VA is considered appropriate.</w:t>
      </w:r>
      <w:r w:rsidR="001C21A5">
        <w:rPr>
          <w:szCs w:val="16"/>
        </w:rPr>
        <w:t xml:space="preserve"> </w:t>
      </w:r>
      <w:r>
        <w:rPr>
          <w:bCs/>
          <w:lang w:val="en-US" w:eastAsia="en-US"/>
        </w:rPr>
        <w:t xml:space="preserve">The outcome </w:t>
      </w:r>
      <w:r w:rsidR="001C21A5">
        <w:rPr>
          <w:bCs/>
          <w:lang w:val="en-US" w:eastAsia="en-US"/>
        </w:rPr>
        <w:t xml:space="preserve">of the manual screening was to further assess </w:t>
      </w:r>
      <w:r>
        <w:rPr>
          <w:bCs/>
          <w:lang w:val="en-US" w:eastAsia="en-US"/>
        </w:rPr>
        <w:t xml:space="preserve">the possibility of proposing CLH for </w:t>
      </w:r>
      <w:proofErr w:type="spellStart"/>
      <w:r w:rsidR="001603E2">
        <w:rPr>
          <w:bCs/>
          <w:lang w:val="en-US" w:eastAsia="en-US"/>
        </w:rPr>
        <w:t>Carc</w:t>
      </w:r>
      <w:proofErr w:type="spellEnd"/>
      <w:r w:rsidR="001603E2">
        <w:rPr>
          <w:bCs/>
          <w:lang w:val="en-US" w:eastAsia="en-US"/>
        </w:rPr>
        <w:t xml:space="preserve">. 1B and </w:t>
      </w:r>
      <w:proofErr w:type="spellStart"/>
      <w:r w:rsidR="001603E2">
        <w:rPr>
          <w:bCs/>
          <w:lang w:val="en-US" w:eastAsia="en-US"/>
        </w:rPr>
        <w:t>Muta</w:t>
      </w:r>
      <w:proofErr w:type="spellEnd"/>
      <w:r w:rsidR="001603E2">
        <w:rPr>
          <w:bCs/>
          <w:lang w:val="en-US" w:eastAsia="en-US"/>
        </w:rPr>
        <w:t xml:space="preserve"> 2. </w:t>
      </w:r>
      <w:r>
        <w:rPr>
          <w:bCs/>
          <w:lang w:val="en-US" w:eastAsia="en-US"/>
        </w:rPr>
        <w:t xml:space="preserve"> </w:t>
      </w:r>
      <w:r w:rsidR="001603E2">
        <w:rPr>
          <w:bCs/>
          <w:lang w:val="en-US" w:eastAsia="en-US"/>
        </w:rPr>
        <w:t>for both VA and VP</w:t>
      </w:r>
      <w:r w:rsidR="001603E2">
        <w:rPr>
          <w:bCs/>
          <w:lang w:val="en-US" w:eastAsia="en-US"/>
        </w:rPr>
        <w:t xml:space="preserve">, </w:t>
      </w:r>
      <w:r>
        <w:rPr>
          <w:bCs/>
          <w:lang w:val="en-US" w:eastAsia="en-US"/>
        </w:rPr>
        <w:t xml:space="preserve">supported by </w:t>
      </w:r>
      <w:proofErr w:type="gramStart"/>
      <w:r>
        <w:rPr>
          <w:bCs/>
          <w:lang w:val="en-US" w:eastAsia="en-US"/>
        </w:rPr>
        <w:t>read-across</w:t>
      </w:r>
      <w:proofErr w:type="gramEnd"/>
      <w:r>
        <w:rPr>
          <w:bCs/>
          <w:lang w:val="en-US" w:eastAsia="en-US"/>
        </w:rPr>
        <w:t xml:space="preserve"> from acetaldehyde</w:t>
      </w:r>
      <w:r w:rsidR="001C21A5">
        <w:rPr>
          <w:bCs/>
          <w:lang w:val="en-US" w:eastAsia="en-US"/>
        </w:rPr>
        <w:t>, the common metabolite of the two vinyl esters.</w:t>
      </w:r>
      <w:r w:rsidR="000F5E82">
        <w:rPr>
          <w:bCs/>
          <w:lang w:val="en-US" w:eastAsia="en-US"/>
        </w:rPr>
        <w:t xml:space="preserve"> Acetaldehyde is carcinogenic and mutagenic, with a </w:t>
      </w:r>
      <w:proofErr w:type="spellStart"/>
      <w:r w:rsidR="000F5E82">
        <w:rPr>
          <w:bCs/>
          <w:lang w:val="en-US" w:eastAsia="en-US"/>
        </w:rPr>
        <w:t>harmoni</w:t>
      </w:r>
      <w:r w:rsidR="005A43B3">
        <w:rPr>
          <w:bCs/>
          <w:lang w:val="en-US" w:eastAsia="en-US"/>
        </w:rPr>
        <w:t>s</w:t>
      </w:r>
      <w:r w:rsidR="000F5E82">
        <w:rPr>
          <w:bCs/>
          <w:lang w:val="en-US" w:eastAsia="en-US"/>
        </w:rPr>
        <w:t>ed</w:t>
      </w:r>
      <w:proofErr w:type="spellEnd"/>
      <w:r w:rsidR="000F5E82">
        <w:rPr>
          <w:bCs/>
          <w:lang w:val="en-US" w:eastAsia="en-US"/>
        </w:rPr>
        <w:t xml:space="preserve"> classification</w:t>
      </w:r>
      <w:r w:rsidR="00B55315">
        <w:rPr>
          <w:rStyle w:val="Fotnotsreferens"/>
          <w:bCs/>
          <w:lang w:val="en-US" w:eastAsia="en-US"/>
        </w:rPr>
        <w:footnoteReference w:id="4"/>
      </w:r>
      <w:r w:rsidR="000F5E82">
        <w:rPr>
          <w:bCs/>
          <w:lang w:val="en-US" w:eastAsia="en-US"/>
        </w:rPr>
        <w:t xml:space="preserve"> as </w:t>
      </w:r>
      <w:proofErr w:type="spellStart"/>
      <w:r w:rsidR="000F5E82">
        <w:rPr>
          <w:bCs/>
          <w:lang w:val="en-US" w:eastAsia="en-US"/>
        </w:rPr>
        <w:t>Carc</w:t>
      </w:r>
      <w:proofErr w:type="spellEnd"/>
      <w:r w:rsidR="000F5E82">
        <w:rPr>
          <w:bCs/>
          <w:lang w:val="en-US" w:eastAsia="en-US"/>
        </w:rPr>
        <w:t xml:space="preserve">. 1B and </w:t>
      </w:r>
      <w:proofErr w:type="spellStart"/>
      <w:r w:rsidR="000F5E82">
        <w:rPr>
          <w:bCs/>
          <w:lang w:val="en-US" w:eastAsia="en-US"/>
        </w:rPr>
        <w:t>Muta</w:t>
      </w:r>
      <w:proofErr w:type="spellEnd"/>
      <w:r w:rsidR="000F5E82">
        <w:rPr>
          <w:bCs/>
          <w:lang w:val="en-US" w:eastAsia="en-US"/>
        </w:rPr>
        <w:t>. 2.</w:t>
      </w:r>
      <w:r w:rsidR="001C21A5">
        <w:rPr>
          <w:bCs/>
          <w:lang w:val="en-US" w:eastAsia="en-US"/>
        </w:rPr>
        <w:t xml:space="preserve"> </w:t>
      </w:r>
      <w:r>
        <w:rPr>
          <w:bCs/>
          <w:lang w:val="en-US" w:eastAsia="en-US"/>
        </w:rPr>
        <w:t xml:space="preserve">  </w:t>
      </w:r>
    </w:p>
    <w:p w14:paraId="005D92DA" w14:textId="41ABE475" w:rsidR="00763CAA" w:rsidRDefault="00763CAA" w:rsidP="00763CAA">
      <w:pPr>
        <w:jc w:val="both"/>
        <w:rPr>
          <w:lang w:eastAsia="en-GB"/>
        </w:rPr>
      </w:pPr>
      <w:r>
        <w:rPr>
          <w:lang w:eastAsia="en-GB"/>
        </w:rPr>
        <w:t>The present RMOA was conducted to assess</w:t>
      </w:r>
      <w:r w:rsidR="00BA66ED">
        <w:rPr>
          <w:lang w:eastAsia="en-GB"/>
        </w:rPr>
        <w:t xml:space="preserve"> in detail </w:t>
      </w:r>
      <w:r>
        <w:rPr>
          <w:lang w:eastAsia="en-GB"/>
        </w:rPr>
        <w:t>the need for risk management measures for these two vinyl esters.</w:t>
      </w:r>
    </w:p>
    <w:p w14:paraId="58D9FEE3" w14:textId="77777777" w:rsidR="0083157A" w:rsidRDefault="0083157A" w:rsidP="00763CAA">
      <w:pPr>
        <w:jc w:val="both"/>
        <w:rPr>
          <w:lang w:eastAsia="en-GB"/>
        </w:rPr>
      </w:pPr>
    </w:p>
    <w:p w14:paraId="33DDEC8C" w14:textId="77777777" w:rsidR="00763CAA" w:rsidRDefault="00763CAA" w:rsidP="00763CAA">
      <w:pPr>
        <w:pStyle w:val="Liststycke"/>
        <w:jc w:val="both"/>
        <w:rPr>
          <w:lang w:eastAsia="en-GB"/>
        </w:rPr>
      </w:pPr>
    </w:p>
    <w:p w14:paraId="683539CF" w14:textId="7334C2C7" w:rsidR="00D37806" w:rsidRPr="00712E94" w:rsidRDefault="00BE5AF4" w:rsidP="00FB30A3">
      <w:pPr>
        <w:pStyle w:val="Rubrik3"/>
        <w:numPr>
          <w:ilvl w:val="0"/>
          <w:numId w:val="6"/>
        </w:numPr>
        <w:rPr>
          <w:color w:val="4F81BD" w:themeColor="accent1"/>
          <w:sz w:val="24"/>
          <w:szCs w:val="28"/>
        </w:rPr>
      </w:pPr>
      <w:r w:rsidRPr="000711F7">
        <w:rPr>
          <w:color w:val="4F81BD" w:themeColor="accent1"/>
          <w:sz w:val="24"/>
          <w:szCs w:val="28"/>
        </w:rPr>
        <w:t>CONCLUSION</w:t>
      </w:r>
      <w:r w:rsidR="00166209" w:rsidRPr="000711F7">
        <w:rPr>
          <w:color w:val="4F81BD" w:themeColor="accent1"/>
          <w:sz w:val="24"/>
          <w:szCs w:val="28"/>
        </w:rPr>
        <w:t xml:space="preserve"> OF RMOA</w:t>
      </w:r>
      <w:r w:rsidR="00D37806" w:rsidRPr="00712E94">
        <w:rPr>
          <w:i/>
        </w:rPr>
        <w:t xml:space="preserve"> </w:t>
      </w:r>
    </w:p>
    <w:p w14:paraId="18755C68" w14:textId="77777777" w:rsidR="00A46645" w:rsidRPr="00376391" w:rsidRDefault="00A46645" w:rsidP="00D125DA">
      <w:pPr>
        <w:autoSpaceDE w:val="0"/>
        <w:autoSpaceDN w:val="0"/>
        <w:adjustRightInd w:val="0"/>
        <w:jc w:val="both"/>
        <w:rPr>
          <w:szCs w:val="16"/>
        </w:rPr>
      </w:pPr>
    </w:p>
    <w:p w14:paraId="38DD78B7" w14:textId="732AE6C9" w:rsidR="009A59DA" w:rsidRPr="00477790" w:rsidRDefault="00315B0C" w:rsidP="00D125DA">
      <w:pPr>
        <w:autoSpaceDE w:val="0"/>
        <w:autoSpaceDN w:val="0"/>
        <w:adjustRightInd w:val="0"/>
        <w:jc w:val="both"/>
        <w:rPr>
          <w:szCs w:val="16"/>
        </w:rPr>
      </w:pPr>
      <w:r>
        <w:rPr>
          <w:szCs w:val="16"/>
        </w:rPr>
        <w:t xml:space="preserve">The </w:t>
      </w:r>
      <w:r w:rsidR="00897A99">
        <w:rPr>
          <w:szCs w:val="16"/>
        </w:rPr>
        <w:t xml:space="preserve">carcinogenic </w:t>
      </w:r>
      <w:r>
        <w:rPr>
          <w:szCs w:val="16"/>
        </w:rPr>
        <w:t xml:space="preserve">mechanism of </w:t>
      </w:r>
      <w:r w:rsidR="00897A99">
        <w:rPr>
          <w:szCs w:val="16"/>
        </w:rPr>
        <w:t xml:space="preserve">action </w:t>
      </w:r>
      <w:r>
        <w:rPr>
          <w:szCs w:val="16"/>
        </w:rPr>
        <w:t xml:space="preserve">for VA and VP has been suggested to depend on the </w:t>
      </w:r>
      <w:r w:rsidR="005A63A0" w:rsidRPr="00897A99">
        <w:rPr>
          <w:i/>
          <w:iCs/>
          <w:szCs w:val="16"/>
        </w:rPr>
        <w:t>in vivo</w:t>
      </w:r>
      <w:r w:rsidR="005A63A0">
        <w:rPr>
          <w:szCs w:val="16"/>
        </w:rPr>
        <w:t xml:space="preserve"> </w:t>
      </w:r>
      <w:r>
        <w:rPr>
          <w:szCs w:val="16"/>
        </w:rPr>
        <w:t>accumulation of the metabolite acetaldehyde</w:t>
      </w:r>
      <w:r w:rsidR="0058783D">
        <w:rPr>
          <w:szCs w:val="16"/>
        </w:rPr>
        <w:t>, which is formed by both VA and VP</w:t>
      </w:r>
      <w:r>
        <w:rPr>
          <w:szCs w:val="16"/>
        </w:rPr>
        <w:t>.</w:t>
      </w:r>
      <w:r w:rsidR="00477790">
        <w:rPr>
          <w:szCs w:val="16"/>
        </w:rPr>
        <w:t xml:space="preserve"> </w:t>
      </w:r>
      <w:r w:rsidR="00D125DA" w:rsidRPr="00376391">
        <w:rPr>
          <w:szCs w:val="16"/>
        </w:rPr>
        <w:t>A</w:t>
      </w:r>
      <w:r w:rsidR="0050115C">
        <w:rPr>
          <w:szCs w:val="16"/>
        </w:rPr>
        <w:t>s also detailed in the RAC Opinion on vinyl acetate (2011), a</w:t>
      </w:r>
      <w:r w:rsidR="00D125DA" w:rsidRPr="00376391">
        <w:rPr>
          <w:szCs w:val="16"/>
        </w:rPr>
        <w:t xml:space="preserve"> threshold mechanism of action is </w:t>
      </w:r>
      <w:r w:rsidR="00236468">
        <w:rPr>
          <w:szCs w:val="16"/>
        </w:rPr>
        <w:t xml:space="preserve">thought to be active </w:t>
      </w:r>
      <w:r w:rsidR="00D125DA" w:rsidRPr="00376391">
        <w:rPr>
          <w:szCs w:val="16"/>
        </w:rPr>
        <w:t>for the carcinogenicity of VA and VP, as the accumulation of acetaldehyde</w:t>
      </w:r>
      <w:r w:rsidR="005A63A0">
        <w:rPr>
          <w:szCs w:val="16"/>
        </w:rPr>
        <w:t xml:space="preserve"> </w:t>
      </w:r>
      <w:r w:rsidR="00D125DA" w:rsidRPr="00376391">
        <w:rPr>
          <w:szCs w:val="16"/>
        </w:rPr>
        <w:t xml:space="preserve">is dependent on the activities of the </w:t>
      </w:r>
      <w:r w:rsidR="00D125DA" w:rsidRPr="00376391">
        <w:t xml:space="preserve">enzymes involved, </w:t>
      </w:r>
      <w:proofErr w:type="gramStart"/>
      <w:r w:rsidR="00D125DA" w:rsidRPr="00376391">
        <w:t>i.e.</w:t>
      </w:r>
      <w:proofErr w:type="gramEnd"/>
      <w:r w:rsidR="00D125DA" w:rsidRPr="00376391">
        <w:t xml:space="preserve"> acetaldehyde could accumulate if ALDH</w:t>
      </w:r>
      <w:r w:rsidR="005A63A0">
        <w:t xml:space="preserve"> (aldehyde dehydrogenase)</w:t>
      </w:r>
      <w:r w:rsidR="00D125DA" w:rsidRPr="00376391">
        <w:t xml:space="preserve"> is saturated.</w:t>
      </w:r>
      <w:r w:rsidR="001603E2">
        <w:t xml:space="preserve"> Based on the information provided in the registration, the limited amount of acetaldehyde formed from the metabolism of VA and VP is not considered to be sufficient for the saturation of ALDH. </w:t>
      </w:r>
      <w:r w:rsidR="00D125DA" w:rsidRPr="00376391">
        <w:rPr>
          <w:lang w:eastAsia="en-GB"/>
        </w:rPr>
        <w:t>Furthermore, as stated in the Guidance document on the application of the CLP Criteria (2017)</w:t>
      </w:r>
      <w:r w:rsidR="00132FF4">
        <w:rPr>
          <w:lang w:eastAsia="en-GB"/>
        </w:rPr>
        <w:t xml:space="preserve"> and in the RAC Opinion on vinyl acetate (2011)</w:t>
      </w:r>
      <w:r w:rsidR="00D125DA" w:rsidRPr="00376391">
        <w:rPr>
          <w:lang w:eastAsia="en-GB"/>
        </w:rPr>
        <w:t>, the existence of a secondary mechanism of action with the implication of a practical threshold above a certain dose level may lead to a classification in Category 2 rather than Category 1.</w:t>
      </w:r>
    </w:p>
    <w:p w14:paraId="48927C69" w14:textId="0492EC1C" w:rsidR="00D125DA" w:rsidRDefault="00D125DA" w:rsidP="00D125DA">
      <w:pPr>
        <w:autoSpaceDE w:val="0"/>
        <w:autoSpaceDN w:val="0"/>
        <w:adjustRightInd w:val="0"/>
        <w:jc w:val="both"/>
        <w:rPr>
          <w:lang w:eastAsia="en-GB"/>
        </w:rPr>
      </w:pPr>
    </w:p>
    <w:p w14:paraId="25416B45" w14:textId="30D452A0" w:rsidR="00A46645" w:rsidRPr="00642CAF" w:rsidRDefault="009D52B4" w:rsidP="00D125DA">
      <w:pPr>
        <w:autoSpaceDE w:val="0"/>
        <w:autoSpaceDN w:val="0"/>
        <w:adjustRightInd w:val="0"/>
        <w:jc w:val="both"/>
        <w:rPr>
          <w:lang w:eastAsia="en-GB"/>
        </w:rPr>
      </w:pPr>
      <w:r>
        <w:rPr>
          <w:szCs w:val="16"/>
        </w:rPr>
        <w:t xml:space="preserve">Therefore, </w:t>
      </w:r>
      <w:r w:rsidR="00AC005F">
        <w:rPr>
          <w:bCs/>
          <w:lang w:val="en-US"/>
        </w:rPr>
        <w:t>b</w:t>
      </w:r>
      <w:r w:rsidR="00AC005F">
        <w:rPr>
          <w:bCs/>
          <w:lang w:val="en-US"/>
        </w:rPr>
        <w:t>ased on the in-depth evaluation performed in the present RMOA, the Swedish CA sees no need to update the classifications for VA and VP</w:t>
      </w:r>
      <w:r w:rsidR="00642CAF">
        <w:rPr>
          <w:bCs/>
          <w:lang w:val="en-US"/>
        </w:rPr>
        <w:t xml:space="preserve">, as initially suggested after </w:t>
      </w:r>
      <w:r w:rsidR="00642CAF">
        <w:rPr>
          <w:bCs/>
          <w:lang w:val="en-US"/>
        </w:rPr>
        <w:lastRenderedPageBreak/>
        <w:t>the manual screening performed in 2019.</w:t>
      </w:r>
    </w:p>
    <w:p w14:paraId="683539D0" w14:textId="77777777" w:rsidR="00BE5AF4" w:rsidRDefault="00BE5AF4" w:rsidP="00BE5AF4">
      <w:pPr>
        <w:pStyle w:val="Brd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912"/>
      </w:tblGrid>
      <w:tr w:rsidR="00B2524D" w:rsidRPr="00B2524D" w:rsidDel="001E1883" w14:paraId="683539D3" w14:textId="77777777" w:rsidTr="009D30A3">
        <w:trPr>
          <w:trHeight w:val="175"/>
        </w:trPr>
        <w:tc>
          <w:tcPr>
            <w:tcW w:w="7338" w:type="dxa"/>
            <w:shd w:val="clear" w:color="auto" w:fill="auto"/>
          </w:tcPr>
          <w:p w14:paraId="683539D1" w14:textId="77777777" w:rsidR="00B2524D" w:rsidRPr="00B2524D" w:rsidRDefault="00B2524D" w:rsidP="00B2524D">
            <w:pPr>
              <w:spacing w:before="120"/>
              <w:rPr>
                <w:b/>
              </w:rPr>
            </w:pPr>
            <w:r w:rsidRPr="00B2524D">
              <w:rPr>
                <w:b/>
              </w:rPr>
              <w:t>Conclusions</w:t>
            </w:r>
          </w:p>
        </w:tc>
        <w:tc>
          <w:tcPr>
            <w:tcW w:w="912" w:type="dxa"/>
          </w:tcPr>
          <w:p w14:paraId="683539D2" w14:textId="77777777" w:rsidR="00B2524D" w:rsidRPr="00B2524D" w:rsidDel="001E1883" w:rsidRDefault="00B2524D" w:rsidP="00B2524D">
            <w:pPr>
              <w:rPr>
                <w:b/>
              </w:rPr>
            </w:pPr>
            <w:r w:rsidRPr="00B2524D">
              <w:rPr>
                <w:b/>
              </w:rPr>
              <w:t>Tick box</w:t>
            </w:r>
          </w:p>
        </w:tc>
      </w:tr>
      <w:tr w:rsidR="00B2524D" w:rsidRPr="00B2524D" w:rsidDel="001E1883" w14:paraId="683539D6" w14:textId="77777777" w:rsidTr="009D30A3">
        <w:trPr>
          <w:trHeight w:val="454"/>
        </w:trPr>
        <w:tc>
          <w:tcPr>
            <w:tcW w:w="7338" w:type="dxa"/>
            <w:tcBorders>
              <w:bottom w:val="dashed" w:sz="4" w:space="0" w:color="auto"/>
            </w:tcBorders>
            <w:shd w:val="clear" w:color="auto" w:fill="auto"/>
            <w:vAlign w:val="center"/>
          </w:tcPr>
          <w:p w14:paraId="683539D4" w14:textId="77777777" w:rsidR="00B2524D" w:rsidRPr="00B2524D" w:rsidDel="001E1883" w:rsidRDefault="00B2524D" w:rsidP="00B2524D">
            <w:pPr>
              <w:spacing w:line="276" w:lineRule="auto"/>
            </w:pPr>
            <w:r w:rsidRPr="00B2524D">
              <w:t>Need for follow-up regulatory action at EU level:</w:t>
            </w:r>
          </w:p>
        </w:tc>
        <w:tc>
          <w:tcPr>
            <w:tcW w:w="912" w:type="dxa"/>
            <w:tcBorders>
              <w:bottom w:val="dashed" w:sz="4" w:space="0" w:color="auto"/>
            </w:tcBorders>
            <w:vAlign w:val="center"/>
          </w:tcPr>
          <w:p w14:paraId="683539D5" w14:textId="77777777" w:rsidR="00B2524D" w:rsidRPr="00B2524D" w:rsidDel="001E1883" w:rsidRDefault="00B2524D" w:rsidP="00B2524D">
            <w:pPr>
              <w:spacing w:line="276" w:lineRule="auto"/>
            </w:pPr>
          </w:p>
        </w:tc>
      </w:tr>
      <w:tr w:rsidR="00B2524D" w:rsidRPr="00B2524D" w14:paraId="683539D9" w14:textId="77777777" w:rsidTr="009D30A3">
        <w:trPr>
          <w:trHeight w:val="227"/>
        </w:trPr>
        <w:tc>
          <w:tcPr>
            <w:tcW w:w="7338" w:type="dxa"/>
            <w:tcBorders>
              <w:top w:val="dashed" w:sz="4" w:space="0" w:color="auto"/>
              <w:bottom w:val="dashed" w:sz="4" w:space="0" w:color="auto"/>
            </w:tcBorders>
            <w:shd w:val="clear" w:color="auto" w:fill="auto"/>
          </w:tcPr>
          <w:p w14:paraId="683539D7" w14:textId="77777777" w:rsidR="00B2524D" w:rsidRPr="00B2524D" w:rsidRDefault="00B2524D" w:rsidP="00B2524D">
            <w:pPr>
              <w:spacing w:line="276" w:lineRule="auto"/>
              <w:ind w:left="340"/>
              <w:rPr>
                <w:i/>
              </w:rPr>
            </w:pPr>
            <w:r w:rsidRPr="00B2524D">
              <w:rPr>
                <w:i/>
              </w:rPr>
              <w:t>Harmonised classification and labelling</w:t>
            </w:r>
          </w:p>
        </w:tc>
        <w:tc>
          <w:tcPr>
            <w:tcW w:w="912" w:type="dxa"/>
            <w:tcBorders>
              <w:top w:val="dashed" w:sz="4" w:space="0" w:color="auto"/>
              <w:bottom w:val="dashed" w:sz="4" w:space="0" w:color="auto"/>
            </w:tcBorders>
            <w:vAlign w:val="center"/>
          </w:tcPr>
          <w:p w14:paraId="683539D8" w14:textId="77777777" w:rsidR="00B2524D" w:rsidRPr="00B2524D" w:rsidRDefault="00B2524D" w:rsidP="00B2524D"/>
        </w:tc>
      </w:tr>
      <w:tr w:rsidR="00B2524D" w:rsidRPr="00B2524D" w14:paraId="683539DC" w14:textId="77777777" w:rsidTr="009D30A3">
        <w:trPr>
          <w:trHeight w:val="227"/>
        </w:trPr>
        <w:tc>
          <w:tcPr>
            <w:tcW w:w="7338" w:type="dxa"/>
            <w:tcBorders>
              <w:top w:val="dashed" w:sz="4" w:space="0" w:color="auto"/>
              <w:bottom w:val="dashed" w:sz="4" w:space="0" w:color="auto"/>
            </w:tcBorders>
            <w:shd w:val="clear" w:color="auto" w:fill="auto"/>
          </w:tcPr>
          <w:p w14:paraId="683539DA" w14:textId="77777777" w:rsidR="00B2524D" w:rsidRPr="00B2524D" w:rsidRDefault="00B2524D" w:rsidP="00B2524D">
            <w:pPr>
              <w:spacing w:line="276" w:lineRule="auto"/>
              <w:ind w:left="340"/>
              <w:rPr>
                <w:i/>
              </w:rPr>
            </w:pPr>
            <w:r w:rsidRPr="00B2524D">
              <w:rPr>
                <w:i/>
              </w:rPr>
              <w:t>Identification as SVHC (authorisation)</w:t>
            </w:r>
          </w:p>
        </w:tc>
        <w:tc>
          <w:tcPr>
            <w:tcW w:w="912" w:type="dxa"/>
            <w:tcBorders>
              <w:top w:val="dashed" w:sz="4" w:space="0" w:color="auto"/>
              <w:bottom w:val="dashed" w:sz="4" w:space="0" w:color="auto"/>
            </w:tcBorders>
            <w:vAlign w:val="center"/>
          </w:tcPr>
          <w:p w14:paraId="683539DB" w14:textId="77777777" w:rsidR="00B2524D" w:rsidRPr="00B2524D" w:rsidRDefault="00B2524D" w:rsidP="00B2524D">
            <w:pPr>
              <w:jc w:val="center"/>
            </w:pPr>
          </w:p>
        </w:tc>
      </w:tr>
      <w:tr w:rsidR="00B2524D" w:rsidRPr="00B2524D" w14:paraId="683539DF" w14:textId="77777777" w:rsidTr="009D30A3">
        <w:trPr>
          <w:trHeight w:val="227"/>
        </w:trPr>
        <w:tc>
          <w:tcPr>
            <w:tcW w:w="7338" w:type="dxa"/>
            <w:tcBorders>
              <w:top w:val="dashed" w:sz="4" w:space="0" w:color="auto"/>
              <w:bottom w:val="dashed" w:sz="4" w:space="0" w:color="auto"/>
            </w:tcBorders>
            <w:shd w:val="clear" w:color="auto" w:fill="auto"/>
          </w:tcPr>
          <w:p w14:paraId="683539DD" w14:textId="77777777" w:rsidR="00B2524D" w:rsidRPr="00B2524D" w:rsidRDefault="008A1880" w:rsidP="00B2524D">
            <w:pPr>
              <w:spacing w:line="276" w:lineRule="auto"/>
              <w:ind w:left="340"/>
              <w:rPr>
                <w:i/>
              </w:rPr>
            </w:pPr>
            <w:r>
              <w:rPr>
                <w:i/>
              </w:rPr>
              <w:t>Restriction</w:t>
            </w:r>
            <w:r w:rsidR="00B2524D" w:rsidRPr="00B2524D">
              <w:rPr>
                <w:i/>
              </w:rPr>
              <w:t xml:space="preserve"> under REACH</w:t>
            </w:r>
          </w:p>
        </w:tc>
        <w:tc>
          <w:tcPr>
            <w:tcW w:w="912" w:type="dxa"/>
            <w:tcBorders>
              <w:top w:val="dashed" w:sz="4" w:space="0" w:color="auto"/>
              <w:bottom w:val="dashed" w:sz="4" w:space="0" w:color="auto"/>
            </w:tcBorders>
            <w:vAlign w:val="center"/>
          </w:tcPr>
          <w:p w14:paraId="683539DE" w14:textId="77777777" w:rsidR="00B2524D" w:rsidRPr="00B2524D" w:rsidRDefault="00B2524D" w:rsidP="00B2524D"/>
        </w:tc>
      </w:tr>
      <w:tr w:rsidR="00B2524D" w:rsidRPr="00B2524D" w14:paraId="683539E2" w14:textId="77777777" w:rsidTr="009D30A3">
        <w:trPr>
          <w:trHeight w:val="227"/>
        </w:trPr>
        <w:tc>
          <w:tcPr>
            <w:tcW w:w="7338" w:type="dxa"/>
            <w:tcBorders>
              <w:top w:val="dashed" w:sz="4" w:space="0" w:color="auto"/>
            </w:tcBorders>
            <w:shd w:val="clear" w:color="auto" w:fill="auto"/>
          </w:tcPr>
          <w:p w14:paraId="683539E0" w14:textId="77777777" w:rsidR="00B2524D" w:rsidRPr="00B2524D" w:rsidRDefault="00B2524D" w:rsidP="00B2524D">
            <w:pPr>
              <w:spacing w:line="276" w:lineRule="auto"/>
              <w:ind w:left="340"/>
              <w:rPr>
                <w:i/>
              </w:rPr>
            </w:pPr>
            <w:r w:rsidRPr="00B2524D">
              <w:rPr>
                <w:i/>
              </w:rPr>
              <w:t>Other EU-wide regulatory measures</w:t>
            </w:r>
          </w:p>
        </w:tc>
        <w:tc>
          <w:tcPr>
            <w:tcW w:w="912" w:type="dxa"/>
            <w:tcBorders>
              <w:top w:val="dashed" w:sz="4" w:space="0" w:color="auto"/>
            </w:tcBorders>
            <w:vAlign w:val="center"/>
          </w:tcPr>
          <w:p w14:paraId="683539E1" w14:textId="77777777" w:rsidR="00B2524D" w:rsidRPr="00B2524D" w:rsidRDefault="00B2524D" w:rsidP="00B2524D">
            <w:pPr>
              <w:jc w:val="center"/>
            </w:pPr>
          </w:p>
        </w:tc>
      </w:tr>
      <w:tr w:rsidR="00B2524D" w:rsidRPr="00B2524D" w14:paraId="683539E5" w14:textId="77777777" w:rsidTr="009D30A3">
        <w:trPr>
          <w:trHeight w:val="227"/>
        </w:trPr>
        <w:tc>
          <w:tcPr>
            <w:tcW w:w="7338" w:type="dxa"/>
            <w:shd w:val="clear" w:color="auto" w:fill="auto"/>
            <w:vAlign w:val="center"/>
          </w:tcPr>
          <w:p w14:paraId="683539E3" w14:textId="77777777" w:rsidR="00B2524D" w:rsidRPr="00B2524D" w:rsidRDefault="00B2524D" w:rsidP="00B2524D">
            <w:pPr>
              <w:spacing w:line="276" w:lineRule="auto"/>
            </w:pPr>
            <w:r w:rsidRPr="00B2524D">
              <w:t>Need for action other than EU regulatory action</w:t>
            </w:r>
          </w:p>
        </w:tc>
        <w:tc>
          <w:tcPr>
            <w:tcW w:w="912" w:type="dxa"/>
            <w:vAlign w:val="center"/>
          </w:tcPr>
          <w:p w14:paraId="683539E4" w14:textId="77777777" w:rsidR="00B2524D" w:rsidRPr="00B2524D" w:rsidRDefault="00B2524D" w:rsidP="00B2524D">
            <w:pPr>
              <w:spacing w:line="276" w:lineRule="auto"/>
              <w:jc w:val="center"/>
            </w:pPr>
          </w:p>
        </w:tc>
      </w:tr>
      <w:tr w:rsidR="00B2524D" w:rsidRPr="00B2524D" w14:paraId="683539E8" w14:textId="77777777" w:rsidTr="009D30A3">
        <w:trPr>
          <w:trHeight w:val="227"/>
        </w:trPr>
        <w:tc>
          <w:tcPr>
            <w:tcW w:w="7338" w:type="dxa"/>
            <w:shd w:val="clear" w:color="auto" w:fill="auto"/>
            <w:vAlign w:val="center"/>
          </w:tcPr>
          <w:p w14:paraId="683539E6" w14:textId="77777777" w:rsidR="00B2524D" w:rsidRPr="00B2524D" w:rsidRDefault="00B2524D" w:rsidP="00B2524D">
            <w:pPr>
              <w:spacing w:line="276" w:lineRule="auto"/>
            </w:pPr>
            <w:r w:rsidRPr="00B2524D">
              <w:t>No action needed at this time</w:t>
            </w:r>
          </w:p>
        </w:tc>
        <w:tc>
          <w:tcPr>
            <w:tcW w:w="912" w:type="dxa"/>
            <w:vAlign w:val="center"/>
          </w:tcPr>
          <w:p w14:paraId="683539E7" w14:textId="27677F0D" w:rsidR="00B2524D" w:rsidRPr="00B2524D" w:rsidRDefault="0073407D" w:rsidP="0073407D">
            <w:pPr>
              <w:spacing w:line="276" w:lineRule="auto"/>
              <w:jc w:val="center"/>
            </w:pPr>
            <w:r>
              <w:t>x</w:t>
            </w:r>
          </w:p>
        </w:tc>
      </w:tr>
    </w:tbl>
    <w:p w14:paraId="68353A08" w14:textId="77777777" w:rsidR="003C3793" w:rsidRDefault="003C3793" w:rsidP="00471457">
      <w:pPr>
        <w:pStyle w:val="Brdtext"/>
      </w:pPr>
    </w:p>
    <w:p w14:paraId="68353A34" w14:textId="77777777" w:rsidR="00DB0024" w:rsidRDefault="00DB0024" w:rsidP="00DB0024">
      <w:pPr>
        <w:pStyle w:val="Brdtext"/>
      </w:pPr>
    </w:p>
    <w:p w14:paraId="68353A35" w14:textId="1A40B304" w:rsidR="00DB0024" w:rsidRDefault="006617E0" w:rsidP="00DB0024">
      <w:pPr>
        <w:pStyle w:val="Rubrik3"/>
        <w:numPr>
          <w:ilvl w:val="0"/>
          <w:numId w:val="6"/>
        </w:numPr>
        <w:rPr>
          <w:caps/>
          <w:color w:val="4F81BD" w:themeColor="accent1"/>
          <w:sz w:val="24"/>
          <w:szCs w:val="28"/>
        </w:rPr>
      </w:pPr>
      <w:r>
        <w:rPr>
          <w:caps/>
          <w:color w:val="4F81BD" w:themeColor="accent1"/>
          <w:sz w:val="24"/>
          <w:szCs w:val="28"/>
        </w:rPr>
        <w:t xml:space="preserve">No </w:t>
      </w:r>
      <w:r w:rsidR="00DB0024" w:rsidRPr="00270FFE">
        <w:rPr>
          <w:caps/>
          <w:color w:val="4F81BD" w:themeColor="accent1"/>
          <w:sz w:val="24"/>
          <w:szCs w:val="28"/>
        </w:rPr>
        <w:t xml:space="preserve">action </w:t>
      </w:r>
      <w:r>
        <w:rPr>
          <w:caps/>
          <w:color w:val="4F81BD" w:themeColor="accent1"/>
          <w:sz w:val="24"/>
          <w:szCs w:val="28"/>
        </w:rPr>
        <w:t>needed at this time</w:t>
      </w:r>
    </w:p>
    <w:p w14:paraId="286F5592" w14:textId="023EC416" w:rsidR="00986017" w:rsidRPr="00FC47C3" w:rsidRDefault="00154F0E" w:rsidP="00FC47C3">
      <w:pPr>
        <w:pStyle w:val="Brdtext"/>
        <w:jc w:val="both"/>
      </w:pPr>
      <w:r>
        <w:t>Based upon the available data, no risks were identified for uses of either vinyl ester. Moreover, it is considered that the current RMMs (harmonised classification and self-classification) are sufficiently protective for the workers handling the monomers.</w:t>
      </w:r>
    </w:p>
    <w:p w14:paraId="0F4ECAF5" w14:textId="124CEF0E" w:rsidR="00FC47C3" w:rsidRPr="0051454C" w:rsidRDefault="00F35B07" w:rsidP="0051454C">
      <w:pPr>
        <w:autoSpaceDE w:val="0"/>
        <w:autoSpaceDN w:val="0"/>
        <w:adjustRightInd w:val="0"/>
        <w:jc w:val="both"/>
      </w:pPr>
      <w:r>
        <w:rPr>
          <w:szCs w:val="16"/>
        </w:rPr>
        <w:t xml:space="preserve">However, it </w:t>
      </w:r>
      <w:proofErr w:type="gramStart"/>
      <w:r>
        <w:rPr>
          <w:szCs w:val="16"/>
        </w:rPr>
        <w:t>has to</w:t>
      </w:r>
      <w:proofErr w:type="gramEnd"/>
      <w:r>
        <w:rPr>
          <w:szCs w:val="16"/>
        </w:rPr>
        <w:t xml:space="preserve"> be noted that at the time the RMOA was initiated, </w:t>
      </w:r>
      <w:r w:rsidR="001B64A4">
        <w:rPr>
          <w:szCs w:val="16"/>
        </w:rPr>
        <w:t>VP ha</w:t>
      </w:r>
      <w:r>
        <w:rPr>
          <w:szCs w:val="16"/>
        </w:rPr>
        <w:t>d</w:t>
      </w:r>
      <w:r w:rsidR="001B64A4">
        <w:rPr>
          <w:szCs w:val="16"/>
        </w:rPr>
        <w:t xml:space="preserve"> a</w:t>
      </w:r>
      <w:r w:rsidR="001B64A4" w:rsidRPr="00F027A1">
        <w:rPr>
          <w:szCs w:val="16"/>
        </w:rPr>
        <w:t xml:space="preserve"> high number</w:t>
      </w:r>
      <w:r w:rsidR="001B64A4">
        <w:rPr>
          <w:szCs w:val="16"/>
        </w:rPr>
        <w:t xml:space="preserve"> </w:t>
      </w:r>
      <w:r w:rsidR="001B64A4" w:rsidRPr="00F027A1">
        <w:rPr>
          <w:szCs w:val="16"/>
        </w:rPr>
        <w:t xml:space="preserve">of C&amp;L notifiers </w:t>
      </w:r>
      <w:r w:rsidR="001B64A4">
        <w:rPr>
          <w:szCs w:val="16"/>
        </w:rPr>
        <w:t>(n=44)</w:t>
      </w:r>
      <w:r w:rsidR="001B64A4" w:rsidRPr="00F027A1">
        <w:rPr>
          <w:szCs w:val="16"/>
        </w:rPr>
        <w:t xml:space="preserve"> without proper self-classification</w:t>
      </w:r>
      <w:r w:rsidR="001B64A4">
        <w:rPr>
          <w:szCs w:val="16"/>
        </w:rPr>
        <w:t xml:space="preserve"> as </w:t>
      </w:r>
      <w:proofErr w:type="spellStart"/>
      <w:r w:rsidR="001B64A4">
        <w:rPr>
          <w:szCs w:val="16"/>
        </w:rPr>
        <w:t>Carc</w:t>
      </w:r>
      <w:proofErr w:type="spellEnd"/>
      <w:r w:rsidR="001B64A4">
        <w:rPr>
          <w:szCs w:val="16"/>
        </w:rPr>
        <w:t>. 2</w:t>
      </w:r>
      <w:r w:rsidR="0051454C">
        <w:rPr>
          <w:szCs w:val="16"/>
        </w:rPr>
        <w:t xml:space="preserve">. </w:t>
      </w:r>
      <w:r w:rsidR="00154F0E">
        <w:rPr>
          <w:iCs/>
        </w:rPr>
        <w:t xml:space="preserve">The Swedish CA has contacted the </w:t>
      </w:r>
      <w:r w:rsidR="00CE7C5E">
        <w:rPr>
          <w:iCs/>
        </w:rPr>
        <w:t>C&amp;L Inventory notifiers</w:t>
      </w:r>
      <w:r w:rsidR="00833EB3">
        <w:rPr>
          <w:iCs/>
        </w:rPr>
        <w:t xml:space="preserve"> of VP (but also the lead-registrant)</w:t>
      </w:r>
      <w:r w:rsidR="003F3254">
        <w:rPr>
          <w:iCs/>
        </w:rPr>
        <w:t xml:space="preserve"> </w:t>
      </w:r>
      <w:r w:rsidR="009113C6">
        <w:rPr>
          <w:iCs/>
        </w:rPr>
        <w:t>to</w:t>
      </w:r>
      <w:r w:rsidR="003F3254">
        <w:rPr>
          <w:iCs/>
        </w:rPr>
        <w:t xml:space="preserve"> remind</w:t>
      </w:r>
      <w:r w:rsidR="004170DC">
        <w:rPr>
          <w:iCs/>
        </w:rPr>
        <w:t xml:space="preserve"> them</w:t>
      </w:r>
      <w:r w:rsidR="003F3254">
        <w:rPr>
          <w:iCs/>
        </w:rPr>
        <w:t xml:space="preserve"> of their obligation under Art. 41 of the CLP Regulation</w:t>
      </w:r>
      <w:r w:rsidR="004170DC">
        <w:rPr>
          <w:iCs/>
        </w:rPr>
        <w:t xml:space="preserve">, </w:t>
      </w:r>
      <w:proofErr w:type="gramStart"/>
      <w:r w:rsidR="004170DC">
        <w:rPr>
          <w:iCs/>
        </w:rPr>
        <w:t>in order to</w:t>
      </w:r>
      <w:proofErr w:type="gramEnd"/>
      <w:r w:rsidR="004170DC">
        <w:rPr>
          <w:iCs/>
        </w:rPr>
        <w:t xml:space="preserve"> </w:t>
      </w:r>
      <w:r w:rsidR="00FC47C3">
        <w:rPr>
          <w:iCs/>
        </w:rPr>
        <w:t>en</w:t>
      </w:r>
      <w:r w:rsidR="004170DC">
        <w:rPr>
          <w:iCs/>
        </w:rPr>
        <w:t>sure consistent</w:t>
      </w:r>
      <w:r w:rsidR="00FC47C3">
        <w:rPr>
          <w:iCs/>
        </w:rPr>
        <w:t xml:space="preserve"> self-classification. This has resulted in </w:t>
      </w:r>
      <w:r w:rsidR="000A351F">
        <w:rPr>
          <w:iCs/>
        </w:rPr>
        <w:t>1</w:t>
      </w:r>
      <w:r w:rsidR="00620800">
        <w:rPr>
          <w:iCs/>
        </w:rPr>
        <w:t>/44</w:t>
      </w:r>
      <w:r w:rsidR="000A351F">
        <w:rPr>
          <w:iCs/>
        </w:rPr>
        <w:t xml:space="preserve"> notifier</w:t>
      </w:r>
      <w:r w:rsidR="00620800">
        <w:rPr>
          <w:iCs/>
        </w:rPr>
        <w:t>s</w:t>
      </w:r>
      <w:r w:rsidR="000A351F">
        <w:rPr>
          <w:iCs/>
        </w:rPr>
        <w:t xml:space="preserve"> self-classifying VP as </w:t>
      </w:r>
      <w:proofErr w:type="spellStart"/>
      <w:r w:rsidR="000A351F">
        <w:rPr>
          <w:iCs/>
        </w:rPr>
        <w:t>Carc</w:t>
      </w:r>
      <w:proofErr w:type="spellEnd"/>
      <w:r w:rsidR="000A351F">
        <w:rPr>
          <w:iCs/>
        </w:rPr>
        <w:t>. 2.</w:t>
      </w:r>
    </w:p>
    <w:p w14:paraId="3AAD3B40" w14:textId="77777777" w:rsidR="00FC47C3" w:rsidRDefault="00FC47C3" w:rsidP="00833EB3">
      <w:pPr>
        <w:jc w:val="both"/>
        <w:rPr>
          <w:iCs/>
        </w:rPr>
      </w:pPr>
    </w:p>
    <w:p w14:paraId="7FEE7A43" w14:textId="7E6C14DC" w:rsidR="00620800" w:rsidRDefault="000A351F" w:rsidP="00620800">
      <w:pPr>
        <w:jc w:val="both"/>
        <w:rPr>
          <w:iCs/>
        </w:rPr>
      </w:pPr>
      <w:r>
        <w:rPr>
          <w:iCs/>
        </w:rPr>
        <w:t xml:space="preserve">There is still quite </w:t>
      </w:r>
      <w:proofErr w:type="gramStart"/>
      <w:r>
        <w:rPr>
          <w:iCs/>
        </w:rPr>
        <w:t>a large number</w:t>
      </w:r>
      <w:r w:rsidR="00FC47C3" w:rsidRPr="00376391">
        <w:rPr>
          <w:szCs w:val="16"/>
        </w:rPr>
        <w:t xml:space="preserve"> of</w:t>
      </w:r>
      <w:proofErr w:type="gramEnd"/>
      <w:r w:rsidR="00FC47C3" w:rsidRPr="00376391">
        <w:rPr>
          <w:szCs w:val="16"/>
        </w:rPr>
        <w:t xml:space="preserve"> C&amp;L notifiers (n=4</w:t>
      </w:r>
      <w:r>
        <w:rPr>
          <w:szCs w:val="16"/>
        </w:rPr>
        <w:t>3</w:t>
      </w:r>
      <w:r w:rsidR="00FC47C3" w:rsidRPr="00376391">
        <w:rPr>
          <w:szCs w:val="16"/>
        </w:rPr>
        <w:t xml:space="preserve">) without proper self-classification as </w:t>
      </w:r>
      <w:proofErr w:type="spellStart"/>
      <w:r w:rsidR="00FC47C3" w:rsidRPr="00376391">
        <w:rPr>
          <w:szCs w:val="16"/>
        </w:rPr>
        <w:t>Carc</w:t>
      </w:r>
      <w:proofErr w:type="spellEnd"/>
      <w:r w:rsidR="00FC47C3" w:rsidRPr="00376391">
        <w:rPr>
          <w:szCs w:val="16"/>
        </w:rPr>
        <w:t>. 2, and RRM in the form of CLH may therefore be warranted.</w:t>
      </w:r>
      <w:r w:rsidR="00620800">
        <w:t xml:space="preserve"> </w:t>
      </w:r>
      <w:r w:rsidR="00620800">
        <w:rPr>
          <w:iCs/>
        </w:rPr>
        <w:t xml:space="preserve">The Swedish CA therefore encourages the other notifying companies to update their C&amp;L Inventory notifications </w:t>
      </w:r>
      <w:proofErr w:type="gramStart"/>
      <w:r w:rsidR="00620800">
        <w:rPr>
          <w:iCs/>
        </w:rPr>
        <w:t>in order to</w:t>
      </w:r>
      <w:proofErr w:type="gramEnd"/>
      <w:r w:rsidR="00620800">
        <w:rPr>
          <w:iCs/>
        </w:rPr>
        <w:t xml:space="preserve"> ensure appropriate RRM for the safety of the </w:t>
      </w:r>
      <w:r w:rsidR="00C52D75">
        <w:rPr>
          <w:iCs/>
        </w:rPr>
        <w:t xml:space="preserve">workers </w:t>
      </w:r>
      <w:r w:rsidR="00620800">
        <w:rPr>
          <w:iCs/>
        </w:rPr>
        <w:t xml:space="preserve">handling VP. </w:t>
      </w:r>
    </w:p>
    <w:p w14:paraId="41692B5F" w14:textId="77777777" w:rsidR="00620800" w:rsidRDefault="00620800" w:rsidP="00FC47C3">
      <w:pPr>
        <w:autoSpaceDE w:val="0"/>
        <w:autoSpaceDN w:val="0"/>
        <w:adjustRightInd w:val="0"/>
        <w:jc w:val="both"/>
      </w:pPr>
    </w:p>
    <w:p w14:paraId="22C6CC76" w14:textId="07757DD6" w:rsidR="00FC47C3" w:rsidRDefault="00FC47C3" w:rsidP="00FC47C3">
      <w:pPr>
        <w:autoSpaceDE w:val="0"/>
        <w:autoSpaceDN w:val="0"/>
        <w:adjustRightInd w:val="0"/>
        <w:jc w:val="both"/>
      </w:pPr>
      <w:r w:rsidRPr="00376391">
        <w:t>However, based on the low tonnage, that the only registered uses are industrial, and uncertainty regarding whether notifications are made for the monomer or (co)polymers, the Swedish CA leans towards that the self-classification by the lead registrant is sufficient as RRM</w:t>
      </w:r>
      <w:r w:rsidR="0014108D">
        <w:t xml:space="preserve">. No further action is thus considered necessary </w:t>
      </w:r>
      <w:proofErr w:type="gramStart"/>
      <w:r w:rsidR="0014108D">
        <w:t>at this point in time</w:t>
      </w:r>
      <w:proofErr w:type="gramEnd"/>
      <w:r w:rsidR="0014108D">
        <w:t xml:space="preserve">. </w:t>
      </w:r>
    </w:p>
    <w:p w14:paraId="6DAC1455" w14:textId="76BC86F6" w:rsidR="00226D72" w:rsidRDefault="00FC47C3" w:rsidP="00833EB3">
      <w:pPr>
        <w:jc w:val="both"/>
        <w:rPr>
          <w:iCs/>
        </w:rPr>
      </w:pPr>
      <w:r>
        <w:rPr>
          <w:iCs/>
        </w:rPr>
        <w:t xml:space="preserve"> </w:t>
      </w:r>
      <w:r w:rsidR="004170DC">
        <w:rPr>
          <w:iCs/>
        </w:rPr>
        <w:t xml:space="preserve"> </w:t>
      </w:r>
      <w:r w:rsidR="003F3254">
        <w:rPr>
          <w:iCs/>
        </w:rPr>
        <w:t xml:space="preserve"> </w:t>
      </w:r>
    </w:p>
    <w:p w14:paraId="279A8150" w14:textId="77777777" w:rsidR="00833EB3" w:rsidRDefault="00833EB3" w:rsidP="00833EB3">
      <w:pPr>
        <w:jc w:val="both"/>
        <w:rPr>
          <w:iCs/>
        </w:rPr>
      </w:pPr>
    </w:p>
    <w:p w14:paraId="0CABFE30" w14:textId="455205FD" w:rsidR="00154F0E" w:rsidRPr="00226D72" w:rsidRDefault="00154F0E" w:rsidP="00833EB3">
      <w:pPr>
        <w:jc w:val="both"/>
        <w:rPr>
          <w:iCs/>
        </w:rPr>
      </w:pPr>
    </w:p>
    <w:sectPr w:rsidR="00154F0E" w:rsidRPr="00226D72">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7190B" w14:textId="77777777" w:rsidR="00F145F2" w:rsidRDefault="00F145F2" w:rsidP="00471457">
      <w:r>
        <w:separator/>
      </w:r>
    </w:p>
  </w:endnote>
  <w:endnote w:type="continuationSeparator" w:id="0">
    <w:p w14:paraId="5DBE71B0" w14:textId="77777777" w:rsidR="00F145F2" w:rsidRDefault="00F145F2" w:rsidP="0047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53A63" w14:textId="77777777" w:rsidR="007A39FF" w:rsidRPr="00926DC2" w:rsidRDefault="007A39FF" w:rsidP="007A39FF">
    <w:pPr>
      <w:pStyle w:val="Sidfot"/>
      <w:rPr>
        <w:sz w:val="18"/>
        <w:szCs w:val="18"/>
      </w:rPr>
    </w:pPr>
    <w:r w:rsidRPr="00926DC2">
      <w:rPr>
        <w:sz w:val="18"/>
        <w:szCs w:val="18"/>
      </w:rPr>
      <w:t>Version 2.</w:t>
    </w:r>
    <w:r>
      <w:rPr>
        <w:sz w:val="18"/>
        <w:szCs w:val="18"/>
      </w:rPr>
      <w:t>1</w:t>
    </w:r>
  </w:p>
  <w:p w14:paraId="68353A64" w14:textId="0B76E564" w:rsidR="007A39FF" w:rsidRPr="00926DC2" w:rsidRDefault="001C1F13" w:rsidP="007A39FF">
    <w:pPr>
      <w:pStyle w:val="Sidfot"/>
      <w:rPr>
        <w:sz w:val="18"/>
        <w:szCs w:val="18"/>
      </w:rPr>
    </w:pPr>
    <w:r>
      <w:rPr>
        <w:sz w:val="18"/>
        <w:szCs w:val="18"/>
      </w:rPr>
      <w:t>October</w:t>
    </w:r>
    <w:r w:rsidR="007A39FF">
      <w:rPr>
        <w:sz w:val="18"/>
        <w:szCs w:val="18"/>
      </w:rPr>
      <w:t xml:space="preserve"> 2015</w:t>
    </w:r>
  </w:p>
  <w:p w14:paraId="68353A67" w14:textId="77777777" w:rsidR="002E4026" w:rsidRDefault="002E402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53A68" w14:textId="66A6147D" w:rsidR="002E4026" w:rsidRPr="00B66083" w:rsidRDefault="00E86372" w:rsidP="002E4026">
    <w:pPr>
      <w:pStyle w:val="Sidfot"/>
      <w:jc w:val="center"/>
    </w:pPr>
    <w:r w:rsidRPr="009A61C8">
      <w:rPr>
        <w:sz w:val="18"/>
        <w:szCs w:val="18"/>
      </w:rPr>
      <w:t xml:space="preserve">EC no </w:t>
    </w:r>
    <w:r w:rsidR="007B2043">
      <w:rPr>
        <w:sz w:val="18"/>
        <w:szCs w:val="18"/>
      </w:rPr>
      <w:t xml:space="preserve">203-545-4 [1]; 203-293-5 [2] </w:t>
    </w:r>
    <w:r w:rsidRPr="009A61C8">
      <w:rPr>
        <w:sz w:val="18"/>
        <w:szCs w:val="18"/>
      </w:rPr>
      <w:tab/>
      <w:t>MSCA -</w:t>
    </w:r>
    <w:r w:rsidR="007B2043">
      <w:rPr>
        <w:sz w:val="18"/>
        <w:szCs w:val="18"/>
      </w:rPr>
      <w:t xml:space="preserve"> Sweden</w:t>
    </w:r>
    <w:r>
      <w:rPr>
        <w:sz w:val="18"/>
        <w:szCs w:val="18"/>
      </w:rPr>
      <w:tab/>
    </w:r>
    <w:r w:rsidR="002E4026" w:rsidRPr="009320DD">
      <w:rPr>
        <w:sz w:val="18"/>
        <w:szCs w:val="18"/>
      </w:rPr>
      <w:t xml:space="preserve">Page </w:t>
    </w:r>
    <w:r w:rsidR="002E4026" w:rsidRPr="009320DD">
      <w:rPr>
        <w:sz w:val="18"/>
        <w:szCs w:val="18"/>
      </w:rPr>
      <w:fldChar w:fldCharType="begin"/>
    </w:r>
    <w:r w:rsidR="002E4026" w:rsidRPr="009320DD">
      <w:rPr>
        <w:sz w:val="18"/>
        <w:szCs w:val="18"/>
      </w:rPr>
      <w:instrText xml:space="preserve"> PAGE </w:instrText>
    </w:r>
    <w:r w:rsidR="002E4026" w:rsidRPr="009320DD">
      <w:rPr>
        <w:sz w:val="18"/>
        <w:szCs w:val="18"/>
      </w:rPr>
      <w:fldChar w:fldCharType="separate"/>
    </w:r>
    <w:r w:rsidR="00862992">
      <w:rPr>
        <w:noProof/>
        <w:sz w:val="18"/>
        <w:szCs w:val="18"/>
      </w:rPr>
      <w:t>2</w:t>
    </w:r>
    <w:r w:rsidR="002E4026" w:rsidRPr="009320DD">
      <w:rPr>
        <w:sz w:val="18"/>
        <w:szCs w:val="18"/>
      </w:rPr>
      <w:fldChar w:fldCharType="end"/>
    </w:r>
    <w:r w:rsidR="002E4026" w:rsidRPr="009320DD">
      <w:rPr>
        <w:sz w:val="18"/>
        <w:szCs w:val="18"/>
      </w:rPr>
      <w:t xml:space="preserve"> of </w:t>
    </w:r>
    <w:r w:rsidR="002E4026" w:rsidRPr="009320DD">
      <w:rPr>
        <w:sz w:val="18"/>
        <w:szCs w:val="18"/>
      </w:rPr>
      <w:fldChar w:fldCharType="begin"/>
    </w:r>
    <w:r w:rsidR="002E4026" w:rsidRPr="009320DD">
      <w:rPr>
        <w:sz w:val="18"/>
        <w:szCs w:val="18"/>
      </w:rPr>
      <w:instrText xml:space="preserve"> NUMPAGES </w:instrText>
    </w:r>
    <w:r w:rsidR="002E4026" w:rsidRPr="009320DD">
      <w:rPr>
        <w:sz w:val="18"/>
        <w:szCs w:val="18"/>
      </w:rPr>
      <w:fldChar w:fldCharType="separate"/>
    </w:r>
    <w:r w:rsidR="00862992">
      <w:rPr>
        <w:noProof/>
        <w:sz w:val="18"/>
        <w:szCs w:val="18"/>
      </w:rPr>
      <w:t>6</w:t>
    </w:r>
    <w:r w:rsidR="002E4026" w:rsidRPr="009320DD">
      <w:rPr>
        <w:sz w:val="18"/>
        <w:szCs w:val="18"/>
      </w:rPr>
      <w:fldChar w:fldCharType="end"/>
    </w:r>
  </w:p>
  <w:p w14:paraId="68353A69" w14:textId="77777777" w:rsidR="002E4026" w:rsidRDefault="002E402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53A6A" w14:textId="5D302028" w:rsidR="00C0335E" w:rsidRPr="00B66083" w:rsidRDefault="00E86372" w:rsidP="00B66083">
    <w:pPr>
      <w:pStyle w:val="Sidfot"/>
      <w:jc w:val="center"/>
    </w:pPr>
    <w:r w:rsidRPr="009A61C8">
      <w:rPr>
        <w:sz w:val="18"/>
        <w:szCs w:val="18"/>
      </w:rPr>
      <w:t>EC no</w:t>
    </w:r>
    <w:r w:rsidR="000A5AAB">
      <w:rPr>
        <w:sz w:val="18"/>
        <w:szCs w:val="18"/>
      </w:rPr>
      <w:t xml:space="preserve"> 203-545-4 [1]; 203-293-5 [2]</w:t>
    </w:r>
    <w:r w:rsidRPr="009A61C8">
      <w:rPr>
        <w:sz w:val="18"/>
        <w:szCs w:val="18"/>
      </w:rPr>
      <w:tab/>
      <w:t xml:space="preserve">MSCA - </w:t>
    </w:r>
    <w:r w:rsidR="000A5AAB">
      <w:rPr>
        <w:sz w:val="18"/>
        <w:szCs w:val="18"/>
      </w:rPr>
      <w:t>Sweden</w:t>
    </w:r>
    <w:r>
      <w:rPr>
        <w:sz w:val="18"/>
        <w:szCs w:val="18"/>
      </w:rPr>
      <w:tab/>
    </w:r>
    <w:r w:rsidR="00B66083" w:rsidRPr="009320DD">
      <w:rPr>
        <w:sz w:val="18"/>
        <w:szCs w:val="18"/>
      </w:rPr>
      <w:t xml:space="preserve">Page </w:t>
    </w:r>
    <w:r w:rsidR="00B66083" w:rsidRPr="009320DD">
      <w:rPr>
        <w:sz w:val="18"/>
        <w:szCs w:val="18"/>
      </w:rPr>
      <w:fldChar w:fldCharType="begin"/>
    </w:r>
    <w:r w:rsidR="00B66083" w:rsidRPr="009320DD">
      <w:rPr>
        <w:sz w:val="18"/>
        <w:szCs w:val="18"/>
      </w:rPr>
      <w:instrText xml:space="preserve"> PAGE </w:instrText>
    </w:r>
    <w:r w:rsidR="00B66083" w:rsidRPr="009320DD">
      <w:rPr>
        <w:sz w:val="18"/>
        <w:szCs w:val="18"/>
      </w:rPr>
      <w:fldChar w:fldCharType="separate"/>
    </w:r>
    <w:r w:rsidR="00862992">
      <w:rPr>
        <w:noProof/>
        <w:sz w:val="18"/>
        <w:szCs w:val="18"/>
      </w:rPr>
      <w:t>6</w:t>
    </w:r>
    <w:r w:rsidR="00B66083" w:rsidRPr="009320DD">
      <w:rPr>
        <w:sz w:val="18"/>
        <w:szCs w:val="18"/>
      </w:rPr>
      <w:fldChar w:fldCharType="end"/>
    </w:r>
    <w:r w:rsidR="00B66083" w:rsidRPr="009320DD">
      <w:rPr>
        <w:sz w:val="18"/>
        <w:szCs w:val="18"/>
      </w:rPr>
      <w:t xml:space="preserve"> of </w:t>
    </w:r>
    <w:r w:rsidR="00B66083" w:rsidRPr="009320DD">
      <w:rPr>
        <w:sz w:val="18"/>
        <w:szCs w:val="18"/>
      </w:rPr>
      <w:fldChar w:fldCharType="begin"/>
    </w:r>
    <w:r w:rsidR="00B66083" w:rsidRPr="009320DD">
      <w:rPr>
        <w:sz w:val="18"/>
        <w:szCs w:val="18"/>
      </w:rPr>
      <w:instrText xml:space="preserve"> NUMPAGES </w:instrText>
    </w:r>
    <w:r w:rsidR="00B66083" w:rsidRPr="009320DD">
      <w:rPr>
        <w:sz w:val="18"/>
        <w:szCs w:val="18"/>
      </w:rPr>
      <w:fldChar w:fldCharType="separate"/>
    </w:r>
    <w:r w:rsidR="00862992">
      <w:rPr>
        <w:noProof/>
        <w:sz w:val="18"/>
        <w:szCs w:val="18"/>
      </w:rPr>
      <w:t>6</w:t>
    </w:r>
    <w:r w:rsidR="00B66083" w:rsidRPr="009320D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6F7A7" w14:textId="77777777" w:rsidR="00F145F2" w:rsidRDefault="00F145F2" w:rsidP="00471457">
      <w:r>
        <w:separator/>
      </w:r>
    </w:p>
  </w:footnote>
  <w:footnote w:type="continuationSeparator" w:id="0">
    <w:p w14:paraId="57466B0B" w14:textId="77777777" w:rsidR="00F145F2" w:rsidRDefault="00F145F2" w:rsidP="00471457">
      <w:r>
        <w:continuationSeparator/>
      </w:r>
    </w:p>
  </w:footnote>
  <w:footnote w:id="1">
    <w:p w14:paraId="0782CAD9" w14:textId="4C3B98EB" w:rsidR="001C1F13" w:rsidRDefault="001C1F13" w:rsidP="001C1F13">
      <w:pPr>
        <w:pStyle w:val="Fotnotstext"/>
      </w:pPr>
      <w:r>
        <w:rPr>
          <w:rStyle w:val="Fotnotsreferens"/>
        </w:rPr>
        <w:footnoteRef/>
      </w:r>
      <w:r>
        <w:t xml:space="preserve"> For more information on the SVHC Roadmap: </w:t>
      </w:r>
      <w:hyperlink r:id="rId1" w:history="1">
        <w:r w:rsidR="00A03E87" w:rsidRPr="0022686E">
          <w:rPr>
            <w:rStyle w:val="Hyperlnk"/>
          </w:rPr>
          <w:t>http://echa.europa.eu/addressing-chemicals-of-concern/substances-of-potential-concern/svhc-roadmap-to-2020-implementation</w:t>
        </w:r>
      </w:hyperlink>
    </w:p>
  </w:footnote>
  <w:footnote w:id="2">
    <w:p w14:paraId="6D3CD2EA" w14:textId="582303BD" w:rsidR="00C43579" w:rsidRPr="00C43579" w:rsidRDefault="00C43579">
      <w:pPr>
        <w:pStyle w:val="Fotnotstext"/>
      </w:pPr>
      <w:r>
        <w:rPr>
          <w:rStyle w:val="Fotnotsreferens"/>
        </w:rPr>
        <w:footnoteRef/>
      </w:r>
      <w:r>
        <w:t xml:space="preserve"> </w:t>
      </w:r>
      <w:hyperlink r:id="rId2" w:history="1">
        <w:r w:rsidR="001A08CD" w:rsidRPr="001A08CD">
          <w:rPr>
            <w:rStyle w:val="Hyperlnk"/>
            <w:sz w:val="18"/>
            <w:szCs w:val="18"/>
          </w:rPr>
          <w:t>Vinyl acetate - Registry of CLH intentions until outcome - ECHA (europa.eu)</w:t>
        </w:r>
      </w:hyperlink>
      <w:r w:rsidR="001A08CD" w:rsidRPr="001A08CD">
        <w:rPr>
          <w:sz w:val="18"/>
          <w:szCs w:val="18"/>
        </w:rPr>
        <w:t xml:space="preserve"> (accessed on the 11</w:t>
      </w:r>
      <w:r w:rsidR="001A08CD" w:rsidRPr="001A08CD">
        <w:rPr>
          <w:sz w:val="18"/>
          <w:szCs w:val="18"/>
          <w:vertAlign w:val="superscript"/>
        </w:rPr>
        <w:t>th</w:t>
      </w:r>
      <w:r w:rsidR="001A08CD" w:rsidRPr="001A08CD">
        <w:rPr>
          <w:sz w:val="18"/>
          <w:szCs w:val="18"/>
        </w:rPr>
        <w:t xml:space="preserve"> of December 2020)</w:t>
      </w:r>
    </w:p>
  </w:footnote>
  <w:footnote w:id="3">
    <w:p w14:paraId="5B27E468" w14:textId="6F2D4606" w:rsidR="00401C65" w:rsidRPr="001852DC" w:rsidRDefault="00401C65">
      <w:pPr>
        <w:pStyle w:val="Fotnotstext"/>
      </w:pPr>
      <w:r w:rsidRPr="00401C65">
        <w:rPr>
          <w:rStyle w:val="Fotnotsreferens"/>
          <w:sz w:val="18"/>
          <w:szCs w:val="18"/>
        </w:rPr>
        <w:footnoteRef/>
      </w:r>
      <w:r w:rsidRPr="00401C65">
        <w:rPr>
          <w:sz w:val="18"/>
          <w:szCs w:val="18"/>
        </w:rPr>
        <w:t xml:space="preserve"> </w:t>
      </w:r>
      <w:hyperlink r:id="rId3" w:history="1">
        <w:r w:rsidRPr="00401C65">
          <w:rPr>
            <w:rStyle w:val="Hyperlnk"/>
            <w:sz w:val="18"/>
            <w:szCs w:val="18"/>
          </w:rPr>
          <w:t xml:space="preserve">Vinyl acetate - Substance evaluation - </w:t>
        </w:r>
        <w:proofErr w:type="spellStart"/>
        <w:r w:rsidRPr="00401C65">
          <w:rPr>
            <w:rStyle w:val="Hyperlnk"/>
            <w:sz w:val="18"/>
            <w:szCs w:val="18"/>
          </w:rPr>
          <w:t>CoRAP</w:t>
        </w:r>
        <w:proofErr w:type="spellEnd"/>
        <w:r w:rsidRPr="00401C65">
          <w:rPr>
            <w:rStyle w:val="Hyperlnk"/>
            <w:sz w:val="18"/>
            <w:szCs w:val="18"/>
          </w:rPr>
          <w:t xml:space="preserve"> - ECHA (europa.eu)</w:t>
        </w:r>
      </w:hyperlink>
      <w:r w:rsidRPr="00401C65">
        <w:rPr>
          <w:sz w:val="18"/>
          <w:szCs w:val="18"/>
        </w:rPr>
        <w:t xml:space="preserve"> </w:t>
      </w:r>
      <w:r w:rsidRPr="001852DC">
        <w:rPr>
          <w:sz w:val="18"/>
          <w:szCs w:val="18"/>
        </w:rPr>
        <w:t>(accessed on the 8</w:t>
      </w:r>
      <w:r w:rsidRPr="001852DC">
        <w:rPr>
          <w:sz w:val="18"/>
          <w:szCs w:val="18"/>
          <w:vertAlign w:val="superscript"/>
        </w:rPr>
        <w:t>th</w:t>
      </w:r>
      <w:r w:rsidRPr="001852DC">
        <w:rPr>
          <w:sz w:val="18"/>
          <w:szCs w:val="18"/>
        </w:rPr>
        <w:t xml:space="preserve"> of December 2020)</w:t>
      </w:r>
    </w:p>
  </w:footnote>
  <w:footnote w:id="4">
    <w:p w14:paraId="7A90B3D9" w14:textId="3DD70E1C" w:rsidR="00B55315" w:rsidRPr="00B55315" w:rsidRDefault="00B55315">
      <w:pPr>
        <w:pStyle w:val="Fotnotstext"/>
      </w:pPr>
      <w:r>
        <w:rPr>
          <w:rStyle w:val="Fotnotsreferens"/>
        </w:rPr>
        <w:footnoteRef/>
      </w:r>
      <w:r>
        <w:t xml:space="preserve"> </w:t>
      </w:r>
      <w:hyperlink r:id="rId4" w:history="1">
        <w:r w:rsidRPr="00B55315">
          <w:rPr>
            <w:rStyle w:val="Hyperlnk"/>
            <w:sz w:val="18"/>
            <w:szCs w:val="18"/>
          </w:rPr>
          <w:t>Acetaldehyde - Registry of CLH intentions until outcome - ECHA (europa.eu)</w:t>
        </w:r>
      </w:hyperlink>
      <w:r w:rsidRPr="00B55315">
        <w:rPr>
          <w:sz w:val="18"/>
          <w:szCs w:val="18"/>
        </w:rPr>
        <w:t xml:space="preserve"> (accessed on the 11</w:t>
      </w:r>
      <w:r w:rsidRPr="00B55315">
        <w:rPr>
          <w:sz w:val="18"/>
          <w:szCs w:val="18"/>
          <w:vertAlign w:val="superscript"/>
        </w:rPr>
        <w:t>th</w:t>
      </w:r>
      <w:r w:rsidRPr="00B55315">
        <w:rPr>
          <w:sz w:val="18"/>
          <w:szCs w:val="18"/>
        </w:rPr>
        <w:t xml:space="preserve"> of December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53A61" w14:textId="77777777" w:rsidR="00E86372" w:rsidRPr="00375712" w:rsidRDefault="00A41F93" w:rsidP="00E86372">
    <w:pPr>
      <w:ind w:right="26"/>
      <w:rPr>
        <w:lang w:eastAsia="en-GB"/>
      </w:rPr>
    </w:pPr>
    <w:r w:rsidRPr="00A41F93">
      <w:rPr>
        <w:lang w:val="fr-FR"/>
      </w:rPr>
      <w:t>RMOA CONCLUSION DOCUMENT</w:t>
    </w:r>
    <w:r>
      <w:ptab w:relativeTo="margin" w:alignment="center" w:leader="none"/>
    </w:r>
    <w:r>
      <w:ptab w:relativeTo="margin" w:alignment="right" w:leader="none"/>
    </w:r>
    <w:r w:rsidR="00E86372">
      <w:rPr>
        <w:lang w:eastAsia="en-GB"/>
      </w:rPr>
      <w:t xml:space="preserve"> _________________________________________________________________</w:t>
    </w:r>
  </w:p>
  <w:p w14:paraId="68353A62" w14:textId="77777777" w:rsidR="00A41F93" w:rsidRPr="00A41F93" w:rsidRDefault="00A41F93">
    <w:pPr>
      <w:pStyle w:val="Sidhuvud"/>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67E677E"/>
    <w:lvl w:ilvl="0">
      <w:start w:val="1"/>
      <w:numFmt w:val="decimal"/>
      <w:pStyle w:val="Numreradlista"/>
      <w:lvlText w:val="%1."/>
      <w:lvlJc w:val="left"/>
      <w:pPr>
        <w:tabs>
          <w:tab w:val="num" w:pos="360"/>
        </w:tabs>
        <w:ind w:left="360" w:hanging="360"/>
      </w:pPr>
    </w:lvl>
  </w:abstractNum>
  <w:abstractNum w:abstractNumId="1" w15:restartNumberingAfterBreak="0">
    <w:nsid w:val="017B0CC1"/>
    <w:multiLevelType w:val="hybridMultilevel"/>
    <w:tmpl w:val="E4F065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881F60"/>
    <w:multiLevelType w:val="hybridMultilevel"/>
    <w:tmpl w:val="4D422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5635B"/>
    <w:multiLevelType w:val="hybridMultilevel"/>
    <w:tmpl w:val="0026E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6C61DB"/>
    <w:multiLevelType w:val="hybridMultilevel"/>
    <w:tmpl w:val="CC7EA8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FB73AA"/>
    <w:multiLevelType w:val="hybridMultilevel"/>
    <w:tmpl w:val="378C4214"/>
    <w:lvl w:ilvl="0" w:tplc="95B48F64">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A1701CB"/>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4BF4DEE"/>
    <w:multiLevelType w:val="hybridMultilevel"/>
    <w:tmpl w:val="BD1AFFCA"/>
    <w:lvl w:ilvl="0" w:tplc="853CCEA8">
      <w:numFmt w:val="bullet"/>
      <w:lvlText w:val="-"/>
      <w:lvlJc w:val="left"/>
      <w:pPr>
        <w:ind w:left="435" w:hanging="360"/>
      </w:pPr>
      <w:rPr>
        <w:rFonts w:ascii="Verdana" w:eastAsiaTheme="minorHAnsi" w:hAnsi="Verdana"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8" w15:restartNumberingAfterBreak="0">
    <w:nsid w:val="444666FB"/>
    <w:multiLevelType w:val="multilevel"/>
    <w:tmpl w:val="607AC490"/>
    <w:lvl w:ilvl="0">
      <w:start w:val="1"/>
      <w:numFmt w:val="decimal"/>
      <w:suff w:val="space"/>
      <w:lvlText w:val="%1."/>
      <w:lvlJc w:val="left"/>
      <w:pPr>
        <w:ind w:left="0" w:firstLine="0"/>
      </w:pPr>
      <w:rPr>
        <w:rFonts w:ascii="Verdana" w:hAnsi="Verdana" w:hint="default"/>
        <w:b/>
        <w:i w:val="0"/>
        <w:color w:val="0046AD"/>
        <w:sz w:val="28"/>
      </w:rPr>
    </w:lvl>
    <w:lvl w:ilvl="1">
      <w:start w:val="1"/>
      <w:numFmt w:val="decimal"/>
      <w:suff w:val="space"/>
      <w:lvlText w:val="%1.%2."/>
      <w:lvlJc w:val="left"/>
      <w:pPr>
        <w:ind w:left="0" w:firstLine="0"/>
      </w:pPr>
      <w:rPr>
        <w:rFonts w:ascii="Verdana" w:hAnsi="Verdana" w:hint="default"/>
        <w:b/>
        <w:i w:val="0"/>
        <w:color w:val="0046AD"/>
        <w:sz w:val="24"/>
      </w:rPr>
    </w:lvl>
    <w:lvl w:ilvl="2">
      <w:start w:val="1"/>
      <w:numFmt w:val="decimal"/>
      <w:suff w:val="space"/>
      <w:lvlText w:val="%1.%2.%3."/>
      <w:lvlJc w:val="left"/>
      <w:pPr>
        <w:ind w:left="0" w:firstLine="0"/>
      </w:pPr>
      <w:rPr>
        <w:rFonts w:ascii="Verdana" w:hAnsi="Verdana" w:hint="default"/>
        <w:b/>
        <w:i w:val="0"/>
        <w:color w:val="auto"/>
        <w:sz w:val="22"/>
      </w:rPr>
    </w:lvl>
    <w:lvl w:ilvl="3">
      <w:start w:val="1"/>
      <w:numFmt w:val="decimal"/>
      <w:suff w:val="space"/>
      <w:lvlText w:val="%1.%2.%3.%4."/>
      <w:lvlJc w:val="left"/>
      <w:pPr>
        <w:ind w:left="0" w:firstLine="0"/>
      </w:pPr>
      <w:rPr>
        <w:rFonts w:ascii="Verdana" w:hAnsi="Verdana" w:hint="default"/>
        <w:b/>
        <w:i w:val="0"/>
        <w:sz w:val="22"/>
      </w:rPr>
    </w:lvl>
    <w:lvl w:ilvl="4">
      <w:start w:val="1"/>
      <w:numFmt w:val="decimal"/>
      <w:suff w:val="space"/>
      <w:lvlText w:val="%1.%2.%3.%4.%5."/>
      <w:lvlJc w:val="left"/>
      <w:pPr>
        <w:ind w:left="0" w:firstLine="0"/>
      </w:pPr>
      <w:rPr>
        <w:rFonts w:ascii="Verdana" w:hAnsi="Verdana" w:hint="default"/>
        <w:b/>
        <w:i w:val="0"/>
        <w:color w:val="auto"/>
        <w:sz w:val="20"/>
      </w:rPr>
    </w:lvl>
    <w:lvl w:ilvl="5">
      <w:start w:val="1"/>
      <w:numFmt w:val="decimal"/>
      <w:suff w:val="space"/>
      <w:lvlText w:val="%1.%2.%3.%4.%5.%6."/>
      <w:lvlJc w:val="left"/>
      <w:pPr>
        <w:ind w:left="0" w:firstLine="0"/>
      </w:pPr>
      <w:rPr>
        <w:rFonts w:ascii="Verdana" w:hAnsi="Verdana" w:hint="default"/>
        <w:b/>
        <w:i w:val="0"/>
        <w:color w:val="auto"/>
        <w:sz w:val="20"/>
      </w:rPr>
    </w:lvl>
    <w:lvl w:ilvl="6">
      <w:start w:val="1"/>
      <w:numFmt w:val="decimal"/>
      <w:suff w:val="space"/>
      <w:lvlText w:val="%1.%2.%3.%4.%5.%6.%7."/>
      <w:lvlJc w:val="left"/>
      <w:pPr>
        <w:ind w:left="0" w:firstLine="0"/>
      </w:pPr>
      <w:rPr>
        <w:rFonts w:ascii="Verdana" w:hAnsi="Verdana" w:hint="default"/>
        <w:b/>
        <w:i w:val="0"/>
        <w:color w:val="auto"/>
        <w:sz w:val="20"/>
      </w:rPr>
    </w:lvl>
    <w:lvl w:ilvl="7">
      <w:start w:val="1"/>
      <w:numFmt w:val="decimal"/>
      <w:suff w:val="space"/>
      <w:lvlText w:val="%1.%2.%3.%4.%5.%6.%7.%8."/>
      <w:lvlJc w:val="left"/>
      <w:pPr>
        <w:ind w:left="0" w:firstLine="0"/>
      </w:pPr>
      <w:rPr>
        <w:rFonts w:ascii="Verdana" w:hAnsi="Verdana" w:hint="default"/>
        <w:b/>
        <w:i w:val="0"/>
        <w:sz w:val="20"/>
      </w:rPr>
    </w:lvl>
    <w:lvl w:ilvl="8">
      <w:start w:val="1"/>
      <w:numFmt w:val="decimal"/>
      <w:suff w:val="space"/>
      <w:lvlText w:val="%1.%2.%3.%4.%5.%6.%7.%8.%9."/>
      <w:lvlJc w:val="left"/>
      <w:pPr>
        <w:ind w:left="0" w:firstLine="0"/>
      </w:pPr>
      <w:rPr>
        <w:rFonts w:ascii="Verdana" w:hAnsi="Verdana" w:hint="default"/>
        <w:b/>
        <w:i w:val="0"/>
        <w:sz w:val="20"/>
      </w:rPr>
    </w:lvl>
  </w:abstractNum>
  <w:abstractNum w:abstractNumId="9"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5D3458"/>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83E5807"/>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E614FC2"/>
    <w:multiLevelType w:val="multilevel"/>
    <w:tmpl w:val="D03413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11"/>
  </w:num>
  <w:num w:numId="3">
    <w:abstractNumId w:val="5"/>
  </w:num>
  <w:num w:numId="4">
    <w:abstractNumId w:val="1"/>
  </w:num>
  <w:num w:numId="5">
    <w:abstractNumId w:val="4"/>
  </w:num>
  <w:num w:numId="6">
    <w:abstractNumId w:val="13"/>
  </w:num>
  <w:num w:numId="7">
    <w:abstractNumId w:val="2"/>
  </w:num>
  <w:num w:numId="8">
    <w:abstractNumId w:val="3"/>
  </w:num>
  <w:num w:numId="9">
    <w:abstractNumId w:val="7"/>
  </w:num>
  <w:num w:numId="10">
    <w:abstractNumId w:val="8"/>
  </w:num>
  <w:num w:numId="11">
    <w:abstractNumId w:val="10"/>
  </w:num>
  <w:num w:numId="12">
    <w:abstractNumId w:val="6"/>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57"/>
    <w:rsid w:val="00002586"/>
    <w:rsid w:val="000042FA"/>
    <w:rsid w:val="0000560B"/>
    <w:rsid w:val="000122ED"/>
    <w:rsid w:val="0001476D"/>
    <w:rsid w:val="000204C4"/>
    <w:rsid w:val="00024D48"/>
    <w:rsid w:val="00037F48"/>
    <w:rsid w:val="00047BEE"/>
    <w:rsid w:val="00054356"/>
    <w:rsid w:val="000633BF"/>
    <w:rsid w:val="000711F7"/>
    <w:rsid w:val="00077E65"/>
    <w:rsid w:val="00092369"/>
    <w:rsid w:val="0009452D"/>
    <w:rsid w:val="000A351F"/>
    <w:rsid w:val="000A3AEB"/>
    <w:rsid w:val="000A5AAB"/>
    <w:rsid w:val="000D5B93"/>
    <w:rsid w:val="000E21F8"/>
    <w:rsid w:val="000E2FC2"/>
    <w:rsid w:val="000E4E5B"/>
    <w:rsid w:val="000E7032"/>
    <w:rsid w:val="000F5E82"/>
    <w:rsid w:val="00100105"/>
    <w:rsid w:val="00112815"/>
    <w:rsid w:val="0011467E"/>
    <w:rsid w:val="001259BB"/>
    <w:rsid w:val="0012634F"/>
    <w:rsid w:val="00126494"/>
    <w:rsid w:val="00132FF4"/>
    <w:rsid w:val="001354B4"/>
    <w:rsid w:val="0014108D"/>
    <w:rsid w:val="00142E9F"/>
    <w:rsid w:val="001448AF"/>
    <w:rsid w:val="00144FCA"/>
    <w:rsid w:val="00154F0E"/>
    <w:rsid w:val="00157C51"/>
    <w:rsid w:val="001603E2"/>
    <w:rsid w:val="00164F34"/>
    <w:rsid w:val="00166209"/>
    <w:rsid w:val="00183C4B"/>
    <w:rsid w:val="001852DC"/>
    <w:rsid w:val="001915C8"/>
    <w:rsid w:val="001A08CD"/>
    <w:rsid w:val="001B64A4"/>
    <w:rsid w:val="001C1220"/>
    <w:rsid w:val="001C1F13"/>
    <w:rsid w:val="001C21A5"/>
    <w:rsid w:val="001E6C1A"/>
    <w:rsid w:val="00201A44"/>
    <w:rsid w:val="00202966"/>
    <w:rsid w:val="00205775"/>
    <w:rsid w:val="002163CF"/>
    <w:rsid w:val="00220442"/>
    <w:rsid w:val="00226D72"/>
    <w:rsid w:val="00227B7E"/>
    <w:rsid w:val="00236468"/>
    <w:rsid w:val="002460BF"/>
    <w:rsid w:val="00256417"/>
    <w:rsid w:val="00262180"/>
    <w:rsid w:val="002650FC"/>
    <w:rsid w:val="00270FFE"/>
    <w:rsid w:val="0027431B"/>
    <w:rsid w:val="002920AC"/>
    <w:rsid w:val="00294316"/>
    <w:rsid w:val="002C515C"/>
    <w:rsid w:val="002C6ADA"/>
    <w:rsid w:val="002D0A2E"/>
    <w:rsid w:val="002D7699"/>
    <w:rsid w:val="002E3562"/>
    <w:rsid w:val="002E4026"/>
    <w:rsid w:val="002E4672"/>
    <w:rsid w:val="002F261C"/>
    <w:rsid w:val="002F3411"/>
    <w:rsid w:val="003065EE"/>
    <w:rsid w:val="00315B0C"/>
    <w:rsid w:val="0032297A"/>
    <w:rsid w:val="00326F57"/>
    <w:rsid w:val="00332FF4"/>
    <w:rsid w:val="00363833"/>
    <w:rsid w:val="0036659A"/>
    <w:rsid w:val="003746D1"/>
    <w:rsid w:val="00376391"/>
    <w:rsid w:val="003B32BD"/>
    <w:rsid w:val="003C1375"/>
    <w:rsid w:val="003C2E00"/>
    <w:rsid w:val="003C3793"/>
    <w:rsid w:val="003D0BBF"/>
    <w:rsid w:val="003D4597"/>
    <w:rsid w:val="003E1455"/>
    <w:rsid w:val="003E7258"/>
    <w:rsid w:val="003F3254"/>
    <w:rsid w:val="00401C65"/>
    <w:rsid w:val="00412208"/>
    <w:rsid w:val="00415B10"/>
    <w:rsid w:val="004170DC"/>
    <w:rsid w:val="0042483F"/>
    <w:rsid w:val="004364C9"/>
    <w:rsid w:val="00436C19"/>
    <w:rsid w:val="00441EE7"/>
    <w:rsid w:val="0044304E"/>
    <w:rsid w:val="00444011"/>
    <w:rsid w:val="00452825"/>
    <w:rsid w:val="00463240"/>
    <w:rsid w:val="0046464F"/>
    <w:rsid w:val="00467561"/>
    <w:rsid w:val="00467619"/>
    <w:rsid w:val="00471457"/>
    <w:rsid w:val="00477790"/>
    <w:rsid w:val="00483960"/>
    <w:rsid w:val="00490007"/>
    <w:rsid w:val="00492518"/>
    <w:rsid w:val="00494995"/>
    <w:rsid w:val="00494A96"/>
    <w:rsid w:val="004A5B50"/>
    <w:rsid w:val="004B10B4"/>
    <w:rsid w:val="004B48E4"/>
    <w:rsid w:val="004B63F1"/>
    <w:rsid w:val="004B7059"/>
    <w:rsid w:val="004C7EF4"/>
    <w:rsid w:val="004D24E8"/>
    <w:rsid w:val="004D619A"/>
    <w:rsid w:val="004E0601"/>
    <w:rsid w:val="004E385D"/>
    <w:rsid w:val="004E7788"/>
    <w:rsid w:val="004F0B91"/>
    <w:rsid w:val="004F51B6"/>
    <w:rsid w:val="004F6831"/>
    <w:rsid w:val="0050115C"/>
    <w:rsid w:val="00501202"/>
    <w:rsid w:val="00502ADE"/>
    <w:rsid w:val="005050E6"/>
    <w:rsid w:val="00510C24"/>
    <w:rsid w:val="005137B5"/>
    <w:rsid w:val="00513808"/>
    <w:rsid w:val="0051454C"/>
    <w:rsid w:val="00515C08"/>
    <w:rsid w:val="00516A7B"/>
    <w:rsid w:val="00523442"/>
    <w:rsid w:val="00530D48"/>
    <w:rsid w:val="00531303"/>
    <w:rsid w:val="005401E5"/>
    <w:rsid w:val="005437BE"/>
    <w:rsid w:val="005575E6"/>
    <w:rsid w:val="00560494"/>
    <w:rsid w:val="00586832"/>
    <w:rsid w:val="0058783D"/>
    <w:rsid w:val="00594EC4"/>
    <w:rsid w:val="00596A10"/>
    <w:rsid w:val="005A2AD2"/>
    <w:rsid w:val="005A43B3"/>
    <w:rsid w:val="005A63A0"/>
    <w:rsid w:val="005C3710"/>
    <w:rsid w:val="005F148F"/>
    <w:rsid w:val="005F2482"/>
    <w:rsid w:val="005F45D1"/>
    <w:rsid w:val="005F79AE"/>
    <w:rsid w:val="00600A04"/>
    <w:rsid w:val="00610621"/>
    <w:rsid w:val="00610DF1"/>
    <w:rsid w:val="00620800"/>
    <w:rsid w:val="00621CAC"/>
    <w:rsid w:val="00623882"/>
    <w:rsid w:val="006305CD"/>
    <w:rsid w:val="00634E5E"/>
    <w:rsid w:val="00642CAF"/>
    <w:rsid w:val="00660A2F"/>
    <w:rsid w:val="006617E0"/>
    <w:rsid w:val="00676DCA"/>
    <w:rsid w:val="00680C20"/>
    <w:rsid w:val="00690F3B"/>
    <w:rsid w:val="006941E7"/>
    <w:rsid w:val="006A4ADE"/>
    <w:rsid w:val="006D39F4"/>
    <w:rsid w:val="006E2B7B"/>
    <w:rsid w:val="006E6B1A"/>
    <w:rsid w:val="006F6AE3"/>
    <w:rsid w:val="00705350"/>
    <w:rsid w:val="00712E94"/>
    <w:rsid w:val="00713266"/>
    <w:rsid w:val="0073407D"/>
    <w:rsid w:val="00741D90"/>
    <w:rsid w:val="00751518"/>
    <w:rsid w:val="00753065"/>
    <w:rsid w:val="00755D9F"/>
    <w:rsid w:val="00763CAA"/>
    <w:rsid w:val="00774DE9"/>
    <w:rsid w:val="00781EA6"/>
    <w:rsid w:val="00784A7F"/>
    <w:rsid w:val="0078730A"/>
    <w:rsid w:val="00791E13"/>
    <w:rsid w:val="007957E4"/>
    <w:rsid w:val="007A2C1C"/>
    <w:rsid w:val="007A39FF"/>
    <w:rsid w:val="007A3BA7"/>
    <w:rsid w:val="007B0208"/>
    <w:rsid w:val="007B2043"/>
    <w:rsid w:val="007C0E6B"/>
    <w:rsid w:val="007C392B"/>
    <w:rsid w:val="007D3667"/>
    <w:rsid w:val="007D3F6A"/>
    <w:rsid w:val="007E6C05"/>
    <w:rsid w:val="007F0D03"/>
    <w:rsid w:val="00801152"/>
    <w:rsid w:val="0080484C"/>
    <w:rsid w:val="00810803"/>
    <w:rsid w:val="00817B80"/>
    <w:rsid w:val="00821610"/>
    <w:rsid w:val="0083157A"/>
    <w:rsid w:val="00833EB3"/>
    <w:rsid w:val="00835373"/>
    <w:rsid w:val="00835C68"/>
    <w:rsid w:val="00840BD5"/>
    <w:rsid w:val="00853E7D"/>
    <w:rsid w:val="00860FBA"/>
    <w:rsid w:val="00862992"/>
    <w:rsid w:val="00883931"/>
    <w:rsid w:val="00897A99"/>
    <w:rsid w:val="008A1880"/>
    <w:rsid w:val="008C0CC7"/>
    <w:rsid w:val="008C0F8D"/>
    <w:rsid w:val="008E70DE"/>
    <w:rsid w:val="009113C6"/>
    <w:rsid w:val="00920032"/>
    <w:rsid w:val="00922BBA"/>
    <w:rsid w:val="00930C01"/>
    <w:rsid w:val="00933335"/>
    <w:rsid w:val="00933AC5"/>
    <w:rsid w:val="009369B2"/>
    <w:rsid w:val="00955691"/>
    <w:rsid w:val="00955D7A"/>
    <w:rsid w:val="00962549"/>
    <w:rsid w:val="00980AC4"/>
    <w:rsid w:val="00983286"/>
    <w:rsid w:val="00983FBD"/>
    <w:rsid w:val="00985B7B"/>
    <w:rsid w:val="00986017"/>
    <w:rsid w:val="00986A52"/>
    <w:rsid w:val="009A4F2F"/>
    <w:rsid w:val="009A59DA"/>
    <w:rsid w:val="009B0296"/>
    <w:rsid w:val="009B4D5D"/>
    <w:rsid w:val="009C2172"/>
    <w:rsid w:val="009C590C"/>
    <w:rsid w:val="009C5A06"/>
    <w:rsid w:val="009D3C1E"/>
    <w:rsid w:val="009D52B4"/>
    <w:rsid w:val="009E696B"/>
    <w:rsid w:val="009F191D"/>
    <w:rsid w:val="00A03E87"/>
    <w:rsid w:val="00A14C19"/>
    <w:rsid w:val="00A14EC1"/>
    <w:rsid w:val="00A2487E"/>
    <w:rsid w:val="00A263C9"/>
    <w:rsid w:val="00A36684"/>
    <w:rsid w:val="00A41F93"/>
    <w:rsid w:val="00A429E9"/>
    <w:rsid w:val="00A4316B"/>
    <w:rsid w:val="00A436BB"/>
    <w:rsid w:val="00A446BC"/>
    <w:rsid w:val="00A45B6C"/>
    <w:rsid w:val="00A46645"/>
    <w:rsid w:val="00A54C28"/>
    <w:rsid w:val="00A75ACF"/>
    <w:rsid w:val="00A80DBE"/>
    <w:rsid w:val="00AB0322"/>
    <w:rsid w:val="00AB1228"/>
    <w:rsid w:val="00AC005F"/>
    <w:rsid w:val="00AC5ED0"/>
    <w:rsid w:val="00AC7509"/>
    <w:rsid w:val="00AC79ED"/>
    <w:rsid w:val="00AD0847"/>
    <w:rsid w:val="00AD40AE"/>
    <w:rsid w:val="00AE2396"/>
    <w:rsid w:val="00AF4C9B"/>
    <w:rsid w:val="00AF5158"/>
    <w:rsid w:val="00AF63F4"/>
    <w:rsid w:val="00AF6E00"/>
    <w:rsid w:val="00AF75D2"/>
    <w:rsid w:val="00AF77F1"/>
    <w:rsid w:val="00B03339"/>
    <w:rsid w:val="00B2524D"/>
    <w:rsid w:val="00B32C2E"/>
    <w:rsid w:val="00B3713B"/>
    <w:rsid w:val="00B37A42"/>
    <w:rsid w:val="00B55315"/>
    <w:rsid w:val="00B62F89"/>
    <w:rsid w:val="00B65E1F"/>
    <w:rsid w:val="00B66083"/>
    <w:rsid w:val="00B7241C"/>
    <w:rsid w:val="00B740C5"/>
    <w:rsid w:val="00B92E74"/>
    <w:rsid w:val="00BA66ED"/>
    <w:rsid w:val="00BB0CE8"/>
    <w:rsid w:val="00BB3275"/>
    <w:rsid w:val="00BC35A3"/>
    <w:rsid w:val="00BC5A7C"/>
    <w:rsid w:val="00BE1CEB"/>
    <w:rsid w:val="00BE5AF4"/>
    <w:rsid w:val="00BF5819"/>
    <w:rsid w:val="00BF63C3"/>
    <w:rsid w:val="00C0335E"/>
    <w:rsid w:val="00C0431D"/>
    <w:rsid w:val="00C0654A"/>
    <w:rsid w:val="00C32CBD"/>
    <w:rsid w:val="00C411EC"/>
    <w:rsid w:val="00C42DBF"/>
    <w:rsid w:val="00C43579"/>
    <w:rsid w:val="00C52D40"/>
    <w:rsid w:val="00C52D75"/>
    <w:rsid w:val="00C54EBC"/>
    <w:rsid w:val="00C55123"/>
    <w:rsid w:val="00C629E5"/>
    <w:rsid w:val="00C67F84"/>
    <w:rsid w:val="00C70B2B"/>
    <w:rsid w:val="00C74112"/>
    <w:rsid w:val="00CB1FBE"/>
    <w:rsid w:val="00CB730C"/>
    <w:rsid w:val="00CC7A9E"/>
    <w:rsid w:val="00CE07AB"/>
    <w:rsid w:val="00CE2CAA"/>
    <w:rsid w:val="00CE5346"/>
    <w:rsid w:val="00CE7C5E"/>
    <w:rsid w:val="00D00E35"/>
    <w:rsid w:val="00D03326"/>
    <w:rsid w:val="00D11FC2"/>
    <w:rsid w:val="00D125DA"/>
    <w:rsid w:val="00D221FC"/>
    <w:rsid w:val="00D37806"/>
    <w:rsid w:val="00D42995"/>
    <w:rsid w:val="00D462BD"/>
    <w:rsid w:val="00D5375D"/>
    <w:rsid w:val="00D53A3D"/>
    <w:rsid w:val="00D61F8B"/>
    <w:rsid w:val="00D70C76"/>
    <w:rsid w:val="00D960C3"/>
    <w:rsid w:val="00DA42CC"/>
    <w:rsid w:val="00DA5A25"/>
    <w:rsid w:val="00DA6B85"/>
    <w:rsid w:val="00DB0024"/>
    <w:rsid w:val="00DC1F12"/>
    <w:rsid w:val="00DD1882"/>
    <w:rsid w:val="00E14856"/>
    <w:rsid w:val="00E36635"/>
    <w:rsid w:val="00E43FFE"/>
    <w:rsid w:val="00E464B0"/>
    <w:rsid w:val="00E51924"/>
    <w:rsid w:val="00E54CE6"/>
    <w:rsid w:val="00E55E07"/>
    <w:rsid w:val="00E65E2E"/>
    <w:rsid w:val="00E702C1"/>
    <w:rsid w:val="00E81361"/>
    <w:rsid w:val="00E85A6B"/>
    <w:rsid w:val="00E86372"/>
    <w:rsid w:val="00EA326C"/>
    <w:rsid w:val="00EA333A"/>
    <w:rsid w:val="00EA6BD2"/>
    <w:rsid w:val="00EA7CF9"/>
    <w:rsid w:val="00EB1D43"/>
    <w:rsid w:val="00EB2FAB"/>
    <w:rsid w:val="00EB3299"/>
    <w:rsid w:val="00ED048E"/>
    <w:rsid w:val="00ED10AD"/>
    <w:rsid w:val="00ED55A6"/>
    <w:rsid w:val="00ED5761"/>
    <w:rsid w:val="00EE475E"/>
    <w:rsid w:val="00EE4C7D"/>
    <w:rsid w:val="00EF3712"/>
    <w:rsid w:val="00F01C65"/>
    <w:rsid w:val="00F145F2"/>
    <w:rsid w:val="00F154FB"/>
    <w:rsid w:val="00F35B07"/>
    <w:rsid w:val="00F4442B"/>
    <w:rsid w:val="00F503E3"/>
    <w:rsid w:val="00F545EA"/>
    <w:rsid w:val="00F550BF"/>
    <w:rsid w:val="00F57736"/>
    <w:rsid w:val="00F656F2"/>
    <w:rsid w:val="00F67BB5"/>
    <w:rsid w:val="00F826BC"/>
    <w:rsid w:val="00F92D91"/>
    <w:rsid w:val="00FA4598"/>
    <w:rsid w:val="00FB30A3"/>
    <w:rsid w:val="00FB4C3F"/>
    <w:rsid w:val="00FC3640"/>
    <w:rsid w:val="00FC47C3"/>
    <w:rsid w:val="00FE0975"/>
    <w:rsid w:val="00FE25D1"/>
    <w:rsid w:val="00FE37D9"/>
    <w:rsid w:val="00FF0B3D"/>
    <w:rsid w:val="00FF107F"/>
    <w:rsid w:val="00FF45DE"/>
    <w:rsid w:val="00FF659C"/>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8353996"/>
  <w15:docId w15:val="{C96689E9-7BA1-4DD5-A8DE-08B930AC2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457"/>
    <w:pPr>
      <w:widowControl w:val="0"/>
      <w:spacing w:after="0" w:line="240" w:lineRule="auto"/>
    </w:pPr>
    <w:rPr>
      <w:rFonts w:ascii="Verdana" w:eastAsia="Times New Roman" w:hAnsi="Verdana" w:cs="Times New Roman"/>
      <w:snapToGrid w:val="0"/>
      <w:sz w:val="20"/>
      <w:szCs w:val="20"/>
      <w:lang w:eastAsia="fi-FI"/>
    </w:rPr>
  </w:style>
  <w:style w:type="paragraph" w:styleId="Rubrik1">
    <w:name w:val="heading 1"/>
    <w:aliases w:val="ECHA Heading 1"/>
    <w:basedOn w:val="Normal"/>
    <w:next w:val="Brdtext"/>
    <w:link w:val="Rubrik1Char"/>
    <w:uiPriority w:val="9"/>
    <w:qFormat/>
    <w:rsid w:val="00EA7CF9"/>
    <w:pPr>
      <w:keepNext/>
      <w:keepLines/>
      <w:spacing w:after="240"/>
      <w:outlineLvl w:val="0"/>
    </w:pPr>
    <w:rPr>
      <w:b/>
      <w:snapToGrid/>
      <w:color w:val="0046AD"/>
      <w:sz w:val="28"/>
      <w:szCs w:val="24"/>
    </w:rPr>
  </w:style>
  <w:style w:type="paragraph" w:styleId="Rubrik2">
    <w:name w:val="heading 2"/>
    <w:aliases w:val="ECHA Heading 2"/>
    <w:basedOn w:val="Rubrik1"/>
    <w:next w:val="Brdtext"/>
    <w:link w:val="Rubrik2Char"/>
    <w:qFormat/>
    <w:rsid w:val="00EA7CF9"/>
    <w:pPr>
      <w:outlineLvl w:val="1"/>
    </w:pPr>
    <w:rPr>
      <w:rFonts w:cs="Arial"/>
      <w:sz w:val="24"/>
      <w:szCs w:val="22"/>
    </w:rPr>
  </w:style>
  <w:style w:type="paragraph" w:styleId="Rubrik3">
    <w:name w:val="heading 3"/>
    <w:aliases w:val="ECHA Heading 3"/>
    <w:basedOn w:val="Rubrik2"/>
    <w:next w:val="Brdtext"/>
    <w:link w:val="Rubrik3Char"/>
    <w:uiPriority w:val="9"/>
    <w:qFormat/>
    <w:rsid w:val="00EA7CF9"/>
    <w:pPr>
      <w:outlineLvl w:val="2"/>
    </w:pPr>
    <w:rPr>
      <w:bCs/>
      <w:color w:val="000000"/>
      <w:sz w:val="22"/>
    </w:rPr>
  </w:style>
  <w:style w:type="paragraph" w:styleId="Rubrik4">
    <w:name w:val="heading 4"/>
    <w:aliases w:val="ECHA Heading 4"/>
    <w:basedOn w:val="Rubrik3"/>
    <w:next w:val="Brdtext"/>
    <w:link w:val="Rubrik4Char"/>
    <w:qFormat/>
    <w:rsid w:val="00EA7CF9"/>
    <w:pPr>
      <w:outlineLvl w:val="3"/>
    </w:pPr>
    <w:rPr>
      <w:b w:val="0"/>
      <w:bCs w:val="0"/>
      <w:szCs w:val="28"/>
    </w:rPr>
  </w:style>
  <w:style w:type="paragraph" w:styleId="Rubrik5">
    <w:name w:val="heading 5"/>
    <w:aliases w:val="ECHA Heading 5"/>
    <w:basedOn w:val="Rubrik3"/>
    <w:next w:val="Brdtext"/>
    <w:link w:val="Rubrik5Char"/>
    <w:qFormat/>
    <w:rsid w:val="00EA7CF9"/>
    <w:pPr>
      <w:outlineLvl w:val="4"/>
    </w:pPr>
    <w:rPr>
      <w:bCs w:val="0"/>
      <w:iCs/>
      <w:sz w:val="20"/>
      <w:szCs w:val="26"/>
    </w:rPr>
  </w:style>
  <w:style w:type="paragraph" w:styleId="Rubrik6">
    <w:name w:val="heading 6"/>
    <w:aliases w:val="ECHA Heading 6"/>
    <w:basedOn w:val="Rubrik5"/>
    <w:next w:val="Brdtext"/>
    <w:link w:val="Rubrik6Char"/>
    <w:qFormat/>
    <w:rsid w:val="00EA7CF9"/>
    <w:pPr>
      <w:outlineLvl w:val="5"/>
    </w:pPr>
    <w:rPr>
      <w:bCs/>
      <w:szCs w:val="22"/>
    </w:rPr>
  </w:style>
  <w:style w:type="paragraph" w:styleId="Rubrik7">
    <w:name w:val="heading 7"/>
    <w:aliases w:val="ECHA Heading 7"/>
    <w:basedOn w:val="Rubrik5"/>
    <w:next w:val="Brdtext"/>
    <w:link w:val="Rubrik7Char"/>
    <w:qFormat/>
    <w:rsid w:val="00EA7CF9"/>
    <w:pPr>
      <w:outlineLvl w:val="6"/>
    </w:pPr>
    <w:rPr>
      <w:szCs w:val="24"/>
    </w:rPr>
  </w:style>
  <w:style w:type="paragraph" w:styleId="Rubrik8">
    <w:name w:val="heading 8"/>
    <w:aliases w:val="ECHA Heading 8"/>
    <w:basedOn w:val="Rubrik5"/>
    <w:next w:val="Brdtext"/>
    <w:link w:val="Rubrik8Char"/>
    <w:qFormat/>
    <w:rsid w:val="00EA7CF9"/>
    <w:pPr>
      <w:outlineLvl w:val="7"/>
    </w:pPr>
    <w:rPr>
      <w:iCs w:val="0"/>
      <w:szCs w:val="24"/>
    </w:rPr>
  </w:style>
  <w:style w:type="paragraph" w:styleId="Rubrik9">
    <w:name w:val="heading 9"/>
    <w:aliases w:val="ECHA Heading 9"/>
    <w:basedOn w:val="Rubrik5"/>
    <w:next w:val="Brdtext"/>
    <w:link w:val="Rubrik9Char"/>
    <w:qFormat/>
    <w:rsid w:val="00EA7CF9"/>
    <w:pPr>
      <w:outlineLvl w:val="8"/>
    </w:pPr>
    <w:rPr>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ECHA Heading 1 Char"/>
    <w:basedOn w:val="Standardstycketeckensnitt"/>
    <w:link w:val="Rubrik1"/>
    <w:rsid w:val="00EA7CF9"/>
    <w:rPr>
      <w:rFonts w:ascii="Verdana" w:eastAsia="Times New Roman" w:hAnsi="Verdana" w:cs="Times New Roman"/>
      <w:b/>
      <w:snapToGrid w:val="0"/>
      <w:color w:val="0046AD"/>
      <w:sz w:val="28"/>
      <w:szCs w:val="24"/>
      <w:lang w:eastAsia="fi-FI"/>
    </w:rPr>
  </w:style>
  <w:style w:type="character" w:customStyle="1" w:styleId="Rubrik2Char">
    <w:name w:val="Rubrik 2 Char"/>
    <w:aliases w:val="ECHA Heading 2 Char"/>
    <w:basedOn w:val="Standardstycketeckensnitt"/>
    <w:link w:val="Rubrik2"/>
    <w:rsid w:val="00EA7CF9"/>
    <w:rPr>
      <w:rFonts w:ascii="Verdana" w:eastAsia="Times New Roman" w:hAnsi="Verdana" w:cs="Arial"/>
      <w:b/>
      <w:snapToGrid w:val="0"/>
      <w:color w:val="0046AD"/>
      <w:sz w:val="24"/>
      <w:lang w:eastAsia="fi-FI"/>
    </w:rPr>
  </w:style>
  <w:style w:type="character" w:customStyle="1" w:styleId="Rubrik3Char">
    <w:name w:val="Rubrik 3 Char"/>
    <w:aliases w:val="ECHA Heading 3 Char"/>
    <w:basedOn w:val="Standardstycketeckensnitt"/>
    <w:link w:val="Rubrik3"/>
    <w:rsid w:val="00EA7CF9"/>
    <w:rPr>
      <w:rFonts w:ascii="Verdana" w:eastAsia="Times New Roman" w:hAnsi="Verdana" w:cs="Arial"/>
      <w:b/>
      <w:bCs/>
      <w:snapToGrid w:val="0"/>
      <w:color w:val="000000"/>
      <w:lang w:eastAsia="fi-FI"/>
    </w:rPr>
  </w:style>
  <w:style w:type="character" w:customStyle="1" w:styleId="Rubrik4Char">
    <w:name w:val="Rubrik 4 Char"/>
    <w:aliases w:val="ECHA Heading 4 Char"/>
    <w:basedOn w:val="Standardstycketeckensnitt"/>
    <w:link w:val="Rubrik4"/>
    <w:rsid w:val="00EA7CF9"/>
    <w:rPr>
      <w:rFonts w:ascii="Verdana" w:eastAsia="Times New Roman" w:hAnsi="Verdana" w:cs="Arial"/>
      <w:snapToGrid w:val="0"/>
      <w:color w:val="000000"/>
      <w:szCs w:val="28"/>
      <w:lang w:eastAsia="fi-FI"/>
    </w:rPr>
  </w:style>
  <w:style w:type="character" w:customStyle="1" w:styleId="Rubrik5Char">
    <w:name w:val="Rubrik 5 Char"/>
    <w:aliases w:val="ECHA Heading 5 Char"/>
    <w:basedOn w:val="Standardstycketeckensnitt"/>
    <w:link w:val="Rubrik5"/>
    <w:rsid w:val="00EA7CF9"/>
    <w:rPr>
      <w:rFonts w:ascii="Verdana" w:eastAsia="Times New Roman" w:hAnsi="Verdana" w:cs="Arial"/>
      <w:b/>
      <w:iCs/>
      <w:snapToGrid w:val="0"/>
      <w:color w:val="000000"/>
      <w:sz w:val="20"/>
      <w:szCs w:val="26"/>
      <w:lang w:eastAsia="fi-FI"/>
    </w:rPr>
  </w:style>
  <w:style w:type="character" w:customStyle="1" w:styleId="Rubrik6Char">
    <w:name w:val="Rubrik 6 Char"/>
    <w:aliases w:val="ECHA Heading 6 Char"/>
    <w:basedOn w:val="Standardstycketeckensnitt"/>
    <w:link w:val="Rubrik6"/>
    <w:rsid w:val="00EA7CF9"/>
    <w:rPr>
      <w:rFonts w:ascii="Verdana" w:eastAsia="Times New Roman" w:hAnsi="Verdana" w:cs="Arial"/>
      <w:b/>
      <w:bCs/>
      <w:iCs/>
      <w:snapToGrid w:val="0"/>
      <w:color w:val="000000"/>
      <w:sz w:val="20"/>
      <w:lang w:eastAsia="fi-FI"/>
    </w:rPr>
  </w:style>
  <w:style w:type="character" w:customStyle="1" w:styleId="Rubrik7Char">
    <w:name w:val="Rubrik 7 Char"/>
    <w:aliases w:val="ECHA Heading 7 Char"/>
    <w:basedOn w:val="Standardstycketeckensnitt"/>
    <w:link w:val="Rubrik7"/>
    <w:rsid w:val="00EA7CF9"/>
    <w:rPr>
      <w:rFonts w:ascii="Verdana" w:eastAsia="Times New Roman" w:hAnsi="Verdana" w:cs="Arial"/>
      <w:b/>
      <w:iCs/>
      <w:snapToGrid w:val="0"/>
      <w:color w:val="000000"/>
      <w:sz w:val="20"/>
      <w:szCs w:val="24"/>
      <w:lang w:eastAsia="fi-FI"/>
    </w:rPr>
  </w:style>
  <w:style w:type="character" w:customStyle="1" w:styleId="Rubrik8Char">
    <w:name w:val="Rubrik 8 Char"/>
    <w:aliases w:val="ECHA Heading 8 Char"/>
    <w:basedOn w:val="Standardstycketeckensnitt"/>
    <w:link w:val="Rubrik8"/>
    <w:rsid w:val="00EA7CF9"/>
    <w:rPr>
      <w:rFonts w:ascii="Verdana" w:eastAsia="Times New Roman" w:hAnsi="Verdana" w:cs="Arial"/>
      <w:b/>
      <w:snapToGrid w:val="0"/>
      <w:color w:val="000000"/>
      <w:sz w:val="20"/>
      <w:szCs w:val="24"/>
      <w:lang w:eastAsia="fi-FI"/>
    </w:rPr>
  </w:style>
  <w:style w:type="character" w:customStyle="1" w:styleId="Rubrik9Char">
    <w:name w:val="Rubrik 9 Char"/>
    <w:aliases w:val="ECHA Heading 9 Char"/>
    <w:basedOn w:val="Standardstycketeckensnitt"/>
    <w:link w:val="Rubrik9"/>
    <w:rsid w:val="00EA7CF9"/>
    <w:rPr>
      <w:rFonts w:ascii="Verdana" w:eastAsia="Times New Roman" w:hAnsi="Verdana" w:cs="Arial"/>
      <w:b/>
      <w:iCs/>
      <w:snapToGrid w:val="0"/>
      <w:color w:val="000000"/>
      <w:sz w:val="20"/>
      <w:lang w:eastAsia="fi-FI"/>
    </w:rPr>
  </w:style>
  <w:style w:type="numbering" w:customStyle="1" w:styleId="ECHABulletlist">
    <w:name w:val="ECHA Bullet list"/>
    <w:basedOn w:val="Ingenlista"/>
    <w:rsid w:val="00EA7CF9"/>
    <w:pPr>
      <w:numPr>
        <w:numId w:val="1"/>
      </w:numPr>
    </w:pPr>
  </w:style>
  <w:style w:type="numbering" w:customStyle="1" w:styleId="ECHANumberlist">
    <w:name w:val="ECHA Number list"/>
    <w:basedOn w:val="Ingenlista"/>
    <w:rsid w:val="00EA7CF9"/>
    <w:pPr>
      <w:numPr>
        <w:numId w:val="2"/>
      </w:numPr>
    </w:pPr>
  </w:style>
  <w:style w:type="paragraph" w:styleId="Brdtext">
    <w:name w:val="Body Text"/>
    <w:aliases w:val="Text"/>
    <w:basedOn w:val="Normal"/>
    <w:link w:val="BrdtextChar"/>
    <w:unhideWhenUsed/>
    <w:rsid w:val="00EA7CF9"/>
    <w:pPr>
      <w:spacing w:after="120"/>
    </w:pPr>
  </w:style>
  <w:style w:type="character" w:customStyle="1" w:styleId="BrdtextChar">
    <w:name w:val="Brödtext Char"/>
    <w:aliases w:val="Text Char"/>
    <w:basedOn w:val="Standardstycketeckensnitt"/>
    <w:link w:val="Brdtext"/>
    <w:rsid w:val="00EA7CF9"/>
  </w:style>
  <w:style w:type="paragraph" w:styleId="Rubrik">
    <w:name w:val="Title"/>
    <w:aliases w:val="ECHA Heading"/>
    <w:basedOn w:val="Rubrik1"/>
    <w:next w:val="Brdtext"/>
    <w:link w:val="RubrikChar"/>
    <w:qFormat/>
    <w:rsid w:val="00EA7CF9"/>
    <w:rPr>
      <w:rFonts w:cs="Arial"/>
      <w:bCs/>
      <w:szCs w:val="32"/>
    </w:rPr>
  </w:style>
  <w:style w:type="character" w:customStyle="1" w:styleId="RubrikChar">
    <w:name w:val="Rubrik Char"/>
    <w:aliases w:val="ECHA Heading Char"/>
    <w:basedOn w:val="Standardstycketeckensnitt"/>
    <w:link w:val="Rubrik"/>
    <w:rsid w:val="00EA7CF9"/>
    <w:rPr>
      <w:rFonts w:ascii="Verdana" w:eastAsia="Times New Roman" w:hAnsi="Verdana" w:cs="Arial"/>
      <w:b/>
      <w:bCs/>
      <w:snapToGrid w:val="0"/>
      <w:color w:val="0046AD"/>
      <w:sz w:val="28"/>
      <w:szCs w:val="32"/>
      <w:lang w:eastAsia="fi-FI"/>
    </w:rPr>
  </w:style>
  <w:style w:type="paragraph" w:styleId="Fotnotstext">
    <w:name w:val="footnote text"/>
    <w:basedOn w:val="Normal"/>
    <w:link w:val="FotnotstextChar"/>
    <w:uiPriority w:val="99"/>
    <w:semiHidden/>
    <w:qFormat/>
    <w:rsid w:val="00471457"/>
  </w:style>
  <w:style w:type="character" w:customStyle="1" w:styleId="FotnotstextChar">
    <w:name w:val="Fotnotstext Char"/>
    <w:basedOn w:val="Standardstycketeckensnitt"/>
    <w:link w:val="Fotnotstext"/>
    <w:uiPriority w:val="99"/>
    <w:semiHidden/>
    <w:rsid w:val="00471457"/>
    <w:rPr>
      <w:rFonts w:ascii="Verdana" w:eastAsia="Times New Roman" w:hAnsi="Verdana" w:cs="Times New Roman"/>
      <w:snapToGrid w:val="0"/>
      <w:sz w:val="20"/>
      <w:szCs w:val="20"/>
      <w:lang w:eastAsia="fi-FI"/>
    </w:rPr>
  </w:style>
  <w:style w:type="character" w:styleId="Fotnotsreferens">
    <w:name w:val="footnote reference"/>
    <w:aliases w:val="Footnote"/>
    <w:uiPriority w:val="99"/>
    <w:semiHidden/>
    <w:qFormat/>
    <w:rsid w:val="00471457"/>
    <w:rPr>
      <w:vertAlign w:val="superscript"/>
    </w:rPr>
  </w:style>
  <w:style w:type="paragraph" w:styleId="Liststycke">
    <w:name w:val="List Paragraph"/>
    <w:basedOn w:val="Normal"/>
    <w:uiPriority w:val="34"/>
    <w:qFormat/>
    <w:rsid w:val="00471457"/>
    <w:pPr>
      <w:ind w:left="720"/>
    </w:pPr>
  </w:style>
  <w:style w:type="paragraph" w:styleId="Ballongtext">
    <w:name w:val="Balloon Text"/>
    <w:basedOn w:val="Normal"/>
    <w:link w:val="BallongtextChar"/>
    <w:uiPriority w:val="99"/>
    <w:semiHidden/>
    <w:unhideWhenUsed/>
    <w:rsid w:val="005F45D1"/>
    <w:rPr>
      <w:rFonts w:ascii="Tahoma" w:hAnsi="Tahoma" w:cs="Tahoma"/>
      <w:sz w:val="16"/>
      <w:szCs w:val="16"/>
    </w:rPr>
  </w:style>
  <w:style w:type="character" w:customStyle="1" w:styleId="BallongtextChar">
    <w:name w:val="Ballongtext Char"/>
    <w:basedOn w:val="Standardstycketeckensnitt"/>
    <w:link w:val="Ballongtext"/>
    <w:uiPriority w:val="99"/>
    <w:semiHidden/>
    <w:rsid w:val="005F45D1"/>
    <w:rPr>
      <w:rFonts w:ascii="Tahoma" w:eastAsia="Times New Roman" w:hAnsi="Tahoma" w:cs="Tahoma"/>
      <w:snapToGrid w:val="0"/>
      <w:sz w:val="16"/>
      <w:szCs w:val="16"/>
      <w:lang w:eastAsia="fi-FI"/>
    </w:rPr>
  </w:style>
  <w:style w:type="character" w:styleId="Kommentarsreferens">
    <w:name w:val="annotation reference"/>
    <w:basedOn w:val="Standardstycketeckensnitt"/>
    <w:uiPriority w:val="99"/>
    <w:semiHidden/>
    <w:unhideWhenUsed/>
    <w:rsid w:val="002F261C"/>
    <w:rPr>
      <w:sz w:val="16"/>
      <w:szCs w:val="16"/>
    </w:rPr>
  </w:style>
  <w:style w:type="paragraph" w:styleId="Kommentarer">
    <w:name w:val="annotation text"/>
    <w:basedOn w:val="Normal"/>
    <w:link w:val="KommentarerChar"/>
    <w:uiPriority w:val="99"/>
    <w:unhideWhenUsed/>
    <w:rsid w:val="002F261C"/>
  </w:style>
  <w:style w:type="character" w:customStyle="1" w:styleId="KommentarerChar">
    <w:name w:val="Kommentarer Char"/>
    <w:basedOn w:val="Standardstycketeckensnitt"/>
    <w:link w:val="Kommentarer"/>
    <w:uiPriority w:val="99"/>
    <w:rsid w:val="002F261C"/>
    <w:rPr>
      <w:rFonts w:ascii="Verdana" w:eastAsia="Times New Roman" w:hAnsi="Verdana" w:cs="Times New Roman"/>
      <w:snapToGrid w:val="0"/>
      <w:sz w:val="20"/>
      <w:szCs w:val="20"/>
      <w:lang w:eastAsia="fi-FI"/>
    </w:rPr>
  </w:style>
  <w:style w:type="paragraph" w:styleId="Kommentarsmne">
    <w:name w:val="annotation subject"/>
    <w:basedOn w:val="Kommentarer"/>
    <w:next w:val="Kommentarer"/>
    <w:link w:val="KommentarsmneChar"/>
    <w:uiPriority w:val="99"/>
    <w:semiHidden/>
    <w:unhideWhenUsed/>
    <w:rsid w:val="002F261C"/>
    <w:rPr>
      <w:b/>
      <w:bCs/>
    </w:rPr>
  </w:style>
  <w:style w:type="character" w:customStyle="1" w:styleId="KommentarsmneChar">
    <w:name w:val="Kommentarsämne Char"/>
    <w:basedOn w:val="KommentarerChar"/>
    <w:link w:val="Kommentarsmne"/>
    <w:uiPriority w:val="99"/>
    <w:semiHidden/>
    <w:rsid w:val="002F261C"/>
    <w:rPr>
      <w:rFonts w:ascii="Verdana" w:eastAsia="Times New Roman" w:hAnsi="Verdana" w:cs="Times New Roman"/>
      <w:b/>
      <w:bCs/>
      <w:snapToGrid w:val="0"/>
      <w:sz w:val="20"/>
      <w:szCs w:val="20"/>
      <w:lang w:eastAsia="fi-FI"/>
    </w:rPr>
  </w:style>
  <w:style w:type="paragraph" w:styleId="Sidhuvud">
    <w:name w:val="header"/>
    <w:basedOn w:val="Normal"/>
    <w:link w:val="SidhuvudChar"/>
    <w:uiPriority w:val="99"/>
    <w:unhideWhenUsed/>
    <w:rsid w:val="00A41F93"/>
    <w:pPr>
      <w:tabs>
        <w:tab w:val="center" w:pos="4513"/>
        <w:tab w:val="right" w:pos="9026"/>
      </w:tabs>
    </w:pPr>
  </w:style>
  <w:style w:type="character" w:customStyle="1" w:styleId="SidhuvudChar">
    <w:name w:val="Sidhuvud Char"/>
    <w:basedOn w:val="Standardstycketeckensnitt"/>
    <w:link w:val="Sidhuvud"/>
    <w:uiPriority w:val="99"/>
    <w:rsid w:val="00A41F93"/>
    <w:rPr>
      <w:rFonts w:ascii="Verdana" w:eastAsia="Times New Roman" w:hAnsi="Verdana" w:cs="Times New Roman"/>
      <w:snapToGrid w:val="0"/>
      <w:sz w:val="20"/>
      <w:szCs w:val="20"/>
      <w:lang w:eastAsia="fi-FI"/>
    </w:rPr>
  </w:style>
  <w:style w:type="paragraph" w:styleId="Sidfot">
    <w:name w:val="footer"/>
    <w:basedOn w:val="Normal"/>
    <w:link w:val="SidfotChar"/>
    <w:uiPriority w:val="99"/>
    <w:unhideWhenUsed/>
    <w:rsid w:val="00A41F93"/>
    <w:pPr>
      <w:tabs>
        <w:tab w:val="center" w:pos="4513"/>
        <w:tab w:val="right" w:pos="9026"/>
      </w:tabs>
    </w:pPr>
  </w:style>
  <w:style w:type="character" w:customStyle="1" w:styleId="SidfotChar">
    <w:name w:val="Sidfot Char"/>
    <w:basedOn w:val="Standardstycketeckensnitt"/>
    <w:link w:val="Sidfot"/>
    <w:uiPriority w:val="99"/>
    <w:rsid w:val="00A41F93"/>
    <w:rPr>
      <w:rFonts w:ascii="Verdana" w:eastAsia="Times New Roman" w:hAnsi="Verdana" w:cs="Times New Roman"/>
      <w:snapToGrid w:val="0"/>
      <w:sz w:val="20"/>
      <w:szCs w:val="20"/>
      <w:lang w:eastAsia="fi-FI"/>
    </w:rPr>
  </w:style>
  <w:style w:type="character" w:styleId="Hyperlnk">
    <w:name w:val="Hyperlink"/>
    <w:basedOn w:val="Standardstycketeckensnitt"/>
    <w:uiPriority w:val="99"/>
    <w:rsid w:val="002E4026"/>
    <w:rPr>
      <w:rFonts w:ascii="Verdana" w:hAnsi="Verdana"/>
      <w:color w:val="0000FF"/>
      <w:sz w:val="20"/>
      <w:u w:val="single"/>
    </w:rPr>
  </w:style>
  <w:style w:type="character" w:styleId="AnvndHyperlnk">
    <w:name w:val="FollowedHyperlink"/>
    <w:basedOn w:val="Standardstycketeckensnitt"/>
    <w:uiPriority w:val="99"/>
    <w:semiHidden/>
    <w:unhideWhenUsed/>
    <w:rsid w:val="00A03E87"/>
    <w:rPr>
      <w:color w:val="800080" w:themeColor="followedHyperlink"/>
      <w:u w:val="single"/>
    </w:rPr>
  </w:style>
  <w:style w:type="paragraph" w:styleId="Numreradlista">
    <w:name w:val="List Number"/>
    <w:basedOn w:val="Normal"/>
    <w:uiPriority w:val="99"/>
    <w:semiHidden/>
    <w:unhideWhenUsed/>
    <w:rsid w:val="00862992"/>
    <w:pPr>
      <w:numPr>
        <w:numId w:val="14"/>
      </w:numPr>
      <w:contextualSpacing/>
    </w:pPr>
  </w:style>
  <w:style w:type="paragraph" w:customStyle="1" w:styleId="Default">
    <w:name w:val="Default"/>
    <w:rsid w:val="00FF659C"/>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Normalwebb">
    <w:name w:val="Normal (Web)"/>
    <w:basedOn w:val="Normal"/>
    <w:uiPriority w:val="99"/>
    <w:unhideWhenUsed/>
    <w:rsid w:val="008E70DE"/>
    <w:pPr>
      <w:widowControl/>
    </w:pPr>
    <w:rPr>
      <w:rFonts w:ascii="Times New Roman" w:hAnsi="Times New Roman"/>
      <w:snapToGrid/>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echa.europa.eu/en/web/guest/information-on-chemicals/evaluation/community-rolling-action-plan/corap-table/-/dislist/details/0b0236e180b93351" TargetMode="External"/><Relationship Id="rId2" Type="http://schemas.openxmlformats.org/officeDocument/2006/relationships/hyperlink" Target="https://www.echa.europa.eu/en/web/guest/registry-of-clh-intentions-until-outcome/-/dislist/details/0b0236e180a1283a" TargetMode="External"/><Relationship Id="rId1" Type="http://schemas.openxmlformats.org/officeDocument/2006/relationships/hyperlink" Target="http://echa.europa.eu/addressing-chemicals-of-concern/substances-of-potential-concern/svhc-roadmap-to-2020-implementation" TargetMode="External"/><Relationship Id="rId4" Type="http://schemas.openxmlformats.org/officeDocument/2006/relationships/hyperlink" Target="https://www.echa.europa.eu/en/web/guest/registry-of-clh-intentions-until-outcome/-/dislist/details/0b0236e1806d84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7808A1CA0E4EF14790F53ECF057752F5" ma:contentTypeVersion="16" ma:contentTypeDescription="Content type for ECHA process documents" ma:contentTypeScope="" ma:versionID="4ad06edc44e47dd803ed236971bd80b1">
  <xsd:schema xmlns:xsd="http://www.w3.org/2001/XMLSchema" xmlns:xs="http://www.w3.org/2001/XMLSchema" xmlns:p="http://schemas.microsoft.com/office/2006/metadata/properties" xmlns:ns2="4811b924-dee2-413a-bdc8-2cc023473c17" xmlns:ns3="b80ede5c-af4c-4bf2-9a87-706a3579dc11" targetNamespace="http://schemas.microsoft.com/office/2006/metadata/properties" ma:root="true" ma:fieldsID="f4d5235ea4be938ed52839c5b79c8146" ns2:_="" ns3:_="">
    <xsd:import namespace="4811b924-dee2-413a-bdc8-2cc023473c17"/>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3:TaxCatchAll" minOccurs="0"/>
                <xsd:element ref="ns3: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1b924-dee2-413a-bdc8-2cc023473c17"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2f01920a-32c0-4bfc-852f-a78ec103ad1f}" ma:internalName="TaxCatchAll" ma:showField="CatchAllData" ma:web="4811b924-dee2-413a-bdc8-2cc023473c1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f01920a-32c0-4bfc-852f-a78ec103ad1f}" ma:internalName="TaxCatchAllLabel" ma:readOnly="true" ma:showField="CatchAllDataLabel" ma:web="4811b924-dee2-413a-bdc8-2cc023473c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5.xml><?xml version="1.0" encoding="utf-8"?>
<p:properties xmlns:p="http://schemas.microsoft.com/office/2006/metadata/properties" xmlns:xsi="http://www.w3.org/2001/XMLSchema-instance" xmlns:pc="http://schemas.microsoft.com/office/infopath/2007/PartnerControls">
  <documentManagement>
    <ECHADocumentTypeTaxHTField0 xmlns="4811b924-dee2-413a-bdc8-2cc023473c17">
      <Terms xmlns="http://schemas.microsoft.com/office/infopath/2007/PartnerControls"/>
    </ECHADocumentTypeTaxHTField0>
    <ECHACategoryTaxHTField0 xmlns="4811b924-dee2-413a-bdc8-2cc023473c17">
      <Terms xmlns="http://schemas.microsoft.com/office/infopath/2007/PartnerControls"/>
    </ECHACategoryTaxHTField0>
    <ECHAProcessTaxHTField0 xmlns="4811b924-dee2-413a-bdc8-2cc023473c17">
      <Terms xmlns="http://schemas.microsoft.com/office/infopath/2007/PartnerControls">
        <TermInfo xmlns="http://schemas.microsoft.com/office/infopath/2007/PartnerControls">
          <TermName xmlns="http://schemas.microsoft.com/office/infopath/2007/PartnerControls">03.01 Preparation for Risk management</TermName>
          <TermId xmlns="http://schemas.microsoft.com/office/infopath/2007/PartnerControls">d80fe072-1fec-4844-8783-25e18f728697</TermId>
        </TermInfo>
      </Terms>
    </ECHAProcessTaxHTField0>
    <_dlc_DocId xmlns="b80ede5c-af4c-4bf2-9a87-706a3579dc11">ACTV3-10-9080</_dlc_DocId>
    <TaxCatchAll xmlns="b80ede5c-af4c-4bf2-9a87-706a3579dc11">
      <Value>2</Value>
      <Value>1</Value>
    </TaxCatchAll>
    <ECHASecClassTaxHTField0 xmlns="4811b924-dee2-413a-bdc8-2cc023473c17">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a0307bc2-faf9-4068-8aeb-b713e4fa2a0f</TermId>
        </TermInfo>
      </Terms>
    </ECHASecClassTaxHTField0>
    <_dlc_DocIdUrl xmlns="b80ede5c-af4c-4bf2-9a87-706a3579dc11">
      <Url>https://activity.echa.europa.eu/sites/act-3/process-3-1/_layouts/DocIdRedir.aspx?ID=ACTV3-10-9080</Url>
      <Description>ACTV3-10-9080</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ABFB3E3-EBBC-4869-B4C1-04C930B5F05A}">
  <ds:schemaRefs>
    <ds:schemaRef ds:uri="http://schemas.microsoft.com/sharepoint/v3/contenttype/forms"/>
  </ds:schemaRefs>
</ds:datastoreItem>
</file>

<file path=customXml/itemProps2.xml><?xml version="1.0" encoding="utf-8"?>
<ds:datastoreItem xmlns:ds="http://schemas.openxmlformats.org/officeDocument/2006/customXml" ds:itemID="{491B9FA1-F855-4497-8528-FF1A98434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1b924-dee2-413a-bdc8-2cc023473c17"/>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2A0B6B-2A8C-4E8B-A868-E39425EDA209}">
  <ds:schemaRefs>
    <ds:schemaRef ds:uri="http://schemas.openxmlformats.org/officeDocument/2006/bibliography"/>
  </ds:schemaRefs>
</ds:datastoreItem>
</file>

<file path=customXml/itemProps4.xml><?xml version="1.0" encoding="utf-8"?>
<ds:datastoreItem xmlns:ds="http://schemas.openxmlformats.org/officeDocument/2006/customXml" ds:itemID="{9F44A4DA-6220-401F-9FBC-DBFBD929C8E3}">
  <ds:schemaRefs>
    <ds:schemaRef ds:uri="Microsoft.SharePoint.Taxonomy.ContentTypeSync"/>
  </ds:schemaRefs>
</ds:datastoreItem>
</file>

<file path=customXml/itemProps5.xml><?xml version="1.0" encoding="utf-8"?>
<ds:datastoreItem xmlns:ds="http://schemas.openxmlformats.org/officeDocument/2006/customXml" ds:itemID="{FB8C6060-E70E-4A37-913A-A00BF7D052E3}">
  <ds:schemaRefs>
    <ds:schemaRef ds:uri="http://schemas.microsoft.com/office/2006/documentManagement/types"/>
    <ds:schemaRef ds:uri="http://schemas.microsoft.com/office/infopath/2007/PartnerControls"/>
    <ds:schemaRef ds:uri="4811b924-dee2-413a-bdc8-2cc023473c17"/>
    <ds:schemaRef ds:uri="http://purl.org/dc/elements/1.1/"/>
    <ds:schemaRef ds:uri="http://schemas.microsoft.com/office/2006/metadata/properties"/>
    <ds:schemaRef ds:uri="http://purl.org/dc/terms/"/>
    <ds:schemaRef ds:uri="http://schemas.openxmlformats.org/package/2006/metadata/core-properties"/>
    <ds:schemaRef ds:uri="b80ede5c-af4c-4bf2-9a87-706a3579dc11"/>
    <ds:schemaRef ds:uri="http://www.w3.org/XML/1998/namespace"/>
    <ds:schemaRef ds:uri="http://purl.org/dc/dcmitype/"/>
  </ds:schemaRefs>
</ds:datastoreItem>
</file>

<file path=customXml/itemProps6.xml><?xml version="1.0" encoding="utf-8"?>
<ds:datastoreItem xmlns:ds="http://schemas.openxmlformats.org/officeDocument/2006/customXml" ds:itemID="{04B0A82C-9F0F-4A45-B5C2-5C8C1C023A7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5</Pages>
  <Words>1303</Words>
  <Characters>6912</Characters>
  <Application>Microsoft Office Word</Application>
  <DocSecurity>0</DocSecurity>
  <Lines>57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European Chemicals Agency</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CLENAGHAN Conor</dc:creator>
  <cp:lastModifiedBy>Adina Tenie</cp:lastModifiedBy>
  <cp:revision>87</cp:revision>
  <cp:lastPrinted>2015-08-11T11:20:00Z</cp:lastPrinted>
  <dcterms:created xsi:type="dcterms:W3CDTF">2017-09-22T08:35:00Z</dcterms:created>
  <dcterms:modified xsi:type="dcterms:W3CDTF">2020-12-11T13:39:00Z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HAProcess">
    <vt:lpwstr>2;#03.01 Preparation for Risk management|d80fe072-1fec-4844-8783-25e18f728697</vt:lpwstr>
  </property>
  <property fmtid="{D5CDD505-2E9C-101B-9397-08002B2CF9AE}" pid="3" name="_dlc_DocIdItemGuid">
    <vt:lpwstr>e8fafb9e-51d1-4195-b565-50d6f7fca025</vt:lpwstr>
  </property>
  <property fmtid="{D5CDD505-2E9C-101B-9397-08002B2CF9AE}" pid="4" name="ContentTypeId">
    <vt:lpwstr>0x010100B558917389A54ADDB58930FBD7E6FD57008586DED9191B4C4CBD31A5DF7F304A71007808A1CA0E4EF14790F53ECF057752F5</vt:lpwstr>
  </property>
  <property fmtid="{D5CDD505-2E9C-101B-9397-08002B2CF9AE}" pid="5" name="ECHADocumentType">
    <vt:lpwstr/>
  </property>
  <property fmtid="{D5CDD505-2E9C-101B-9397-08002B2CF9AE}" pid="6" name="ECHASecClass">
    <vt:lpwstr>1;#|a0307bc2-faf9-4068-8aeb-b713e4fa2a0f</vt:lpwstr>
  </property>
  <property fmtid="{D5CDD505-2E9C-101B-9397-08002B2CF9AE}" pid="7" name="ECHACategory">
    <vt:lpwstr/>
  </property>
</Properties>
</file>