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napToGrid/>
          <w:sz w:val="22"/>
          <w:szCs w:val="22"/>
          <w:lang w:eastAsia="en-GB"/>
        </w:rPr>
        <w:drawing>
          <wp:inline distT="0" distB="0" distL="0" distR="0">
            <wp:extent cx="3114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C17DA" w:rsidRPr="00DC288A" w:rsidRDefault="008C17DA" w:rsidP="008C17DA">
      <w:pPr>
        <w:jc w:val="center"/>
        <w:outlineLvl w:val="0"/>
        <w:rPr>
          <w:rFonts w:ascii="Verdana" w:hAnsi="Verdana"/>
          <w:b/>
        </w:rPr>
      </w:pPr>
      <w:r w:rsidRPr="00DC288A">
        <w:rPr>
          <w:rFonts w:ascii="Verdana" w:hAnsi="Verdana"/>
          <w:b/>
        </w:rPr>
        <w:t xml:space="preserve">Tender Specifications </w:t>
      </w:r>
    </w:p>
    <w:p w:rsidR="008C17D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Pr="00DC288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Pr="00DC288A" w:rsidRDefault="008C17DA" w:rsidP="008C17DA">
      <w:pPr>
        <w:jc w:val="center"/>
        <w:outlineLvl w:val="0"/>
        <w:rPr>
          <w:rFonts w:ascii="Verdana" w:hAnsi="Verdana"/>
          <w:b/>
        </w:rPr>
      </w:pPr>
      <w:r w:rsidRPr="00DC288A">
        <w:rPr>
          <w:rFonts w:ascii="Verdana" w:hAnsi="Verdana"/>
          <w:b/>
        </w:rPr>
        <w:t>Open Procedure</w:t>
      </w:r>
    </w:p>
    <w:p w:rsidR="008C17DA" w:rsidRPr="00DC288A" w:rsidRDefault="008C17DA" w:rsidP="008C17DA">
      <w:pPr>
        <w:jc w:val="center"/>
        <w:outlineLvl w:val="0"/>
        <w:rPr>
          <w:rFonts w:ascii="Verdana" w:hAnsi="Verdana"/>
          <w:b/>
        </w:rPr>
      </w:pPr>
      <w:r w:rsidRPr="00DC288A">
        <w:rPr>
          <w:rFonts w:ascii="Verdana" w:hAnsi="Verdana"/>
          <w:b/>
        </w:rPr>
        <w:t>No. ECHA/201</w:t>
      </w:r>
      <w:r>
        <w:rPr>
          <w:rFonts w:ascii="Verdana" w:hAnsi="Verdana"/>
          <w:b/>
        </w:rPr>
        <w:t>3</w:t>
      </w:r>
      <w:r w:rsidRPr="00DC288A">
        <w:rPr>
          <w:rFonts w:ascii="Verdana" w:hAnsi="Verdana"/>
          <w:b/>
        </w:rPr>
        <w:t>/</w:t>
      </w:r>
      <w:r>
        <w:rPr>
          <w:rFonts w:ascii="Verdana" w:hAnsi="Verdana"/>
          <w:b/>
        </w:rPr>
        <w:t>483</w:t>
      </w:r>
    </w:p>
    <w:p w:rsidR="008C17D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Pr="00DC288A" w:rsidRDefault="008C17DA" w:rsidP="008C17DA">
      <w:pPr>
        <w:jc w:val="center"/>
        <w:outlineLvl w:val="0"/>
        <w:rPr>
          <w:rFonts w:ascii="Verdana" w:hAnsi="Verdana"/>
          <w:b/>
        </w:rPr>
      </w:pPr>
    </w:p>
    <w:p w:rsidR="008C17DA" w:rsidRPr="0039463A" w:rsidRDefault="008C17DA" w:rsidP="008C17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C288A">
        <w:rPr>
          <w:rFonts w:ascii="Verdana" w:hAnsi="Verdana"/>
          <w:b/>
        </w:rPr>
        <w:t xml:space="preserve">Title: </w:t>
      </w:r>
      <w:r w:rsidRPr="00B30003">
        <w:rPr>
          <w:rFonts w:ascii="Verdana" w:hAnsi="Verdana" w:cs="Tahoma"/>
          <w:b/>
          <w:color w:val="000070"/>
        </w:rPr>
        <w:t xml:space="preserve">Certification of the ECHA Integrated </w:t>
      </w:r>
      <w:r>
        <w:rPr>
          <w:rFonts w:ascii="Verdana" w:hAnsi="Verdana" w:cs="Tahoma"/>
          <w:b/>
          <w:color w:val="000070"/>
        </w:rPr>
        <w:t xml:space="preserve">Quality </w:t>
      </w:r>
      <w:r w:rsidRPr="00B30003">
        <w:rPr>
          <w:rFonts w:ascii="Verdana" w:hAnsi="Verdana" w:cs="Tahoma"/>
          <w:b/>
          <w:color w:val="000070"/>
        </w:rPr>
        <w:t>Management System against ISO 9001:2008 Standard</w:t>
      </w:r>
    </w:p>
    <w:p w:rsidR="008C17DA" w:rsidRPr="0039463A" w:rsidRDefault="008C17DA" w:rsidP="008C17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C17DA" w:rsidRDefault="008C17DA" w:rsidP="008C17D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C17DA" w:rsidRPr="00FA0A86" w:rsidRDefault="008C17DA" w:rsidP="008C17DA">
      <w:pPr>
        <w:jc w:val="center"/>
        <w:outlineLvl w:val="0"/>
        <w:rPr>
          <w:rFonts w:ascii="Verdana" w:hAnsi="Verdana"/>
          <w:b/>
        </w:rPr>
      </w:pPr>
      <w:r w:rsidRPr="00FA0A86">
        <w:rPr>
          <w:rFonts w:ascii="Verdana" w:hAnsi="Verdana"/>
          <w:b/>
        </w:rPr>
        <w:t xml:space="preserve">Annex </w:t>
      </w:r>
      <w:r>
        <w:rPr>
          <w:rFonts w:ascii="Verdana" w:hAnsi="Verdana"/>
          <w:b/>
        </w:rPr>
        <w:t>4.</w:t>
      </w:r>
      <w:r w:rsidR="007629C4">
        <w:rPr>
          <w:rFonts w:ascii="Verdana" w:hAnsi="Verdana"/>
          <w:b/>
        </w:rPr>
        <w:t>3</w:t>
      </w:r>
      <w:r>
        <w:rPr>
          <w:rFonts w:ascii="Verdana" w:hAnsi="Verdana"/>
          <w:b/>
        </w:rPr>
        <w:t>.5</w:t>
      </w:r>
      <w:r w:rsidRPr="00FA0A86">
        <w:rPr>
          <w:rFonts w:ascii="Verdana" w:hAnsi="Verdana"/>
          <w:b/>
        </w:rPr>
        <w:t xml:space="preserve"> – </w:t>
      </w:r>
      <w:r w:rsidR="00CE2AE2">
        <w:rPr>
          <w:rFonts w:ascii="Verdana" w:hAnsi="Verdana"/>
          <w:b/>
        </w:rPr>
        <w:t>Reference Price List</w:t>
      </w:r>
    </w:p>
    <w:p w:rsidR="003F5F42" w:rsidRPr="00B03A48" w:rsidRDefault="008C17DA" w:rsidP="008C17DA">
      <w:pPr>
        <w:rPr>
          <w:rFonts w:ascii="Verdana" w:hAnsi="Verdana"/>
        </w:rPr>
      </w:pPr>
      <w:r>
        <w:rPr>
          <w:rFonts w:ascii="Verdana" w:hAnsi="Verdana" w:cs="Arial"/>
          <w:b/>
          <w:noProof/>
          <w:sz w:val="32"/>
          <w:szCs w:val="32"/>
        </w:rPr>
        <w:br w:type="page"/>
      </w:r>
    </w:p>
    <w:p w:rsidR="003F5F42" w:rsidRPr="00B03A48" w:rsidRDefault="003F5F42" w:rsidP="003F5F42">
      <w:pPr>
        <w:rPr>
          <w:rFonts w:ascii="Verdana" w:hAnsi="Verdana"/>
        </w:rPr>
      </w:pPr>
    </w:p>
    <w:tbl>
      <w:tblPr>
        <w:tblW w:w="893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3345"/>
        <w:gridCol w:w="1332"/>
      </w:tblGrid>
      <w:tr w:rsidR="00467AF7" w:rsidRPr="00B03A48" w:rsidTr="002A05AB">
        <w:trPr>
          <w:trHeight w:val="1250"/>
        </w:trPr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2A05AB" w:rsidRDefault="002A05AB" w:rsidP="00666DB9">
            <w:pPr>
              <w:pStyle w:val="Text1"/>
              <w:spacing w:before="60" w:after="0" w:line="360" w:lineRule="auto"/>
              <w:ind w:left="0"/>
              <w:jc w:val="center"/>
              <w:rPr>
                <w:rFonts w:ascii="Verdana" w:hAnsi="Verdana"/>
                <w:i/>
                <w:sz w:val="18"/>
              </w:rPr>
            </w:pPr>
          </w:p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jc w:val="center"/>
              <w:rPr>
                <w:rFonts w:ascii="Verdana" w:hAnsi="Verdana"/>
                <w:i/>
                <w:sz w:val="18"/>
              </w:rPr>
            </w:pPr>
            <w:r w:rsidRPr="00B03A48">
              <w:rPr>
                <w:rFonts w:ascii="Verdana" w:hAnsi="Verdana"/>
                <w:i/>
                <w:sz w:val="18"/>
              </w:rPr>
              <w:t>Price component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:rsidR="002A05AB" w:rsidRDefault="002A05AB" w:rsidP="003B44B4">
            <w:pPr>
              <w:pStyle w:val="Text1"/>
              <w:spacing w:before="60" w:after="0"/>
              <w:ind w:left="0"/>
              <w:jc w:val="center"/>
              <w:rPr>
                <w:rFonts w:ascii="Verdana" w:hAnsi="Verdana"/>
                <w:i/>
                <w:sz w:val="18"/>
              </w:rPr>
            </w:pPr>
          </w:p>
          <w:p w:rsidR="00467AF7" w:rsidRPr="00B03A48" w:rsidRDefault="00467AF7" w:rsidP="003B44B4">
            <w:pPr>
              <w:pStyle w:val="Text1"/>
              <w:spacing w:before="60" w:after="0"/>
              <w:ind w:left="0"/>
              <w:jc w:val="center"/>
              <w:rPr>
                <w:rFonts w:ascii="Verdana" w:hAnsi="Verdana"/>
                <w:i/>
                <w:sz w:val="18"/>
              </w:rPr>
            </w:pPr>
            <w:r w:rsidRPr="00B03A48">
              <w:rPr>
                <w:rFonts w:ascii="Verdana" w:hAnsi="Verdana"/>
                <w:i/>
                <w:sz w:val="18"/>
              </w:rPr>
              <w:t>Unit price</w:t>
            </w:r>
            <w:r>
              <w:rPr>
                <w:rFonts w:ascii="Verdana" w:hAnsi="Verdana"/>
                <w:i/>
                <w:sz w:val="18"/>
              </w:rPr>
              <w:t xml:space="preserve"> (daily rate)</w:t>
            </w:r>
            <w:r w:rsidRPr="00B03A48">
              <w:rPr>
                <w:rFonts w:ascii="Verdana" w:hAnsi="Verdana"/>
                <w:i/>
                <w:sz w:val="18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pct12" w:color="auto" w:fill="FFFFFF"/>
          </w:tcPr>
          <w:p w:rsidR="002A05AB" w:rsidRDefault="002A05AB" w:rsidP="00666DB9">
            <w:pPr>
              <w:pStyle w:val="Text1"/>
              <w:spacing w:before="60" w:after="0" w:line="360" w:lineRule="auto"/>
              <w:ind w:left="0"/>
              <w:jc w:val="center"/>
              <w:rPr>
                <w:rFonts w:ascii="Verdana" w:hAnsi="Verdana"/>
                <w:i/>
                <w:sz w:val="18"/>
              </w:rPr>
            </w:pPr>
          </w:p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Description</w:t>
            </w:r>
            <w:r w:rsidR="003B44B4">
              <w:rPr>
                <w:rFonts w:ascii="Verdana" w:hAnsi="Verdana"/>
                <w:i/>
                <w:sz w:val="18"/>
              </w:rPr>
              <w:t xml:space="preserve"> of the role and capacity</w:t>
            </w:r>
          </w:p>
        </w:tc>
      </w:tr>
      <w:tr w:rsidR="003F5F42" w:rsidRPr="00B03A48" w:rsidTr="003B44B4">
        <w:tc>
          <w:tcPr>
            <w:tcW w:w="2977" w:type="dxa"/>
            <w:tcBorders>
              <w:right w:val="nil"/>
            </w:tcBorders>
            <w:shd w:val="pct12" w:color="auto" w:fill="FFFFFF"/>
          </w:tcPr>
          <w:p w:rsidR="002A05AB" w:rsidRDefault="002A05AB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  <w:r w:rsidRPr="00B03A48">
              <w:rPr>
                <w:rFonts w:ascii="Verdana" w:hAnsi="Verdana"/>
                <w:b/>
                <w:sz w:val="18"/>
              </w:rPr>
              <w:t>Human resources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332" w:type="dxa"/>
            <w:tcBorders>
              <w:lef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467AF7" w:rsidRPr="00B03A48" w:rsidTr="003B44B4">
        <w:tc>
          <w:tcPr>
            <w:tcW w:w="2977" w:type="dxa"/>
            <w:shd w:val="pct12" w:color="auto" w:fill="FFFFFF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Lead auditor</w:t>
            </w:r>
          </w:p>
        </w:tc>
        <w:tc>
          <w:tcPr>
            <w:tcW w:w="1276" w:type="dxa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467AF7" w:rsidRPr="00B03A48" w:rsidTr="003B44B4">
        <w:tc>
          <w:tcPr>
            <w:tcW w:w="2977" w:type="dxa"/>
            <w:shd w:val="pct12" w:color="auto" w:fill="FFFFFF"/>
          </w:tcPr>
          <w:p w:rsidR="00467AF7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Auditor - specialist</w:t>
            </w:r>
          </w:p>
        </w:tc>
        <w:tc>
          <w:tcPr>
            <w:tcW w:w="1276" w:type="dxa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467AF7" w:rsidRPr="00B03A48" w:rsidTr="003B44B4">
        <w:tc>
          <w:tcPr>
            <w:tcW w:w="2977" w:type="dxa"/>
            <w:shd w:val="pct12" w:color="auto" w:fill="FFFFFF"/>
          </w:tcPr>
          <w:p w:rsidR="00467AF7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Technical expert</w:t>
            </w:r>
          </w:p>
        </w:tc>
        <w:tc>
          <w:tcPr>
            <w:tcW w:w="1276" w:type="dxa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467AF7" w:rsidRPr="00B03A48" w:rsidTr="003B44B4">
        <w:tc>
          <w:tcPr>
            <w:tcW w:w="2977" w:type="dxa"/>
            <w:shd w:val="pct12" w:color="auto" w:fill="FFFFFF"/>
          </w:tcPr>
          <w:p w:rsidR="00467AF7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Administrative support</w:t>
            </w:r>
          </w:p>
        </w:tc>
        <w:tc>
          <w:tcPr>
            <w:tcW w:w="1276" w:type="dxa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</w:tcPr>
          <w:p w:rsidR="00467AF7" w:rsidRPr="00B03A48" w:rsidRDefault="00467AF7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516C2C">
        <w:tc>
          <w:tcPr>
            <w:tcW w:w="2977" w:type="dxa"/>
            <w:shd w:val="pct12" w:color="auto" w:fill="FFFFFF"/>
          </w:tcPr>
          <w:p w:rsidR="003B44B4" w:rsidRPr="00B03A48" w:rsidRDefault="003B44B4" w:rsidP="00467AF7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…..</w:t>
            </w:r>
          </w:p>
        </w:tc>
        <w:tc>
          <w:tcPr>
            <w:tcW w:w="1276" w:type="dxa"/>
            <w:tcBorders>
              <w:bottom w:val="nil"/>
            </w:tcBorders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tcBorders>
              <w:bottom w:val="nil"/>
            </w:tcBorders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462CB5"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3B44B4" w:rsidRPr="00B03A48" w:rsidRDefault="003B44B4" w:rsidP="00467AF7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…..</w:t>
            </w:r>
          </w:p>
        </w:tc>
        <w:tc>
          <w:tcPr>
            <w:tcW w:w="1276" w:type="dxa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0A5801"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…..</w:t>
            </w:r>
          </w:p>
        </w:tc>
        <w:tc>
          <w:tcPr>
            <w:tcW w:w="1276" w:type="dxa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F45520"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3B44B4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2D3629"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3B44B4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F41ECC">
        <w:tc>
          <w:tcPr>
            <w:tcW w:w="2977" w:type="dxa"/>
            <w:tcBorders>
              <w:bottom w:val="nil"/>
            </w:tcBorders>
            <w:shd w:val="pct12" w:color="auto" w:fill="FFFFFF"/>
          </w:tcPr>
          <w:p w:rsidR="003B44B4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D732A4">
        <w:tc>
          <w:tcPr>
            <w:tcW w:w="8930" w:type="dxa"/>
            <w:gridSpan w:val="4"/>
            <w:shd w:val="pct12" w:color="auto" w:fill="FFFFFF"/>
          </w:tcPr>
          <w:p w:rsidR="003B44B4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Reimbursements </w:t>
            </w:r>
          </w:p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  <w:r w:rsidRPr="008C17DA">
              <w:rPr>
                <w:rFonts w:ascii="Verdana" w:hAnsi="Verdana"/>
                <w:sz w:val="18"/>
              </w:rPr>
              <w:t>(if applicable)</w:t>
            </w:r>
          </w:p>
        </w:tc>
      </w:tr>
      <w:tr w:rsidR="003B44B4" w:rsidRPr="00B03A48" w:rsidTr="00FB6676">
        <w:tc>
          <w:tcPr>
            <w:tcW w:w="2977" w:type="dxa"/>
            <w:shd w:val="pct12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 w:rsidRPr="00B03A48">
              <w:rPr>
                <w:rFonts w:ascii="Verdana" w:hAnsi="Verdana"/>
                <w:sz w:val="18"/>
              </w:rPr>
              <w:t>Item X</w:t>
            </w:r>
          </w:p>
        </w:tc>
        <w:tc>
          <w:tcPr>
            <w:tcW w:w="1276" w:type="dxa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2A05AB">
        <w:tc>
          <w:tcPr>
            <w:tcW w:w="2977" w:type="dxa"/>
            <w:tcBorders>
              <w:bottom w:val="double" w:sz="4" w:space="0" w:color="auto"/>
            </w:tcBorders>
            <w:shd w:val="pct12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 w:rsidRPr="00B03A48">
              <w:rPr>
                <w:rFonts w:ascii="Verdana" w:hAnsi="Verdana"/>
                <w:sz w:val="18"/>
              </w:rPr>
              <w:t>Item Y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tcBorders>
              <w:bottom w:val="double" w:sz="4" w:space="0" w:color="auto"/>
            </w:tcBorders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B44B4" w:rsidRPr="00B03A48" w:rsidTr="002A05AB">
        <w:tc>
          <w:tcPr>
            <w:tcW w:w="2977" w:type="dxa"/>
            <w:tcBorders>
              <w:bottom w:val="double" w:sz="4" w:space="0" w:color="auto"/>
            </w:tcBorders>
            <w:shd w:val="pct12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sz w:val="18"/>
              </w:rPr>
            </w:pPr>
            <w:r w:rsidRPr="00B03A48">
              <w:rPr>
                <w:rFonts w:ascii="Verdana" w:hAnsi="Verdana"/>
                <w:sz w:val="18"/>
              </w:rPr>
              <w:t>…..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7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3B44B4" w:rsidRPr="00B03A48" w:rsidRDefault="003B44B4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</w:tbl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3B44B4" w:rsidRDefault="003B44B4"/>
    <w:p w:rsidR="002A05AB" w:rsidRDefault="002A05AB" w:rsidP="002A05AB">
      <w:pPr>
        <w:spacing w:before="100" w:beforeAutospacing="1" w:after="120"/>
        <w:rPr>
          <w:rFonts w:ascii="Verdana" w:hAnsi="Verdana"/>
          <w:i/>
          <w:sz w:val="20"/>
        </w:rPr>
      </w:pPr>
      <w:r w:rsidRPr="001D4602">
        <w:rPr>
          <w:rFonts w:ascii="Verdana" w:hAnsi="Verdana"/>
          <w:i/>
          <w:sz w:val="20"/>
        </w:rPr>
        <w:t>(</w:t>
      </w:r>
      <w:proofErr w:type="gramStart"/>
      <w:r w:rsidRPr="001D4602">
        <w:rPr>
          <w:rFonts w:ascii="Verdana" w:hAnsi="Verdana"/>
          <w:i/>
          <w:sz w:val="20"/>
        </w:rPr>
        <w:t>table</w:t>
      </w:r>
      <w:proofErr w:type="gramEnd"/>
      <w:r w:rsidRPr="001D4602">
        <w:rPr>
          <w:rFonts w:ascii="Verdana" w:hAnsi="Verdana"/>
          <w:i/>
          <w:sz w:val="20"/>
        </w:rPr>
        <w:t xml:space="preserve"> can be enlarged, if necessary)</w:t>
      </w:r>
    </w:p>
    <w:p w:rsidR="000E3BB8" w:rsidRDefault="000E3BB8" w:rsidP="002A05AB">
      <w:pPr>
        <w:spacing w:before="100" w:beforeAutospacing="1" w:after="12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Please include all possible profiles necessary.</w:t>
      </w:r>
      <w:bookmarkStart w:id="0" w:name="_GoBack"/>
      <w:bookmarkEnd w:id="0"/>
    </w:p>
    <w:p w:rsidR="003B44B4" w:rsidRDefault="003B44B4"/>
    <w:p w:rsidR="003B44B4" w:rsidRPr="002A05AB" w:rsidRDefault="003B44B4" w:rsidP="003B44B4">
      <w:pPr>
        <w:jc w:val="center"/>
        <w:rPr>
          <w:rFonts w:ascii="Verdana" w:hAnsi="Verdana"/>
          <w:sz w:val="20"/>
        </w:rPr>
      </w:pPr>
      <w:r w:rsidRPr="002A05AB">
        <w:rPr>
          <w:rFonts w:ascii="Verdana" w:hAnsi="Verdana"/>
          <w:sz w:val="20"/>
        </w:rPr>
        <w:t>The activities foreseen for the period of the implementation of the contract</w:t>
      </w:r>
    </w:p>
    <w:p w:rsidR="003B44B4" w:rsidRDefault="003B44B4" w:rsidP="003B44B4">
      <w:pPr>
        <w:jc w:val="center"/>
      </w:pPr>
    </w:p>
    <w:tbl>
      <w:tblPr>
        <w:tblW w:w="893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3345"/>
        <w:gridCol w:w="1332"/>
      </w:tblGrid>
      <w:tr w:rsidR="00CE2AE2" w:rsidRPr="00B03A48" w:rsidTr="00467AF7">
        <w:trPr>
          <w:trHeight w:val="684"/>
        </w:trPr>
        <w:tc>
          <w:tcPr>
            <w:tcW w:w="8930" w:type="dxa"/>
            <w:gridSpan w:val="4"/>
            <w:shd w:val="pct12" w:color="auto" w:fill="FFFFFF"/>
          </w:tcPr>
          <w:p w:rsidR="00CE2AE2" w:rsidRDefault="001B3665" w:rsidP="00EE76E4">
            <w:pPr>
              <w:pStyle w:val="Text1"/>
              <w:spacing w:before="60" w:after="0" w:line="276" w:lineRule="auto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</w:t>
            </w:r>
            <w:r w:rsidR="00CE2AE2">
              <w:rPr>
                <w:rFonts w:ascii="Verdana" w:hAnsi="Verdana"/>
                <w:b/>
                <w:sz w:val="18"/>
              </w:rPr>
              <w:t xml:space="preserve">re-certification services and activities </w:t>
            </w:r>
            <w:r w:rsidR="00CE2AE2" w:rsidRPr="008C17DA">
              <w:rPr>
                <w:rFonts w:ascii="Verdana" w:hAnsi="Verdana"/>
                <w:sz w:val="18"/>
              </w:rPr>
              <w:t>(</w:t>
            </w:r>
            <w:r w:rsidR="00CE2AE2">
              <w:rPr>
                <w:rFonts w:ascii="Verdana" w:hAnsi="Verdana"/>
                <w:sz w:val="18"/>
              </w:rPr>
              <w:t>to check the readiness of the IQMS for ISO 9001:2008 certification and to produce a report</w:t>
            </w:r>
            <w:r w:rsidR="00CE2AE2" w:rsidRPr="008C17DA">
              <w:rPr>
                <w:rFonts w:ascii="Verdana" w:hAnsi="Verdana"/>
                <w:sz w:val="18"/>
              </w:rPr>
              <w:t>)</w:t>
            </w:r>
            <w:r w:rsidR="00CE2AE2">
              <w:rPr>
                <w:rFonts w:ascii="Verdana" w:hAnsi="Verdana"/>
                <w:sz w:val="18"/>
              </w:rPr>
              <w:t xml:space="preserve"> in Q2 of 2014</w:t>
            </w:r>
          </w:p>
        </w:tc>
      </w:tr>
      <w:tr w:rsidR="003F5F42" w:rsidRPr="00B03A48" w:rsidTr="001B3665">
        <w:trPr>
          <w:trHeight w:val="1027"/>
        </w:trPr>
        <w:tc>
          <w:tcPr>
            <w:tcW w:w="8930" w:type="dxa"/>
            <w:gridSpan w:val="4"/>
            <w:shd w:val="pct12" w:color="auto" w:fill="FFFFFF"/>
          </w:tcPr>
          <w:p w:rsidR="003F5F42" w:rsidRPr="00B03A48" w:rsidRDefault="001B3665" w:rsidP="00EE76E4">
            <w:pPr>
              <w:pStyle w:val="Text1"/>
              <w:spacing w:before="60" w:after="0" w:line="276" w:lineRule="auto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</w:t>
            </w:r>
            <w:r w:rsidR="00CE2AE2">
              <w:rPr>
                <w:rFonts w:ascii="Verdana" w:hAnsi="Verdana"/>
                <w:b/>
                <w:sz w:val="18"/>
              </w:rPr>
              <w:t xml:space="preserve">nitial certification audit </w:t>
            </w:r>
            <w:r w:rsidR="00CE2AE2" w:rsidRPr="000B28D3">
              <w:rPr>
                <w:rFonts w:ascii="Verdana" w:hAnsi="Verdana"/>
                <w:sz w:val="18"/>
              </w:rPr>
              <w:t xml:space="preserve">(to </w:t>
            </w:r>
            <w:r w:rsidR="00CE2AE2">
              <w:rPr>
                <w:rFonts w:ascii="Verdana" w:hAnsi="Verdana"/>
                <w:sz w:val="18"/>
              </w:rPr>
              <w:t>perform a certification audit of the Agency’s management system against the ISO 9001:2008 standard, and providing the Agency with the related documentation</w:t>
            </w:r>
            <w:r w:rsidR="00CE2AE2">
              <w:rPr>
                <w:rFonts w:ascii="Verdana" w:hAnsi="Verdana"/>
                <w:sz w:val="20"/>
              </w:rPr>
              <w:t>) planned for Q4 of 2014 – Q1 of 2015</w:t>
            </w:r>
          </w:p>
        </w:tc>
      </w:tr>
      <w:tr w:rsidR="00CE2AE2" w:rsidRPr="00B03A48" w:rsidTr="000E3BB8">
        <w:trPr>
          <w:trHeight w:val="1806"/>
        </w:trPr>
        <w:tc>
          <w:tcPr>
            <w:tcW w:w="8930" w:type="dxa"/>
            <w:gridSpan w:val="4"/>
            <w:shd w:val="pct12" w:color="auto" w:fill="FFFFFF"/>
          </w:tcPr>
          <w:p w:rsidR="00CE2AE2" w:rsidRPr="000E3BB8" w:rsidRDefault="001B3665" w:rsidP="000E3BB8">
            <w:pPr>
              <w:pStyle w:val="Text1"/>
              <w:spacing w:before="60" w:after="0" w:line="276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R</w:t>
            </w:r>
            <w:r w:rsidR="00CE2AE2">
              <w:rPr>
                <w:rFonts w:ascii="Verdana" w:hAnsi="Verdana"/>
                <w:b/>
                <w:sz w:val="18"/>
              </w:rPr>
              <w:t xml:space="preserve">egular surveillance audit </w:t>
            </w:r>
            <w:r w:rsidR="00CE2AE2" w:rsidRPr="008C17DA">
              <w:rPr>
                <w:rFonts w:ascii="Verdana" w:hAnsi="Verdana"/>
                <w:sz w:val="18"/>
              </w:rPr>
              <w:t>(</w:t>
            </w:r>
            <w:r w:rsidR="00CE2AE2" w:rsidRPr="00476E08">
              <w:rPr>
                <w:rFonts w:ascii="Verdana" w:hAnsi="Verdana"/>
                <w:sz w:val="20"/>
              </w:rPr>
              <w:t>to</w:t>
            </w:r>
            <w:r w:rsidR="00CE2AE2">
              <w:rPr>
                <w:rFonts w:ascii="Verdana" w:hAnsi="Verdana"/>
                <w:sz w:val="20"/>
              </w:rPr>
              <w:t xml:space="preserve"> check the continued compliance with the requirements for ISO 9001 certification, and, if applicable to</w:t>
            </w:r>
            <w:r w:rsidR="00CE2AE2" w:rsidRPr="00476E08">
              <w:rPr>
                <w:rFonts w:ascii="Verdana" w:hAnsi="Verdana"/>
                <w:sz w:val="20"/>
              </w:rPr>
              <w:t xml:space="preserve"> attest the required adaptation of the </w:t>
            </w:r>
            <w:r w:rsidR="00CE2AE2">
              <w:rPr>
                <w:rFonts w:ascii="Verdana" w:hAnsi="Verdana"/>
                <w:sz w:val="20"/>
              </w:rPr>
              <w:t>IQMS</w:t>
            </w:r>
            <w:r w:rsidR="00CE2AE2" w:rsidRPr="00476E08">
              <w:rPr>
                <w:rFonts w:ascii="Verdana" w:hAnsi="Verdana"/>
                <w:sz w:val="20"/>
              </w:rPr>
              <w:t xml:space="preserve"> to the requirements of the subsequent version of </w:t>
            </w:r>
            <w:r w:rsidR="00CE2AE2">
              <w:rPr>
                <w:rFonts w:ascii="Verdana" w:hAnsi="Verdana"/>
                <w:sz w:val="20"/>
              </w:rPr>
              <w:t xml:space="preserve">the ISO 9001 standard, that is expected to be issued in 2015; </w:t>
            </w:r>
            <w:r w:rsidR="00CE2AE2">
              <w:rPr>
                <w:rFonts w:ascii="Verdana" w:hAnsi="Verdana"/>
                <w:sz w:val="18"/>
              </w:rPr>
              <w:t xml:space="preserve"> and providing the Agency with the related</w:t>
            </w:r>
            <w:r w:rsidR="00CE2AE2">
              <w:rPr>
                <w:rFonts w:ascii="Verdana" w:hAnsi="Verdana"/>
                <w:sz w:val="20"/>
              </w:rPr>
              <w:t xml:space="preserve"> documentation</w:t>
            </w:r>
            <w:r w:rsidR="00CE2AE2" w:rsidRPr="008C17DA">
              <w:rPr>
                <w:rFonts w:ascii="Verdana" w:hAnsi="Verdana"/>
                <w:sz w:val="18"/>
              </w:rPr>
              <w:t>)</w:t>
            </w:r>
            <w:r w:rsidR="00CE2AE2">
              <w:rPr>
                <w:rFonts w:ascii="Verdana" w:hAnsi="Verdana"/>
                <w:sz w:val="18"/>
              </w:rPr>
              <w:t xml:space="preserve"> planned in Q4 of 2015 and in Q4 of 2016, depending on the date of the initial certification</w:t>
            </w:r>
          </w:p>
        </w:tc>
      </w:tr>
      <w:tr w:rsidR="00CE2AE2" w:rsidRPr="00B03A48" w:rsidTr="000E3BB8">
        <w:trPr>
          <w:trHeight w:val="1518"/>
        </w:trPr>
        <w:tc>
          <w:tcPr>
            <w:tcW w:w="8930" w:type="dxa"/>
            <w:gridSpan w:val="4"/>
            <w:shd w:val="pct12" w:color="auto" w:fill="FFFFFF"/>
          </w:tcPr>
          <w:p w:rsidR="00CE2AE2" w:rsidRDefault="001B3665" w:rsidP="00EE76E4">
            <w:pPr>
              <w:pStyle w:val="Text1"/>
              <w:spacing w:before="60" w:after="0" w:line="276" w:lineRule="auto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O</w:t>
            </w:r>
            <w:r w:rsidR="00CE2AE2">
              <w:rPr>
                <w:rFonts w:ascii="Verdana" w:hAnsi="Verdana"/>
                <w:b/>
                <w:sz w:val="18"/>
              </w:rPr>
              <w:t xml:space="preserve">ther audits, if required and not covered in the frame of the surveillance and re-certification audits </w:t>
            </w:r>
            <w:r w:rsidR="00CE2AE2" w:rsidRPr="008C17DA">
              <w:rPr>
                <w:rFonts w:ascii="Verdana" w:hAnsi="Verdana"/>
                <w:sz w:val="18"/>
              </w:rPr>
              <w:t>(</w:t>
            </w:r>
            <w:r w:rsidR="00CE2AE2">
              <w:rPr>
                <w:rFonts w:ascii="Verdana" w:hAnsi="Verdana"/>
                <w:sz w:val="18"/>
              </w:rPr>
              <w:t xml:space="preserve">for example additional audits </w:t>
            </w:r>
            <w:r w:rsidR="00CE2AE2">
              <w:rPr>
                <w:rFonts w:ascii="Verdana" w:hAnsi="Verdana"/>
                <w:sz w:val="20"/>
              </w:rPr>
              <w:t>in connection with the pre-certification audit, related to an extension of the scope of certification, following adaptations to changed standard requirements</w:t>
            </w:r>
            <w:r w:rsidR="000E3BB8">
              <w:rPr>
                <w:rFonts w:ascii="Verdana" w:hAnsi="Verdana"/>
                <w:sz w:val="20"/>
              </w:rPr>
              <w:t>,</w:t>
            </w:r>
            <w:r w:rsidR="00CE2AE2">
              <w:rPr>
                <w:rFonts w:ascii="Verdana" w:hAnsi="Verdana"/>
                <w:sz w:val="20"/>
              </w:rPr>
              <w:t xml:space="preserve"> or similar; and providing the Agency with the related documentation</w:t>
            </w:r>
            <w:r w:rsidR="00CE2AE2" w:rsidRPr="008C17DA">
              <w:rPr>
                <w:rFonts w:ascii="Verdana" w:hAnsi="Verdana"/>
                <w:sz w:val="18"/>
              </w:rPr>
              <w:t>)</w:t>
            </w:r>
            <w:r w:rsidR="00CE2AE2">
              <w:rPr>
                <w:rFonts w:ascii="Verdana" w:hAnsi="Verdana"/>
                <w:sz w:val="18"/>
              </w:rPr>
              <w:t xml:space="preserve"> to be arranged according to need and on request of the Agency</w:t>
            </w:r>
          </w:p>
        </w:tc>
      </w:tr>
      <w:tr w:rsidR="001B3665" w:rsidRPr="00B03A48" w:rsidTr="000E3BB8">
        <w:trPr>
          <w:trHeight w:val="973"/>
        </w:trPr>
        <w:tc>
          <w:tcPr>
            <w:tcW w:w="8930" w:type="dxa"/>
            <w:gridSpan w:val="4"/>
            <w:shd w:val="pct12" w:color="auto" w:fill="FFFFFF"/>
          </w:tcPr>
          <w:p w:rsidR="001B3665" w:rsidRDefault="001B3665" w:rsidP="00EE76E4">
            <w:pPr>
              <w:pStyle w:val="Text1"/>
              <w:spacing w:before="60" w:after="0" w:line="276" w:lineRule="auto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Re-certification audit </w:t>
            </w:r>
            <w:r w:rsidRPr="000B28D3">
              <w:rPr>
                <w:rFonts w:ascii="Verdana" w:hAnsi="Verdana"/>
                <w:sz w:val="18"/>
              </w:rPr>
              <w:t xml:space="preserve">(to </w:t>
            </w:r>
            <w:r>
              <w:rPr>
                <w:rFonts w:ascii="Verdana" w:hAnsi="Verdana"/>
                <w:sz w:val="18"/>
              </w:rPr>
              <w:t>perform a re-certification audit to confirm the continued certification according to ISO 9001, and providing the Agency with the related documentation</w:t>
            </w:r>
            <w:r>
              <w:rPr>
                <w:rFonts w:ascii="Verdana" w:hAnsi="Verdana"/>
                <w:sz w:val="20"/>
              </w:rPr>
              <w:t>) planned for Q4 of 2017 – Q1 of 2018, depending on the date of the initial certification</w:t>
            </w:r>
          </w:p>
        </w:tc>
      </w:tr>
      <w:tr w:rsidR="003F5F42" w:rsidRPr="00B03A48" w:rsidTr="003B44B4">
        <w:tc>
          <w:tcPr>
            <w:tcW w:w="2977" w:type="dxa"/>
            <w:tcBorders>
              <w:righ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345" w:type="dxa"/>
            <w:tcBorders>
              <w:left w:val="nil"/>
              <w:righ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332" w:type="dxa"/>
            <w:tcBorders>
              <w:left w:val="nil"/>
            </w:tcBorders>
            <w:shd w:val="pct12" w:color="auto" w:fill="FFFFFF"/>
          </w:tcPr>
          <w:p w:rsidR="003F5F42" w:rsidRPr="00B03A48" w:rsidRDefault="003F5F42" w:rsidP="00666DB9">
            <w:pPr>
              <w:pStyle w:val="Text1"/>
              <w:spacing w:before="60" w:after="0" w:line="36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</w:tbl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6B701D" w:rsidRDefault="006B701D" w:rsidP="003F5F42">
      <w:pPr>
        <w:spacing w:before="100" w:beforeAutospacing="1" w:after="120"/>
        <w:rPr>
          <w:rFonts w:ascii="Verdana" w:hAnsi="Verdana"/>
          <w:i/>
          <w:sz w:val="20"/>
        </w:rPr>
      </w:pPr>
    </w:p>
    <w:p w:rsidR="00D66B64" w:rsidRDefault="00D66B64" w:rsidP="001D4602">
      <w:pPr>
        <w:spacing w:before="100" w:beforeAutospacing="1" w:after="12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ECHA reimburses subsistence, accommodation and travel expenses for international travels and for domestic travels from distance exceeding 200 km. </w:t>
      </w:r>
    </w:p>
    <w:p w:rsidR="00711995" w:rsidRDefault="0047555C" w:rsidP="008C17DA">
      <w:pPr>
        <w:spacing w:before="100" w:beforeAutospacing="1" w:after="120"/>
        <w:jc w:val="both"/>
      </w:pPr>
      <w:r>
        <w:rPr>
          <w:rFonts w:ascii="Verdana" w:hAnsi="Verdana"/>
          <w:i/>
          <w:sz w:val="20"/>
        </w:rPr>
        <w:t>In case you intend to get reimbursed, p</w:t>
      </w:r>
      <w:r w:rsidR="003F5F42" w:rsidRPr="001D4602">
        <w:rPr>
          <w:rFonts w:ascii="Verdana" w:hAnsi="Verdana"/>
          <w:i/>
          <w:sz w:val="20"/>
        </w:rPr>
        <w:t>lease make sure that all travel and subsistence expenses related to the implementation of the cont</w:t>
      </w:r>
      <w:r w:rsidR="00D66B64">
        <w:rPr>
          <w:rFonts w:ascii="Verdana" w:hAnsi="Verdana"/>
          <w:i/>
          <w:sz w:val="20"/>
        </w:rPr>
        <w:t>ract are included in your offer</w:t>
      </w:r>
      <w:r>
        <w:rPr>
          <w:rFonts w:ascii="Verdana" w:hAnsi="Verdana"/>
          <w:i/>
          <w:sz w:val="20"/>
        </w:rPr>
        <w:t xml:space="preserve"> (section 3.1.1.2.3)</w:t>
      </w:r>
      <w:r w:rsidR="00D66B64">
        <w:rPr>
          <w:rFonts w:ascii="Verdana" w:hAnsi="Verdana"/>
          <w:i/>
          <w:sz w:val="20"/>
        </w:rPr>
        <w:t>.</w:t>
      </w:r>
    </w:p>
    <w:sectPr w:rsidR="0071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1D"/>
    <w:rsid w:val="000A6F92"/>
    <w:rsid w:val="000B28D3"/>
    <w:rsid w:val="000E3BB8"/>
    <w:rsid w:val="001B3665"/>
    <w:rsid w:val="001D4602"/>
    <w:rsid w:val="0029581D"/>
    <w:rsid w:val="002A05AB"/>
    <w:rsid w:val="003B44B4"/>
    <w:rsid w:val="003F5F42"/>
    <w:rsid w:val="00467AF7"/>
    <w:rsid w:val="0047555C"/>
    <w:rsid w:val="004D616B"/>
    <w:rsid w:val="0057016A"/>
    <w:rsid w:val="005715CD"/>
    <w:rsid w:val="006B701D"/>
    <w:rsid w:val="00711995"/>
    <w:rsid w:val="0073724C"/>
    <w:rsid w:val="007629C4"/>
    <w:rsid w:val="0081430E"/>
    <w:rsid w:val="008C17DA"/>
    <w:rsid w:val="00A01A02"/>
    <w:rsid w:val="00A61557"/>
    <w:rsid w:val="00A77026"/>
    <w:rsid w:val="00A93439"/>
    <w:rsid w:val="00C47327"/>
    <w:rsid w:val="00CE2AE2"/>
    <w:rsid w:val="00D64917"/>
    <w:rsid w:val="00D66B64"/>
    <w:rsid w:val="00EE76E4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4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3F5F42"/>
    <w:pPr>
      <w:spacing w:after="240"/>
      <w:ind w:left="482"/>
      <w:jc w:val="both"/>
    </w:pPr>
  </w:style>
  <w:style w:type="character" w:customStyle="1" w:styleId="Text1Char">
    <w:name w:val="Text 1 Char"/>
    <w:link w:val="Text1"/>
    <w:rsid w:val="003F5F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DA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4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3F5F42"/>
    <w:pPr>
      <w:spacing w:after="240"/>
      <w:ind w:left="482"/>
      <w:jc w:val="both"/>
    </w:pPr>
  </w:style>
  <w:style w:type="character" w:customStyle="1" w:styleId="Text1Char">
    <w:name w:val="Text 1 Char"/>
    <w:link w:val="Text1"/>
    <w:rsid w:val="003F5F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D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Chemicals Agency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PODHORSKA Henrieta</dc:creator>
  <cp:lastModifiedBy>PODHORSKA Henrieta</cp:lastModifiedBy>
  <cp:revision>4</cp:revision>
  <dcterms:created xsi:type="dcterms:W3CDTF">2014-01-14T07:38:00Z</dcterms:created>
  <dcterms:modified xsi:type="dcterms:W3CDTF">2014-01-14T11:57:00Z</dcterms:modified>
</cp:coreProperties>
</file>