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pPr w:leftFromText="142" w:rightFromText="142" w:vertAnchor="page" w:tblpY="2269"/>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86"/>
        <w:gridCol w:w="3460"/>
        <w:gridCol w:w="2411"/>
      </w:tblGrid>
      <w:tr w:rsidR="00FF50D3" w:rsidRPr="00A16F19" w:rsidTr="003E1326">
        <w:trPr>
          <w:trHeight w:val="1361"/>
        </w:trPr>
        <w:tc>
          <w:tcPr>
            <w:tcW w:w="6946" w:type="dxa"/>
            <w:gridSpan w:val="2"/>
          </w:tcPr>
          <w:p w:rsidR="00FF50D3" w:rsidRPr="00A16F19" w:rsidRDefault="00515720" w:rsidP="003E1326">
            <w:pPr>
              <w:pStyle w:val="Konvoluttadresse"/>
              <w:rPr>
                <w:szCs w:val="20"/>
              </w:rPr>
            </w:pPr>
            <w:bookmarkStart w:id="0" w:name="MOTTAKERNAVN"/>
            <w:bookmarkStart w:id="1" w:name="_GoBack"/>
            <w:bookmarkEnd w:id="1"/>
            <w:r>
              <w:rPr>
                <w:szCs w:val="20"/>
              </w:rPr>
              <w:t>PelGar International Limited</w:t>
            </w:r>
            <w:bookmarkEnd w:id="0"/>
          </w:p>
          <w:p w:rsidR="001739D4" w:rsidRDefault="00515720" w:rsidP="003E1326">
            <w:pPr>
              <w:pStyle w:val="Konvoluttadresse"/>
              <w:rPr>
                <w:szCs w:val="20"/>
              </w:rPr>
            </w:pPr>
            <w:bookmarkStart w:id="2" w:name="ADRESSE"/>
            <w:bookmarkStart w:id="3" w:name="UTLANDSADRESSE"/>
            <w:bookmarkEnd w:id="2"/>
            <w:r>
              <w:rPr>
                <w:szCs w:val="20"/>
              </w:rPr>
              <w:t>Unit 13, Newman Lane</w:t>
            </w:r>
          </w:p>
          <w:p w:rsidR="001739D4" w:rsidRDefault="00515720" w:rsidP="003E1326">
            <w:pPr>
              <w:pStyle w:val="Konvoluttadresse"/>
              <w:rPr>
                <w:szCs w:val="20"/>
              </w:rPr>
            </w:pPr>
            <w:r>
              <w:rPr>
                <w:szCs w:val="20"/>
              </w:rPr>
              <w:t>GU34 2QR Alton</w:t>
            </w:r>
          </w:p>
          <w:p w:rsidR="001739D4" w:rsidRDefault="00515720" w:rsidP="003E1326">
            <w:pPr>
              <w:pStyle w:val="Konvoluttadresse"/>
              <w:rPr>
                <w:szCs w:val="20"/>
              </w:rPr>
            </w:pPr>
            <w:r>
              <w:rPr>
                <w:szCs w:val="20"/>
              </w:rPr>
              <w:t>Hampshire</w:t>
            </w:r>
          </w:p>
          <w:p w:rsidR="00F4029B" w:rsidRPr="00A16F19" w:rsidRDefault="00515720" w:rsidP="003E1326">
            <w:pPr>
              <w:pStyle w:val="Konvoluttadresse"/>
              <w:rPr>
                <w:szCs w:val="20"/>
              </w:rPr>
            </w:pPr>
            <w:r>
              <w:rPr>
                <w:szCs w:val="20"/>
              </w:rPr>
              <w:t>STORBRITANNIA</w:t>
            </w:r>
            <w:bookmarkEnd w:id="3"/>
          </w:p>
          <w:p w:rsidR="00F4029B" w:rsidRPr="00A16F19" w:rsidRDefault="0057199C" w:rsidP="003E1326">
            <w:pPr>
              <w:pStyle w:val="Konvoluttadresse"/>
            </w:pPr>
            <w:bookmarkStart w:id="4" w:name="POSTNR"/>
            <w:bookmarkEnd w:id="4"/>
            <w:r>
              <w:t xml:space="preserve"> </w:t>
            </w:r>
            <w:bookmarkStart w:id="5" w:name="POSTSTED"/>
            <w:bookmarkEnd w:id="5"/>
          </w:p>
        </w:tc>
        <w:tc>
          <w:tcPr>
            <w:tcW w:w="2411" w:type="dxa"/>
          </w:tcPr>
          <w:p w:rsidR="00400D1F" w:rsidRPr="00A16F19" w:rsidRDefault="00400D1F" w:rsidP="003E1326">
            <w:pPr>
              <w:spacing w:line="240" w:lineRule="atLeast"/>
            </w:pPr>
          </w:p>
          <w:p w:rsidR="00400D1F" w:rsidRPr="00A16F19" w:rsidRDefault="00400D1F" w:rsidP="003E1326">
            <w:pPr>
              <w:spacing w:line="240" w:lineRule="atLeast"/>
            </w:pPr>
          </w:p>
          <w:p w:rsidR="00B119AF" w:rsidRDefault="00515720" w:rsidP="0057199C">
            <w:pPr>
              <w:spacing w:line="240" w:lineRule="atLeast"/>
            </w:pPr>
            <w:bookmarkStart w:id="6" w:name="SAKSBEHPOSTADRESSE"/>
            <w:r>
              <w:t>Oslo</w:t>
            </w:r>
            <w:bookmarkEnd w:id="6"/>
            <w:r w:rsidR="00533337" w:rsidRPr="00A16F19">
              <w:t xml:space="preserve">, </w:t>
            </w:r>
            <w:bookmarkStart w:id="7" w:name="BREVDATO"/>
            <w:r w:rsidR="00A251EF">
              <w:t>27</w:t>
            </w:r>
            <w:r>
              <w:t>.06.2018</w:t>
            </w:r>
            <w:bookmarkEnd w:id="7"/>
          </w:p>
          <w:p w:rsidR="0057199C" w:rsidRDefault="0057199C" w:rsidP="0057199C">
            <w:pPr>
              <w:spacing w:line="240" w:lineRule="atLeast"/>
            </w:pPr>
          </w:p>
          <w:p w:rsidR="0057199C" w:rsidRPr="0057199C" w:rsidRDefault="0057199C" w:rsidP="0057199C">
            <w:pPr>
              <w:spacing w:line="240" w:lineRule="atLeast"/>
              <w:rPr>
                <w:sz w:val="16"/>
                <w:szCs w:val="16"/>
              </w:rPr>
            </w:pPr>
            <w:bookmarkStart w:id="8" w:name="UOFFPARAGRAF"/>
            <w:bookmarkEnd w:id="8"/>
          </w:p>
        </w:tc>
      </w:tr>
      <w:tr w:rsidR="00533337" w:rsidRPr="00F804F6" w:rsidTr="003E1326">
        <w:tc>
          <w:tcPr>
            <w:tcW w:w="3486" w:type="dxa"/>
          </w:tcPr>
          <w:p w:rsidR="00533337" w:rsidRPr="00F804F6" w:rsidRDefault="00AF25BC" w:rsidP="005A4A2A">
            <w:pPr>
              <w:spacing w:line="180" w:lineRule="exact"/>
              <w:rPr>
                <w:sz w:val="18"/>
                <w:szCs w:val="18"/>
              </w:rPr>
            </w:pPr>
            <w:r w:rsidRPr="00F804F6">
              <w:rPr>
                <w:sz w:val="18"/>
                <w:szCs w:val="18"/>
              </w:rPr>
              <w:t>Your</w:t>
            </w:r>
            <w:r w:rsidR="00533337" w:rsidRPr="00F804F6">
              <w:rPr>
                <w:sz w:val="18"/>
                <w:szCs w:val="18"/>
              </w:rPr>
              <w:t xml:space="preserve"> ref.:</w:t>
            </w:r>
          </w:p>
          <w:sdt>
            <w:sdtPr>
              <w:rPr>
                <w:sz w:val="18"/>
                <w:szCs w:val="18"/>
              </w:rPr>
              <w:alias w:val="Your ref."/>
              <w:tag w:val="Your ref."/>
              <w:id w:val="1974481679"/>
              <w:placeholder>
                <w:docPart w:val="FC085BAF143D40038E29A3AF2FDBBAD8"/>
              </w:placeholder>
              <w:showingPlcHdr/>
              <w:text w:multiLine="1"/>
            </w:sdtPr>
            <w:sdtEndPr/>
            <w:sdtContent>
              <w:p w:rsidR="00533337" w:rsidRPr="00F804F6" w:rsidRDefault="00AF25BC" w:rsidP="005A4A2A">
                <w:pPr>
                  <w:spacing w:line="180" w:lineRule="exact"/>
                  <w:rPr>
                    <w:sz w:val="18"/>
                    <w:szCs w:val="18"/>
                  </w:rPr>
                </w:pPr>
                <w:r w:rsidRPr="00F804F6">
                  <w:rPr>
                    <w:rStyle w:val="Plassholdertekst"/>
                    <w:color w:val="auto"/>
                    <w:sz w:val="18"/>
                    <w:szCs w:val="18"/>
                  </w:rPr>
                  <w:t>[Your ref.]</w:t>
                </w:r>
              </w:p>
            </w:sdtContent>
          </w:sdt>
        </w:tc>
        <w:tc>
          <w:tcPr>
            <w:tcW w:w="3460" w:type="dxa"/>
          </w:tcPr>
          <w:p w:rsidR="00533337" w:rsidRPr="00F804F6" w:rsidRDefault="00AF25BC" w:rsidP="005A4A2A">
            <w:pPr>
              <w:spacing w:line="180" w:lineRule="exact"/>
              <w:rPr>
                <w:sz w:val="18"/>
                <w:szCs w:val="18"/>
              </w:rPr>
            </w:pPr>
            <w:r w:rsidRPr="00F804F6">
              <w:rPr>
                <w:sz w:val="18"/>
                <w:szCs w:val="18"/>
              </w:rPr>
              <w:t xml:space="preserve">Our ref. </w:t>
            </w:r>
            <w:r w:rsidR="00533337" w:rsidRPr="00F804F6">
              <w:rPr>
                <w:sz w:val="18"/>
                <w:szCs w:val="18"/>
              </w:rPr>
              <w:t>:</w:t>
            </w:r>
          </w:p>
          <w:p w:rsidR="00533337" w:rsidRPr="00F804F6" w:rsidRDefault="00515720" w:rsidP="005A4A2A">
            <w:pPr>
              <w:spacing w:line="180" w:lineRule="exact"/>
              <w:rPr>
                <w:sz w:val="18"/>
                <w:szCs w:val="18"/>
              </w:rPr>
            </w:pPr>
            <w:bookmarkStart w:id="9" w:name="SAKSNR"/>
            <w:r>
              <w:rPr>
                <w:sz w:val="18"/>
                <w:szCs w:val="18"/>
              </w:rPr>
              <w:t>2018/7230</w:t>
            </w:r>
            <w:bookmarkEnd w:id="9"/>
          </w:p>
        </w:tc>
        <w:tc>
          <w:tcPr>
            <w:tcW w:w="2411" w:type="dxa"/>
          </w:tcPr>
          <w:p w:rsidR="009059C7" w:rsidRPr="00F804F6" w:rsidRDefault="00F7066F" w:rsidP="005A4A2A">
            <w:pPr>
              <w:spacing w:line="180" w:lineRule="exact"/>
              <w:rPr>
                <w:sz w:val="18"/>
                <w:szCs w:val="18"/>
              </w:rPr>
            </w:pPr>
            <w:r w:rsidRPr="00F804F6">
              <w:rPr>
                <w:sz w:val="18"/>
                <w:szCs w:val="18"/>
              </w:rPr>
              <w:t>Contact person</w:t>
            </w:r>
            <w:r w:rsidR="009059C7" w:rsidRPr="00F804F6">
              <w:rPr>
                <w:sz w:val="18"/>
                <w:szCs w:val="18"/>
              </w:rPr>
              <w:t xml:space="preserve">: </w:t>
            </w:r>
          </w:p>
          <w:p w:rsidR="00533337" w:rsidRPr="00F804F6" w:rsidRDefault="00515720" w:rsidP="005A4A2A">
            <w:pPr>
              <w:spacing w:line="180" w:lineRule="exact"/>
              <w:rPr>
                <w:sz w:val="18"/>
                <w:szCs w:val="18"/>
              </w:rPr>
            </w:pPr>
            <w:bookmarkStart w:id="10" w:name="SAKSBEHANDLERNAVN"/>
            <w:r>
              <w:rPr>
                <w:sz w:val="18"/>
                <w:szCs w:val="18"/>
              </w:rPr>
              <w:t>Merete Dæhli</w:t>
            </w:r>
            <w:bookmarkEnd w:id="10"/>
          </w:p>
        </w:tc>
      </w:tr>
    </w:tbl>
    <w:p w:rsidR="008959DA" w:rsidRPr="008959DA" w:rsidRDefault="008959DA" w:rsidP="008959DA">
      <w:pPr>
        <w:pStyle w:val="Overskrift1"/>
        <w:spacing w:before="0" w:after="0"/>
        <w:rPr>
          <w:rFonts w:eastAsiaTheme="minorHAnsi" w:cstheme="minorBidi"/>
          <w:bCs w:val="0"/>
          <w:sz w:val="28"/>
        </w:rPr>
      </w:pPr>
      <w:r w:rsidRPr="008959DA">
        <w:rPr>
          <w:rFonts w:eastAsiaTheme="minorHAnsi" w:cstheme="minorBidi"/>
          <w:bCs w:val="0"/>
          <w:sz w:val="28"/>
        </w:rPr>
        <w:t xml:space="preserve">Authorisation of </w:t>
      </w:r>
      <w:r w:rsidR="002016AA" w:rsidRPr="008959DA">
        <w:rPr>
          <w:lang w:val="en-GB"/>
        </w:rPr>
        <w:t>Rodex Control Oktablok</w:t>
      </w:r>
      <w:r w:rsidR="002016AA" w:rsidRPr="008959DA">
        <w:rPr>
          <w:rFonts w:eastAsiaTheme="minorHAnsi" w:cstheme="minorBidi"/>
          <w:bCs w:val="0"/>
          <w:sz w:val="28"/>
        </w:rPr>
        <w:t xml:space="preserve"> </w:t>
      </w:r>
      <w:r w:rsidRPr="008959DA">
        <w:rPr>
          <w:rFonts w:eastAsiaTheme="minorHAnsi" w:cstheme="minorBidi"/>
          <w:bCs w:val="0"/>
          <w:sz w:val="28"/>
        </w:rPr>
        <w:t xml:space="preserve">– </w:t>
      </w:r>
      <w:r w:rsidR="002016AA" w:rsidRPr="008959DA">
        <w:t>NO-2018-0149</w:t>
      </w:r>
    </w:p>
    <w:p w:rsidR="008959DA" w:rsidRPr="008959DA" w:rsidRDefault="008959DA" w:rsidP="008959DA">
      <w:pPr>
        <w:rPr>
          <w:rFonts w:asciiTheme="majorHAnsi" w:hAnsiTheme="majorHAnsi"/>
        </w:rPr>
      </w:pPr>
    </w:p>
    <w:p w:rsidR="00A251EF" w:rsidRDefault="00A251EF" w:rsidP="001739D4">
      <w:pPr>
        <w:pStyle w:val="Brdtekst"/>
        <w:rPr>
          <w:rFonts w:asciiTheme="majorHAnsi" w:hAnsiTheme="majorHAnsi"/>
          <w:lang w:val="en-GB"/>
        </w:rPr>
      </w:pPr>
    </w:p>
    <w:p w:rsidR="001739D4" w:rsidRPr="008959DA" w:rsidRDefault="00D97C7A" w:rsidP="001739D4">
      <w:pPr>
        <w:pStyle w:val="Brdtekst"/>
        <w:rPr>
          <w:rFonts w:asciiTheme="majorHAnsi" w:hAnsiTheme="majorHAnsi"/>
          <w:lang w:val="en-GB"/>
        </w:rPr>
      </w:pPr>
      <w:r w:rsidRPr="008959DA">
        <w:rPr>
          <w:rFonts w:asciiTheme="majorHAnsi" w:hAnsiTheme="majorHAnsi"/>
          <w:lang w:val="en-GB"/>
        </w:rPr>
        <w:t>We refer</w:t>
      </w:r>
      <w:r w:rsidR="001739D4" w:rsidRPr="008959DA">
        <w:rPr>
          <w:rFonts w:asciiTheme="majorHAnsi" w:hAnsiTheme="majorHAnsi"/>
          <w:lang w:val="en-GB"/>
        </w:rPr>
        <w:t xml:space="preserve"> to your application for mutual recognition in sequence for Rodex Control Oktablok/Tanaco Muselokke Boks</w:t>
      </w:r>
      <w:r w:rsidR="008959DA" w:rsidRPr="008959DA">
        <w:rPr>
          <w:rFonts w:asciiTheme="majorHAnsi" w:hAnsiTheme="majorHAnsi"/>
          <w:lang w:val="en-GB"/>
        </w:rPr>
        <w:t xml:space="preserve"> (</w:t>
      </w:r>
      <w:r w:rsidR="001739D4" w:rsidRPr="008959DA">
        <w:rPr>
          <w:rFonts w:asciiTheme="majorHAnsi" w:hAnsiTheme="majorHAnsi"/>
          <w:lang w:val="en-GB"/>
        </w:rPr>
        <w:t>R4BP 3 case number BC-RM036875-14</w:t>
      </w:r>
      <w:r w:rsidR="008959DA" w:rsidRPr="008959DA">
        <w:rPr>
          <w:rFonts w:asciiTheme="majorHAnsi" w:hAnsiTheme="majorHAnsi"/>
          <w:lang w:val="en-GB"/>
        </w:rPr>
        <w:t>), containing the active substance bromadiolone</w:t>
      </w:r>
      <w:r w:rsidR="001739D4" w:rsidRPr="008959DA">
        <w:rPr>
          <w:rFonts w:asciiTheme="majorHAnsi" w:hAnsiTheme="majorHAnsi"/>
          <w:lang w:val="en-GB"/>
        </w:rPr>
        <w:t xml:space="preserve">. </w:t>
      </w:r>
    </w:p>
    <w:p w:rsidR="001739D4" w:rsidRPr="008959DA" w:rsidRDefault="001739D4" w:rsidP="001739D4">
      <w:pPr>
        <w:rPr>
          <w:rFonts w:asciiTheme="majorHAnsi" w:hAnsiTheme="majorHAnsi"/>
          <w:color w:val="FF0000"/>
          <w:lang w:val="en-GB"/>
        </w:rPr>
      </w:pPr>
    </w:p>
    <w:p w:rsidR="001739D4" w:rsidRPr="008959DA" w:rsidRDefault="008959DA" w:rsidP="001739D4">
      <w:pPr>
        <w:rPr>
          <w:rFonts w:asciiTheme="majorHAnsi" w:hAnsiTheme="majorHAnsi"/>
          <w:color w:val="FF0000"/>
          <w:lang w:val="en-GB"/>
        </w:rPr>
      </w:pPr>
      <w:r w:rsidRPr="008959DA">
        <w:rPr>
          <w:rFonts w:asciiTheme="majorHAnsi" w:hAnsiTheme="majorHAnsi"/>
          <w:lang w:val="en-GB"/>
        </w:rPr>
        <w:t>Regulation (EU) No. 528/2012 concerning the making available on the market and use of biocidal products (the Biocidal Products Regulation, BPR), is implemented in Norwegian law through the Norwegian Biocide Regulation of 18 April 2017 No. 480. The conditions for granting an authorisation of a biocidal product are laid down in Article 19 of the BPR.</w:t>
      </w:r>
    </w:p>
    <w:p w:rsidR="001739D4" w:rsidRDefault="001739D4" w:rsidP="001739D4">
      <w:pPr>
        <w:rPr>
          <w:rFonts w:asciiTheme="majorHAnsi" w:hAnsiTheme="majorHAnsi"/>
          <w:lang w:val="en-GB"/>
        </w:rPr>
      </w:pPr>
    </w:p>
    <w:p w:rsidR="00A251EF" w:rsidRPr="008959DA" w:rsidRDefault="00A251EF" w:rsidP="001739D4">
      <w:pPr>
        <w:rPr>
          <w:rFonts w:asciiTheme="majorHAnsi" w:hAnsiTheme="majorHAnsi"/>
          <w:lang w:val="en-GB"/>
        </w:rPr>
      </w:pPr>
    </w:p>
    <w:p w:rsidR="001739D4" w:rsidRPr="008959DA" w:rsidRDefault="001739D4" w:rsidP="001739D4">
      <w:pPr>
        <w:rPr>
          <w:rFonts w:asciiTheme="majorHAnsi" w:hAnsiTheme="majorHAnsi"/>
          <w:b/>
          <w:lang w:val="en-GB"/>
        </w:rPr>
      </w:pPr>
      <w:r w:rsidRPr="008959DA">
        <w:rPr>
          <w:rFonts w:asciiTheme="majorHAnsi" w:hAnsiTheme="majorHAnsi"/>
          <w:b/>
          <w:lang w:val="en-GB"/>
        </w:rPr>
        <w:t>Decision</w:t>
      </w:r>
    </w:p>
    <w:p w:rsidR="001739D4" w:rsidRPr="008959DA" w:rsidRDefault="001739D4" w:rsidP="001739D4">
      <w:pPr>
        <w:rPr>
          <w:rFonts w:asciiTheme="majorHAnsi" w:hAnsiTheme="majorHAnsi"/>
          <w:lang w:val="en-GB"/>
        </w:rPr>
      </w:pPr>
      <w:r w:rsidRPr="008959DA">
        <w:rPr>
          <w:rFonts w:asciiTheme="majorHAnsi" w:hAnsiTheme="majorHAnsi"/>
          <w:lang w:val="en-GB"/>
        </w:rPr>
        <w:t xml:space="preserve">The Norwegian Environment Agency considers the conditions to grant an authorisation laid down in Article 19 of the BPR as fulfilled.   </w:t>
      </w:r>
    </w:p>
    <w:p w:rsidR="001739D4" w:rsidRPr="008959DA" w:rsidRDefault="001739D4" w:rsidP="001739D4">
      <w:pPr>
        <w:rPr>
          <w:rFonts w:asciiTheme="majorHAnsi" w:hAnsiTheme="majorHAnsi"/>
          <w:lang w:val="en-GB"/>
        </w:rPr>
      </w:pPr>
    </w:p>
    <w:p w:rsidR="001739D4" w:rsidRPr="008959DA" w:rsidRDefault="001739D4" w:rsidP="001739D4">
      <w:pPr>
        <w:rPr>
          <w:rFonts w:asciiTheme="majorHAnsi" w:hAnsiTheme="majorHAnsi"/>
          <w:lang w:val="en-GB"/>
        </w:rPr>
      </w:pPr>
      <w:r w:rsidRPr="008959DA">
        <w:rPr>
          <w:rFonts w:asciiTheme="majorHAnsi" w:hAnsiTheme="majorHAnsi"/>
          <w:lang w:val="en-GB"/>
        </w:rPr>
        <w:t xml:space="preserve">The product is mutual recognised in Norway under the terms and conditions as described in the Summary Product Characteristic (SPC). The decision is based on </w:t>
      </w:r>
      <w:r w:rsidR="00D97C7A" w:rsidRPr="008959DA">
        <w:rPr>
          <w:rFonts w:asciiTheme="majorHAnsi" w:hAnsiTheme="majorHAnsi"/>
          <w:lang w:val="en-GB"/>
        </w:rPr>
        <w:t>the evaluation of the refMS (UK</w:t>
      </w:r>
      <w:r w:rsidRPr="008959DA">
        <w:rPr>
          <w:rFonts w:asciiTheme="majorHAnsi" w:hAnsiTheme="majorHAnsi"/>
          <w:lang w:val="en-GB"/>
        </w:rPr>
        <w:t xml:space="preserve">), with some adjustments according to the national restrictions concerning rodenticides containing anticoagulant active substances, cf. Article 37 of the BPR. </w:t>
      </w:r>
    </w:p>
    <w:p w:rsidR="001739D4" w:rsidRPr="008959DA" w:rsidRDefault="001739D4" w:rsidP="001739D4">
      <w:pPr>
        <w:rPr>
          <w:rFonts w:asciiTheme="majorHAnsi" w:hAnsiTheme="majorHAnsi"/>
          <w:lang w:val="en-GB"/>
        </w:rPr>
      </w:pPr>
    </w:p>
    <w:p w:rsidR="002016AA" w:rsidRPr="00A251EF" w:rsidRDefault="002016AA" w:rsidP="002016AA">
      <w:pPr>
        <w:rPr>
          <w:rFonts w:asciiTheme="majorHAnsi" w:hAnsiTheme="majorHAnsi"/>
          <w:lang w:val="en-GB"/>
        </w:rPr>
      </w:pPr>
      <w:r w:rsidRPr="00A251EF">
        <w:rPr>
          <w:rFonts w:asciiTheme="majorHAnsi" w:hAnsiTheme="majorHAnsi"/>
          <w:lang w:val="en-GB"/>
        </w:rPr>
        <w:t xml:space="preserve">According to Article 17(4) of the BPR, an authorisation can be granted for a maximum of 10 years. </w:t>
      </w:r>
    </w:p>
    <w:p w:rsidR="002016AA" w:rsidRPr="002016AA" w:rsidRDefault="002016AA" w:rsidP="002016AA">
      <w:pPr>
        <w:pStyle w:val="Nummerertliste"/>
        <w:numPr>
          <w:ilvl w:val="0"/>
          <w:numId w:val="0"/>
        </w:numPr>
        <w:rPr>
          <w:rFonts w:asciiTheme="majorHAnsi" w:eastAsiaTheme="minorHAnsi" w:hAnsiTheme="majorHAnsi" w:cstheme="minorBidi"/>
          <w:sz w:val="20"/>
          <w:szCs w:val="22"/>
        </w:rPr>
      </w:pPr>
      <w:r w:rsidRPr="00A251EF">
        <w:rPr>
          <w:rFonts w:asciiTheme="majorHAnsi" w:eastAsiaTheme="minorHAnsi" w:hAnsiTheme="majorHAnsi" w:cstheme="minorBidi"/>
          <w:sz w:val="20"/>
          <w:szCs w:val="22"/>
        </w:rPr>
        <w:t>In addition, Article 23(6) of the BPR sets that notwithstanding Article 17(4), and without prejudice to Article 23(4), an authorisation for a biocidal product containing an active substance that is a candidate for substitution shall be granted for a period not exceeding five years and renewed for a period not exceeding five years.</w:t>
      </w:r>
      <w:r w:rsidRPr="002016AA">
        <w:rPr>
          <w:rFonts w:asciiTheme="majorHAnsi" w:eastAsiaTheme="minorHAnsi" w:hAnsiTheme="majorHAnsi" w:cstheme="minorBidi"/>
          <w:sz w:val="20"/>
          <w:szCs w:val="22"/>
        </w:rPr>
        <w:t xml:space="preserve"> </w:t>
      </w:r>
    </w:p>
    <w:p w:rsidR="002016AA" w:rsidRPr="002016AA" w:rsidRDefault="002016AA" w:rsidP="002016AA">
      <w:pPr>
        <w:rPr>
          <w:rFonts w:asciiTheme="majorHAnsi" w:hAnsiTheme="majorHAnsi"/>
          <w:lang w:val="en-GB"/>
        </w:rPr>
      </w:pPr>
      <w:r w:rsidRPr="002016AA">
        <w:rPr>
          <w:rFonts w:asciiTheme="majorHAnsi" w:hAnsiTheme="majorHAnsi"/>
          <w:lang w:val="en-GB"/>
        </w:rPr>
        <w:t>To facilitate the renewal procedure in accordance with the Mutual Recognition Renewal Regulation, it is however agreed (CA-Sept14-Doc.5.7 –Final) that authorisations granted by the concerned member states should have the same expiry date as the authorisation which is granted by the reference Member State.</w:t>
      </w:r>
    </w:p>
    <w:p w:rsidR="00E67E18" w:rsidRPr="008959DA" w:rsidRDefault="00E67E18" w:rsidP="001739D4">
      <w:pPr>
        <w:pStyle w:val="Brdtekst"/>
        <w:spacing w:line="276" w:lineRule="auto"/>
        <w:rPr>
          <w:rFonts w:asciiTheme="majorHAnsi" w:hAnsiTheme="majorHAnsi"/>
          <w:u w:val="single"/>
          <w:lang w:val="en-GB"/>
        </w:rPr>
      </w:pPr>
    </w:p>
    <w:p w:rsidR="00A251EF" w:rsidRDefault="00A251EF" w:rsidP="00E67E18">
      <w:pPr>
        <w:pStyle w:val="Brdtekst"/>
        <w:spacing w:line="360" w:lineRule="auto"/>
        <w:rPr>
          <w:rFonts w:asciiTheme="majorHAnsi" w:hAnsiTheme="majorHAnsi"/>
          <w:u w:val="single"/>
          <w:lang w:val="en-GB"/>
        </w:rPr>
      </w:pPr>
    </w:p>
    <w:p w:rsidR="001739D4" w:rsidRPr="008959DA" w:rsidRDefault="001739D4" w:rsidP="00E67E18">
      <w:pPr>
        <w:pStyle w:val="Brdtekst"/>
        <w:spacing w:line="360" w:lineRule="auto"/>
        <w:rPr>
          <w:rFonts w:asciiTheme="majorHAnsi" w:hAnsiTheme="majorHAnsi"/>
          <w:u w:val="single"/>
          <w:lang w:val="en-GB"/>
        </w:rPr>
      </w:pPr>
      <w:r w:rsidRPr="008959DA">
        <w:rPr>
          <w:rFonts w:asciiTheme="majorHAnsi" w:hAnsiTheme="majorHAnsi"/>
          <w:u w:val="single"/>
          <w:lang w:val="en-GB"/>
        </w:rPr>
        <w:lastRenderedPageBreak/>
        <w:t>The authorisation concerns:</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Product name:</w:t>
      </w:r>
      <w:r w:rsidRPr="008959DA">
        <w:rPr>
          <w:rFonts w:asciiTheme="majorHAnsi" w:hAnsiTheme="majorHAnsi"/>
        </w:rPr>
        <w:t xml:space="preserve"> </w:t>
      </w:r>
      <w:r w:rsidR="004140C1" w:rsidRPr="008959DA">
        <w:rPr>
          <w:rFonts w:asciiTheme="majorHAnsi" w:hAnsiTheme="majorHAnsi"/>
        </w:rPr>
        <w:t>Rodex Control Oktablok</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Trade name(s):</w:t>
      </w:r>
      <w:r w:rsidRPr="008959DA">
        <w:rPr>
          <w:rFonts w:asciiTheme="majorHAnsi" w:hAnsiTheme="majorHAnsi"/>
        </w:rPr>
        <w:t xml:space="preserve"> </w:t>
      </w:r>
      <w:r w:rsidR="004140C1" w:rsidRPr="008959DA">
        <w:rPr>
          <w:rFonts w:asciiTheme="majorHAnsi" w:hAnsiTheme="majorHAnsi"/>
        </w:rPr>
        <w:t xml:space="preserve">Tanaco Muselokke Boks </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Active substance:</w:t>
      </w:r>
      <w:r w:rsidRPr="008959DA">
        <w:rPr>
          <w:rFonts w:asciiTheme="majorHAnsi" w:hAnsiTheme="majorHAnsi"/>
        </w:rPr>
        <w:t xml:space="preserve"> </w:t>
      </w:r>
      <w:r w:rsidR="004140C1" w:rsidRPr="008959DA">
        <w:rPr>
          <w:rFonts w:asciiTheme="majorHAnsi" w:hAnsiTheme="majorHAnsi"/>
        </w:rPr>
        <w:t>Bromadiolone</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Product type:</w:t>
      </w:r>
      <w:r w:rsidRPr="008959DA">
        <w:rPr>
          <w:rFonts w:asciiTheme="majorHAnsi" w:hAnsiTheme="majorHAnsi"/>
        </w:rPr>
        <w:t xml:space="preserve"> </w:t>
      </w:r>
      <w:r w:rsidR="004140C1" w:rsidRPr="008959DA">
        <w:rPr>
          <w:rFonts w:asciiTheme="majorHAnsi" w:hAnsiTheme="majorHAnsi"/>
        </w:rPr>
        <w:t>Rodenticides – PT 14</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Authorisation number:</w:t>
      </w:r>
      <w:r w:rsidRPr="008959DA">
        <w:rPr>
          <w:rFonts w:asciiTheme="majorHAnsi" w:hAnsiTheme="majorHAnsi"/>
        </w:rPr>
        <w:t xml:space="preserve"> </w:t>
      </w:r>
      <w:r w:rsidR="004140C1" w:rsidRPr="008959DA">
        <w:rPr>
          <w:rFonts w:asciiTheme="majorHAnsi" w:hAnsiTheme="majorHAnsi"/>
        </w:rPr>
        <w:t>NO-2018-0149</w:t>
      </w:r>
    </w:p>
    <w:p w:rsidR="001739D4" w:rsidRPr="008959DA" w:rsidRDefault="00D97C7A" w:rsidP="00E67E18">
      <w:pPr>
        <w:pStyle w:val="Brdtekst"/>
        <w:spacing w:line="360" w:lineRule="auto"/>
        <w:rPr>
          <w:rFonts w:asciiTheme="majorHAnsi" w:hAnsiTheme="majorHAnsi"/>
          <w:b/>
        </w:rPr>
      </w:pPr>
      <w:r w:rsidRPr="00CA1342">
        <w:rPr>
          <w:rFonts w:asciiTheme="majorHAnsi" w:hAnsiTheme="majorHAnsi"/>
          <w:b/>
        </w:rPr>
        <w:t>A</w:t>
      </w:r>
      <w:r w:rsidR="001739D4" w:rsidRPr="00CA1342">
        <w:rPr>
          <w:rFonts w:asciiTheme="majorHAnsi" w:hAnsiTheme="majorHAnsi"/>
          <w:b/>
        </w:rPr>
        <w:t>uthorisation date:</w:t>
      </w:r>
      <w:r w:rsidR="00CA1342">
        <w:rPr>
          <w:rFonts w:asciiTheme="majorHAnsi" w:hAnsiTheme="majorHAnsi"/>
          <w:b/>
        </w:rPr>
        <w:t xml:space="preserve"> </w:t>
      </w:r>
      <w:r w:rsidR="00CA1342" w:rsidRPr="00CA1342">
        <w:rPr>
          <w:rFonts w:asciiTheme="majorHAnsi" w:hAnsiTheme="majorHAnsi"/>
        </w:rPr>
        <w:t>27.06.2018</w:t>
      </w:r>
    </w:p>
    <w:p w:rsidR="001739D4" w:rsidRPr="008959DA" w:rsidRDefault="001739D4" w:rsidP="00E67E18">
      <w:pPr>
        <w:pStyle w:val="Brdtekst"/>
        <w:spacing w:line="360" w:lineRule="auto"/>
        <w:rPr>
          <w:rFonts w:asciiTheme="majorHAnsi" w:hAnsiTheme="majorHAnsi"/>
        </w:rPr>
      </w:pPr>
      <w:r w:rsidRPr="008959DA">
        <w:rPr>
          <w:rFonts w:asciiTheme="majorHAnsi" w:hAnsiTheme="majorHAnsi"/>
          <w:b/>
        </w:rPr>
        <w:t>Expiry date:</w:t>
      </w:r>
      <w:r w:rsidRPr="008959DA">
        <w:rPr>
          <w:rFonts w:asciiTheme="majorHAnsi" w:hAnsiTheme="majorHAnsi"/>
        </w:rPr>
        <w:t xml:space="preserve"> </w:t>
      </w:r>
      <w:r w:rsidR="00D97C7A" w:rsidRPr="008959DA">
        <w:rPr>
          <w:rFonts w:asciiTheme="majorHAnsi" w:hAnsiTheme="majorHAnsi"/>
        </w:rPr>
        <w:t>14.01.2023</w:t>
      </w:r>
    </w:p>
    <w:p w:rsidR="00A251EF" w:rsidRPr="008959DA" w:rsidRDefault="00A251EF" w:rsidP="00A251EF">
      <w:pPr>
        <w:pStyle w:val="Brdtekst"/>
        <w:spacing w:line="360" w:lineRule="auto"/>
        <w:rPr>
          <w:rFonts w:asciiTheme="majorHAnsi" w:hAnsiTheme="majorHAnsi"/>
        </w:rPr>
      </w:pPr>
      <w:r w:rsidRPr="008959DA">
        <w:rPr>
          <w:rFonts w:asciiTheme="majorHAnsi" w:hAnsiTheme="majorHAnsi"/>
          <w:b/>
        </w:rPr>
        <w:t>Authorisation holder in Norway:</w:t>
      </w:r>
      <w:r w:rsidRPr="008959DA">
        <w:rPr>
          <w:rFonts w:asciiTheme="majorHAnsi" w:hAnsiTheme="majorHAnsi"/>
        </w:rPr>
        <w:t xml:space="preserve"> PelGar International Limited</w:t>
      </w:r>
    </w:p>
    <w:p w:rsidR="001739D4" w:rsidRPr="00A251EF" w:rsidRDefault="001739D4" w:rsidP="001739D4">
      <w:pPr>
        <w:pStyle w:val="Brdtekst"/>
        <w:spacing w:line="276" w:lineRule="auto"/>
        <w:rPr>
          <w:rFonts w:asciiTheme="majorHAnsi" w:hAnsiTheme="majorHAnsi"/>
          <w:color w:val="FF0000"/>
        </w:rPr>
      </w:pPr>
    </w:p>
    <w:p w:rsidR="001739D4" w:rsidRPr="008959DA" w:rsidRDefault="001739D4" w:rsidP="001739D4">
      <w:pPr>
        <w:pStyle w:val="Brdtekst"/>
        <w:rPr>
          <w:rFonts w:asciiTheme="majorHAnsi" w:hAnsiTheme="majorHAnsi"/>
          <w:sz w:val="22"/>
          <w:lang w:val="en-GB"/>
        </w:rPr>
      </w:pPr>
      <w:r w:rsidRPr="008959DA">
        <w:rPr>
          <w:rFonts w:asciiTheme="majorHAnsi" w:hAnsiTheme="majorHAnsi"/>
        </w:rPr>
        <w:t>The SPC is uploaded to R4BP3.  Please refer to the uploaded SPC in XML-format, as the automatically generated PDF-file may contain errors.</w:t>
      </w:r>
    </w:p>
    <w:p w:rsidR="001739D4" w:rsidRPr="008959DA" w:rsidRDefault="001739D4" w:rsidP="001739D4">
      <w:pPr>
        <w:pStyle w:val="Brdtekst"/>
        <w:rPr>
          <w:rFonts w:asciiTheme="majorHAnsi" w:hAnsiTheme="majorHAnsi"/>
          <w:sz w:val="22"/>
          <w:lang w:val="en-GB"/>
        </w:rPr>
      </w:pPr>
    </w:p>
    <w:p w:rsidR="001739D4" w:rsidRPr="008959DA" w:rsidRDefault="001739D4" w:rsidP="001739D4">
      <w:pPr>
        <w:rPr>
          <w:rFonts w:asciiTheme="majorHAnsi" w:hAnsiTheme="majorHAnsi"/>
        </w:rPr>
      </w:pPr>
      <w:r w:rsidRPr="008959DA">
        <w:rPr>
          <w:rFonts w:asciiTheme="majorHAnsi" w:hAnsiTheme="majorHAnsi"/>
          <w:lang w:val="en-GB"/>
        </w:rPr>
        <w:t>The Norwegian Environment Agency may, in accordance with article 47 of the BPR, cancel or amend the authorisation should new information on the product or the active substance come to our attention that may affect the authorisation. Should the authorisation holder become aware of such information, the Norwegian Environment Agency should be notified without delay.</w:t>
      </w:r>
    </w:p>
    <w:p w:rsidR="001739D4" w:rsidRPr="008959DA" w:rsidRDefault="001739D4" w:rsidP="001739D4">
      <w:pPr>
        <w:pStyle w:val="Brdtekst"/>
        <w:rPr>
          <w:rFonts w:asciiTheme="majorHAnsi" w:hAnsiTheme="majorHAnsi"/>
          <w:color w:val="FF0000"/>
          <w:lang w:val="en-GB"/>
        </w:rPr>
      </w:pPr>
    </w:p>
    <w:p w:rsidR="001739D4" w:rsidRPr="008959DA" w:rsidRDefault="001739D4" w:rsidP="001739D4">
      <w:pPr>
        <w:rPr>
          <w:rFonts w:asciiTheme="majorHAnsi" w:hAnsiTheme="majorHAnsi"/>
          <w:lang w:val="en-GB"/>
        </w:rPr>
      </w:pPr>
      <w:r w:rsidRPr="008959DA">
        <w:rPr>
          <w:rFonts w:asciiTheme="majorHAnsi" w:hAnsiTheme="majorHAnsi"/>
          <w:lang w:val="en-GB"/>
        </w:rPr>
        <w:t>According to Article 31(1) of the Biocidal Products Regulation, an application for a renewal of the authorisation must be submitted 550 days before the authorisation period expires, at the latest.</w:t>
      </w:r>
    </w:p>
    <w:p w:rsidR="001739D4" w:rsidRDefault="001739D4" w:rsidP="001739D4">
      <w:pPr>
        <w:pStyle w:val="Brdtekst"/>
        <w:rPr>
          <w:rFonts w:asciiTheme="majorHAnsi" w:hAnsiTheme="majorHAnsi"/>
          <w:b/>
          <w:color w:val="FF0000"/>
          <w:lang w:val="en-GB"/>
        </w:rPr>
      </w:pPr>
    </w:p>
    <w:p w:rsidR="00A251EF" w:rsidRPr="008959DA" w:rsidRDefault="00A251EF" w:rsidP="001739D4">
      <w:pPr>
        <w:pStyle w:val="Brdtekst"/>
        <w:rPr>
          <w:rFonts w:asciiTheme="majorHAnsi" w:hAnsiTheme="majorHAnsi"/>
          <w:b/>
          <w:color w:val="FF0000"/>
          <w:lang w:val="en-GB"/>
        </w:rPr>
      </w:pPr>
    </w:p>
    <w:p w:rsidR="001739D4" w:rsidRPr="008959DA" w:rsidRDefault="001739D4" w:rsidP="001739D4">
      <w:pPr>
        <w:pStyle w:val="Brdtekst"/>
        <w:rPr>
          <w:rFonts w:asciiTheme="majorHAnsi" w:hAnsiTheme="majorHAnsi"/>
          <w:b/>
          <w:lang w:val="en-GB"/>
        </w:rPr>
      </w:pPr>
      <w:r w:rsidRPr="008959DA">
        <w:rPr>
          <w:rFonts w:asciiTheme="majorHAnsi" w:hAnsiTheme="majorHAnsi"/>
          <w:b/>
          <w:lang w:val="en-GB"/>
        </w:rPr>
        <w:t>Label</w:t>
      </w:r>
    </w:p>
    <w:p w:rsidR="001739D4" w:rsidRPr="008959DA" w:rsidRDefault="001739D4" w:rsidP="001739D4">
      <w:pPr>
        <w:pStyle w:val="Brdtekst"/>
        <w:rPr>
          <w:rFonts w:asciiTheme="majorHAnsi" w:hAnsiTheme="majorHAnsi"/>
          <w:lang w:val="en-GB"/>
        </w:rPr>
      </w:pPr>
      <w:r w:rsidRPr="008959DA">
        <w:rPr>
          <w:rFonts w:asciiTheme="majorHAnsi" w:hAnsiTheme="majorHAnsi"/>
          <w:lang w:val="en-GB"/>
        </w:rPr>
        <w:t>The information on the label, and, if relevant, in the Material Safety Data Sheet and Technical Data Sheet, shall be in accordance with the conditions provided in the attached SPC. Furthermore, Article 69(2) and Article 70 of the BPR also apply.</w:t>
      </w:r>
    </w:p>
    <w:p w:rsidR="001739D4" w:rsidRPr="008959DA" w:rsidRDefault="001739D4" w:rsidP="001739D4">
      <w:pPr>
        <w:pStyle w:val="Brdtekst"/>
        <w:rPr>
          <w:rFonts w:asciiTheme="majorHAnsi" w:hAnsiTheme="majorHAnsi"/>
          <w:lang w:val="en-GB"/>
        </w:rPr>
      </w:pPr>
    </w:p>
    <w:p w:rsidR="001739D4" w:rsidRPr="008959DA" w:rsidRDefault="001739D4" w:rsidP="001739D4">
      <w:pPr>
        <w:pStyle w:val="Brdtekst"/>
        <w:rPr>
          <w:rFonts w:asciiTheme="majorHAnsi" w:hAnsiTheme="majorHAnsi"/>
          <w:lang w:val="en-GB"/>
        </w:rPr>
      </w:pPr>
      <w:r w:rsidRPr="008959DA">
        <w:rPr>
          <w:rFonts w:asciiTheme="majorHAnsi" w:hAnsiTheme="majorHAnsi"/>
          <w:lang w:val="en-GB"/>
        </w:rPr>
        <w:t>The authorisation holder is responsible for ensuring that the information given in the above mentioned documents is accurate, and is translated to Norwegian, cf. Article 69(3) of the BPR.</w:t>
      </w:r>
    </w:p>
    <w:p w:rsidR="001739D4" w:rsidRPr="008959DA" w:rsidRDefault="001739D4" w:rsidP="001739D4">
      <w:pPr>
        <w:pStyle w:val="Brdtekst"/>
        <w:rPr>
          <w:rFonts w:asciiTheme="majorHAnsi" w:hAnsiTheme="majorHAnsi"/>
          <w:color w:val="FF0000"/>
          <w:lang w:val="en-GB"/>
        </w:rPr>
      </w:pPr>
    </w:p>
    <w:p w:rsidR="001739D4" w:rsidRPr="008959DA" w:rsidRDefault="001739D4" w:rsidP="001739D4">
      <w:pPr>
        <w:pStyle w:val="Brdtekst"/>
        <w:rPr>
          <w:rFonts w:asciiTheme="majorHAnsi" w:hAnsiTheme="majorHAnsi"/>
          <w:lang w:val="en-GB"/>
        </w:rPr>
      </w:pPr>
      <w:r w:rsidRPr="008959DA">
        <w:rPr>
          <w:rFonts w:asciiTheme="majorHAnsi" w:hAnsiTheme="majorHAnsi"/>
          <w:lang w:val="en-GB"/>
        </w:rPr>
        <w:t xml:space="preserve">An electronic copy of the updated label with the Norwegian authorisation number </w:t>
      </w:r>
      <w:r w:rsidR="00E67E18" w:rsidRPr="008959DA">
        <w:rPr>
          <w:rFonts w:asciiTheme="majorHAnsi" w:hAnsiTheme="majorHAnsi"/>
        </w:rPr>
        <w:t xml:space="preserve">NO-2018-0149 </w:t>
      </w:r>
      <w:r w:rsidRPr="008959DA">
        <w:rPr>
          <w:rFonts w:asciiTheme="majorHAnsi" w:hAnsiTheme="majorHAnsi"/>
          <w:lang w:val="en-GB"/>
        </w:rPr>
        <w:t xml:space="preserve">shall be submitted to the Norwegian Environment Agency within three months from the authorisation date, using the email address </w:t>
      </w:r>
      <w:hyperlink r:id="rId8" w:history="1">
        <w:r w:rsidRPr="008959DA">
          <w:rPr>
            <w:rStyle w:val="Hyperkobling"/>
            <w:rFonts w:asciiTheme="majorHAnsi" w:hAnsiTheme="majorHAnsi"/>
            <w:color w:val="auto"/>
            <w:lang w:val="en-GB"/>
          </w:rPr>
          <w:t>biocides@miljodir.no</w:t>
        </w:r>
      </w:hyperlink>
      <w:r w:rsidRPr="008959DA">
        <w:rPr>
          <w:rFonts w:asciiTheme="majorHAnsi" w:hAnsiTheme="majorHAnsi"/>
          <w:lang w:val="en-GB"/>
        </w:rPr>
        <w:t xml:space="preserve">.  </w:t>
      </w:r>
    </w:p>
    <w:p w:rsidR="001739D4" w:rsidRDefault="001739D4" w:rsidP="001739D4">
      <w:pPr>
        <w:pStyle w:val="Brdtekst"/>
        <w:rPr>
          <w:rFonts w:asciiTheme="majorHAnsi" w:hAnsiTheme="majorHAnsi"/>
          <w:color w:val="FF0000"/>
          <w:lang w:val="en-GB"/>
        </w:rPr>
      </w:pPr>
    </w:p>
    <w:p w:rsidR="00A251EF" w:rsidRPr="008959DA" w:rsidRDefault="00A251EF" w:rsidP="001739D4">
      <w:pPr>
        <w:pStyle w:val="Brdtekst"/>
        <w:rPr>
          <w:rFonts w:asciiTheme="majorHAnsi" w:hAnsiTheme="majorHAnsi"/>
          <w:color w:val="FF0000"/>
          <w:lang w:val="en-GB"/>
        </w:rPr>
      </w:pPr>
    </w:p>
    <w:p w:rsidR="001739D4" w:rsidRPr="008959DA" w:rsidRDefault="001739D4" w:rsidP="001739D4">
      <w:pPr>
        <w:pStyle w:val="Brdtekst"/>
        <w:rPr>
          <w:rFonts w:asciiTheme="majorHAnsi" w:hAnsiTheme="majorHAnsi"/>
          <w:b/>
          <w:lang w:val="en-GB"/>
        </w:rPr>
      </w:pPr>
      <w:r w:rsidRPr="008959DA">
        <w:rPr>
          <w:rFonts w:asciiTheme="majorHAnsi" w:hAnsiTheme="majorHAnsi"/>
          <w:b/>
          <w:lang w:val="en-GB"/>
        </w:rPr>
        <w:t xml:space="preserve">Changes to the authorisation  </w:t>
      </w:r>
    </w:p>
    <w:p w:rsidR="001739D4" w:rsidRPr="008959DA" w:rsidRDefault="001739D4" w:rsidP="001739D4">
      <w:pPr>
        <w:pStyle w:val="Brdtekst"/>
        <w:rPr>
          <w:rFonts w:asciiTheme="majorHAnsi" w:hAnsiTheme="majorHAnsi"/>
          <w:color w:val="FF0000"/>
          <w:lang w:val="en-GB"/>
        </w:rPr>
      </w:pPr>
      <w:r w:rsidRPr="008959DA">
        <w:rPr>
          <w:rFonts w:asciiTheme="majorHAnsi" w:hAnsiTheme="majorHAnsi"/>
          <w:lang w:val="en-GB"/>
        </w:rPr>
        <w:t xml:space="preserve">The authorisation holder must submit an application/notification for any changes to the product authorisation to the Norwegian Environment Agency, in accordance with Article 50 of the BPR. This procedure is described in detail in Regulation (EU) No. 354/2013 on changes of biocidal products. </w:t>
      </w:r>
    </w:p>
    <w:p w:rsidR="001739D4" w:rsidRDefault="001739D4" w:rsidP="001739D4">
      <w:pPr>
        <w:pStyle w:val="Brdtekst"/>
        <w:rPr>
          <w:rFonts w:asciiTheme="majorHAnsi" w:hAnsiTheme="majorHAnsi"/>
          <w:color w:val="FF0000"/>
          <w:lang w:val="en-GB"/>
        </w:rPr>
      </w:pPr>
    </w:p>
    <w:p w:rsidR="00A251EF" w:rsidRPr="008959DA" w:rsidRDefault="00A251EF" w:rsidP="001739D4">
      <w:pPr>
        <w:pStyle w:val="Brdtekst"/>
        <w:rPr>
          <w:rFonts w:asciiTheme="majorHAnsi" w:hAnsiTheme="majorHAnsi"/>
          <w:color w:val="FF0000"/>
          <w:lang w:val="en-GB"/>
        </w:rPr>
      </w:pPr>
    </w:p>
    <w:p w:rsidR="00A251EF" w:rsidRDefault="00A251EF" w:rsidP="001739D4">
      <w:pPr>
        <w:pStyle w:val="Brdtekst"/>
        <w:rPr>
          <w:rFonts w:asciiTheme="majorHAnsi" w:hAnsiTheme="majorHAnsi"/>
          <w:b/>
          <w:lang w:val="en-GB"/>
        </w:rPr>
      </w:pPr>
    </w:p>
    <w:p w:rsidR="001739D4" w:rsidRPr="008959DA" w:rsidRDefault="001739D4" w:rsidP="001739D4">
      <w:pPr>
        <w:pStyle w:val="Brdtekst"/>
        <w:rPr>
          <w:rFonts w:asciiTheme="majorHAnsi" w:hAnsiTheme="majorHAnsi"/>
          <w:lang w:val="en-GB"/>
        </w:rPr>
      </w:pPr>
      <w:r w:rsidRPr="008959DA">
        <w:rPr>
          <w:rFonts w:asciiTheme="majorHAnsi" w:hAnsiTheme="majorHAnsi"/>
          <w:b/>
          <w:lang w:val="en-GB"/>
        </w:rPr>
        <w:lastRenderedPageBreak/>
        <w:t>Yearly fee</w:t>
      </w:r>
    </w:p>
    <w:p w:rsidR="001739D4" w:rsidRDefault="001739D4" w:rsidP="001739D4">
      <w:pPr>
        <w:pStyle w:val="Brdtekst"/>
        <w:rPr>
          <w:rFonts w:asciiTheme="majorHAnsi" w:hAnsiTheme="majorHAnsi"/>
          <w:lang w:val="en-GB"/>
        </w:rPr>
      </w:pPr>
      <w:r w:rsidRPr="008959DA">
        <w:rPr>
          <w:rFonts w:asciiTheme="majorHAnsi" w:hAnsiTheme="majorHAnsi"/>
          <w:lang w:val="en-GB"/>
        </w:rPr>
        <w:t>For authorised biocidal products, a yearly fee will be charged. Please see appendix 1B to the Norwegian Biocide Regulation.</w:t>
      </w:r>
    </w:p>
    <w:p w:rsidR="00A251EF" w:rsidRDefault="00A251EF" w:rsidP="001739D4">
      <w:pPr>
        <w:pStyle w:val="Brdtekst"/>
        <w:rPr>
          <w:rFonts w:asciiTheme="majorHAnsi" w:hAnsiTheme="majorHAnsi"/>
          <w:lang w:val="en-GB"/>
        </w:rPr>
      </w:pPr>
    </w:p>
    <w:p w:rsidR="001739D4" w:rsidRPr="008959DA" w:rsidRDefault="001739D4" w:rsidP="001739D4">
      <w:pPr>
        <w:pStyle w:val="Brdtekst"/>
        <w:rPr>
          <w:rFonts w:asciiTheme="majorHAnsi" w:hAnsiTheme="majorHAnsi"/>
          <w:color w:val="FF0000"/>
          <w:lang w:val="en-GB"/>
        </w:rPr>
      </w:pPr>
    </w:p>
    <w:p w:rsidR="001739D4" w:rsidRPr="008959DA" w:rsidRDefault="001739D4" w:rsidP="001739D4">
      <w:pPr>
        <w:pStyle w:val="Brdtekst"/>
        <w:rPr>
          <w:rFonts w:asciiTheme="majorHAnsi" w:hAnsiTheme="majorHAnsi"/>
          <w:b/>
          <w:lang w:val="en-GB"/>
        </w:rPr>
      </w:pPr>
      <w:r w:rsidRPr="008959DA">
        <w:rPr>
          <w:rFonts w:asciiTheme="majorHAnsi" w:hAnsiTheme="majorHAnsi"/>
          <w:b/>
          <w:lang w:val="en-GB"/>
        </w:rPr>
        <w:t>Registration in the Norwegian Product Register</w:t>
      </w:r>
    </w:p>
    <w:p w:rsidR="001739D4" w:rsidRPr="008959DA" w:rsidRDefault="001739D4" w:rsidP="001739D4">
      <w:pPr>
        <w:pStyle w:val="Brdtekst"/>
        <w:rPr>
          <w:rFonts w:asciiTheme="majorHAnsi" w:hAnsiTheme="majorHAnsi"/>
          <w:lang w:val="en-GB"/>
        </w:rPr>
      </w:pPr>
      <w:r w:rsidRPr="008959DA">
        <w:rPr>
          <w:rFonts w:asciiTheme="majorHAnsi" w:hAnsiTheme="majorHAnsi"/>
          <w:lang w:val="en-GB"/>
        </w:rPr>
        <w:t xml:space="preserve">All biocidal products must be registered in the Product Register, and the information shall at any time be correct. In addition, all biocidal products which are classified as hazardous must be fully declared, if they are sold in amounts of 100 kg or more per year. </w:t>
      </w:r>
    </w:p>
    <w:p w:rsidR="001739D4" w:rsidRDefault="001739D4" w:rsidP="001739D4">
      <w:pPr>
        <w:pStyle w:val="Brdtekst"/>
        <w:rPr>
          <w:rFonts w:asciiTheme="majorHAnsi" w:hAnsiTheme="majorHAnsi"/>
          <w:lang w:val="en-GB"/>
        </w:rPr>
      </w:pPr>
    </w:p>
    <w:p w:rsidR="00A251EF" w:rsidRPr="008959DA" w:rsidRDefault="00A251EF" w:rsidP="001739D4">
      <w:pPr>
        <w:pStyle w:val="Brdtekst"/>
        <w:rPr>
          <w:rFonts w:asciiTheme="majorHAnsi" w:hAnsiTheme="majorHAnsi"/>
          <w:lang w:val="en-GB"/>
        </w:rPr>
      </w:pPr>
    </w:p>
    <w:p w:rsidR="001739D4" w:rsidRPr="008959DA" w:rsidRDefault="001739D4" w:rsidP="001739D4">
      <w:pPr>
        <w:rPr>
          <w:rFonts w:asciiTheme="majorHAnsi" w:hAnsiTheme="majorHAnsi"/>
          <w:b/>
          <w:lang w:val="en-GB"/>
        </w:rPr>
      </w:pPr>
      <w:r w:rsidRPr="008959DA">
        <w:rPr>
          <w:rFonts w:asciiTheme="majorHAnsi" w:hAnsiTheme="majorHAnsi"/>
          <w:b/>
          <w:lang w:val="en-GB"/>
        </w:rPr>
        <w:t>Appeal</w:t>
      </w:r>
    </w:p>
    <w:p w:rsidR="001739D4" w:rsidRPr="008959DA" w:rsidRDefault="001739D4" w:rsidP="001739D4">
      <w:pPr>
        <w:rPr>
          <w:rFonts w:asciiTheme="majorHAnsi" w:hAnsiTheme="majorHAnsi"/>
          <w:lang w:val="en-GB"/>
        </w:rPr>
      </w:pPr>
      <w:r w:rsidRPr="008959DA">
        <w:rPr>
          <w:rFonts w:asciiTheme="majorHAnsi" w:hAnsiTheme="majorHAnsi"/>
          <w:lang w:val="en-GB"/>
        </w:rPr>
        <w:t xml:space="preserve">This decision can be appealed to the Ministry of Climate and Environment, in accordance with Article 28 of the Public Administration Act.  The complaint must be submitted to the Norwegian Environment Agency within 3 weeks after receipt of this letter, in accordance with Article 29 of the Public Administration Act. </w:t>
      </w:r>
    </w:p>
    <w:p w:rsidR="00704E21" w:rsidRPr="008959DA" w:rsidRDefault="00704E21" w:rsidP="00704E21">
      <w:pPr>
        <w:pStyle w:val="Ingress"/>
        <w:rPr>
          <w:rFonts w:asciiTheme="majorHAnsi" w:hAnsiTheme="majorHAnsi"/>
          <w:color w:val="FF0000"/>
          <w:lang w:val="en-GB"/>
        </w:rPr>
      </w:pPr>
    </w:p>
    <w:p w:rsidR="00792817" w:rsidRPr="008959DA" w:rsidRDefault="00792817" w:rsidP="00792817">
      <w:pPr>
        <w:rPr>
          <w:rFonts w:asciiTheme="majorHAnsi" w:hAnsiTheme="majorHAnsi"/>
          <w:color w:val="FF0000"/>
        </w:rPr>
      </w:pPr>
      <w:bookmarkStart w:id="11" w:name="Start"/>
      <w:bookmarkEnd w:id="11"/>
    </w:p>
    <w:p w:rsidR="00C035D2" w:rsidRPr="008959DA" w:rsidRDefault="00AF25BC" w:rsidP="00704E21">
      <w:pPr>
        <w:pStyle w:val="Hilsen"/>
        <w:spacing w:before="560" w:line="280" w:lineRule="exact"/>
        <w:rPr>
          <w:b w:val="0"/>
          <w:bCs/>
        </w:rPr>
      </w:pPr>
      <w:r w:rsidRPr="008959DA">
        <w:rPr>
          <w:b w:val="0"/>
          <w:bCs/>
        </w:rPr>
        <w:t>Best regards</w:t>
      </w:r>
    </w:p>
    <w:p w:rsidR="00C035D2" w:rsidRPr="008959DA" w:rsidRDefault="00637DB2" w:rsidP="00637DB2">
      <w:pPr>
        <w:pStyle w:val="Hilsen"/>
        <w:spacing w:line="280" w:lineRule="exact"/>
        <w:rPr>
          <w:bCs/>
        </w:rPr>
      </w:pPr>
      <w:r w:rsidRPr="008959DA">
        <w:rPr>
          <w:bCs/>
        </w:rPr>
        <w:t>Norwegian E</w:t>
      </w:r>
      <w:r w:rsidR="00E57276" w:rsidRPr="008959DA">
        <w:rPr>
          <w:bCs/>
        </w:rPr>
        <w:t xml:space="preserve">nvironment </w:t>
      </w:r>
      <w:r w:rsidRPr="008959DA">
        <w:rPr>
          <w:bCs/>
        </w:rPr>
        <w:t>A</w:t>
      </w:r>
      <w:r w:rsidR="00E57276" w:rsidRPr="008959DA">
        <w:rPr>
          <w:bCs/>
        </w:rPr>
        <w:t>gency</w:t>
      </w:r>
    </w:p>
    <w:p w:rsidR="0057199C" w:rsidRPr="008959DA" w:rsidRDefault="0057199C" w:rsidP="00637DB2">
      <w:pPr>
        <w:pStyle w:val="Hilsen"/>
        <w:spacing w:line="280" w:lineRule="exact"/>
        <w:rPr>
          <w:b w:val="0"/>
          <w:bCs/>
        </w:rPr>
      </w:pPr>
    </w:p>
    <w:p w:rsidR="00C035D2" w:rsidRPr="008959DA" w:rsidRDefault="00C035D2" w:rsidP="00C035D2">
      <w:pPr>
        <w:pStyle w:val="Hilsen"/>
        <w:spacing w:line="280" w:lineRule="exact"/>
      </w:pPr>
    </w:p>
    <w:p w:rsidR="0057199C" w:rsidRPr="008959DA" w:rsidRDefault="0057199C" w:rsidP="00C035D2">
      <w:pPr>
        <w:pStyle w:val="Hilsen"/>
        <w:spacing w:line="280" w:lineRule="exact"/>
        <w:rPr>
          <w:b w:val="0"/>
          <w:i/>
        </w:rPr>
      </w:pPr>
      <w:r w:rsidRPr="008959DA">
        <w:rPr>
          <w:b w:val="0"/>
          <w:i/>
        </w:rPr>
        <w:t>This document</w:t>
      </w:r>
      <w:r w:rsidR="00D87C3F" w:rsidRPr="008959DA">
        <w:rPr>
          <w:b w:val="0"/>
          <w:i/>
        </w:rPr>
        <w:t xml:space="preserve"> has been signed electronically</w:t>
      </w:r>
    </w:p>
    <w:p w:rsidR="0057199C" w:rsidRPr="008959DA" w:rsidRDefault="0057199C" w:rsidP="00C035D2">
      <w:pPr>
        <w:pStyle w:val="Hilsen"/>
        <w:spacing w:line="280" w:lineRule="exact"/>
        <w:rPr>
          <w:b w:val="0"/>
        </w:rPr>
      </w:pPr>
    </w:p>
    <w:p w:rsidR="00C035D2" w:rsidRPr="00A251EF" w:rsidRDefault="00515720" w:rsidP="00C035D2">
      <w:pPr>
        <w:pStyle w:val="Hilsen"/>
        <w:spacing w:line="280" w:lineRule="exact"/>
        <w:rPr>
          <w:b w:val="0"/>
        </w:rPr>
      </w:pPr>
      <w:bookmarkStart w:id="12" w:name="ADMLEDERNAVN"/>
      <w:r w:rsidRPr="00A251EF">
        <w:rPr>
          <w:b w:val="0"/>
        </w:rPr>
        <w:t>Trine-Lise Torgersen</w:t>
      </w:r>
      <w:bookmarkEnd w:id="12"/>
      <w:r w:rsidR="00C035D2" w:rsidRPr="00A251EF">
        <w:rPr>
          <w:b w:val="0"/>
        </w:rPr>
        <w:tab/>
      </w:r>
      <w:bookmarkStart w:id="13" w:name="SAKSBEHANDLERNAVN2"/>
      <w:r w:rsidRPr="00A251EF">
        <w:rPr>
          <w:b w:val="0"/>
        </w:rPr>
        <w:t>Merete Dæhli</w:t>
      </w:r>
      <w:bookmarkEnd w:id="13"/>
    </w:p>
    <w:p w:rsidR="00016311" w:rsidRPr="00A251EF" w:rsidRDefault="00E67E18" w:rsidP="00AF25BC">
      <w:pPr>
        <w:pStyle w:val="Hilsen"/>
        <w:spacing w:line="280" w:lineRule="exact"/>
        <w:rPr>
          <w:b w:val="0"/>
        </w:rPr>
      </w:pPr>
      <w:r w:rsidRPr="00A251EF">
        <w:rPr>
          <w:b w:val="0"/>
        </w:rPr>
        <w:t>Head of Section</w:t>
      </w:r>
      <w:r w:rsidR="00C035D2" w:rsidRPr="00A251EF">
        <w:rPr>
          <w:b w:val="0"/>
        </w:rPr>
        <w:tab/>
      </w:r>
      <w:r w:rsidRPr="00A251EF">
        <w:rPr>
          <w:b w:val="0"/>
        </w:rPr>
        <w:t>Senior Adviser</w:t>
      </w:r>
    </w:p>
    <w:p w:rsidR="0057199C" w:rsidRPr="00A251EF" w:rsidRDefault="0057199C" w:rsidP="00AF25BC">
      <w:pPr>
        <w:pStyle w:val="Hilsen"/>
        <w:spacing w:line="280" w:lineRule="exact"/>
        <w:rPr>
          <w:b w:val="0"/>
        </w:rPr>
      </w:pPr>
    </w:p>
    <w:p w:rsidR="00D87C3F" w:rsidRPr="00A251EF" w:rsidRDefault="00D87C3F" w:rsidP="00AF25BC">
      <w:pPr>
        <w:pStyle w:val="Hilsen"/>
        <w:spacing w:line="280" w:lineRule="exact"/>
        <w:rPr>
          <w:b w:val="0"/>
        </w:rPr>
      </w:pPr>
    </w:p>
    <w:p w:rsidR="00A415F1" w:rsidRPr="00A251EF" w:rsidRDefault="00A415F1" w:rsidP="00AF25BC">
      <w:pPr>
        <w:pStyle w:val="Hilsen"/>
        <w:spacing w:line="280" w:lineRule="exact"/>
        <w:rPr>
          <w:b w:val="0"/>
        </w:rPr>
      </w:pPr>
    </w:p>
    <w:p w:rsidR="0057199C" w:rsidRPr="00A251EF" w:rsidRDefault="0057199C" w:rsidP="00AF25BC">
      <w:pPr>
        <w:pStyle w:val="Hilsen"/>
        <w:spacing w:line="280" w:lineRule="exact"/>
        <w:rPr>
          <w:b w:val="0"/>
        </w:rPr>
      </w:pPr>
    </w:p>
    <w:p w:rsidR="0057199C" w:rsidRPr="00A251EF" w:rsidRDefault="0057199C" w:rsidP="00AF25BC">
      <w:pPr>
        <w:pStyle w:val="Hilsen"/>
        <w:spacing w:line="280" w:lineRule="exact"/>
        <w:rPr>
          <w:b w:val="0"/>
        </w:rPr>
      </w:pPr>
      <w:bookmarkStart w:id="14" w:name="KopiTilTabell"/>
      <w:bookmarkEnd w:id="14"/>
    </w:p>
    <w:p w:rsidR="0057199C" w:rsidRPr="00A251EF" w:rsidRDefault="0057199C" w:rsidP="00AF25BC">
      <w:pPr>
        <w:pStyle w:val="Hilsen"/>
        <w:spacing w:line="280" w:lineRule="exact"/>
        <w:rPr>
          <w:b w:val="0"/>
          <w:bCs/>
          <w:szCs w:val="20"/>
        </w:rPr>
      </w:pPr>
      <w:bookmarkStart w:id="15" w:name="Vedlegg"/>
      <w:bookmarkEnd w:id="15"/>
    </w:p>
    <w:sectPr w:rsidR="0057199C" w:rsidRPr="00A251EF" w:rsidSect="003E1326">
      <w:headerReference w:type="default" r:id="rId9"/>
      <w:footerReference w:type="default" r:id="rId10"/>
      <w:headerReference w:type="first" r:id="rId11"/>
      <w:footerReference w:type="first" r:id="rId12"/>
      <w:pgSz w:w="11906" w:h="16838" w:code="9"/>
      <w:pgMar w:top="1985" w:right="1418" w:bottom="1701" w:left="1418"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18" w:rsidRDefault="004D2D18" w:rsidP="00FF50D3">
      <w:pPr>
        <w:spacing w:line="240" w:lineRule="auto"/>
      </w:pPr>
      <w:r>
        <w:separator/>
      </w:r>
    </w:p>
  </w:endnote>
  <w:endnote w:type="continuationSeparator" w:id="0">
    <w:p w:rsidR="004D2D18" w:rsidRDefault="004D2D18" w:rsidP="00FF5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CF" w:rsidRDefault="00EB5E89">
    <w:pPr>
      <w:pStyle w:val="Bunntekst"/>
    </w:pPr>
    <w:r w:rsidRPr="000D3819">
      <w:rPr>
        <w:b/>
        <w:bCs/>
        <w:noProof/>
        <w:lang w:val="nb-NO" w:eastAsia="nb-NO"/>
      </w:rPr>
      <mc:AlternateContent>
        <mc:Choice Requires="wps">
          <w:drawing>
            <wp:anchor distT="0" distB="0" distL="114300" distR="114300" simplePos="0" relativeHeight="251667456" behindDoc="1" locked="0" layoutInCell="1" allowOverlap="1" wp14:anchorId="6482EAD5" wp14:editId="0D77CFFD">
              <wp:simplePos x="0" y="0"/>
              <wp:positionH relativeFrom="page">
                <wp:posOffset>6957695</wp:posOffset>
              </wp:positionH>
              <wp:positionV relativeFrom="page">
                <wp:posOffset>10186035</wp:posOffset>
              </wp:positionV>
              <wp:extent cx="24765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7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E89" w:rsidRDefault="00EB5E89" w:rsidP="00EB5E89">
                          <w:pPr>
                            <w:jc w:val="right"/>
                          </w:pPr>
                          <w:r>
                            <w:fldChar w:fldCharType="begin"/>
                          </w:r>
                          <w:r>
                            <w:instrText xml:space="preserve"> PAGE   \* MERGEFORMAT </w:instrText>
                          </w:r>
                          <w:r>
                            <w:fldChar w:fldCharType="separate"/>
                          </w:r>
                          <w:r w:rsidR="00CA1342">
                            <w:rPr>
                              <w:noProof/>
                            </w:rPr>
                            <w:t>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2EAD5" id="_x0000_t202" coordsize="21600,21600" o:spt="202" path="m,l,21600r21600,l21600,xe">
              <v:stroke joinstyle="miter"/>
              <v:path gradientshapeok="t" o:connecttype="rect"/>
            </v:shapetype>
            <v:shape id="Text Box 12" o:spid="_x0000_s1026" type="#_x0000_t202" style="position:absolute;margin-left:547.85pt;margin-top:802.05pt;width:19.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" filled="f" stroked="f" strokeweight=".5pt">
              <v:textbox inset="0,0,0,0">
                <w:txbxContent>
                  <w:p w:rsidR="00EB5E89" w:rsidRDefault="00EB5E89" w:rsidP="00EB5E89">
                    <w:pPr>
                      <w:jc w:val="right"/>
                    </w:pPr>
                    <w:r>
                      <w:fldChar w:fldCharType="begin"/>
                    </w:r>
                    <w:r>
                      <w:instrText xml:space="preserve"> PAGE   \* MERGEFORMAT </w:instrText>
                    </w:r>
                    <w:r>
                      <w:fldChar w:fldCharType="separate"/>
                    </w:r>
                    <w:r w:rsidR="00CA1342">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18" w:rsidRPr="001B3A18" w:rsidRDefault="00EB5E89" w:rsidP="001B3A18">
    <w:pPr>
      <w:pStyle w:val="Bunntekst"/>
      <w:spacing w:line="180" w:lineRule="exact"/>
      <w:rPr>
        <w:sz w:val="16"/>
        <w:szCs w:val="16"/>
        <w:lang w:val="nn-NO"/>
      </w:rPr>
    </w:pPr>
    <w:r w:rsidRPr="001B3A18">
      <w:rPr>
        <w:b/>
        <w:bCs/>
        <w:noProof/>
        <w:sz w:val="16"/>
        <w:szCs w:val="16"/>
        <w:lang w:val="nb-NO" w:eastAsia="nb-NO"/>
      </w:rPr>
      <mc:AlternateContent>
        <mc:Choice Requires="wps">
          <w:drawing>
            <wp:anchor distT="0" distB="0" distL="0" distR="0" simplePos="0" relativeHeight="251668480" behindDoc="1" locked="0" layoutInCell="1" allowOverlap="1" wp14:anchorId="4A2CD62E" wp14:editId="35218851">
              <wp:simplePos x="0" y="0"/>
              <wp:positionH relativeFrom="page">
                <wp:posOffset>0</wp:posOffset>
              </wp:positionH>
              <wp:positionV relativeFrom="page">
                <wp:align>bottom</wp:align>
              </wp:positionV>
              <wp:extent cx="7560000" cy="1440000"/>
              <wp:effectExtent l="0" t="0" r="0" b="0"/>
              <wp:wrapTight wrapText="bothSides">
                <wp:wrapPolygon edited="0">
                  <wp:start x="163" y="286"/>
                  <wp:lineTo x="163" y="21152"/>
                  <wp:lineTo x="21391" y="21152"/>
                  <wp:lineTo x="21391" y="286"/>
                  <wp:lineTo x="163" y="286"/>
                </wp:wrapPolygon>
              </wp:wrapTight>
              <wp:docPr id="13" name="Rectangle 13"/>
              <wp:cNvGraphicFramePr/>
              <a:graphic xmlns:a="http://schemas.openxmlformats.org/drawingml/2006/main">
                <a:graphicData uri="http://schemas.microsoft.com/office/word/2010/wordprocessingShape">
                  <wps:wsp>
                    <wps:cNvSpPr/>
                    <wps:spPr>
                      <a:xfrm>
                        <a:off x="0" y="0"/>
                        <a:ext cx="7560000" cy="14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27EF" id="Rectangle 13" o:spid="_x0000_s1026" style="position:absolute;margin-left:0;margin-top:0;width:595.3pt;height:113.4pt;z-index:-251648000;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" filled="f" stroked="f" strokeweight="2pt">
              <w10:wrap type="tight" anchorx="page" anchory="page"/>
            </v:rect>
          </w:pict>
        </mc:Fallback>
      </mc:AlternateContent>
    </w:r>
    <w:r w:rsidR="00DB5ECF" w:rsidRPr="001B3A18">
      <w:rPr>
        <w:b/>
        <w:bCs/>
        <w:noProof/>
        <w:sz w:val="16"/>
        <w:szCs w:val="16"/>
        <w:lang w:val="nb-NO" w:eastAsia="nb-NO"/>
      </w:rPr>
      <mc:AlternateContent>
        <mc:Choice Requires="wps">
          <w:drawing>
            <wp:anchor distT="0" distB="0" distL="114300" distR="114300" simplePos="0" relativeHeight="251662336" behindDoc="0" locked="0" layoutInCell="1" allowOverlap="1" wp14:anchorId="62774A97" wp14:editId="1575616B">
              <wp:simplePos x="0" y="0"/>
              <wp:positionH relativeFrom="margin">
                <wp:posOffset>0</wp:posOffset>
              </wp:positionH>
              <wp:positionV relativeFrom="page">
                <wp:posOffset>9789690</wp:posOffset>
              </wp:positionV>
              <wp:extent cx="57600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C3201" id="Straight Connector 8"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0.85pt" to="453.5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" strokecolor="black [3213]" strokeweight=".5pt">
              <w10:wrap anchorx="margin" anchory="page"/>
            </v:line>
          </w:pict>
        </mc:Fallback>
      </mc:AlternateContent>
    </w:r>
    <w:r w:rsidR="000D3819" w:rsidRPr="001B3A18">
      <w:rPr>
        <w:b/>
        <w:bCs/>
        <w:noProof/>
        <w:sz w:val="16"/>
        <w:szCs w:val="16"/>
        <w:lang w:val="nb-NO" w:eastAsia="nb-NO"/>
      </w:rPr>
      <mc:AlternateContent>
        <mc:Choice Requires="wps">
          <w:drawing>
            <wp:anchor distT="0" distB="0" distL="114300" distR="114300" simplePos="0" relativeHeight="251665408" behindDoc="0" locked="0" layoutInCell="1" allowOverlap="1" wp14:anchorId="53270230" wp14:editId="1A8BCDBF">
              <wp:simplePos x="0" y="0"/>
              <wp:positionH relativeFrom="column">
                <wp:posOffset>6057160</wp:posOffset>
              </wp:positionH>
              <wp:positionV relativeFrom="paragraph">
                <wp:posOffset>69850</wp:posOffset>
              </wp:positionV>
              <wp:extent cx="246380" cy="21272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24638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819" w:rsidRDefault="000D3819" w:rsidP="000D3819">
                          <w:pPr>
                            <w:jc w:val="right"/>
                          </w:pPr>
                          <w:r>
                            <w:fldChar w:fldCharType="begin"/>
                          </w:r>
                          <w:r>
                            <w:instrText xml:space="preserve"> PAGE   \* MERGEFORMAT </w:instrText>
                          </w:r>
                          <w:r>
                            <w:fldChar w:fldCharType="separate"/>
                          </w:r>
                          <w:r w:rsidR="00CA1342">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70230" id="_x0000_t202" coordsize="21600,21600" o:spt="202" path="m,l,21600r21600,l21600,xe">
              <v:stroke joinstyle="miter"/>
              <v:path gradientshapeok="t" o:connecttype="rect"/>
            </v:shapetype>
            <v:shape id="Text Box 10" o:spid="_x0000_s1027" type="#_x0000_t202" style="position:absolute;margin-left:476.95pt;margin-top:5.5pt;width:19.4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" filled="f" stroked="f" strokeweight=".5pt">
              <v:textbox inset="0,0,0,0">
                <w:txbxContent>
                  <w:p w:rsidR="000D3819" w:rsidRDefault="000D3819" w:rsidP="000D3819">
                    <w:pPr>
                      <w:jc w:val="right"/>
                    </w:pPr>
                    <w:r>
                      <w:fldChar w:fldCharType="begin"/>
                    </w:r>
                    <w:r>
                      <w:instrText xml:space="preserve"> PAGE   \* MERGEFORMAT </w:instrText>
                    </w:r>
                    <w:r>
                      <w:fldChar w:fldCharType="separate"/>
                    </w:r>
                    <w:r w:rsidR="00CA1342">
                      <w:rPr>
                        <w:noProof/>
                      </w:rPr>
                      <w:t>1</w:t>
                    </w:r>
                    <w:r>
                      <w:fldChar w:fldCharType="end"/>
                    </w:r>
                  </w:p>
                </w:txbxContent>
              </v:textbox>
            </v:shape>
          </w:pict>
        </mc:Fallback>
      </mc:AlternateContent>
    </w:r>
    <w:r w:rsidR="001B3A18" w:rsidRPr="001B3A18">
      <w:rPr>
        <w:b/>
        <w:bCs/>
        <w:sz w:val="16"/>
        <w:szCs w:val="16"/>
        <w:lang w:val="nn-NO"/>
      </w:rPr>
      <w:t>Postal ad</w:t>
    </w:r>
    <w:r w:rsidR="00B22EC7">
      <w:rPr>
        <w:b/>
        <w:bCs/>
        <w:sz w:val="16"/>
        <w:szCs w:val="16"/>
        <w:lang w:val="nn-NO"/>
      </w:rPr>
      <w:t>d</w:t>
    </w:r>
    <w:r w:rsidR="001B3A18" w:rsidRPr="001B3A18">
      <w:rPr>
        <w:b/>
        <w:bCs/>
        <w:sz w:val="16"/>
        <w:szCs w:val="16"/>
        <w:lang w:val="nn-NO"/>
      </w:rPr>
      <w:t>ress :</w:t>
    </w:r>
    <w:r w:rsidR="001B3A18" w:rsidRPr="001B3A18">
      <w:rPr>
        <w:sz w:val="16"/>
        <w:szCs w:val="16"/>
        <w:lang w:val="nn-NO"/>
      </w:rPr>
      <w:t xml:space="preserve"> PO Box 5672, </w:t>
    </w:r>
    <w:r w:rsidR="00F56E75">
      <w:rPr>
        <w:sz w:val="16"/>
        <w:szCs w:val="16"/>
        <w:lang w:val="nn-NO"/>
      </w:rPr>
      <w:t>Torgarden</w:t>
    </w:r>
    <w:r w:rsidR="001B3A18" w:rsidRPr="001B3A18">
      <w:rPr>
        <w:sz w:val="16"/>
        <w:szCs w:val="16"/>
        <w:lang w:val="nn-NO"/>
      </w:rPr>
      <w:t xml:space="preserve">, N-7485 Trondheim | </w:t>
    </w:r>
    <w:r w:rsidR="001B3A18" w:rsidRPr="001B3A18">
      <w:rPr>
        <w:b/>
        <w:bCs/>
        <w:sz w:val="16"/>
        <w:szCs w:val="16"/>
        <w:lang w:val="nn-NO"/>
      </w:rPr>
      <w:t>Tel:</w:t>
    </w:r>
    <w:r w:rsidR="001B3A18" w:rsidRPr="001B3A18">
      <w:rPr>
        <w:sz w:val="16"/>
        <w:szCs w:val="16"/>
        <w:lang w:val="nn-NO"/>
      </w:rPr>
      <w:t xml:space="preserve"> +47 73 58 05 00 | </w:t>
    </w:r>
    <w:r w:rsidR="001B3A18" w:rsidRPr="001B3A18">
      <w:rPr>
        <w:b/>
        <w:bCs/>
        <w:sz w:val="16"/>
        <w:szCs w:val="16"/>
        <w:lang w:val="nn-NO"/>
      </w:rPr>
      <w:t>Fax:</w:t>
    </w:r>
    <w:r w:rsidR="001B3A18" w:rsidRPr="001B3A18">
      <w:rPr>
        <w:sz w:val="16"/>
        <w:szCs w:val="16"/>
        <w:lang w:val="nn-NO"/>
      </w:rPr>
      <w:t xml:space="preserve"> +47 73 58 05 01</w:t>
    </w:r>
  </w:p>
  <w:p w:rsidR="001B3A18" w:rsidRPr="001B3A18" w:rsidRDefault="001B3A18" w:rsidP="001B3A18">
    <w:pPr>
      <w:pStyle w:val="Bunntekst"/>
      <w:spacing w:line="180" w:lineRule="exact"/>
      <w:rPr>
        <w:sz w:val="16"/>
        <w:szCs w:val="16"/>
        <w:lang w:val="pt-BR"/>
      </w:rPr>
    </w:pPr>
    <w:r w:rsidRPr="001B3A18">
      <w:rPr>
        <w:b/>
        <w:bCs/>
        <w:sz w:val="16"/>
        <w:szCs w:val="16"/>
        <w:lang w:val="pt-BR"/>
      </w:rPr>
      <w:t>E-mail:</w:t>
    </w:r>
    <w:r w:rsidRPr="001B3A18">
      <w:rPr>
        <w:sz w:val="16"/>
        <w:szCs w:val="16"/>
        <w:lang w:val="pt-BR"/>
      </w:rPr>
      <w:t xml:space="preserve"> post@miljodir.no | </w:t>
    </w:r>
    <w:r w:rsidRPr="001B3A18">
      <w:rPr>
        <w:b/>
        <w:bCs/>
        <w:sz w:val="16"/>
        <w:szCs w:val="16"/>
        <w:lang w:val="pt-BR"/>
      </w:rPr>
      <w:t>Internet:</w:t>
    </w:r>
    <w:r w:rsidRPr="001B3A18">
      <w:rPr>
        <w:sz w:val="16"/>
        <w:szCs w:val="16"/>
        <w:lang w:val="pt-BR"/>
      </w:rPr>
      <w:t xml:space="preserve"> www.environmentagency.no | </w:t>
    </w:r>
    <w:r w:rsidRPr="001B3A18">
      <w:rPr>
        <w:b/>
        <w:bCs/>
        <w:sz w:val="16"/>
        <w:szCs w:val="16"/>
        <w:lang w:val="pt-BR"/>
      </w:rPr>
      <w:t>VAT.No.:</w:t>
    </w:r>
    <w:r w:rsidRPr="001B3A18">
      <w:rPr>
        <w:sz w:val="16"/>
        <w:szCs w:val="16"/>
        <w:lang w:val="pt-BR"/>
      </w:rPr>
      <w:t xml:space="preserve"> 999 601 391</w:t>
    </w:r>
  </w:p>
  <w:p w:rsidR="000D3819" w:rsidRPr="00EB08A7" w:rsidRDefault="001B3A18" w:rsidP="001B3A18">
    <w:pPr>
      <w:pStyle w:val="Bunntekst"/>
      <w:spacing w:line="180" w:lineRule="exact"/>
      <w:rPr>
        <w:sz w:val="16"/>
        <w:szCs w:val="16"/>
        <w:lang w:val="nn-NO"/>
      </w:rPr>
    </w:pPr>
    <w:r w:rsidRPr="001B3A18">
      <w:rPr>
        <w:b/>
        <w:bCs/>
        <w:sz w:val="16"/>
        <w:szCs w:val="16"/>
        <w:lang w:val="nn-NO"/>
      </w:rPr>
      <w:t>Visiting address Oslo:</w:t>
    </w:r>
    <w:r w:rsidRPr="001B3A18">
      <w:rPr>
        <w:sz w:val="16"/>
        <w:szCs w:val="16"/>
        <w:lang w:val="nn-NO"/>
      </w:rPr>
      <w:t xml:space="preserve"> </w:t>
    </w:r>
    <w:r w:rsidR="00A36B3A">
      <w:rPr>
        <w:sz w:val="16"/>
        <w:szCs w:val="16"/>
        <w:lang w:val="nn-NO"/>
      </w:rPr>
      <w:t>Grensesvingen 7</w:t>
    </w:r>
    <w:r w:rsidR="00F04ED9">
      <w:rPr>
        <w:sz w:val="16"/>
        <w:szCs w:val="16"/>
        <w:lang w:val="nn-NO"/>
      </w:rPr>
      <w:t>, N-0661</w:t>
    </w:r>
    <w:r w:rsidRPr="001B3A18">
      <w:rPr>
        <w:sz w:val="16"/>
        <w:szCs w:val="16"/>
        <w:lang w:val="nn-NO"/>
      </w:rPr>
      <w:t xml:space="preserve"> Oslo | </w:t>
    </w:r>
    <w:r w:rsidRPr="001B3A18">
      <w:rPr>
        <w:b/>
        <w:bCs/>
        <w:sz w:val="16"/>
        <w:szCs w:val="16"/>
        <w:lang w:val="nn-NO"/>
      </w:rPr>
      <w:t>Visiting address Trondheim:</w:t>
    </w:r>
    <w:r w:rsidRPr="001B3A18">
      <w:rPr>
        <w:sz w:val="16"/>
        <w:szCs w:val="16"/>
        <w:lang w:val="nn-NO"/>
      </w:rPr>
      <w:t xml:space="preserve"> Brattørkaia 15, </w:t>
    </w:r>
    <w:r w:rsidR="00B22EC7">
      <w:rPr>
        <w:sz w:val="16"/>
        <w:szCs w:val="16"/>
        <w:lang w:val="nn-NO"/>
      </w:rPr>
      <w:t>N-</w:t>
    </w:r>
    <w:r w:rsidRPr="001B3A18">
      <w:rPr>
        <w:sz w:val="16"/>
        <w:szCs w:val="16"/>
        <w:lang w:val="nn-NO"/>
      </w:rPr>
      <w:t>7010 Trondheim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18" w:rsidRDefault="004D2D18" w:rsidP="00FF50D3">
      <w:pPr>
        <w:spacing w:line="240" w:lineRule="auto"/>
      </w:pPr>
      <w:r>
        <w:separator/>
      </w:r>
    </w:p>
  </w:footnote>
  <w:footnote w:type="continuationSeparator" w:id="0">
    <w:p w:rsidR="004D2D18" w:rsidRDefault="004D2D18" w:rsidP="00FF5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11" w:rsidRDefault="00AF25BC">
    <w:pPr>
      <w:pStyle w:val="Topptekst"/>
    </w:pPr>
    <w:r>
      <w:rPr>
        <w:noProof/>
        <w:lang w:val="nb-NO" w:eastAsia="nb-NO"/>
      </w:rPr>
      <w:drawing>
        <wp:anchor distT="0" distB="0" distL="114300" distR="114300" simplePos="0" relativeHeight="251672576" behindDoc="1" locked="0" layoutInCell="1" allowOverlap="1" wp14:anchorId="5274B2B0" wp14:editId="61F7F7B5">
          <wp:simplePos x="0" y="0"/>
          <wp:positionH relativeFrom="page">
            <wp:posOffset>4918075</wp:posOffset>
          </wp:positionH>
          <wp:positionV relativeFrom="page">
            <wp:posOffset>388620</wp:posOffset>
          </wp:positionV>
          <wp:extent cx="1573200" cy="65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sekundaer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5732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D3" w:rsidRDefault="00C035D2">
    <w:pPr>
      <w:pStyle w:val="Topptekst"/>
    </w:pPr>
    <w:r>
      <w:rPr>
        <w:noProof/>
        <w:lang w:val="nb-NO" w:eastAsia="nb-NO"/>
      </w:rPr>
      <mc:AlternateContent>
        <mc:Choice Requires="wps">
          <w:drawing>
            <wp:anchor distT="0" distB="0" distL="114300" distR="114300" simplePos="0" relativeHeight="251658239" behindDoc="1" locked="0" layoutInCell="1" allowOverlap="1" wp14:anchorId="4872D1E2" wp14:editId="77EAB50C">
              <wp:simplePos x="685800" y="485775"/>
              <wp:positionH relativeFrom="page">
                <wp:align>left</wp:align>
              </wp:positionH>
              <wp:positionV relativeFrom="page">
                <wp:align>top</wp:align>
              </wp:positionV>
              <wp:extent cx="7560000" cy="32040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60000" cy="32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4CC4" id="Rectangle 3" o:spid="_x0000_s1026" style="position:absolute;margin-left:0;margin-top:0;width:595.3pt;height:252.3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" filled="f" stroked="f" strokeweight="2pt">
              <w10:wrap type="square" anchorx="page" anchory="page"/>
            </v:rect>
          </w:pict>
        </mc:Fallback>
      </mc:AlternateContent>
    </w:r>
    <w:r w:rsidR="00AF25BC">
      <w:rPr>
        <w:noProof/>
        <w:lang w:val="nb-NO" w:eastAsia="nb-NO"/>
      </w:rPr>
      <w:drawing>
        <wp:anchor distT="0" distB="0" distL="114300" distR="114300" simplePos="0" relativeHeight="251670528" behindDoc="0" locked="0" layoutInCell="1" allowOverlap="1" wp14:anchorId="0115C621" wp14:editId="3B5E8FB8">
          <wp:simplePos x="0" y="0"/>
          <wp:positionH relativeFrom="page">
            <wp:posOffset>4936490</wp:posOffset>
          </wp:positionH>
          <wp:positionV relativeFrom="page">
            <wp:posOffset>-191135</wp:posOffset>
          </wp:positionV>
          <wp:extent cx="1710000" cy="17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hoved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710000" cy="171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6829A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9E655D"/>
    <w:multiLevelType w:val="multilevel"/>
    <w:tmpl w:val="94FE5AAE"/>
    <w:lvl w:ilvl="0">
      <w:start w:val="1"/>
      <w:numFmt w:val="decimal"/>
      <w:pStyle w:val="Nummerertliste"/>
      <w:lvlText w:val="(%1)"/>
      <w:lvlJc w:val="left"/>
      <w:pPr>
        <w:tabs>
          <w:tab w:val="num" w:pos="1189"/>
        </w:tabs>
        <w:ind w:left="118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0AC1E6C"/>
    <w:multiLevelType w:val="multilevel"/>
    <w:tmpl w:val="639486BE"/>
    <w:lvl w:ilvl="0">
      <w:start w:val="1"/>
      <w:numFmt w:val="bullet"/>
      <w:pStyle w:val="Punktliste"/>
      <w:lvlText w:val=""/>
      <w:lvlJc w:val="left"/>
      <w:pPr>
        <w:ind w:left="142" w:hanging="142"/>
      </w:pPr>
      <w:rPr>
        <w:rFonts w:ascii="Symbol" w:hAnsi="Symbol" w:cs="Times New Roman" w:hint="default"/>
        <w:color w:val="auto"/>
      </w:rPr>
    </w:lvl>
    <w:lvl w:ilvl="1">
      <w:start w:val="1"/>
      <w:numFmt w:val="bullet"/>
      <w:pStyle w:val="Punktliste2"/>
      <w:lvlText w:val="˗"/>
      <w:lvlJc w:val="left"/>
      <w:pPr>
        <w:ind w:left="397" w:hanging="113"/>
      </w:pPr>
      <w:rPr>
        <w:rFonts w:ascii="Arial"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18"/>
    <w:rsid w:val="00016311"/>
    <w:rsid w:val="00032025"/>
    <w:rsid w:val="00066FD3"/>
    <w:rsid w:val="000D3819"/>
    <w:rsid w:val="001739D4"/>
    <w:rsid w:val="001B3A18"/>
    <w:rsid w:val="001B5681"/>
    <w:rsid w:val="001C2309"/>
    <w:rsid w:val="002016AA"/>
    <w:rsid w:val="002E783C"/>
    <w:rsid w:val="00303105"/>
    <w:rsid w:val="0033134D"/>
    <w:rsid w:val="00337B6F"/>
    <w:rsid w:val="003714E3"/>
    <w:rsid w:val="003E1326"/>
    <w:rsid w:val="00400D1F"/>
    <w:rsid w:val="004140C1"/>
    <w:rsid w:val="00420A69"/>
    <w:rsid w:val="00450C66"/>
    <w:rsid w:val="004C09A2"/>
    <w:rsid w:val="004D2D18"/>
    <w:rsid w:val="00512E00"/>
    <w:rsid w:val="00515720"/>
    <w:rsid w:val="00533337"/>
    <w:rsid w:val="0057199C"/>
    <w:rsid w:val="005746C9"/>
    <w:rsid w:val="0059621B"/>
    <w:rsid w:val="005A4A2A"/>
    <w:rsid w:val="005C5B2A"/>
    <w:rsid w:val="00637DB2"/>
    <w:rsid w:val="006C0D25"/>
    <w:rsid w:val="006E65FE"/>
    <w:rsid w:val="00704E21"/>
    <w:rsid w:val="00792817"/>
    <w:rsid w:val="00813DC4"/>
    <w:rsid w:val="00841A57"/>
    <w:rsid w:val="008959DA"/>
    <w:rsid w:val="008A10D5"/>
    <w:rsid w:val="009059C7"/>
    <w:rsid w:val="009811C8"/>
    <w:rsid w:val="00985187"/>
    <w:rsid w:val="009C2BA3"/>
    <w:rsid w:val="009C3B98"/>
    <w:rsid w:val="00A05FD9"/>
    <w:rsid w:val="00A16F19"/>
    <w:rsid w:val="00A251EF"/>
    <w:rsid w:val="00A36B3A"/>
    <w:rsid w:val="00A415F1"/>
    <w:rsid w:val="00AB3662"/>
    <w:rsid w:val="00AF25BC"/>
    <w:rsid w:val="00B119AF"/>
    <w:rsid w:val="00B22EC7"/>
    <w:rsid w:val="00B93B34"/>
    <w:rsid w:val="00B946A6"/>
    <w:rsid w:val="00BA5215"/>
    <w:rsid w:val="00C035D2"/>
    <w:rsid w:val="00C21FAA"/>
    <w:rsid w:val="00C34F3C"/>
    <w:rsid w:val="00C57C66"/>
    <w:rsid w:val="00CA1342"/>
    <w:rsid w:val="00CA2CA8"/>
    <w:rsid w:val="00CA47AE"/>
    <w:rsid w:val="00CD35C4"/>
    <w:rsid w:val="00D702DD"/>
    <w:rsid w:val="00D87C3F"/>
    <w:rsid w:val="00D97C7A"/>
    <w:rsid w:val="00DB5ECF"/>
    <w:rsid w:val="00E57276"/>
    <w:rsid w:val="00E67E18"/>
    <w:rsid w:val="00E74ECD"/>
    <w:rsid w:val="00EB08A7"/>
    <w:rsid w:val="00EB5E89"/>
    <w:rsid w:val="00F04ED9"/>
    <w:rsid w:val="00F4029B"/>
    <w:rsid w:val="00F403C6"/>
    <w:rsid w:val="00F56E75"/>
    <w:rsid w:val="00F7066F"/>
    <w:rsid w:val="00F804F6"/>
    <w:rsid w:val="00FC76E2"/>
    <w:rsid w:val="00FD654F"/>
    <w:rsid w:val="00FF50D3"/>
    <w:rsid w:val="00FF7F5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595BD14A-F946-434D-A567-902CFFD3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BC"/>
    <w:pPr>
      <w:spacing w:after="0" w:line="280" w:lineRule="atLeast"/>
    </w:pPr>
    <w:rPr>
      <w:sz w:val="20"/>
      <w:lang w:val="en-US"/>
    </w:rPr>
  </w:style>
  <w:style w:type="paragraph" w:styleId="Overskrift1">
    <w:name w:val="heading 1"/>
    <w:basedOn w:val="Normal"/>
    <w:next w:val="Normal"/>
    <w:link w:val="Overskrift1Tegn"/>
    <w:uiPriority w:val="9"/>
    <w:qFormat/>
    <w:rsid w:val="00704E21"/>
    <w:pPr>
      <w:keepNext/>
      <w:keepLines/>
      <w:spacing w:before="260" w:after="260" w:line="360" w:lineRule="exact"/>
      <w:outlineLvl w:val="0"/>
    </w:pPr>
    <w:rPr>
      <w:rFonts w:asciiTheme="majorHAnsi" w:eastAsiaTheme="majorEastAsia" w:hAnsiTheme="majorHAnsi" w:cstheme="majorBidi"/>
      <w:b/>
      <w:bCs/>
      <w:sz w:val="32"/>
      <w:szCs w:val="28"/>
    </w:rPr>
  </w:style>
  <w:style w:type="paragraph" w:styleId="Overskrift2">
    <w:name w:val="heading 2"/>
    <w:basedOn w:val="Normal"/>
    <w:next w:val="Normal"/>
    <w:link w:val="Overskrift2Tegn"/>
    <w:uiPriority w:val="9"/>
    <w:qFormat/>
    <w:rsid w:val="001B5681"/>
    <w:pPr>
      <w:keepNext/>
      <w:keepLines/>
      <w:spacing w:before="220" w:line="280" w:lineRule="exact"/>
      <w:outlineLvl w:val="1"/>
    </w:pPr>
    <w:rPr>
      <w:rFonts w:asciiTheme="majorHAnsi" w:eastAsiaTheme="majorEastAsia" w:hAnsiTheme="majorHAnsi" w:cstheme="majorBidi"/>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33337"/>
    <w:pPr>
      <w:spacing w:line="240" w:lineRule="atLeast"/>
    </w:pPr>
  </w:style>
  <w:style w:type="paragraph" w:styleId="Hilsen">
    <w:name w:val="Closing"/>
    <w:basedOn w:val="Konvoluttadresse"/>
    <w:link w:val="HilsenTegn"/>
    <w:uiPriority w:val="99"/>
    <w:semiHidden/>
    <w:rsid w:val="00533337"/>
    <w:pPr>
      <w:keepNext/>
      <w:keepLines/>
      <w:tabs>
        <w:tab w:val="left" w:pos="3459"/>
      </w:tabs>
      <w:spacing w:line="280" w:lineRule="atLeast"/>
    </w:pPr>
    <w:rPr>
      <w:rFonts w:asciiTheme="majorHAnsi" w:hAnsiTheme="majorHAnsi"/>
      <w:b/>
    </w:rPr>
  </w:style>
  <w:style w:type="character" w:customStyle="1" w:styleId="HilsenTegn">
    <w:name w:val="Hilsen Tegn"/>
    <w:basedOn w:val="Standardskriftforavsnitt"/>
    <w:link w:val="Hilsen"/>
    <w:uiPriority w:val="99"/>
    <w:semiHidden/>
    <w:rsid w:val="00533337"/>
    <w:rPr>
      <w:rFonts w:asciiTheme="majorHAnsi" w:hAnsiTheme="majorHAnsi"/>
      <w:b/>
      <w:sz w:val="20"/>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420A69"/>
    <w:rPr>
      <w:sz w:val="18"/>
    </w:rPr>
  </w:style>
  <w:style w:type="paragraph" w:styleId="Tittel">
    <w:name w:val="Title"/>
    <w:basedOn w:val="Normal"/>
    <w:next w:val="Normal"/>
    <w:link w:val="TittelTegn"/>
    <w:uiPriority w:val="10"/>
    <w:semiHidden/>
    <w:qFormat/>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420A69"/>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420A69"/>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704E21"/>
    <w:rPr>
      <w:rFonts w:asciiTheme="majorHAnsi" w:eastAsiaTheme="majorEastAsia" w:hAnsiTheme="majorHAnsi" w:cstheme="majorBidi"/>
      <w:b/>
      <w:bCs/>
      <w:sz w:val="32"/>
      <w:szCs w:val="28"/>
    </w:rPr>
  </w:style>
  <w:style w:type="character" w:customStyle="1" w:styleId="Overskrift2Tegn">
    <w:name w:val="Overskrift 2 Tegn"/>
    <w:basedOn w:val="Standardskriftforavsnitt"/>
    <w:link w:val="Overskrift2"/>
    <w:uiPriority w:val="9"/>
    <w:rsid w:val="001B5681"/>
    <w:rPr>
      <w:rFonts w:asciiTheme="majorHAnsi" w:eastAsiaTheme="majorEastAsia" w:hAnsiTheme="majorHAnsi" w:cstheme="majorBidi"/>
      <w:b/>
      <w:bCs/>
      <w:sz w:val="20"/>
      <w:szCs w:val="26"/>
    </w:rPr>
  </w:style>
  <w:style w:type="paragraph" w:styleId="Topptekst">
    <w:name w:val="header"/>
    <w:basedOn w:val="Normal"/>
    <w:link w:val="TopptekstTegn"/>
    <w:uiPriority w:val="99"/>
    <w:semiHidden/>
    <w:rsid w:val="00FF50D3"/>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420A69"/>
    <w:rPr>
      <w:sz w:val="18"/>
    </w:rPr>
  </w:style>
  <w:style w:type="paragraph" w:styleId="Bunntekst">
    <w:name w:val="footer"/>
    <w:basedOn w:val="Normal"/>
    <w:link w:val="BunntekstTegn"/>
    <w:uiPriority w:val="99"/>
    <w:unhideWhenUsed/>
    <w:rsid w:val="00066FD3"/>
    <w:pPr>
      <w:tabs>
        <w:tab w:val="center" w:pos="4536"/>
        <w:tab w:val="right" w:pos="9072"/>
      </w:tabs>
      <w:spacing w:line="170" w:lineRule="exact"/>
    </w:pPr>
    <w:rPr>
      <w:sz w:val="15"/>
    </w:rPr>
  </w:style>
  <w:style w:type="character" w:customStyle="1" w:styleId="BunntekstTegn">
    <w:name w:val="Bunntekst Tegn"/>
    <w:basedOn w:val="Standardskriftforavsnitt"/>
    <w:link w:val="Bunntekst"/>
    <w:uiPriority w:val="99"/>
    <w:rsid w:val="00066FD3"/>
    <w:rPr>
      <w:sz w:val="15"/>
    </w:rPr>
  </w:style>
  <w:style w:type="paragraph" w:styleId="Bobletekst">
    <w:name w:val="Balloon Text"/>
    <w:basedOn w:val="Normal"/>
    <w:link w:val="BobletekstTegn"/>
    <w:uiPriority w:val="99"/>
    <w:semiHidden/>
    <w:unhideWhenUsed/>
    <w:rsid w:val="00FF50D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50D3"/>
    <w:rPr>
      <w:rFonts w:ascii="Tahoma" w:hAnsi="Tahoma" w:cs="Tahoma"/>
      <w:sz w:val="16"/>
      <w:szCs w:val="16"/>
    </w:rPr>
  </w:style>
  <w:style w:type="table" w:styleId="Tabellrutenett">
    <w:name w:val="Table Grid"/>
    <w:basedOn w:val="Vanligtabell"/>
    <w:uiPriority w:val="59"/>
    <w:rsid w:val="00FF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FF50D3"/>
    <w:rPr>
      <w:color w:val="808080"/>
    </w:rPr>
  </w:style>
  <w:style w:type="paragraph" w:styleId="Punktliste">
    <w:name w:val="List Bullet"/>
    <w:basedOn w:val="Normal"/>
    <w:uiPriority w:val="99"/>
    <w:qFormat/>
    <w:rsid w:val="00B93B34"/>
    <w:pPr>
      <w:numPr>
        <w:numId w:val="1"/>
      </w:numPr>
      <w:spacing w:before="180"/>
      <w:contextualSpacing/>
    </w:pPr>
  </w:style>
  <w:style w:type="paragraph" w:styleId="Punktliste2">
    <w:name w:val="List Bullet 2"/>
    <w:basedOn w:val="Normal"/>
    <w:uiPriority w:val="99"/>
    <w:unhideWhenUsed/>
    <w:qFormat/>
    <w:rsid w:val="00704E21"/>
    <w:pPr>
      <w:numPr>
        <w:ilvl w:val="1"/>
        <w:numId w:val="1"/>
      </w:numPr>
      <w:spacing w:before="80"/>
      <w:contextualSpacing/>
    </w:pPr>
  </w:style>
  <w:style w:type="paragraph" w:customStyle="1" w:styleId="Ingress">
    <w:name w:val="Ingress"/>
    <w:basedOn w:val="Normal"/>
    <w:qFormat/>
    <w:rsid w:val="00704E21"/>
    <w:pPr>
      <w:spacing w:after="260"/>
    </w:pPr>
    <w:rPr>
      <w:b/>
      <w:sz w:val="24"/>
    </w:rPr>
  </w:style>
  <w:style w:type="character" w:styleId="Hyperkobling">
    <w:name w:val="Hyperlink"/>
    <w:basedOn w:val="Standardskriftforavsnitt"/>
    <w:uiPriority w:val="99"/>
    <w:unhideWhenUsed/>
    <w:rsid w:val="00DB5ECF"/>
    <w:rPr>
      <w:color w:val="0000FF" w:themeColor="hyperlink"/>
      <w:u w:val="single"/>
    </w:rPr>
  </w:style>
  <w:style w:type="paragraph" w:styleId="Nummerertliste">
    <w:name w:val="List Number"/>
    <w:basedOn w:val="Normal"/>
    <w:rsid w:val="002016AA"/>
    <w:pPr>
      <w:numPr>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2016AA"/>
    <w:pPr>
      <w:numPr>
        <w:ilvl w:val="1"/>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2016AA"/>
    <w:pPr>
      <w:numPr>
        <w:ilvl w:val="2"/>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2016AA"/>
    <w:pPr>
      <w:numPr>
        <w:ilvl w:val="3"/>
        <w:numId w:val="4"/>
      </w:numPr>
      <w:spacing w:after="240" w:line="240" w:lineRule="auto"/>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9242">
      <w:bodyDiv w:val="1"/>
      <w:marLeft w:val="0"/>
      <w:marRight w:val="0"/>
      <w:marTop w:val="0"/>
      <w:marBottom w:val="0"/>
      <w:divBdr>
        <w:top w:val="none" w:sz="0" w:space="0" w:color="auto"/>
        <w:left w:val="none" w:sz="0" w:space="0" w:color="auto"/>
        <w:bottom w:val="none" w:sz="0" w:space="0" w:color="auto"/>
        <w:right w:val="none" w:sz="0" w:space="0" w:color="auto"/>
      </w:divBdr>
    </w:div>
    <w:div w:id="1193495672">
      <w:bodyDiv w:val="1"/>
      <w:marLeft w:val="0"/>
      <w:marRight w:val="0"/>
      <w:marTop w:val="0"/>
      <w:marBottom w:val="0"/>
      <w:divBdr>
        <w:top w:val="none" w:sz="0" w:space="0" w:color="auto"/>
        <w:left w:val="none" w:sz="0" w:space="0" w:color="auto"/>
        <w:bottom w:val="none" w:sz="0" w:space="0" w:color="auto"/>
        <w:right w:val="none" w:sz="0" w:space="0" w:color="auto"/>
      </w:divBdr>
    </w:div>
    <w:div w:id="14049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cides@miljodir.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85BAF143D40038E29A3AF2FDBBAD8"/>
        <w:category>
          <w:name w:val="Generelt"/>
          <w:gallery w:val="placeholder"/>
        </w:category>
        <w:types>
          <w:type w:val="bbPlcHdr"/>
        </w:types>
        <w:behaviors>
          <w:behavior w:val="content"/>
        </w:behaviors>
        <w:guid w:val="{ADB05EAD-034A-46A5-B09E-D8B4326854A3}"/>
      </w:docPartPr>
      <w:docPartBody>
        <w:p w:rsidR="004115C2" w:rsidRDefault="004115C2">
          <w:pPr>
            <w:pStyle w:val="FC085BAF143D40038E29A3AF2FDBBAD8"/>
          </w:pPr>
          <w:r w:rsidRPr="0043730F">
            <w:rPr>
              <w:rStyle w:val="Plassholdertekst"/>
            </w:rPr>
            <w:t>[Your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C2"/>
    <w:rsid w:val="00411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FC085BAF143D40038E29A3AF2FDBBAD8">
    <w:name w:val="FC085BAF143D40038E29A3AF2FDBBAD8"/>
  </w:style>
  <w:style w:type="paragraph" w:customStyle="1" w:styleId="30002740481B43E2B5D08C561C59320B">
    <w:name w:val="30002740481B43E2B5D08C561C593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iljødirektoratet">
      <a:dk1>
        <a:sysClr val="windowText" lastClr="000000"/>
      </a:dk1>
      <a:lt1>
        <a:sysClr val="window" lastClr="FFFFFF"/>
      </a:lt1>
      <a:dk2>
        <a:srgbClr val="006964"/>
      </a:dk2>
      <a:lt2>
        <a:srgbClr val="EEECE1"/>
      </a:lt2>
      <a:accent1>
        <a:srgbClr val="006964"/>
      </a:accent1>
      <a:accent2>
        <a:srgbClr val="FF7D00"/>
      </a:accent2>
      <a:accent3>
        <a:srgbClr val="746B93"/>
      </a:accent3>
      <a:accent4>
        <a:srgbClr val="8B9742"/>
      </a:accent4>
      <a:accent5>
        <a:srgbClr val="A57082"/>
      </a:accent5>
      <a:accent6>
        <a:srgbClr val="D4A504"/>
      </a:accent6>
      <a:hlink>
        <a:srgbClr val="0000FF"/>
      </a:hlink>
      <a:folHlink>
        <a:srgbClr val="800080"/>
      </a:folHlink>
    </a:clrScheme>
    <a:fontScheme name="Miljødirektoratet">
      <a:majorFont>
        <a:latin typeface="Palatino Linotype"/>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E5398012-1281-4536-9582-A0102E604563}">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803</Words>
  <Characters>4258</Characters>
  <Application>Microsoft Office Word</Application>
  <DocSecurity>0</DocSecurity>
  <PresentationFormat/>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Miljødirektoratet</Company>
  <LinksUpToDate>false</LinksUpToDate>
  <CharactersWithSpaces>5051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Dæhli</dc:creator>
  <dc:description>Template by addpoint.no</dc:description>
  <cp:lastModifiedBy>Merete Dæhli</cp:lastModifiedBy>
  <cp:revision>7</cp:revision>
  <dcterms:created xsi:type="dcterms:W3CDTF">2018-06-25T12:27:00Z</dcterms:created>
  <dcterms:modified xsi:type="dcterms:W3CDTF">2018-06-27T12:39:00Z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MergeDataFile">
    <vt:lpwstr>C:\Users\merdah\AppData\Local\Temp\1006594_DOCX.XML</vt:lpwstr>
  </property>
  <property fmtid="{D5CDD505-2E9C-101B-9397-08002B2CF9AE}" pid="4" name="CheckInType">
    <vt:lpwstr>FromApplication</vt:lpwstr>
  </property>
  <property fmtid="{D5CDD505-2E9C-101B-9397-08002B2CF9AE}" pid="5" name="CheckInDocForm">
    <vt:lpwstr>https://ephorte01.pax.local/ephorte/shared/aspx/Default/CheckInDocForm.aspx</vt:lpwstr>
  </property>
  <property fmtid="{D5CDD505-2E9C-101B-9397-08002B2CF9AE}" pid="6" name="DokType">
    <vt:lpwstr/>
  </property>
  <property fmtid="{D5CDD505-2E9C-101B-9397-08002B2CF9AE}" pid="7" name="DokID">
    <vt:i4>845247</vt:i4>
  </property>
  <property fmtid="{D5CDD505-2E9C-101B-9397-08002B2CF9AE}" pid="8" name="Versjon">
    <vt:i4>1</vt:i4>
  </property>
  <property fmtid="{D5CDD505-2E9C-101B-9397-08002B2CF9AE}" pid="9" name="Variant">
    <vt:lpwstr>P</vt:lpwstr>
  </property>
  <property fmtid="{D5CDD505-2E9C-101B-9397-08002B2CF9AE}" pid="10" name="OpenMode">
    <vt:lpwstr>EditDoc</vt:lpwstr>
  </property>
  <property fmtid="{D5CDD505-2E9C-101B-9397-08002B2CF9AE}" pid="11" name="CurrentUrl">
    <vt:lpwstr>https%3a%2f%2fephorte01.pax.local%2fephorte%2fshared%2faspx%2fdefault%2fdetails.aspx%3ff%3dViewSA%26SA_ID%3d70747%26SubElGroup%3d32</vt:lpwstr>
  </property>
  <property fmtid="{D5CDD505-2E9C-101B-9397-08002B2CF9AE}" pid="12" name="WindowName">
    <vt:lpwstr>TabWindow1</vt:lpwstr>
  </property>
  <property fmtid="{D5CDD505-2E9C-101B-9397-08002B2CF9AE}" pid="13" name="FileName">
    <vt:lpwstr>C%3a%5cUsers%5cmerdah%5cAppData%5cLocal%5cTemp%5c1006594.DOCX</vt:lpwstr>
  </property>
  <property fmtid="{D5CDD505-2E9C-101B-9397-08002B2CF9AE}" pid="14" name="LinkId">
    <vt:i4>336450</vt:i4>
  </property>
</Properties>
</file>