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96968" w14:textId="77777777" w:rsidR="00477E0D" w:rsidRDefault="00AC0E4E" w:rsidP="00477E0D">
      <w:pPr>
        <w:pStyle w:val="Leipteksti"/>
        <w:jc w:val="left"/>
        <w:rPr>
          <w:rFonts w:ascii="Verdana" w:hAnsi="Verdana"/>
          <w:b/>
          <w:sz w:val="28"/>
          <w:szCs w:val="28"/>
        </w:rPr>
      </w:pPr>
      <w:r>
        <w:rPr>
          <w:rFonts w:eastAsiaTheme="minorHAnsi"/>
          <w:noProof/>
          <w:szCs w:val="24"/>
          <w:lang w:eastAsia="en-GB"/>
        </w:rPr>
        <mc:AlternateContent>
          <mc:Choice Requires="wps">
            <w:drawing>
              <wp:anchor distT="91440" distB="91440" distL="114300" distR="114300" simplePos="0" relativeHeight="251658240" behindDoc="0" locked="0" layoutInCell="0" allowOverlap="1" wp14:anchorId="39B96B7E" wp14:editId="39B96B7F">
                <wp:simplePos x="0" y="0"/>
                <wp:positionH relativeFrom="margin">
                  <wp:posOffset>2820670</wp:posOffset>
                </wp:positionH>
                <wp:positionV relativeFrom="margin">
                  <wp:posOffset>-18415</wp:posOffset>
                </wp:positionV>
                <wp:extent cx="2409825" cy="1341120"/>
                <wp:effectExtent l="0" t="0" r="28575" b="11430"/>
                <wp:wrapSquare wrapText="bothSides"/>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9825" cy="1341120"/>
                        </a:xfrm>
                        <a:prstGeom prst="rect">
                          <a:avLst/>
                        </a:prstGeom>
                        <a:noFill/>
                        <a:ln w="9525">
                          <a:solidFill>
                            <a:schemeClr val="tx1">
                              <a:lumMod val="50000"/>
                              <a:lumOff val="50000"/>
                            </a:schemeClr>
                          </a:solidFill>
                          <a:miter lim="800000"/>
                          <a:headEnd/>
                          <a:tailEnd/>
                        </a:ln>
                        <a:effectLst/>
                      </wps:spPr>
                      <wps:txbx>
                        <w:txbxContent>
                          <w:p w14:paraId="39B96BA6" w14:textId="2C836485" w:rsidR="00CE1B77" w:rsidRDefault="00CE1B77" w:rsidP="00AC0E4E">
                            <w:pPr>
                              <w:rPr>
                                <w:color w:val="4F81BD" w:themeColor="accent1"/>
                              </w:rPr>
                            </w:pPr>
                            <w:r>
                              <w:rPr>
                                <w:noProof/>
                                <w:color w:val="4F81BD" w:themeColor="accent1"/>
                                <w:lang w:val="fi-FI"/>
                              </w:rPr>
                              <w:drawing>
                                <wp:inline distT="0" distB="0" distL="0" distR="0" wp14:anchorId="33C850B7" wp14:editId="26CD3E32">
                                  <wp:extent cx="1283970" cy="618457"/>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3970" cy="618457"/>
                                          </a:xfrm>
                                          <a:prstGeom prst="rect">
                                            <a:avLst/>
                                          </a:prstGeom>
                                          <a:noFill/>
                                          <a:ln>
                                            <a:noFill/>
                                          </a:ln>
                                        </pic:spPr>
                                      </pic:pic>
                                    </a:graphicData>
                                  </a:graphic>
                                </wp:inline>
                              </w:drawing>
                            </w:r>
                          </w:p>
                          <w:p w14:paraId="39B96BA7" w14:textId="77777777" w:rsidR="00CE1B77" w:rsidRDefault="00CE1B77" w:rsidP="00AC0E4E">
                            <w:pPr>
                              <w:rPr>
                                <w:color w:val="4F81BD" w:themeColor="accent1"/>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39B96B7E" id="Rectangle 698" o:spid="_x0000_s1026" style="position:absolute;margin-left:222.1pt;margin-top:-1.45pt;width:189.75pt;height:105.6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" o:allowincell="f" filled="f" strokecolor="gray [1629]">
                <v:textbox inset="21.6pt,21.6pt,21.6pt,21.6pt">
                  <w:txbxContent>
                    <w:p w14:paraId="39B96BA6" w14:textId="2C836485" w:rsidR="00CE1B77" w:rsidRDefault="00CE1B77" w:rsidP="00AC0E4E">
                      <w:pPr>
                        <w:rPr>
                          <w:color w:val="4F81BD" w:themeColor="accent1"/>
                        </w:rPr>
                      </w:pPr>
                      <w:r>
                        <w:rPr>
                          <w:noProof/>
                          <w:color w:val="4F81BD" w:themeColor="accent1"/>
                          <w:lang w:val="fi-FI"/>
                        </w:rPr>
                        <w:drawing>
                          <wp:inline distT="0" distB="0" distL="0" distR="0" wp14:anchorId="33C850B7" wp14:editId="26CD3E32">
                            <wp:extent cx="1283970" cy="618457"/>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3970" cy="618457"/>
                                    </a:xfrm>
                                    <a:prstGeom prst="rect">
                                      <a:avLst/>
                                    </a:prstGeom>
                                    <a:noFill/>
                                    <a:ln>
                                      <a:noFill/>
                                    </a:ln>
                                  </pic:spPr>
                                </pic:pic>
                              </a:graphicData>
                            </a:graphic>
                          </wp:inline>
                        </w:drawing>
                      </w:r>
                    </w:p>
                    <w:p w14:paraId="39B96BA7" w14:textId="77777777" w:rsidR="00CE1B77" w:rsidRDefault="00CE1B77" w:rsidP="00AC0E4E">
                      <w:pPr>
                        <w:rPr>
                          <w:color w:val="4F81BD" w:themeColor="accent1"/>
                        </w:rPr>
                      </w:pPr>
                    </w:p>
                  </w:txbxContent>
                </v:textbox>
                <w10:wrap type="square" anchorx="margin" anchory="margin"/>
              </v:rect>
            </w:pict>
          </mc:Fallback>
        </mc:AlternateContent>
      </w:r>
    </w:p>
    <w:p w14:paraId="39B96969" w14:textId="77777777" w:rsidR="00E9111C" w:rsidRDefault="00E9111C" w:rsidP="00BD56EE">
      <w:pPr>
        <w:pStyle w:val="Leipteksti"/>
        <w:jc w:val="center"/>
        <w:rPr>
          <w:rFonts w:ascii="Verdana" w:hAnsi="Verdana"/>
          <w:b/>
          <w:sz w:val="28"/>
          <w:szCs w:val="28"/>
        </w:rPr>
      </w:pPr>
    </w:p>
    <w:p w14:paraId="39B9696A" w14:textId="77777777" w:rsidR="00E9111C" w:rsidRDefault="00E9111C" w:rsidP="00BD56EE">
      <w:pPr>
        <w:pStyle w:val="Leipteksti"/>
        <w:jc w:val="center"/>
        <w:rPr>
          <w:rFonts w:ascii="Verdana" w:hAnsi="Verdana"/>
          <w:b/>
          <w:sz w:val="28"/>
          <w:szCs w:val="28"/>
        </w:rPr>
      </w:pPr>
    </w:p>
    <w:p w14:paraId="39B9696B" w14:textId="77777777" w:rsidR="00E9111C" w:rsidRDefault="00E9111C" w:rsidP="00BD56EE">
      <w:pPr>
        <w:pStyle w:val="Leipteksti"/>
        <w:jc w:val="center"/>
        <w:rPr>
          <w:rFonts w:ascii="Verdana" w:hAnsi="Verdana"/>
          <w:b/>
          <w:sz w:val="28"/>
          <w:szCs w:val="28"/>
        </w:rPr>
      </w:pPr>
    </w:p>
    <w:p w14:paraId="39B9696C" w14:textId="77777777" w:rsidR="00E9111C" w:rsidRDefault="00E9111C" w:rsidP="00BD56EE">
      <w:pPr>
        <w:pStyle w:val="Leipteksti"/>
        <w:jc w:val="center"/>
        <w:rPr>
          <w:rFonts w:ascii="Verdana" w:hAnsi="Verdana"/>
          <w:b/>
          <w:sz w:val="28"/>
          <w:szCs w:val="28"/>
        </w:rPr>
      </w:pPr>
    </w:p>
    <w:p w14:paraId="39B9696D" w14:textId="77777777" w:rsidR="00491DA1" w:rsidRDefault="00491DA1" w:rsidP="00BD56EE">
      <w:pPr>
        <w:pStyle w:val="Leipteksti"/>
        <w:jc w:val="center"/>
        <w:rPr>
          <w:rFonts w:ascii="Verdana" w:hAnsi="Verdana"/>
          <w:b/>
          <w:sz w:val="28"/>
          <w:szCs w:val="28"/>
        </w:rPr>
      </w:pPr>
    </w:p>
    <w:p w14:paraId="39B9696E" w14:textId="77777777" w:rsidR="00BD56EE" w:rsidRPr="00AC0E4E" w:rsidRDefault="00BD56EE" w:rsidP="00BD56EE">
      <w:pPr>
        <w:pStyle w:val="Leipteksti"/>
        <w:jc w:val="center"/>
        <w:rPr>
          <w:rFonts w:ascii="Verdana" w:hAnsi="Verdana"/>
          <w:b/>
          <w:szCs w:val="24"/>
        </w:rPr>
      </w:pPr>
      <w:r w:rsidRPr="00AC0E4E">
        <w:rPr>
          <w:rFonts w:ascii="Verdana" w:hAnsi="Verdana"/>
          <w:b/>
          <w:szCs w:val="24"/>
        </w:rPr>
        <w:t>Analysis of the most appropriate risk management option (RMOA)</w:t>
      </w:r>
    </w:p>
    <w:p w14:paraId="39B9696F" w14:textId="77777777" w:rsidR="000D5311" w:rsidRDefault="000D5311" w:rsidP="00763E35">
      <w:pPr>
        <w:pStyle w:val="Leipteksti"/>
        <w:jc w:val="left"/>
        <w:rPr>
          <w:rFonts w:ascii="Verdana" w:hAnsi="Verdana"/>
          <w:b/>
          <w:sz w:val="32"/>
        </w:rPr>
      </w:pPr>
    </w:p>
    <w:p w14:paraId="39B96970" w14:textId="3592BAB0" w:rsidR="00C75A23" w:rsidRPr="00937276" w:rsidRDefault="00C75A23" w:rsidP="00C75A23">
      <w:pPr>
        <w:pStyle w:val="Leipteksti"/>
        <w:jc w:val="left"/>
        <w:rPr>
          <w:rFonts w:ascii="Verdana" w:hAnsi="Verdana"/>
          <w:sz w:val="20"/>
        </w:rPr>
      </w:pPr>
      <w:r>
        <w:rPr>
          <w:rFonts w:ascii="Verdana" w:hAnsi="Verdana"/>
          <w:b/>
          <w:sz w:val="20"/>
        </w:rPr>
        <w:t>Substance Name</w:t>
      </w:r>
      <w:r w:rsidRPr="003607CA">
        <w:rPr>
          <w:rFonts w:ascii="Verdana" w:hAnsi="Verdana"/>
          <w:b/>
          <w:sz w:val="20"/>
        </w:rPr>
        <w:t>:</w:t>
      </w:r>
      <w:r w:rsidR="00CB28F8">
        <w:rPr>
          <w:rFonts w:ascii="Verdana" w:hAnsi="Verdana"/>
          <w:b/>
          <w:sz w:val="20"/>
        </w:rPr>
        <w:t xml:space="preserve"> </w:t>
      </w:r>
      <w:bookmarkStart w:id="0" w:name="_Hlk20821019"/>
      <w:r w:rsidR="00AA3385">
        <w:rPr>
          <w:rFonts w:ascii="Verdana" w:hAnsi="Verdana"/>
          <w:b/>
          <w:sz w:val="20"/>
        </w:rPr>
        <w:t>D</w:t>
      </w:r>
      <w:r w:rsidR="00CB28F8">
        <w:rPr>
          <w:rFonts w:ascii="Verdana" w:hAnsi="Verdana"/>
          <w:b/>
          <w:sz w:val="20"/>
        </w:rPr>
        <w:t xml:space="preserve">ibenzylbenzene, </w:t>
      </w:r>
      <w:proofErr w:type="spellStart"/>
      <w:r w:rsidR="00CB28F8">
        <w:rPr>
          <w:rFonts w:ascii="Verdana" w:hAnsi="Verdana"/>
          <w:b/>
          <w:sz w:val="20"/>
        </w:rPr>
        <w:t>ar</w:t>
      </w:r>
      <w:proofErr w:type="spellEnd"/>
      <w:r w:rsidR="00CB28F8">
        <w:rPr>
          <w:rFonts w:ascii="Verdana" w:hAnsi="Verdana"/>
          <w:b/>
          <w:sz w:val="20"/>
        </w:rPr>
        <w:t>-methyl derivat</w:t>
      </w:r>
      <w:r w:rsidR="00B57F3A">
        <w:rPr>
          <w:rFonts w:ascii="Verdana" w:hAnsi="Verdana"/>
          <w:b/>
          <w:sz w:val="20"/>
        </w:rPr>
        <w:t>iv</w:t>
      </w:r>
      <w:r w:rsidR="00CB28F8">
        <w:rPr>
          <w:rFonts w:ascii="Verdana" w:hAnsi="Verdana"/>
          <w:b/>
          <w:sz w:val="20"/>
        </w:rPr>
        <w:t>e</w:t>
      </w:r>
      <w:bookmarkEnd w:id="0"/>
    </w:p>
    <w:p w14:paraId="39B96971" w14:textId="7C438165" w:rsidR="00C75A23" w:rsidRPr="00937276" w:rsidRDefault="00C75A23" w:rsidP="00C75A23">
      <w:pPr>
        <w:pStyle w:val="Leipteksti"/>
        <w:jc w:val="left"/>
        <w:rPr>
          <w:rFonts w:ascii="Verdana" w:hAnsi="Verdana"/>
          <w:sz w:val="20"/>
        </w:rPr>
      </w:pPr>
      <w:r w:rsidRPr="003607CA">
        <w:rPr>
          <w:rFonts w:ascii="Verdana" w:hAnsi="Verdana"/>
          <w:b/>
          <w:sz w:val="20"/>
        </w:rPr>
        <w:t>EC Number:</w:t>
      </w:r>
      <w:r w:rsidR="00CB28F8">
        <w:rPr>
          <w:rFonts w:ascii="Verdana" w:hAnsi="Verdana"/>
          <w:b/>
          <w:sz w:val="20"/>
        </w:rPr>
        <w:t xml:space="preserve"> 258-649-2</w:t>
      </w:r>
    </w:p>
    <w:p w14:paraId="39B96972" w14:textId="5B8CED4B" w:rsidR="00C75A23" w:rsidRDefault="00C75A23" w:rsidP="00C75A23">
      <w:pPr>
        <w:pStyle w:val="Leipteksti"/>
        <w:jc w:val="left"/>
        <w:rPr>
          <w:rFonts w:ascii="Verdana" w:hAnsi="Verdana"/>
          <w:b/>
          <w:sz w:val="20"/>
        </w:rPr>
      </w:pPr>
      <w:r w:rsidRPr="003607CA">
        <w:rPr>
          <w:rFonts w:ascii="Verdana" w:hAnsi="Verdana"/>
          <w:b/>
          <w:sz w:val="20"/>
        </w:rPr>
        <w:t>CAS Number:</w:t>
      </w:r>
      <w:r w:rsidR="00CB28F8">
        <w:rPr>
          <w:rFonts w:ascii="Verdana" w:hAnsi="Verdana"/>
          <w:b/>
          <w:sz w:val="20"/>
        </w:rPr>
        <w:t xml:space="preserve"> 53585-53-8</w:t>
      </w:r>
    </w:p>
    <w:p w14:paraId="4F2B440E" w14:textId="77777777" w:rsidR="00CB28F8" w:rsidRDefault="00CB28F8" w:rsidP="00C75A23">
      <w:pPr>
        <w:pStyle w:val="Leipteksti"/>
        <w:jc w:val="left"/>
        <w:rPr>
          <w:rFonts w:ascii="Verdana" w:hAnsi="Verdana"/>
          <w:b/>
          <w:sz w:val="20"/>
        </w:rPr>
      </w:pPr>
    </w:p>
    <w:p w14:paraId="4E55A653" w14:textId="77777777" w:rsidR="00F661B2" w:rsidRDefault="00CB28F8" w:rsidP="00CB28F8">
      <w:pPr>
        <w:pStyle w:val="Leipteksti"/>
        <w:jc w:val="left"/>
        <w:rPr>
          <w:rFonts w:ascii="Verdana" w:hAnsi="Verdana"/>
          <w:b/>
          <w:sz w:val="20"/>
        </w:rPr>
      </w:pPr>
      <w:r>
        <w:rPr>
          <w:rFonts w:ascii="Verdana" w:hAnsi="Verdana"/>
          <w:b/>
          <w:sz w:val="20"/>
        </w:rPr>
        <w:t>Substance Name</w:t>
      </w:r>
      <w:r w:rsidRPr="003607CA">
        <w:rPr>
          <w:rFonts w:ascii="Verdana" w:hAnsi="Verdana"/>
          <w:b/>
          <w:sz w:val="20"/>
        </w:rPr>
        <w:t>:</w:t>
      </w:r>
      <w:r>
        <w:rPr>
          <w:rFonts w:ascii="Verdana" w:hAnsi="Verdana"/>
          <w:b/>
          <w:sz w:val="20"/>
        </w:rPr>
        <w:t xml:space="preserve"> </w:t>
      </w:r>
      <w:bookmarkStart w:id="1" w:name="_Hlk20821027"/>
      <w:r w:rsidR="00F661B2" w:rsidRPr="00702711">
        <w:rPr>
          <w:rFonts w:ascii="Verdana" w:hAnsi="Verdana" w:cs="Verdana"/>
          <w:b/>
          <w:color w:val="000000" w:themeColor="text1"/>
          <w:sz w:val="20"/>
          <w:lang w:val="en-US" w:eastAsia="en-GB"/>
        </w:rPr>
        <w:t>6-(1-phenylethyl)-1,2,3,4-tetrahydronaphthalene</w:t>
      </w:r>
      <w:r w:rsidR="00F661B2" w:rsidDel="00F661B2">
        <w:rPr>
          <w:rFonts w:ascii="Verdana" w:hAnsi="Verdana"/>
          <w:b/>
          <w:sz w:val="20"/>
        </w:rPr>
        <w:t xml:space="preserve"> </w:t>
      </w:r>
    </w:p>
    <w:bookmarkEnd w:id="1"/>
    <w:p w14:paraId="1217E4D0" w14:textId="32DC73DD" w:rsidR="00CB28F8" w:rsidRPr="00937276" w:rsidRDefault="00CB28F8" w:rsidP="00CB28F8">
      <w:pPr>
        <w:pStyle w:val="Leipteksti"/>
        <w:jc w:val="left"/>
        <w:rPr>
          <w:rFonts w:ascii="Verdana" w:hAnsi="Verdana"/>
          <w:sz w:val="20"/>
        </w:rPr>
      </w:pPr>
      <w:r w:rsidRPr="003607CA">
        <w:rPr>
          <w:rFonts w:ascii="Verdana" w:hAnsi="Verdana"/>
          <w:b/>
          <w:sz w:val="20"/>
        </w:rPr>
        <w:t>EC Number:</w:t>
      </w:r>
      <w:r>
        <w:rPr>
          <w:rFonts w:ascii="Verdana" w:hAnsi="Verdana"/>
          <w:b/>
          <w:sz w:val="20"/>
        </w:rPr>
        <w:t xml:space="preserve"> 400-370-7</w:t>
      </w:r>
    </w:p>
    <w:p w14:paraId="39B1B2D0" w14:textId="25483F52" w:rsidR="00CB28F8" w:rsidRPr="00937276" w:rsidRDefault="00CB28F8" w:rsidP="00CB28F8">
      <w:pPr>
        <w:pStyle w:val="Leipteksti"/>
        <w:jc w:val="left"/>
        <w:rPr>
          <w:rFonts w:ascii="Verdana" w:hAnsi="Verdana"/>
          <w:sz w:val="32"/>
        </w:rPr>
      </w:pPr>
      <w:r w:rsidRPr="003607CA">
        <w:rPr>
          <w:rFonts w:ascii="Verdana" w:hAnsi="Verdana"/>
          <w:b/>
          <w:sz w:val="20"/>
        </w:rPr>
        <w:t>CAS Number:</w:t>
      </w:r>
      <w:r w:rsidR="00F661B2">
        <w:rPr>
          <w:rFonts w:ascii="Verdana" w:hAnsi="Verdana"/>
          <w:b/>
          <w:sz w:val="20"/>
        </w:rPr>
        <w:t xml:space="preserve"> </w:t>
      </w:r>
    </w:p>
    <w:p w14:paraId="4346E22B" w14:textId="77777777" w:rsidR="00CB28F8" w:rsidRPr="00937276" w:rsidRDefault="00CB28F8" w:rsidP="00C75A23">
      <w:pPr>
        <w:pStyle w:val="Leipteksti"/>
        <w:jc w:val="left"/>
        <w:rPr>
          <w:rFonts w:ascii="Verdana" w:hAnsi="Verdana"/>
          <w:sz w:val="32"/>
        </w:rPr>
      </w:pPr>
    </w:p>
    <w:p w14:paraId="39B96973" w14:textId="77777777" w:rsidR="00C75A23" w:rsidRDefault="00C75A23" w:rsidP="00C75A23">
      <w:pPr>
        <w:pStyle w:val="Leipteksti"/>
        <w:jc w:val="left"/>
        <w:rPr>
          <w:rFonts w:ascii="Verdana" w:hAnsi="Verdana"/>
          <w:b/>
          <w:sz w:val="32"/>
        </w:rPr>
      </w:pPr>
    </w:p>
    <w:p w14:paraId="39B96974" w14:textId="50CC888E" w:rsidR="00C75A23" w:rsidRDefault="00C75A23" w:rsidP="00C75A23">
      <w:pPr>
        <w:pStyle w:val="Leipteksti"/>
        <w:jc w:val="left"/>
        <w:rPr>
          <w:rFonts w:ascii="Verdana" w:hAnsi="Verdana"/>
          <w:b/>
          <w:sz w:val="32"/>
        </w:rPr>
      </w:pPr>
      <w:r w:rsidRPr="006119A2">
        <w:rPr>
          <w:rFonts w:ascii="Verdana" w:hAnsi="Verdana"/>
          <w:b/>
          <w:sz w:val="20"/>
        </w:rPr>
        <w:t>Authority:</w:t>
      </w:r>
      <w:r w:rsidR="00EE064A">
        <w:rPr>
          <w:rFonts w:ascii="Verdana" w:hAnsi="Verdana"/>
          <w:b/>
          <w:sz w:val="20"/>
        </w:rPr>
        <w:t xml:space="preserve"> Finland</w:t>
      </w:r>
    </w:p>
    <w:p w14:paraId="39B96975" w14:textId="4D7D0BE5" w:rsidR="00C75A23" w:rsidRDefault="00C75A23" w:rsidP="00C75A23">
      <w:pPr>
        <w:pStyle w:val="Leipteksti"/>
        <w:jc w:val="left"/>
        <w:rPr>
          <w:rFonts w:ascii="Verdana" w:hAnsi="Verdana"/>
          <w:b/>
          <w:sz w:val="20"/>
        </w:rPr>
      </w:pPr>
      <w:r w:rsidRPr="003607CA">
        <w:rPr>
          <w:rFonts w:ascii="Verdana" w:hAnsi="Verdana"/>
          <w:b/>
          <w:sz w:val="20"/>
        </w:rPr>
        <w:t>Date:</w:t>
      </w:r>
      <w:r w:rsidR="00EE064A">
        <w:rPr>
          <w:rFonts w:ascii="Verdana" w:hAnsi="Verdana"/>
          <w:b/>
          <w:sz w:val="20"/>
        </w:rPr>
        <w:t xml:space="preserve"> </w:t>
      </w:r>
      <w:r w:rsidR="0042302F">
        <w:rPr>
          <w:rFonts w:ascii="Verdana" w:hAnsi="Verdana"/>
          <w:b/>
          <w:sz w:val="20"/>
        </w:rPr>
        <w:t>24</w:t>
      </w:r>
      <w:r w:rsidR="00721BB4">
        <w:rPr>
          <w:rFonts w:ascii="Verdana" w:hAnsi="Verdana"/>
          <w:b/>
          <w:sz w:val="20"/>
        </w:rPr>
        <w:t xml:space="preserve"> </w:t>
      </w:r>
      <w:r w:rsidR="0042302F">
        <w:rPr>
          <w:rFonts w:ascii="Verdana" w:hAnsi="Verdana"/>
          <w:b/>
          <w:sz w:val="20"/>
        </w:rPr>
        <w:t>Februar</w:t>
      </w:r>
      <w:r w:rsidR="00721BB4">
        <w:rPr>
          <w:rFonts w:ascii="Verdana" w:hAnsi="Verdana"/>
          <w:b/>
          <w:sz w:val="20"/>
        </w:rPr>
        <w:t>y 2020</w:t>
      </w:r>
    </w:p>
    <w:p w14:paraId="39B96976" w14:textId="77777777" w:rsidR="00BD56EE" w:rsidRDefault="00BD56EE" w:rsidP="00763E35">
      <w:pPr>
        <w:spacing w:after="0"/>
        <w:rPr>
          <w:rFonts w:ascii="Verdana" w:hAnsi="Verdana"/>
          <w:b/>
          <w:bCs/>
          <w:sz w:val="20"/>
          <w:szCs w:val="20"/>
          <w:lang w:val="en-GB" w:eastAsia="en-GB"/>
        </w:rPr>
      </w:pPr>
    </w:p>
    <w:p w14:paraId="39B96977" w14:textId="77777777" w:rsidR="00C75A23" w:rsidRDefault="00C75A23" w:rsidP="00763E35">
      <w:pPr>
        <w:spacing w:after="0"/>
        <w:rPr>
          <w:rFonts w:ascii="Verdana" w:hAnsi="Verdana"/>
          <w:b/>
          <w:bCs/>
          <w:sz w:val="20"/>
          <w:szCs w:val="20"/>
          <w:lang w:val="en-GB" w:eastAsia="en-GB"/>
        </w:rPr>
      </w:pPr>
    </w:p>
    <w:p w14:paraId="39B96978" w14:textId="77777777" w:rsidR="00C75A23" w:rsidRDefault="00C75A23" w:rsidP="00763E35">
      <w:pPr>
        <w:spacing w:after="0"/>
        <w:rPr>
          <w:rFonts w:ascii="Verdana" w:hAnsi="Verdana"/>
          <w:b/>
          <w:bCs/>
          <w:sz w:val="20"/>
          <w:szCs w:val="20"/>
          <w:lang w:val="en-GB" w:eastAsia="en-GB"/>
        </w:rPr>
      </w:pPr>
    </w:p>
    <w:p w14:paraId="39B96979" w14:textId="77777777" w:rsidR="003D15D1" w:rsidRDefault="003D15D1" w:rsidP="00763E35">
      <w:pPr>
        <w:spacing w:after="0"/>
        <w:rPr>
          <w:rFonts w:ascii="Verdana" w:hAnsi="Verdana"/>
          <w:b/>
          <w:bCs/>
          <w:sz w:val="20"/>
          <w:szCs w:val="20"/>
          <w:lang w:val="en-GB" w:eastAsia="en-GB"/>
        </w:rPr>
      </w:pPr>
    </w:p>
    <w:p w14:paraId="39B9697A" w14:textId="77777777" w:rsidR="003D15D1" w:rsidRDefault="003D15D1" w:rsidP="00763E35">
      <w:pPr>
        <w:spacing w:after="0"/>
        <w:rPr>
          <w:rFonts w:ascii="Verdana" w:hAnsi="Verdana"/>
          <w:b/>
          <w:bCs/>
          <w:sz w:val="20"/>
          <w:szCs w:val="20"/>
          <w:lang w:val="en-GB" w:eastAsia="en-GB"/>
        </w:rPr>
      </w:pPr>
    </w:p>
    <w:p w14:paraId="39B9697B" w14:textId="77777777" w:rsidR="003D15D1" w:rsidRDefault="003D15D1" w:rsidP="00763E35">
      <w:pPr>
        <w:spacing w:after="0"/>
        <w:rPr>
          <w:rFonts w:ascii="Verdana" w:hAnsi="Verdana"/>
          <w:b/>
          <w:bCs/>
          <w:sz w:val="20"/>
          <w:szCs w:val="20"/>
          <w:lang w:val="en-GB" w:eastAsia="en-GB"/>
        </w:rPr>
      </w:pPr>
    </w:p>
    <w:p w14:paraId="39B9697C" w14:textId="77777777" w:rsidR="003D15D1" w:rsidRDefault="003D15D1" w:rsidP="00763E35">
      <w:pPr>
        <w:spacing w:after="0"/>
        <w:rPr>
          <w:rFonts w:ascii="Verdana" w:hAnsi="Verdana"/>
          <w:b/>
          <w:bCs/>
          <w:sz w:val="20"/>
          <w:szCs w:val="20"/>
          <w:lang w:val="en-GB" w:eastAsia="en-GB"/>
        </w:rPr>
      </w:pPr>
    </w:p>
    <w:p w14:paraId="39B9697D" w14:textId="77777777" w:rsidR="00EB2016" w:rsidRDefault="00EB2016" w:rsidP="00763E35">
      <w:pPr>
        <w:spacing w:after="0"/>
        <w:rPr>
          <w:rFonts w:ascii="Verdana" w:hAnsi="Verdana"/>
          <w:b/>
          <w:bCs/>
          <w:sz w:val="20"/>
          <w:szCs w:val="20"/>
          <w:lang w:val="en-GB" w:eastAsia="en-GB"/>
        </w:rPr>
      </w:pPr>
    </w:p>
    <w:p w14:paraId="39B9697E" w14:textId="79BEF535" w:rsidR="00EB2016" w:rsidRDefault="00EB2016" w:rsidP="00763E35">
      <w:pPr>
        <w:spacing w:after="0"/>
        <w:rPr>
          <w:rFonts w:ascii="Verdana" w:hAnsi="Verdana"/>
          <w:b/>
          <w:bCs/>
          <w:sz w:val="20"/>
          <w:szCs w:val="20"/>
          <w:lang w:val="en-GB" w:eastAsia="en-GB"/>
        </w:rPr>
      </w:pPr>
    </w:p>
    <w:p w14:paraId="2DD1F3A8" w14:textId="6A7D422E" w:rsidR="008A3490" w:rsidRDefault="008A3490" w:rsidP="00763E35">
      <w:pPr>
        <w:spacing w:after="0"/>
        <w:rPr>
          <w:rFonts w:ascii="Verdana" w:hAnsi="Verdana"/>
          <w:b/>
          <w:bCs/>
          <w:sz w:val="20"/>
          <w:szCs w:val="20"/>
          <w:lang w:val="en-GB" w:eastAsia="en-GB"/>
        </w:rPr>
      </w:pPr>
    </w:p>
    <w:p w14:paraId="6260C9DB" w14:textId="362CCD05" w:rsidR="008A3490" w:rsidRDefault="008A3490" w:rsidP="00763E35">
      <w:pPr>
        <w:spacing w:after="0"/>
        <w:rPr>
          <w:rFonts w:ascii="Verdana" w:hAnsi="Verdana"/>
          <w:b/>
          <w:bCs/>
          <w:sz w:val="20"/>
          <w:szCs w:val="20"/>
          <w:lang w:val="en-GB" w:eastAsia="en-GB"/>
        </w:rPr>
      </w:pPr>
    </w:p>
    <w:p w14:paraId="6FC21952" w14:textId="523BC526" w:rsidR="008A3490" w:rsidRDefault="008A3490" w:rsidP="00763E35">
      <w:pPr>
        <w:spacing w:after="0"/>
        <w:rPr>
          <w:rFonts w:ascii="Verdana" w:hAnsi="Verdana"/>
          <w:b/>
          <w:bCs/>
          <w:sz w:val="20"/>
          <w:szCs w:val="20"/>
          <w:lang w:val="en-GB" w:eastAsia="en-GB"/>
        </w:rPr>
      </w:pPr>
    </w:p>
    <w:p w14:paraId="5A072B2E" w14:textId="60105E86" w:rsidR="00721BB4" w:rsidRDefault="00721BB4" w:rsidP="00763E35">
      <w:pPr>
        <w:spacing w:after="0"/>
        <w:rPr>
          <w:rFonts w:ascii="Verdana" w:hAnsi="Verdana"/>
          <w:b/>
          <w:bCs/>
          <w:sz w:val="20"/>
          <w:szCs w:val="20"/>
          <w:lang w:val="en-GB" w:eastAsia="en-GB"/>
        </w:rPr>
      </w:pPr>
    </w:p>
    <w:p w14:paraId="6F071A36" w14:textId="77777777" w:rsidR="00721BB4" w:rsidRDefault="00721BB4" w:rsidP="00763E35">
      <w:pPr>
        <w:spacing w:after="0"/>
        <w:rPr>
          <w:rFonts w:ascii="Verdana" w:hAnsi="Verdana"/>
          <w:b/>
          <w:bCs/>
          <w:sz w:val="20"/>
          <w:szCs w:val="20"/>
          <w:lang w:val="en-GB" w:eastAsia="en-GB"/>
        </w:rPr>
      </w:pPr>
    </w:p>
    <w:p w14:paraId="66CE0B1F" w14:textId="098D9ACD" w:rsidR="008A3490" w:rsidRDefault="008A3490" w:rsidP="00763E35">
      <w:pPr>
        <w:spacing w:after="0"/>
        <w:rPr>
          <w:rFonts w:ascii="Verdana" w:hAnsi="Verdana"/>
          <w:b/>
          <w:bCs/>
          <w:sz w:val="20"/>
          <w:szCs w:val="20"/>
          <w:lang w:val="en-GB" w:eastAsia="en-GB"/>
        </w:rPr>
      </w:pPr>
    </w:p>
    <w:p w14:paraId="18786B97" w14:textId="5EC42D69" w:rsidR="008A3490" w:rsidRDefault="008A3490" w:rsidP="00763E35">
      <w:pPr>
        <w:spacing w:after="0"/>
        <w:rPr>
          <w:rFonts w:ascii="Verdana" w:hAnsi="Verdana"/>
          <w:b/>
          <w:bCs/>
          <w:sz w:val="20"/>
          <w:szCs w:val="20"/>
          <w:lang w:val="en-GB" w:eastAsia="en-GB"/>
        </w:rPr>
      </w:pPr>
    </w:p>
    <w:p w14:paraId="270EFFC5" w14:textId="77777777" w:rsidR="008A3490" w:rsidRDefault="008A3490" w:rsidP="00763E35">
      <w:pPr>
        <w:spacing w:after="0"/>
        <w:rPr>
          <w:rFonts w:ascii="Verdana" w:hAnsi="Verdana"/>
          <w:b/>
          <w:bCs/>
          <w:sz w:val="20"/>
          <w:szCs w:val="20"/>
          <w:lang w:val="en-GB" w:eastAsia="en-GB"/>
        </w:rPr>
      </w:pPr>
    </w:p>
    <w:p w14:paraId="39B9697F" w14:textId="77777777" w:rsidR="00C75A23" w:rsidRDefault="00C75A23" w:rsidP="00763E35">
      <w:pPr>
        <w:spacing w:after="0"/>
        <w:rPr>
          <w:rFonts w:ascii="Verdana" w:hAnsi="Verdana"/>
          <w:b/>
          <w:bCs/>
          <w:sz w:val="20"/>
          <w:szCs w:val="20"/>
          <w:lang w:val="en-GB" w:eastAsia="en-GB"/>
        </w:rPr>
      </w:pPr>
    </w:p>
    <w:p w14:paraId="39B96980" w14:textId="77777777" w:rsidR="00BD56EE" w:rsidRDefault="003D15D1" w:rsidP="003D15D1">
      <w:pPr>
        <w:spacing w:after="0"/>
        <w:jc w:val="center"/>
        <w:rPr>
          <w:rFonts w:ascii="Verdana" w:hAnsi="Verdana"/>
          <w:b/>
          <w:bCs/>
          <w:sz w:val="20"/>
          <w:szCs w:val="20"/>
          <w:lang w:val="en-GB" w:eastAsia="en-GB"/>
        </w:rPr>
      </w:pPr>
      <w:r>
        <w:rPr>
          <w:rFonts w:ascii="Verdana" w:hAnsi="Verdana"/>
          <w:b/>
          <w:bCs/>
          <w:sz w:val="20"/>
          <w:szCs w:val="20"/>
          <w:lang w:val="en-GB" w:eastAsia="en-GB"/>
        </w:rPr>
        <w:lastRenderedPageBreak/>
        <w:t xml:space="preserve">Cover </w:t>
      </w:r>
      <w:r w:rsidRPr="008B0CF8">
        <w:rPr>
          <w:rFonts w:ascii="Verdana" w:hAnsi="Verdana"/>
          <w:b/>
          <w:bCs/>
          <w:sz w:val="20"/>
          <w:szCs w:val="20"/>
          <w:lang w:val="en-GB" w:eastAsia="en-GB"/>
        </w:rPr>
        <w:t>Note</w:t>
      </w:r>
    </w:p>
    <w:p w14:paraId="575F492C" w14:textId="7D870535" w:rsidR="00031F03" w:rsidRDefault="00031F03" w:rsidP="003D15D1">
      <w:pPr>
        <w:spacing w:after="0"/>
        <w:jc w:val="both"/>
        <w:rPr>
          <w:rFonts w:ascii="Verdana" w:hAnsi="Verdana"/>
          <w:i/>
          <w:sz w:val="20"/>
          <w:szCs w:val="20"/>
          <w:lang w:val="en-GB" w:eastAsia="en-GB"/>
        </w:rPr>
      </w:pPr>
    </w:p>
    <w:p w14:paraId="3FDFB57E" w14:textId="2ADC15AE" w:rsidR="00031F03" w:rsidRPr="004A41BD" w:rsidRDefault="004A41BD" w:rsidP="003D15D1">
      <w:pPr>
        <w:spacing w:after="0"/>
        <w:jc w:val="both"/>
        <w:rPr>
          <w:rFonts w:ascii="Verdana" w:hAnsi="Verdana"/>
          <w:sz w:val="20"/>
          <w:szCs w:val="20"/>
        </w:rPr>
      </w:pPr>
      <w:bookmarkStart w:id="2" w:name="_Hlk30774524"/>
      <w:r w:rsidRPr="002617F5">
        <w:rPr>
          <w:rFonts w:ascii="Verdana" w:hAnsi="Verdana"/>
          <w:sz w:val="20"/>
        </w:rPr>
        <w:t xml:space="preserve">The RMOA is part of a functional grouping approach for high temperature, non-pressurised heat transfer fluids, which might be used as </w:t>
      </w:r>
      <w:r>
        <w:rPr>
          <w:rFonts w:ascii="Verdana" w:hAnsi="Verdana"/>
          <w:sz w:val="20"/>
        </w:rPr>
        <w:t>substitutes</w:t>
      </w:r>
      <w:r w:rsidRPr="002617F5">
        <w:rPr>
          <w:rFonts w:ascii="Verdana" w:hAnsi="Verdana"/>
          <w:sz w:val="20"/>
        </w:rPr>
        <w:t xml:space="preserve"> </w:t>
      </w:r>
      <w:r>
        <w:rPr>
          <w:rFonts w:ascii="Verdana" w:hAnsi="Verdana"/>
          <w:sz w:val="20"/>
        </w:rPr>
        <w:t>for</w:t>
      </w:r>
      <w:r w:rsidRPr="002617F5">
        <w:rPr>
          <w:rFonts w:ascii="Verdana" w:hAnsi="Verdana"/>
          <w:sz w:val="20"/>
        </w:rPr>
        <w:t xml:space="preserve"> SVHC</w:t>
      </w:r>
      <w:r>
        <w:rPr>
          <w:rFonts w:ascii="Verdana" w:hAnsi="Verdana"/>
          <w:sz w:val="20"/>
        </w:rPr>
        <w:t xml:space="preserve"> </w:t>
      </w:r>
      <w:r w:rsidRPr="002617F5">
        <w:rPr>
          <w:rFonts w:ascii="Verdana" w:hAnsi="Verdana"/>
          <w:sz w:val="20"/>
        </w:rPr>
        <w:t>identified substance terphenyl, hydrogenated (EC 262-967-7).</w:t>
      </w:r>
      <w:r>
        <w:rPr>
          <w:rFonts w:ascii="Verdana" w:hAnsi="Verdana"/>
          <w:sz w:val="22"/>
        </w:rPr>
        <w:t xml:space="preserve"> </w:t>
      </w:r>
      <w:r>
        <w:rPr>
          <w:rFonts w:ascii="Verdana" w:hAnsi="Verdana"/>
          <w:sz w:val="20"/>
          <w:szCs w:val="20"/>
        </w:rPr>
        <w:t xml:space="preserve">Terphenyl, hydrogenated was included in the Candidate list </w:t>
      </w:r>
      <w:r w:rsidR="00307383">
        <w:rPr>
          <w:rFonts w:ascii="Verdana" w:hAnsi="Verdana"/>
          <w:sz w:val="20"/>
          <w:szCs w:val="20"/>
        </w:rPr>
        <w:t>2018 for being very persistent and very bioaccumulative (</w:t>
      </w:r>
      <w:proofErr w:type="spellStart"/>
      <w:r w:rsidR="00307383">
        <w:rPr>
          <w:rFonts w:ascii="Verdana" w:hAnsi="Verdana"/>
          <w:sz w:val="20"/>
          <w:szCs w:val="20"/>
        </w:rPr>
        <w:t>vPvB</w:t>
      </w:r>
      <w:proofErr w:type="spellEnd"/>
      <w:r w:rsidR="00307383">
        <w:rPr>
          <w:rFonts w:ascii="Verdana" w:hAnsi="Verdana"/>
          <w:sz w:val="20"/>
          <w:szCs w:val="20"/>
        </w:rPr>
        <w:t>)</w:t>
      </w:r>
      <w:r w:rsidR="00C91C28">
        <w:rPr>
          <w:rFonts w:ascii="Verdana" w:hAnsi="Verdana"/>
          <w:sz w:val="20"/>
          <w:szCs w:val="20"/>
        </w:rPr>
        <w:t>.</w:t>
      </w:r>
      <w:r w:rsidR="00307383">
        <w:rPr>
          <w:rFonts w:ascii="Verdana" w:hAnsi="Verdana"/>
          <w:sz w:val="20"/>
          <w:szCs w:val="20"/>
        </w:rPr>
        <w:t xml:space="preserve"> </w:t>
      </w:r>
    </w:p>
    <w:p w14:paraId="0139C713" w14:textId="2096C2B3" w:rsidR="004A41BD" w:rsidRDefault="004A41BD" w:rsidP="003D15D1">
      <w:pPr>
        <w:spacing w:after="0"/>
        <w:jc w:val="both"/>
        <w:rPr>
          <w:rFonts w:ascii="Verdana" w:hAnsi="Verdana"/>
          <w:sz w:val="20"/>
        </w:rPr>
      </w:pPr>
    </w:p>
    <w:p w14:paraId="7BBB26B6" w14:textId="39497E26" w:rsidR="004A41BD" w:rsidRDefault="004A41BD" w:rsidP="004A41BD">
      <w:pPr>
        <w:pStyle w:val="Leipteksti"/>
        <w:spacing w:after="0"/>
        <w:rPr>
          <w:rFonts w:ascii="Verdana" w:hAnsi="Verdana"/>
          <w:sz w:val="20"/>
        </w:rPr>
      </w:pPr>
      <w:r>
        <w:rPr>
          <w:rFonts w:ascii="Verdana" w:hAnsi="Verdana"/>
          <w:sz w:val="20"/>
        </w:rPr>
        <w:t xml:space="preserve">The </w:t>
      </w:r>
      <w:r w:rsidR="00307383">
        <w:rPr>
          <w:rFonts w:ascii="Verdana" w:hAnsi="Verdana"/>
          <w:sz w:val="20"/>
        </w:rPr>
        <w:t>potential substitution candidates</w:t>
      </w:r>
      <w:r w:rsidR="00C91C28">
        <w:rPr>
          <w:rFonts w:ascii="Verdana" w:hAnsi="Verdana"/>
          <w:sz w:val="20"/>
        </w:rPr>
        <w:t xml:space="preserve"> in this RMOA</w:t>
      </w:r>
      <w:r w:rsidR="00883F6A">
        <w:rPr>
          <w:rFonts w:ascii="Verdana" w:hAnsi="Verdana"/>
          <w:sz w:val="20"/>
        </w:rPr>
        <w:t xml:space="preserve"> – </w:t>
      </w:r>
      <w:r w:rsidR="00307383" w:rsidRPr="00307383">
        <w:rPr>
          <w:rFonts w:ascii="Verdana" w:hAnsi="Verdana"/>
          <w:sz w:val="20"/>
        </w:rPr>
        <w:t xml:space="preserve">dibenzylbenzene, </w:t>
      </w:r>
      <w:proofErr w:type="spellStart"/>
      <w:r w:rsidR="00307383" w:rsidRPr="00307383">
        <w:rPr>
          <w:rFonts w:ascii="Verdana" w:hAnsi="Verdana"/>
          <w:sz w:val="20"/>
        </w:rPr>
        <w:t>ar</w:t>
      </w:r>
      <w:proofErr w:type="spellEnd"/>
      <w:r w:rsidR="00307383" w:rsidRPr="00307383">
        <w:rPr>
          <w:rFonts w:ascii="Verdana" w:hAnsi="Verdana"/>
          <w:sz w:val="20"/>
        </w:rPr>
        <w:t>-methyl derivative</w:t>
      </w:r>
      <w:r w:rsidR="00307383">
        <w:rPr>
          <w:rFonts w:ascii="Verdana" w:hAnsi="Verdana"/>
          <w:sz w:val="20"/>
        </w:rPr>
        <w:t xml:space="preserve"> and </w:t>
      </w:r>
      <w:r w:rsidR="00307383" w:rsidRPr="00307383">
        <w:rPr>
          <w:rFonts w:ascii="Verdana" w:hAnsi="Verdana"/>
          <w:sz w:val="20"/>
        </w:rPr>
        <w:t>6-(1-phenylethyl)-1,2,3,4-tetrahydronaphthalene</w:t>
      </w:r>
      <w:r w:rsidR="00883F6A">
        <w:rPr>
          <w:rFonts w:ascii="Verdana" w:hAnsi="Verdana"/>
          <w:sz w:val="20"/>
        </w:rPr>
        <w:t xml:space="preserve"> –</w:t>
      </w:r>
      <w:r>
        <w:rPr>
          <w:rFonts w:ascii="Verdana" w:hAnsi="Verdana"/>
          <w:sz w:val="20"/>
        </w:rPr>
        <w:t xml:space="preserve"> share also similar use as heat transfer fluid as terphenyl, hydrogenated, thus,</w:t>
      </w:r>
      <w:r w:rsidR="00307383">
        <w:rPr>
          <w:rFonts w:ascii="Verdana" w:hAnsi="Verdana"/>
          <w:sz w:val="20"/>
        </w:rPr>
        <w:t xml:space="preserve"> they</w:t>
      </w:r>
      <w:r>
        <w:rPr>
          <w:rFonts w:ascii="Verdana" w:hAnsi="Verdana"/>
          <w:sz w:val="20"/>
        </w:rPr>
        <w:t xml:space="preserve"> could be direct substitute</w:t>
      </w:r>
      <w:r w:rsidR="00307383">
        <w:rPr>
          <w:rFonts w:ascii="Verdana" w:hAnsi="Verdana"/>
          <w:sz w:val="20"/>
        </w:rPr>
        <w:t>s</w:t>
      </w:r>
      <w:r>
        <w:rPr>
          <w:rFonts w:ascii="Verdana" w:hAnsi="Verdana"/>
          <w:sz w:val="20"/>
        </w:rPr>
        <w:t xml:space="preserve"> for terphenyl, hydrogenated in specific high temperature, non-pressurised heat transfer systems. Based on the screening level information the</w:t>
      </w:r>
      <w:r w:rsidR="00307383">
        <w:rPr>
          <w:rFonts w:ascii="Verdana" w:hAnsi="Verdana"/>
          <w:sz w:val="20"/>
        </w:rPr>
        <w:t>se</w:t>
      </w:r>
      <w:r>
        <w:rPr>
          <w:rFonts w:ascii="Verdana" w:hAnsi="Verdana"/>
          <w:sz w:val="20"/>
        </w:rPr>
        <w:t xml:space="preserve"> substance</w:t>
      </w:r>
      <w:r w:rsidR="00307383">
        <w:rPr>
          <w:rFonts w:ascii="Verdana" w:hAnsi="Verdana"/>
          <w:sz w:val="20"/>
        </w:rPr>
        <w:t>s</w:t>
      </w:r>
      <w:r>
        <w:rPr>
          <w:rFonts w:ascii="Verdana" w:hAnsi="Verdana"/>
          <w:sz w:val="20"/>
        </w:rPr>
        <w:t xml:space="preserve"> might have similar PBT/</w:t>
      </w:r>
      <w:proofErr w:type="spellStart"/>
      <w:r>
        <w:rPr>
          <w:rFonts w:ascii="Verdana" w:hAnsi="Verdana"/>
          <w:sz w:val="20"/>
        </w:rPr>
        <w:t>vPvB</w:t>
      </w:r>
      <w:proofErr w:type="spellEnd"/>
      <w:r>
        <w:rPr>
          <w:rFonts w:ascii="Verdana" w:hAnsi="Verdana"/>
          <w:sz w:val="20"/>
        </w:rPr>
        <w:t xml:space="preserve"> properties as terphenyl, hydrogenated, which is already in the Candidate List of </w:t>
      </w:r>
      <w:r w:rsidR="00F173B1">
        <w:rPr>
          <w:rFonts w:ascii="Verdana" w:hAnsi="Verdana"/>
          <w:sz w:val="20"/>
        </w:rPr>
        <w:t>substances of very high concern (SVHC) according</w:t>
      </w:r>
      <w:r w:rsidR="00927245">
        <w:rPr>
          <w:rFonts w:ascii="Verdana" w:hAnsi="Verdana"/>
          <w:sz w:val="20"/>
        </w:rPr>
        <w:t xml:space="preserve"> to</w:t>
      </w:r>
      <w:r w:rsidR="00F173B1">
        <w:rPr>
          <w:rFonts w:ascii="Verdana" w:hAnsi="Verdana"/>
          <w:sz w:val="20"/>
        </w:rPr>
        <w:t xml:space="preserve"> the procedure set out in REACH Article 59</w:t>
      </w:r>
      <w:r>
        <w:rPr>
          <w:rFonts w:ascii="Verdana" w:hAnsi="Verdana"/>
          <w:sz w:val="20"/>
        </w:rPr>
        <w:t>. To avoid regrettable substitution of terphenyl, hydrogenated, also PBT/</w:t>
      </w:r>
      <w:proofErr w:type="spellStart"/>
      <w:r>
        <w:rPr>
          <w:rFonts w:ascii="Verdana" w:hAnsi="Verdana"/>
          <w:sz w:val="20"/>
        </w:rPr>
        <w:t>vPvB</w:t>
      </w:r>
      <w:proofErr w:type="spellEnd"/>
      <w:r>
        <w:rPr>
          <w:rFonts w:ascii="Verdana" w:hAnsi="Verdana"/>
          <w:sz w:val="20"/>
        </w:rPr>
        <w:t xml:space="preserve"> properties of </w:t>
      </w:r>
      <w:r w:rsidR="00C91C28">
        <w:rPr>
          <w:rFonts w:ascii="Verdana" w:hAnsi="Verdana"/>
          <w:sz w:val="20"/>
        </w:rPr>
        <w:t xml:space="preserve">these </w:t>
      </w:r>
      <w:r>
        <w:rPr>
          <w:rFonts w:ascii="Verdana" w:hAnsi="Verdana"/>
          <w:sz w:val="20"/>
        </w:rPr>
        <w:t>alternative substance</w:t>
      </w:r>
      <w:r w:rsidR="00C91C28">
        <w:rPr>
          <w:rFonts w:ascii="Verdana" w:hAnsi="Verdana"/>
          <w:sz w:val="20"/>
        </w:rPr>
        <w:t>s</w:t>
      </w:r>
      <w:r>
        <w:rPr>
          <w:rFonts w:ascii="Verdana" w:hAnsi="Verdana"/>
          <w:sz w:val="20"/>
        </w:rPr>
        <w:t xml:space="preserve"> need to be clarified.</w:t>
      </w:r>
      <w:r w:rsidR="00307383">
        <w:rPr>
          <w:rFonts w:ascii="Verdana" w:hAnsi="Verdana"/>
          <w:sz w:val="20"/>
        </w:rPr>
        <w:t xml:space="preserve"> This RMOA discusses different risk management options and further information needs for the assessment of PBT/</w:t>
      </w:r>
      <w:proofErr w:type="spellStart"/>
      <w:r w:rsidR="00307383">
        <w:rPr>
          <w:rFonts w:ascii="Verdana" w:hAnsi="Verdana"/>
          <w:sz w:val="20"/>
        </w:rPr>
        <w:t>vPvB</w:t>
      </w:r>
      <w:proofErr w:type="spellEnd"/>
      <w:r w:rsidR="00307383">
        <w:rPr>
          <w:rFonts w:ascii="Verdana" w:hAnsi="Verdana"/>
          <w:sz w:val="20"/>
        </w:rPr>
        <w:t xml:space="preserve"> properties of these potential alternative substances. </w:t>
      </w:r>
    </w:p>
    <w:bookmarkEnd w:id="2"/>
    <w:p w14:paraId="7CC020EA" w14:textId="71BBB627" w:rsidR="00307383" w:rsidRDefault="00307383" w:rsidP="004A41BD">
      <w:pPr>
        <w:pStyle w:val="Leipteksti"/>
        <w:spacing w:after="0"/>
        <w:rPr>
          <w:rFonts w:ascii="Verdana" w:hAnsi="Verdana"/>
          <w:sz w:val="20"/>
        </w:rPr>
      </w:pPr>
    </w:p>
    <w:p w14:paraId="4947EDD4" w14:textId="00136EE3" w:rsidR="00307383" w:rsidRDefault="00307383" w:rsidP="004A41BD">
      <w:pPr>
        <w:pStyle w:val="Leipteksti"/>
        <w:spacing w:after="0"/>
        <w:rPr>
          <w:rFonts w:ascii="Verdana" w:hAnsi="Verdana"/>
          <w:sz w:val="20"/>
          <w:highlight w:val="yellow"/>
        </w:rPr>
      </w:pPr>
      <w:bookmarkStart w:id="3" w:name="_Hlk30774693"/>
      <w:r>
        <w:rPr>
          <w:rFonts w:ascii="Verdana" w:hAnsi="Verdana"/>
          <w:sz w:val="20"/>
        </w:rPr>
        <w:t xml:space="preserve">An initial functional grouping approach concept for </w:t>
      </w:r>
      <w:r w:rsidRPr="002617F5">
        <w:rPr>
          <w:rFonts w:ascii="Verdana" w:hAnsi="Verdana"/>
          <w:sz w:val="20"/>
        </w:rPr>
        <w:t>high temperature, non-pressurised heat transfer fluids</w:t>
      </w:r>
      <w:r>
        <w:rPr>
          <w:rFonts w:ascii="Verdana" w:hAnsi="Verdana"/>
          <w:sz w:val="20"/>
        </w:rPr>
        <w:t xml:space="preserve"> was presented at the </w:t>
      </w:r>
      <w:proofErr w:type="spellStart"/>
      <w:r>
        <w:rPr>
          <w:rFonts w:ascii="Verdana" w:hAnsi="Verdana"/>
          <w:sz w:val="20"/>
        </w:rPr>
        <w:t>RiME</w:t>
      </w:r>
      <w:proofErr w:type="spellEnd"/>
      <w:r>
        <w:rPr>
          <w:rFonts w:ascii="Verdana" w:hAnsi="Verdana"/>
          <w:sz w:val="20"/>
        </w:rPr>
        <w:t xml:space="preserve">+ meeting in Oslo </w:t>
      </w:r>
      <w:r w:rsidR="00FE55B9">
        <w:rPr>
          <w:rFonts w:ascii="Verdana" w:hAnsi="Verdana"/>
          <w:sz w:val="20"/>
        </w:rPr>
        <w:t xml:space="preserve">in </w:t>
      </w:r>
      <w:r>
        <w:rPr>
          <w:rFonts w:ascii="Verdana" w:hAnsi="Verdana"/>
          <w:sz w:val="20"/>
        </w:rPr>
        <w:t xml:space="preserve">February 2019. </w:t>
      </w:r>
      <w:r w:rsidR="00B02439">
        <w:rPr>
          <w:rFonts w:ascii="Verdana" w:hAnsi="Verdana"/>
          <w:sz w:val="20"/>
        </w:rPr>
        <w:t xml:space="preserve">Consultation of </w:t>
      </w:r>
      <w:r w:rsidR="00336F7B">
        <w:rPr>
          <w:rFonts w:ascii="Verdana" w:hAnsi="Verdana"/>
          <w:sz w:val="20"/>
        </w:rPr>
        <w:t xml:space="preserve">the </w:t>
      </w:r>
      <w:r w:rsidR="00B02439">
        <w:rPr>
          <w:rFonts w:ascii="Verdana" w:hAnsi="Verdana"/>
          <w:sz w:val="20"/>
        </w:rPr>
        <w:t xml:space="preserve">other Member States and Registrant(s) </w:t>
      </w:r>
      <w:r w:rsidR="006B73E6">
        <w:rPr>
          <w:rFonts w:ascii="Verdana" w:hAnsi="Verdana"/>
          <w:sz w:val="20"/>
        </w:rPr>
        <w:t xml:space="preserve">was </w:t>
      </w:r>
      <w:r w:rsidR="00B02439">
        <w:rPr>
          <w:rFonts w:ascii="Verdana" w:hAnsi="Verdana"/>
          <w:sz w:val="20"/>
        </w:rPr>
        <w:t xml:space="preserve">arranged in December 2019 and January 2020, respectively. </w:t>
      </w:r>
      <w:r w:rsidR="006B73E6">
        <w:rPr>
          <w:rFonts w:ascii="Verdana" w:hAnsi="Verdana"/>
          <w:sz w:val="20"/>
        </w:rPr>
        <w:t>Comments</w:t>
      </w:r>
      <w:r w:rsidR="00B02439">
        <w:rPr>
          <w:rFonts w:ascii="Verdana" w:hAnsi="Verdana"/>
          <w:sz w:val="20"/>
        </w:rPr>
        <w:t xml:space="preserve"> w</w:t>
      </w:r>
      <w:r w:rsidR="006B73E6">
        <w:rPr>
          <w:rFonts w:ascii="Verdana" w:hAnsi="Verdana"/>
          <w:sz w:val="20"/>
        </w:rPr>
        <w:t>ere</w:t>
      </w:r>
      <w:r w:rsidR="00B02439">
        <w:rPr>
          <w:rFonts w:ascii="Verdana" w:hAnsi="Verdana"/>
          <w:sz w:val="20"/>
        </w:rPr>
        <w:t xml:space="preserve"> received from Registrant(s) and </w:t>
      </w:r>
      <w:r w:rsidR="006B73E6">
        <w:rPr>
          <w:rFonts w:ascii="Verdana" w:hAnsi="Verdana"/>
          <w:sz w:val="20"/>
        </w:rPr>
        <w:t>they</w:t>
      </w:r>
      <w:r w:rsidR="00B02439">
        <w:rPr>
          <w:rFonts w:ascii="Verdana" w:hAnsi="Verdana"/>
          <w:sz w:val="20"/>
        </w:rPr>
        <w:t xml:space="preserve"> w</w:t>
      </w:r>
      <w:r w:rsidR="006B73E6">
        <w:rPr>
          <w:rFonts w:ascii="Verdana" w:hAnsi="Verdana"/>
          <w:sz w:val="20"/>
        </w:rPr>
        <w:t>ere</w:t>
      </w:r>
      <w:r w:rsidR="00B02439">
        <w:rPr>
          <w:rFonts w:ascii="Verdana" w:hAnsi="Verdana"/>
          <w:sz w:val="20"/>
        </w:rPr>
        <w:t xml:space="preserve"> taken in</w:t>
      </w:r>
      <w:r w:rsidR="006B73E6">
        <w:rPr>
          <w:rFonts w:ascii="Verdana" w:hAnsi="Verdana"/>
          <w:sz w:val="20"/>
        </w:rPr>
        <w:t>to</w:t>
      </w:r>
      <w:r w:rsidR="00B02439">
        <w:rPr>
          <w:rFonts w:ascii="Verdana" w:hAnsi="Verdana"/>
          <w:sz w:val="20"/>
        </w:rPr>
        <w:t xml:space="preserve"> consideration </w:t>
      </w:r>
      <w:r w:rsidR="00346807">
        <w:rPr>
          <w:rFonts w:ascii="Verdana" w:hAnsi="Verdana"/>
          <w:sz w:val="20"/>
        </w:rPr>
        <w:t>in</w:t>
      </w:r>
      <w:r w:rsidR="00B02439">
        <w:rPr>
          <w:rFonts w:ascii="Verdana" w:hAnsi="Verdana"/>
          <w:sz w:val="20"/>
        </w:rPr>
        <w:t xml:space="preserve"> the final RMOA. </w:t>
      </w:r>
    </w:p>
    <w:bookmarkEnd w:id="3"/>
    <w:p w14:paraId="52B8199B" w14:textId="77777777" w:rsidR="004A41BD" w:rsidRPr="004A41BD" w:rsidRDefault="004A41BD" w:rsidP="003D15D1">
      <w:pPr>
        <w:spacing w:after="0"/>
        <w:jc w:val="both"/>
        <w:rPr>
          <w:rFonts w:ascii="Verdana" w:hAnsi="Verdana"/>
          <w:sz w:val="20"/>
          <w:szCs w:val="20"/>
          <w:lang w:val="en-GB" w:eastAsia="en-GB"/>
        </w:rPr>
      </w:pPr>
    </w:p>
    <w:p w14:paraId="39B96984" w14:textId="71A28343" w:rsidR="00D74ADF" w:rsidRPr="00336F7B" w:rsidRDefault="00D74ADF" w:rsidP="003D15D1">
      <w:pPr>
        <w:spacing w:after="0"/>
        <w:jc w:val="both"/>
        <w:rPr>
          <w:rFonts w:ascii="Verdana" w:hAnsi="Verdana"/>
          <w:sz w:val="20"/>
          <w:szCs w:val="20"/>
          <w:lang w:val="en-GB" w:eastAsia="en-GB"/>
        </w:rPr>
      </w:pPr>
    </w:p>
    <w:p w14:paraId="39B96986" w14:textId="77777777" w:rsidR="003D15D1" w:rsidRDefault="003D15D1" w:rsidP="00763E35">
      <w:pPr>
        <w:spacing w:after="0"/>
        <w:rPr>
          <w:rFonts w:ascii="Verdana" w:hAnsi="Verdana"/>
          <w:b/>
          <w:bCs/>
          <w:sz w:val="20"/>
          <w:szCs w:val="20"/>
          <w:lang w:val="en-GB" w:eastAsia="en-GB"/>
        </w:rPr>
      </w:pPr>
    </w:p>
    <w:p w14:paraId="39B96987" w14:textId="77777777" w:rsidR="003D15D1" w:rsidRDefault="003D15D1" w:rsidP="00763E35">
      <w:pPr>
        <w:spacing w:after="0"/>
        <w:rPr>
          <w:rFonts w:ascii="Verdana" w:hAnsi="Verdana"/>
          <w:b/>
          <w:bCs/>
          <w:sz w:val="20"/>
          <w:szCs w:val="20"/>
          <w:lang w:val="en-GB" w:eastAsia="en-GB"/>
        </w:rPr>
      </w:pPr>
    </w:p>
    <w:p w14:paraId="39B96988" w14:textId="77777777" w:rsidR="00BD56EE" w:rsidRDefault="00BD56EE" w:rsidP="00763E35">
      <w:pPr>
        <w:spacing w:after="0"/>
        <w:rPr>
          <w:rFonts w:ascii="Verdana" w:hAnsi="Verdana"/>
          <w:b/>
          <w:bCs/>
          <w:sz w:val="20"/>
          <w:szCs w:val="20"/>
          <w:lang w:val="en-GB" w:eastAsia="en-GB"/>
        </w:rPr>
      </w:pPr>
    </w:p>
    <w:p w14:paraId="39B96989" w14:textId="77777777" w:rsidR="00CE17CC" w:rsidRDefault="00CE17CC" w:rsidP="003D15D1">
      <w:pPr>
        <w:spacing w:after="0"/>
        <w:jc w:val="both"/>
        <w:rPr>
          <w:rFonts w:ascii="Verdana" w:hAnsi="Verdana"/>
          <w:b/>
          <w:bCs/>
          <w:sz w:val="20"/>
          <w:szCs w:val="20"/>
          <w:lang w:val="en-GB" w:eastAsia="en-GB"/>
        </w:rPr>
      </w:pPr>
    </w:p>
    <w:p w14:paraId="39B9698A" w14:textId="77777777" w:rsidR="003D15D1" w:rsidRDefault="003D15D1" w:rsidP="003D15D1">
      <w:pPr>
        <w:spacing w:after="0"/>
        <w:jc w:val="both"/>
        <w:rPr>
          <w:rFonts w:ascii="Verdana" w:hAnsi="Verdana"/>
          <w:b/>
          <w:bCs/>
          <w:sz w:val="20"/>
          <w:szCs w:val="20"/>
          <w:lang w:val="en-GB" w:eastAsia="en-GB"/>
        </w:rPr>
      </w:pPr>
    </w:p>
    <w:p w14:paraId="39B9698B" w14:textId="77777777" w:rsidR="00CE17CC" w:rsidRDefault="00CE17CC" w:rsidP="00E9111C">
      <w:pPr>
        <w:spacing w:after="0"/>
        <w:rPr>
          <w:rFonts w:ascii="Verdana" w:hAnsi="Verdana"/>
          <w:b/>
          <w:bCs/>
          <w:sz w:val="20"/>
          <w:szCs w:val="20"/>
          <w:lang w:val="en-GB" w:eastAsia="en-GB"/>
        </w:rPr>
        <w:sectPr w:rsidR="00CE17CC" w:rsidSect="004A355F">
          <w:headerReference w:type="default" r:id="rId15"/>
          <w:footerReference w:type="default" r:id="rId16"/>
          <w:headerReference w:type="first" r:id="rId17"/>
          <w:footerReference w:type="first" r:id="rId18"/>
          <w:pgSz w:w="11906" w:h="16838" w:code="9"/>
          <w:pgMar w:top="1418" w:right="1797" w:bottom="1134" w:left="1797" w:header="680" w:footer="567" w:gutter="0"/>
          <w:cols w:space="708"/>
          <w:docGrid w:linePitch="360"/>
        </w:sectPr>
      </w:pPr>
    </w:p>
    <w:p w14:paraId="39B9698C" w14:textId="77777777" w:rsidR="00EB2016" w:rsidRDefault="00EB2016" w:rsidP="00EB2016">
      <w:pPr>
        <w:jc w:val="center"/>
        <w:rPr>
          <w:rFonts w:ascii="Verdana" w:hAnsi="Verdana"/>
          <w:b/>
          <w:iCs/>
          <w:sz w:val="20"/>
          <w:szCs w:val="20"/>
        </w:rPr>
      </w:pPr>
      <w:bookmarkStart w:id="4" w:name="_identity_of_the_"/>
      <w:bookmarkStart w:id="5" w:name="_Toc285710598"/>
      <w:bookmarkStart w:id="6" w:name="_Toc308015310"/>
      <w:bookmarkStart w:id="7" w:name="_Toc387770099"/>
      <w:bookmarkEnd w:id="4"/>
    </w:p>
    <w:p w14:paraId="39B9698D" w14:textId="77777777" w:rsidR="00EB2016" w:rsidRPr="00D95702" w:rsidRDefault="00EB2016" w:rsidP="00EB2016">
      <w:pPr>
        <w:jc w:val="center"/>
        <w:rPr>
          <w:rFonts w:ascii="Verdana" w:hAnsi="Verdana"/>
          <w:b/>
          <w:iCs/>
          <w:sz w:val="20"/>
          <w:szCs w:val="20"/>
        </w:rPr>
      </w:pPr>
      <w:r w:rsidRPr="00D95702">
        <w:rPr>
          <w:rFonts w:ascii="Verdana" w:hAnsi="Verdana"/>
          <w:b/>
          <w:iCs/>
          <w:sz w:val="20"/>
          <w:szCs w:val="20"/>
        </w:rPr>
        <w:t>DISCLAIMER</w:t>
      </w:r>
    </w:p>
    <w:p w14:paraId="39B9698E" w14:textId="77777777" w:rsidR="00EB2016" w:rsidRDefault="00EB2016" w:rsidP="00EB2016">
      <w:pPr>
        <w:pStyle w:val="Leipteksti"/>
        <w:rPr>
          <w:rStyle w:val="Voimakas"/>
          <w:rFonts w:ascii="Verdana" w:hAnsi="Verdana"/>
          <w:b w:val="0"/>
          <w:sz w:val="20"/>
        </w:rPr>
      </w:pPr>
    </w:p>
    <w:p w14:paraId="39B9698F" w14:textId="4660072D" w:rsidR="00EB2016" w:rsidRDefault="00EB2016" w:rsidP="00EB2016">
      <w:pPr>
        <w:pStyle w:val="Otsikko1"/>
        <w:numPr>
          <w:ilvl w:val="0"/>
          <w:numId w:val="0"/>
        </w:numPr>
        <w:tabs>
          <w:tab w:val="clear" w:pos="839"/>
          <w:tab w:val="left" w:pos="0"/>
        </w:tabs>
        <w:jc w:val="both"/>
        <w:rPr>
          <w:rStyle w:val="Voimakas"/>
          <w:rFonts w:ascii="Verdana" w:hAnsi="Verdana"/>
          <w:sz w:val="20"/>
        </w:rPr>
      </w:pPr>
    </w:p>
    <w:p w14:paraId="687DD83D" w14:textId="77777777" w:rsidR="00853DDE" w:rsidRDefault="00853DDE" w:rsidP="006C44FA">
      <w:pPr>
        <w:pStyle w:val="Leipteksti"/>
        <w:spacing w:after="0"/>
        <w:rPr>
          <w:rFonts w:ascii="Verdana" w:hAnsi="Verdana"/>
          <w:bCs/>
          <w:sz w:val="20"/>
          <w:lang w:eastAsia="en-GB"/>
        </w:rPr>
      </w:pPr>
      <w:r w:rsidRPr="00853DDE">
        <w:rPr>
          <w:rFonts w:ascii="Verdana" w:hAnsi="Verdana"/>
          <w:bCs/>
          <w:sz w:val="20"/>
          <w:lang w:eastAsia="en-GB"/>
        </w:rPr>
        <w:t xml:space="preserve">The author does not accept any liability </w:t>
      </w:r>
      <w:proofErr w:type="gramStart"/>
      <w:r w:rsidRPr="00853DDE">
        <w:rPr>
          <w:rFonts w:ascii="Verdana" w:hAnsi="Verdana"/>
          <w:bCs/>
          <w:sz w:val="20"/>
          <w:lang w:eastAsia="en-GB"/>
        </w:rPr>
        <w:t>with regard to</w:t>
      </w:r>
      <w:proofErr w:type="gramEnd"/>
      <w:r w:rsidRPr="00853DDE">
        <w:rPr>
          <w:rFonts w:ascii="Verdana" w:hAnsi="Verdana"/>
          <w:bCs/>
          <w:sz w:val="20"/>
          <w:lang w:eastAsia="en-GB"/>
        </w:rPr>
        <w:t xml:space="preserve"> the use that may be made of the information contained in this document. Usage of the information remains under the sole responsibility of the user. Statements made or information contained in the document are without prejudice to any further regulatory work that ECHA or the Member States may initiate at a later stage. Risk Management Option Analyses and their conclusions are compiled </w:t>
      </w:r>
      <w:proofErr w:type="gramStart"/>
      <w:r w:rsidRPr="00853DDE">
        <w:rPr>
          <w:rFonts w:ascii="Verdana" w:hAnsi="Verdana"/>
          <w:bCs/>
          <w:sz w:val="20"/>
          <w:lang w:eastAsia="en-GB"/>
        </w:rPr>
        <w:t>on the basis of</w:t>
      </w:r>
      <w:proofErr w:type="gramEnd"/>
      <w:r w:rsidRPr="00853DDE">
        <w:rPr>
          <w:rFonts w:ascii="Verdana" w:hAnsi="Verdana"/>
          <w:bCs/>
          <w:sz w:val="20"/>
          <w:lang w:eastAsia="en-GB"/>
        </w:rPr>
        <w:t xml:space="preserve"> available information and may change in light of newly available information or further assessment. </w:t>
      </w:r>
    </w:p>
    <w:p w14:paraId="55ECD728" w14:textId="77777777" w:rsidR="00853DDE" w:rsidRDefault="00853DDE" w:rsidP="006C44FA">
      <w:pPr>
        <w:pStyle w:val="Leipteksti"/>
        <w:spacing w:after="0"/>
        <w:rPr>
          <w:rFonts w:ascii="Verdana" w:hAnsi="Verdana"/>
          <w:bCs/>
          <w:sz w:val="20"/>
          <w:lang w:eastAsia="en-GB"/>
        </w:rPr>
      </w:pPr>
    </w:p>
    <w:p w14:paraId="39B96995" w14:textId="77777777" w:rsidR="00F25AC6" w:rsidRPr="00F25AC6" w:rsidRDefault="00F25AC6" w:rsidP="00EB2016">
      <w:pPr>
        <w:pStyle w:val="Leipteksti"/>
        <w:rPr>
          <w:rFonts w:ascii="Verdana" w:hAnsi="Verdana"/>
          <w:sz w:val="20"/>
        </w:rPr>
        <w:sectPr w:rsidR="00F25AC6" w:rsidRPr="00F25AC6" w:rsidSect="00DE57D6">
          <w:footerReference w:type="default" r:id="rId19"/>
          <w:headerReference w:type="first" r:id="rId20"/>
          <w:pgSz w:w="11906" w:h="16838" w:code="9"/>
          <w:pgMar w:top="1418" w:right="1797" w:bottom="1134" w:left="1797" w:header="680" w:footer="567" w:gutter="0"/>
          <w:cols w:space="708"/>
          <w:docGrid w:linePitch="360"/>
        </w:sectPr>
      </w:pPr>
    </w:p>
    <w:p w14:paraId="39B96996" w14:textId="77777777" w:rsidR="0020328D" w:rsidRPr="0020328D" w:rsidRDefault="0020328D" w:rsidP="005E6BF3">
      <w:pPr>
        <w:pStyle w:val="Otsikko1"/>
        <w:tabs>
          <w:tab w:val="clear" w:pos="839"/>
          <w:tab w:val="left" w:pos="360"/>
        </w:tabs>
        <w:ind w:left="360" w:hanging="360"/>
        <w:rPr>
          <w:rFonts w:ascii="Verdana" w:hAnsi="Verdana"/>
        </w:rPr>
      </w:pPr>
      <w:r w:rsidRPr="0020328D">
        <w:rPr>
          <w:rFonts w:ascii="Verdana" w:hAnsi="Verdana"/>
        </w:rPr>
        <w:lastRenderedPageBreak/>
        <w:t>identity of the substance</w:t>
      </w:r>
      <w:bookmarkEnd w:id="5"/>
      <w:bookmarkEnd w:id="6"/>
      <w:bookmarkEnd w:id="7"/>
      <w:r w:rsidRPr="0020328D">
        <w:rPr>
          <w:rFonts w:ascii="Verdana" w:hAnsi="Verdana"/>
        </w:rPr>
        <w:t xml:space="preserve"> </w:t>
      </w:r>
    </w:p>
    <w:p w14:paraId="39B96997" w14:textId="77777777" w:rsidR="0020328D" w:rsidRPr="0020328D" w:rsidRDefault="00620E9E" w:rsidP="005E6BF3">
      <w:pPr>
        <w:pStyle w:val="Otsikko2"/>
        <w:tabs>
          <w:tab w:val="clear" w:pos="839"/>
          <w:tab w:val="num" w:pos="540"/>
        </w:tabs>
        <w:spacing w:before="120" w:after="120"/>
        <w:ind w:left="540" w:hanging="540"/>
      </w:pPr>
      <w:bookmarkStart w:id="10" w:name="_Toc285710599"/>
      <w:bookmarkStart w:id="11" w:name="_Toc308015311"/>
      <w:bookmarkStart w:id="12" w:name="_Toc387770100"/>
      <w:r>
        <w:t>O</w:t>
      </w:r>
      <w:r w:rsidR="0020328D" w:rsidRPr="0020328D">
        <w:t>ther identifiers of the substance</w:t>
      </w:r>
      <w:bookmarkEnd w:id="10"/>
      <w:bookmarkEnd w:id="11"/>
      <w:bookmarkEnd w:id="12"/>
    </w:p>
    <w:p w14:paraId="39B96998" w14:textId="77777777" w:rsidR="0020328D" w:rsidRDefault="0020328D" w:rsidP="0020328D">
      <w:pPr>
        <w:pStyle w:val="Kuvaotsikko"/>
        <w:tabs>
          <w:tab w:val="left" w:pos="960"/>
        </w:tabs>
        <w:ind w:left="0"/>
        <w:rPr>
          <w:rFonts w:ascii="Verdana" w:hAnsi="Verdana"/>
          <w:sz w:val="20"/>
        </w:rPr>
      </w:pPr>
      <w:bookmarkStart w:id="13" w:name="_Toc202255643"/>
      <w:bookmarkStart w:id="14" w:name="_Toc261867769"/>
    </w:p>
    <w:p w14:paraId="39B96999" w14:textId="1B01766C" w:rsidR="0020328D" w:rsidRDefault="0020328D" w:rsidP="0020328D">
      <w:pPr>
        <w:pStyle w:val="Kuvaotsikko"/>
        <w:tabs>
          <w:tab w:val="left" w:pos="960"/>
        </w:tabs>
        <w:ind w:left="0"/>
        <w:rPr>
          <w:rFonts w:ascii="Verdana" w:hAnsi="Verdana"/>
          <w:b/>
          <w:sz w:val="20"/>
        </w:rPr>
      </w:pPr>
      <w:r w:rsidRPr="00353CCB">
        <w:rPr>
          <w:rFonts w:ascii="Verdana" w:hAnsi="Verdana"/>
          <w:b/>
          <w:sz w:val="20"/>
        </w:rPr>
        <w:t>Table</w:t>
      </w:r>
      <w:r w:rsidR="00B90779">
        <w:rPr>
          <w:rFonts w:ascii="Verdana" w:hAnsi="Verdana"/>
          <w:b/>
          <w:sz w:val="20"/>
        </w:rPr>
        <w:t xml:space="preserve"> 1</w:t>
      </w:r>
      <w:r w:rsidR="00640942">
        <w:rPr>
          <w:rFonts w:ascii="Verdana" w:hAnsi="Verdana"/>
          <w:b/>
          <w:sz w:val="20"/>
        </w:rPr>
        <w:t>:</w:t>
      </w:r>
      <w:r w:rsidRPr="00353CCB">
        <w:rPr>
          <w:rFonts w:ascii="Verdana" w:hAnsi="Verdana"/>
          <w:b/>
          <w:sz w:val="20"/>
        </w:rPr>
        <w:t xml:space="preserve"> </w:t>
      </w:r>
      <w:bookmarkStart w:id="15" w:name="d0e102"/>
      <w:bookmarkEnd w:id="13"/>
      <w:bookmarkEnd w:id="14"/>
      <w:r w:rsidR="00DC49AE">
        <w:rPr>
          <w:rFonts w:ascii="Verdana" w:hAnsi="Verdana"/>
          <w:b/>
          <w:sz w:val="20"/>
        </w:rPr>
        <w:t xml:space="preserve">Other </w:t>
      </w:r>
      <w:r w:rsidR="00DC49AE" w:rsidRPr="00353CCB">
        <w:rPr>
          <w:rFonts w:ascii="Verdana" w:hAnsi="Verdana"/>
          <w:b/>
          <w:sz w:val="20"/>
        </w:rPr>
        <w:t>Substance identi</w:t>
      </w:r>
      <w:r w:rsidR="00DC49AE">
        <w:rPr>
          <w:rFonts w:ascii="Verdana" w:hAnsi="Verdana"/>
          <w:b/>
          <w:sz w:val="20"/>
        </w:rPr>
        <w:t>fiers</w:t>
      </w:r>
    </w:p>
    <w:tbl>
      <w:tblPr>
        <w:tblW w:w="9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18"/>
        <w:gridCol w:w="5137"/>
      </w:tblGrid>
      <w:tr w:rsidR="00DC49AE" w:rsidRPr="0020328D" w14:paraId="39B9699C" w14:textId="77777777" w:rsidTr="00DC49AE">
        <w:trPr>
          <w:trHeight w:val="459"/>
          <w:jc w:val="center"/>
        </w:trPr>
        <w:tc>
          <w:tcPr>
            <w:tcW w:w="4518" w:type="dxa"/>
            <w:tcMar>
              <w:top w:w="40" w:type="dxa"/>
              <w:left w:w="40" w:type="dxa"/>
              <w:bottom w:w="40" w:type="dxa"/>
              <w:right w:w="40" w:type="dxa"/>
            </w:tcMar>
            <w:vAlign w:val="center"/>
          </w:tcPr>
          <w:bookmarkEnd w:id="15"/>
          <w:p w14:paraId="39B9699A" w14:textId="77777777" w:rsidR="00DC49AE" w:rsidRPr="0020328D" w:rsidRDefault="00DC49AE" w:rsidP="00DC49AE">
            <w:pPr>
              <w:pStyle w:val="Tabletext"/>
              <w:spacing w:before="0" w:after="0"/>
              <w:rPr>
                <w:rFonts w:ascii="Verdana" w:hAnsi="Verdana"/>
                <w:b/>
                <w:bCs/>
              </w:rPr>
            </w:pPr>
            <w:r w:rsidRPr="0020328D">
              <w:rPr>
                <w:rFonts w:ascii="Verdana" w:hAnsi="Verdana"/>
                <w:b/>
                <w:bCs/>
              </w:rPr>
              <w:t>EC name</w:t>
            </w:r>
            <w:r>
              <w:rPr>
                <w:rFonts w:ascii="Verdana" w:hAnsi="Verdana"/>
                <w:b/>
                <w:bCs/>
              </w:rPr>
              <w:t xml:space="preserve"> (public)</w:t>
            </w:r>
            <w:r w:rsidRPr="0020328D">
              <w:rPr>
                <w:rFonts w:ascii="Verdana" w:hAnsi="Verdana"/>
                <w:b/>
                <w:bCs/>
              </w:rPr>
              <w:t>:</w:t>
            </w:r>
          </w:p>
        </w:tc>
        <w:tc>
          <w:tcPr>
            <w:tcW w:w="5137" w:type="dxa"/>
            <w:shd w:val="clear" w:color="auto" w:fill="auto"/>
            <w:tcMar>
              <w:top w:w="40" w:type="dxa"/>
              <w:left w:w="40" w:type="dxa"/>
              <w:bottom w:w="40" w:type="dxa"/>
              <w:right w:w="40" w:type="dxa"/>
            </w:tcMar>
            <w:vAlign w:val="center"/>
          </w:tcPr>
          <w:p w14:paraId="39B9699B" w14:textId="73554F3F" w:rsidR="00DC49AE" w:rsidRPr="00F13539" w:rsidRDefault="00CB28F8" w:rsidP="00DC49AE">
            <w:pPr>
              <w:spacing w:after="0"/>
              <w:rPr>
                <w:rFonts w:ascii="Verdana" w:hAnsi="Verdana"/>
                <w:sz w:val="20"/>
                <w:szCs w:val="20"/>
              </w:rPr>
            </w:pPr>
            <w:r>
              <w:rPr>
                <w:rFonts w:ascii="Verdana" w:hAnsi="Verdana"/>
                <w:sz w:val="20"/>
                <w:szCs w:val="20"/>
              </w:rPr>
              <w:t xml:space="preserve">dibenzylbenzene, </w:t>
            </w:r>
            <w:proofErr w:type="spellStart"/>
            <w:r>
              <w:rPr>
                <w:rFonts w:ascii="Verdana" w:hAnsi="Verdana"/>
                <w:sz w:val="20"/>
                <w:szCs w:val="20"/>
              </w:rPr>
              <w:t>ar</w:t>
            </w:r>
            <w:proofErr w:type="spellEnd"/>
            <w:r>
              <w:rPr>
                <w:rFonts w:ascii="Verdana" w:hAnsi="Verdana"/>
                <w:sz w:val="20"/>
                <w:szCs w:val="20"/>
              </w:rPr>
              <w:t xml:space="preserve">-methyl </w:t>
            </w:r>
            <w:r w:rsidR="00B57F3A">
              <w:rPr>
                <w:rFonts w:ascii="Verdana" w:hAnsi="Verdana"/>
                <w:sz w:val="20"/>
                <w:szCs w:val="20"/>
              </w:rPr>
              <w:t>derivative</w:t>
            </w:r>
          </w:p>
        </w:tc>
      </w:tr>
      <w:tr w:rsidR="00DC49AE" w:rsidRPr="0020328D" w14:paraId="39B9699F" w14:textId="77777777" w:rsidTr="00DC49AE">
        <w:trPr>
          <w:trHeight w:val="449"/>
          <w:jc w:val="center"/>
        </w:trPr>
        <w:tc>
          <w:tcPr>
            <w:tcW w:w="4518" w:type="dxa"/>
            <w:tcMar>
              <w:top w:w="40" w:type="dxa"/>
              <w:left w:w="40" w:type="dxa"/>
              <w:bottom w:w="40" w:type="dxa"/>
              <w:right w:w="40" w:type="dxa"/>
            </w:tcMar>
            <w:vAlign w:val="center"/>
          </w:tcPr>
          <w:p w14:paraId="39B9699D" w14:textId="77777777" w:rsidR="00DC49AE" w:rsidRPr="0020328D" w:rsidRDefault="00DC49AE" w:rsidP="00DC49AE">
            <w:pPr>
              <w:pStyle w:val="Tabletext"/>
              <w:spacing w:before="0" w:after="0"/>
              <w:rPr>
                <w:rFonts w:ascii="Verdana" w:hAnsi="Verdana"/>
                <w:b/>
                <w:bCs/>
              </w:rPr>
            </w:pPr>
            <w:r w:rsidRPr="0020328D">
              <w:rPr>
                <w:rFonts w:ascii="Verdana" w:hAnsi="Verdana"/>
                <w:b/>
                <w:bCs/>
              </w:rPr>
              <w:t>IUPAC name</w:t>
            </w:r>
            <w:r>
              <w:rPr>
                <w:rFonts w:ascii="Verdana" w:hAnsi="Verdana"/>
                <w:b/>
                <w:bCs/>
              </w:rPr>
              <w:t xml:space="preserve"> (public)</w:t>
            </w:r>
            <w:r w:rsidRPr="0020328D">
              <w:rPr>
                <w:rFonts w:ascii="Verdana" w:hAnsi="Verdana"/>
                <w:b/>
                <w:bCs/>
              </w:rPr>
              <w:t>:</w:t>
            </w:r>
          </w:p>
        </w:tc>
        <w:tc>
          <w:tcPr>
            <w:tcW w:w="5137" w:type="dxa"/>
            <w:shd w:val="clear" w:color="auto" w:fill="auto"/>
            <w:tcMar>
              <w:top w:w="40" w:type="dxa"/>
              <w:left w:w="40" w:type="dxa"/>
              <w:bottom w:w="40" w:type="dxa"/>
              <w:right w:w="40" w:type="dxa"/>
            </w:tcMar>
            <w:vAlign w:val="center"/>
          </w:tcPr>
          <w:p w14:paraId="39B9699E" w14:textId="4267EB60" w:rsidR="00DC49AE" w:rsidRPr="00F13539" w:rsidRDefault="00402177" w:rsidP="00DC49AE">
            <w:pPr>
              <w:spacing w:after="0"/>
              <w:rPr>
                <w:rFonts w:ascii="Verdana" w:hAnsi="Verdana"/>
                <w:sz w:val="20"/>
                <w:szCs w:val="20"/>
              </w:rPr>
            </w:pPr>
            <w:r>
              <w:rPr>
                <w:rFonts w:ascii="Verdana" w:hAnsi="Verdana"/>
                <w:sz w:val="20"/>
                <w:szCs w:val="20"/>
              </w:rPr>
              <w:t xml:space="preserve">dibenzylbenzene, </w:t>
            </w:r>
            <w:proofErr w:type="spellStart"/>
            <w:r>
              <w:rPr>
                <w:rFonts w:ascii="Verdana" w:hAnsi="Verdana"/>
                <w:sz w:val="20"/>
                <w:szCs w:val="20"/>
              </w:rPr>
              <w:t>ar</w:t>
            </w:r>
            <w:proofErr w:type="spellEnd"/>
            <w:r>
              <w:rPr>
                <w:rFonts w:ascii="Verdana" w:hAnsi="Verdana"/>
                <w:sz w:val="20"/>
                <w:szCs w:val="20"/>
              </w:rPr>
              <w:t xml:space="preserve">-methyl </w:t>
            </w:r>
            <w:r w:rsidR="00B57F3A">
              <w:rPr>
                <w:rFonts w:ascii="Verdana" w:hAnsi="Verdana"/>
                <w:sz w:val="20"/>
                <w:szCs w:val="20"/>
              </w:rPr>
              <w:t>derivative</w:t>
            </w:r>
          </w:p>
        </w:tc>
      </w:tr>
      <w:tr w:rsidR="00DC49AE" w:rsidRPr="0020328D" w14:paraId="39B969A2" w14:textId="77777777" w:rsidTr="00DC49AE">
        <w:trPr>
          <w:jc w:val="center"/>
        </w:trPr>
        <w:tc>
          <w:tcPr>
            <w:tcW w:w="4518" w:type="dxa"/>
            <w:tcMar>
              <w:top w:w="40" w:type="dxa"/>
              <w:left w:w="40" w:type="dxa"/>
              <w:bottom w:w="40" w:type="dxa"/>
              <w:right w:w="40" w:type="dxa"/>
            </w:tcMar>
            <w:vAlign w:val="center"/>
          </w:tcPr>
          <w:p w14:paraId="39B969A0" w14:textId="77777777" w:rsidR="00DC49AE" w:rsidRPr="0020328D" w:rsidRDefault="00DC49AE" w:rsidP="00DC49AE">
            <w:pPr>
              <w:pStyle w:val="Tabletext"/>
              <w:spacing w:before="0" w:after="0"/>
              <w:rPr>
                <w:rFonts w:ascii="Verdana" w:hAnsi="Verdana"/>
                <w:b/>
                <w:bCs/>
              </w:rPr>
            </w:pPr>
            <w:r w:rsidRPr="0020328D">
              <w:rPr>
                <w:rFonts w:ascii="Verdana" w:hAnsi="Verdana"/>
                <w:b/>
                <w:bCs/>
              </w:rPr>
              <w:t>Index number in Annex VI of the CLP Regulation</w:t>
            </w:r>
            <w:r>
              <w:rPr>
                <w:rFonts w:ascii="Verdana" w:hAnsi="Verdana"/>
                <w:b/>
                <w:bCs/>
              </w:rPr>
              <w:t>:</w:t>
            </w:r>
          </w:p>
        </w:tc>
        <w:tc>
          <w:tcPr>
            <w:tcW w:w="5137" w:type="dxa"/>
            <w:shd w:val="clear" w:color="auto" w:fill="auto"/>
            <w:tcMar>
              <w:top w:w="40" w:type="dxa"/>
              <w:left w:w="40" w:type="dxa"/>
              <w:bottom w:w="40" w:type="dxa"/>
              <w:right w:w="40" w:type="dxa"/>
            </w:tcMar>
            <w:vAlign w:val="center"/>
          </w:tcPr>
          <w:p w14:paraId="39B969A1" w14:textId="77777777" w:rsidR="00DC49AE" w:rsidRPr="00F13539" w:rsidRDefault="00DC49AE" w:rsidP="00DC49AE">
            <w:pPr>
              <w:spacing w:after="0"/>
              <w:rPr>
                <w:rFonts w:ascii="Verdana" w:hAnsi="Verdana"/>
                <w:sz w:val="20"/>
                <w:szCs w:val="20"/>
              </w:rPr>
            </w:pPr>
          </w:p>
        </w:tc>
      </w:tr>
      <w:tr w:rsidR="00DC49AE" w:rsidRPr="0020328D" w14:paraId="39B969A5" w14:textId="77777777" w:rsidTr="00DC49AE">
        <w:trPr>
          <w:trHeight w:val="423"/>
          <w:jc w:val="center"/>
        </w:trPr>
        <w:tc>
          <w:tcPr>
            <w:tcW w:w="4518" w:type="dxa"/>
            <w:tcMar>
              <w:top w:w="40" w:type="dxa"/>
              <w:left w:w="40" w:type="dxa"/>
              <w:bottom w:w="40" w:type="dxa"/>
              <w:right w:w="40" w:type="dxa"/>
            </w:tcMar>
            <w:vAlign w:val="center"/>
          </w:tcPr>
          <w:p w14:paraId="39B969A3" w14:textId="77777777" w:rsidR="00DC49AE" w:rsidRPr="0020328D" w:rsidRDefault="00DC49AE" w:rsidP="00DC49AE">
            <w:pPr>
              <w:pStyle w:val="Tabletext"/>
              <w:spacing w:before="0" w:after="0"/>
              <w:rPr>
                <w:rFonts w:ascii="Verdana" w:hAnsi="Verdana"/>
                <w:b/>
                <w:bCs/>
              </w:rPr>
            </w:pPr>
            <w:r w:rsidRPr="0020328D">
              <w:rPr>
                <w:rFonts w:ascii="Verdana" w:hAnsi="Verdana"/>
                <w:b/>
                <w:bCs/>
              </w:rPr>
              <w:t>Molecular formula:</w:t>
            </w:r>
          </w:p>
        </w:tc>
        <w:tc>
          <w:tcPr>
            <w:tcW w:w="5137" w:type="dxa"/>
            <w:shd w:val="clear" w:color="auto" w:fill="auto"/>
            <w:tcMar>
              <w:top w:w="40" w:type="dxa"/>
              <w:left w:w="40" w:type="dxa"/>
              <w:bottom w:w="40" w:type="dxa"/>
              <w:right w:w="40" w:type="dxa"/>
            </w:tcMar>
            <w:vAlign w:val="center"/>
          </w:tcPr>
          <w:p w14:paraId="39B969A4" w14:textId="4C634A2E" w:rsidR="00DC49AE" w:rsidRPr="00F13539" w:rsidRDefault="00402177" w:rsidP="00DC49AE">
            <w:pPr>
              <w:spacing w:after="0"/>
              <w:rPr>
                <w:rFonts w:ascii="Verdana" w:hAnsi="Verdana"/>
                <w:sz w:val="20"/>
                <w:szCs w:val="20"/>
              </w:rPr>
            </w:pPr>
            <w:r>
              <w:rPr>
                <w:rFonts w:ascii="Verdana" w:hAnsi="Verdana"/>
                <w:sz w:val="20"/>
                <w:szCs w:val="20"/>
              </w:rPr>
              <w:t>C21H20</w:t>
            </w:r>
          </w:p>
        </w:tc>
      </w:tr>
      <w:tr w:rsidR="00DC49AE" w:rsidRPr="0020328D" w14:paraId="39B969A8" w14:textId="77777777" w:rsidTr="00DC49AE">
        <w:trPr>
          <w:jc w:val="center"/>
        </w:trPr>
        <w:tc>
          <w:tcPr>
            <w:tcW w:w="4518" w:type="dxa"/>
            <w:tcMar>
              <w:top w:w="40" w:type="dxa"/>
              <w:left w:w="40" w:type="dxa"/>
              <w:bottom w:w="40" w:type="dxa"/>
              <w:right w:w="40" w:type="dxa"/>
            </w:tcMar>
            <w:vAlign w:val="center"/>
          </w:tcPr>
          <w:p w14:paraId="39B969A6" w14:textId="77777777" w:rsidR="00DC49AE" w:rsidRPr="0020328D" w:rsidRDefault="00DC49AE" w:rsidP="00DC49AE">
            <w:pPr>
              <w:pStyle w:val="Tabletext"/>
              <w:spacing w:before="0" w:after="0"/>
              <w:rPr>
                <w:rFonts w:ascii="Verdana" w:hAnsi="Verdana"/>
                <w:b/>
                <w:bCs/>
              </w:rPr>
            </w:pPr>
            <w:r w:rsidRPr="0020328D">
              <w:rPr>
                <w:rFonts w:ascii="Verdana" w:hAnsi="Verdana"/>
                <w:b/>
                <w:bCs/>
              </w:rPr>
              <w:t>Molecular weight or molecular weight range:</w:t>
            </w:r>
          </w:p>
        </w:tc>
        <w:tc>
          <w:tcPr>
            <w:tcW w:w="5137" w:type="dxa"/>
            <w:shd w:val="clear" w:color="auto" w:fill="auto"/>
            <w:tcMar>
              <w:top w:w="40" w:type="dxa"/>
              <w:left w:w="40" w:type="dxa"/>
              <w:bottom w:w="40" w:type="dxa"/>
              <w:right w:w="40" w:type="dxa"/>
            </w:tcMar>
            <w:vAlign w:val="center"/>
          </w:tcPr>
          <w:p w14:paraId="39B969A7" w14:textId="5F243B5B" w:rsidR="00DC49AE" w:rsidRPr="00F13539" w:rsidRDefault="00402177" w:rsidP="00DC49AE">
            <w:pPr>
              <w:spacing w:after="0"/>
              <w:rPr>
                <w:rFonts w:ascii="Verdana" w:hAnsi="Verdana"/>
                <w:sz w:val="20"/>
                <w:szCs w:val="20"/>
              </w:rPr>
            </w:pPr>
            <w:r>
              <w:rPr>
                <w:rFonts w:ascii="Verdana" w:hAnsi="Verdana"/>
                <w:sz w:val="20"/>
                <w:szCs w:val="20"/>
              </w:rPr>
              <w:t>272.38 g/mol</w:t>
            </w:r>
          </w:p>
        </w:tc>
      </w:tr>
      <w:tr w:rsidR="00DC49AE" w:rsidRPr="0020328D" w14:paraId="39B969AF" w14:textId="77777777" w:rsidTr="00DC49AE">
        <w:trPr>
          <w:trHeight w:val="396"/>
          <w:jc w:val="center"/>
        </w:trPr>
        <w:tc>
          <w:tcPr>
            <w:tcW w:w="4518" w:type="dxa"/>
            <w:tcMar>
              <w:top w:w="40" w:type="dxa"/>
              <w:left w:w="40" w:type="dxa"/>
              <w:bottom w:w="40" w:type="dxa"/>
              <w:right w:w="40" w:type="dxa"/>
            </w:tcMar>
            <w:vAlign w:val="center"/>
          </w:tcPr>
          <w:p w14:paraId="39B969A9" w14:textId="77777777" w:rsidR="00DC49AE" w:rsidRPr="0020328D" w:rsidRDefault="00DC49AE" w:rsidP="00DC49AE">
            <w:pPr>
              <w:pStyle w:val="Tabletext"/>
              <w:spacing w:before="0" w:after="0"/>
              <w:rPr>
                <w:rFonts w:ascii="Verdana" w:hAnsi="Verdana"/>
                <w:b/>
                <w:bCs/>
              </w:rPr>
            </w:pPr>
            <w:r w:rsidRPr="0020328D">
              <w:rPr>
                <w:rFonts w:ascii="Verdana" w:hAnsi="Verdana"/>
                <w:b/>
              </w:rPr>
              <w:t>Synonyms:</w:t>
            </w:r>
          </w:p>
        </w:tc>
        <w:tc>
          <w:tcPr>
            <w:tcW w:w="5137" w:type="dxa"/>
            <w:shd w:val="clear" w:color="auto" w:fill="auto"/>
            <w:tcMar>
              <w:top w:w="40" w:type="dxa"/>
              <w:left w:w="40" w:type="dxa"/>
              <w:bottom w:w="40" w:type="dxa"/>
              <w:right w:w="40" w:type="dxa"/>
            </w:tcMar>
            <w:vAlign w:val="center"/>
          </w:tcPr>
          <w:p w14:paraId="68F76939" w14:textId="77777777" w:rsidR="00541F0B" w:rsidRDefault="00541F0B" w:rsidP="00DC49AE">
            <w:pPr>
              <w:spacing w:after="0"/>
              <w:rPr>
                <w:rFonts w:ascii="Verdana" w:hAnsi="Verdana"/>
                <w:i/>
                <w:sz w:val="20"/>
                <w:szCs w:val="20"/>
              </w:rPr>
            </w:pPr>
          </w:p>
          <w:p w14:paraId="39B969AB" w14:textId="5CBB8B42" w:rsidR="00DC49AE" w:rsidRDefault="00541F0B" w:rsidP="00DC49AE">
            <w:pPr>
              <w:spacing w:after="0"/>
              <w:rPr>
                <w:rFonts w:ascii="Verdana" w:hAnsi="Verdana"/>
                <w:i/>
                <w:sz w:val="20"/>
                <w:szCs w:val="20"/>
              </w:rPr>
            </w:pPr>
            <w:r>
              <w:rPr>
                <w:rFonts w:ascii="Verdana" w:hAnsi="Verdana"/>
                <w:i/>
                <w:sz w:val="20"/>
                <w:szCs w:val="20"/>
              </w:rPr>
              <w:t xml:space="preserve">benzene, </w:t>
            </w:r>
            <w:proofErr w:type="spellStart"/>
            <w:r>
              <w:rPr>
                <w:rFonts w:ascii="Verdana" w:hAnsi="Verdana"/>
                <w:i/>
                <w:sz w:val="20"/>
                <w:szCs w:val="20"/>
              </w:rPr>
              <w:t>methylbis</w:t>
            </w:r>
            <w:proofErr w:type="spellEnd"/>
            <w:r>
              <w:rPr>
                <w:rFonts w:ascii="Verdana" w:hAnsi="Verdana"/>
                <w:i/>
                <w:sz w:val="20"/>
                <w:szCs w:val="20"/>
              </w:rPr>
              <w:t>(phenylmethyl)-</w:t>
            </w:r>
          </w:p>
          <w:p w14:paraId="09A7E479" w14:textId="08F4AED5" w:rsidR="00541F0B" w:rsidRDefault="00541F0B" w:rsidP="00DC49AE">
            <w:pPr>
              <w:spacing w:after="0"/>
              <w:rPr>
                <w:rFonts w:ascii="Verdana" w:hAnsi="Verdana"/>
                <w:i/>
                <w:sz w:val="20"/>
                <w:szCs w:val="20"/>
              </w:rPr>
            </w:pPr>
          </w:p>
          <w:p w14:paraId="2DE3CFB0" w14:textId="4BEEB483" w:rsidR="00541F0B" w:rsidRDefault="00541F0B" w:rsidP="00DC49AE">
            <w:pPr>
              <w:spacing w:after="0"/>
              <w:rPr>
                <w:rFonts w:ascii="Verdana" w:hAnsi="Verdana"/>
                <w:i/>
                <w:sz w:val="20"/>
                <w:szCs w:val="20"/>
              </w:rPr>
            </w:pPr>
            <w:r>
              <w:rPr>
                <w:rFonts w:ascii="Verdana" w:hAnsi="Verdana"/>
                <w:i/>
                <w:sz w:val="20"/>
                <w:szCs w:val="20"/>
              </w:rPr>
              <w:t>dibenzyl toluene</w:t>
            </w:r>
          </w:p>
          <w:p w14:paraId="53164455" w14:textId="77777777" w:rsidR="00541F0B" w:rsidRDefault="00541F0B" w:rsidP="00DC49AE">
            <w:pPr>
              <w:spacing w:after="0"/>
              <w:rPr>
                <w:rFonts w:ascii="Verdana" w:hAnsi="Verdana"/>
                <w:i/>
                <w:sz w:val="20"/>
                <w:szCs w:val="20"/>
              </w:rPr>
            </w:pPr>
          </w:p>
          <w:p w14:paraId="4C05DC9F" w14:textId="6DE2CBF9" w:rsidR="00541F0B" w:rsidRDefault="00541F0B" w:rsidP="00DC49AE">
            <w:pPr>
              <w:spacing w:after="0"/>
              <w:rPr>
                <w:rFonts w:ascii="Verdana" w:hAnsi="Verdana"/>
                <w:i/>
                <w:sz w:val="20"/>
                <w:szCs w:val="20"/>
              </w:rPr>
            </w:pPr>
            <w:r>
              <w:rPr>
                <w:rFonts w:ascii="Verdana" w:hAnsi="Verdana"/>
                <w:i/>
                <w:sz w:val="20"/>
                <w:szCs w:val="20"/>
              </w:rPr>
              <w:t>MARLOTHERM SH</w:t>
            </w:r>
          </w:p>
          <w:p w14:paraId="4598BCD2" w14:textId="0F909A29" w:rsidR="00541F0B" w:rsidRDefault="00541F0B" w:rsidP="00DC49AE">
            <w:pPr>
              <w:spacing w:after="0"/>
              <w:rPr>
                <w:rFonts w:ascii="Verdana" w:hAnsi="Verdana"/>
                <w:i/>
                <w:sz w:val="20"/>
                <w:szCs w:val="20"/>
              </w:rPr>
            </w:pPr>
          </w:p>
          <w:p w14:paraId="3976D084" w14:textId="20EFD020" w:rsidR="00541F0B" w:rsidRDefault="00541F0B" w:rsidP="00DC49AE">
            <w:pPr>
              <w:spacing w:after="0"/>
              <w:rPr>
                <w:rFonts w:ascii="Verdana" w:hAnsi="Verdana"/>
                <w:i/>
                <w:sz w:val="20"/>
                <w:szCs w:val="20"/>
              </w:rPr>
            </w:pPr>
            <w:proofErr w:type="spellStart"/>
            <w:r>
              <w:rPr>
                <w:rFonts w:ascii="Verdana" w:hAnsi="Verdana"/>
                <w:i/>
                <w:sz w:val="20"/>
                <w:szCs w:val="20"/>
              </w:rPr>
              <w:t>methyl</w:t>
            </w:r>
            <w:r w:rsidR="00E84F26">
              <w:rPr>
                <w:rFonts w:ascii="Verdana" w:hAnsi="Verdana"/>
                <w:i/>
                <w:sz w:val="20"/>
                <w:szCs w:val="20"/>
              </w:rPr>
              <w:t>bis</w:t>
            </w:r>
            <w:proofErr w:type="spellEnd"/>
            <w:r w:rsidR="00E84F26">
              <w:rPr>
                <w:rFonts w:ascii="Verdana" w:hAnsi="Verdana"/>
                <w:i/>
                <w:sz w:val="20"/>
                <w:szCs w:val="20"/>
              </w:rPr>
              <w:t xml:space="preserve">(phenylmethyl)benzene; </w:t>
            </w:r>
            <w:proofErr w:type="spellStart"/>
            <w:r w:rsidR="00E84F26">
              <w:rPr>
                <w:rFonts w:ascii="Verdana" w:hAnsi="Verdana"/>
                <w:i/>
                <w:sz w:val="20"/>
                <w:szCs w:val="20"/>
              </w:rPr>
              <w:t>dibenzyltoluene</w:t>
            </w:r>
            <w:proofErr w:type="spellEnd"/>
          </w:p>
          <w:p w14:paraId="39B969AE" w14:textId="77777777" w:rsidR="00DC49AE" w:rsidRPr="00F13539" w:rsidRDefault="00DC49AE" w:rsidP="00DC49AE">
            <w:pPr>
              <w:spacing w:after="0"/>
              <w:rPr>
                <w:rFonts w:ascii="Verdana" w:hAnsi="Verdana"/>
                <w:i/>
                <w:sz w:val="20"/>
                <w:szCs w:val="20"/>
              </w:rPr>
            </w:pPr>
          </w:p>
        </w:tc>
      </w:tr>
    </w:tbl>
    <w:p w14:paraId="39B969B0" w14:textId="77777777" w:rsidR="009B5A67" w:rsidRDefault="009B5A67" w:rsidP="009B62CC">
      <w:pPr>
        <w:pStyle w:val="Leipteksti"/>
        <w:spacing w:after="0"/>
        <w:rPr>
          <w:rFonts w:ascii="Verdana" w:hAnsi="Verdana"/>
        </w:rPr>
      </w:pPr>
      <w:r>
        <w:rPr>
          <w:rFonts w:ascii="Verdana" w:hAnsi="Verdana"/>
        </w:rPr>
        <w:t xml:space="preserve"> </w:t>
      </w:r>
    </w:p>
    <w:p w14:paraId="39B969B1" w14:textId="73D694F2" w:rsidR="00921EB8" w:rsidRDefault="00921EB8" w:rsidP="00921EB8">
      <w:pPr>
        <w:pStyle w:val="Leipteksti"/>
        <w:tabs>
          <w:tab w:val="left" w:pos="1985"/>
          <w:tab w:val="left" w:pos="4678"/>
          <w:tab w:val="left" w:pos="7088"/>
        </w:tabs>
        <w:spacing w:before="120" w:after="120"/>
        <w:ind w:left="-567"/>
        <w:jc w:val="left"/>
        <w:rPr>
          <w:rFonts w:ascii="Verdana" w:hAnsi="Verdana"/>
          <w:sz w:val="20"/>
        </w:rPr>
      </w:pPr>
      <w:r w:rsidRPr="006B132F">
        <w:rPr>
          <w:rFonts w:ascii="Verdana" w:hAnsi="Verdana"/>
          <w:b/>
          <w:sz w:val="20"/>
        </w:rPr>
        <w:t>Type of substance</w:t>
      </w:r>
      <w:r w:rsidRPr="006B132F">
        <w:rPr>
          <w:rFonts w:ascii="Verdana" w:hAnsi="Verdana"/>
          <w:b/>
          <w:sz w:val="20"/>
        </w:rPr>
        <w:tab/>
      </w:r>
      <w:sdt>
        <w:sdtPr>
          <w:rPr>
            <w:rFonts w:ascii="Verdana" w:hAnsi="Verdana"/>
            <w:szCs w:val="24"/>
          </w:rPr>
          <w:id w:val="316457405"/>
          <w14:checkbox>
            <w14:checked w14:val="0"/>
            <w14:checkedState w14:val="2612" w14:font="MS Gothic"/>
            <w14:uncheckedState w14:val="2610" w14:font="MS Gothic"/>
          </w14:checkbox>
        </w:sdtPr>
        <w:sdtEndPr/>
        <w:sdtContent>
          <w:r w:rsidR="005C7C49" w:rsidRPr="005C7C49">
            <w:rPr>
              <w:rFonts w:ascii="MS Gothic" w:eastAsia="MS Gothic" w:hAnsi="MS Gothic" w:cs="MS Gothic" w:hint="eastAsia"/>
              <w:szCs w:val="24"/>
            </w:rPr>
            <w:t>☐</w:t>
          </w:r>
        </w:sdtContent>
      </w:sdt>
      <w:r w:rsidRPr="006B132F">
        <w:rPr>
          <w:rFonts w:ascii="Verdana" w:hAnsi="Verdana"/>
          <w:sz w:val="20"/>
        </w:rPr>
        <w:t xml:space="preserve"> Mono-constituent</w:t>
      </w:r>
      <w:r w:rsidRPr="006B132F">
        <w:rPr>
          <w:rFonts w:ascii="Verdana" w:hAnsi="Verdana"/>
          <w:sz w:val="20"/>
        </w:rPr>
        <w:tab/>
      </w:r>
      <w:sdt>
        <w:sdtPr>
          <w:rPr>
            <w:rFonts w:ascii="Verdana" w:hAnsi="Verdana"/>
            <w:szCs w:val="24"/>
          </w:rPr>
          <w:id w:val="-1837456679"/>
          <w14:checkbox>
            <w14:checked w14:val="0"/>
            <w14:checkedState w14:val="2612" w14:font="MS Gothic"/>
            <w14:uncheckedState w14:val="2610" w14:font="MS Gothic"/>
          </w14:checkbox>
        </w:sdtPr>
        <w:sdtEndPr/>
        <w:sdtContent>
          <w:r w:rsidR="005C7C49" w:rsidRPr="005C7C49">
            <w:rPr>
              <w:rFonts w:ascii="MS Gothic" w:eastAsia="MS Gothic" w:hAnsi="MS Gothic" w:cs="MS Gothic" w:hint="eastAsia"/>
              <w:szCs w:val="24"/>
            </w:rPr>
            <w:t>☐</w:t>
          </w:r>
        </w:sdtContent>
      </w:sdt>
      <w:r w:rsidRPr="006B132F">
        <w:rPr>
          <w:rFonts w:ascii="Verdana" w:hAnsi="Verdana"/>
          <w:sz w:val="20"/>
        </w:rPr>
        <w:t xml:space="preserve"> Multi-constituent</w:t>
      </w:r>
      <w:r w:rsidRPr="006B132F">
        <w:rPr>
          <w:rFonts w:ascii="Verdana" w:hAnsi="Verdana"/>
          <w:sz w:val="20"/>
        </w:rPr>
        <w:tab/>
      </w:r>
      <w:sdt>
        <w:sdtPr>
          <w:rPr>
            <w:rFonts w:ascii="Verdana" w:hAnsi="Verdana"/>
            <w:szCs w:val="24"/>
          </w:rPr>
          <w:id w:val="-374238681"/>
          <w14:checkbox>
            <w14:checked w14:val="1"/>
            <w14:checkedState w14:val="2612" w14:font="MS Gothic"/>
            <w14:uncheckedState w14:val="2610" w14:font="MS Gothic"/>
          </w14:checkbox>
        </w:sdtPr>
        <w:sdtEndPr/>
        <w:sdtContent>
          <w:r w:rsidR="00402177">
            <w:rPr>
              <w:rFonts w:ascii="MS Gothic" w:eastAsia="MS Gothic" w:hAnsi="MS Gothic" w:cs="MS Gothic" w:hint="eastAsia"/>
              <w:szCs w:val="24"/>
            </w:rPr>
            <w:t>☒</w:t>
          </w:r>
        </w:sdtContent>
      </w:sdt>
      <w:r w:rsidRPr="006B132F">
        <w:rPr>
          <w:rFonts w:ascii="Verdana" w:hAnsi="Verdana"/>
          <w:sz w:val="20"/>
        </w:rPr>
        <w:t xml:space="preserve"> UVCB</w:t>
      </w:r>
    </w:p>
    <w:p w14:paraId="39B969B2" w14:textId="77777777" w:rsidR="00921EB8" w:rsidRDefault="00921EB8" w:rsidP="00921EB8">
      <w:pPr>
        <w:pStyle w:val="Leipteksti"/>
        <w:tabs>
          <w:tab w:val="left" w:pos="1985"/>
          <w:tab w:val="left" w:pos="4678"/>
          <w:tab w:val="left" w:pos="7088"/>
        </w:tabs>
        <w:spacing w:after="0"/>
        <w:ind w:left="-567"/>
        <w:jc w:val="left"/>
        <w:rPr>
          <w:rFonts w:ascii="Verdana" w:hAnsi="Verdana"/>
          <w:sz w:val="20"/>
        </w:rPr>
      </w:pPr>
    </w:p>
    <w:p w14:paraId="39B969B3" w14:textId="5255FB8F" w:rsidR="00921EB8" w:rsidRDefault="00921EB8" w:rsidP="00921EB8">
      <w:pPr>
        <w:pStyle w:val="Leipteksti"/>
        <w:tabs>
          <w:tab w:val="left" w:pos="1985"/>
          <w:tab w:val="left" w:pos="4678"/>
          <w:tab w:val="left" w:pos="7088"/>
        </w:tabs>
        <w:spacing w:after="0"/>
        <w:ind w:left="-567"/>
        <w:jc w:val="left"/>
        <w:rPr>
          <w:rFonts w:ascii="Verdana" w:hAnsi="Verdana"/>
          <w:b/>
          <w:sz w:val="20"/>
        </w:rPr>
      </w:pPr>
      <w:r w:rsidRPr="00A806A7">
        <w:rPr>
          <w:rFonts w:ascii="Verdana" w:hAnsi="Verdana"/>
          <w:b/>
          <w:sz w:val="20"/>
        </w:rPr>
        <w:t>Structural formula:</w:t>
      </w:r>
      <w:r w:rsidR="00CF1B60">
        <w:rPr>
          <w:rFonts w:ascii="Verdana" w:hAnsi="Verdana"/>
          <w:b/>
          <w:sz w:val="20"/>
        </w:rPr>
        <w:t xml:space="preserve"> </w:t>
      </w:r>
      <w:r w:rsidR="00CF1B60" w:rsidRPr="00CF1B60">
        <w:rPr>
          <w:rFonts w:ascii="Verdana" w:hAnsi="Verdana"/>
          <w:sz w:val="20"/>
        </w:rPr>
        <w:t>UVCB</w:t>
      </w:r>
      <w:r w:rsidR="00CF1B60">
        <w:rPr>
          <w:rFonts w:ascii="Verdana" w:hAnsi="Verdana"/>
          <w:sz w:val="20"/>
        </w:rPr>
        <w:t xml:space="preserve"> substance</w:t>
      </w:r>
    </w:p>
    <w:p w14:paraId="39B969B4" w14:textId="5D84D634" w:rsidR="00C00884" w:rsidRDefault="00C00884" w:rsidP="00921EB8">
      <w:pPr>
        <w:pStyle w:val="Leipteksti"/>
        <w:tabs>
          <w:tab w:val="left" w:pos="1985"/>
          <w:tab w:val="left" w:pos="4678"/>
          <w:tab w:val="left" w:pos="7088"/>
        </w:tabs>
        <w:spacing w:after="0"/>
        <w:ind w:left="-567"/>
        <w:jc w:val="left"/>
        <w:rPr>
          <w:rFonts w:ascii="Verdana" w:hAnsi="Verdana"/>
          <w:b/>
          <w:sz w:val="20"/>
        </w:rPr>
      </w:pPr>
    </w:p>
    <w:p w14:paraId="39B969B5" w14:textId="77777777" w:rsidR="00921EB8" w:rsidRDefault="00921EB8" w:rsidP="00921EB8">
      <w:pPr>
        <w:pStyle w:val="Leipteksti"/>
        <w:tabs>
          <w:tab w:val="left" w:pos="1985"/>
          <w:tab w:val="left" w:pos="4678"/>
          <w:tab w:val="left" w:pos="7088"/>
        </w:tabs>
        <w:spacing w:after="0"/>
        <w:ind w:left="-567"/>
        <w:jc w:val="left"/>
        <w:rPr>
          <w:rFonts w:ascii="Verdana" w:hAnsi="Verdana"/>
          <w:sz w:val="20"/>
        </w:rPr>
      </w:pPr>
    </w:p>
    <w:p w14:paraId="3E4A0E66" w14:textId="57D56D86" w:rsidR="00CB28F8" w:rsidRDefault="00CB28F8" w:rsidP="00CB28F8">
      <w:pPr>
        <w:pStyle w:val="Kuvaotsikko"/>
        <w:tabs>
          <w:tab w:val="left" w:pos="960"/>
        </w:tabs>
        <w:ind w:left="0"/>
        <w:rPr>
          <w:rFonts w:ascii="Verdana" w:hAnsi="Verdana"/>
          <w:b/>
          <w:sz w:val="20"/>
        </w:rPr>
      </w:pPr>
      <w:r w:rsidRPr="00353CCB">
        <w:rPr>
          <w:rFonts w:ascii="Verdana" w:hAnsi="Verdana"/>
          <w:b/>
          <w:sz w:val="20"/>
        </w:rPr>
        <w:lastRenderedPageBreak/>
        <w:t>Table</w:t>
      </w:r>
      <w:r w:rsidR="00E669C1">
        <w:rPr>
          <w:rFonts w:ascii="Verdana" w:hAnsi="Verdana"/>
          <w:b/>
          <w:sz w:val="20"/>
        </w:rPr>
        <w:t xml:space="preserve"> 2</w:t>
      </w:r>
      <w:r>
        <w:rPr>
          <w:rFonts w:ascii="Verdana" w:hAnsi="Verdana"/>
          <w:b/>
          <w:sz w:val="20"/>
        </w:rPr>
        <w:t>:</w:t>
      </w:r>
      <w:r w:rsidRPr="00353CCB">
        <w:rPr>
          <w:rFonts w:ascii="Verdana" w:hAnsi="Verdana"/>
          <w:b/>
          <w:sz w:val="20"/>
        </w:rPr>
        <w:t xml:space="preserve"> </w:t>
      </w:r>
      <w:r>
        <w:rPr>
          <w:rFonts w:ascii="Verdana" w:hAnsi="Verdana"/>
          <w:b/>
          <w:sz w:val="20"/>
        </w:rPr>
        <w:t xml:space="preserve">Other </w:t>
      </w:r>
      <w:r w:rsidRPr="00353CCB">
        <w:rPr>
          <w:rFonts w:ascii="Verdana" w:hAnsi="Verdana"/>
          <w:b/>
          <w:sz w:val="20"/>
        </w:rPr>
        <w:t>Substance identi</w:t>
      </w:r>
      <w:r>
        <w:rPr>
          <w:rFonts w:ascii="Verdana" w:hAnsi="Verdana"/>
          <w:b/>
          <w:sz w:val="20"/>
        </w:rPr>
        <w:t>fiers</w:t>
      </w:r>
    </w:p>
    <w:tbl>
      <w:tblPr>
        <w:tblW w:w="9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18"/>
        <w:gridCol w:w="5137"/>
      </w:tblGrid>
      <w:tr w:rsidR="00CB28F8" w:rsidRPr="0020328D" w14:paraId="16EA1B2C" w14:textId="77777777" w:rsidTr="00CB28F8">
        <w:trPr>
          <w:trHeight w:val="459"/>
          <w:jc w:val="center"/>
        </w:trPr>
        <w:tc>
          <w:tcPr>
            <w:tcW w:w="4518" w:type="dxa"/>
            <w:tcMar>
              <w:top w:w="40" w:type="dxa"/>
              <w:left w:w="40" w:type="dxa"/>
              <w:bottom w:w="40" w:type="dxa"/>
              <w:right w:w="40" w:type="dxa"/>
            </w:tcMar>
            <w:vAlign w:val="center"/>
          </w:tcPr>
          <w:p w14:paraId="3A172CE8" w14:textId="77777777" w:rsidR="00CB28F8" w:rsidRPr="0020328D" w:rsidRDefault="00CB28F8" w:rsidP="00CB28F8">
            <w:pPr>
              <w:pStyle w:val="Tabletext"/>
              <w:spacing w:before="0" w:after="0"/>
              <w:rPr>
                <w:rFonts w:ascii="Verdana" w:hAnsi="Verdana"/>
                <w:b/>
                <w:bCs/>
              </w:rPr>
            </w:pPr>
            <w:r w:rsidRPr="0020328D">
              <w:rPr>
                <w:rFonts w:ascii="Verdana" w:hAnsi="Verdana"/>
                <w:b/>
                <w:bCs/>
              </w:rPr>
              <w:t>EC name</w:t>
            </w:r>
            <w:r>
              <w:rPr>
                <w:rFonts w:ascii="Verdana" w:hAnsi="Verdana"/>
                <w:b/>
                <w:bCs/>
              </w:rPr>
              <w:t xml:space="preserve"> (public)</w:t>
            </w:r>
            <w:r w:rsidRPr="0020328D">
              <w:rPr>
                <w:rFonts w:ascii="Verdana" w:hAnsi="Verdana"/>
                <w:b/>
                <w:bCs/>
              </w:rPr>
              <w:t>:</w:t>
            </w:r>
          </w:p>
        </w:tc>
        <w:tc>
          <w:tcPr>
            <w:tcW w:w="5137" w:type="dxa"/>
            <w:shd w:val="clear" w:color="auto" w:fill="auto"/>
            <w:tcMar>
              <w:top w:w="40" w:type="dxa"/>
              <w:left w:w="40" w:type="dxa"/>
              <w:bottom w:w="40" w:type="dxa"/>
              <w:right w:w="40" w:type="dxa"/>
            </w:tcMar>
            <w:vAlign w:val="center"/>
          </w:tcPr>
          <w:p w14:paraId="26228F8F" w14:textId="1476D14D" w:rsidR="00CB28F8" w:rsidRPr="00F13539" w:rsidRDefault="00F661B2" w:rsidP="00CB28F8">
            <w:pPr>
              <w:spacing w:after="0"/>
              <w:rPr>
                <w:rFonts w:ascii="Verdana" w:hAnsi="Verdana"/>
                <w:sz w:val="20"/>
                <w:szCs w:val="20"/>
              </w:rPr>
            </w:pPr>
            <w:r w:rsidRPr="00946C01">
              <w:rPr>
                <w:rFonts w:ascii="Verdana" w:hAnsi="Verdana" w:cs="Verdana"/>
                <w:color w:val="000000" w:themeColor="text1"/>
                <w:sz w:val="20"/>
                <w:szCs w:val="20"/>
                <w:lang w:val="fi-FI" w:eastAsia="en-GB"/>
              </w:rPr>
              <w:t>6-(1-</w:t>
            </w:r>
            <w:proofErr w:type="gramStart"/>
            <w:r w:rsidRPr="00946C01">
              <w:rPr>
                <w:rFonts w:ascii="Verdana" w:hAnsi="Verdana" w:cs="Verdana"/>
                <w:color w:val="000000" w:themeColor="text1"/>
                <w:sz w:val="20"/>
                <w:szCs w:val="20"/>
                <w:lang w:val="fi-FI" w:eastAsia="en-GB"/>
              </w:rPr>
              <w:t>phenylethyl)-</w:t>
            </w:r>
            <w:proofErr w:type="gramEnd"/>
            <w:r w:rsidRPr="00946C01">
              <w:rPr>
                <w:rFonts w:ascii="Verdana" w:hAnsi="Verdana" w:cs="Verdana"/>
                <w:color w:val="000000" w:themeColor="text1"/>
                <w:sz w:val="20"/>
                <w:szCs w:val="20"/>
                <w:lang w:val="fi-FI" w:eastAsia="en-GB"/>
              </w:rPr>
              <w:t>1,2,3,4-tetrahydronaphthalene</w:t>
            </w:r>
          </w:p>
        </w:tc>
      </w:tr>
      <w:tr w:rsidR="00CB28F8" w:rsidRPr="0020328D" w14:paraId="435FFBFA" w14:textId="77777777" w:rsidTr="00CB28F8">
        <w:trPr>
          <w:trHeight w:val="449"/>
          <w:jc w:val="center"/>
        </w:trPr>
        <w:tc>
          <w:tcPr>
            <w:tcW w:w="4518" w:type="dxa"/>
            <w:tcMar>
              <w:top w:w="40" w:type="dxa"/>
              <w:left w:w="40" w:type="dxa"/>
              <w:bottom w:w="40" w:type="dxa"/>
              <w:right w:w="40" w:type="dxa"/>
            </w:tcMar>
            <w:vAlign w:val="center"/>
          </w:tcPr>
          <w:p w14:paraId="2E211FA2" w14:textId="77777777" w:rsidR="00CB28F8" w:rsidRPr="0020328D" w:rsidRDefault="00CB28F8" w:rsidP="00CB28F8">
            <w:pPr>
              <w:pStyle w:val="Tabletext"/>
              <w:spacing w:before="0" w:after="0"/>
              <w:rPr>
                <w:rFonts w:ascii="Verdana" w:hAnsi="Verdana"/>
                <w:b/>
                <w:bCs/>
              </w:rPr>
            </w:pPr>
            <w:r w:rsidRPr="0020328D">
              <w:rPr>
                <w:rFonts w:ascii="Verdana" w:hAnsi="Verdana"/>
                <w:b/>
                <w:bCs/>
              </w:rPr>
              <w:t>IUPAC name</w:t>
            </w:r>
            <w:r>
              <w:rPr>
                <w:rFonts w:ascii="Verdana" w:hAnsi="Verdana"/>
                <w:b/>
                <w:bCs/>
              </w:rPr>
              <w:t xml:space="preserve"> (public)</w:t>
            </w:r>
            <w:r w:rsidRPr="0020328D">
              <w:rPr>
                <w:rFonts w:ascii="Verdana" w:hAnsi="Verdana"/>
                <w:b/>
                <w:bCs/>
              </w:rPr>
              <w:t>:</w:t>
            </w:r>
          </w:p>
        </w:tc>
        <w:tc>
          <w:tcPr>
            <w:tcW w:w="5137" w:type="dxa"/>
            <w:shd w:val="clear" w:color="auto" w:fill="auto"/>
            <w:tcMar>
              <w:top w:w="40" w:type="dxa"/>
              <w:left w:w="40" w:type="dxa"/>
              <w:bottom w:w="40" w:type="dxa"/>
              <w:right w:w="40" w:type="dxa"/>
            </w:tcMar>
            <w:vAlign w:val="center"/>
          </w:tcPr>
          <w:p w14:paraId="47C7499E" w14:textId="0166851F" w:rsidR="00CB28F8" w:rsidRPr="00F13539" w:rsidRDefault="00F661B2" w:rsidP="00CB28F8">
            <w:pPr>
              <w:spacing w:after="0"/>
              <w:rPr>
                <w:rFonts w:ascii="Verdana" w:hAnsi="Verdana"/>
                <w:sz w:val="20"/>
                <w:szCs w:val="20"/>
              </w:rPr>
            </w:pPr>
            <w:r w:rsidRPr="00591535">
              <w:rPr>
                <w:rFonts w:ascii="Verdana" w:hAnsi="Verdana"/>
                <w:sz w:val="20"/>
                <w:szCs w:val="20"/>
              </w:rPr>
              <w:t>1,2,3,</w:t>
            </w:r>
            <w:proofErr w:type="gramStart"/>
            <w:r w:rsidRPr="00591535">
              <w:rPr>
                <w:rFonts w:ascii="Verdana" w:hAnsi="Verdana"/>
                <w:sz w:val="20"/>
                <w:szCs w:val="20"/>
              </w:rPr>
              <w:t>4,-</w:t>
            </w:r>
            <w:proofErr w:type="gramEnd"/>
            <w:r w:rsidRPr="00591535">
              <w:rPr>
                <w:rFonts w:ascii="Verdana" w:hAnsi="Verdana"/>
                <w:sz w:val="20"/>
                <w:szCs w:val="20"/>
              </w:rPr>
              <w:t>tetrahydro-(1-phenylethyl)-naphthalene</w:t>
            </w:r>
          </w:p>
        </w:tc>
      </w:tr>
      <w:tr w:rsidR="00CB28F8" w:rsidRPr="0020328D" w14:paraId="573424CA" w14:textId="77777777" w:rsidTr="00CB28F8">
        <w:trPr>
          <w:jc w:val="center"/>
        </w:trPr>
        <w:tc>
          <w:tcPr>
            <w:tcW w:w="4518" w:type="dxa"/>
            <w:tcMar>
              <w:top w:w="40" w:type="dxa"/>
              <w:left w:w="40" w:type="dxa"/>
              <w:bottom w:w="40" w:type="dxa"/>
              <w:right w:w="40" w:type="dxa"/>
            </w:tcMar>
            <w:vAlign w:val="center"/>
          </w:tcPr>
          <w:p w14:paraId="54528DE5" w14:textId="77777777" w:rsidR="00CB28F8" w:rsidRPr="0020328D" w:rsidRDefault="00CB28F8" w:rsidP="00CB28F8">
            <w:pPr>
              <w:pStyle w:val="Tabletext"/>
              <w:spacing w:before="0" w:after="0"/>
              <w:rPr>
                <w:rFonts w:ascii="Verdana" w:hAnsi="Verdana"/>
                <w:b/>
                <w:bCs/>
              </w:rPr>
            </w:pPr>
            <w:r w:rsidRPr="0020328D">
              <w:rPr>
                <w:rFonts w:ascii="Verdana" w:hAnsi="Verdana"/>
                <w:b/>
                <w:bCs/>
              </w:rPr>
              <w:t>Index number in Annex VI of the CLP Regulation</w:t>
            </w:r>
            <w:r>
              <w:rPr>
                <w:rFonts w:ascii="Verdana" w:hAnsi="Verdana"/>
                <w:b/>
                <w:bCs/>
              </w:rPr>
              <w:t>:</w:t>
            </w:r>
          </w:p>
        </w:tc>
        <w:tc>
          <w:tcPr>
            <w:tcW w:w="5137" w:type="dxa"/>
            <w:shd w:val="clear" w:color="auto" w:fill="auto"/>
            <w:tcMar>
              <w:top w:w="40" w:type="dxa"/>
              <w:left w:w="40" w:type="dxa"/>
              <w:bottom w:w="40" w:type="dxa"/>
              <w:right w:w="40" w:type="dxa"/>
            </w:tcMar>
            <w:vAlign w:val="center"/>
          </w:tcPr>
          <w:p w14:paraId="7E1A6F7E" w14:textId="77777777" w:rsidR="00CB28F8" w:rsidRPr="00F13539" w:rsidRDefault="00CB28F8" w:rsidP="00CB28F8">
            <w:pPr>
              <w:spacing w:after="0"/>
              <w:rPr>
                <w:rFonts w:ascii="Verdana" w:hAnsi="Verdana"/>
                <w:sz w:val="20"/>
                <w:szCs w:val="20"/>
              </w:rPr>
            </w:pPr>
          </w:p>
        </w:tc>
      </w:tr>
      <w:tr w:rsidR="00CB28F8" w:rsidRPr="0020328D" w14:paraId="5B865293" w14:textId="77777777" w:rsidTr="00CB28F8">
        <w:trPr>
          <w:trHeight w:val="423"/>
          <w:jc w:val="center"/>
        </w:trPr>
        <w:tc>
          <w:tcPr>
            <w:tcW w:w="4518" w:type="dxa"/>
            <w:tcMar>
              <w:top w:w="40" w:type="dxa"/>
              <w:left w:w="40" w:type="dxa"/>
              <w:bottom w:w="40" w:type="dxa"/>
              <w:right w:w="40" w:type="dxa"/>
            </w:tcMar>
            <w:vAlign w:val="center"/>
          </w:tcPr>
          <w:p w14:paraId="06744881" w14:textId="77777777" w:rsidR="00CB28F8" w:rsidRPr="0020328D" w:rsidRDefault="00CB28F8" w:rsidP="00CB28F8">
            <w:pPr>
              <w:pStyle w:val="Tabletext"/>
              <w:spacing w:before="0" w:after="0"/>
              <w:rPr>
                <w:rFonts w:ascii="Verdana" w:hAnsi="Verdana"/>
                <w:b/>
                <w:bCs/>
              </w:rPr>
            </w:pPr>
            <w:r w:rsidRPr="0020328D">
              <w:rPr>
                <w:rFonts w:ascii="Verdana" w:hAnsi="Verdana"/>
                <w:b/>
                <w:bCs/>
              </w:rPr>
              <w:t>Molecular formula:</w:t>
            </w:r>
          </w:p>
        </w:tc>
        <w:tc>
          <w:tcPr>
            <w:tcW w:w="5137" w:type="dxa"/>
            <w:shd w:val="clear" w:color="auto" w:fill="auto"/>
            <w:tcMar>
              <w:top w:w="40" w:type="dxa"/>
              <w:left w:w="40" w:type="dxa"/>
              <w:bottom w:w="40" w:type="dxa"/>
              <w:right w:w="40" w:type="dxa"/>
            </w:tcMar>
            <w:vAlign w:val="center"/>
          </w:tcPr>
          <w:p w14:paraId="360E3EA7" w14:textId="7E2B2933" w:rsidR="00CB28F8" w:rsidRPr="00F13539" w:rsidRDefault="00C50F3D" w:rsidP="00CB28F8">
            <w:pPr>
              <w:spacing w:after="0"/>
              <w:rPr>
                <w:rFonts w:ascii="Verdana" w:hAnsi="Verdana"/>
                <w:sz w:val="20"/>
                <w:szCs w:val="20"/>
              </w:rPr>
            </w:pPr>
            <w:r>
              <w:rPr>
                <w:rFonts w:ascii="Verdana" w:hAnsi="Verdana"/>
                <w:sz w:val="20"/>
                <w:szCs w:val="20"/>
              </w:rPr>
              <w:t>C18H20</w:t>
            </w:r>
          </w:p>
        </w:tc>
      </w:tr>
      <w:tr w:rsidR="00CB28F8" w:rsidRPr="0020328D" w14:paraId="47BD7634" w14:textId="77777777" w:rsidTr="00CB28F8">
        <w:trPr>
          <w:jc w:val="center"/>
        </w:trPr>
        <w:tc>
          <w:tcPr>
            <w:tcW w:w="4518" w:type="dxa"/>
            <w:tcMar>
              <w:top w:w="40" w:type="dxa"/>
              <w:left w:w="40" w:type="dxa"/>
              <w:bottom w:w="40" w:type="dxa"/>
              <w:right w:w="40" w:type="dxa"/>
            </w:tcMar>
            <w:vAlign w:val="center"/>
          </w:tcPr>
          <w:p w14:paraId="4B1ABD4C" w14:textId="77777777" w:rsidR="00CB28F8" w:rsidRPr="0020328D" w:rsidRDefault="00CB28F8" w:rsidP="00CB28F8">
            <w:pPr>
              <w:pStyle w:val="Tabletext"/>
              <w:spacing w:before="0" w:after="0"/>
              <w:rPr>
                <w:rFonts w:ascii="Verdana" w:hAnsi="Verdana"/>
                <w:b/>
                <w:bCs/>
              </w:rPr>
            </w:pPr>
            <w:r w:rsidRPr="0020328D">
              <w:rPr>
                <w:rFonts w:ascii="Verdana" w:hAnsi="Verdana"/>
                <w:b/>
                <w:bCs/>
              </w:rPr>
              <w:t>Molecular weight or molecular weight range:</w:t>
            </w:r>
          </w:p>
        </w:tc>
        <w:tc>
          <w:tcPr>
            <w:tcW w:w="5137" w:type="dxa"/>
            <w:shd w:val="clear" w:color="auto" w:fill="auto"/>
            <w:tcMar>
              <w:top w:w="40" w:type="dxa"/>
              <w:left w:w="40" w:type="dxa"/>
              <w:bottom w:w="40" w:type="dxa"/>
              <w:right w:w="40" w:type="dxa"/>
            </w:tcMar>
            <w:vAlign w:val="center"/>
          </w:tcPr>
          <w:p w14:paraId="5BDCFC07" w14:textId="28E78DD6" w:rsidR="00CB28F8" w:rsidRPr="00F13539" w:rsidRDefault="00C50F3D" w:rsidP="00CB28F8">
            <w:pPr>
              <w:spacing w:after="0"/>
              <w:rPr>
                <w:rFonts w:ascii="Verdana" w:hAnsi="Verdana"/>
                <w:sz w:val="20"/>
                <w:szCs w:val="20"/>
              </w:rPr>
            </w:pPr>
            <w:r>
              <w:rPr>
                <w:rFonts w:ascii="Verdana" w:hAnsi="Verdana"/>
                <w:sz w:val="20"/>
                <w:szCs w:val="20"/>
              </w:rPr>
              <w:t>236.36 g/mol</w:t>
            </w:r>
          </w:p>
        </w:tc>
      </w:tr>
      <w:tr w:rsidR="00CB28F8" w:rsidRPr="0020328D" w14:paraId="09E64087" w14:textId="77777777" w:rsidTr="00CB28F8">
        <w:trPr>
          <w:trHeight w:val="396"/>
          <w:jc w:val="center"/>
        </w:trPr>
        <w:tc>
          <w:tcPr>
            <w:tcW w:w="4518" w:type="dxa"/>
            <w:tcMar>
              <w:top w:w="40" w:type="dxa"/>
              <w:left w:w="40" w:type="dxa"/>
              <w:bottom w:w="40" w:type="dxa"/>
              <w:right w:w="40" w:type="dxa"/>
            </w:tcMar>
            <w:vAlign w:val="center"/>
          </w:tcPr>
          <w:p w14:paraId="4A6C84AD" w14:textId="77777777" w:rsidR="00CB28F8" w:rsidRPr="0020328D" w:rsidRDefault="00CB28F8" w:rsidP="00CB28F8">
            <w:pPr>
              <w:pStyle w:val="Tabletext"/>
              <w:spacing w:before="0" w:after="0"/>
              <w:rPr>
                <w:rFonts w:ascii="Verdana" w:hAnsi="Verdana"/>
                <w:b/>
                <w:bCs/>
              </w:rPr>
            </w:pPr>
            <w:r w:rsidRPr="0020328D">
              <w:rPr>
                <w:rFonts w:ascii="Verdana" w:hAnsi="Verdana"/>
                <w:b/>
              </w:rPr>
              <w:t>Synonyms:</w:t>
            </w:r>
          </w:p>
        </w:tc>
        <w:tc>
          <w:tcPr>
            <w:tcW w:w="5137" w:type="dxa"/>
            <w:shd w:val="clear" w:color="auto" w:fill="auto"/>
            <w:tcMar>
              <w:top w:w="40" w:type="dxa"/>
              <w:left w:w="40" w:type="dxa"/>
              <w:bottom w:w="40" w:type="dxa"/>
              <w:right w:w="40" w:type="dxa"/>
            </w:tcMar>
            <w:vAlign w:val="center"/>
          </w:tcPr>
          <w:p w14:paraId="402ACE3E" w14:textId="77777777" w:rsidR="00CB28F8" w:rsidRDefault="00CB28F8" w:rsidP="00CB28F8">
            <w:pPr>
              <w:spacing w:after="0"/>
              <w:rPr>
                <w:rFonts w:ascii="Verdana" w:hAnsi="Verdana"/>
                <w:i/>
                <w:sz w:val="20"/>
                <w:szCs w:val="20"/>
              </w:rPr>
            </w:pPr>
          </w:p>
          <w:p w14:paraId="453701DB" w14:textId="6898E47F" w:rsidR="00CB28F8" w:rsidRDefault="001E1ECB" w:rsidP="00CB28F8">
            <w:pPr>
              <w:spacing w:after="0"/>
              <w:rPr>
                <w:rFonts w:ascii="Verdana" w:hAnsi="Verdana"/>
                <w:i/>
                <w:sz w:val="20"/>
                <w:szCs w:val="20"/>
              </w:rPr>
            </w:pPr>
            <w:r>
              <w:rPr>
                <w:rFonts w:ascii="Verdana" w:hAnsi="Verdana"/>
                <w:i/>
                <w:sz w:val="20"/>
                <w:szCs w:val="20"/>
              </w:rPr>
              <w:t>ACTREL 400</w:t>
            </w:r>
          </w:p>
          <w:p w14:paraId="4C82D273" w14:textId="51D05859" w:rsidR="001E1ECB" w:rsidRDefault="001E1ECB" w:rsidP="00CB28F8">
            <w:pPr>
              <w:spacing w:after="0"/>
              <w:rPr>
                <w:rFonts w:ascii="Verdana" w:hAnsi="Verdana"/>
                <w:i/>
                <w:sz w:val="20"/>
                <w:szCs w:val="20"/>
              </w:rPr>
            </w:pPr>
          </w:p>
          <w:p w14:paraId="40DA2E9D" w14:textId="3BB7B503" w:rsidR="001E1ECB" w:rsidRDefault="001E1ECB" w:rsidP="00CB28F8">
            <w:pPr>
              <w:spacing w:after="0"/>
              <w:rPr>
                <w:rFonts w:ascii="Verdana" w:hAnsi="Verdana"/>
                <w:i/>
                <w:sz w:val="20"/>
                <w:szCs w:val="20"/>
              </w:rPr>
            </w:pPr>
            <w:r>
              <w:rPr>
                <w:rFonts w:ascii="Verdana" w:hAnsi="Verdana"/>
                <w:i/>
                <w:sz w:val="20"/>
                <w:szCs w:val="20"/>
              </w:rPr>
              <w:t>DOWTHERM*RP HEAT TRANSFER FLUID</w:t>
            </w:r>
          </w:p>
          <w:p w14:paraId="11A80730" w14:textId="762880C5" w:rsidR="001E1ECB" w:rsidRDefault="001E1ECB" w:rsidP="00CB28F8">
            <w:pPr>
              <w:spacing w:after="0"/>
              <w:rPr>
                <w:rFonts w:ascii="Verdana" w:hAnsi="Verdana"/>
                <w:i/>
                <w:sz w:val="20"/>
                <w:szCs w:val="20"/>
              </w:rPr>
            </w:pPr>
          </w:p>
          <w:p w14:paraId="0AE0F896" w14:textId="71E607BC" w:rsidR="001E1ECB" w:rsidRDefault="001E1ECB" w:rsidP="00CB28F8">
            <w:pPr>
              <w:spacing w:after="0"/>
              <w:rPr>
                <w:rFonts w:ascii="Verdana" w:hAnsi="Verdana"/>
                <w:i/>
                <w:sz w:val="20"/>
                <w:szCs w:val="20"/>
              </w:rPr>
            </w:pPr>
            <w:r>
              <w:rPr>
                <w:rFonts w:ascii="Verdana" w:hAnsi="Verdana"/>
                <w:i/>
                <w:sz w:val="20"/>
                <w:szCs w:val="20"/>
              </w:rPr>
              <w:t>SYNTREL 350</w:t>
            </w:r>
          </w:p>
          <w:p w14:paraId="6A4F0686" w14:textId="77777777" w:rsidR="00CB28F8" w:rsidRDefault="00CB28F8" w:rsidP="00CB28F8">
            <w:pPr>
              <w:spacing w:after="0"/>
              <w:rPr>
                <w:rFonts w:ascii="Verdana" w:hAnsi="Verdana"/>
                <w:i/>
                <w:sz w:val="20"/>
                <w:szCs w:val="20"/>
              </w:rPr>
            </w:pPr>
          </w:p>
          <w:p w14:paraId="74BA25F5" w14:textId="77777777" w:rsidR="00CB28F8" w:rsidRDefault="00CB28F8" w:rsidP="00CB28F8">
            <w:pPr>
              <w:spacing w:after="0"/>
              <w:rPr>
                <w:rFonts w:ascii="Verdana" w:hAnsi="Verdana"/>
                <w:i/>
                <w:sz w:val="20"/>
                <w:szCs w:val="20"/>
              </w:rPr>
            </w:pPr>
          </w:p>
          <w:p w14:paraId="244F1BB2" w14:textId="77777777" w:rsidR="00CB28F8" w:rsidRPr="00F13539" w:rsidRDefault="00CB28F8" w:rsidP="00CB28F8">
            <w:pPr>
              <w:spacing w:after="0"/>
              <w:rPr>
                <w:rFonts w:ascii="Verdana" w:hAnsi="Verdana"/>
                <w:i/>
                <w:sz w:val="20"/>
                <w:szCs w:val="20"/>
              </w:rPr>
            </w:pPr>
          </w:p>
        </w:tc>
      </w:tr>
    </w:tbl>
    <w:p w14:paraId="61462BBF" w14:textId="77777777" w:rsidR="00CB28F8" w:rsidRDefault="00CB28F8" w:rsidP="00CB28F8">
      <w:pPr>
        <w:pStyle w:val="Leipteksti"/>
        <w:spacing w:after="0"/>
        <w:rPr>
          <w:rFonts w:ascii="Verdana" w:hAnsi="Verdana"/>
        </w:rPr>
      </w:pPr>
      <w:r>
        <w:rPr>
          <w:rFonts w:ascii="Verdana" w:hAnsi="Verdana"/>
        </w:rPr>
        <w:t xml:space="preserve"> </w:t>
      </w:r>
    </w:p>
    <w:p w14:paraId="5C091AC6" w14:textId="5D0A804A" w:rsidR="00CB28F8" w:rsidRDefault="00CB28F8" w:rsidP="00CB28F8">
      <w:pPr>
        <w:pStyle w:val="Leipteksti"/>
        <w:tabs>
          <w:tab w:val="left" w:pos="1985"/>
          <w:tab w:val="left" w:pos="4678"/>
          <w:tab w:val="left" w:pos="7088"/>
        </w:tabs>
        <w:spacing w:before="120" w:after="120"/>
        <w:ind w:left="-567"/>
        <w:jc w:val="left"/>
        <w:rPr>
          <w:rFonts w:ascii="Verdana" w:hAnsi="Verdana"/>
          <w:sz w:val="20"/>
        </w:rPr>
      </w:pPr>
      <w:r w:rsidRPr="006B132F">
        <w:rPr>
          <w:rFonts w:ascii="Verdana" w:hAnsi="Verdana"/>
          <w:b/>
          <w:sz w:val="20"/>
        </w:rPr>
        <w:t>Type of substance</w:t>
      </w:r>
      <w:r w:rsidRPr="006B132F">
        <w:rPr>
          <w:rFonts w:ascii="Verdana" w:hAnsi="Verdana"/>
          <w:b/>
          <w:sz w:val="20"/>
        </w:rPr>
        <w:tab/>
      </w:r>
      <w:sdt>
        <w:sdtPr>
          <w:rPr>
            <w:rFonts w:ascii="Verdana" w:hAnsi="Verdana"/>
            <w:szCs w:val="24"/>
          </w:rPr>
          <w:id w:val="2030598407"/>
          <w14:checkbox>
            <w14:checked w14:val="0"/>
            <w14:checkedState w14:val="2612" w14:font="MS Gothic"/>
            <w14:uncheckedState w14:val="2610" w14:font="MS Gothic"/>
          </w14:checkbox>
        </w:sdtPr>
        <w:sdtEndPr/>
        <w:sdtContent>
          <w:r w:rsidRPr="005C7C49">
            <w:rPr>
              <w:rFonts w:ascii="MS Gothic" w:eastAsia="MS Gothic" w:hAnsi="MS Gothic" w:cs="MS Gothic" w:hint="eastAsia"/>
              <w:szCs w:val="24"/>
            </w:rPr>
            <w:t>☐</w:t>
          </w:r>
        </w:sdtContent>
      </w:sdt>
      <w:r w:rsidRPr="006B132F">
        <w:rPr>
          <w:rFonts w:ascii="Verdana" w:hAnsi="Verdana"/>
          <w:sz w:val="20"/>
        </w:rPr>
        <w:t xml:space="preserve"> Mono-constituent</w:t>
      </w:r>
      <w:r w:rsidRPr="006B132F">
        <w:rPr>
          <w:rFonts w:ascii="Verdana" w:hAnsi="Verdana"/>
          <w:sz w:val="20"/>
        </w:rPr>
        <w:tab/>
      </w:r>
      <w:sdt>
        <w:sdtPr>
          <w:rPr>
            <w:rFonts w:ascii="Verdana" w:hAnsi="Verdana"/>
            <w:szCs w:val="24"/>
          </w:rPr>
          <w:id w:val="1621646558"/>
          <w14:checkbox>
            <w14:checked w14:val="1"/>
            <w14:checkedState w14:val="2612" w14:font="MS Gothic"/>
            <w14:uncheckedState w14:val="2610" w14:font="MS Gothic"/>
          </w14:checkbox>
        </w:sdtPr>
        <w:sdtEndPr/>
        <w:sdtContent>
          <w:r w:rsidR="001B79E5">
            <w:rPr>
              <w:rFonts w:ascii="MS Gothic" w:eastAsia="MS Gothic" w:hAnsi="MS Gothic" w:hint="eastAsia"/>
              <w:szCs w:val="24"/>
            </w:rPr>
            <w:t>☒</w:t>
          </w:r>
        </w:sdtContent>
      </w:sdt>
      <w:r w:rsidRPr="006B132F">
        <w:rPr>
          <w:rFonts w:ascii="Verdana" w:hAnsi="Verdana"/>
          <w:sz w:val="20"/>
        </w:rPr>
        <w:t xml:space="preserve"> Multi-constituent</w:t>
      </w:r>
      <w:r w:rsidRPr="006B132F">
        <w:rPr>
          <w:rFonts w:ascii="Verdana" w:hAnsi="Verdana"/>
          <w:sz w:val="20"/>
        </w:rPr>
        <w:tab/>
      </w:r>
      <w:sdt>
        <w:sdtPr>
          <w:rPr>
            <w:rFonts w:ascii="Verdana" w:hAnsi="Verdana"/>
            <w:szCs w:val="24"/>
          </w:rPr>
          <w:id w:val="279779489"/>
          <w14:checkbox>
            <w14:checked w14:val="0"/>
            <w14:checkedState w14:val="2612" w14:font="MS Gothic"/>
            <w14:uncheckedState w14:val="2610" w14:font="MS Gothic"/>
          </w14:checkbox>
        </w:sdtPr>
        <w:sdtEndPr/>
        <w:sdtContent>
          <w:r w:rsidRPr="005C7C49">
            <w:rPr>
              <w:rFonts w:ascii="MS Gothic" w:eastAsia="MS Gothic" w:hAnsi="MS Gothic" w:cs="MS Gothic" w:hint="eastAsia"/>
              <w:szCs w:val="24"/>
            </w:rPr>
            <w:t>☐</w:t>
          </w:r>
        </w:sdtContent>
      </w:sdt>
      <w:r w:rsidRPr="006B132F">
        <w:rPr>
          <w:rFonts w:ascii="Verdana" w:hAnsi="Verdana"/>
          <w:sz w:val="20"/>
        </w:rPr>
        <w:t xml:space="preserve"> UVCB</w:t>
      </w:r>
    </w:p>
    <w:p w14:paraId="6454F658" w14:textId="77777777" w:rsidR="00CB28F8" w:rsidRDefault="00CB28F8" w:rsidP="00CB28F8">
      <w:pPr>
        <w:pStyle w:val="Leipteksti"/>
        <w:tabs>
          <w:tab w:val="left" w:pos="1985"/>
          <w:tab w:val="left" w:pos="4678"/>
          <w:tab w:val="left" w:pos="7088"/>
        </w:tabs>
        <w:spacing w:after="0"/>
        <w:ind w:left="-567"/>
        <w:jc w:val="left"/>
        <w:rPr>
          <w:rFonts w:ascii="Verdana" w:hAnsi="Verdana"/>
          <w:sz w:val="20"/>
        </w:rPr>
      </w:pPr>
    </w:p>
    <w:p w14:paraId="2A7B74B2" w14:textId="77777777" w:rsidR="00CB28F8" w:rsidRDefault="00CB28F8" w:rsidP="00CB28F8">
      <w:pPr>
        <w:pStyle w:val="Leipteksti"/>
        <w:tabs>
          <w:tab w:val="left" w:pos="1985"/>
          <w:tab w:val="left" w:pos="4678"/>
          <w:tab w:val="left" w:pos="7088"/>
        </w:tabs>
        <w:spacing w:after="0"/>
        <w:ind w:left="-567"/>
        <w:jc w:val="left"/>
        <w:rPr>
          <w:rFonts w:ascii="Verdana" w:hAnsi="Verdana"/>
          <w:b/>
          <w:sz w:val="20"/>
        </w:rPr>
      </w:pPr>
      <w:r w:rsidRPr="00A806A7">
        <w:rPr>
          <w:rFonts w:ascii="Verdana" w:hAnsi="Verdana"/>
          <w:b/>
          <w:sz w:val="20"/>
        </w:rPr>
        <w:t>Structural formula:</w:t>
      </w:r>
    </w:p>
    <w:p w14:paraId="5D38ABA0" w14:textId="039F8569" w:rsidR="00CB28F8" w:rsidRDefault="00CB28F8" w:rsidP="00CB28F8">
      <w:pPr>
        <w:pStyle w:val="Leipteksti"/>
        <w:tabs>
          <w:tab w:val="left" w:pos="1985"/>
          <w:tab w:val="left" w:pos="4678"/>
          <w:tab w:val="left" w:pos="7088"/>
        </w:tabs>
        <w:spacing w:after="0"/>
        <w:ind w:left="-567"/>
        <w:jc w:val="left"/>
        <w:rPr>
          <w:rFonts w:ascii="Verdana" w:hAnsi="Verdana"/>
          <w:b/>
          <w:sz w:val="20"/>
        </w:rPr>
      </w:pPr>
    </w:p>
    <w:p w14:paraId="19CDCC89" w14:textId="19A4C8C8" w:rsidR="002212D4" w:rsidRDefault="002212D4" w:rsidP="00CB28F8">
      <w:pPr>
        <w:pStyle w:val="Leipteksti"/>
        <w:tabs>
          <w:tab w:val="left" w:pos="1985"/>
          <w:tab w:val="left" w:pos="4678"/>
          <w:tab w:val="left" w:pos="7088"/>
        </w:tabs>
        <w:spacing w:after="0"/>
        <w:ind w:left="-567"/>
        <w:jc w:val="left"/>
        <w:rPr>
          <w:rFonts w:ascii="Verdana" w:hAnsi="Verdana"/>
          <w:b/>
          <w:sz w:val="20"/>
        </w:rPr>
      </w:pPr>
      <w:r>
        <w:rPr>
          <w:rFonts w:ascii="Verdana" w:hAnsi="Verdana"/>
          <w:noProof/>
          <w:sz w:val="20"/>
        </w:rPr>
        <w:drawing>
          <wp:inline distT="0" distB="0" distL="0" distR="0" wp14:anchorId="1CE19A55" wp14:editId="15EA6056">
            <wp:extent cx="2165350" cy="2165350"/>
            <wp:effectExtent l="0" t="0" r="6350" b="635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phthalene,_1,2,3,4-tetrahydro-6-(1-phenylethyl)-_300.png"/>
                    <pic:cNvPicPr/>
                  </pic:nvPicPr>
                  <pic:blipFill>
                    <a:blip r:embed="rId21">
                      <a:extLst>
                        <a:ext uri="{28A0092B-C50C-407E-A947-70E740481C1C}">
                          <a14:useLocalDpi xmlns:a14="http://schemas.microsoft.com/office/drawing/2010/main" val="0"/>
                        </a:ext>
                      </a:extLst>
                    </a:blip>
                    <a:stretch>
                      <a:fillRect/>
                    </a:stretch>
                  </pic:blipFill>
                  <pic:spPr>
                    <a:xfrm>
                      <a:off x="0" y="0"/>
                      <a:ext cx="2165561" cy="2165561"/>
                    </a:xfrm>
                    <a:prstGeom prst="rect">
                      <a:avLst/>
                    </a:prstGeom>
                  </pic:spPr>
                </pic:pic>
              </a:graphicData>
            </a:graphic>
          </wp:inline>
        </w:drawing>
      </w:r>
    </w:p>
    <w:p w14:paraId="25BF9FFF" w14:textId="77777777" w:rsidR="002212D4" w:rsidRDefault="002212D4" w:rsidP="002212D4">
      <w:pPr>
        <w:pStyle w:val="Leipteksti"/>
        <w:tabs>
          <w:tab w:val="left" w:pos="1985"/>
          <w:tab w:val="left" w:pos="4678"/>
          <w:tab w:val="left" w:pos="7088"/>
        </w:tabs>
        <w:spacing w:after="0"/>
        <w:ind w:left="-567"/>
        <w:rPr>
          <w:rFonts w:ascii="Verdana" w:hAnsi="Verdana"/>
          <w:sz w:val="20"/>
        </w:rPr>
      </w:pPr>
      <w:r>
        <w:rPr>
          <w:rFonts w:ascii="Verdana" w:hAnsi="Verdana"/>
          <w:sz w:val="20"/>
        </w:rPr>
        <w:t>Structural formula is based on public name of the substance in the ECHA dissemination site (</w:t>
      </w:r>
      <w:r w:rsidRPr="00C74BF5">
        <w:rPr>
          <w:rFonts w:ascii="Verdana" w:hAnsi="Verdana"/>
          <w:sz w:val="20"/>
        </w:rPr>
        <w:t>6-(1-phenylethyl)-1,2,3,4-tetrahydronaphthalene</w:t>
      </w:r>
      <w:r>
        <w:rPr>
          <w:rFonts w:ascii="Verdana" w:hAnsi="Verdana"/>
          <w:sz w:val="20"/>
        </w:rPr>
        <w:t>). This structure is used as potential constituent of the registered multi-constituent substance.</w:t>
      </w:r>
    </w:p>
    <w:p w14:paraId="61B74EF6" w14:textId="77777777" w:rsidR="002212D4" w:rsidRDefault="002212D4" w:rsidP="00CB28F8">
      <w:pPr>
        <w:pStyle w:val="Leipteksti"/>
        <w:tabs>
          <w:tab w:val="left" w:pos="1985"/>
          <w:tab w:val="left" w:pos="4678"/>
          <w:tab w:val="left" w:pos="7088"/>
        </w:tabs>
        <w:spacing w:after="0"/>
        <w:ind w:left="-567"/>
        <w:jc w:val="left"/>
        <w:rPr>
          <w:rFonts w:ascii="Verdana" w:hAnsi="Verdana"/>
          <w:b/>
          <w:sz w:val="20"/>
        </w:rPr>
      </w:pPr>
    </w:p>
    <w:p w14:paraId="621D0698" w14:textId="77777777" w:rsidR="00CB28F8" w:rsidRDefault="00CB28F8" w:rsidP="00CB28F8">
      <w:pPr>
        <w:pStyle w:val="Leipteksti"/>
        <w:tabs>
          <w:tab w:val="left" w:pos="1985"/>
          <w:tab w:val="left" w:pos="4678"/>
          <w:tab w:val="left" w:pos="7088"/>
        </w:tabs>
        <w:spacing w:after="0"/>
        <w:ind w:left="-567"/>
        <w:jc w:val="left"/>
        <w:rPr>
          <w:rFonts w:ascii="Verdana" w:hAnsi="Verdana"/>
          <w:sz w:val="20"/>
        </w:rPr>
      </w:pPr>
    </w:p>
    <w:p w14:paraId="19F96F58" w14:textId="4ED89366" w:rsidR="00CB28F8" w:rsidRDefault="00CB28F8" w:rsidP="009D0EAD">
      <w:pPr>
        <w:pStyle w:val="Leipteksti"/>
        <w:tabs>
          <w:tab w:val="left" w:pos="1985"/>
          <w:tab w:val="left" w:pos="4678"/>
          <w:tab w:val="left" w:pos="7088"/>
        </w:tabs>
        <w:spacing w:after="0"/>
        <w:ind w:left="-567"/>
        <w:jc w:val="left"/>
        <w:rPr>
          <w:rFonts w:ascii="Verdana" w:hAnsi="Verdana"/>
          <w:b/>
          <w:sz w:val="20"/>
        </w:rPr>
      </w:pPr>
    </w:p>
    <w:p w14:paraId="659B8D30" w14:textId="1B84622D" w:rsidR="00CF1B60" w:rsidRDefault="00CF1B60" w:rsidP="009D0EAD">
      <w:pPr>
        <w:pStyle w:val="Leipteksti"/>
        <w:tabs>
          <w:tab w:val="left" w:pos="1985"/>
          <w:tab w:val="left" w:pos="4678"/>
          <w:tab w:val="left" w:pos="7088"/>
        </w:tabs>
        <w:spacing w:after="0"/>
        <w:ind w:left="-567"/>
        <w:jc w:val="left"/>
        <w:rPr>
          <w:rFonts w:ascii="Verdana" w:hAnsi="Verdana"/>
          <w:b/>
          <w:sz w:val="20"/>
        </w:rPr>
      </w:pPr>
    </w:p>
    <w:p w14:paraId="40B715DD" w14:textId="4ACE9DFF" w:rsidR="00CF1B60" w:rsidRDefault="00CF1B60" w:rsidP="009D0EAD">
      <w:pPr>
        <w:pStyle w:val="Leipteksti"/>
        <w:tabs>
          <w:tab w:val="left" w:pos="1985"/>
          <w:tab w:val="left" w:pos="4678"/>
          <w:tab w:val="left" w:pos="7088"/>
        </w:tabs>
        <w:spacing w:after="0"/>
        <w:ind w:left="-567"/>
        <w:jc w:val="left"/>
        <w:rPr>
          <w:rFonts w:ascii="Verdana" w:hAnsi="Verdana"/>
          <w:b/>
          <w:sz w:val="20"/>
        </w:rPr>
      </w:pPr>
    </w:p>
    <w:p w14:paraId="739009E3" w14:textId="77777777" w:rsidR="00CF1B60" w:rsidRDefault="00CF1B60" w:rsidP="009D0EAD">
      <w:pPr>
        <w:pStyle w:val="Leipteksti"/>
        <w:tabs>
          <w:tab w:val="left" w:pos="1985"/>
          <w:tab w:val="left" w:pos="4678"/>
          <w:tab w:val="left" w:pos="7088"/>
        </w:tabs>
        <w:spacing w:after="0"/>
        <w:ind w:left="-567"/>
        <w:jc w:val="left"/>
        <w:rPr>
          <w:rFonts w:ascii="Verdana" w:hAnsi="Verdana"/>
          <w:b/>
          <w:sz w:val="20"/>
        </w:rPr>
      </w:pPr>
    </w:p>
    <w:p w14:paraId="39B969EC" w14:textId="24855E54" w:rsidR="009D0EAD" w:rsidRDefault="009D0EAD" w:rsidP="00C00884">
      <w:pPr>
        <w:pStyle w:val="Leipteksti"/>
        <w:tabs>
          <w:tab w:val="left" w:pos="1985"/>
          <w:tab w:val="left" w:pos="4678"/>
          <w:tab w:val="left" w:pos="7088"/>
        </w:tabs>
        <w:spacing w:after="0"/>
        <w:ind w:left="-567"/>
        <w:jc w:val="left"/>
        <w:rPr>
          <w:rFonts w:ascii="Verdana" w:hAnsi="Verdana"/>
          <w:sz w:val="20"/>
        </w:rPr>
      </w:pPr>
    </w:p>
    <w:p w14:paraId="2B80789C" w14:textId="7A9FC612" w:rsidR="005759C0" w:rsidRDefault="005759C0" w:rsidP="00C00884">
      <w:pPr>
        <w:pStyle w:val="Leipteksti"/>
        <w:tabs>
          <w:tab w:val="left" w:pos="1985"/>
          <w:tab w:val="left" w:pos="4678"/>
          <w:tab w:val="left" w:pos="7088"/>
        </w:tabs>
        <w:spacing w:after="0"/>
        <w:ind w:left="-567"/>
        <w:jc w:val="left"/>
        <w:rPr>
          <w:rFonts w:ascii="Verdana" w:hAnsi="Verdana"/>
          <w:sz w:val="20"/>
        </w:rPr>
      </w:pPr>
    </w:p>
    <w:p w14:paraId="5E7E92BA" w14:textId="77777777" w:rsidR="005759C0" w:rsidRPr="006B132F" w:rsidRDefault="005759C0" w:rsidP="00C00884">
      <w:pPr>
        <w:pStyle w:val="Leipteksti"/>
        <w:tabs>
          <w:tab w:val="left" w:pos="1985"/>
          <w:tab w:val="left" w:pos="4678"/>
          <w:tab w:val="left" w:pos="7088"/>
        </w:tabs>
        <w:spacing w:after="0"/>
        <w:ind w:left="-567"/>
        <w:jc w:val="left"/>
        <w:rPr>
          <w:rFonts w:ascii="Verdana" w:hAnsi="Verdana"/>
          <w:sz w:val="20"/>
        </w:rPr>
      </w:pPr>
    </w:p>
    <w:p w14:paraId="39B969ED" w14:textId="77777777" w:rsidR="00921EB8" w:rsidRPr="005E242A" w:rsidRDefault="00921EB8" w:rsidP="00921EB8">
      <w:pPr>
        <w:pStyle w:val="Leipteksti"/>
        <w:spacing w:before="600" w:after="0"/>
        <w:ind w:left="567" w:hanging="567"/>
        <w:rPr>
          <w:rFonts w:ascii="Verdana" w:hAnsi="Verdana"/>
          <w:b/>
        </w:rPr>
      </w:pPr>
      <w:r w:rsidRPr="005E242A">
        <w:rPr>
          <w:rFonts w:ascii="Verdana" w:hAnsi="Verdana"/>
          <w:b/>
        </w:rPr>
        <w:lastRenderedPageBreak/>
        <w:t>1.2</w:t>
      </w:r>
      <w:r w:rsidRPr="005E242A">
        <w:rPr>
          <w:rFonts w:ascii="Verdana" w:hAnsi="Verdana"/>
          <w:b/>
        </w:rPr>
        <w:tab/>
        <w:t>Similar substances/grouping possibilities</w:t>
      </w:r>
    </w:p>
    <w:p w14:paraId="3E5BAC81" w14:textId="77777777" w:rsidR="00CF1B60" w:rsidRDefault="00CF1B60" w:rsidP="00AB3AE7">
      <w:pPr>
        <w:pStyle w:val="Leipteksti"/>
        <w:spacing w:before="120" w:after="0"/>
        <w:jc w:val="left"/>
        <w:rPr>
          <w:rFonts w:ascii="Verdana" w:hAnsi="Verdana"/>
          <w:i/>
          <w:sz w:val="22"/>
          <w:szCs w:val="22"/>
        </w:rPr>
      </w:pPr>
    </w:p>
    <w:p w14:paraId="153E62AC" w14:textId="227D5CBE" w:rsidR="00627727" w:rsidRPr="00446D2F" w:rsidRDefault="00627727" w:rsidP="00AB3AE7">
      <w:pPr>
        <w:pStyle w:val="Leipteksti"/>
        <w:spacing w:before="120" w:after="0"/>
        <w:jc w:val="left"/>
        <w:rPr>
          <w:rFonts w:ascii="Verdana" w:hAnsi="Verdana"/>
          <w:b/>
          <w:noProof/>
          <w:sz w:val="20"/>
        </w:rPr>
      </w:pPr>
      <w:r w:rsidRPr="00446D2F">
        <w:rPr>
          <w:rFonts w:ascii="Verdana" w:hAnsi="Verdana"/>
          <w:b/>
          <w:noProof/>
          <w:sz w:val="20"/>
        </w:rPr>
        <w:t>Functional grouping approach</w:t>
      </w:r>
    </w:p>
    <w:p w14:paraId="728656E0" w14:textId="0023CB34" w:rsidR="002D0D0B" w:rsidRDefault="00B555E2" w:rsidP="008A3490">
      <w:pPr>
        <w:pStyle w:val="Leipteksti"/>
        <w:spacing w:before="120" w:after="0"/>
        <w:rPr>
          <w:rFonts w:ascii="Verdana" w:hAnsi="Verdana"/>
          <w:noProof/>
          <w:sz w:val="20"/>
        </w:rPr>
      </w:pPr>
      <w:r>
        <w:rPr>
          <w:rFonts w:ascii="Verdana" w:hAnsi="Verdana"/>
          <w:noProof/>
          <w:sz w:val="20"/>
        </w:rPr>
        <w:t xml:space="preserve">According to SVHC roadmap 2020 grouping of substances for RMO analysis based on </w:t>
      </w:r>
      <w:r w:rsidR="004973C6">
        <w:rPr>
          <w:rFonts w:ascii="Verdana" w:hAnsi="Verdana"/>
          <w:noProof/>
          <w:sz w:val="20"/>
        </w:rPr>
        <w:t xml:space="preserve">the </w:t>
      </w:r>
      <w:r w:rsidR="00CC03C3">
        <w:rPr>
          <w:rFonts w:ascii="Verdana" w:hAnsi="Verdana"/>
          <w:noProof/>
          <w:sz w:val="20"/>
        </w:rPr>
        <w:t>similarity of</w:t>
      </w:r>
      <w:r>
        <w:rPr>
          <w:rFonts w:ascii="Verdana" w:hAnsi="Verdana"/>
          <w:noProof/>
          <w:sz w:val="20"/>
        </w:rPr>
        <w:t xml:space="preserve"> uses could be considered, if appropriate.</w:t>
      </w:r>
      <w:r w:rsidR="008A3490">
        <w:rPr>
          <w:rFonts w:ascii="Verdana" w:hAnsi="Verdana"/>
          <w:noProof/>
          <w:sz w:val="20"/>
        </w:rPr>
        <w:t xml:space="preserve"> I</w:t>
      </w:r>
      <w:r>
        <w:rPr>
          <w:rFonts w:ascii="Verdana" w:hAnsi="Verdana"/>
          <w:noProof/>
          <w:sz w:val="20"/>
        </w:rPr>
        <w:t>n this RMOA</w:t>
      </w:r>
      <w:r w:rsidR="00AC6A07">
        <w:rPr>
          <w:rFonts w:ascii="Verdana" w:hAnsi="Verdana"/>
          <w:noProof/>
          <w:sz w:val="20"/>
        </w:rPr>
        <w:t>,</w:t>
      </w:r>
      <w:r>
        <w:rPr>
          <w:rFonts w:ascii="Verdana" w:hAnsi="Verdana"/>
          <w:noProof/>
          <w:sz w:val="20"/>
        </w:rPr>
        <w:t xml:space="preserve"> substances which might be used as substitutes for</w:t>
      </w:r>
      <w:r w:rsidR="00F10E30">
        <w:rPr>
          <w:rFonts w:ascii="Verdana" w:hAnsi="Verdana"/>
          <w:noProof/>
          <w:sz w:val="20"/>
        </w:rPr>
        <w:t xml:space="preserve"> SVHC (vPvB) identified substance</w:t>
      </w:r>
      <w:r>
        <w:rPr>
          <w:rFonts w:ascii="Verdana" w:hAnsi="Verdana"/>
          <w:noProof/>
          <w:sz w:val="20"/>
        </w:rPr>
        <w:t xml:space="preserve"> </w:t>
      </w:r>
      <w:r w:rsidR="008A4E58">
        <w:rPr>
          <w:rFonts w:ascii="Verdana" w:hAnsi="Verdana"/>
          <w:noProof/>
          <w:sz w:val="20"/>
        </w:rPr>
        <w:t>t</w:t>
      </w:r>
      <w:r>
        <w:rPr>
          <w:rFonts w:ascii="Verdana" w:hAnsi="Verdana"/>
          <w:noProof/>
          <w:sz w:val="20"/>
        </w:rPr>
        <w:t>erphenyl, hydrogenated</w:t>
      </w:r>
      <w:r w:rsidR="00F10E30">
        <w:rPr>
          <w:rFonts w:ascii="Verdana" w:hAnsi="Verdana"/>
          <w:noProof/>
          <w:sz w:val="20"/>
        </w:rPr>
        <w:t xml:space="preserve"> (EC 262-967-7)</w:t>
      </w:r>
      <w:r>
        <w:rPr>
          <w:rFonts w:ascii="Verdana" w:hAnsi="Verdana"/>
          <w:noProof/>
          <w:sz w:val="20"/>
        </w:rPr>
        <w:t xml:space="preserve"> in its main use as a heat transfer fluid, are grouped based on </w:t>
      </w:r>
      <w:r w:rsidR="00E506AF">
        <w:rPr>
          <w:rFonts w:ascii="Verdana" w:hAnsi="Verdana"/>
          <w:noProof/>
          <w:sz w:val="20"/>
        </w:rPr>
        <w:t>the similarity of uses (heat transfer fluids)</w:t>
      </w:r>
      <w:r w:rsidR="004E114A">
        <w:rPr>
          <w:rFonts w:ascii="Verdana" w:hAnsi="Verdana"/>
          <w:noProof/>
          <w:sz w:val="20"/>
          <w:lang w:val="en-US"/>
        </w:rPr>
        <w:t>.</w:t>
      </w:r>
      <w:r w:rsidR="005819A0">
        <w:rPr>
          <w:rFonts w:ascii="Verdana" w:hAnsi="Verdana"/>
          <w:noProof/>
          <w:sz w:val="20"/>
        </w:rPr>
        <w:t xml:space="preserve"> </w:t>
      </w:r>
      <w:r w:rsidR="00F173B1">
        <w:rPr>
          <w:rFonts w:ascii="Verdana" w:hAnsi="Verdana"/>
          <w:noProof/>
          <w:sz w:val="20"/>
        </w:rPr>
        <w:t>T</w:t>
      </w:r>
      <w:r w:rsidR="005819A0">
        <w:rPr>
          <w:rFonts w:ascii="Verdana" w:hAnsi="Verdana"/>
          <w:noProof/>
          <w:sz w:val="20"/>
        </w:rPr>
        <w:t>his approach</w:t>
      </w:r>
      <w:r w:rsidR="00F173B1">
        <w:rPr>
          <w:rFonts w:ascii="Verdana" w:hAnsi="Verdana"/>
          <w:noProof/>
          <w:sz w:val="20"/>
        </w:rPr>
        <w:t xml:space="preserve"> has been further defined by eMSCA</w:t>
      </w:r>
      <w:r w:rsidR="00E20AF4">
        <w:rPr>
          <w:rFonts w:ascii="Verdana" w:hAnsi="Verdana"/>
          <w:noProof/>
          <w:sz w:val="20"/>
        </w:rPr>
        <w:t xml:space="preserve"> </w:t>
      </w:r>
      <w:r w:rsidR="00DC5E8B">
        <w:rPr>
          <w:rFonts w:ascii="Verdana" w:hAnsi="Verdana"/>
          <w:noProof/>
          <w:sz w:val="20"/>
        </w:rPr>
        <w:t xml:space="preserve">by limiting the scope </w:t>
      </w:r>
      <w:r w:rsidR="00B81331">
        <w:rPr>
          <w:rFonts w:ascii="Verdana" w:hAnsi="Verdana"/>
          <w:noProof/>
          <w:sz w:val="20"/>
        </w:rPr>
        <w:t>to</w:t>
      </w:r>
      <w:r w:rsidR="005819A0">
        <w:rPr>
          <w:rFonts w:ascii="Verdana" w:hAnsi="Verdana"/>
          <w:noProof/>
          <w:sz w:val="20"/>
        </w:rPr>
        <w:t xml:space="preserve"> substances </w:t>
      </w:r>
      <w:r w:rsidR="00AC6A07">
        <w:rPr>
          <w:rFonts w:ascii="Verdana" w:hAnsi="Verdana"/>
          <w:noProof/>
          <w:sz w:val="20"/>
        </w:rPr>
        <w:t xml:space="preserve">registered under </w:t>
      </w:r>
      <w:r w:rsidR="00E20AF4">
        <w:rPr>
          <w:rFonts w:ascii="Verdana" w:hAnsi="Verdana"/>
          <w:noProof/>
          <w:sz w:val="20"/>
        </w:rPr>
        <w:t xml:space="preserve">REACH </w:t>
      </w:r>
      <w:r w:rsidR="00DC5E8B">
        <w:rPr>
          <w:rFonts w:ascii="Verdana" w:hAnsi="Verdana"/>
          <w:noProof/>
          <w:sz w:val="20"/>
        </w:rPr>
        <w:t>for uses that indicate that the substances may be considered as feasible</w:t>
      </w:r>
      <w:r w:rsidR="00E20AF4">
        <w:rPr>
          <w:rFonts w:ascii="Verdana" w:hAnsi="Verdana"/>
          <w:noProof/>
          <w:sz w:val="20"/>
        </w:rPr>
        <w:t xml:space="preserve"> </w:t>
      </w:r>
      <w:r w:rsidR="00C07368">
        <w:rPr>
          <w:rFonts w:ascii="Verdana" w:hAnsi="Verdana"/>
          <w:noProof/>
          <w:sz w:val="20"/>
        </w:rPr>
        <w:t>alternatives</w:t>
      </w:r>
      <w:r w:rsidR="00E20AF4">
        <w:rPr>
          <w:rFonts w:ascii="Verdana" w:hAnsi="Verdana"/>
          <w:noProof/>
          <w:sz w:val="20"/>
        </w:rPr>
        <w:t xml:space="preserve"> for terphenyl</w:t>
      </w:r>
      <w:r w:rsidR="00750600">
        <w:rPr>
          <w:rFonts w:ascii="Verdana" w:hAnsi="Verdana"/>
          <w:noProof/>
          <w:sz w:val="20"/>
        </w:rPr>
        <w:t>,</w:t>
      </w:r>
      <w:r w:rsidR="00E20AF4">
        <w:rPr>
          <w:rFonts w:ascii="Verdana" w:hAnsi="Verdana"/>
          <w:noProof/>
          <w:sz w:val="20"/>
        </w:rPr>
        <w:t xml:space="preserve"> hydrogenated</w:t>
      </w:r>
      <w:r w:rsidR="005F1202">
        <w:rPr>
          <w:rFonts w:ascii="Verdana" w:hAnsi="Verdana"/>
          <w:noProof/>
          <w:sz w:val="20"/>
        </w:rPr>
        <w:t xml:space="preserve"> in the EU</w:t>
      </w:r>
      <w:r w:rsidR="00E20AF4">
        <w:rPr>
          <w:rFonts w:ascii="Verdana" w:hAnsi="Verdana"/>
          <w:noProof/>
          <w:sz w:val="20"/>
        </w:rPr>
        <w:t>.</w:t>
      </w:r>
    </w:p>
    <w:p w14:paraId="75647B3E" w14:textId="26266EA2" w:rsidR="0098333B" w:rsidRDefault="00750600" w:rsidP="00123164">
      <w:pPr>
        <w:pStyle w:val="Leipteksti"/>
        <w:spacing w:before="120" w:after="0"/>
        <w:rPr>
          <w:rFonts w:ascii="Verdana" w:hAnsi="Verdana"/>
          <w:sz w:val="20"/>
        </w:rPr>
      </w:pPr>
      <w:r w:rsidRPr="00750600">
        <w:rPr>
          <w:rFonts w:ascii="Verdana" w:hAnsi="Verdana"/>
          <w:sz w:val="20"/>
        </w:rPr>
        <w:t>H</w:t>
      </w:r>
      <w:r>
        <w:rPr>
          <w:rFonts w:ascii="Verdana" w:hAnsi="Verdana"/>
          <w:sz w:val="20"/>
        </w:rPr>
        <w:t>eat transfer fluids</w:t>
      </w:r>
      <w:r w:rsidR="002078D0">
        <w:rPr>
          <w:rFonts w:ascii="Verdana" w:hAnsi="Verdana"/>
          <w:sz w:val="20"/>
        </w:rPr>
        <w:t xml:space="preserve"> (HTF)</w:t>
      </w:r>
      <w:r w:rsidRPr="00750600">
        <w:rPr>
          <w:rFonts w:ascii="Verdana" w:hAnsi="Verdana"/>
          <w:sz w:val="20"/>
        </w:rPr>
        <w:t xml:space="preserve"> are used </w:t>
      </w:r>
      <w:r>
        <w:rPr>
          <w:rFonts w:ascii="Verdana" w:hAnsi="Verdana"/>
          <w:sz w:val="20"/>
        </w:rPr>
        <w:t xml:space="preserve">in </w:t>
      </w:r>
      <w:r w:rsidRPr="00750600">
        <w:rPr>
          <w:rFonts w:ascii="Verdana" w:hAnsi="Verdana"/>
          <w:sz w:val="20"/>
        </w:rPr>
        <w:t>situation</w:t>
      </w:r>
      <w:r>
        <w:rPr>
          <w:rFonts w:ascii="Verdana" w:hAnsi="Verdana"/>
          <w:sz w:val="20"/>
        </w:rPr>
        <w:t>s</w:t>
      </w:r>
      <w:r w:rsidRPr="00750600">
        <w:rPr>
          <w:rFonts w:ascii="Verdana" w:hAnsi="Verdana"/>
          <w:sz w:val="20"/>
        </w:rPr>
        <w:t xml:space="preserve"> where precise temperature</w:t>
      </w:r>
      <w:r>
        <w:rPr>
          <w:rFonts w:ascii="Verdana" w:hAnsi="Verdana"/>
          <w:sz w:val="20"/>
        </w:rPr>
        <w:t xml:space="preserve"> </w:t>
      </w:r>
      <w:r w:rsidRPr="00750600">
        <w:rPr>
          <w:rFonts w:ascii="Verdana" w:hAnsi="Verdana"/>
          <w:sz w:val="20"/>
        </w:rPr>
        <w:t>control</w:t>
      </w:r>
      <w:r>
        <w:rPr>
          <w:rFonts w:ascii="Verdana" w:hAnsi="Verdana"/>
          <w:sz w:val="20"/>
        </w:rPr>
        <w:t xml:space="preserve"> is needed</w:t>
      </w:r>
      <w:r w:rsidRPr="00750600">
        <w:rPr>
          <w:rFonts w:ascii="Verdana" w:hAnsi="Verdana"/>
          <w:sz w:val="20"/>
        </w:rPr>
        <w:t>, such as in the manufacture and processing of synthetic fibres, plastics, rubber and chemicals.</w:t>
      </w:r>
      <w:r>
        <w:rPr>
          <w:rFonts w:ascii="Verdana" w:hAnsi="Verdana"/>
          <w:sz w:val="20"/>
        </w:rPr>
        <w:t xml:space="preserve"> </w:t>
      </w:r>
      <w:r w:rsidR="004E114A">
        <w:rPr>
          <w:rFonts w:ascii="Verdana" w:hAnsi="Verdana"/>
          <w:sz w:val="20"/>
        </w:rPr>
        <w:t xml:space="preserve">Terphenyl, hydrogenated is </w:t>
      </w:r>
      <w:r>
        <w:rPr>
          <w:rFonts w:ascii="Verdana" w:hAnsi="Verdana"/>
          <w:sz w:val="20"/>
        </w:rPr>
        <w:t xml:space="preserve">specifically </w:t>
      </w:r>
      <w:r w:rsidR="004E114A">
        <w:rPr>
          <w:rFonts w:ascii="Verdana" w:hAnsi="Verdana"/>
          <w:sz w:val="20"/>
        </w:rPr>
        <w:t xml:space="preserve">used as </w:t>
      </w:r>
      <w:r w:rsidR="00DC5E8B">
        <w:rPr>
          <w:rFonts w:ascii="Verdana" w:hAnsi="Verdana"/>
          <w:sz w:val="20"/>
        </w:rPr>
        <w:t xml:space="preserve">a </w:t>
      </w:r>
      <w:r w:rsidR="004E114A">
        <w:rPr>
          <w:rFonts w:ascii="Verdana" w:hAnsi="Verdana"/>
          <w:sz w:val="20"/>
        </w:rPr>
        <w:t>heat transfer fluid in closed manufacturing systems</w:t>
      </w:r>
      <w:r w:rsidR="00C07368">
        <w:rPr>
          <w:rFonts w:ascii="Verdana" w:hAnsi="Verdana"/>
          <w:sz w:val="20"/>
        </w:rPr>
        <w:t>, including those for polymers, waste heat recovery, oil and gas, petrochemicals and renewable energy</w:t>
      </w:r>
      <w:r w:rsidR="00C96220">
        <w:rPr>
          <w:rStyle w:val="Alaviitteenviite"/>
          <w:rFonts w:ascii="Verdana" w:hAnsi="Verdana"/>
          <w:sz w:val="20"/>
        </w:rPr>
        <w:footnoteReference w:id="2"/>
      </w:r>
      <w:r w:rsidR="00C96220">
        <w:rPr>
          <w:rFonts w:ascii="Verdana" w:hAnsi="Verdana"/>
          <w:sz w:val="20"/>
        </w:rPr>
        <w:t>.</w:t>
      </w:r>
    </w:p>
    <w:p w14:paraId="2B9FED07" w14:textId="144FD6D1" w:rsidR="008F2C55" w:rsidRDefault="00720A7A" w:rsidP="00446D2F">
      <w:pPr>
        <w:pStyle w:val="Leipteksti"/>
        <w:spacing w:before="120" w:after="0"/>
        <w:rPr>
          <w:rFonts w:ascii="Verdana" w:hAnsi="Verdana"/>
          <w:noProof/>
          <w:sz w:val="20"/>
        </w:rPr>
      </w:pPr>
      <w:r>
        <w:rPr>
          <w:rFonts w:ascii="Verdana" w:hAnsi="Verdana"/>
          <w:noProof/>
          <w:sz w:val="20"/>
        </w:rPr>
        <w:t>High temperature heat transfer fluids can be categorised by chemical structure into three group</w:t>
      </w:r>
      <w:r w:rsidR="00CC03C3">
        <w:rPr>
          <w:rFonts w:ascii="Verdana" w:hAnsi="Verdana"/>
          <w:noProof/>
          <w:sz w:val="20"/>
        </w:rPr>
        <w:t>s</w:t>
      </w:r>
      <w:r>
        <w:rPr>
          <w:rFonts w:ascii="Verdana" w:hAnsi="Verdana"/>
          <w:noProof/>
          <w:sz w:val="20"/>
        </w:rPr>
        <w:t>; synthetic fluids, hot oils</w:t>
      </w:r>
      <w:r w:rsidR="00CE0D7A">
        <w:rPr>
          <w:rFonts w:ascii="Verdana" w:hAnsi="Verdana"/>
          <w:noProof/>
          <w:sz w:val="20"/>
        </w:rPr>
        <w:t xml:space="preserve"> and silicone based fluids. </w:t>
      </w:r>
      <w:r w:rsidR="00E506AF">
        <w:rPr>
          <w:rFonts w:ascii="Verdana" w:hAnsi="Verdana"/>
          <w:noProof/>
          <w:sz w:val="20"/>
        </w:rPr>
        <w:t>According to Damiano (1998) s</w:t>
      </w:r>
      <w:r w:rsidR="00CE0D7A">
        <w:rPr>
          <w:rFonts w:ascii="Verdana" w:hAnsi="Verdana"/>
          <w:noProof/>
          <w:sz w:val="20"/>
        </w:rPr>
        <w:t xml:space="preserve">ynthetic fluids are aromatic compounds consisting </w:t>
      </w:r>
      <w:r w:rsidR="00E209A5">
        <w:rPr>
          <w:rFonts w:ascii="Verdana" w:hAnsi="Verdana"/>
          <w:noProof/>
          <w:sz w:val="20"/>
        </w:rPr>
        <w:t xml:space="preserve">of </w:t>
      </w:r>
      <w:r w:rsidR="00CE0D7A">
        <w:rPr>
          <w:rFonts w:ascii="Verdana" w:hAnsi="Verdana"/>
          <w:noProof/>
          <w:sz w:val="20"/>
        </w:rPr>
        <w:t>benzene-based structures with operating temperature</w:t>
      </w:r>
      <w:r w:rsidR="00E209A5">
        <w:rPr>
          <w:rFonts w:ascii="Verdana" w:hAnsi="Verdana"/>
          <w:noProof/>
          <w:sz w:val="20"/>
        </w:rPr>
        <w:t>s</w:t>
      </w:r>
      <w:r w:rsidR="00CE0D7A">
        <w:rPr>
          <w:rFonts w:ascii="Verdana" w:hAnsi="Verdana"/>
          <w:noProof/>
          <w:sz w:val="20"/>
        </w:rPr>
        <w:t xml:space="preserve"> ranging from -55 to 400 °C. The hot oils</w:t>
      </w:r>
      <w:r w:rsidR="00C55136">
        <w:rPr>
          <w:rFonts w:ascii="Verdana" w:hAnsi="Verdana"/>
          <w:noProof/>
          <w:sz w:val="20"/>
        </w:rPr>
        <w:t xml:space="preserve"> </w:t>
      </w:r>
      <w:r w:rsidR="00CE0D7A">
        <w:rPr>
          <w:rFonts w:ascii="Verdana" w:hAnsi="Verdana"/>
          <w:noProof/>
          <w:sz w:val="20"/>
        </w:rPr>
        <w:t xml:space="preserve">are petroleum-based </w:t>
      </w:r>
      <w:r w:rsidR="00C76D9E">
        <w:rPr>
          <w:rFonts w:ascii="Verdana" w:hAnsi="Verdana"/>
          <w:noProof/>
          <w:sz w:val="20"/>
        </w:rPr>
        <w:t>substances mostly consisting</w:t>
      </w:r>
      <w:r w:rsidR="00E209A5">
        <w:rPr>
          <w:rFonts w:ascii="Verdana" w:hAnsi="Verdana"/>
          <w:noProof/>
          <w:sz w:val="20"/>
        </w:rPr>
        <w:t xml:space="preserve"> of</w:t>
      </w:r>
      <w:r w:rsidR="00C76D9E">
        <w:rPr>
          <w:rFonts w:ascii="Verdana" w:hAnsi="Verdana"/>
          <w:noProof/>
          <w:sz w:val="20"/>
        </w:rPr>
        <w:t xml:space="preserve"> paraffinic and/or napthenic hydrocarbons </w:t>
      </w:r>
      <w:r w:rsidR="00E506AF">
        <w:rPr>
          <w:rFonts w:ascii="Verdana" w:hAnsi="Verdana"/>
          <w:noProof/>
          <w:sz w:val="20"/>
        </w:rPr>
        <w:t>having</w:t>
      </w:r>
      <w:r w:rsidR="00DC5E8B">
        <w:rPr>
          <w:rFonts w:ascii="Verdana" w:hAnsi="Verdana"/>
          <w:noProof/>
          <w:sz w:val="20"/>
        </w:rPr>
        <w:t xml:space="preserve"> a </w:t>
      </w:r>
      <w:r w:rsidR="00C76D9E">
        <w:rPr>
          <w:rFonts w:ascii="Verdana" w:hAnsi="Verdana"/>
          <w:noProof/>
          <w:sz w:val="20"/>
        </w:rPr>
        <w:t xml:space="preserve">usual operating temperature ranging from -25 to 315 °C. </w:t>
      </w:r>
      <w:r w:rsidR="00CF79E4">
        <w:rPr>
          <w:rFonts w:ascii="Verdana" w:hAnsi="Verdana"/>
          <w:noProof/>
          <w:sz w:val="20"/>
        </w:rPr>
        <w:t xml:space="preserve">Silicone-based </w:t>
      </w:r>
      <w:r w:rsidR="00AF3F07">
        <w:rPr>
          <w:rFonts w:ascii="Verdana" w:hAnsi="Verdana"/>
          <w:noProof/>
          <w:sz w:val="20"/>
        </w:rPr>
        <w:t xml:space="preserve">and hybrid glycol </w:t>
      </w:r>
      <w:r w:rsidR="00CF79E4">
        <w:rPr>
          <w:rFonts w:ascii="Verdana" w:hAnsi="Verdana"/>
          <w:noProof/>
          <w:sz w:val="20"/>
        </w:rPr>
        <w:t xml:space="preserve">fluids are used in specialised heat transfer applications and in the comparative temperature ranges of the synthetic fluids and hot oils </w:t>
      </w:r>
      <w:r w:rsidR="00D932B3">
        <w:rPr>
          <w:rFonts w:ascii="Verdana" w:hAnsi="Verdana"/>
          <w:noProof/>
          <w:sz w:val="20"/>
        </w:rPr>
        <w:t>they are</w:t>
      </w:r>
      <w:r w:rsidR="00CF79E4">
        <w:rPr>
          <w:rFonts w:ascii="Verdana" w:hAnsi="Verdana"/>
          <w:noProof/>
          <w:sz w:val="20"/>
        </w:rPr>
        <w:t xml:space="preserve"> unlikely choices for most process applications due to performance and cost factor disadvantages</w:t>
      </w:r>
      <w:r w:rsidR="00E506AF">
        <w:rPr>
          <w:rFonts w:ascii="Verdana" w:hAnsi="Verdana"/>
          <w:noProof/>
          <w:sz w:val="20"/>
        </w:rPr>
        <w:t>.</w:t>
      </w:r>
    </w:p>
    <w:p w14:paraId="251B212C" w14:textId="5DE6C611" w:rsidR="008F2C55" w:rsidRDefault="00CF79E4" w:rsidP="00446D2F">
      <w:pPr>
        <w:pStyle w:val="Leipteksti"/>
        <w:spacing w:before="120" w:after="0"/>
        <w:rPr>
          <w:rFonts w:ascii="Verdana" w:hAnsi="Verdana"/>
          <w:noProof/>
          <w:sz w:val="20"/>
        </w:rPr>
      </w:pPr>
      <w:r>
        <w:rPr>
          <w:rFonts w:ascii="Verdana" w:hAnsi="Verdana"/>
          <w:noProof/>
          <w:sz w:val="20"/>
        </w:rPr>
        <w:t xml:space="preserve">Heat transfer fluids can be used in non-pressurised or pressurised liquid phase systems. </w:t>
      </w:r>
      <w:r w:rsidR="00632059">
        <w:rPr>
          <w:rFonts w:ascii="Verdana" w:hAnsi="Verdana"/>
          <w:noProof/>
          <w:sz w:val="20"/>
        </w:rPr>
        <w:t>Non-pressurised liquid phase systems are generally simplest to design and operate</w:t>
      </w:r>
      <w:r w:rsidR="002078D0">
        <w:rPr>
          <w:rFonts w:ascii="Verdana" w:hAnsi="Verdana"/>
          <w:noProof/>
          <w:sz w:val="20"/>
        </w:rPr>
        <w:t>. H</w:t>
      </w:r>
      <w:r w:rsidR="00632059">
        <w:rPr>
          <w:rFonts w:ascii="Verdana" w:hAnsi="Verdana"/>
          <w:noProof/>
          <w:sz w:val="20"/>
        </w:rPr>
        <w:t xml:space="preserve">eat transfer fluids can be used in this type of system as long as the operating temperature is below its boiling range. When the operating temperature of </w:t>
      </w:r>
      <w:r w:rsidR="00DC5E8B">
        <w:rPr>
          <w:rFonts w:ascii="Verdana" w:hAnsi="Verdana"/>
          <w:noProof/>
          <w:sz w:val="20"/>
        </w:rPr>
        <w:t xml:space="preserve">the </w:t>
      </w:r>
      <w:r w:rsidR="00632059">
        <w:rPr>
          <w:rFonts w:ascii="Verdana" w:hAnsi="Verdana"/>
          <w:noProof/>
          <w:sz w:val="20"/>
        </w:rPr>
        <w:t xml:space="preserve">HTF is above its boiling range </w:t>
      </w:r>
      <w:r w:rsidR="00AC6A07">
        <w:rPr>
          <w:rFonts w:ascii="Verdana" w:hAnsi="Verdana"/>
          <w:noProof/>
          <w:sz w:val="20"/>
        </w:rPr>
        <w:t xml:space="preserve">a </w:t>
      </w:r>
      <w:r w:rsidR="00632059">
        <w:rPr>
          <w:rFonts w:ascii="Verdana" w:hAnsi="Verdana"/>
          <w:noProof/>
          <w:sz w:val="20"/>
        </w:rPr>
        <w:t xml:space="preserve">pressurised system is needed. </w:t>
      </w:r>
      <w:r w:rsidR="00AC6A07">
        <w:rPr>
          <w:rFonts w:ascii="Verdana" w:hAnsi="Verdana"/>
          <w:noProof/>
          <w:sz w:val="20"/>
        </w:rPr>
        <w:t xml:space="preserve">A </w:t>
      </w:r>
      <w:r w:rsidR="00632059">
        <w:rPr>
          <w:rFonts w:ascii="Verdana" w:hAnsi="Verdana"/>
          <w:noProof/>
          <w:sz w:val="20"/>
        </w:rPr>
        <w:t xml:space="preserve">pressurised inert gas </w:t>
      </w:r>
      <w:r w:rsidR="00C255BE">
        <w:rPr>
          <w:rFonts w:ascii="Verdana" w:hAnsi="Verdana"/>
          <w:noProof/>
          <w:sz w:val="20"/>
        </w:rPr>
        <w:t xml:space="preserve">(nitrogen) </w:t>
      </w:r>
      <w:r w:rsidR="00632059">
        <w:rPr>
          <w:rFonts w:ascii="Verdana" w:hAnsi="Verdana"/>
          <w:noProof/>
          <w:sz w:val="20"/>
        </w:rPr>
        <w:t xml:space="preserve">is used to maintain HTF </w:t>
      </w:r>
      <w:r w:rsidR="00DC5E8B">
        <w:rPr>
          <w:rFonts w:ascii="Verdana" w:hAnsi="Verdana"/>
          <w:noProof/>
          <w:sz w:val="20"/>
        </w:rPr>
        <w:t>in</w:t>
      </w:r>
      <w:r w:rsidR="00E209A5">
        <w:rPr>
          <w:rFonts w:ascii="Verdana" w:hAnsi="Verdana"/>
          <w:noProof/>
          <w:sz w:val="20"/>
        </w:rPr>
        <w:t xml:space="preserve"> </w:t>
      </w:r>
      <w:r w:rsidR="00632059">
        <w:rPr>
          <w:rFonts w:ascii="Verdana" w:hAnsi="Verdana"/>
          <w:noProof/>
          <w:sz w:val="20"/>
        </w:rPr>
        <w:t>liquid</w:t>
      </w:r>
      <w:r w:rsidR="00AF3F07">
        <w:rPr>
          <w:rFonts w:ascii="Verdana" w:hAnsi="Verdana"/>
          <w:noProof/>
          <w:sz w:val="20"/>
        </w:rPr>
        <w:t xml:space="preserve"> phase</w:t>
      </w:r>
      <w:r w:rsidR="00632059">
        <w:rPr>
          <w:rFonts w:ascii="Verdana" w:hAnsi="Verdana"/>
          <w:noProof/>
          <w:sz w:val="20"/>
        </w:rPr>
        <w:t xml:space="preserve"> in th</w:t>
      </w:r>
      <w:r w:rsidR="00DC5E8B">
        <w:rPr>
          <w:rFonts w:ascii="Verdana" w:hAnsi="Verdana"/>
          <w:noProof/>
          <w:sz w:val="20"/>
        </w:rPr>
        <w:t>e</w:t>
      </w:r>
      <w:r w:rsidR="00632059">
        <w:rPr>
          <w:rFonts w:ascii="Verdana" w:hAnsi="Verdana"/>
          <w:noProof/>
          <w:sz w:val="20"/>
        </w:rPr>
        <w:t xml:space="preserve">se systems (Damiano 1998). </w:t>
      </w:r>
    </w:p>
    <w:p w14:paraId="536666E2" w14:textId="5D595D6B" w:rsidR="00B555E2" w:rsidRDefault="00B555E2" w:rsidP="00446D2F">
      <w:pPr>
        <w:pStyle w:val="Leipteksti"/>
        <w:spacing w:before="120" w:after="0"/>
        <w:rPr>
          <w:rFonts w:ascii="Verdana" w:hAnsi="Verdana"/>
          <w:noProof/>
          <w:sz w:val="20"/>
        </w:rPr>
      </w:pPr>
      <w:r>
        <w:rPr>
          <w:rFonts w:ascii="Verdana" w:hAnsi="Verdana"/>
          <w:noProof/>
          <w:sz w:val="20"/>
        </w:rPr>
        <w:t>Terphenyl</w:t>
      </w:r>
      <w:r w:rsidR="00BF1BB7">
        <w:rPr>
          <w:rFonts w:ascii="Verdana" w:hAnsi="Verdana"/>
          <w:noProof/>
          <w:sz w:val="20"/>
        </w:rPr>
        <w:t>,</w:t>
      </w:r>
      <w:r>
        <w:rPr>
          <w:rFonts w:ascii="Verdana" w:hAnsi="Verdana"/>
          <w:noProof/>
          <w:sz w:val="20"/>
        </w:rPr>
        <w:t xml:space="preserve"> hydrogenated can be used </w:t>
      </w:r>
      <w:r w:rsidR="00B5054A">
        <w:rPr>
          <w:rFonts w:ascii="Verdana" w:hAnsi="Verdana"/>
          <w:noProof/>
          <w:sz w:val="20"/>
        </w:rPr>
        <w:t xml:space="preserve">as </w:t>
      </w:r>
      <w:r w:rsidR="00DC5E8B">
        <w:rPr>
          <w:rFonts w:ascii="Verdana" w:hAnsi="Verdana"/>
          <w:noProof/>
          <w:sz w:val="20"/>
        </w:rPr>
        <w:t xml:space="preserve">a </w:t>
      </w:r>
      <w:r w:rsidR="00B5054A">
        <w:rPr>
          <w:rFonts w:ascii="Verdana" w:hAnsi="Verdana"/>
          <w:noProof/>
          <w:sz w:val="20"/>
        </w:rPr>
        <w:t>HTF with operating temperature</w:t>
      </w:r>
      <w:r w:rsidR="00DC5E8B">
        <w:rPr>
          <w:rFonts w:ascii="Verdana" w:hAnsi="Verdana"/>
          <w:noProof/>
          <w:sz w:val="20"/>
        </w:rPr>
        <w:t>s</w:t>
      </w:r>
      <w:r w:rsidR="00B5054A">
        <w:rPr>
          <w:rFonts w:ascii="Verdana" w:hAnsi="Verdana"/>
          <w:noProof/>
          <w:sz w:val="20"/>
        </w:rPr>
        <w:t xml:space="preserve"> as high as 345 °C in non-pressurised liquid phase heat transfer systems (Therminol</w:t>
      </w:r>
      <w:r w:rsidR="001D5B2D">
        <w:rPr>
          <w:rFonts w:ascii="Verdana" w:hAnsi="Verdana"/>
          <w:noProof/>
          <w:sz w:val="20"/>
        </w:rPr>
        <w:t xml:space="preserve"> 2018)</w:t>
      </w:r>
      <w:r w:rsidR="00901F48">
        <w:rPr>
          <w:rFonts w:ascii="Verdana" w:hAnsi="Verdana"/>
          <w:noProof/>
          <w:sz w:val="20"/>
        </w:rPr>
        <w:t>.</w:t>
      </w:r>
      <w:r w:rsidR="001D5B2D">
        <w:rPr>
          <w:rFonts w:ascii="Verdana" w:hAnsi="Verdana"/>
          <w:noProof/>
          <w:sz w:val="20"/>
        </w:rPr>
        <w:t xml:space="preserve"> </w:t>
      </w:r>
      <w:r w:rsidR="00BA64EB">
        <w:rPr>
          <w:rFonts w:ascii="Verdana" w:hAnsi="Verdana"/>
          <w:noProof/>
          <w:sz w:val="20"/>
        </w:rPr>
        <w:t>Substitutes need</w:t>
      </w:r>
      <w:r w:rsidR="001D5B2D">
        <w:rPr>
          <w:rFonts w:ascii="Verdana" w:hAnsi="Verdana"/>
          <w:noProof/>
          <w:sz w:val="20"/>
        </w:rPr>
        <w:t xml:space="preserve"> to have </w:t>
      </w:r>
      <w:r w:rsidR="00CC03C3">
        <w:rPr>
          <w:rFonts w:ascii="Verdana" w:hAnsi="Verdana"/>
          <w:noProof/>
          <w:sz w:val="20"/>
        </w:rPr>
        <w:t>a</w:t>
      </w:r>
      <w:r w:rsidR="00F10E30">
        <w:rPr>
          <w:rFonts w:ascii="Verdana" w:hAnsi="Verdana"/>
          <w:noProof/>
          <w:sz w:val="20"/>
        </w:rPr>
        <w:t xml:space="preserve"> similar</w:t>
      </w:r>
      <w:r w:rsidR="00CC03C3">
        <w:rPr>
          <w:rFonts w:ascii="Verdana" w:hAnsi="Verdana"/>
          <w:noProof/>
          <w:sz w:val="20"/>
        </w:rPr>
        <w:t xml:space="preserve"> </w:t>
      </w:r>
      <w:r w:rsidR="001D5B2D">
        <w:rPr>
          <w:rFonts w:ascii="Verdana" w:hAnsi="Verdana"/>
          <w:noProof/>
          <w:sz w:val="20"/>
        </w:rPr>
        <w:t xml:space="preserve">high boiling point </w:t>
      </w:r>
      <w:r w:rsidR="002A1BCE">
        <w:rPr>
          <w:rFonts w:ascii="Verdana" w:hAnsi="Verdana"/>
          <w:noProof/>
          <w:sz w:val="20"/>
        </w:rPr>
        <w:t>at</w:t>
      </w:r>
      <w:r w:rsidR="001D5B2D">
        <w:rPr>
          <w:rFonts w:ascii="Verdana" w:hAnsi="Verdana"/>
          <w:noProof/>
          <w:sz w:val="20"/>
        </w:rPr>
        <w:t xml:space="preserve"> standard atmospheric pressure (101.325 kPa) </w:t>
      </w:r>
      <w:r w:rsidR="00707DE4">
        <w:rPr>
          <w:rFonts w:ascii="Verdana" w:hAnsi="Verdana"/>
          <w:noProof/>
          <w:sz w:val="20"/>
        </w:rPr>
        <w:t>to be</w:t>
      </w:r>
      <w:r w:rsidR="001D5B2D">
        <w:rPr>
          <w:rFonts w:ascii="Verdana" w:hAnsi="Verdana"/>
          <w:noProof/>
          <w:sz w:val="20"/>
        </w:rPr>
        <w:t xml:space="preserve"> used without</w:t>
      </w:r>
      <w:r w:rsidR="00F40275">
        <w:rPr>
          <w:rFonts w:ascii="Verdana" w:hAnsi="Verdana"/>
          <w:noProof/>
          <w:sz w:val="20"/>
        </w:rPr>
        <w:t xml:space="preserve"> excessive</w:t>
      </w:r>
      <w:r w:rsidR="001D5B2D">
        <w:rPr>
          <w:rFonts w:ascii="Verdana" w:hAnsi="Verdana"/>
          <w:noProof/>
          <w:sz w:val="20"/>
        </w:rPr>
        <w:t xml:space="preserve"> thermal degradation in liquid phase non-pressurised systems </w:t>
      </w:r>
      <w:r w:rsidR="002A1BCE">
        <w:rPr>
          <w:rFonts w:ascii="Verdana" w:hAnsi="Verdana"/>
          <w:noProof/>
          <w:sz w:val="20"/>
        </w:rPr>
        <w:t>at</w:t>
      </w:r>
      <w:r w:rsidR="001D5B2D">
        <w:rPr>
          <w:rFonts w:ascii="Verdana" w:hAnsi="Verdana"/>
          <w:noProof/>
          <w:sz w:val="20"/>
        </w:rPr>
        <w:t xml:space="preserve"> high temperature range</w:t>
      </w:r>
      <w:r w:rsidR="002A1BCE">
        <w:rPr>
          <w:rFonts w:ascii="Verdana" w:hAnsi="Verdana"/>
          <w:noProof/>
          <w:sz w:val="20"/>
        </w:rPr>
        <w:t>s</w:t>
      </w:r>
      <w:r w:rsidR="001D5B2D">
        <w:rPr>
          <w:rFonts w:ascii="Verdana" w:hAnsi="Verdana"/>
          <w:noProof/>
          <w:sz w:val="20"/>
        </w:rPr>
        <w:t xml:space="preserve"> of 300-350 °C. </w:t>
      </w:r>
      <w:r w:rsidR="002B0694">
        <w:rPr>
          <w:rFonts w:ascii="Verdana" w:hAnsi="Verdana"/>
          <w:noProof/>
          <w:sz w:val="20"/>
        </w:rPr>
        <w:t xml:space="preserve">At temperatures above 350 °C heat transfer systems need to be pressurised (Wühr 2008). </w:t>
      </w:r>
      <w:r w:rsidR="00C55136">
        <w:rPr>
          <w:rFonts w:ascii="Verdana" w:hAnsi="Verdana"/>
          <w:noProof/>
          <w:sz w:val="20"/>
        </w:rPr>
        <w:t xml:space="preserve">Synthetic heat transfer fluids </w:t>
      </w:r>
      <w:r w:rsidR="00A6067A">
        <w:rPr>
          <w:rFonts w:ascii="Verdana" w:hAnsi="Verdana"/>
          <w:noProof/>
          <w:sz w:val="20"/>
        </w:rPr>
        <w:t>generally</w:t>
      </w:r>
      <w:r w:rsidR="002A1BCE">
        <w:rPr>
          <w:rFonts w:ascii="Verdana" w:hAnsi="Verdana"/>
          <w:noProof/>
          <w:sz w:val="20"/>
        </w:rPr>
        <w:t xml:space="preserve"> have</w:t>
      </w:r>
      <w:r w:rsidR="00A6067A">
        <w:rPr>
          <w:rFonts w:ascii="Verdana" w:hAnsi="Verdana"/>
          <w:noProof/>
          <w:sz w:val="20"/>
        </w:rPr>
        <w:t xml:space="preserve"> higher </w:t>
      </w:r>
      <w:r w:rsidR="00C255BE">
        <w:rPr>
          <w:rFonts w:ascii="Verdana" w:hAnsi="Verdana"/>
          <w:noProof/>
          <w:sz w:val="20"/>
        </w:rPr>
        <w:t>maximum bulk fluid temperature</w:t>
      </w:r>
      <w:r w:rsidR="002A1BCE">
        <w:rPr>
          <w:rFonts w:ascii="Verdana" w:hAnsi="Verdana"/>
          <w:noProof/>
          <w:sz w:val="20"/>
        </w:rPr>
        <w:t>s</w:t>
      </w:r>
      <w:r w:rsidR="00C255BE">
        <w:rPr>
          <w:rFonts w:ascii="Verdana" w:hAnsi="Verdana"/>
          <w:noProof/>
          <w:sz w:val="20"/>
        </w:rPr>
        <w:t xml:space="preserve"> than mineral oil based </w:t>
      </w:r>
      <w:r w:rsidR="00A46EF7">
        <w:rPr>
          <w:rFonts w:ascii="Verdana" w:hAnsi="Verdana"/>
          <w:noProof/>
          <w:sz w:val="20"/>
        </w:rPr>
        <w:t>hot oils</w:t>
      </w:r>
      <w:r w:rsidR="00C255BE">
        <w:rPr>
          <w:rFonts w:ascii="Verdana" w:hAnsi="Verdana"/>
          <w:noProof/>
          <w:sz w:val="20"/>
        </w:rPr>
        <w:t xml:space="preserve">, which are not recommended </w:t>
      </w:r>
      <w:r w:rsidR="002078D0">
        <w:rPr>
          <w:rFonts w:ascii="Verdana" w:hAnsi="Verdana"/>
          <w:noProof/>
          <w:sz w:val="20"/>
        </w:rPr>
        <w:t>to</w:t>
      </w:r>
      <w:r w:rsidR="000744D5">
        <w:rPr>
          <w:rFonts w:ascii="Verdana" w:hAnsi="Verdana"/>
          <w:noProof/>
          <w:sz w:val="20"/>
        </w:rPr>
        <w:t xml:space="preserve"> be</w:t>
      </w:r>
      <w:r w:rsidR="00AC6A07">
        <w:rPr>
          <w:rFonts w:ascii="Verdana" w:hAnsi="Verdana"/>
          <w:noProof/>
          <w:sz w:val="20"/>
        </w:rPr>
        <w:t xml:space="preserve"> </w:t>
      </w:r>
      <w:r w:rsidR="00C255BE">
        <w:rPr>
          <w:rFonts w:ascii="Verdana" w:hAnsi="Verdana"/>
          <w:noProof/>
          <w:sz w:val="20"/>
        </w:rPr>
        <w:t>use</w:t>
      </w:r>
      <w:r w:rsidR="000744D5">
        <w:rPr>
          <w:rFonts w:ascii="Verdana" w:hAnsi="Verdana"/>
          <w:noProof/>
          <w:sz w:val="20"/>
        </w:rPr>
        <w:t>d</w:t>
      </w:r>
      <w:r w:rsidR="00C255BE">
        <w:rPr>
          <w:rFonts w:ascii="Verdana" w:hAnsi="Verdana"/>
          <w:noProof/>
          <w:sz w:val="20"/>
        </w:rPr>
        <w:t xml:space="preserve"> above the temperature of 315-320 °C (Damiano 1998, Teuvo et al. 1987). </w:t>
      </w:r>
    </w:p>
    <w:p w14:paraId="521D162E" w14:textId="5145D9C1" w:rsidR="00BB21C5" w:rsidRDefault="00BB21C5" w:rsidP="00446D2F">
      <w:pPr>
        <w:pStyle w:val="Leipteksti"/>
        <w:spacing w:before="120" w:after="0"/>
        <w:rPr>
          <w:rFonts w:ascii="Verdana" w:hAnsi="Verdana"/>
          <w:color w:val="000000"/>
          <w:sz w:val="20"/>
          <w:lang w:val="en-US"/>
        </w:rPr>
      </w:pPr>
      <w:r>
        <w:rPr>
          <w:rFonts w:ascii="Verdana" w:hAnsi="Verdana"/>
          <w:sz w:val="20"/>
          <w:lang w:eastAsia="fi-FI"/>
        </w:rPr>
        <w:t>In order to identify substance</w:t>
      </w:r>
      <w:r w:rsidR="00924E3C">
        <w:rPr>
          <w:rFonts w:ascii="Verdana" w:hAnsi="Verdana"/>
          <w:sz w:val="20"/>
          <w:lang w:eastAsia="fi-FI"/>
        </w:rPr>
        <w:t>s</w:t>
      </w:r>
      <w:r>
        <w:rPr>
          <w:rFonts w:ascii="Verdana" w:hAnsi="Verdana"/>
          <w:sz w:val="20"/>
          <w:lang w:eastAsia="fi-FI"/>
        </w:rPr>
        <w:t xml:space="preserve"> that might be used as substitutes for Terphenyl, hydrogenated in its main use, as a heat transfer fluid, a search for </w:t>
      </w:r>
      <w:r>
        <w:rPr>
          <w:rFonts w:ascii="Verdana" w:hAnsi="Verdana"/>
          <w:color w:val="000000"/>
          <w:sz w:val="20"/>
        </w:rPr>
        <w:t>substances for which PC16 (“heat transfer fluids”) is indicated in the registration dossiers was conducted in the RMOA of Terphenyl, hydrogenated</w:t>
      </w:r>
      <w:r w:rsidR="005F1202">
        <w:rPr>
          <w:rFonts w:ascii="Verdana" w:hAnsi="Verdana"/>
          <w:color w:val="000000"/>
          <w:sz w:val="20"/>
        </w:rPr>
        <w:t xml:space="preserve"> by ECHA from the database of REACH registered substances</w:t>
      </w:r>
      <w:r w:rsidR="00546705">
        <w:rPr>
          <w:rFonts w:ascii="Verdana" w:hAnsi="Verdana"/>
          <w:color w:val="000000"/>
          <w:sz w:val="20"/>
        </w:rPr>
        <w:t xml:space="preserve"> (19.6.2017)</w:t>
      </w:r>
      <w:r w:rsidR="00C96220">
        <w:rPr>
          <w:rFonts w:ascii="Verdana" w:hAnsi="Verdana"/>
          <w:color w:val="000000"/>
          <w:sz w:val="20"/>
        </w:rPr>
        <w:t xml:space="preserve">. </w:t>
      </w:r>
      <w:r w:rsidR="00F947D1" w:rsidRPr="00F947D1">
        <w:rPr>
          <w:rFonts w:ascii="Verdana" w:hAnsi="Verdana"/>
          <w:color w:val="000000"/>
          <w:sz w:val="20"/>
        </w:rPr>
        <w:t>The search resulted in 71 industrial</w:t>
      </w:r>
      <w:r w:rsidR="00DB4A12">
        <w:rPr>
          <w:rFonts w:ascii="Verdana" w:hAnsi="Verdana"/>
          <w:color w:val="000000"/>
          <w:sz w:val="20"/>
        </w:rPr>
        <w:t xml:space="preserve"> or </w:t>
      </w:r>
      <w:r w:rsidR="00F947D1" w:rsidRPr="00F947D1">
        <w:rPr>
          <w:rFonts w:ascii="Verdana" w:hAnsi="Verdana"/>
          <w:color w:val="000000"/>
          <w:sz w:val="20"/>
        </w:rPr>
        <w:lastRenderedPageBreak/>
        <w:t>professional uses mentioning “heat transfer fluid/agent/oil/system” in the use name.</w:t>
      </w:r>
      <w:r w:rsidR="00F947D1">
        <w:rPr>
          <w:rFonts w:ascii="Verdana" w:hAnsi="Verdana"/>
          <w:color w:val="000000"/>
          <w:sz w:val="20"/>
        </w:rPr>
        <w:t xml:space="preserve"> </w:t>
      </w:r>
      <w:r w:rsidR="00F947D1">
        <w:rPr>
          <w:rFonts w:ascii="Verdana" w:hAnsi="Verdana"/>
          <w:color w:val="000000"/>
          <w:sz w:val="20"/>
          <w:lang w:val="en-US"/>
        </w:rPr>
        <w:t>From those substances</w:t>
      </w:r>
      <w:r w:rsidR="00E209A5">
        <w:rPr>
          <w:rFonts w:ascii="Verdana" w:hAnsi="Verdana"/>
          <w:color w:val="000000"/>
          <w:sz w:val="20"/>
          <w:lang w:val="en-US"/>
        </w:rPr>
        <w:t>,</w:t>
      </w:r>
      <w:r w:rsidR="00F947D1">
        <w:rPr>
          <w:rFonts w:ascii="Verdana" w:hAnsi="Verdana"/>
          <w:color w:val="000000"/>
          <w:sz w:val="20"/>
          <w:lang w:val="en-US"/>
        </w:rPr>
        <w:t xml:space="preserve"> </w:t>
      </w:r>
      <w:r w:rsidR="00123164">
        <w:rPr>
          <w:rFonts w:ascii="Verdana" w:hAnsi="Verdana"/>
          <w:color w:val="000000"/>
          <w:sz w:val="20"/>
          <w:lang w:val="en-US"/>
        </w:rPr>
        <w:t>inorganic and halog</w:t>
      </w:r>
      <w:r w:rsidR="003B2333">
        <w:rPr>
          <w:rFonts w:ascii="Verdana" w:hAnsi="Verdana"/>
          <w:color w:val="000000"/>
          <w:sz w:val="20"/>
          <w:lang w:val="en-US"/>
        </w:rPr>
        <w:t>ena</w:t>
      </w:r>
      <w:r w:rsidR="00123164">
        <w:rPr>
          <w:rFonts w:ascii="Verdana" w:hAnsi="Verdana"/>
          <w:color w:val="000000"/>
          <w:sz w:val="20"/>
          <w:lang w:val="en-US"/>
        </w:rPr>
        <w:t xml:space="preserve">ted substances </w:t>
      </w:r>
      <w:r w:rsidR="00F947D1">
        <w:rPr>
          <w:rFonts w:ascii="Verdana" w:hAnsi="Verdana"/>
          <w:color w:val="000000"/>
          <w:sz w:val="20"/>
          <w:lang w:val="en-US"/>
        </w:rPr>
        <w:t xml:space="preserve">are excluded </w:t>
      </w:r>
      <w:r w:rsidR="00123164">
        <w:rPr>
          <w:rFonts w:ascii="Verdana" w:hAnsi="Verdana"/>
          <w:color w:val="000000"/>
          <w:sz w:val="20"/>
          <w:lang w:val="en-US"/>
        </w:rPr>
        <w:t>as the</w:t>
      </w:r>
      <w:r w:rsidR="00E506AF">
        <w:rPr>
          <w:rFonts w:ascii="Verdana" w:hAnsi="Verdana"/>
          <w:color w:val="000000"/>
          <w:sz w:val="20"/>
          <w:lang w:val="en-US"/>
        </w:rPr>
        <w:t xml:space="preserve">re </w:t>
      </w:r>
      <w:r w:rsidR="008E7530">
        <w:rPr>
          <w:rFonts w:ascii="Verdana" w:hAnsi="Verdana"/>
          <w:color w:val="000000"/>
          <w:sz w:val="20"/>
          <w:lang w:val="en-US"/>
        </w:rPr>
        <w:t>is</w:t>
      </w:r>
      <w:r w:rsidR="00E506AF">
        <w:rPr>
          <w:rFonts w:ascii="Verdana" w:hAnsi="Verdana"/>
          <w:color w:val="000000"/>
          <w:sz w:val="20"/>
          <w:lang w:val="en-US"/>
        </w:rPr>
        <w:t xml:space="preserve"> no information available supporting their suitability for high temperature non-pressurised heat transfer fluid use</w:t>
      </w:r>
      <w:r w:rsidR="00BF1BB7">
        <w:rPr>
          <w:rFonts w:ascii="Verdana" w:hAnsi="Verdana"/>
          <w:color w:val="000000"/>
          <w:sz w:val="20"/>
          <w:lang w:val="en-US"/>
        </w:rPr>
        <w:t xml:space="preserve">. As a result, a list of </w:t>
      </w:r>
      <w:r w:rsidR="00CC0C3A">
        <w:rPr>
          <w:rFonts w:ascii="Verdana" w:hAnsi="Verdana"/>
          <w:color w:val="000000"/>
          <w:sz w:val="20"/>
          <w:lang w:val="en-US"/>
        </w:rPr>
        <w:t>22</w:t>
      </w:r>
      <w:r w:rsidR="00BF1BB7">
        <w:rPr>
          <w:rFonts w:ascii="Verdana" w:hAnsi="Verdana"/>
          <w:color w:val="000000"/>
          <w:sz w:val="20"/>
          <w:lang w:val="en-US"/>
        </w:rPr>
        <w:t xml:space="preserve"> substances was obtained and shown in </w:t>
      </w:r>
      <w:r w:rsidR="00E669C1">
        <w:rPr>
          <w:rFonts w:ascii="Verdana" w:hAnsi="Verdana"/>
          <w:color w:val="000000"/>
          <w:sz w:val="20"/>
          <w:lang w:val="en-US"/>
        </w:rPr>
        <w:t>T</w:t>
      </w:r>
      <w:r w:rsidR="00123164">
        <w:rPr>
          <w:rFonts w:ascii="Verdana" w:hAnsi="Verdana"/>
          <w:color w:val="000000"/>
          <w:sz w:val="20"/>
          <w:lang w:val="en-US"/>
        </w:rPr>
        <w:t xml:space="preserve">able </w:t>
      </w:r>
      <w:r w:rsidR="00E669C1">
        <w:rPr>
          <w:rFonts w:ascii="Verdana" w:hAnsi="Verdana"/>
          <w:color w:val="000000"/>
          <w:sz w:val="20"/>
          <w:lang w:val="en-US"/>
        </w:rPr>
        <w:t>3</w:t>
      </w:r>
      <w:r w:rsidR="00123164">
        <w:rPr>
          <w:rFonts w:ascii="Verdana" w:hAnsi="Verdana"/>
          <w:color w:val="000000"/>
          <w:sz w:val="20"/>
          <w:lang w:val="en-US"/>
        </w:rPr>
        <w:t xml:space="preserve">. </w:t>
      </w:r>
    </w:p>
    <w:p w14:paraId="383C565E" w14:textId="77777777" w:rsidR="00E669C1" w:rsidRPr="00446D2F" w:rsidRDefault="00E669C1" w:rsidP="00446D2F">
      <w:pPr>
        <w:pStyle w:val="Leipteksti"/>
        <w:spacing w:before="120" w:after="0"/>
        <w:rPr>
          <w:rFonts w:ascii="Verdana" w:hAnsi="Verdana"/>
          <w:color w:val="000000"/>
          <w:sz w:val="20"/>
          <w:lang w:val="en-US"/>
        </w:rPr>
      </w:pPr>
    </w:p>
    <w:p w14:paraId="423D89A8" w14:textId="6D8D3AF5" w:rsidR="00BB21C5" w:rsidRPr="00E669C1" w:rsidRDefault="00123164" w:rsidP="00123164">
      <w:pPr>
        <w:pStyle w:val="Leipteksti"/>
        <w:spacing w:before="120" w:after="0"/>
        <w:rPr>
          <w:rFonts w:ascii="Verdana" w:hAnsi="Verdana"/>
          <w:b/>
          <w:color w:val="000000"/>
          <w:sz w:val="20"/>
          <w:lang w:val="en-US"/>
        </w:rPr>
      </w:pPr>
      <w:r w:rsidRPr="00E669C1">
        <w:rPr>
          <w:rFonts w:ascii="Verdana" w:hAnsi="Verdana"/>
          <w:b/>
          <w:color w:val="000000"/>
          <w:sz w:val="20"/>
          <w:lang w:val="en-US"/>
        </w:rPr>
        <w:t xml:space="preserve">Table </w:t>
      </w:r>
      <w:r w:rsidR="00E669C1" w:rsidRPr="00E669C1">
        <w:rPr>
          <w:rFonts w:ascii="Verdana" w:hAnsi="Verdana"/>
          <w:b/>
          <w:color w:val="000000"/>
          <w:sz w:val="20"/>
          <w:lang w:val="en-US"/>
        </w:rPr>
        <w:t>3</w:t>
      </w:r>
      <w:r w:rsidR="00DB4A12" w:rsidRPr="00E669C1">
        <w:rPr>
          <w:rFonts w:ascii="Verdana" w:hAnsi="Verdana"/>
          <w:b/>
          <w:color w:val="000000"/>
          <w:sz w:val="20"/>
          <w:lang w:val="en-US"/>
        </w:rPr>
        <w:t>. Organic substances used as Heat Transfer Fluids</w:t>
      </w:r>
      <w:r w:rsidR="00336F7B">
        <w:rPr>
          <w:rFonts w:ascii="Verdana" w:hAnsi="Verdana"/>
          <w:b/>
          <w:color w:val="000000"/>
          <w:sz w:val="20"/>
          <w:lang w:val="en-US"/>
        </w:rPr>
        <w:t xml:space="preserve"> in addition to terphenyl hydrogenated.</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71"/>
        <w:gridCol w:w="1418"/>
        <w:gridCol w:w="5103"/>
        <w:gridCol w:w="1984"/>
      </w:tblGrid>
      <w:tr w:rsidR="00F947D1" w:rsidRPr="00446D2F" w14:paraId="3BAEAB29" w14:textId="77777777" w:rsidTr="00446D2F">
        <w:trPr>
          <w:trHeight w:val="218"/>
        </w:trPr>
        <w:tc>
          <w:tcPr>
            <w:tcW w:w="1271" w:type="dxa"/>
            <w:shd w:val="clear" w:color="auto" w:fill="auto"/>
            <w:tcMar>
              <w:top w:w="15" w:type="dxa"/>
              <w:left w:w="68" w:type="dxa"/>
              <w:bottom w:w="0" w:type="dxa"/>
              <w:right w:w="68" w:type="dxa"/>
            </w:tcMar>
            <w:vAlign w:val="bottom"/>
            <w:hideMark/>
          </w:tcPr>
          <w:p w14:paraId="574CF7FC" w14:textId="77777777" w:rsidR="00F947D1" w:rsidRPr="00446D2F" w:rsidRDefault="00F947D1" w:rsidP="00123164">
            <w:pPr>
              <w:spacing w:after="0"/>
              <w:jc w:val="center"/>
              <w:rPr>
                <w:rFonts w:ascii="Verdana" w:hAnsi="Verdana" w:cs="Arial"/>
                <w:sz w:val="20"/>
                <w:szCs w:val="20"/>
                <w:lang w:val="fi-FI" w:eastAsia="fi-FI"/>
              </w:rPr>
            </w:pPr>
            <w:r w:rsidRPr="00446D2F">
              <w:rPr>
                <w:rFonts w:ascii="Verdana" w:hAnsi="Verdana" w:cs="Calibri"/>
                <w:bCs/>
                <w:kern w:val="24"/>
                <w:sz w:val="20"/>
                <w:szCs w:val="20"/>
                <w:lang w:val="fi-FI" w:eastAsia="fi-FI"/>
              </w:rPr>
              <w:t>EC</w:t>
            </w:r>
          </w:p>
        </w:tc>
        <w:tc>
          <w:tcPr>
            <w:tcW w:w="1418" w:type="dxa"/>
            <w:shd w:val="clear" w:color="auto" w:fill="auto"/>
            <w:tcMar>
              <w:top w:w="15" w:type="dxa"/>
              <w:left w:w="68" w:type="dxa"/>
              <w:bottom w:w="0" w:type="dxa"/>
              <w:right w:w="68" w:type="dxa"/>
            </w:tcMar>
            <w:vAlign w:val="bottom"/>
            <w:hideMark/>
          </w:tcPr>
          <w:p w14:paraId="3ED25996" w14:textId="77777777" w:rsidR="00F947D1" w:rsidRPr="00446D2F" w:rsidRDefault="00F947D1" w:rsidP="00123164">
            <w:pPr>
              <w:spacing w:after="0"/>
              <w:jc w:val="center"/>
              <w:rPr>
                <w:rFonts w:ascii="Verdana" w:hAnsi="Verdana" w:cs="Arial"/>
                <w:sz w:val="20"/>
                <w:szCs w:val="20"/>
                <w:lang w:val="fi-FI" w:eastAsia="fi-FI"/>
              </w:rPr>
            </w:pPr>
            <w:r w:rsidRPr="00446D2F">
              <w:rPr>
                <w:rFonts w:ascii="Verdana" w:hAnsi="Verdana" w:cs="Calibri"/>
                <w:bCs/>
                <w:kern w:val="24"/>
                <w:sz w:val="20"/>
                <w:szCs w:val="20"/>
                <w:lang w:val="fi-FI" w:eastAsia="fi-FI"/>
              </w:rPr>
              <w:t>CAS</w:t>
            </w:r>
          </w:p>
        </w:tc>
        <w:tc>
          <w:tcPr>
            <w:tcW w:w="5103" w:type="dxa"/>
            <w:shd w:val="clear" w:color="auto" w:fill="auto"/>
            <w:tcMar>
              <w:top w:w="15" w:type="dxa"/>
              <w:left w:w="68" w:type="dxa"/>
              <w:bottom w:w="0" w:type="dxa"/>
              <w:right w:w="68" w:type="dxa"/>
            </w:tcMar>
            <w:vAlign w:val="bottom"/>
            <w:hideMark/>
          </w:tcPr>
          <w:p w14:paraId="26C39D92" w14:textId="77777777" w:rsidR="00F947D1" w:rsidRPr="00446D2F" w:rsidRDefault="00F947D1" w:rsidP="00123164">
            <w:pPr>
              <w:spacing w:after="0"/>
              <w:jc w:val="center"/>
              <w:rPr>
                <w:rFonts w:ascii="Verdana" w:hAnsi="Verdana" w:cs="Arial"/>
                <w:sz w:val="20"/>
                <w:szCs w:val="20"/>
                <w:lang w:val="fi-FI" w:eastAsia="fi-FI"/>
              </w:rPr>
            </w:pPr>
            <w:r w:rsidRPr="00446D2F">
              <w:rPr>
                <w:rFonts w:ascii="Verdana" w:hAnsi="Verdana" w:cs="Calibri"/>
                <w:bCs/>
                <w:kern w:val="24"/>
                <w:sz w:val="20"/>
                <w:szCs w:val="20"/>
                <w:lang w:val="fi-FI" w:eastAsia="fi-FI"/>
              </w:rPr>
              <w:t xml:space="preserve">Substance </w:t>
            </w:r>
            <w:proofErr w:type="spellStart"/>
            <w:r w:rsidRPr="00446D2F">
              <w:rPr>
                <w:rFonts w:ascii="Verdana" w:hAnsi="Verdana" w:cs="Calibri"/>
                <w:bCs/>
                <w:kern w:val="24"/>
                <w:sz w:val="20"/>
                <w:szCs w:val="20"/>
                <w:lang w:val="fi-FI" w:eastAsia="fi-FI"/>
              </w:rPr>
              <w:t>name</w:t>
            </w:r>
            <w:proofErr w:type="spellEnd"/>
          </w:p>
        </w:tc>
        <w:tc>
          <w:tcPr>
            <w:tcW w:w="1984" w:type="dxa"/>
            <w:shd w:val="clear" w:color="auto" w:fill="auto"/>
            <w:tcMar>
              <w:top w:w="15" w:type="dxa"/>
              <w:left w:w="68" w:type="dxa"/>
              <w:bottom w:w="0" w:type="dxa"/>
              <w:right w:w="68" w:type="dxa"/>
            </w:tcMar>
            <w:vAlign w:val="bottom"/>
            <w:hideMark/>
          </w:tcPr>
          <w:p w14:paraId="3980A7DB" w14:textId="51005CAA" w:rsidR="00F947D1" w:rsidRPr="00AB3DEC" w:rsidRDefault="00F947D1" w:rsidP="00123164">
            <w:pPr>
              <w:spacing w:after="0"/>
              <w:jc w:val="center"/>
              <w:rPr>
                <w:rFonts w:ascii="Verdana" w:hAnsi="Verdana" w:cs="Arial"/>
                <w:sz w:val="20"/>
                <w:szCs w:val="20"/>
                <w:lang w:eastAsia="fi-FI"/>
              </w:rPr>
            </w:pPr>
            <w:r w:rsidRPr="00AB3DEC">
              <w:rPr>
                <w:rFonts w:ascii="Verdana" w:hAnsi="Verdana" w:cs="Calibri"/>
                <w:bCs/>
                <w:kern w:val="24"/>
                <w:sz w:val="20"/>
                <w:szCs w:val="20"/>
                <w:lang w:eastAsia="fi-FI"/>
              </w:rPr>
              <w:t>Boiling point (</w:t>
            </w:r>
            <w:r w:rsidRPr="00AB3DEC">
              <w:rPr>
                <w:rFonts w:ascii="Verdana" w:eastAsia="Microsoft JhengHei" w:hAnsi="Verdana" w:cs="Arial"/>
                <w:bCs/>
                <w:kern w:val="24"/>
                <w:sz w:val="20"/>
                <w:szCs w:val="20"/>
                <w:lang w:eastAsia="fi-FI"/>
              </w:rPr>
              <w:t>°</w:t>
            </w:r>
            <w:r w:rsidRPr="00AB3DEC">
              <w:rPr>
                <w:rFonts w:ascii="Verdana" w:hAnsi="Verdana" w:cs="Calibri"/>
                <w:bCs/>
                <w:kern w:val="24"/>
                <w:sz w:val="20"/>
                <w:szCs w:val="20"/>
                <w:lang w:eastAsia="fi-FI"/>
              </w:rPr>
              <w:t>C) at (ca. 101 kPa)</w:t>
            </w:r>
            <w:r w:rsidR="0000318B">
              <w:rPr>
                <w:rStyle w:val="Alaviitteenviite"/>
                <w:rFonts w:ascii="Verdana" w:hAnsi="Verdana" w:cs="Calibri"/>
                <w:bCs/>
                <w:kern w:val="24"/>
                <w:sz w:val="20"/>
                <w:szCs w:val="20"/>
                <w:lang w:eastAsia="fi-FI"/>
              </w:rPr>
              <w:footnoteReference w:id="3"/>
            </w:r>
            <w:r w:rsidRPr="00AB3DEC">
              <w:rPr>
                <w:rFonts w:ascii="Verdana" w:hAnsi="Verdana" w:cs="Calibri"/>
                <w:bCs/>
                <w:kern w:val="24"/>
                <w:sz w:val="20"/>
                <w:szCs w:val="20"/>
                <w:lang w:eastAsia="fi-FI"/>
              </w:rPr>
              <w:t>.</w:t>
            </w:r>
          </w:p>
        </w:tc>
      </w:tr>
      <w:tr w:rsidR="00F947D1" w:rsidRPr="00123164" w14:paraId="021FAD23" w14:textId="77777777" w:rsidTr="00446D2F">
        <w:trPr>
          <w:trHeight w:val="218"/>
        </w:trPr>
        <w:tc>
          <w:tcPr>
            <w:tcW w:w="1271" w:type="dxa"/>
            <w:shd w:val="clear" w:color="auto" w:fill="auto"/>
            <w:tcMar>
              <w:top w:w="15" w:type="dxa"/>
              <w:left w:w="68" w:type="dxa"/>
              <w:bottom w:w="0" w:type="dxa"/>
              <w:right w:w="68" w:type="dxa"/>
            </w:tcMar>
            <w:vAlign w:val="bottom"/>
            <w:hideMark/>
          </w:tcPr>
          <w:p w14:paraId="36E91C89"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204-340-2</w:t>
            </w:r>
          </w:p>
        </w:tc>
        <w:tc>
          <w:tcPr>
            <w:tcW w:w="1418" w:type="dxa"/>
            <w:shd w:val="clear" w:color="auto" w:fill="auto"/>
            <w:tcMar>
              <w:top w:w="15" w:type="dxa"/>
              <w:left w:w="68" w:type="dxa"/>
              <w:bottom w:w="0" w:type="dxa"/>
              <w:right w:w="68" w:type="dxa"/>
            </w:tcMar>
            <w:vAlign w:val="bottom"/>
            <w:hideMark/>
          </w:tcPr>
          <w:p w14:paraId="27F8890A"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119-64-2</w:t>
            </w:r>
          </w:p>
        </w:tc>
        <w:tc>
          <w:tcPr>
            <w:tcW w:w="5103" w:type="dxa"/>
            <w:shd w:val="clear" w:color="auto" w:fill="auto"/>
            <w:tcMar>
              <w:top w:w="15" w:type="dxa"/>
              <w:left w:w="68" w:type="dxa"/>
              <w:bottom w:w="0" w:type="dxa"/>
              <w:right w:w="68" w:type="dxa"/>
            </w:tcMar>
            <w:vAlign w:val="bottom"/>
            <w:hideMark/>
          </w:tcPr>
          <w:p w14:paraId="04AE133D"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1,2,3,4-tetrahydronaphthalene</w:t>
            </w:r>
          </w:p>
        </w:tc>
        <w:tc>
          <w:tcPr>
            <w:tcW w:w="1984" w:type="dxa"/>
            <w:shd w:val="clear" w:color="auto" w:fill="auto"/>
            <w:tcMar>
              <w:top w:w="15" w:type="dxa"/>
              <w:left w:w="68" w:type="dxa"/>
              <w:bottom w:w="0" w:type="dxa"/>
              <w:right w:w="68" w:type="dxa"/>
            </w:tcMar>
            <w:vAlign w:val="bottom"/>
            <w:hideMark/>
          </w:tcPr>
          <w:p w14:paraId="2524AD08" w14:textId="77777777" w:rsidR="00F947D1" w:rsidRPr="00446D2F" w:rsidRDefault="00F947D1" w:rsidP="00123164">
            <w:pPr>
              <w:spacing w:after="0"/>
              <w:jc w:val="center"/>
              <w:rPr>
                <w:rFonts w:ascii="Verdana" w:hAnsi="Verdana" w:cs="Arial"/>
                <w:sz w:val="20"/>
                <w:szCs w:val="20"/>
                <w:lang w:val="fi-FI" w:eastAsia="fi-FI"/>
              </w:rPr>
            </w:pPr>
            <w:r w:rsidRPr="00446D2F">
              <w:rPr>
                <w:rFonts w:ascii="Verdana" w:hAnsi="Verdana" w:cs="Calibri"/>
                <w:kern w:val="24"/>
                <w:sz w:val="20"/>
                <w:szCs w:val="20"/>
                <w:lang w:val="fi-FI" w:eastAsia="fi-FI"/>
              </w:rPr>
              <w:t>207.57</w:t>
            </w:r>
          </w:p>
        </w:tc>
      </w:tr>
      <w:tr w:rsidR="00F947D1" w:rsidRPr="00123164" w14:paraId="2631C688" w14:textId="77777777" w:rsidTr="00446D2F">
        <w:trPr>
          <w:trHeight w:val="218"/>
        </w:trPr>
        <w:tc>
          <w:tcPr>
            <w:tcW w:w="1271" w:type="dxa"/>
            <w:shd w:val="clear" w:color="auto" w:fill="auto"/>
            <w:tcMar>
              <w:top w:w="15" w:type="dxa"/>
              <w:left w:w="68" w:type="dxa"/>
              <w:bottom w:w="0" w:type="dxa"/>
              <w:right w:w="68" w:type="dxa"/>
            </w:tcMar>
            <w:vAlign w:val="bottom"/>
            <w:hideMark/>
          </w:tcPr>
          <w:p w14:paraId="1441D310"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211-443-6</w:t>
            </w:r>
          </w:p>
        </w:tc>
        <w:tc>
          <w:tcPr>
            <w:tcW w:w="1418" w:type="dxa"/>
            <w:shd w:val="clear" w:color="auto" w:fill="auto"/>
            <w:tcMar>
              <w:top w:w="15" w:type="dxa"/>
              <w:left w:w="68" w:type="dxa"/>
              <w:bottom w:w="0" w:type="dxa"/>
              <w:right w:w="68" w:type="dxa"/>
            </w:tcMar>
            <w:vAlign w:val="bottom"/>
            <w:hideMark/>
          </w:tcPr>
          <w:p w14:paraId="3C4ABAE5"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645-45-4</w:t>
            </w:r>
          </w:p>
        </w:tc>
        <w:tc>
          <w:tcPr>
            <w:tcW w:w="5103" w:type="dxa"/>
            <w:shd w:val="clear" w:color="auto" w:fill="auto"/>
            <w:tcMar>
              <w:top w:w="15" w:type="dxa"/>
              <w:left w:w="68" w:type="dxa"/>
              <w:bottom w:w="0" w:type="dxa"/>
              <w:right w:w="68" w:type="dxa"/>
            </w:tcMar>
            <w:vAlign w:val="bottom"/>
            <w:hideMark/>
          </w:tcPr>
          <w:p w14:paraId="19F0C8DF"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 xml:space="preserve">3-phenylpropionyl </w:t>
            </w:r>
            <w:proofErr w:type="spellStart"/>
            <w:r w:rsidRPr="00446D2F">
              <w:rPr>
                <w:rFonts w:ascii="Verdana" w:hAnsi="Verdana" w:cs="Calibri"/>
                <w:kern w:val="24"/>
                <w:sz w:val="20"/>
                <w:szCs w:val="20"/>
                <w:lang w:val="fi-FI" w:eastAsia="fi-FI"/>
              </w:rPr>
              <w:t>chloride</w:t>
            </w:r>
            <w:proofErr w:type="spellEnd"/>
          </w:p>
        </w:tc>
        <w:tc>
          <w:tcPr>
            <w:tcW w:w="1984" w:type="dxa"/>
            <w:shd w:val="clear" w:color="auto" w:fill="auto"/>
            <w:tcMar>
              <w:top w:w="15" w:type="dxa"/>
              <w:left w:w="68" w:type="dxa"/>
              <w:bottom w:w="0" w:type="dxa"/>
              <w:right w:w="68" w:type="dxa"/>
            </w:tcMar>
            <w:vAlign w:val="bottom"/>
            <w:hideMark/>
          </w:tcPr>
          <w:p w14:paraId="4556D925" w14:textId="77777777" w:rsidR="00F947D1" w:rsidRPr="00446D2F" w:rsidRDefault="00F947D1" w:rsidP="00123164">
            <w:pPr>
              <w:spacing w:after="0"/>
              <w:jc w:val="center"/>
              <w:rPr>
                <w:rFonts w:ascii="Verdana" w:hAnsi="Verdana" w:cs="Arial"/>
                <w:sz w:val="20"/>
                <w:szCs w:val="20"/>
                <w:lang w:val="fi-FI" w:eastAsia="fi-FI"/>
              </w:rPr>
            </w:pPr>
            <w:r w:rsidRPr="00446D2F">
              <w:rPr>
                <w:rFonts w:ascii="Verdana" w:hAnsi="Verdana" w:cs="Calibri"/>
                <w:kern w:val="24"/>
                <w:sz w:val="20"/>
                <w:szCs w:val="20"/>
                <w:lang w:val="fi-FI" w:eastAsia="fi-FI"/>
              </w:rPr>
              <w:t>225</w:t>
            </w:r>
          </w:p>
        </w:tc>
      </w:tr>
      <w:tr w:rsidR="00F947D1" w:rsidRPr="00123164" w14:paraId="01CCEDA4" w14:textId="77777777" w:rsidTr="00446D2F">
        <w:trPr>
          <w:trHeight w:val="218"/>
        </w:trPr>
        <w:tc>
          <w:tcPr>
            <w:tcW w:w="1271" w:type="dxa"/>
            <w:shd w:val="clear" w:color="auto" w:fill="auto"/>
            <w:tcMar>
              <w:top w:w="15" w:type="dxa"/>
              <w:left w:w="68" w:type="dxa"/>
              <w:bottom w:w="0" w:type="dxa"/>
              <w:right w:w="68" w:type="dxa"/>
            </w:tcMar>
            <w:vAlign w:val="bottom"/>
            <w:hideMark/>
          </w:tcPr>
          <w:p w14:paraId="5E9A20A1"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940-786-0</w:t>
            </w:r>
          </w:p>
        </w:tc>
        <w:tc>
          <w:tcPr>
            <w:tcW w:w="1418" w:type="dxa"/>
            <w:shd w:val="clear" w:color="auto" w:fill="auto"/>
            <w:tcMar>
              <w:top w:w="15" w:type="dxa"/>
              <w:left w:w="68" w:type="dxa"/>
              <w:bottom w:w="0" w:type="dxa"/>
              <w:right w:w="68" w:type="dxa"/>
            </w:tcMar>
            <w:vAlign w:val="bottom"/>
            <w:hideMark/>
          </w:tcPr>
          <w:p w14:paraId="59E2966E"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 </w:t>
            </w:r>
          </w:p>
        </w:tc>
        <w:tc>
          <w:tcPr>
            <w:tcW w:w="5103" w:type="dxa"/>
            <w:shd w:val="clear" w:color="auto" w:fill="auto"/>
            <w:tcMar>
              <w:top w:w="15" w:type="dxa"/>
              <w:left w:w="68" w:type="dxa"/>
              <w:bottom w:w="0" w:type="dxa"/>
              <w:right w:w="68" w:type="dxa"/>
            </w:tcMar>
            <w:vAlign w:val="bottom"/>
            <w:hideMark/>
          </w:tcPr>
          <w:p w14:paraId="64B1E0E9" w14:textId="77777777" w:rsidR="00F947D1" w:rsidRPr="00446D2F" w:rsidRDefault="00F947D1" w:rsidP="00123164">
            <w:pPr>
              <w:spacing w:after="0"/>
              <w:rPr>
                <w:rFonts w:ascii="Verdana" w:hAnsi="Verdana" w:cs="Arial"/>
                <w:sz w:val="20"/>
                <w:szCs w:val="20"/>
                <w:lang w:val="fi-FI" w:eastAsia="fi-FI"/>
              </w:rPr>
            </w:pPr>
            <w:proofErr w:type="spellStart"/>
            <w:r w:rsidRPr="00446D2F">
              <w:rPr>
                <w:rFonts w:ascii="Verdana" w:hAnsi="Verdana" w:cs="Calibri"/>
                <w:kern w:val="24"/>
                <w:sz w:val="20"/>
                <w:szCs w:val="20"/>
                <w:lang w:val="fi-FI" w:eastAsia="fi-FI"/>
              </w:rPr>
              <w:t>Benzene</w:t>
            </w:r>
            <w:proofErr w:type="spellEnd"/>
            <w:r w:rsidRPr="00446D2F">
              <w:rPr>
                <w:rFonts w:ascii="Verdana" w:hAnsi="Verdana" w:cs="Calibri"/>
                <w:kern w:val="24"/>
                <w:sz w:val="20"/>
                <w:szCs w:val="20"/>
                <w:lang w:val="fi-FI" w:eastAsia="fi-FI"/>
              </w:rPr>
              <w:t xml:space="preserve">, C15-16-alkyl </w:t>
            </w:r>
            <w:proofErr w:type="spellStart"/>
            <w:r w:rsidRPr="00446D2F">
              <w:rPr>
                <w:rFonts w:ascii="Verdana" w:hAnsi="Verdana" w:cs="Calibri"/>
                <w:kern w:val="24"/>
                <w:sz w:val="20"/>
                <w:szCs w:val="20"/>
                <w:lang w:val="fi-FI" w:eastAsia="fi-FI"/>
              </w:rPr>
              <w:t>derivs</w:t>
            </w:r>
            <w:proofErr w:type="spellEnd"/>
            <w:r w:rsidRPr="00446D2F">
              <w:rPr>
                <w:rFonts w:ascii="Verdana" w:hAnsi="Verdana" w:cs="Calibri"/>
                <w:kern w:val="24"/>
                <w:sz w:val="20"/>
                <w:szCs w:val="20"/>
                <w:lang w:val="fi-FI" w:eastAsia="fi-FI"/>
              </w:rPr>
              <w:t>.</w:t>
            </w:r>
          </w:p>
        </w:tc>
        <w:tc>
          <w:tcPr>
            <w:tcW w:w="1984" w:type="dxa"/>
            <w:shd w:val="clear" w:color="auto" w:fill="auto"/>
            <w:tcMar>
              <w:top w:w="15" w:type="dxa"/>
              <w:left w:w="68" w:type="dxa"/>
              <w:bottom w:w="0" w:type="dxa"/>
              <w:right w:w="68" w:type="dxa"/>
            </w:tcMar>
            <w:vAlign w:val="bottom"/>
            <w:hideMark/>
          </w:tcPr>
          <w:p w14:paraId="170E3A84" w14:textId="77777777" w:rsidR="00F947D1" w:rsidRPr="00446D2F" w:rsidRDefault="00F947D1" w:rsidP="00123164">
            <w:pPr>
              <w:spacing w:after="0"/>
              <w:jc w:val="center"/>
              <w:rPr>
                <w:rFonts w:ascii="Verdana" w:hAnsi="Verdana" w:cs="Arial"/>
                <w:sz w:val="20"/>
                <w:szCs w:val="20"/>
                <w:lang w:val="fi-FI" w:eastAsia="fi-FI"/>
              </w:rPr>
            </w:pPr>
            <w:r w:rsidRPr="00446D2F">
              <w:rPr>
                <w:rFonts w:ascii="Verdana" w:hAnsi="Verdana" w:cs="Calibri"/>
                <w:kern w:val="24"/>
                <w:sz w:val="20"/>
                <w:szCs w:val="20"/>
                <w:lang w:val="fi-FI" w:eastAsia="fi-FI"/>
              </w:rPr>
              <w:t>306-365</w:t>
            </w:r>
          </w:p>
        </w:tc>
      </w:tr>
      <w:tr w:rsidR="00F947D1" w:rsidRPr="00123164" w14:paraId="038C73CA" w14:textId="77777777" w:rsidTr="00446D2F">
        <w:trPr>
          <w:trHeight w:val="218"/>
        </w:trPr>
        <w:tc>
          <w:tcPr>
            <w:tcW w:w="1271" w:type="dxa"/>
            <w:shd w:val="clear" w:color="auto" w:fill="auto"/>
            <w:tcMar>
              <w:top w:w="15" w:type="dxa"/>
              <w:left w:w="68" w:type="dxa"/>
              <w:bottom w:w="0" w:type="dxa"/>
              <w:right w:w="68" w:type="dxa"/>
            </w:tcMar>
            <w:vAlign w:val="bottom"/>
            <w:hideMark/>
          </w:tcPr>
          <w:p w14:paraId="2DC5526B"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271-802-8</w:t>
            </w:r>
          </w:p>
        </w:tc>
        <w:tc>
          <w:tcPr>
            <w:tcW w:w="1418" w:type="dxa"/>
            <w:shd w:val="clear" w:color="auto" w:fill="auto"/>
            <w:tcMar>
              <w:top w:w="15" w:type="dxa"/>
              <w:left w:w="68" w:type="dxa"/>
              <w:bottom w:w="0" w:type="dxa"/>
              <w:right w:w="68" w:type="dxa"/>
            </w:tcMar>
            <w:vAlign w:val="bottom"/>
            <w:hideMark/>
          </w:tcPr>
          <w:p w14:paraId="05F7A24D"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68608-82-2</w:t>
            </w:r>
          </w:p>
        </w:tc>
        <w:tc>
          <w:tcPr>
            <w:tcW w:w="5103" w:type="dxa"/>
            <w:shd w:val="clear" w:color="auto" w:fill="auto"/>
            <w:tcMar>
              <w:top w:w="15" w:type="dxa"/>
              <w:left w:w="68" w:type="dxa"/>
              <w:bottom w:w="0" w:type="dxa"/>
              <w:right w:w="68" w:type="dxa"/>
            </w:tcMar>
            <w:vAlign w:val="bottom"/>
            <w:hideMark/>
          </w:tcPr>
          <w:p w14:paraId="081A1CC6" w14:textId="77777777" w:rsidR="00F947D1" w:rsidRPr="00446D2F" w:rsidRDefault="00F947D1" w:rsidP="00123164">
            <w:pPr>
              <w:spacing w:after="0"/>
              <w:rPr>
                <w:rFonts w:ascii="Verdana" w:hAnsi="Verdana" w:cs="Arial"/>
                <w:sz w:val="20"/>
                <w:szCs w:val="20"/>
                <w:lang w:eastAsia="fi-FI"/>
              </w:rPr>
            </w:pPr>
            <w:r w:rsidRPr="00446D2F">
              <w:rPr>
                <w:rFonts w:ascii="Verdana" w:hAnsi="Verdana" w:cs="Calibri"/>
                <w:kern w:val="24"/>
                <w:sz w:val="20"/>
                <w:szCs w:val="20"/>
                <w:lang w:eastAsia="fi-FI"/>
              </w:rPr>
              <w:t>Benzene, ethylated, by products from</w:t>
            </w:r>
          </w:p>
        </w:tc>
        <w:tc>
          <w:tcPr>
            <w:tcW w:w="1984" w:type="dxa"/>
            <w:shd w:val="clear" w:color="auto" w:fill="auto"/>
            <w:tcMar>
              <w:top w:w="15" w:type="dxa"/>
              <w:left w:w="68" w:type="dxa"/>
              <w:bottom w:w="0" w:type="dxa"/>
              <w:right w:w="68" w:type="dxa"/>
            </w:tcMar>
            <w:vAlign w:val="bottom"/>
            <w:hideMark/>
          </w:tcPr>
          <w:p w14:paraId="6CCE7F44" w14:textId="77777777" w:rsidR="00F947D1" w:rsidRPr="00446D2F" w:rsidRDefault="00F947D1" w:rsidP="00123164">
            <w:pPr>
              <w:spacing w:after="0"/>
              <w:jc w:val="center"/>
              <w:rPr>
                <w:rFonts w:ascii="Verdana" w:hAnsi="Verdana" w:cs="Arial"/>
                <w:sz w:val="20"/>
                <w:szCs w:val="20"/>
                <w:lang w:val="fi-FI" w:eastAsia="fi-FI"/>
              </w:rPr>
            </w:pPr>
            <w:r w:rsidRPr="00446D2F">
              <w:rPr>
                <w:rFonts w:ascii="Verdana" w:hAnsi="Verdana" w:cs="Calibri"/>
                <w:kern w:val="24"/>
                <w:sz w:val="20"/>
                <w:szCs w:val="20"/>
                <w:lang w:val="fi-FI" w:eastAsia="fi-FI"/>
              </w:rPr>
              <w:t>265-295</w:t>
            </w:r>
          </w:p>
        </w:tc>
      </w:tr>
      <w:tr w:rsidR="00F947D1" w:rsidRPr="00123164" w14:paraId="620900A6" w14:textId="77777777" w:rsidTr="00446D2F">
        <w:trPr>
          <w:trHeight w:val="218"/>
        </w:trPr>
        <w:tc>
          <w:tcPr>
            <w:tcW w:w="1271" w:type="dxa"/>
            <w:shd w:val="clear" w:color="auto" w:fill="auto"/>
            <w:tcMar>
              <w:top w:w="15" w:type="dxa"/>
              <w:left w:w="68" w:type="dxa"/>
              <w:bottom w:w="0" w:type="dxa"/>
              <w:right w:w="68" w:type="dxa"/>
            </w:tcMar>
            <w:vAlign w:val="bottom"/>
            <w:hideMark/>
          </w:tcPr>
          <w:p w14:paraId="3E42ACD4"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284-660-7</w:t>
            </w:r>
          </w:p>
        </w:tc>
        <w:tc>
          <w:tcPr>
            <w:tcW w:w="1418" w:type="dxa"/>
            <w:shd w:val="clear" w:color="auto" w:fill="auto"/>
            <w:tcMar>
              <w:top w:w="15" w:type="dxa"/>
              <w:left w:w="68" w:type="dxa"/>
              <w:bottom w:w="0" w:type="dxa"/>
              <w:right w:w="68" w:type="dxa"/>
            </w:tcMar>
            <w:vAlign w:val="bottom"/>
            <w:hideMark/>
          </w:tcPr>
          <w:p w14:paraId="1EED2470"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84961-70-6</w:t>
            </w:r>
          </w:p>
        </w:tc>
        <w:tc>
          <w:tcPr>
            <w:tcW w:w="5103" w:type="dxa"/>
            <w:shd w:val="clear" w:color="auto" w:fill="auto"/>
            <w:tcMar>
              <w:top w:w="15" w:type="dxa"/>
              <w:left w:w="68" w:type="dxa"/>
              <w:bottom w:w="0" w:type="dxa"/>
              <w:right w:w="68" w:type="dxa"/>
            </w:tcMar>
            <w:vAlign w:val="bottom"/>
            <w:hideMark/>
          </w:tcPr>
          <w:p w14:paraId="0A9BA8AB" w14:textId="77777777" w:rsidR="00F947D1" w:rsidRPr="00446D2F" w:rsidRDefault="00F947D1" w:rsidP="00123164">
            <w:pPr>
              <w:spacing w:after="0"/>
              <w:rPr>
                <w:rFonts w:ascii="Verdana" w:hAnsi="Verdana" w:cs="Arial"/>
                <w:sz w:val="20"/>
                <w:szCs w:val="20"/>
                <w:lang w:val="fi-FI" w:eastAsia="fi-FI"/>
              </w:rPr>
            </w:pPr>
            <w:proofErr w:type="spellStart"/>
            <w:r w:rsidRPr="00446D2F">
              <w:rPr>
                <w:rFonts w:ascii="Verdana" w:hAnsi="Verdana" w:cs="Calibri"/>
                <w:kern w:val="24"/>
                <w:sz w:val="20"/>
                <w:szCs w:val="20"/>
                <w:lang w:val="fi-FI" w:eastAsia="fi-FI"/>
              </w:rPr>
              <w:t>Benzene</w:t>
            </w:r>
            <w:proofErr w:type="spellEnd"/>
            <w:r w:rsidRPr="00446D2F">
              <w:rPr>
                <w:rFonts w:ascii="Verdana" w:hAnsi="Verdana" w:cs="Calibri"/>
                <w:kern w:val="24"/>
                <w:sz w:val="20"/>
                <w:szCs w:val="20"/>
                <w:lang w:val="fi-FI" w:eastAsia="fi-FI"/>
              </w:rPr>
              <w:t xml:space="preserve">, mono-C10-13-alkyl </w:t>
            </w:r>
            <w:proofErr w:type="spellStart"/>
            <w:r w:rsidRPr="00446D2F">
              <w:rPr>
                <w:rFonts w:ascii="Verdana" w:hAnsi="Verdana" w:cs="Calibri"/>
                <w:kern w:val="24"/>
                <w:sz w:val="20"/>
                <w:szCs w:val="20"/>
                <w:lang w:val="fi-FI" w:eastAsia="fi-FI"/>
              </w:rPr>
              <w:t>derivs</w:t>
            </w:r>
            <w:proofErr w:type="spellEnd"/>
            <w:r w:rsidRPr="00446D2F">
              <w:rPr>
                <w:rFonts w:ascii="Verdana" w:hAnsi="Verdana" w:cs="Calibri"/>
                <w:kern w:val="24"/>
                <w:sz w:val="20"/>
                <w:szCs w:val="20"/>
                <w:lang w:val="fi-FI" w:eastAsia="fi-FI"/>
              </w:rPr>
              <w:t xml:space="preserve">., </w:t>
            </w:r>
            <w:proofErr w:type="spellStart"/>
            <w:r w:rsidRPr="00446D2F">
              <w:rPr>
                <w:rFonts w:ascii="Verdana" w:hAnsi="Verdana" w:cs="Calibri"/>
                <w:kern w:val="24"/>
                <w:sz w:val="20"/>
                <w:szCs w:val="20"/>
                <w:lang w:val="fi-FI" w:eastAsia="fi-FI"/>
              </w:rPr>
              <w:t>distn</w:t>
            </w:r>
            <w:proofErr w:type="spellEnd"/>
            <w:r w:rsidRPr="00446D2F">
              <w:rPr>
                <w:rFonts w:ascii="Verdana" w:hAnsi="Verdana" w:cs="Calibri"/>
                <w:kern w:val="24"/>
                <w:sz w:val="20"/>
                <w:szCs w:val="20"/>
                <w:lang w:val="fi-FI" w:eastAsia="fi-FI"/>
              </w:rPr>
              <w:t xml:space="preserve">. </w:t>
            </w:r>
            <w:proofErr w:type="spellStart"/>
            <w:r w:rsidRPr="00446D2F">
              <w:rPr>
                <w:rFonts w:ascii="Verdana" w:hAnsi="Verdana" w:cs="Calibri"/>
                <w:kern w:val="24"/>
                <w:sz w:val="20"/>
                <w:szCs w:val="20"/>
                <w:lang w:val="fi-FI" w:eastAsia="fi-FI"/>
              </w:rPr>
              <w:t>residues</w:t>
            </w:r>
            <w:proofErr w:type="spellEnd"/>
          </w:p>
        </w:tc>
        <w:tc>
          <w:tcPr>
            <w:tcW w:w="1984" w:type="dxa"/>
            <w:shd w:val="clear" w:color="auto" w:fill="auto"/>
            <w:tcMar>
              <w:top w:w="15" w:type="dxa"/>
              <w:left w:w="68" w:type="dxa"/>
              <w:bottom w:w="0" w:type="dxa"/>
              <w:right w:w="68" w:type="dxa"/>
            </w:tcMar>
            <w:vAlign w:val="bottom"/>
            <w:hideMark/>
          </w:tcPr>
          <w:p w14:paraId="10A262A5" w14:textId="77777777" w:rsidR="00F947D1" w:rsidRPr="00446D2F" w:rsidRDefault="00F947D1" w:rsidP="00123164">
            <w:pPr>
              <w:spacing w:after="0"/>
              <w:jc w:val="center"/>
              <w:rPr>
                <w:rFonts w:ascii="Verdana" w:hAnsi="Verdana" w:cs="Arial"/>
                <w:sz w:val="20"/>
                <w:szCs w:val="20"/>
                <w:lang w:val="fi-FI" w:eastAsia="fi-FI"/>
              </w:rPr>
            </w:pPr>
            <w:r w:rsidRPr="00446D2F">
              <w:rPr>
                <w:rFonts w:ascii="Verdana" w:hAnsi="Verdana" w:cs="Calibri"/>
                <w:kern w:val="24"/>
                <w:sz w:val="20"/>
                <w:szCs w:val="20"/>
                <w:lang w:val="fi-FI" w:eastAsia="fi-FI"/>
              </w:rPr>
              <w:t>300.4-407.5</w:t>
            </w:r>
          </w:p>
        </w:tc>
      </w:tr>
      <w:tr w:rsidR="00F947D1" w:rsidRPr="00123164" w14:paraId="72DFC62A" w14:textId="77777777" w:rsidTr="00446D2F">
        <w:trPr>
          <w:trHeight w:val="218"/>
        </w:trPr>
        <w:tc>
          <w:tcPr>
            <w:tcW w:w="1271" w:type="dxa"/>
            <w:shd w:val="clear" w:color="auto" w:fill="auto"/>
            <w:tcMar>
              <w:top w:w="15" w:type="dxa"/>
              <w:left w:w="68" w:type="dxa"/>
              <w:bottom w:w="0" w:type="dxa"/>
              <w:right w:w="68" w:type="dxa"/>
            </w:tcMar>
            <w:vAlign w:val="bottom"/>
            <w:hideMark/>
          </w:tcPr>
          <w:p w14:paraId="0E6ABA4C"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202-394-1</w:t>
            </w:r>
          </w:p>
        </w:tc>
        <w:tc>
          <w:tcPr>
            <w:tcW w:w="1418" w:type="dxa"/>
            <w:shd w:val="clear" w:color="auto" w:fill="auto"/>
            <w:tcMar>
              <w:top w:w="15" w:type="dxa"/>
              <w:left w:w="68" w:type="dxa"/>
              <w:bottom w:w="0" w:type="dxa"/>
              <w:right w:w="68" w:type="dxa"/>
            </w:tcMar>
            <w:vAlign w:val="bottom"/>
            <w:hideMark/>
          </w:tcPr>
          <w:p w14:paraId="2F79AEDB"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95-14-7</w:t>
            </w:r>
          </w:p>
        </w:tc>
        <w:tc>
          <w:tcPr>
            <w:tcW w:w="5103" w:type="dxa"/>
            <w:shd w:val="clear" w:color="auto" w:fill="auto"/>
            <w:tcMar>
              <w:top w:w="15" w:type="dxa"/>
              <w:left w:w="68" w:type="dxa"/>
              <w:bottom w:w="0" w:type="dxa"/>
              <w:right w:w="68" w:type="dxa"/>
            </w:tcMar>
            <w:vAlign w:val="bottom"/>
            <w:hideMark/>
          </w:tcPr>
          <w:p w14:paraId="6A35D8B4" w14:textId="77777777" w:rsidR="00F947D1" w:rsidRPr="00446D2F" w:rsidRDefault="00F947D1" w:rsidP="00123164">
            <w:pPr>
              <w:spacing w:after="0"/>
              <w:rPr>
                <w:rFonts w:ascii="Verdana" w:hAnsi="Verdana" w:cs="Arial"/>
                <w:sz w:val="20"/>
                <w:szCs w:val="20"/>
                <w:lang w:val="fi-FI" w:eastAsia="fi-FI"/>
              </w:rPr>
            </w:pPr>
            <w:proofErr w:type="spellStart"/>
            <w:r w:rsidRPr="00446D2F">
              <w:rPr>
                <w:rFonts w:ascii="Verdana" w:hAnsi="Verdana" w:cs="Calibri"/>
                <w:kern w:val="24"/>
                <w:sz w:val="20"/>
                <w:szCs w:val="20"/>
                <w:lang w:val="fi-FI" w:eastAsia="fi-FI"/>
              </w:rPr>
              <w:t>benzotriazole</w:t>
            </w:r>
            <w:proofErr w:type="spellEnd"/>
          </w:p>
        </w:tc>
        <w:tc>
          <w:tcPr>
            <w:tcW w:w="1984" w:type="dxa"/>
            <w:shd w:val="clear" w:color="auto" w:fill="auto"/>
            <w:tcMar>
              <w:top w:w="15" w:type="dxa"/>
              <w:left w:w="68" w:type="dxa"/>
              <w:bottom w:w="0" w:type="dxa"/>
              <w:right w:w="68" w:type="dxa"/>
            </w:tcMar>
            <w:vAlign w:val="bottom"/>
            <w:hideMark/>
          </w:tcPr>
          <w:p w14:paraId="2EC766BB" w14:textId="77777777" w:rsidR="00F947D1" w:rsidRPr="00446D2F" w:rsidRDefault="00F947D1" w:rsidP="00123164">
            <w:pPr>
              <w:spacing w:after="0"/>
              <w:jc w:val="center"/>
              <w:rPr>
                <w:rFonts w:ascii="Verdana" w:hAnsi="Verdana" w:cs="Arial"/>
                <w:sz w:val="20"/>
                <w:szCs w:val="20"/>
                <w:lang w:val="fi-FI" w:eastAsia="fi-FI"/>
              </w:rPr>
            </w:pPr>
            <w:r w:rsidRPr="00446D2F">
              <w:rPr>
                <w:rFonts w:ascii="Verdana" w:hAnsi="Verdana" w:cs="Calibri"/>
                <w:kern w:val="24"/>
                <w:sz w:val="20"/>
                <w:szCs w:val="20"/>
                <w:lang w:val="fi-FI" w:eastAsia="fi-FI"/>
              </w:rPr>
              <w:t>204</w:t>
            </w:r>
          </w:p>
        </w:tc>
      </w:tr>
      <w:tr w:rsidR="00F947D1" w:rsidRPr="00123164" w14:paraId="5AD3E682" w14:textId="77777777" w:rsidTr="00446D2F">
        <w:trPr>
          <w:trHeight w:val="218"/>
        </w:trPr>
        <w:tc>
          <w:tcPr>
            <w:tcW w:w="1271" w:type="dxa"/>
            <w:shd w:val="clear" w:color="auto" w:fill="auto"/>
            <w:tcMar>
              <w:top w:w="15" w:type="dxa"/>
              <w:left w:w="68" w:type="dxa"/>
              <w:bottom w:w="0" w:type="dxa"/>
              <w:right w:w="68" w:type="dxa"/>
            </w:tcMar>
            <w:vAlign w:val="bottom"/>
            <w:hideMark/>
          </w:tcPr>
          <w:p w14:paraId="0DC2374A"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248-654-8</w:t>
            </w:r>
          </w:p>
        </w:tc>
        <w:tc>
          <w:tcPr>
            <w:tcW w:w="1418" w:type="dxa"/>
            <w:shd w:val="clear" w:color="auto" w:fill="auto"/>
            <w:tcMar>
              <w:top w:w="15" w:type="dxa"/>
              <w:left w:w="68" w:type="dxa"/>
              <w:bottom w:w="0" w:type="dxa"/>
              <w:right w:w="68" w:type="dxa"/>
            </w:tcMar>
            <w:vAlign w:val="bottom"/>
            <w:hideMark/>
          </w:tcPr>
          <w:p w14:paraId="6ECFD970"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27776-01-8</w:t>
            </w:r>
          </w:p>
        </w:tc>
        <w:tc>
          <w:tcPr>
            <w:tcW w:w="5103" w:type="dxa"/>
            <w:shd w:val="clear" w:color="auto" w:fill="auto"/>
            <w:tcMar>
              <w:top w:w="15" w:type="dxa"/>
              <w:left w:w="68" w:type="dxa"/>
              <w:bottom w:w="0" w:type="dxa"/>
              <w:right w:w="68" w:type="dxa"/>
            </w:tcMar>
            <w:vAlign w:val="bottom"/>
            <w:hideMark/>
          </w:tcPr>
          <w:p w14:paraId="36D5896F" w14:textId="77777777" w:rsidR="00F947D1" w:rsidRPr="00446D2F" w:rsidRDefault="00F947D1" w:rsidP="00123164">
            <w:pPr>
              <w:spacing w:after="0"/>
              <w:rPr>
                <w:rFonts w:ascii="Verdana" w:hAnsi="Verdana" w:cs="Arial"/>
                <w:sz w:val="20"/>
                <w:szCs w:val="20"/>
                <w:lang w:val="fi-FI" w:eastAsia="fi-FI"/>
              </w:rPr>
            </w:pPr>
            <w:proofErr w:type="spellStart"/>
            <w:r w:rsidRPr="00446D2F">
              <w:rPr>
                <w:rFonts w:ascii="Verdana" w:hAnsi="Verdana" w:cs="Calibri"/>
                <w:kern w:val="24"/>
                <w:sz w:val="20"/>
                <w:szCs w:val="20"/>
                <w:lang w:val="fi-FI" w:eastAsia="fi-FI"/>
              </w:rPr>
              <w:t>benzyltoluene</w:t>
            </w:r>
            <w:proofErr w:type="spellEnd"/>
          </w:p>
        </w:tc>
        <w:tc>
          <w:tcPr>
            <w:tcW w:w="1984" w:type="dxa"/>
            <w:shd w:val="clear" w:color="auto" w:fill="auto"/>
            <w:tcMar>
              <w:top w:w="15" w:type="dxa"/>
              <w:left w:w="68" w:type="dxa"/>
              <w:bottom w:w="0" w:type="dxa"/>
              <w:right w:w="68" w:type="dxa"/>
            </w:tcMar>
            <w:vAlign w:val="bottom"/>
            <w:hideMark/>
          </w:tcPr>
          <w:p w14:paraId="390648F5" w14:textId="77777777" w:rsidR="00F947D1" w:rsidRPr="00446D2F" w:rsidRDefault="00F947D1" w:rsidP="00123164">
            <w:pPr>
              <w:spacing w:after="0"/>
              <w:jc w:val="center"/>
              <w:rPr>
                <w:rFonts w:ascii="Verdana" w:hAnsi="Verdana" w:cs="Arial"/>
                <w:sz w:val="20"/>
                <w:szCs w:val="20"/>
                <w:lang w:val="fi-FI" w:eastAsia="fi-FI"/>
              </w:rPr>
            </w:pPr>
            <w:r w:rsidRPr="00446D2F">
              <w:rPr>
                <w:rFonts w:ascii="Verdana" w:hAnsi="Verdana" w:cs="Calibri"/>
                <w:kern w:val="24"/>
                <w:sz w:val="20"/>
                <w:szCs w:val="20"/>
                <w:lang w:val="fi-FI" w:eastAsia="fi-FI"/>
              </w:rPr>
              <w:t>283-287</w:t>
            </w:r>
          </w:p>
        </w:tc>
      </w:tr>
      <w:tr w:rsidR="00F947D1" w:rsidRPr="00123164" w14:paraId="53DB0BB3" w14:textId="77777777" w:rsidTr="00446D2F">
        <w:trPr>
          <w:trHeight w:val="218"/>
        </w:trPr>
        <w:tc>
          <w:tcPr>
            <w:tcW w:w="1271" w:type="dxa"/>
            <w:shd w:val="clear" w:color="auto" w:fill="auto"/>
            <w:tcMar>
              <w:top w:w="15" w:type="dxa"/>
              <w:left w:w="68" w:type="dxa"/>
              <w:bottom w:w="0" w:type="dxa"/>
              <w:right w:w="68" w:type="dxa"/>
            </w:tcMar>
            <w:vAlign w:val="bottom"/>
            <w:hideMark/>
          </w:tcPr>
          <w:p w14:paraId="0E3EE65E"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202-163-5</w:t>
            </w:r>
          </w:p>
        </w:tc>
        <w:tc>
          <w:tcPr>
            <w:tcW w:w="1418" w:type="dxa"/>
            <w:shd w:val="clear" w:color="auto" w:fill="auto"/>
            <w:tcMar>
              <w:top w:w="15" w:type="dxa"/>
              <w:left w:w="68" w:type="dxa"/>
              <w:bottom w:w="0" w:type="dxa"/>
              <w:right w:w="68" w:type="dxa"/>
            </w:tcMar>
            <w:vAlign w:val="bottom"/>
            <w:hideMark/>
          </w:tcPr>
          <w:p w14:paraId="1E184F29"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92-52-4</w:t>
            </w:r>
          </w:p>
        </w:tc>
        <w:tc>
          <w:tcPr>
            <w:tcW w:w="5103" w:type="dxa"/>
            <w:shd w:val="clear" w:color="auto" w:fill="auto"/>
            <w:tcMar>
              <w:top w:w="15" w:type="dxa"/>
              <w:left w:w="68" w:type="dxa"/>
              <w:bottom w:w="0" w:type="dxa"/>
              <w:right w:w="68" w:type="dxa"/>
            </w:tcMar>
            <w:vAlign w:val="bottom"/>
            <w:hideMark/>
          </w:tcPr>
          <w:p w14:paraId="25A1956A" w14:textId="77777777" w:rsidR="00F947D1" w:rsidRPr="00446D2F" w:rsidRDefault="00F947D1" w:rsidP="00123164">
            <w:pPr>
              <w:spacing w:after="0"/>
              <w:rPr>
                <w:rFonts w:ascii="Verdana" w:hAnsi="Verdana" w:cs="Arial"/>
                <w:sz w:val="20"/>
                <w:szCs w:val="20"/>
                <w:lang w:val="fi-FI" w:eastAsia="fi-FI"/>
              </w:rPr>
            </w:pPr>
            <w:proofErr w:type="spellStart"/>
            <w:r w:rsidRPr="00446D2F">
              <w:rPr>
                <w:rFonts w:ascii="Verdana" w:hAnsi="Verdana" w:cs="Calibri"/>
                <w:kern w:val="24"/>
                <w:sz w:val="20"/>
                <w:szCs w:val="20"/>
                <w:lang w:val="fi-FI" w:eastAsia="fi-FI"/>
              </w:rPr>
              <w:t>biphenyl</w:t>
            </w:r>
            <w:proofErr w:type="spellEnd"/>
          </w:p>
        </w:tc>
        <w:tc>
          <w:tcPr>
            <w:tcW w:w="1984" w:type="dxa"/>
            <w:shd w:val="clear" w:color="auto" w:fill="auto"/>
            <w:tcMar>
              <w:top w:w="15" w:type="dxa"/>
              <w:left w:w="68" w:type="dxa"/>
              <w:bottom w:w="0" w:type="dxa"/>
              <w:right w:w="68" w:type="dxa"/>
            </w:tcMar>
            <w:vAlign w:val="bottom"/>
            <w:hideMark/>
          </w:tcPr>
          <w:p w14:paraId="42EDBBDB" w14:textId="77777777" w:rsidR="00F947D1" w:rsidRPr="00446D2F" w:rsidRDefault="00F947D1" w:rsidP="00123164">
            <w:pPr>
              <w:spacing w:after="0"/>
              <w:jc w:val="center"/>
              <w:rPr>
                <w:rFonts w:ascii="Verdana" w:hAnsi="Verdana" w:cs="Arial"/>
                <w:sz w:val="20"/>
                <w:szCs w:val="20"/>
                <w:lang w:val="fi-FI" w:eastAsia="fi-FI"/>
              </w:rPr>
            </w:pPr>
            <w:r w:rsidRPr="00446D2F">
              <w:rPr>
                <w:rFonts w:ascii="Verdana" w:hAnsi="Verdana" w:cs="Calibri"/>
                <w:kern w:val="24"/>
                <w:sz w:val="20"/>
                <w:szCs w:val="20"/>
                <w:lang w:val="fi-FI" w:eastAsia="fi-FI"/>
              </w:rPr>
              <w:t>255.25</w:t>
            </w:r>
          </w:p>
        </w:tc>
      </w:tr>
      <w:tr w:rsidR="00F947D1" w:rsidRPr="00123164" w14:paraId="20C48F7D" w14:textId="77777777" w:rsidTr="00446D2F">
        <w:trPr>
          <w:trHeight w:val="218"/>
        </w:trPr>
        <w:tc>
          <w:tcPr>
            <w:tcW w:w="1271" w:type="dxa"/>
            <w:shd w:val="clear" w:color="auto" w:fill="auto"/>
            <w:tcMar>
              <w:top w:w="15" w:type="dxa"/>
              <w:left w:w="68" w:type="dxa"/>
              <w:bottom w:w="0" w:type="dxa"/>
              <w:right w:w="68" w:type="dxa"/>
            </w:tcMar>
            <w:vAlign w:val="bottom"/>
            <w:hideMark/>
          </w:tcPr>
          <w:p w14:paraId="155CC56B"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206-016-6</w:t>
            </w:r>
          </w:p>
        </w:tc>
        <w:tc>
          <w:tcPr>
            <w:tcW w:w="1418" w:type="dxa"/>
            <w:shd w:val="clear" w:color="auto" w:fill="auto"/>
            <w:tcMar>
              <w:top w:w="15" w:type="dxa"/>
              <w:left w:w="68" w:type="dxa"/>
              <w:bottom w:w="0" w:type="dxa"/>
              <w:right w:w="68" w:type="dxa"/>
            </w:tcMar>
            <w:vAlign w:val="bottom"/>
            <w:hideMark/>
          </w:tcPr>
          <w:p w14:paraId="230E6939"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287-92-3</w:t>
            </w:r>
          </w:p>
        </w:tc>
        <w:tc>
          <w:tcPr>
            <w:tcW w:w="5103" w:type="dxa"/>
            <w:shd w:val="clear" w:color="auto" w:fill="auto"/>
            <w:tcMar>
              <w:top w:w="15" w:type="dxa"/>
              <w:left w:w="68" w:type="dxa"/>
              <w:bottom w:w="0" w:type="dxa"/>
              <w:right w:w="68" w:type="dxa"/>
            </w:tcMar>
            <w:vAlign w:val="bottom"/>
            <w:hideMark/>
          </w:tcPr>
          <w:p w14:paraId="7AE770E4" w14:textId="77777777" w:rsidR="00F947D1" w:rsidRPr="00446D2F" w:rsidRDefault="00F947D1" w:rsidP="00123164">
            <w:pPr>
              <w:spacing w:after="0"/>
              <w:rPr>
                <w:rFonts w:ascii="Verdana" w:hAnsi="Verdana" w:cs="Arial"/>
                <w:sz w:val="20"/>
                <w:szCs w:val="20"/>
                <w:lang w:val="fi-FI" w:eastAsia="fi-FI"/>
              </w:rPr>
            </w:pPr>
            <w:proofErr w:type="spellStart"/>
            <w:r w:rsidRPr="00446D2F">
              <w:rPr>
                <w:rFonts w:ascii="Verdana" w:hAnsi="Verdana" w:cs="Calibri"/>
                <w:kern w:val="24"/>
                <w:sz w:val="20"/>
                <w:szCs w:val="20"/>
                <w:lang w:val="fi-FI" w:eastAsia="fi-FI"/>
              </w:rPr>
              <w:t>cyclopentane</w:t>
            </w:r>
            <w:proofErr w:type="spellEnd"/>
          </w:p>
        </w:tc>
        <w:tc>
          <w:tcPr>
            <w:tcW w:w="1984" w:type="dxa"/>
            <w:shd w:val="clear" w:color="auto" w:fill="auto"/>
            <w:tcMar>
              <w:top w:w="15" w:type="dxa"/>
              <w:left w:w="68" w:type="dxa"/>
              <w:bottom w:w="0" w:type="dxa"/>
              <w:right w:w="68" w:type="dxa"/>
            </w:tcMar>
            <w:vAlign w:val="bottom"/>
            <w:hideMark/>
          </w:tcPr>
          <w:p w14:paraId="1BE2DC15" w14:textId="77777777" w:rsidR="00F947D1" w:rsidRPr="00446D2F" w:rsidRDefault="00F947D1" w:rsidP="00123164">
            <w:pPr>
              <w:spacing w:after="0"/>
              <w:jc w:val="center"/>
              <w:rPr>
                <w:rFonts w:ascii="Verdana" w:hAnsi="Verdana" w:cs="Arial"/>
                <w:sz w:val="20"/>
                <w:szCs w:val="20"/>
                <w:lang w:val="fi-FI" w:eastAsia="fi-FI"/>
              </w:rPr>
            </w:pPr>
            <w:r w:rsidRPr="00446D2F">
              <w:rPr>
                <w:rFonts w:ascii="Verdana" w:hAnsi="Verdana" w:cs="Calibri"/>
                <w:kern w:val="24"/>
                <w:sz w:val="20"/>
                <w:szCs w:val="20"/>
                <w:lang w:val="fi-FI" w:eastAsia="fi-FI"/>
              </w:rPr>
              <w:t>50</w:t>
            </w:r>
          </w:p>
        </w:tc>
      </w:tr>
      <w:tr w:rsidR="00F947D1" w:rsidRPr="00123164" w14:paraId="300263AE" w14:textId="77777777" w:rsidTr="00446D2F">
        <w:trPr>
          <w:trHeight w:val="218"/>
        </w:trPr>
        <w:tc>
          <w:tcPr>
            <w:tcW w:w="1271" w:type="dxa"/>
            <w:shd w:val="clear" w:color="auto" w:fill="auto"/>
            <w:tcMar>
              <w:top w:w="15" w:type="dxa"/>
              <w:left w:w="68" w:type="dxa"/>
              <w:bottom w:w="0" w:type="dxa"/>
              <w:right w:w="68" w:type="dxa"/>
            </w:tcMar>
            <w:vAlign w:val="bottom"/>
            <w:hideMark/>
          </w:tcPr>
          <w:p w14:paraId="2FC16F99"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258-649-2</w:t>
            </w:r>
          </w:p>
        </w:tc>
        <w:tc>
          <w:tcPr>
            <w:tcW w:w="1418" w:type="dxa"/>
            <w:shd w:val="clear" w:color="auto" w:fill="auto"/>
            <w:tcMar>
              <w:top w:w="15" w:type="dxa"/>
              <w:left w:w="68" w:type="dxa"/>
              <w:bottom w:w="0" w:type="dxa"/>
              <w:right w:w="68" w:type="dxa"/>
            </w:tcMar>
            <w:vAlign w:val="bottom"/>
            <w:hideMark/>
          </w:tcPr>
          <w:p w14:paraId="2AE31B79"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53585-53-8</w:t>
            </w:r>
          </w:p>
        </w:tc>
        <w:tc>
          <w:tcPr>
            <w:tcW w:w="5103" w:type="dxa"/>
            <w:shd w:val="clear" w:color="auto" w:fill="auto"/>
            <w:tcMar>
              <w:top w:w="15" w:type="dxa"/>
              <w:left w:w="68" w:type="dxa"/>
              <w:bottom w:w="0" w:type="dxa"/>
              <w:right w:w="68" w:type="dxa"/>
            </w:tcMar>
            <w:vAlign w:val="bottom"/>
            <w:hideMark/>
          </w:tcPr>
          <w:p w14:paraId="65A1B118"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 xml:space="preserve">dibenzylbenzene, </w:t>
            </w:r>
            <w:proofErr w:type="spellStart"/>
            <w:r w:rsidRPr="00446D2F">
              <w:rPr>
                <w:rFonts w:ascii="Verdana" w:hAnsi="Verdana" w:cs="Calibri"/>
                <w:kern w:val="24"/>
                <w:sz w:val="20"/>
                <w:szCs w:val="20"/>
                <w:lang w:val="fi-FI" w:eastAsia="fi-FI"/>
              </w:rPr>
              <w:t>ar-methyl</w:t>
            </w:r>
            <w:proofErr w:type="spellEnd"/>
            <w:r w:rsidRPr="00446D2F">
              <w:rPr>
                <w:rFonts w:ascii="Verdana" w:hAnsi="Verdana" w:cs="Calibri"/>
                <w:kern w:val="24"/>
                <w:sz w:val="20"/>
                <w:szCs w:val="20"/>
                <w:lang w:val="fi-FI" w:eastAsia="fi-FI"/>
              </w:rPr>
              <w:t xml:space="preserve"> </w:t>
            </w:r>
            <w:proofErr w:type="spellStart"/>
            <w:r w:rsidRPr="00446D2F">
              <w:rPr>
                <w:rFonts w:ascii="Verdana" w:hAnsi="Verdana" w:cs="Calibri"/>
                <w:kern w:val="24"/>
                <w:sz w:val="20"/>
                <w:szCs w:val="20"/>
                <w:lang w:val="fi-FI" w:eastAsia="fi-FI"/>
              </w:rPr>
              <w:t>derivative</w:t>
            </w:r>
            <w:proofErr w:type="spellEnd"/>
          </w:p>
        </w:tc>
        <w:tc>
          <w:tcPr>
            <w:tcW w:w="1984" w:type="dxa"/>
            <w:shd w:val="clear" w:color="auto" w:fill="auto"/>
            <w:tcMar>
              <w:top w:w="15" w:type="dxa"/>
              <w:left w:w="68" w:type="dxa"/>
              <w:bottom w:w="0" w:type="dxa"/>
              <w:right w:w="68" w:type="dxa"/>
            </w:tcMar>
            <w:vAlign w:val="bottom"/>
            <w:hideMark/>
          </w:tcPr>
          <w:p w14:paraId="0713D225" w14:textId="77777777" w:rsidR="00F947D1" w:rsidRPr="00446D2F" w:rsidRDefault="00F947D1" w:rsidP="00123164">
            <w:pPr>
              <w:spacing w:after="0"/>
              <w:jc w:val="center"/>
              <w:rPr>
                <w:rFonts w:ascii="Verdana" w:hAnsi="Verdana" w:cs="Arial"/>
                <w:sz w:val="20"/>
                <w:szCs w:val="20"/>
                <w:lang w:val="fi-FI" w:eastAsia="fi-FI"/>
              </w:rPr>
            </w:pPr>
            <w:r w:rsidRPr="00446D2F">
              <w:rPr>
                <w:rFonts w:ascii="Verdana" w:hAnsi="Verdana" w:cs="Calibri"/>
                <w:kern w:val="24"/>
                <w:sz w:val="20"/>
                <w:szCs w:val="20"/>
                <w:lang w:val="fi-FI" w:eastAsia="fi-FI"/>
              </w:rPr>
              <w:t>390.1</w:t>
            </w:r>
          </w:p>
        </w:tc>
      </w:tr>
      <w:tr w:rsidR="00F947D1" w:rsidRPr="00123164" w14:paraId="723AB2E1" w14:textId="77777777" w:rsidTr="00446D2F">
        <w:trPr>
          <w:trHeight w:val="295"/>
        </w:trPr>
        <w:tc>
          <w:tcPr>
            <w:tcW w:w="1271" w:type="dxa"/>
            <w:shd w:val="clear" w:color="auto" w:fill="auto"/>
            <w:tcMar>
              <w:top w:w="15" w:type="dxa"/>
              <w:left w:w="68" w:type="dxa"/>
              <w:bottom w:w="0" w:type="dxa"/>
              <w:right w:w="68" w:type="dxa"/>
            </w:tcMar>
            <w:vAlign w:val="bottom"/>
            <w:hideMark/>
          </w:tcPr>
          <w:p w14:paraId="66B6DEF4"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202-981-2</w:t>
            </w:r>
          </w:p>
        </w:tc>
        <w:tc>
          <w:tcPr>
            <w:tcW w:w="1418" w:type="dxa"/>
            <w:shd w:val="clear" w:color="auto" w:fill="auto"/>
            <w:tcMar>
              <w:top w:w="15" w:type="dxa"/>
              <w:left w:w="68" w:type="dxa"/>
              <w:bottom w:w="0" w:type="dxa"/>
              <w:right w:w="68" w:type="dxa"/>
            </w:tcMar>
            <w:vAlign w:val="bottom"/>
            <w:hideMark/>
          </w:tcPr>
          <w:p w14:paraId="10942131"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101-84-8</w:t>
            </w:r>
          </w:p>
        </w:tc>
        <w:tc>
          <w:tcPr>
            <w:tcW w:w="5103" w:type="dxa"/>
            <w:shd w:val="clear" w:color="auto" w:fill="auto"/>
            <w:tcMar>
              <w:top w:w="15" w:type="dxa"/>
              <w:left w:w="68" w:type="dxa"/>
              <w:bottom w:w="0" w:type="dxa"/>
              <w:right w:w="68" w:type="dxa"/>
            </w:tcMar>
            <w:vAlign w:val="bottom"/>
            <w:hideMark/>
          </w:tcPr>
          <w:p w14:paraId="1DCA1385" w14:textId="77777777" w:rsidR="00F947D1" w:rsidRPr="00446D2F" w:rsidRDefault="00F947D1" w:rsidP="00123164">
            <w:pPr>
              <w:spacing w:after="0"/>
              <w:rPr>
                <w:rFonts w:ascii="Verdana" w:hAnsi="Verdana" w:cs="Arial"/>
                <w:sz w:val="20"/>
                <w:szCs w:val="20"/>
                <w:lang w:val="fi-FI" w:eastAsia="fi-FI"/>
              </w:rPr>
            </w:pPr>
            <w:proofErr w:type="spellStart"/>
            <w:r w:rsidRPr="00446D2F">
              <w:rPr>
                <w:rFonts w:ascii="Verdana" w:hAnsi="Verdana" w:cs="Calibri"/>
                <w:kern w:val="24"/>
                <w:sz w:val="20"/>
                <w:szCs w:val="20"/>
                <w:lang w:val="fi-FI" w:eastAsia="fi-FI"/>
              </w:rPr>
              <w:t>diphenyl</w:t>
            </w:r>
            <w:proofErr w:type="spellEnd"/>
            <w:r w:rsidRPr="00446D2F">
              <w:rPr>
                <w:rFonts w:ascii="Verdana" w:hAnsi="Verdana" w:cs="Calibri"/>
                <w:kern w:val="24"/>
                <w:sz w:val="20"/>
                <w:szCs w:val="20"/>
                <w:lang w:val="fi-FI" w:eastAsia="fi-FI"/>
              </w:rPr>
              <w:t xml:space="preserve"> </w:t>
            </w:r>
            <w:proofErr w:type="spellStart"/>
            <w:r w:rsidRPr="00446D2F">
              <w:rPr>
                <w:rFonts w:ascii="Verdana" w:hAnsi="Verdana" w:cs="Calibri"/>
                <w:kern w:val="24"/>
                <w:sz w:val="20"/>
                <w:szCs w:val="20"/>
                <w:lang w:val="fi-FI" w:eastAsia="fi-FI"/>
              </w:rPr>
              <w:t>ether</w:t>
            </w:r>
            <w:proofErr w:type="spellEnd"/>
          </w:p>
        </w:tc>
        <w:tc>
          <w:tcPr>
            <w:tcW w:w="1984" w:type="dxa"/>
            <w:shd w:val="clear" w:color="auto" w:fill="auto"/>
            <w:tcMar>
              <w:top w:w="15" w:type="dxa"/>
              <w:left w:w="68" w:type="dxa"/>
              <w:bottom w:w="0" w:type="dxa"/>
              <w:right w:w="68" w:type="dxa"/>
            </w:tcMar>
            <w:vAlign w:val="bottom"/>
            <w:hideMark/>
          </w:tcPr>
          <w:p w14:paraId="6C5B8A10" w14:textId="77777777" w:rsidR="00F947D1" w:rsidRPr="00446D2F" w:rsidRDefault="00F947D1" w:rsidP="00123164">
            <w:pPr>
              <w:spacing w:after="0"/>
              <w:jc w:val="center"/>
              <w:rPr>
                <w:rFonts w:ascii="Verdana" w:hAnsi="Verdana" w:cs="Arial"/>
                <w:sz w:val="20"/>
                <w:szCs w:val="20"/>
                <w:lang w:val="fi-FI" w:eastAsia="fi-FI"/>
              </w:rPr>
            </w:pPr>
            <w:r w:rsidRPr="00446D2F">
              <w:rPr>
                <w:rFonts w:ascii="Verdana" w:hAnsi="Verdana" w:cs="Calibri"/>
                <w:kern w:val="24"/>
                <w:sz w:val="20"/>
                <w:szCs w:val="20"/>
                <w:lang w:val="fi-FI" w:eastAsia="fi-FI"/>
              </w:rPr>
              <w:t>258</w:t>
            </w:r>
          </w:p>
        </w:tc>
      </w:tr>
      <w:tr w:rsidR="00F947D1" w:rsidRPr="00123164" w14:paraId="01BB28E9" w14:textId="77777777" w:rsidTr="00446D2F">
        <w:trPr>
          <w:trHeight w:val="218"/>
        </w:trPr>
        <w:tc>
          <w:tcPr>
            <w:tcW w:w="1271" w:type="dxa"/>
            <w:shd w:val="clear" w:color="auto" w:fill="auto"/>
            <w:tcMar>
              <w:top w:w="15" w:type="dxa"/>
              <w:left w:w="68" w:type="dxa"/>
              <w:bottom w:w="0" w:type="dxa"/>
              <w:right w:w="68" w:type="dxa"/>
            </w:tcMar>
            <w:vAlign w:val="bottom"/>
            <w:hideMark/>
          </w:tcPr>
          <w:p w14:paraId="50ED6097"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248-948-6</w:t>
            </w:r>
          </w:p>
        </w:tc>
        <w:tc>
          <w:tcPr>
            <w:tcW w:w="1418" w:type="dxa"/>
            <w:shd w:val="clear" w:color="auto" w:fill="auto"/>
            <w:tcMar>
              <w:top w:w="15" w:type="dxa"/>
              <w:left w:w="68" w:type="dxa"/>
              <w:bottom w:w="0" w:type="dxa"/>
              <w:right w:w="68" w:type="dxa"/>
            </w:tcMar>
            <w:vAlign w:val="bottom"/>
            <w:hideMark/>
          </w:tcPr>
          <w:p w14:paraId="3D9F6EA0"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28299-41-4</w:t>
            </w:r>
          </w:p>
        </w:tc>
        <w:tc>
          <w:tcPr>
            <w:tcW w:w="5103" w:type="dxa"/>
            <w:shd w:val="clear" w:color="auto" w:fill="auto"/>
            <w:tcMar>
              <w:top w:w="15" w:type="dxa"/>
              <w:left w:w="68" w:type="dxa"/>
              <w:bottom w:w="0" w:type="dxa"/>
              <w:right w:w="68" w:type="dxa"/>
            </w:tcMar>
            <w:vAlign w:val="bottom"/>
            <w:hideMark/>
          </w:tcPr>
          <w:p w14:paraId="2863CDF0" w14:textId="77777777" w:rsidR="00F947D1" w:rsidRPr="00446D2F" w:rsidRDefault="00F947D1" w:rsidP="00123164">
            <w:pPr>
              <w:spacing w:after="0"/>
              <w:rPr>
                <w:rFonts w:ascii="Verdana" w:hAnsi="Verdana" w:cs="Arial"/>
                <w:sz w:val="20"/>
                <w:szCs w:val="20"/>
                <w:lang w:val="fi-FI" w:eastAsia="fi-FI"/>
              </w:rPr>
            </w:pPr>
            <w:proofErr w:type="spellStart"/>
            <w:r w:rsidRPr="00446D2F">
              <w:rPr>
                <w:rFonts w:ascii="Verdana" w:hAnsi="Verdana" w:cs="Calibri"/>
                <w:kern w:val="24"/>
                <w:sz w:val="20"/>
                <w:szCs w:val="20"/>
                <w:lang w:val="fi-FI" w:eastAsia="fi-FI"/>
              </w:rPr>
              <w:t>ditolyl</w:t>
            </w:r>
            <w:proofErr w:type="spellEnd"/>
            <w:r w:rsidRPr="00446D2F">
              <w:rPr>
                <w:rFonts w:ascii="Verdana" w:hAnsi="Verdana" w:cs="Calibri"/>
                <w:kern w:val="24"/>
                <w:sz w:val="20"/>
                <w:szCs w:val="20"/>
                <w:lang w:val="fi-FI" w:eastAsia="fi-FI"/>
              </w:rPr>
              <w:t xml:space="preserve"> </w:t>
            </w:r>
            <w:proofErr w:type="spellStart"/>
            <w:r w:rsidRPr="00446D2F">
              <w:rPr>
                <w:rFonts w:ascii="Verdana" w:hAnsi="Verdana" w:cs="Calibri"/>
                <w:kern w:val="24"/>
                <w:sz w:val="20"/>
                <w:szCs w:val="20"/>
                <w:lang w:val="fi-FI" w:eastAsia="fi-FI"/>
              </w:rPr>
              <w:t>ether</w:t>
            </w:r>
            <w:proofErr w:type="spellEnd"/>
          </w:p>
        </w:tc>
        <w:tc>
          <w:tcPr>
            <w:tcW w:w="1984" w:type="dxa"/>
            <w:shd w:val="clear" w:color="auto" w:fill="auto"/>
            <w:tcMar>
              <w:top w:w="15" w:type="dxa"/>
              <w:left w:w="68" w:type="dxa"/>
              <w:bottom w:w="0" w:type="dxa"/>
              <w:right w:w="68" w:type="dxa"/>
            </w:tcMar>
            <w:vAlign w:val="bottom"/>
            <w:hideMark/>
          </w:tcPr>
          <w:p w14:paraId="17E0338D" w14:textId="77777777" w:rsidR="00F947D1" w:rsidRPr="00446D2F" w:rsidRDefault="00F947D1" w:rsidP="00123164">
            <w:pPr>
              <w:spacing w:after="0"/>
              <w:jc w:val="center"/>
              <w:rPr>
                <w:rFonts w:ascii="Verdana" w:hAnsi="Verdana" w:cs="Arial"/>
                <w:sz w:val="20"/>
                <w:szCs w:val="20"/>
                <w:lang w:val="fi-FI" w:eastAsia="fi-FI"/>
              </w:rPr>
            </w:pPr>
            <w:r w:rsidRPr="00446D2F">
              <w:rPr>
                <w:rFonts w:ascii="Verdana" w:hAnsi="Verdana" w:cs="Calibri"/>
                <w:kern w:val="24"/>
                <w:sz w:val="20"/>
                <w:szCs w:val="20"/>
                <w:lang w:val="fi-FI" w:eastAsia="fi-FI"/>
              </w:rPr>
              <w:t>283</w:t>
            </w:r>
          </w:p>
        </w:tc>
      </w:tr>
      <w:tr w:rsidR="00F947D1" w:rsidRPr="00123164" w14:paraId="3A4C2C8E" w14:textId="77777777" w:rsidTr="00446D2F">
        <w:trPr>
          <w:trHeight w:val="218"/>
        </w:trPr>
        <w:tc>
          <w:tcPr>
            <w:tcW w:w="1271" w:type="dxa"/>
            <w:shd w:val="clear" w:color="auto" w:fill="auto"/>
            <w:tcMar>
              <w:top w:w="15" w:type="dxa"/>
              <w:left w:w="68" w:type="dxa"/>
              <w:bottom w:w="0" w:type="dxa"/>
              <w:right w:w="68" w:type="dxa"/>
            </w:tcMar>
            <w:vAlign w:val="bottom"/>
            <w:hideMark/>
          </w:tcPr>
          <w:p w14:paraId="041D2CB8"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200-578-6</w:t>
            </w:r>
          </w:p>
        </w:tc>
        <w:tc>
          <w:tcPr>
            <w:tcW w:w="1418" w:type="dxa"/>
            <w:shd w:val="clear" w:color="auto" w:fill="auto"/>
            <w:tcMar>
              <w:top w:w="15" w:type="dxa"/>
              <w:left w:w="68" w:type="dxa"/>
              <w:bottom w:w="0" w:type="dxa"/>
              <w:right w:w="68" w:type="dxa"/>
            </w:tcMar>
            <w:vAlign w:val="bottom"/>
            <w:hideMark/>
          </w:tcPr>
          <w:p w14:paraId="6E49398D"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64-17-5</w:t>
            </w:r>
          </w:p>
        </w:tc>
        <w:tc>
          <w:tcPr>
            <w:tcW w:w="5103" w:type="dxa"/>
            <w:shd w:val="clear" w:color="auto" w:fill="auto"/>
            <w:tcMar>
              <w:top w:w="15" w:type="dxa"/>
              <w:left w:w="68" w:type="dxa"/>
              <w:bottom w:w="0" w:type="dxa"/>
              <w:right w:w="68" w:type="dxa"/>
            </w:tcMar>
            <w:vAlign w:val="bottom"/>
            <w:hideMark/>
          </w:tcPr>
          <w:p w14:paraId="0A31DB97" w14:textId="77777777" w:rsidR="00F947D1" w:rsidRPr="00446D2F" w:rsidRDefault="00F947D1" w:rsidP="00123164">
            <w:pPr>
              <w:spacing w:after="0"/>
              <w:rPr>
                <w:rFonts w:ascii="Verdana" w:hAnsi="Verdana" w:cs="Arial"/>
                <w:sz w:val="20"/>
                <w:szCs w:val="20"/>
                <w:lang w:val="fi-FI" w:eastAsia="fi-FI"/>
              </w:rPr>
            </w:pPr>
            <w:proofErr w:type="spellStart"/>
            <w:r w:rsidRPr="00446D2F">
              <w:rPr>
                <w:rFonts w:ascii="Verdana" w:hAnsi="Verdana" w:cs="Calibri"/>
                <w:kern w:val="24"/>
                <w:sz w:val="20"/>
                <w:szCs w:val="20"/>
                <w:lang w:val="fi-FI" w:eastAsia="fi-FI"/>
              </w:rPr>
              <w:t>ethanol</w:t>
            </w:r>
            <w:proofErr w:type="spellEnd"/>
          </w:p>
        </w:tc>
        <w:tc>
          <w:tcPr>
            <w:tcW w:w="1984" w:type="dxa"/>
            <w:shd w:val="clear" w:color="auto" w:fill="auto"/>
            <w:tcMar>
              <w:top w:w="15" w:type="dxa"/>
              <w:left w:w="68" w:type="dxa"/>
              <w:bottom w:w="0" w:type="dxa"/>
              <w:right w:w="68" w:type="dxa"/>
            </w:tcMar>
            <w:vAlign w:val="bottom"/>
            <w:hideMark/>
          </w:tcPr>
          <w:p w14:paraId="35C1E07C" w14:textId="77777777" w:rsidR="00F947D1" w:rsidRPr="00446D2F" w:rsidRDefault="00F947D1" w:rsidP="00123164">
            <w:pPr>
              <w:spacing w:after="0"/>
              <w:jc w:val="center"/>
              <w:rPr>
                <w:rFonts w:ascii="Verdana" w:hAnsi="Verdana" w:cs="Arial"/>
                <w:sz w:val="20"/>
                <w:szCs w:val="20"/>
                <w:lang w:val="fi-FI" w:eastAsia="fi-FI"/>
              </w:rPr>
            </w:pPr>
            <w:r w:rsidRPr="00446D2F">
              <w:rPr>
                <w:rFonts w:ascii="Verdana" w:hAnsi="Verdana" w:cs="Calibri"/>
                <w:kern w:val="24"/>
                <w:sz w:val="20"/>
                <w:szCs w:val="20"/>
                <w:lang w:val="fi-FI" w:eastAsia="fi-FI"/>
              </w:rPr>
              <w:t>78</w:t>
            </w:r>
          </w:p>
        </w:tc>
      </w:tr>
      <w:tr w:rsidR="00F947D1" w:rsidRPr="00123164" w14:paraId="5FCC0177" w14:textId="77777777" w:rsidTr="00446D2F">
        <w:trPr>
          <w:trHeight w:val="218"/>
        </w:trPr>
        <w:tc>
          <w:tcPr>
            <w:tcW w:w="1271" w:type="dxa"/>
            <w:shd w:val="clear" w:color="auto" w:fill="auto"/>
            <w:tcMar>
              <w:top w:w="15" w:type="dxa"/>
              <w:left w:w="68" w:type="dxa"/>
              <w:bottom w:w="0" w:type="dxa"/>
              <w:right w:w="68" w:type="dxa"/>
            </w:tcMar>
            <w:vAlign w:val="bottom"/>
            <w:hideMark/>
          </w:tcPr>
          <w:p w14:paraId="17562213"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211-694-1</w:t>
            </w:r>
          </w:p>
        </w:tc>
        <w:tc>
          <w:tcPr>
            <w:tcW w:w="1418" w:type="dxa"/>
            <w:shd w:val="clear" w:color="auto" w:fill="auto"/>
            <w:tcMar>
              <w:top w:w="15" w:type="dxa"/>
              <w:left w:w="68" w:type="dxa"/>
              <w:bottom w:w="0" w:type="dxa"/>
              <w:right w:w="68" w:type="dxa"/>
            </w:tcMar>
            <w:vAlign w:val="bottom"/>
            <w:hideMark/>
          </w:tcPr>
          <w:p w14:paraId="5E65E840"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687-47-8</w:t>
            </w:r>
          </w:p>
        </w:tc>
        <w:tc>
          <w:tcPr>
            <w:tcW w:w="5103" w:type="dxa"/>
            <w:shd w:val="clear" w:color="auto" w:fill="auto"/>
            <w:tcMar>
              <w:top w:w="15" w:type="dxa"/>
              <w:left w:w="68" w:type="dxa"/>
              <w:bottom w:w="0" w:type="dxa"/>
              <w:right w:w="68" w:type="dxa"/>
            </w:tcMar>
            <w:vAlign w:val="bottom"/>
            <w:hideMark/>
          </w:tcPr>
          <w:p w14:paraId="068BC5AE" w14:textId="77777777" w:rsidR="00F947D1" w:rsidRPr="00446D2F" w:rsidRDefault="00F947D1" w:rsidP="00123164">
            <w:pPr>
              <w:spacing w:after="0"/>
              <w:rPr>
                <w:rFonts w:ascii="Verdana" w:hAnsi="Verdana" w:cs="Arial"/>
                <w:sz w:val="20"/>
                <w:szCs w:val="20"/>
                <w:lang w:val="fi-FI" w:eastAsia="fi-FI"/>
              </w:rPr>
            </w:pPr>
            <w:proofErr w:type="spellStart"/>
            <w:r w:rsidRPr="00446D2F">
              <w:rPr>
                <w:rFonts w:ascii="Verdana" w:hAnsi="Verdana" w:cs="Calibri"/>
                <w:kern w:val="24"/>
                <w:sz w:val="20"/>
                <w:szCs w:val="20"/>
                <w:lang w:val="fi-FI" w:eastAsia="fi-FI"/>
              </w:rPr>
              <w:t>ethyl</w:t>
            </w:r>
            <w:proofErr w:type="spellEnd"/>
            <w:r w:rsidRPr="00446D2F">
              <w:rPr>
                <w:rFonts w:ascii="Verdana" w:hAnsi="Verdana" w:cs="Calibri"/>
                <w:kern w:val="24"/>
                <w:sz w:val="20"/>
                <w:szCs w:val="20"/>
                <w:lang w:val="fi-FI" w:eastAsia="fi-FI"/>
              </w:rPr>
              <w:t xml:space="preserve"> (S)-2-hydroxypropionate</w:t>
            </w:r>
          </w:p>
        </w:tc>
        <w:tc>
          <w:tcPr>
            <w:tcW w:w="1984" w:type="dxa"/>
            <w:shd w:val="clear" w:color="auto" w:fill="auto"/>
            <w:tcMar>
              <w:top w:w="15" w:type="dxa"/>
              <w:left w:w="68" w:type="dxa"/>
              <w:bottom w:w="0" w:type="dxa"/>
              <w:right w:w="68" w:type="dxa"/>
            </w:tcMar>
            <w:vAlign w:val="bottom"/>
            <w:hideMark/>
          </w:tcPr>
          <w:p w14:paraId="3B2B634D" w14:textId="77777777" w:rsidR="00F947D1" w:rsidRPr="00446D2F" w:rsidRDefault="00F947D1" w:rsidP="00123164">
            <w:pPr>
              <w:spacing w:after="0"/>
              <w:jc w:val="center"/>
              <w:rPr>
                <w:rFonts w:ascii="Verdana" w:hAnsi="Verdana" w:cs="Arial"/>
                <w:sz w:val="20"/>
                <w:szCs w:val="20"/>
                <w:lang w:val="fi-FI" w:eastAsia="fi-FI"/>
              </w:rPr>
            </w:pPr>
            <w:r w:rsidRPr="00446D2F">
              <w:rPr>
                <w:rFonts w:ascii="Verdana" w:hAnsi="Verdana" w:cs="Calibri"/>
                <w:kern w:val="24"/>
                <w:sz w:val="20"/>
                <w:szCs w:val="20"/>
                <w:lang w:val="fi-FI" w:eastAsia="fi-FI"/>
              </w:rPr>
              <w:t>154</w:t>
            </w:r>
          </w:p>
        </w:tc>
      </w:tr>
      <w:tr w:rsidR="00F947D1" w:rsidRPr="00123164" w14:paraId="5D51F621" w14:textId="77777777" w:rsidTr="00446D2F">
        <w:trPr>
          <w:trHeight w:val="218"/>
        </w:trPr>
        <w:tc>
          <w:tcPr>
            <w:tcW w:w="1271" w:type="dxa"/>
            <w:shd w:val="clear" w:color="auto" w:fill="auto"/>
            <w:tcMar>
              <w:top w:w="15" w:type="dxa"/>
              <w:left w:w="68" w:type="dxa"/>
              <w:bottom w:w="0" w:type="dxa"/>
              <w:right w:w="68" w:type="dxa"/>
            </w:tcMar>
            <w:vAlign w:val="bottom"/>
            <w:hideMark/>
          </w:tcPr>
          <w:p w14:paraId="30611BA8"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203-492-7</w:t>
            </w:r>
          </w:p>
        </w:tc>
        <w:tc>
          <w:tcPr>
            <w:tcW w:w="1418" w:type="dxa"/>
            <w:shd w:val="clear" w:color="auto" w:fill="auto"/>
            <w:tcMar>
              <w:top w:w="15" w:type="dxa"/>
              <w:left w:w="68" w:type="dxa"/>
              <w:bottom w:w="0" w:type="dxa"/>
              <w:right w:w="68" w:type="dxa"/>
            </w:tcMar>
            <w:vAlign w:val="bottom"/>
            <w:hideMark/>
          </w:tcPr>
          <w:p w14:paraId="186EC550"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107-46-0</w:t>
            </w:r>
          </w:p>
        </w:tc>
        <w:tc>
          <w:tcPr>
            <w:tcW w:w="5103" w:type="dxa"/>
            <w:shd w:val="clear" w:color="auto" w:fill="auto"/>
            <w:tcMar>
              <w:top w:w="15" w:type="dxa"/>
              <w:left w:w="68" w:type="dxa"/>
              <w:bottom w:w="0" w:type="dxa"/>
              <w:right w:w="68" w:type="dxa"/>
            </w:tcMar>
            <w:vAlign w:val="bottom"/>
            <w:hideMark/>
          </w:tcPr>
          <w:p w14:paraId="6C945A43" w14:textId="77777777" w:rsidR="00F947D1" w:rsidRPr="00446D2F" w:rsidRDefault="00F947D1" w:rsidP="00123164">
            <w:pPr>
              <w:spacing w:after="0"/>
              <w:rPr>
                <w:rFonts w:ascii="Verdana" w:hAnsi="Verdana" w:cs="Arial"/>
                <w:sz w:val="20"/>
                <w:szCs w:val="20"/>
                <w:lang w:val="fi-FI" w:eastAsia="fi-FI"/>
              </w:rPr>
            </w:pPr>
            <w:proofErr w:type="spellStart"/>
            <w:r w:rsidRPr="00446D2F">
              <w:rPr>
                <w:rFonts w:ascii="Verdana" w:hAnsi="Verdana" w:cs="Calibri"/>
                <w:kern w:val="24"/>
                <w:sz w:val="20"/>
                <w:szCs w:val="20"/>
                <w:lang w:val="fi-FI" w:eastAsia="fi-FI"/>
              </w:rPr>
              <w:t>hexamethyldisiloxane</w:t>
            </w:r>
            <w:proofErr w:type="spellEnd"/>
          </w:p>
        </w:tc>
        <w:tc>
          <w:tcPr>
            <w:tcW w:w="1984" w:type="dxa"/>
            <w:shd w:val="clear" w:color="auto" w:fill="auto"/>
            <w:tcMar>
              <w:top w:w="15" w:type="dxa"/>
              <w:left w:w="68" w:type="dxa"/>
              <w:bottom w:w="0" w:type="dxa"/>
              <w:right w:w="68" w:type="dxa"/>
            </w:tcMar>
            <w:vAlign w:val="bottom"/>
            <w:hideMark/>
          </w:tcPr>
          <w:p w14:paraId="1257B221" w14:textId="77777777" w:rsidR="00F947D1" w:rsidRPr="00446D2F" w:rsidRDefault="00F947D1" w:rsidP="00123164">
            <w:pPr>
              <w:spacing w:after="0"/>
              <w:jc w:val="center"/>
              <w:rPr>
                <w:rFonts w:ascii="Verdana" w:hAnsi="Verdana" w:cs="Arial"/>
                <w:sz w:val="20"/>
                <w:szCs w:val="20"/>
                <w:lang w:val="fi-FI" w:eastAsia="fi-FI"/>
              </w:rPr>
            </w:pPr>
            <w:r w:rsidRPr="00446D2F">
              <w:rPr>
                <w:rFonts w:ascii="Verdana" w:hAnsi="Verdana" w:cs="Calibri"/>
                <w:kern w:val="24"/>
                <w:sz w:val="20"/>
                <w:szCs w:val="20"/>
                <w:lang w:val="fi-FI" w:eastAsia="fi-FI"/>
              </w:rPr>
              <w:t>100.5</w:t>
            </w:r>
          </w:p>
        </w:tc>
      </w:tr>
      <w:tr w:rsidR="00F947D1" w:rsidRPr="00123164" w14:paraId="313E3CFF" w14:textId="77777777" w:rsidTr="00446D2F">
        <w:trPr>
          <w:trHeight w:val="218"/>
        </w:trPr>
        <w:tc>
          <w:tcPr>
            <w:tcW w:w="1271" w:type="dxa"/>
            <w:shd w:val="clear" w:color="auto" w:fill="auto"/>
            <w:tcMar>
              <w:top w:w="15" w:type="dxa"/>
              <w:left w:w="68" w:type="dxa"/>
              <w:bottom w:w="0" w:type="dxa"/>
              <w:right w:w="68" w:type="dxa"/>
            </w:tcMar>
            <w:vAlign w:val="bottom"/>
            <w:hideMark/>
          </w:tcPr>
          <w:p w14:paraId="2C5C38E4"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249-596-6</w:t>
            </w:r>
          </w:p>
        </w:tc>
        <w:tc>
          <w:tcPr>
            <w:tcW w:w="1418" w:type="dxa"/>
            <w:shd w:val="clear" w:color="auto" w:fill="auto"/>
            <w:tcMar>
              <w:top w:w="15" w:type="dxa"/>
              <w:left w:w="68" w:type="dxa"/>
              <w:bottom w:w="0" w:type="dxa"/>
              <w:right w:w="68" w:type="dxa"/>
            </w:tcMar>
            <w:vAlign w:val="bottom"/>
            <w:hideMark/>
          </w:tcPr>
          <w:p w14:paraId="68FF41B1"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29385-43-1</w:t>
            </w:r>
          </w:p>
        </w:tc>
        <w:tc>
          <w:tcPr>
            <w:tcW w:w="5103" w:type="dxa"/>
            <w:shd w:val="clear" w:color="auto" w:fill="auto"/>
            <w:tcMar>
              <w:top w:w="15" w:type="dxa"/>
              <w:left w:w="68" w:type="dxa"/>
              <w:bottom w:w="0" w:type="dxa"/>
              <w:right w:w="68" w:type="dxa"/>
            </w:tcMar>
            <w:vAlign w:val="bottom"/>
            <w:hideMark/>
          </w:tcPr>
          <w:p w14:paraId="23880C5A"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methyl-1H-benzotriazole</w:t>
            </w:r>
          </w:p>
        </w:tc>
        <w:tc>
          <w:tcPr>
            <w:tcW w:w="1984" w:type="dxa"/>
            <w:shd w:val="clear" w:color="auto" w:fill="auto"/>
            <w:tcMar>
              <w:top w:w="15" w:type="dxa"/>
              <w:left w:w="68" w:type="dxa"/>
              <w:bottom w:w="0" w:type="dxa"/>
              <w:right w:w="68" w:type="dxa"/>
            </w:tcMar>
            <w:vAlign w:val="bottom"/>
            <w:hideMark/>
          </w:tcPr>
          <w:p w14:paraId="354EA57F" w14:textId="77777777" w:rsidR="00F947D1" w:rsidRPr="00446D2F" w:rsidRDefault="00F947D1" w:rsidP="00123164">
            <w:pPr>
              <w:spacing w:after="0"/>
              <w:jc w:val="center"/>
              <w:rPr>
                <w:rFonts w:ascii="Verdana" w:hAnsi="Verdana" w:cs="Arial"/>
                <w:sz w:val="20"/>
                <w:szCs w:val="20"/>
                <w:lang w:val="fi-FI" w:eastAsia="fi-FI"/>
              </w:rPr>
            </w:pPr>
            <w:r w:rsidRPr="00446D2F">
              <w:rPr>
                <w:rFonts w:ascii="Verdana" w:hAnsi="Verdana" w:cs="Calibri"/>
                <w:kern w:val="24"/>
                <w:sz w:val="20"/>
                <w:szCs w:val="20"/>
                <w:lang w:val="fi-FI" w:eastAsia="fi-FI"/>
              </w:rPr>
              <w:t>&lt; 195</w:t>
            </w:r>
          </w:p>
        </w:tc>
      </w:tr>
      <w:tr w:rsidR="00F947D1" w:rsidRPr="00123164" w14:paraId="3C20613D" w14:textId="77777777" w:rsidTr="00446D2F">
        <w:trPr>
          <w:trHeight w:val="218"/>
        </w:trPr>
        <w:tc>
          <w:tcPr>
            <w:tcW w:w="1271" w:type="dxa"/>
            <w:shd w:val="clear" w:color="auto" w:fill="auto"/>
            <w:tcMar>
              <w:top w:w="15" w:type="dxa"/>
              <w:left w:w="68" w:type="dxa"/>
              <w:bottom w:w="0" w:type="dxa"/>
              <w:right w:w="68" w:type="dxa"/>
            </w:tcMar>
            <w:vAlign w:val="bottom"/>
            <w:hideMark/>
          </w:tcPr>
          <w:p w14:paraId="3BB6CD57"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203-497-4</w:t>
            </w:r>
          </w:p>
        </w:tc>
        <w:tc>
          <w:tcPr>
            <w:tcW w:w="1418" w:type="dxa"/>
            <w:shd w:val="clear" w:color="auto" w:fill="auto"/>
            <w:tcMar>
              <w:top w:w="15" w:type="dxa"/>
              <w:left w:w="68" w:type="dxa"/>
              <w:bottom w:w="0" w:type="dxa"/>
              <w:right w:w="68" w:type="dxa"/>
            </w:tcMar>
            <w:vAlign w:val="bottom"/>
            <w:hideMark/>
          </w:tcPr>
          <w:p w14:paraId="6EF0601D"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107-51-7</w:t>
            </w:r>
          </w:p>
        </w:tc>
        <w:tc>
          <w:tcPr>
            <w:tcW w:w="5103" w:type="dxa"/>
            <w:shd w:val="clear" w:color="auto" w:fill="auto"/>
            <w:tcMar>
              <w:top w:w="15" w:type="dxa"/>
              <w:left w:w="68" w:type="dxa"/>
              <w:bottom w:w="0" w:type="dxa"/>
              <w:right w:w="68" w:type="dxa"/>
            </w:tcMar>
            <w:vAlign w:val="bottom"/>
            <w:hideMark/>
          </w:tcPr>
          <w:p w14:paraId="16A42CC0" w14:textId="77777777" w:rsidR="00F947D1" w:rsidRPr="00446D2F" w:rsidRDefault="00F947D1" w:rsidP="00123164">
            <w:pPr>
              <w:spacing w:after="0"/>
              <w:rPr>
                <w:rFonts w:ascii="Verdana" w:hAnsi="Verdana" w:cs="Arial"/>
                <w:sz w:val="20"/>
                <w:szCs w:val="20"/>
                <w:lang w:val="fi-FI" w:eastAsia="fi-FI"/>
              </w:rPr>
            </w:pPr>
            <w:proofErr w:type="spellStart"/>
            <w:r w:rsidRPr="00446D2F">
              <w:rPr>
                <w:rFonts w:ascii="Verdana" w:hAnsi="Verdana" w:cs="Calibri"/>
                <w:kern w:val="24"/>
                <w:sz w:val="20"/>
                <w:szCs w:val="20"/>
                <w:lang w:val="fi-FI" w:eastAsia="fi-FI"/>
              </w:rPr>
              <w:t>octamethyltrisiloxane</w:t>
            </w:r>
            <w:proofErr w:type="spellEnd"/>
          </w:p>
        </w:tc>
        <w:tc>
          <w:tcPr>
            <w:tcW w:w="1984" w:type="dxa"/>
            <w:shd w:val="clear" w:color="auto" w:fill="auto"/>
            <w:tcMar>
              <w:top w:w="15" w:type="dxa"/>
              <w:left w:w="68" w:type="dxa"/>
              <w:bottom w:w="0" w:type="dxa"/>
              <w:right w:w="68" w:type="dxa"/>
            </w:tcMar>
            <w:vAlign w:val="bottom"/>
            <w:hideMark/>
          </w:tcPr>
          <w:p w14:paraId="3355911A" w14:textId="77777777" w:rsidR="00F947D1" w:rsidRPr="00446D2F" w:rsidRDefault="00F947D1" w:rsidP="00123164">
            <w:pPr>
              <w:spacing w:after="0"/>
              <w:jc w:val="center"/>
              <w:rPr>
                <w:rFonts w:ascii="Verdana" w:hAnsi="Verdana" w:cs="Arial"/>
                <w:sz w:val="20"/>
                <w:szCs w:val="20"/>
                <w:lang w:val="fi-FI" w:eastAsia="fi-FI"/>
              </w:rPr>
            </w:pPr>
            <w:r w:rsidRPr="00446D2F">
              <w:rPr>
                <w:rFonts w:ascii="Verdana" w:hAnsi="Verdana" w:cs="Calibri"/>
                <w:kern w:val="24"/>
                <w:sz w:val="20"/>
                <w:szCs w:val="20"/>
                <w:lang w:val="fi-FI" w:eastAsia="fi-FI"/>
              </w:rPr>
              <w:t>154</w:t>
            </w:r>
          </w:p>
        </w:tc>
      </w:tr>
      <w:tr w:rsidR="00F947D1" w:rsidRPr="00123164" w14:paraId="5B1370D5" w14:textId="77777777" w:rsidTr="00446D2F">
        <w:trPr>
          <w:trHeight w:val="218"/>
        </w:trPr>
        <w:tc>
          <w:tcPr>
            <w:tcW w:w="1271" w:type="dxa"/>
            <w:shd w:val="clear" w:color="auto" w:fill="auto"/>
            <w:tcMar>
              <w:top w:w="15" w:type="dxa"/>
              <w:left w:w="68" w:type="dxa"/>
              <w:bottom w:w="0" w:type="dxa"/>
              <w:right w:w="68" w:type="dxa"/>
            </w:tcMar>
            <w:vAlign w:val="bottom"/>
            <w:hideMark/>
          </w:tcPr>
          <w:p w14:paraId="413F2E30"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273-066-3</w:t>
            </w:r>
          </w:p>
        </w:tc>
        <w:tc>
          <w:tcPr>
            <w:tcW w:w="1418" w:type="dxa"/>
            <w:shd w:val="clear" w:color="auto" w:fill="auto"/>
            <w:tcMar>
              <w:top w:w="15" w:type="dxa"/>
              <w:left w:w="68" w:type="dxa"/>
              <w:bottom w:w="0" w:type="dxa"/>
              <w:right w:w="68" w:type="dxa"/>
            </w:tcMar>
            <w:vAlign w:val="bottom"/>
            <w:hideMark/>
          </w:tcPr>
          <w:p w14:paraId="2FDBB6CA"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68937-41-7</w:t>
            </w:r>
          </w:p>
        </w:tc>
        <w:tc>
          <w:tcPr>
            <w:tcW w:w="5103" w:type="dxa"/>
            <w:shd w:val="clear" w:color="auto" w:fill="auto"/>
            <w:tcMar>
              <w:top w:w="15" w:type="dxa"/>
              <w:left w:w="68" w:type="dxa"/>
              <w:bottom w:w="0" w:type="dxa"/>
              <w:right w:w="68" w:type="dxa"/>
            </w:tcMar>
            <w:vAlign w:val="bottom"/>
            <w:hideMark/>
          </w:tcPr>
          <w:p w14:paraId="1B002493" w14:textId="77777777" w:rsidR="00F947D1" w:rsidRPr="00446D2F" w:rsidRDefault="00F947D1" w:rsidP="00123164">
            <w:pPr>
              <w:spacing w:after="0"/>
              <w:rPr>
                <w:rFonts w:ascii="Verdana" w:hAnsi="Verdana" w:cs="Arial"/>
                <w:sz w:val="20"/>
                <w:szCs w:val="20"/>
                <w:lang w:val="fi-FI" w:eastAsia="fi-FI"/>
              </w:rPr>
            </w:pPr>
            <w:proofErr w:type="spellStart"/>
            <w:r w:rsidRPr="00446D2F">
              <w:rPr>
                <w:rFonts w:ascii="Verdana" w:hAnsi="Verdana" w:cs="Calibri"/>
                <w:kern w:val="24"/>
                <w:sz w:val="20"/>
                <w:szCs w:val="20"/>
                <w:lang w:val="fi-FI" w:eastAsia="fi-FI"/>
              </w:rPr>
              <w:t>Phenol</w:t>
            </w:r>
            <w:proofErr w:type="spellEnd"/>
            <w:r w:rsidRPr="00446D2F">
              <w:rPr>
                <w:rFonts w:ascii="Verdana" w:hAnsi="Verdana" w:cs="Calibri"/>
                <w:kern w:val="24"/>
                <w:sz w:val="20"/>
                <w:szCs w:val="20"/>
                <w:lang w:val="fi-FI" w:eastAsia="fi-FI"/>
              </w:rPr>
              <w:t xml:space="preserve">, </w:t>
            </w:r>
            <w:proofErr w:type="spellStart"/>
            <w:r w:rsidRPr="00446D2F">
              <w:rPr>
                <w:rFonts w:ascii="Verdana" w:hAnsi="Verdana" w:cs="Calibri"/>
                <w:kern w:val="24"/>
                <w:sz w:val="20"/>
                <w:szCs w:val="20"/>
                <w:lang w:val="fi-FI" w:eastAsia="fi-FI"/>
              </w:rPr>
              <w:t>isopropylated</w:t>
            </w:r>
            <w:proofErr w:type="spellEnd"/>
            <w:r w:rsidRPr="00446D2F">
              <w:rPr>
                <w:rFonts w:ascii="Verdana" w:hAnsi="Verdana" w:cs="Calibri"/>
                <w:kern w:val="24"/>
                <w:sz w:val="20"/>
                <w:szCs w:val="20"/>
                <w:lang w:val="fi-FI" w:eastAsia="fi-FI"/>
              </w:rPr>
              <w:t xml:space="preserve">, </w:t>
            </w:r>
            <w:proofErr w:type="spellStart"/>
            <w:r w:rsidRPr="00446D2F">
              <w:rPr>
                <w:rFonts w:ascii="Verdana" w:hAnsi="Verdana" w:cs="Calibri"/>
                <w:kern w:val="24"/>
                <w:sz w:val="20"/>
                <w:szCs w:val="20"/>
                <w:lang w:val="fi-FI" w:eastAsia="fi-FI"/>
              </w:rPr>
              <w:t>phosphate</w:t>
            </w:r>
            <w:proofErr w:type="spellEnd"/>
            <w:r w:rsidRPr="00446D2F">
              <w:rPr>
                <w:rFonts w:ascii="Verdana" w:hAnsi="Verdana" w:cs="Calibri"/>
                <w:kern w:val="24"/>
                <w:sz w:val="20"/>
                <w:szCs w:val="20"/>
                <w:lang w:val="fi-FI" w:eastAsia="fi-FI"/>
              </w:rPr>
              <w:t xml:space="preserve"> (3:1)</w:t>
            </w:r>
          </w:p>
        </w:tc>
        <w:tc>
          <w:tcPr>
            <w:tcW w:w="1984" w:type="dxa"/>
            <w:shd w:val="clear" w:color="auto" w:fill="auto"/>
            <w:tcMar>
              <w:top w:w="15" w:type="dxa"/>
              <w:left w:w="68" w:type="dxa"/>
              <w:bottom w:w="0" w:type="dxa"/>
              <w:right w:w="68" w:type="dxa"/>
            </w:tcMar>
            <w:vAlign w:val="bottom"/>
            <w:hideMark/>
          </w:tcPr>
          <w:p w14:paraId="6F87CFED" w14:textId="77777777" w:rsidR="00F947D1" w:rsidRPr="00446D2F" w:rsidRDefault="00F947D1" w:rsidP="00123164">
            <w:pPr>
              <w:spacing w:after="0"/>
              <w:jc w:val="center"/>
              <w:rPr>
                <w:rFonts w:ascii="Verdana" w:hAnsi="Verdana" w:cs="Arial"/>
                <w:sz w:val="20"/>
                <w:szCs w:val="20"/>
                <w:lang w:val="fi-FI" w:eastAsia="fi-FI"/>
              </w:rPr>
            </w:pPr>
            <w:r w:rsidRPr="00446D2F">
              <w:rPr>
                <w:rFonts w:ascii="Verdana" w:hAnsi="Verdana" w:cs="Calibri"/>
                <w:kern w:val="24"/>
                <w:sz w:val="20"/>
                <w:szCs w:val="20"/>
                <w:lang w:val="fi-FI" w:eastAsia="fi-FI"/>
              </w:rPr>
              <w:t>&gt; 400</w:t>
            </w:r>
          </w:p>
        </w:tc>
      </w:tr>
      <w:tr w:rsidR="00F947D1" w:rsidRPr="00123164" w14:paraId="4C471684" w14:textId="77777777" w:rsidTr="00446D2F">
        <w:trPr>
          <w:trHeight w:val="632"/>
        </w:trPr>
        <w:tc>
          <w:tcPr>
            <w:tcW w:w="1271" w:type="dxa"/>
            <w:shd w:val="clear" w:color="auto" w:fill="auto"/>
            <w:tcMar>
              <w:top w:w="15" w:type="dxa"/>
              <w:left w:w="68" w:type="dxa"/>
              <w:bottom w:w="0" w:type="dxa"/>
              <w:right w:w="68" w:type="dxa"/>
            </w:tcMar>
            <w:vAlign w:val="bottom"/>
            <w:hideMark/>
          </w:tcPr>
          <w:p w14:paraId="13DC82B5"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809-930-9</w:t>
            </w:r>
          </w:p>
        </w:tc>
        <w:tc>
          <w:tcPr>
            <w:tcW w:w="1418" w:type="dxa"/>
            <w:shd w:val="clear" w:color="auto" w:fill="auto"/>
            <w:tcMar>
              <w:top w:w="15" w:type="dxa"/>
              <w:left w:w="68" w:type="dxa"/>
              <w:bottom w:w="0" w:type="dxa"/>
              <w:right w:w="68" w:type="dxa"/>
            </w:tcMar>
            <w:vAlign w:val="bottom"/>
            <w:hideMark/>
          </w:tcPr>
          <w:p w14:paraId="0D8F1FBE" w14:textId="3151056B"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 </w:t>
            </w:r>
            <w:r w:rsidR="009B33CC" w:rsidRPr="005920F0">
              <w:rPr>
                <w:rFonts w:ascii="Verdana" w:hAnsi="Verdana"/>
                <w:sz w:val="20"/>
                <w:szCs w:val="20"/>
                <w:shd w:val="clear" w:color="auto" w:fill="FFFFFF"/>
              </w:rPr>
              <w:t>1330-78-5</w:t>
            </w:r>
          </w:p>
        </w:tc>
        <w:tc>
          <w:tcPr>
            <w:tcW w:w="5103" w:type="dxa"/>
            <w:shd w:val="clear" w:color="auto" w:fill="auto"/>
            <w:tcMar>
              <w:top w:w="15" w:type="dxa"/>
              <w:left w:w="68" w:type="dxa"/>
              <w:bottom w:w="0" w:type="dxa"/>
              <w:right w:w="68" w:type="dxa"/>
            </w:tcMar>
            <w:vAlign w:val="bottom"/>
            <w:hideMark/>
          </w:tcPr>
          <w:p w14:paraId="46C16229" w14:textId="093FD529" w:rsidR="00F947D1" w:rsidRPr="00446D2F" w:rsidRDefault="009B33CC" w:rsidP="00123164">
            <w:pPr>
              <w:spacing w:after="0"/>
              <w:rPr>
                <w:rFonts w:ascii="Verdana" w:hAnsi="Verdana" w:cs="Arial"/>
                <w:sz w:val="20"/>
                <w:szCs w:val="20"/>
                <w:lang w:eastAsia="fi-FI"/>
              </w:rPr>
            </w:pPr>
            <w:r w:rsidRPr="009B33CC">
              <w:rPr>
                <w:rFonts w:ascii="Verdana" w:hAnsi="Verdana" w:cs="Calibri"/>
                <w:kern w:val="24"/>
                <w:sz w:val="20"/>
                <w:szCs w:val="20"/>
                <w:lang w:eastAsia="fi-FI"/>
              </w:rPr>
              <w:t>Tris(methylphenyl) phosphate</w:t>
            </w:r>
          </w:p>
        </w:tc>
        <w:tc>
          <w:tcPr>
            <w:tcW w:w="1984" w:type="dxa"/>
            <w:shd w:val="clear" w:color="auto" w:fill="auto"/>
            <w:tcMar>
              <w:top w:w="15" w:type="dxa"/>
              <w:left w:w="68" w:type="dxa"/>
              <w:bottom w:w="0" w:type="dxa"/>
              <w:right w:w="68" w:type="dxa"/>
            </w:tcMar>
            <w:vAlign w:val="bottom"/>
            <w:hideMark/>
          </w:tcPr>
          <w:p w14:paraId="03DFAA32" w14:textId="77777777" w:rsidR="00F947D1" w:rsidRPr="00446D2F" w:rsidRDefault="00F947D1" w:rsidP="00123164">
            <w:pPr>
              <w:spacing w:after="0"/>
              <w:jc w:val="center"/>
              <w:rPr>
                <w:rFonts w:ascii="Verdana" w:hAnsi="Verdana" w:cs="Arial"/>
                <w:sz w:val="20"/>
                <w:szCs w:val="20"/>
                <w:lang w:val="fi-FI" w:eastAsia="fi-FI"/>
              </w:rPr>
            </w:pPr>
            <w:r w:rsidRPr="00446D2F">
              <w:rPr>
                <w:rFonts w:ascii="Verdana" w:hAnsi="Verdana" w:cs="Calibri"/>
                <w:kern w:val="24"/>
                <w:sz w:val="20"/>
                <w:szCs w:val="20"/>
                <w:lang w:val="fi-FI" w:eastAsia="fi-FI"/>
              </w:rPr>
              <w:t>&gt; 400</w:t>
            </w:r>
          </w:p>
        </w:tc>
      </w:tr>
      <w:tr w:rsidR="00F947D1" w:rsidRPr="00123164" w14:paraId="6DC70666" w14:textId="77777777" w:rsidTr="00446D2F">
        <w:trPr>
          <w:trHeight w:val="349"/>
        </w:trPr>
        <w:tc>
          <w:tcPr>
            <w:tcW w:w="1271" w:type="dxa"/>
            <w:shd w:val="clear" w:color="auto" w:fill="auto"/>
            <w:tcMar>
              <w:top w:w="15" w:type="dxa"/>
              <w:left w:w="68" w:type="dxa"/>
              <w:bottom w:w="0" w:type="dxa"/>
              <w:right w:w="68" w:type="dxa"/>
            </w:tcMar>
            <w:vAlign w:val="bottom"/>
            <w:hideMark/>
          </w:tcPr>
          <w:p w14:paraId="5E37A93B"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915-589-8</w:t>
            </w:r>
          </w:p>
        </w:tc>
        <w:tc>
          <w:tcPr>
            <w:tcW w:w="1418" w:type="dxa"/>
            <w:shd w:val="clear" w:color="auto" w:fill="auto"/>
            <w:tcMar>
              <w:top w:w="15" w:type="dxa"/>
              <w:left w:w="68" w:type="dxa"/>
              <w:bottom w:w="0" w:type="dxa"/>
              <w:right w:w="68" w:type="dxa"/>
            </w:tcMar>
            <w:vAlign w:val="bottom"/>
            <w:hideMark/>
          </w:tcPr>
          <w:p w14:paraId="18643020"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 </w:t>
            </w:r>
          </w:p>
        </w:tc>
        <w:tc>
          <w:tcPr>
            <w:tcW w:w="5103" w:type="dxa"/>
            <w:shd w:val="clear" w:color="auto" w:fill="auto"/>
            <w:tcMar>
              <w:top w:w="15" w:type="dxa"/>
              <w:left w:w="68" w:type="dxa"/>
              <w:bottom w:w="0" w:type="dxa"/>
              <w:right w:w="68" w:type="dxa"/>
            </w:tcMar>
            <w:vAlign w:val="bottom"/>
            <w:hideMark/>
          </w:tcPr>
          <w:p w14:paraId="5697007C" w14:textId="77777777" w:rsidR="00F947D1" w:rsidRPr="00446D2F" w:rsidRDefault="00F947D1" w:rsidP="00123164">
            <w:pPr>
              <w:spacing w:after="0"/>
              <w:rPr>
                <w:rFonts w:ascii="Verdana" w:hAnsi="Verdana" w:cs="Arial"/>
                <w:sz w:val="20"/>
                <w:szCs w:val="20"/>
                <w:lang w:eastAsia="fi-FI"/>
              </w:rPr>
            </w:pPr>
            <w:r w:rsidRPr="00446D2F">
              <w:rPr>
                <w:rFonts w:ascii="Verdana" w:hAnsi="Verdana" w:cs="Calibri"/>
                <w:kern w:val="24"/>
                <w:sz w:val="20"/>
                <w:szCs w:val="20"/>
                <w:lang w:eastAsia="fi-FI"/>
              </w:rPr>
              <w:t>Reaction mass of diisopropyl-1,1'-biphenyl and tris(1-methylethyl)-1,1'-biphenyl</w:t>
            </w:r>
          </w:p>
        </w:tc>
        <w:tc>
          <w:tcPr>
            <w:tcW w:w="1984" w:type="dxa"/>
            <w:shd w:val="clear" w:color="auto" w:fill="auto"/>
            <w:tcMar>
              <w:top w:w="15" w:type="dxa"/>
              <w:left w:w="68" w:type="dxa"/>
              <w:bottom w:w="0" w:type="dxa"/>
              <w:right w:w="68" w:type="dxa"/>
            </w:tcMar>
            <w:vAlign w:val="bottom"/>
            <w:hideMark/>
          </w:tcPr>
          <w:p w14:paraId="79FA6C1C" w14:textId="77777777" w:rsidR="00F947D1" w:rsidRPr="00446D2F" w:rsidRDefault="00F947D1" w:rsidP="00123164">
            <w:pPr>
              <w:spacing w:after="0"/>
              <w:jc w:val="center"/>
              <w:rPr>
                <w:rFonts w:ascii="Verdana" w:hAnsi="Verdana" w:cs="Arial"/>
                <w:sz w:val="20"/>
                <w:szCs w:val="20"/>
                <w:lang w:val="fi-FI" w:eastAsia="fi-FI"/>
              </w:rPr>
            </w:pPr>
            <w:r w:rsidRPr="00446D2F">
              <w:rPr>
                <w:rFonts w:ascii="Verdana" w:hAnsi="Verdana" w:cs="Calibri"/>
                <w:kern w:val="24"/>
                <w:sz w:val="20"/>
                <w:szCs w:val="20"/>
                <w:lang w:val="fi-FI" w:eastAsia="fi-FI"/>
              </w:rPr>
              <w:t>314</w:t>
            </w:r>
          </w:p>
        </w:tc>
      </w:tr>
      <w:tr w:rsidR="00F947D1" w:rsidRPr="00123164" w14:paraId="6DBB8A7E" w14:textId="77777777" w:rsidTr="00446D2F">
        <w:trPr>
          <w:trHeight w:val="218"/>
        </w:trPr>
        <w:tc>
          <w:tcPr>
            <w:tcW w:w="1271" w:type="dxa"/>
            <w:shd w:val="clear" w:color="auto" w:fill="auto"/>
            <w:tcMar>
              <w:top w:w="15" w:type="dxa"/>
              <w:left w:w="68" w:type="dxa"/>
              <w:bottom w:w="0" w:type="dxa"/>
              <w:right w:w="68" w:type="dxa"/>
            </w:tcMar>
            <w:vAlign w:val="bottom"/>
            <w:hideMark/>
          </w:tcPr>
          <w:p w14:paraId="074D7443"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265-004-9</w:t>
            </w:r>
          </w:p>
        </w:tc>
        <w:tc>
          <w:tcPr>
            <w:tcW w:w="1418" w:type="dxa"/>
            <w:shd w:val="clear" w:color="auto" w:fill="auto"/>
            <w:tcMar>
              <w:top w:w="15" w:type="dxa"/>
              <w:left w:w="68" w:type="dxa"/>
              <w:bottom w:w="0" w:type="dxa"/>
              <w:right w:w="68" w:type="dxa"/>
            </w:tcMar>
            <w:vAlign w:val="bottom"/>
            <w:hideMark/>
          </w:tcPr>
          <w:p w14:paraId="4171F5E6" w14:textId="77777777"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64665-57-2</w:t>
            </w:r>
          </w:p>
        </w:tc>
        <w:tc>
          <w:tcPr>
            <w:tcW w:w="5103" w:type="dxa"/>
            <w:shd w:val="clear" w:color="auto" w:fill="auto"/>
            <w:tcMar>
              <w:top w:w="15" w:type="dxa"/>
              <w:left w:w="68" w:type="dxa"/>
              <w:bottom w:w="0" w:type="dxa"/>
              <w:right w:w="68" w:type="dxa"/>
            </w:tcMar>
            <w:vAlign w:val="bottom"/>
            <w:hideMark/>
          </w:tcPr>
          <w:p w14:paraId="4BF33DF0" w14:textId="77777777" w:rsidR="00F947D1" w:rsidRPr="00446D2F" w:rsidRDefault="00F947D1" w:rsidP="00123164">
            <w:pPr>
              <w:spacing w:after="0"/>
              <w:rPr>
                <w:rFonts w:ascii="Verdana" w:hAnsi="Verdana" w:cs="Arial"/>
                <w:sz w:val="20"/>
                <w:szCs w:val="20"/>
                <w:lang w:val="fi-FI" w:eastAsia="fi-FI"/>
              </w:rPr>
            </w:pPr>
            <w:proofErr w:type="spellStart"/>
            <w:r w:rsidRPr="00446D2F">
              <w:rPr>
                <w:rFonts w:ascii="Verdana" w:hAnsi="Verdana" w:cs="Calibri"/>
                <w:kern w:val="24"/>
                <w:sz w:val="20"/>
                <w:szCs w:val="20"/>
                <w:lang w:val="fi-FI" w:eastAsia="fi-FI"/>
              </w:rPr>
              <w:t>sodium</w:t>
            </w:r>
            <w:proofErr w:type="spellEnd"/>
            <w:r w:rsidRPr="00446D2F">
              <w:rPr>
                <w:rFonts w:ascii="Verdana" w:hAnsi="Verdana" w:cs="Calibri"/>
                <w:kern w:val="24"/>
                <w:sz w:val="20"/>
                <w:szCs w:val="20"/>
                <w:lang w:val="fi-FI" w:eastAsia="fi-FI"/>
              </w:rPr>
              <w:t xml:space="preserve"> 4(</w:t>
            </w:r>
            <w:proofErr w:type="spellStart"/>
            <w:r w:rsidRPr="00446D2F">
              <w:rPr>
                <w:rFonts w:ascii="Verdana" w:hAnsi="Verdana" w:cs="Calibri"/>
                <w:kern w:val="24"/>
                <w:sz w:val="20"/>
                <w:szCs w:val="20"/>
                <w:lang w:val="fi-FI" w:eastAsia="fi-FI"/>
              </w:rPr>
              <w:t>or</w:t>
            </w:r>
            <w:proofErr w:type="spellEnd"/>
            <w:r w:rsidRPr="00446D2F">
              <w:rPr>
                <w:rFonts w:ascii="Verdana" w:hAnsi="Verdana" w:cs="Calibri"/>
                <w:kern w:val="24"/>
                <w:sz w:val="20"/>
                <w:szCs w:val="20"/>
                <w:lang w:val="fi-FI" w:eastAsia="fi-FI"/>
              </w:rPr>
              <w:t xml:space="preserve"> </w:t>
            </w:r>
            <w:proofErr w:type="gramStart"/>
            <w:r w:rsidRPr="00446D2F">
              <w:rPr>
                <w:rFonts w:ascii="Verdana" w:hAnsi="Verdana" w:cs="Calibri"/>
                <w:kern w:val="24"/>
                <w:sz w:val="20"/>
                <w:szCs w:val="20"/>
                <w:lang w:val="fi-FI" w:eastAsia="fi-FI"/>
              </w:rPr>
              <w:t>5)-</w:t>
            </w:r>
            <w:proofErr w:type="gramEnd"/>
            <w:r w:rsidRPr="00446D2F">
              <w:rPr>
                <w:rFonts w:ascii="Verdana" w:hAnsi="Verdana" w:cs="Calibri"/>
                <w:kern w:val="24"/>
                <w:sz w:val="20"/>
                <w:szCs w:val="20"/>
                <w:lang w:val="fi-FI" w:eastAsia="fi-FI"/>
              </w:rPr>
              <w:t>methyl-1H-benzotriazolide</w:t>
            </w:r>
          </w:p>
        </w:tc>
        <w:tc>
          <w:tcPr>
            <w:tcW w:w="1984" w:type="dxa"/>
            <w:shd w:val="clear" w:color="auto" w:fill="auto"/>
            <w:tcMar>
              <w:top w:w="15" w:type="dxa"/>
              <w:left w:w="68" w:type="dxa"/>
              <w:bottom w:w="0" w:type="dxa"/>
              <w:right w:w="68" w:type="dxa"/>
            </w:tcMar>
            <w:vAlign w:val="bottom"/>
            <w:hideMark/>
          </w:tcPr>
          <w:p w14:paraId="4D9C01AB" w14:textId="77777777" w:rsidR="00F947D1" w:rsidRPr="00446D2F" w:rsidRDefault="00F947D1" w:rsidP="00123164">
            <w:pPr>
              <w:spacing w:after="0"/>
              <w:jc w:val="center"/>
              <w:rPr>
                <w:rFonts w:ascii="Verdana" w:hAnsi="Verdana" w:cs="Arial"/>
                <w:sz w:val="20"/>
                <w:szCs w:val="20"/>
                <w:lang w:val="fi-FI" w:eastAsia="fi-FI"/>
              </w:rPr>
            </w:pPr>
            <w:r w:rsidRPr="00446D2F">
              <w:rPr>
                <w:rFonts w:ascii="Verdana" w:hAnsi="Verdana" w:cs="Calibri"/>
                <w:kern w:val="24"/>
                <w:sz w:val="20"/>
                <w:szCs w:val="20"/>
                <w:lang w:val="fi-FI" w:eastAsia="fi-FI"/>
              </w:rPr>
              <w:t>230</w:t>
            </w:r>
          </w:p>
        </w:tc>
      </w:tr>
      <w:tr w:rsidR="00F947D1" w:rsidRPr="00123164" w14:paraId="32DD9E5E" w14:textId="77777777" w:rsidTr="00446D2F">
        <w:trPr>
          <w:trHeight w:val="218"/>
        </w:trPr>
        <w:tc>
          <w:tcPr>
            <w:tcW w:w="1271" w:type="dxa"/>
            <w:shd w:val="clear" w:color="auto" w:fill="auto"/>
            <w:tcMar>
              <w:top w:w="15" w:type="dxa"/>
              <w:left w:w="68" w:type="dxa"/>
              <w:bottom w:w="0" w:type="dxa"/>
              <w:right w:w="68" w:type="dxa"/>
            </w:tcMar>
            <w:vAlign w:val="bottom"/>
            <w:hideMark/>
          </w:tcPr>
          <w:p w14:paraId="4EBCEEEC" w14:textId="0AA1ADB1"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216-699-2</w:t>
            </w:r>
          </w:p>
        </w:tc>
        <w:tc>
          <w:tcPr>
            <w:tcW w:w="1418" w:type="dxa"/>
            <w:shd w:val="clear" w:color="auto" w:fill="auto"/>
            <w:tcMar>
              <w:top w:w="15" w:type="dxa"/>
              <w:left w:w="68" w:type="dxa"/>
              <w:bottom w:w="0" w:type="dxa"/>
              <w:right w:w="68" w:type="dxa"/>
            </w:tcMar>
            <w:vAlign w:val="bottom"/>
            <w:hideMark/>
          </w:tcPr>
          <w:p w14:paraId="4126A3FC" w14:textId="1641CEAC" w:rsidR="00F947D1" w:rsidRPr="00446D2F" w:rsidRDefault="00F947D1" w:rsidP="00123164">
            <w:pPr>
              <w:spacing w:after="0"/>
              <w:rPr>
                <w:rFonts w:ascii="Verdana" w:hAnsi="Verdana" w:cs="Arial"/>
                <w:sz w:val="20"/>
                <w:szCs w:val="20"/>
                <w:lang w:val="fi-FI" w:eastAsia="fi-FI"/>
              </w:rPr>
            </w:pPr>
            <w:r w:rsidRPr="00446D2F">
              <w:rPr>
                <w:rFonts w:ascii="Verdana" w:hAnsi="Verdana" w:cs="Calibri"/>
                <w:kern w:val="24"/>
                <w:sz w:val="20"/>
                <w:szCs w:val="20"/>
                <w:lang w:val="fi-FI" w:eastAsia="fi-FI"/>
              </w:rPr>
              <w:t>1643-19-2</w:t>
            </w:r>
          </w:p>
        </w:tc>
        <w:tc>
          <w:tcPr>
            <w:tcW w:w="5103" w:type="dxa"/>
            <w:shd w:val="clear" w:color="auto" w:fill="auto"/>
            <w:tcMar>
              <w:top w:w="15" w:type="dxa"/>
              <w:left w:w="68" w:type="dxa"/>
              <w:bottom w:w="0" w:type="dxa"/>
              <w:right w:w="68" w:type="dxa"/>
            </w:tcMar>
            <w:vAlign w:val="bottom"/>
            <w:hideMark/>
          </w:tcPr>
          <w:p w14:paraId="026DC2A2" w14:textId="6ED6E28E" w:rsidR="00F947D1" w:rsidRPr="00446D2F" w:rsidRDefault="00F947D1" w:rsidP="00123164">
            <w:pPr>
              <w:spacing w:after="0"/>
              <w:rPr>
                <w:rFonts w:ascii="Verdana" w:hAnsi="Verdana" w:cs="Arial"/>
                <w:sz w:val="20"/>
                <w:szCs w:val="20"/>
                <w:lang w:val="fi-FI" w:eastAsia="fi-FI"/>
              </w:rPr>
            </w:pPr>
            <w:proofErr w:type="spellStart"/>
            <w:r w:rsidRPr="00446D2F">
              <w:rPr>
                <w:rFonts w:ascii="Verdana" w:hAnsi="Verdana" w:cs="Calibri"/>
                <w:kern w:val="24"/>
                <w:sz w:val="20"/>
                <w:szCs w:val="20"/>
                <w:lang w:val="fi-FI" w:eastAsia="fi-FI"/>
              </w:rPr>
              <w:t>tetrabutylammonium</w:t>
            </w:r>
            <w:proofErr w:type="spellEnd"/>
            <w:r w:rsidRPr="00446D2F">
              <w:rPr>
                <w:rFonts w:ascii="Verdana" w:hAnsi="Verdana" w:cs="Calibri"/>
                <w:kern w:val="24"/>
                <w:sz w:val="20"/>
                <w:szCs w:val="20"/>
                <w:lang w:val="fi-FI" w:eastAsia="fi-FI"/>
              </w:rPr>
              <w:t xml:space="preserve"> </w:t>
            </w:r>
            <w:proofErr w:type="spellStart"/>
            <w:r w:rsidRPr="00446D2F">
              <w:rPr>
                <w:rFonts w:ascii="Verdana" w:hAnsi="Verdana" w:cs="Calibri"/>
                <w:kern w:val="24"/>
                <w:sz w:val="20"/>
                <w:szCs w:val="20"/>
                <w:lang w:val="fi-FI" w:eastAsia="fi-FI"/>
              </w:rPr>
              <w:t>bromide</w:t>
            </w:r>
            <w:proofErr w:type="spellEnd"/>
          </w:p>
        </w:tc>
        <w:tc>
          <w:tcPr>
            <w:tcW w:w="1984" w:type="dxa"/>
            <w:shd w:val="clear" w:color="auto" w:fill="auto"/>
            <w:tcMar>
              <w:top w:w="15" w:type="dxa"/>
              <w:left w:w="68" w:type="dxa"/>
              <w:bottom w:w="0" w:type="dxa"/>
              <w:right w:w="68" w:type="dxa"/>
            </w:tcMar>
            <w:vAlign w:val="bottom"/>
            <w:hideMark/>
          </w:tcPr>
          <w:p w14:paraId="47D06A49" w14:textId="53677A69" w:rsidR="00F947D1" w:rsidRPr="00446D2F" w:rsidRDefault="00F947D1" w:rsidP="00123164">
            <w:pPr>
              <w:spacing w:after="0"/>
              <w:jc w:val="center"/>
              <w:rPr>
                <w:rFonts w:ascii="Verdana" w:hAnsi="Verdana" w:cs="Arial"/>
                <w:sz w:val="20"/>
                <w:szCs w:val="20"/>
                <w:lang w:val="fi-FI" w:eastAsia="fi-FI"/>
              </w:rPr>
            </w:pPr>
            <w:r w:rsidRPr="00446D2F">
              <w:rPr>
                <w:rFonts w:ascii="Verdana" w:hAnsi="Verdana" w:cs="Calibri"/>
                <w:kern w:val="24"/>
                <w:sz w:val="20"/>
                <w:szCs w:val="20"/>
                <w:lang w:val="fi-FI" w:eastAsia="fi-FI"/>
              </w:rPr>
              <w:t>144</w:t>
            </w:r>
          </w:p>
        </w:tc>
      </w:tr>
    </w:tbl>
    <w:p w14:paraId="5B47EA5C" w14:textId="5541002B" w:rsidR="00123164" w:rsidRDefault="00123164" w:rsidP="00123164">
      <w:pPr>
        <w:pStyle w:val="Leipteksti"/>
        <w:spacing w:before="120" w:after="0"/>
        <w:rPr>
          <w:rFonts w:ascii="Verdana" w:hAnsi="Verdana"/>
          <w:noProof/>
          <w:sz w:val="20"/>
          <w:lang w:val="en-US"/>
        </w:rPr>
      </w:pPr>
    </w:p>
    <w:p w14:paraId="7870C238" w14:textId="6A12E81A" w:rsidR="002E1EE4" w:rsidRDefault="00063915" w:rsidP="002E1EE4">
      <w:pPr>
        <w:pStyle w:val="Leipteksti"/>
        <w:spacing w:before="120" w:after="0"/>
        <w:rPr>
          <w:rFonts w:ascii="Verdana" w:hAnsi="Verdana"/>
          <w:noProof/>
          <w:sz w:val="20"/>
        </w:rPr>
      </w:pPr>
      <w:r>
        <w:rPr>
          <w:rFonts w:ascii="Verdana" w:hAnsi="Verdana"/>
          <w:noProof/>
          <w:sz w:val="20"/>
          <w:lang w:val="en-US"/>
        </w:rPr>
        <w:t xml:space="preserve">There are only </w:t>
      </w:r>
      <w:r w:rsidR="002A1BCE">
        <w:rPr>
          <w:rFonts w:ascii="Verdana" w:hAnsi="Verdana"/>
          <w:noProof/>
          <w:sz w:val="20"/>
          <w:lang w:val="en-US"/>
        </w:rPr>
        <w:t xml:space="preserve">a </w:t>
      </w:r>
      <w:r>
        <w:rPr>
          <w:rFonts w:ascii="Verdana" w:hAnsi="Verdana"/>
          <w:noProof/>
          <w:sz w:val="20"/>
          <w:lang w:val="en-US"/>
        </w:rPr>
        <w:t xml:space="preserve">limited number of substances in </w:t>
      </w:r>
      <w:r w:rsidR="00E669C1">
        <w:rPr>
          <w:rFonts w:ascii="Verdana" w:hAnsi="Verdana"/>
          <w:noProof/>
          <w:sz w:val="20"/>
          <w:lang w:val="en-US"/>
        </w:rPr>
        <w:t>T</w:t>
      </w:r>
      <w:r>
        <w:rPr>
          <w:rFonts w:ascii="Verdana" w:hAnsi="Verdana"/>
          <w:noProof/>
          <w:sz w:val="20"/>
          <w:lang w:val="en-US"/>
        </w:rPr>
        <w:t xml:space="preserve">able </w:t>
      </w:r>
      <w:r w:rsidR="00E669C1">
        <w:rPr>
          <w:rFonts w:ascii="Verdana" w:hAnsi="Verdana"/>
          <w:noProof/>
          <w:sz w:val="20"/>
          <w:lang w:val="en-US"/>
        </w:rPr>
        <w:t>3</w:t>
      </w:r>
      <w:r>
        <w:rPr>
          <w:rFonts w:ascii="Verdana" w:hAnsi="Verdana"/>
          <w:noProof/>
          <w:sz w:val="20"/>
          <w:lang w:val="en-US"/>
        </w:rPr>
        <w:t xml:space="preserve">, in which the required </w:t>
      </w:r>
      <w:r w:rsidR="00533560">
        <w:rPr>
          <w:rFonts w:ascii="Verdana" w:hAnsi="Verdana"/>
          <w:noProof/>
          <w:sz w:val="20"/>
          <w:lang w:val="en-US"/>
        </w:rPr>
        <w:t xml:space="preserve">upper </w:t>
      </w:r>
      <w:r>
        <w:rPr>
          <w:rFonts w:ascii="Verdana" w:hAnsi="Verdana"/>
          <w:noProof/>
          <w:sz w:val="20"/>
          <w:lang w:val="en-US"/>
        </w:rPr>
        <w:t>operati</w:t>
      </w:r>
      <w:r w:rsidR="00E209A5">
        <w:rPr>
          <w:rFonts w:ascii="Verdana" w:hAnsi="Verdana"/>
          <w:noProof/>
          <w:sz w:val="20"/>
          <w:lang w:val="en-US"/>
        </w:rPr>
        <w:t>ng</w:t>
      </w:r>
      <w:r>
        <w:rPr>
          <w:rFonts w:ascii="Verdana" w:hAnsi="Verdana"/>
          <w:noProof/>
          <w:sz w:val="20"/>
          <w:lang w:val="en-US"/>
        </w:rPr>
        <w:t xml:space="preserve"> temperature of 325-350 </w:t>
      </w:r>
      <w:r>
        <w:rPr>
          <w:rFonts w:ascii="Verdana" w:hAnsi="Verdana"/>
          <w:noProof/>
          <w:sz w:val="20"/>
        </w:rPr>
        <w:t>°C do</w:t>
      </w:r>
      <w:r w:rsidR="003B2333">
        <w:rPr>
          <w:rFonts w:ascii="Verdana" w:hAnsi="Verdana"/>
          <w:noProof/>
          <w:sz w:val="20"/>
        </w:rPr>
        <w:t>es</w:t>
      </w:r>
      <w:r>
        <w:rPr>
          <w:rFonts w:ascii="Verdana" w:hAnsi="Verdana"/>
          <w:noProof/>
          <w:sz w:val="20"/>
        </w:rPr>
        <w:t xml:space="preserve"> not exceed the boiling</w:t>
      </w:r>
      <w:r w:rsidR="002A1BCE">
        <w:rPr>
          <w:rFonts w:ascii="Verdana" w:hAnsi="Verdana"/>
          <w:noProof/>
          <w:sz w:val="20"/>
        </w:rPr>
        <w:t xml:space="preserve"> point</w:t>
      </w:r>
      <w:r>
        <w:rPr>
          <w:rFonts w:ascii="Verdana" w:hAnsi="Verdana"/>
          <w:noProof/>
          <w:sz w:val="20"/>
        </w:rPr>
        <w:t xml:space="preserve"> of </w:t>
      </w:r>
      <w:r w:rsidR="002A1BCE">
        <w:rPr>
          <w:rFonts w:ascii="Verdana" w:hAnsi="Verdana"/>
          <w:noProof/>
          <w:sz w:val="20"/>
        </w:rPr>
        <w:t xml:space="preserve">the </w:t>
      </w:r>
      <w:r>
        <w:rPr>
          <w:rFonts w:ascii="Verdana" w:hAnsi="Verdana"/>
          <w:noProof/>
          <w:sz w:val="20"/>
        </w:rPr>
        <w:t xml:space="preserve">substance </w:t>
      </w:r>
      <w:r w:rsidR="002A1BCE">
        <w:rPr>
          <w:rFonts w:ascii="Verdana" w:hAnsi="Verdana"/>
          <w:noProof/>
          <w:sz w:val="20"/>
        </w:rPr>
        <w:t>at</w:t>
      </w:r>
      <w:r>
        <w:rPr>
          <w:rFonts w:ascii="Verdana" w:hAnsi="Verdana"/>
          <w:noProof/>
          <w:sz w:val="20"/>
        </w:rPr>
        <w:t xml:space="preserve"> atmospheric pressure. </w:t>
      </w:r>
      <w:r w:rsidR="002E1EE4" w:rsidRPr="002E1EE4">
        <w:rPr>
          <w:rFonts w:ascii="Verdana" w:hAnsi="Verdana"/>
          <w:noProof/>
          <w:sz w:val="20"/>
        </w:rPr>
        <w:t>According to</w:t>
      </w:r>
      <w:r w:rsidR="002E1EE4">
        <w:rPr>
          <w:rFonts w:ascii="Verdana" w:hAnsi="Verdana"/>
          <w:noProof/>
          <w:sz w:val="20"/>
        </w:rPr>
        <w:t xml:space="preserve"> standard for h</w:t>
      </w:r>
      <w:r w:rsidR="002E1EE4" w:rsidRPr="002E1EE4">
        <w:rPr>
          <w:rFonts w:ascii="Verdana" w:hAnsi="Verdana"/>
          <w:noProof/>
          <w:sz w:val="20"/>
        </w:rPr>
        <w:t xml:space="preserve">eat transfer installations working with organic heat transfer fluids </w:t>
      </w:r>
      <w:r w:rsidR="002E1EE4">
        <w:rPr>
          <w:rFonts w:ascii="Verdana" w:hAnsi="Verdana"/>
          <w:noProof/>
          <w:sz w:val="20"/>
        </w:rPr>
        <w:t>(</w:t>
      </w:r>
      <w:r w:rsidR="002E1EE4" w:rsidRPr="002E1EE4">
        <w:rPr>
          <w:rFonts w:ascii="Verdana" w:hAnsi="Verdana"/>
          <w:noProof/>
          <w:sz w:val="20"/>
        </w:rPr>
        <w:t>DIN 4754-1</w:t>
      </w:r>
      <w:r w:rsidR="002E1EE4">
        <w:rPr>
          <w:rFonts w:ascii="Verdana" w:hAnsi="Verdana"/>
          <w:noProof/>
          <w:sz w:val="20"/>
        </w:rPr>
        <w:t>)</w:t>
      </w:r>
      <w:r w:rsidR="002E1EE4" w:rsidRPr="002E1EE4">
        <w:rPr>
          <w:rFonts w:ascii="Verdana" w:hAnsi="Verdana"/>
          <w:noProof/>
          <w:sz w:val="20"/>
        </w:rPr>
        <w:t>, the upper operating temperature limit should be selected in such a way that the HTF remains in usable state for at least one year. A decomposition rate of a few percent of the HTF filling per year</w:t>
      </w:r>
      <w:r w:rsidR="002E1EE4">
        <w:rPr>
          <w:rFonts w:ascii="Verdana" w:hAnsi="Verdana"/>
          <w:noProof/>
          <w:sz w:val="20"/>
        </w:rPr>
        <w:t xml:space="preserve"> </w:t>
      </w:r>
      <w:r w:rsidR="002E1EE4" w:rsidRPr="002E1EE4">
        <w:rPr>
          <w:rFonts w:ascii="Verdana" w:hAnsi="Verdana"/>
          <w:noProof/>
          <w:sz w:val="20"/>
        </w:rPr>
        <w:t>is considered acceptable for reasons of economy</w:t>
      </w:r>
      <w:r w:rsidR="002E1EE4">
        <w:rPr>
          <w:rFonts w:ascii="Verdana" w:hAnsi="Verdana"/>
          <w:noProof/>
          <w:sz w:val="20"/>
        </w:rPr>
        <w:t xml:space="preserve"> (Lanxess 2017</w:t>
      </w:r>
      <w:r w:rsidR="009B2B06">
        <w:rPr>
          <w:rFonts w:ascii="Verdana" w:hAnsi="Verdana"/>
          <w:noProof/>
          <w:sz w:val="20"/>
        </w:rPr>
        <w:t>)</w:t>
      </w:r>
      <w:r w:rsidR="002E1EE4" w:rsidRPr="002E1EE4">
        <w:rPr>
          <w:rFonts w:ascii="Verdana" w:hAnsi="Verdana"/>
          <w:noProof/>
          <w:sz w:val="20"/>
        </w:rPr>
        <w:t>.</w:t>
      </w:r>
      <w:r w:rsidR="002E1EE4">
        <w:rPr>
          <w:rFonts w:ascii="Verdana" w:hAnsi="Verdana"/>
          <w:noProof/>
          <w:sz w:val="20"/>
        </w:rPr>
        <w:t xml:space="preserve"> </w:t>
      </w:r>
    </w:p>
    <w:p w14:paraId="39B05371" w14:textId="00B167EE" w:rsidR="00DB4A12" w:rsidRDefault="00063915" w:rsidP="002E1EE4">
      <w:pPr>
        <w:pStyle w:val="Leipteksti"/>
        <w:spacing w:before="120" w:after="0"/>
        <w:rPr>
          <w:rFonts w:ascii="Verdana" w:hAnsi="Verdana"/>
          <w:noProof/>
          <w:sz w:val="20"/>
        </w:rPr>
      </w:pPr>
      <w:r>
        <w:rPr>
          <w:rFonts w:ascii="Verdana" w:hAnsi="Verdana"/>
          <w:noProof/>
          <w:sz w:val="20"/>
        </w:rPr>
        <w:t>Some of the substances like b</w:t>
      </w:r>
      <w:r w:rsidRPr="008D6328">
        <w:rPr>
          <w:rFonts w:ascii="Verdana" w:hAnsi="Verdana"/>
          <w:noProof/>
          <w:sz w:val="20"/>
        </w:rPr>
        <w:t>enzene, C15-16-alkyl derivs</w:t>
      </w:r>
      <w:r>
        <w:rPr>
          <w:rFonts w:ascii="Verdana" w:hAnsi="Verdana"/>
          <w:noProof/>
          <w:sz w:val="20"/>
        </w:rPr>
        <w:t xml:space="preserve"> (EC 940-786-0) and b</w:t>
      </w:r>
      <w:r w:rsidRPr="008D6328">
        <w:rPr>
          <w:rFonts w:ascii="Verdana" w:hAnsi="Verdana"/>
          <w:noProof/>
          <w:sz w:val="20"/>
        </w:rPr>
        <w:t>enzene, mono-C10-13-alkyl derivs., distn. residues</w:t>
      </w:r>
      <w:r>
        <w:rPr>
          <w:rFonts w:ascii="Verdana" w:hAnsi="Verdana"/>
          <w:noProof/>
          <w:sz w:val="20"/>
        </w:rPr>
        <w:t xml:space="preserve"> (EC 284-660-7) are UVCB substa</w:t>
      </w:r>
      <w:r w:rsidR="003B2333">
        <w:rPr>
          <w:rFonts w:ascii="Verdana" w:hAnsi="Verdana"/>
          <w:noProof/>
          <w:sz w:val="20"/>
        </w:rPr>
        <w:t>n</w:t>
      </w:r>
      <w:r>
        <w:rPr>
          <w:rFonts w:ascii="Verdana" w:hAnsi="Verdana"/>
          <w:noProof/>
          <w:sz w:val="20"/>
        </w:rPr>
        <w:t>ces with varying boiling point range</w:t>
      </w:r>
      <w:r w:rsidR="003B2333">
        <w:rPr>
          <w:rFonts w:ascii="Verdana" w:hAnsi="Verdana"/>
          <w:noProof/>
          <w:sz w:val="20"/>
        </w:rPr>
        <w:t>s</w:t>
      </w:r>
      <w:r>
        <w:rPr>
          <w:rFonts w:ascii="Verdana" w:hAnsi="Verdana"/>
          <w:noProof/>
          <w:sz w:val="20"/>
        </w:rPr>
        <w:t>. However, for those substances it is expected that some constituents in</w:t>
      </w:r>
      <w:r w:rsidR="002A1BCE">
        <w:rPr>
          <w:rFonts w:ascii="Verdana" w:hAnsi="Verdana"/>
          <w:noProof/>
          <w:sz w:val="20"/>
        </w:rPr>
        <w:t xml:space="preserve"> the</w:t>
      </w:r>
      <w:r>
        <w:rPr>
          <w:rFonts w:ascii="Verdana" w:hAnsi="Verdana"/>
          <w:noProof/>
          <w:sz w:val="20"/>
        </w:rPr>
        <w:t xml:space="preserve"> lower boiling point range would undergo </w:t>
      </w:r>
      <w:r>
        <w:rPr>
          <w:rFonts w:ascii="Verdana" w:hAnsi="Verdana"/>
          <w:noProof/>
          <w:sz w:val="20"/>
        </w:rPr>
        <w:lastRenderedPageBreak/>
        <w:t xml:space="preserve">significant thermal degradation </w:t>
      </w:r>
      <w:r w:rsidR="002A1BCE">
        <w:rPr>
          <w:rFonts w:ascii="Verdana" w:hAnsi="Verdana"/>
          <w:sz w:val="20"/>
        </w:rPr>
        <w:t>at</w:t>
      </w:r>
      <w:r w:rsidR="005142AE" w:rsidRPr="009B2B06">
        <w:rPr>
          <w:rFonts w:ascii="Verdana" w:hAnsi="Verdana"/>
          <w:sz w:val="20"/>
        </w:rPr>
        <w:t xml:space="preserve"> high temperature</w:t>
      </w:r>
      <w:r w:rsidR="002A1BCE">
        <w:rPr>
          <w:rFonts w:ascii="Verdana" w:hAnsi="Verdana"/>
          <w:sz w:val="20"/>
        </w:rPr>
        <w:t>s in</w:t>
      </w:r>
      <w:r w:rsidR="005142AE" w:rsidRPr="009B2B06">
        <w:rPr>
          <w:rFonts w:ascii="Verdana" w:hAnsi="Verdana"/>
          <w:sz w:val="20"/>
        </w:rPr>
        <w:t xml:space="preserve"> non-pressurised systems</w:t>
      </w:r>
      <w:r>
        <w:rPr>
          <w:rFonts w:ascii="Verdana" w:hAnsi="Verdana"/>
          <w:noProof/>
          <w:sz w:val="20"/>
        </w:rPr>
        <w:t xml:space="preserve">, thus </w:t>
      </w:r>
      <w:r w:rsidR="005142AE">
        <w:rPr>
          <w:rFonts w:ascii="Verdana" w:hAnsi="Verdana"/>
          <w:noProof/>
          <w:sz w:val="20"/>
        </w:rPr>
        <w:t xml:space="preserve">they </w:t>
      </w:r>
      <w:r>
        <w:rPr>
          <w:rFonts w:ascii="Verdana" w:hAnsi="Verdana"/>
          <w:noProof/>
          <w:sz w:val="20"/>
        </w:rPr>
        <w:t xml:space="preserve">would not qualify as direct </w:t>
      </w:r>
      <w:r w:rsidR="00533560">
        <w:rPr>
          <w:rFonts w:ascii="Verdana" w:hAnsi="Verdana"/>
          <w:noProof/>
          <w:sz w:val="20"/>
        </w:rPr>
        <w:t>substitut</w:t>
      </w:r>
      <w:r w:rsidR="002A1BCE">
        <w:rPr>
          <w:rFonts w:ascii="Verdana" w:hAnsi="Verdana"/>
          <w:noProof/>
          <w:sz w:val="20"/>
        </w:rPr>
        <w:t>ion</w:t>
      </w:r>
      <w:r w:rsidR="00533560">
        <w:rPr>
          <w:rFonts w:ascii="Verdana" w:hAnsi="Verdana"/>
          <w:noProof/>
          <w:sz w:val="20"/>
        </w:rPr>
        <w:t xml:space="preserve"> candidates </w:t>
      </w:r>
      <w:r>
        <w:rPr>
          <w:rFonts w:ascii="Verdana" w:hAnsi="Verdana"/>
          <w:noProof/>
          <w:sz w:val="20"/>
        </w:rPr>
        <w:t xml:space="preserve">for terphenyl, hydrogenated in those specific conditions. </w:t>
      </w:r>
      <w:r w:rsidR="009B33CC" w:rsidRPr="009B33CC">
        <w:rPr>
          <w:rFonts w:ascii="Verdana" w:hAnsi="Verdana" w:cs="Calibri"/>
          <w:kern w:val="24"/>
          <w:sz w:val="20"/>
          <w:lang w:eastAsia="fi-FI"/>
        </w:rPr>
        <w:t>Tris(methylphenyl) phosphate</w:t>
      </w:r>
      <w:r w:rsidR="009B33CC" w:rsidRPr="009B33CC" w:rsidDel="009B33CC">
        <w:rPr>
          <w:rFonts w:ascii="Verdana" w:hAnsi="Verdana" w:cs="Calibri"/>
          <w:kern w:val="24"/>
          <w:sz w:val="20"/>
          <w:lang w:eastAsia="fi-FI"/>
        </w:rPr>
        <w:t xml:space="preserve"> </w:t>
      </w:r>
      <w:r>
        <w:rPr>
          <w:rFonts w:ascii="Verdana" w:hAnsi="Verdana" w:cs="Calibri"/>
          <w:kern w:val="24"/>
          <w:sz w:val="20"/>
          <w:lang w:eastAsia="fi-FI"/>
        </w:rPr>
        <w:t xml:space="preserve">(EC 809-930-9) and </w:t>
      </w:r>
      <w:r w:rsidR="00750787" w:rsidRPr="009B2B06">
        <w:rPr>
          <w:rFonts w:ascii="Verdana" w:hAnsi="Verdana" w:cs="Calibri"/>
          <w:kern w:val="24"/>
          <w:sz w:val="20"/>
          <w:lang w:eastAsia="fi-FI"/>
        </w:rPr>
        <w:t xml:space="preserve">Phenol, </w:t>
      </w:r>
      <w:proofErr w:type="spellStart"/>
      <w:r w:rsidR="00750787" w:rsidRPr="009B2B06">
        <w:rPr>
          <w:rFonts w:ascii="Verdana" w:hAnsi="Verdana" w:cs="Calibri"/>
          <w:kern w:val="24"/>
          <w:sz w:val="20"/>
          <w:lang w:eastAsia="fi-FI"/>
        </w:rPr>
        <w:t>isopropylated</w:t>
      </w:r>
      <w:proofErr w:type="spellEnd"/>
      <w:r w:rsidR="00750787" w:rsidRPr="009B2B06">
        <w:rPr>
          <w:rFonts w:ascii="Verdana" w:hAnsi="Verdana" w:cs="Calibri"/>
          <w:kern w:val="24"/>
          <w:sz w:val="20"/>
          <w:lang w:eastAsia="fi-FI"/>
        </w:rPr>
        <w:t>, phosphate (3:1)</w:t>
      </w:r>
      <w:r w:rsidR="00750787">
        <w:rPr>
          <w:rFonts w:ascii="Verdana" w:hAnsi="Verdana" w:cs="Calibri"/>
          <w:kern w:val="24"/>
          <w:sz w:val="20"/>
          <w:lang w:eastAsia="fi-FI"/>
        </w:rPr>
        <w:t xml:space="preserve"> (</w:t>
      </w:r>
      <w:r w:rsidR="00BB757C">
        <w:rPr>
          <w:rFonts w:ascii="Verdana" w:hAnsi="Verdana" w:cs="Calibri"/>
          <w:kern w:val="24"/>
          <w:sz w:val="20"/>
          <w:lang w:eastAsia="fi-FI"/>
        </w:rPr>
        <w:t xml:space="preserve">EC </w:t>
      </w:r>
      <w:r w:rsidR="00750787" w:rsidRPr="009B2B06">
        <w:rPr>
          <w:rFonts w:ascii="Verdana" w:hAnsi="Verdana" w:cs="Calibri"/>
          <w:kern w:val="24"/>
          <w:sz w:val="20"/>
          <w:lang w:eastAsia="fi-FI"/>
        </w:rPr>
        <w:t>273-066-3</w:t>
      </w:r>
      <w:r w:rsidR="00750787">
        <w:rPr>
          <w:rFonts w:ascii="Verdana" w:hAnsi="Verdana" w:cs="Calibri"/>
          <w:kern w:val="24"/>
          <w:sz w:val="20"/>
          <w:lang w:eastAsia="fi-FI"/>
        </w:rPr>
        <w:t>)</w:t>
      </w:r>
      <w:r>
        <w:rPr>
          <w:rFonts w:ascii="Verdana" w:hAnsi="Verdana"/>
          <w:noProof/>
          <w:sz w:val="20"/>
        </w:rPr>
        <w:t xml:space="preserve"> have </w:t>
      </w:r>
      <w:r w:rsidR="00E209A5">
        <w:rPr>
          <w:rFonts w:ascii="Verdana" w:hAnsi="Verdana"/>
          <w:noProof/>
          <w:sz w:val="20"/>
        </w:rPr>
        <w:t xml:space="preserve">a </w:t>
      </w:r>
      <w:r>
        <w:rPr>
          <w:rFonts w:ascii="Verdana" w:hAnsi="Verdana"/>
          <w:noProof/>
          <w:sz w:val="20"/>
        </w:rPr>
        <w:t xml:space="preserve">boiling point over 400 °C, but they do not have </w:t>
      </w:r>
      <w:r w:rsidR="00BB757C">
        <w:rPr>
          <w:rFonts w:ascii="Verdana" w:hAnsi="Verdana"/>
          <w:noProof/>
          <w:sz w:val="20"/>
        </w:rPr>
        <w:t xml:space="preserve">industrial heat transfer fluid </w:t>
      </w:r>
      <w:r w:rsidR="0000318B">
        <w:rPr>
          <w:rFonts w:ascii="Verdana" w:hAnsi="Verdana"/>
          <w:noProof/>
          <w:sz w:val="20"/>
        </w:rPr>
        <w:t>uses</w:t>
      </w:r>
      <w:r w:rsidR="00BB757C">
        <w:rPr>
          <w:rFonts w:ascii="Verdana" w:hAnsi="Verdana"/>
          <w:noProof/>
          <w:sz w:val="20"/>
        </w:rPr>
        <w:t xml:space="preserve"> among the available public tradenames in ECHA registered substance factsheets</w:t>
      </w:r>
      <w:r>
        <w:rPr>
          <w:rFonts w:ascii="Verdana" w:hAnsi="Verdana"/>
          <w:noProof/>
          <w:sz w:val="20"/>
        </w:rPr>
        <w:t xml:space="preserve">. </w:t>
      </w:r>
      <w:r w:rsidR="00BB757C">
        <w:rPr>
          <w:rFonts w:ascii="Verdana" w:hAnsi="Verdana"/>
          <w:noProof/>
          <w:sz w:val="20"/>
        </w:rPr>
        <w:t>See more details in the confidential Annex</w:t>
      </w:r>
      <w:r w:rsidR="0000318B">
        <w:rPr>
          <w:rFonts w:ascii="Verdana" w:hAnsi="Verdana"/>
          <w:noProof/>
          <w:sz w:val="20"/>
        </w:rPr>
        <w:t xml:space="preserve"> I</w:t>
      </w:r>
      <w:r w:rsidR="009B33CC">
        <w:rPr>
          <w:rFonts w:ascii="Verdana" w:hAnsi="Verdana"/>
          <w:noProof/>
          <w:sz w:val="20"/>
        </w:rPr>
        <w:t xml:space="preserve"> in this RMOA</w:t>
      </w:r>
      <w:r w:rsidR="00BB757C">
        <w:rPr>
          <w:rFonts w:ascii="Verdana" w:hAnsi="Verdana"/>
          <w:noProof/>
          <w:sz w:val="20"/>
        </w:rPr>
        <w:t>.</w:t>
      </w:r>
    </w:p>
    <w:p w14:paraId="419E829D" w14:textId="410AC9F4" w:rsidR="00BE251A" w:rsidRPr="00123164" w:rsidRDefault="00400A51" w:rsidP="00446D2F">
      <w:pPr>
        <w:pStyle w:val="Leipteksti"/>
        <w:spacing w:before="120" w:after="0"/>
        <w:rPr>
          <w:rFonts w:ascii="Verdana" w:hAnsi="Verdana"/>
          <w:noProof/>
          <w:sz w:val="20"/>
          <w:lang w:val="en-US"/>
        </w:rPr>
      </w:pPr>
      <w:r>
        <w:rPr>
          <w:rFonts w:ascii="Verdana" w:hAnsi="Verdana"/>
          <w:noProof/>
          <w:sz w:val="20"/>
          <w:lang w:val="en-US"/>
        </w:rPr>
        <w:t xml:space="preserve">From the substances listed in </w:t>
      </w:r>
      <w:r w:rsidR="00E669C1">
        <w:rPr>
          <w:rFonts w:ascii="Verdana" w:hAnsi="Verdana"/>
          <w:noProof/>
          <w:sz w:val="20"/>
          <w:lang w:val="en-US"/>
        </w:rPr>
        <w:t>T</w:t>
      </w:r>
      <w:r>
        <w:rPr>
          <w:rFonts w:ascii="Verdana" w:hAnsi="Verdana"/>
          <w:noProof/>
          <w:sz w:val="20"/>
          <w:lang w:val="en-US"/>
        </w:rPr>
        <w:t xml:space="preserve">able </w:t>
      </w:r>
      <w:r w:rsidR="00E669C1">
        <w:rPr>
          <w:rFonts w:ascii="Verdana" w:hAnsi="Verdana"/>
          <w:noProof/>
          <w:sz w:val="20"/>
          <w:lang w:val="en-US"/>
        </w:rPr>
        <w:t>3</w:t>
      </w:r>
      <w:r>
        <w:rPr>
          <w:rFonts w:ascii="Verdana" w:hAnsi="Verdana"/>
          <w:noProof/>
          <w:sz w:val="20"/>
          <w:lang w:val="en-US"/>
        </w:rPr>
        <w:t xml:space="preserve">, </w:t>
      </w:r>
      <w:r w:rsidRPr="00400A51">
        <w:rPr>
          <w:rFonts w:ascii="Verdana" w:hAnsi="Verdana"/>
          <w:noProof/>
          <w:sz w:val="20"/>
          <w:lang w:val="en-US"/>
        </w:rPr>
        <w:t>dibenzylbenzene, ar-methyl derivative</w:t>
      </w:r>
      <w:r>
        <w:rPr>
          <w:rFonts w:ascii="Verdana" w:hAnsi="Verdana"/>
          <w:noProof/>
          <w:sz w:val="20"/>
          <w:lang w:val="en-US"/>
        </w:rPr>
        <w:t xml:space="preserve"> (EC 258-649-2) screens as </w:t>
      </w:r>
      <w:r w:rsidR="00E209A5">
        <w:rPr>
          <w:rFonts w:ascii="Verdana" w:hAnsi="Verdana"/>
          <w:noProof/>
          <w:sz w:val="20"/>
          <w:lang w:val="en-US"/>
        </w:rPr>
        <w:t xml:space="preserve">a </w:t>
      </w:r>
      <w:r>
        <w:rPr>
          <w:rFonts w:ascii="Verdana" w:hAnsi="Verdana"/>
          <w:noProof/>
          <w:sz w:val="20"/>
          <w:lang w:val="en-US"/>
        </w:rPr>
        <w:t xml:space="preserve">possible substitute for terphenyl, hydrogenated. </w:t>
      </w:r>
      <w:r w:rsidR="006B68BE">
        <w:rPr>
          <w:rFonts w:ascii="Verdana" w:hAnsi="Verdana"/>
          <w:noProof/>
          <w:sz w:val="20"/>
          <w:lang w:val="en-US"/>
        </w:rPr>
        <w:t xml:space="preserve">Dibenzylbenzene, ar-methyl </w:t>
      </w:r>
      <w:r w:rsidR="00B57F3A">
        <w:rPr>
          <w:rFonts w:ascii="Verdana" w:hAnsi="Verdana"/>
          <w:noProof/>
          <w:sz w:val="20"/>
          <w:lang w:val="en-US"/>
        </w:rPr>
        <w:t>derivative</w:t>
      </w:r>
      <w:r w:rsidR="006B68BE">
        <w:rPr>
          <w:rFonts w:ascii="Verdana" w:hAnsi="Verdana"/>
          <w:noProof/>
          <w:sz w:val="20"/>
          <w:lang w:val="en-US"/>
        </w:rPr>
        <w:t xml:space="preserve"> </w:t>
      </w:r>
      <w:r w:rsidR="00BE251A">
        <w:rPr>
          <w:rFonts w:ascii="Verdana" w:hAnsi="Verdana"/>
          <w:noProof/>
          <w:sz w:val="20"/>
          <w:lang w:val="en-US"/>
        </w:rPr>
        <w:t>can be used up to</w:t>
      </w:r>
      <w:r w:rsidR="006B68BE">
        <w:rPr>
          <w:rFonts w:ascii="Verdana" w:hAnsi="Verdana"/>
          <w:noProof/>
          <w:sz w:val="20"/>
          <w:lang w:val="en-US"/>
        </w:rPr>
        <w:t xml:space="preserve"> 350 °C in pressureless heat transfer systems</w:t>
      </w:r>
      <w:r w:rsidR="00BE251A">
        <w:rPr>
          <w:rFonts w:ascii="Verdana" w:hAnsi="Verdana"/>
          <w:noProof/>
          <w:sz w:val="20"/>
          <w:lang w:val="en-US"/>
        </w:rPr>
        <w:t xml:space="preserve"> under</w:t>
      </w:r>
      <w:r w:rsidR="00327799">
        <w:rPr>
          <w:rFonts w:ascii="Verdana" w:hAnsi="Verdana"/>
          <w:noProof/>
          <w:sz w:val="20"/>
          <w:lang w:val="en-US"/>
        </w:rPr>
        <w:t xml:space="preserve"> a</w:t>
      </w:r>
      <w:r w:rsidR="00BE251A">
        <w:rPr>
          <w:rFonts w:ascii="Verdana" w:hAnsi="Verdana"/>
          <w:noProof/>
          <w:sz w:val="20"/>
          <w:lang w:val="en-US"/>
        </w:rPr>
        <w:t xml:space="preserve"> tradename Marlotherm SH</w:t>
      </w:r>
      <w:r w:rsidR="006B68BE">
        <w:rPr>
          <w:rFonts w:ascii="Verdana" w:hAnsi="Verdana"/>
          <w:noProof/>
          <w:sz w:val="20"/>
          <w:lang w:val="en-US"/>
        </w:rPr>
        <w:t xml:space="preserve"> (Sasol</w:t>
      </w:r>
      <w:r w:rsidR="00BE251A">
        <w:rPr>
          <w:rFonts w:ascii="Verdana" w:hAnsi="Verdana"/>
          <w:noProof/>
          <w:sz w:val="20"/>
          <w:lang w:val="en-US"/>
        </w:rPr>
        <w:t xml:space="preserve"> 2018</w:t>
      </w:r>
      <w:r w:rsidR="006B68BE">
        <w:rPr>
          <w:rFonts w:ascii="Verdana" w:hAnsi="Verdana"/>
          <w:noProof/>
          <w:sz w:val="20"/>
          <w:lang w:val="en-US"/>
        </w:rPr>
        <w:t xml:space="preserve">). </w:t>
      </w:r>
      <w:r w:rsidR="002A1BCE">
        <w:rPr>
          <w:rFonts w:ascii="Verdana" w:hAnsi="Verdana"/>
          <w:noProof/>
          <w:sz w:val="20"/>
          <w:lang w:val="en-US"/>
        </w:rPr>
        <w:t>Separately from</w:t>
      </w:r>
      <w:r w:rsidR="00BE251A">
        <w:rPr>
          <w:rFonts w:ascii="Verdana" w:hAnsi="Verdana"/>
          <w:noProof/>
          <w:sz w:val="20"/>
          <w:lang w:val="en-US"/>
        </w:rPr>
        <w:t xml:space="preserve"> the search conducted by ECHA </w:t>
      </w:r>
      <w:r w:rsidR="002A1BCE">
        <w:rPr>
          <w:rFonts w:ascii="Verdana" w:hAnsi="Verdana"/>
          <w:noProof/>
          <w:sz w:val="20"/>
          <w:lang w:val="en-US"/>
        </w:rPr>
        <w:t xml:space="preserve">of the </w:t>
      </w:r>
      <w:r w:rsidR="00BE251A">
        <w:rPr>
          <w:rFonts w:ascii="Verdana" w:hAnsi="Verdana"/>
          <w:noProof/>
          <w:sz w:val="20"/>
          <w:lang w:val="en-US"/>
        </w:rPr>
        <w:t xml:space="preserve">REACH registration database, one other potential substitute </w:t>
      </w:r>
      <w:r w:rsidR="00AC3AD7">
        <w:rPr>
          <w:rFonts w:ascii="Verdana" w:hAnsi="Verdana"/>
          <w:noProof/>
          <w:sz w:val="20"/>
          <w:lang w:val="en-US"/>
        </w:rPr>
        <w:t xml:space="preserve">(with indication of heat transfer use) </w:t>
      </w:r>
      <w:r w:rsidR="00BE251A">
        <w:rPr>
          <w:rFonts w:ascii="Verdana" w:hAnsi="Verdana"/>
          <w:noProof/>
          <w:sz w:val="20"/>
          <w:lang w:val="en-US"/>
        </w:rPr>
        <w:t xml:space="preserve">was </w:t>
      </w:r>
      <w:r w:rsidR="00EE69C9">
        <w:rPr>
          <w:rFonts w:ascii="Verdana" w:hAnsi="Verdana"/>
          <w:noProof/>
          <w:sz w:val="20"/>
          <w:lang w:val="en-US"/>
        </w:rPr>
        <w:t>notified to</w:t>
      </w:r>
      <w:r w:rsidR="00BE251A">
        <w:rPr>
          <w:rFonts w:ascii="Verdana" w:hAnsi="Verdana"/>
          <w:noProof/>
          <w:sz w:val="20"/>
          <w:lang w:val="en-US"/>
        </w:rPr>
        <w:t xml:space="preserve"> </w:t>
      </w:r>
      <w:r w:rsidR="002A1BCE">
        <w:rPr>
          <w:rFonts w:ascii="Verdana" w:hAnsi="Verdana"/>
          <w:noProof/>
          <w:sz w:val="20"/>
          <w:lang w:val="en-US"/>
        </w:rPr>
        <w:t xml:space="preserve">the </w:t>
      </w:r>
      <w:r w:rsidR="00BE251A">
        <w:rPr>
          <w:rFonts w:ascii="Verdana" w:hAnsi="Verdana"/>
          <w:noProof/>
          <w:sz w:val="20"/>
          <w:lang w:val="en-US"/>
        </w:rPr>
        <w:t xml:space="preserve">Finnish Chemical Product Register </w:t>
      </w:r>
      <w:r w:rsidR="00CC0C3A">
        <w:rPr>
          <w:rFonts w:ascii="Verdana" w:hAnsi="Verdana"/>
          <w:noProof/>
          <w:sz w:val="20"/>
          <w:lang w:val="en-US"/>
        </w:rPr>
        <w:t xml:space="preserve">under </w:t>
      </w:r>
      <w:r w:rsidR="0000318B">
        <w:rPr>
          <w:rFonts w:ascii="Verdana" w:hAnsi="Verdana"/>
          <w:noProof/>
          <w:sz w:val="20"/>
          <w:lang w:val="en-US"/>
        </w:rPr>
        <w:t>the</w:t>
      </w:r>
      <w:r w:rsidR="00327799">
        <w:rPr>
          <w:rFonts w:ascii="Verdana" w:hAnsi="Verdana"/>
          <w:noProof/>
          <w:sz w:val="20"/>
          <w:lang w:val="en-US"/>
        </w:rPr>
        <w:t xml:space="preserve"> </w:t>
      </w:r>
      <w:r w:rsidR="00CC0C3A">
        <w:rPr>
          <w:rFonts w:ascii="Verdana" w:hAnsi="Verdana"/>
          <w:noProof/>
          <w:sz w:val="20"/>
          <w:lang w:val="en-US"/>
        </w:rPr>
        <w:t>tradename Dowtherm RP</w:t>
      </w:r>
      <w:r w:rsidR="00BE251A">
        <w:rPr>
          <w:rFonts w:ascii="Verdana" w:hAnsi="Verdana"/>
          <w:noProof/>
          <w:sz w:val="20"/>
          <w:lang w:val="en-US"/>
        </w:rPr>
        <w:t xml:space="preserve">. </w:t>
      </w:r>
      <w:r w:rsidR="00CC0C3A">
        <w:rPr>
          <w:rFonts w:ascii="Verdana" w:hAnsi="Verdana"/>
          <w:noProof/>
          <w:sz w:val="20"/>
          <w:lang w:val="en-US"/>
        </w:rPr>
        <w:t>This heat transfer fluid</w:t>
      </w:r>
      <w:r w:rsidR="00BE251A">
        <w:rPr>
          <w:rFonts w:ascii="Verdana" w:hAnsi="Verdana"/>
          <w:noProof/>
          <w:sz w:val="20"/>
          <w:lang w:val="en-US"/>
        </w:rPr>
        <w:t xml:space="preserve">  </w:t>
      </w:r>
      <w:r w:rsidR="00CC0C3A">
        <w:rPr>
          <w:rFonts w:ascii="Verdana" w:hAnsi="Verdana"/>
          <w:noProof/>
          <w:sz w:val="20"/>
          <w:lang w:val="en-US"/>
        </w:rPr>
        <w:t>can be used up to 350 °C (DOW 1996)</w:t>
      </w:r>
      <w:r w:rsidR="005C5EA0">
        <w:rPr>
          <w:rFonts w:ascii="Verdana" w:hAnsi="Verdana"/>
          <w:noProof/>
          <w:sz w:val="20"/>
          <w:lang w:val="en-US"/>
        </w:rPr>
        <w:t xml:space="preserve">. </w:t>
      </w:r>
      <w:r w:rsidR="005C5EA0" w:rsidDel="005C5EA0">
        <w:rPr>
          <w:rFonts w:ascii="Verdana" w:hAnsi="Verdana"/>
          <w:noProof/>
          <w:sz w:val="20"/>
          <w:lang w:val="en-US"/>
        </w:rPr>
        <w:t xml:space="preserve"> </w:t>
      </w:r>
      <w:r w:rsidR="005C5EA0">
        <w:rPr>
          <w:rFonts w:ascii="Verdana" w:hAnsi="Verdana"/>
          <w:noProof/>
          <w:sz w:val="20"/>
          <w:lang w:val="en-US"/>
        </w:rPr>
        <w:t>The substance is referred as 1,2,3,4,-tetrahydro-(1-phenylethyl)-napthalene in</w:t>
      </w:r>
      <w:r w:rsidR="00CC0C3A">
        <w:rPr>
          <w:rFonts w:ascii="Verdana" w:hAnsi="Verdana"/>
          <w:noProof/>
          <w:sz w:val="20"/>
          <w:lang w:val="en-US"/>
        </w:rPr>
        <w:t xml:space="preserve"> the publicly available SDS of</w:t>
      </w:r>
      <w:r w:rsidR="005C5EA0">
        <w:rPr>
          <w:rFonts w:ascii="Verdana" w:hAnsi="Verdana"/>
          <w:noProof/>
          <w:sz w:val="20"/>
          <w:lang w:val="en-US"/>
        </w:rPr>
        <w:t xml:space="preserve"> Dowtherm RP. However, t</w:t>
      </w:r>
      <w:r w:rsidR="00D915ED">
        <w:rPr>
          <w:rFonts w:ascii="Verdana" w:hAnsi="Verdana"/>
          <w:noProof/>
          <w:sz w:val="20"/>
          <w:lang w:val="en-US"/>
        </w:rPr>
        <w:t xml:space="preserve">his substance is further referred </w:t>
      </w:r>
      <w:r w:rsidR="00E209A5">
        <w:rPr>
          <w:rFonts w:ascii="Verdana" w:hAnsi="Verdana"/>
          <w:noProof/>
          <w:sz w:val="20"/>
          <w:lang w:val="en-US"/>
        </w:rPr>
        <w:t xml:space="preserve">to </w:t>
      </w:r>
      <w:r w:rsidR="00D915ED">
        <w:rPr>
          <w:rFonts w:ascii="Verdana" w:hAnsi="Verdana"/>
          <w:noProof/>
          <w:sz w:val="20"/>
          <w:lang w:val="en-US"/>
        </w:rPr>
        <w:t xml:space="preserve">as </w:t>
      </w:r>
      <w:r w:rsidR="00D915ED" w:rsidRPr="00D915ED">
        <w:rPr>
          <w:rFonts w:ascii="Verdana" w:hAnsi="Verdana"/>
          <w:noProof/>
          <w:sz w:val="20"/>
          <w:lang w:val="en-US"/>
        </w:rPr>
        <w:t>6-(1-phenylethyl)-1,2,3,4-tetrahydronaphthalene</w:t>
      </w:r>
      <w:r w:rsidR="00D915ED">
        <w:rPr>
          <w:rFonts w:ascii="Verdana" w:hAnsi="Verdana"/>
          <w:noProof/>
          <w:sz w:val="20"/>
          <w:lang w:val="en-US"/>
        </w:rPr>
        <w:t xml:space="preserve"> in this RMOA reflecting the public name </w:t>
      </w:r>
      <w:r w:rsidR="00CA70CE">
        <w:rPr>
          <w:rFonts w:ascii="Verdana" w:hAnsi="Verdana"/>
          <w:noProof/>
          <w:sz w:val="20"/>
          <w:lang w:val="en-US"/>
        </w:rPr>
        <w:t>o</w:t>
      </w:r>
      <w:r w:rsidR="00D915ED">
        <w:rPr>
          <w:rFonts w:ascii="Verdana" w:hAnsi="Verdana"/>
          <w:noProof/>
          <w:sz w:val="20"/>
          <w:lang w:val="en-US"/>
        </w:rPr>
        <w:t xml:space="preserve">n ECHA´s website. </w:t>
      </w:r>
    </w:p>
    <w:p w14:paraId="07D87D28" w14:textId="75612300" w:rsidR="00627727" w:rsidRPr="00655F03" w:rsidRDefault="00A46EF7" w:rsidP="00446D2F">
      <w:pPr>
        <w:pStyle w:val="Leipteksti"/>
        <w:spacing w:before="120" w:after="0"/>
        <w:rPr>
          <w:rFonts w:ascii="Verdana" w:hAnsi="Verdana"/>
          <w:noProof/>
          <w:sz w:val="20"/>
          <w:lang w:val="en-US"/>
        </w:rPr>
      </w:pPr>
      <w:r>
        <w:rPr>
          <w:rFonts w:ascii="Verdana" w:hAnsi="Verdana"/>
          <w:noProof/>
          <w:sz w:val="20"/>
          <w:lang w:val="en-US"/>
        </w:rPr>
        <w:t>Therefore</w:t>
      </w:r>
      <w:r w:rsidR="00744765">
        <w:rPr>
          <w:rFonts w:ascii="Verdana" w:hAnsi="Verdana"/>
          <w:noProof/>
          <w:sz w:val="20"/>
          <w:lang w:val="en-US"/>
        </w:rPr>
        <w:t>,</w:t>
      </w:r>
      <w:r>
        <w:rPr>
          <w:rFonts w:ascii="Verdana" w:hAnsi="Verdana"/>
          <w:noProof/>
          <w:sz w:val="20"/>
          <w:lang w:val="en-US"/>
        </w:rPr>
        <w:t xml:space="preserve"> this </w:t>
      </w:r>
      <w:r w:rsidR="009B2B06">
        <w:rPr>
          <w:rFonts w:ascii="Verdana" w:hAnsi="Verdana"/>
          <w:noProof/>
          <w:sz w:val="20"/>
          <w:lang w:val="en-US"/>
        </w:rPr>
        <w:t>RMOA</w:t>
      </w:r>
      <w:r>
        <w:rPr>
          <w:rFonts w:ascii="Verdana" w:hAnsi="Verdana"/>
          <w:noProof/>
          <w:sz w:val="20"/>
          <w:lang w:val="en-US"/>
        </w:rPr>
        <w:t xml:space="preserve"> refers to the </w:t>
      </w:r>
      <w:r w:rsidR="00400A51">
        <w:rPr>
          <w:rFonts w:ascii="Verdana" w:hAnsi="Verdana"/>
          <w:noProof/>
          <w:sz w:val="20"/>
          <w:lang w:val="en-US"/>
        </w:rPr>
        <w:t xml:space="preserve">2 </w:t>
      </w:r>
      <w:r>
        <w:rPr>
          <w:rFonts w:ascii="Verdana" w:hAnsi="Verdana"/>
          <w:noProof/>
          <w:sz w:val="20"/>
          <w:lang w:val="en-US"/>
        </w:rPr>
        <w:t>heat transfer fluids described above, as they c</w:t>
      </w:r>
      <w:r w:rsidR="00636144">
        <w:rPr>
          <w:rFonts w:ascii="Verdana" w:hAnsi="Verdana"/>
          <w:noProof/>
          <w:sz w:val="20"/>
          <w:lang w:val="en-US"/>
        </w:rPr>
        <w:t>ould</w:t>
      </w:r>
      <w:r>
        <w:rPr>
          <w:rFonts w:ascii="Verdana" w:hAnsi="Verdana"/>
          <w:noProof/>
          <w:sz w:val="20"/>
          <w:lang w:val="en-US"/>
        </w:rPr>
        <w:t xml:space="preserve"> be applied </w:t>
      </w:r>
      <w:r w:rsidR="009B2B06">
        <w:rPr>
          <w:rFonts w:ascii="Verdana" w:hAnsi="Verdana"/>
          <w:noProof/>
          <w:sz w:val="20"/>
          <w:lang w:val="en-US"/>
        </w:rPr>
        <w:t xml:space="preserve">reliably </w:t>
      </w:r>
      <w:r>
        <w:rPr>
          <w:rFonts w:ascii="Verdana" w:hAnsi="Verdana"/>
          <w:noProof/>
          <w:sz w:val="20"/>
          <w:lang w:val="en-US"/>
        </w:rPr>
        <w:t>as substitutes for Terphenyl, hydrogenate</w:t>
      </w:r>
      <w:r w:rsidR="00744765">
        <w:rPr>
          <w:rFonts w:ascii="Verdana" w:hAnsi="Verdana"/>
          <w:noProof/>
          <w:sz w:val="20"/>
          <w:lang w:val="en-US"/>
        </w:rPr>
        <w:t xml:space="preserve">d </w:t>
      </w:r>
      <w:r w:rsidR="00E66140">
        <w:rPr>
          <w:rFonts w:ascii="Verdana" w:hAnsi="Verdana"/>
          <w:noProof/>
          <w:sz w:val="20"/>
          <w:lang w:val="en-US"/>
        </w:rPr>
        <w:t xml:space="preserve">at </w:t>
      </w:r>
      <w:r w:rsidR="009B2B06">
        <w:rPr>
          <w:rFonts w:ascii="Verdana" w:hAnsi="Verdana"/>
          <w:noProof/>
          <w:sz w:val="20"/>
          <w:lang w:val="en-US"/>
        </w:rPr>
        <w:t xml:space="preserve">the whole </w:t>
      </w:r>
      <w:r w:rsidR="00744765">
        <w:rPr>
          <w:rFonts w:ascii="Verdana" w:hAnsi="Verdana"/>
          <w:noProof/>
          <w:sz w:val="20"/>
          <w:lang w:val="en-US"/>
        </w:rPr>
        <w:t xml:space="preserve">high temperature </w:t>
      </w:r>
      <w:r w:rsidR="009B2B06">
        <w:rPr>
          <w:rFonts w:ascii="Verdana" w:hAnsi="Verdana"/>
          <w:noProof/>
          <w:sz w:val="20"/>
          <w:lang w:val="en-US"/>
        </w:rPr>
        <w:t xml:space="preserve">range of </w:t>
      </w:r>
      <w:r w:rsidR="008C46E2">
        <w:rPr>
          <w:rFonts w:ascii="Verdana" w:hAnsi="Verdana"/>
          <w:noProof/>
          <w:sz w:val="20"/>
          <w:lang w:val="en-US"/>
        </w:rPr>
        <w:t>300</w:t>
      </w:r>
      <w:r w:rsidR="00744765">
        <w:rPr>
          <w:rFonts w:ascii="Verdana" w:hAnsi="Verdana"/>
          <w:noProof/>
          <w:sz w:val="20"/>
          <w:lang w:val="en-US"/>
        </w:rPr>
        <w:t xml:space="preserve">-350 </w:t>
      </w:r>
      <w:r w:rsidR="00744765">
        <w:rPr>
          <w:rFonts w:ascii="Verdana" w:hAnsi="Verdana"/>
          <w:noProof/>
          <w:sz w:val="20"/>
        </w:rPr>
        <w:t>°C</w:t>
      </w:r>
      <w:r w:rsidR="009B2B06">
        <w:rPr>
          <w:rFonts w:ascii="Verdana" w:hAnsi="Verdana"/>
          <w:noProof/>
          <w:sz w:val="20"/>
        </w:rPr>
        <w:t xml:space="preserve"> in </w:t>
      </w:r>
      <w:r w:rsidR="00744765">
        <w:rPr>
          <w:rFonts w:ascii="Verdana" w:hAnsi="Verdana"/>
          <w:noProof/>
          <w:sz w:val="20"/>
        </w:rPr>
        <w:t>non-pressurised heat trans</w:t>
      </w:r>
      <w:r w:rsidR="00655F03">
        <w:rPr>
          <w:rFonts w:ascii="Verdana" w:hAnsi="Verdana"/>
          <w:noProof/>
          <w:sz w:val="20"/>
        </w:rPr>
        <w:t xml:space="preserve">fer systems. </w:t>
      </w:r>
    </w:p>
    <w:p w14:paraId="39B969F1" w14:textId="507E7A6C" w:rsidR="00921EB8" w:rsidRDefault="00921EB8" w:rsidP="00921EB8">
      <w:pPr>
        <w:pStyle w:val="Leipteksti"/>
        <w:spacing w:after="0"/>
        <w:ind w:left="-567"/>
        <w:rPr>
          <w:rFonts w:ascii="Verdana" w:hAnsi="Verdana"/>
        </w:rPr>
      </w:pPr>
    </w:p>
    <w:p w14:paraId="39B969F2" w14:textId="77777777" w:rsidR="00921EB8" w:rsidRDefault="00921EB8" w:rsidP="00921EB8">
      <w:pPr>
        <w:pStyle w:val="Leipteksti"/>
        <w:spacing w:after="0"/>
        <w:ind w:left="-567"/>
        <w:rPr>
          <w:rFonts w:ascii="Verdana" w:hAnsi="Verdana"/>
        </w:rPr>
      </w:pPr>
    </w:p>
    <w:p w14:paraId="39B969F4" w14:textId="77777777" w:rsidR="00921EB8" w:rsidRPr="00A806A7" w:rsidRDefault="00921EB8" w:rsidP="00921EB8">
      <w:pPr>
        <w:pStyle w:val="Leipteksti"/>
        <w:rPr>
          <w:rFonts w:ascii="Verdana" w:hAnsi="Verdana"/>
          <w:sz w:val="20"/>
        </w:rPr>
      </w:pPr>
    </w:p>
    <w:p w14:paraId="39B969F5" w14:textId="77777777" w:rsidR="0020328D" w:rsidRDefault="0020328D" w:rsidP="00EF327E">
      <w:pPr>
        <w:pStyle w:val="Leipteksti"/>
        <w:spacing w:after="0"/>
        <w:rPr>
          <w:rFonts w:ascii="Verdana" w:hAnsi="Verdana"/>
          <w:sz w:val="20"/>
        </w:rPr>
      </w:pPr>
    </w:p>
    <w:p w14:paraId="39B969F6" w14:textId="77777777" w:rsidR="00867E74" w:rsidRDefault="00867E74" w:rsidP="00EF327E">
      <w:pPr>
        <w:pStyle w:val="Leipteksti"/>
        <w:spacing w:after="0"/>
        <w:rPr>
          <w:rFonts w:ascii="Verdana" w:hAnsi="Verdana"/>
          <w:sz w:val="20"/>
        </w:rPr>
      </w:pPr>
    </w:p>
    <w:p w14:paraId="39B969F7" w14:textId="77777777" w:rsidR="00867E74" w:rsidRDefault="00867E74" w:rsidP="00EF327E">
      <w:pPr>
        <w:pStyle w:val="Leipteksti"/>
        <w:spacing w:after="0"/>
        <w:rPr>
          <w:rFonts w:ascii="Verdana" w:hAnsi="Verdana"/>
          <w:sz w:val="20"/>
        </w:rPr>
      </w:pPr>
    </w:p>
    <w:p w14:paraId="39B969FB" w14:textId="77777777" w:rsidR="00867E74" w:rsidRPr="00A806A7" w:rsidRDefault="00867E74" w:rsidP="00EF327E">
      <w:pPr>
        <w:pStyle w:val="Leipteksti"/>
        <w:spacing w:after="0"/>
        <w:rPr>
          <w:rFonts w:ascii="Verdana" w:hAnsi="Verdana"/>
          <w:sz w:val="20"/>
        </w:rPr>
      </w:pPr>
    </w:p>
    <w:p w14:paraId="1A78135E" w14:textId="77777777" w:rsidR="00665558" w:rsidRDefault="00665558" w:rsidP="00C00884">
      <w:pPr>
        <w:pStyle w:val="Otsikko1"/>
        <w:sectPr w:rsidR="00665558" w:rsidSect="00DE57D6">
          <w:pgSz w:w="11906" w:h="16838" w:code="9"/>
          <w:pgMar w:top="1418" w:right="1797" w:bottom="1134" w:left="1797" w:header="680" w:footer="567" w:gutter="0"/>
          <w:cols w:space="708"/>
          <w:docGrid w:linePitch="360"/>
        </w:sectPr>
      </w:pPr>
      <w:bookmarkStart w:id="16" w:name="_Toc285710602"/>
      <w:bookmarkStart w:id="17" w:name="_Toc308015314"/>
    </w:p>
    <w:p w14:paraId="39B969FC" w14:textId="71B07B53" w:rsidR="003D39FA" w:rsidRPr="003D39FA" w:rsidRDefault="00C00884" w:rsidP="00C00884">
      <w:pPr>
        <w:pStyle w:val="Otsikko1"/>
        <w:rPr>
          <w:rFonts w:ascii="Verdana" w:hAnsi="Verdana"/>
        </w:rPr>
      </w:pPr>
      <w:r w:rsidRPr="00C00884">
        <w:lastRenderedPageBreak/>
        <w:t xml:space="preserve"> </w:t>
      </w:r>
      <w:r w:rsidRPr="00C00884">
        <w:rPr>
          <w:rFonts w:ascii="Verdana" w:hAnsi="Verdana"/>
        </w:rPr>
        <w:t xml:space="preserve">OVERVIEW OF </w:t>
      </w:r>
      <w:proofErr w:type="gramStart"/>
      <w:r w:rsidRPr="00C00884">
        <w:rPr>
          <w:rFonts w:ascii="Verdana" w:hAnsi="Verdana"/>
        </w:rPr>
        <w:t>OTHER</w:t>
      </w:r>
      <w:proofErr w:type="gramEnd"/>
      <w:r w:rsidRPr="00C00884">
        <w:rPr>
          <w:rFonts w:ascii="Verdana" w:hAnsi="Verdana"/>
        </w:rPr>
        <w:t xml:space="preserve"> PROCESSES / EU LEGISLATION</w:t>
      </w:r>
      <w:r w:rsidR="00E31D69" w:rsidRPr="00E31D69">
        <w:rPr>
          <w:rFonts w:ascii="Verdana" w:hAnsi="Verdana"/>
        </w:rPr>
        <w:t xml:space="preserve"> </w:t>
      </w:r>
      <w:r w:rsidR="003D39FA" w:rsidRPr="003D39FA">
        <w:rPr>
          <w:rFonts w:ascii="Verdana" w:hAnsi="Verdana"/>
        </w:rPr>
        <w:t xml:space="preserve"> </w:t>
      </w:r>
    </w:p>
    <w:p w14:paraId="39B969FE" w14:textId="05CDEB87" w:rsidR="00BC76E2" w:rsidRPr="00CF1B60" w:rsidRDefault="000E3DC6" w:rsidP="00CF1B60">
      <w:pPr>
        <w:pStyle w:val="Kuvaotsikko"/>
        <w:ind w:left="0"/>
        <w:rPr>
          <w:rFonts w:ascii="Verdana" w:hAnsi="Verdana"/>
          <w:b/>
          <w:sz w:val="20"/>
        </w:rPr>
      </w:pPr>
      <w:r w:rsidRPr="007D2EEF">
        <w:rPr>
          <w:rFonts w:ascii="Verdana" w:hAnsi="Verdana"/>
          <w:b/>
          <w:sz w:val="20"/>
        </w:rPr>
        <w:t>Table</w:t>
      </w:r>
      <w:r w:rsidR="00E669C1">
        <w:rPr>
          <w:rFonts w:ascii="Verdana" w:hAnsi="Verdana"/>
          <w:b/>
          <w:sz w:val="20"/>
        </w:rPr>
        <w:t xml:space="preserve"> 4</w:t>
      </w:r>
      <w:r w:rsidRPr="007D2EEF">
        <w:rPr>
          <w:rFonts w:ascii="Verdana" w:hAnsi="Verdana"/>
          <w:b/>
          <w:sz w:val="20"/>
        </w:rPr>
        <w:t xml:space="preserve">:  </w:t>
      </w:r>
      <w:r w:rsidR="00D7013F" w:rsidRPr="007D2EEF">
        <w:rPr>
          <w:rFonts w:ascii="Verdana" w:hAnsi="Verdana"/>
          <w:b/>
          <w:sz w:val="20"/>
        </w:rPr>
        <w:t xml:space="preserve">Completed or ongoing </w:t>
      </w:r>
      <w:r w:rsidRPr="007D2EEF">
        <w:rPr>
          <w:rFonts w:ascii="Verdana" w:hAnsi="Verdana"/>
          <w:b/>
          <w:sz w:val="20"/>
        </w:rPr>
        <w:t>processes</w:t>
      </w:r>
    </w:p>
    <w:tbl>
      <w:tblPr>
        <w:tblStyle w:val="TaulukkoRuudukko"/>
        <w:tblW w:w="9781" w:type="dxa"/>
        <w:tblInd w:w="-572" w:type="dxa"/>
        <w:tblLayout w:type="fixed"/>
        <w:tblLook w:val="04A0" w:firstRow="1" w:lastRow="0" w:firstColumn="1" w:lastColumn="0" w:noHBand="0" w:noVBand="1"/>
      </w:tblPr>
      <w:tblGrid>
        <w:gridCol w:w="1418"/>
        <w:gridCol w:w="850"/>
        <w:gridCol w:w="2410"/>
        <w:gridCol w:w="2552"/>
        <w:gridCol w:w="2551"/>
      </w:tblGrid>
      <w:tr w:rsidR="000A270A" w:rsidRPr="00DC3C42" w14:paraId="19290137" w14:textId="7EB660CF" w:rsidTr="000A270A">
        <w:trPr>
          <w:cantSplit/>
          <w:trHeight w:val="901"/>
        </w:trPr>
        <w:tc>
          <w:tcPr>
            <w:tcW w:w="1418" w:type="dxa"/>
            <w:textDirection w:val="btLr"/>
            <w:vAlign w:val="center"/>
          </w:tcPr>
          <w:p w14:paraId="4C07A8D5" w14:textId="77777777" w:rsidR="0059175B" w:rsidRDefault="0059175B" w:rsidP="005F3A27">
            <w:pPr>
              <w:pStyle w:val="Leipteksti"/>
              <w:spacing w:after="0"/>
              <w:ind w:right="113"/>
              <w:jc w:val="center"/>
              <w:rPr>
                <w:rFonts w:ascii="Verdana" w:hAnsi="Verdana"/>
                <w:sz w:val="20"/>
              </w:rPr>
            </w:pPr>
          </w:p>
        </w:tc>
        <w:tc>
          <w:tcPr>
            <w:tcW w:w="850" w:type="dxa"/>
            <w:tcBorders>
              <w:right w:val="nil"/>
            </w:tcBorders>
            <w:shd w:val="clear" w:color="auto" w:fill="auto"/>
            <w:textDirection w:val="btLr"/>
            <w:vAlign w:val="center"/>
          </w:tcPr>
          <w:p w14:paraId="5CE4C56D" w14:textId="77777777" w:rsidR="0059175B" w:rsidRPr="009845E0" w:rsidRDefault="0059175B" w:rsidP="005F3A27">
            <w:pPr>
              <w:pStyle w:val="Leipteksti"/>
              <w:spacing w:after="0"/>
              <w:ind w:right="113"/>
              <w:jc w:val="center"/>
              <w:rPr>
                <w:rFonts w:ascii="Verdana" w:hAnsi="Verdana"/>
                <w:sz w:val="20"/>
              </w:rPr>
            </w:pPr>
          </w:p>
        </w:tc>
        <w:tc>
          <w:tcPr>
            <w:tcW w:w="2410" w:type="dxa"/>
            <w:tcBorders>
              <w:left w:val="nil"/>
            </w:tcBorders>
            <w:shd w:val="clear" w:color="auto" w:fill="auto"/>
            <w:vAlign w:val="center"/>
          </w:tcPr>
          <w:p w14:paraId="4F76BC77" w14:textId="77777777" w:rsidR="0059175B" w:rsidRDefault="0059175B" w:rsidP="005F3A27">
            <w:pPr>
              <w:pStyle w:val="Leipteksti"/>
              <w:spacing w:after="0"/>
              <w:ind w:hanging="317"/>
              <w:rPr>
                <w:rFonts w:ascii="Verdana" w:hAnsi="Verdana"/>
                <w:szCs w:val="24"/>
              </w:rPr>
            </w:pPr>
          </w:p>
        </w:tc>
        <w:tc>
          <w:tcPr>
            <w:tcW w:w="2552" w:type="dxa"/>
            <w:tcBorders>
              <w:left w:val="nil"/>
            </w:tcBorders>
          </w:tcPr>
          <w:p w14:paraId="6D16C1F8" w14:textId="77777777" w:rsidR="005F3A27" w:rsidRDefault="005F3A27" w:rsidP="005F3A27">
            <w:pPr>
              <w:spacing w:after="0"/>
              <w:rPr>
                <w:rFonts w:ascii="Verdana" w:hAnsi="Verdana"/>
                <w:sz w:val="20"/>
              </w:rPr>
            </w:pPr>
          </w:p>
          <w:p w14:paraId="33DEEC67" w14:textId="473F93D2" w:rsidR="0059175B" w:rsidRPr="00446D2F" w:rsidRDefault="00420358" w:rsidP="005F3A27">
            <w:pPr>
              <w:spacing w:after="0"/>
            </w:pPr>
            <w:r>
              <w:rPr>
                <w:rFonts w:ascii="Verdana" w:hAnsi="Verdana"/>
                <w:sz w:val="20"/>
              </w:rPr>
              <w:t xml:space="preserve">dibenzylbenzene, </w:t>
            </w:r>
            <w:proofErr w:type="spellStart"/>
            <w:r>
              <w:rPr>
                <w:rFonts w:ascii="Verdana" w:hAnsi="Verdana"/>
                <w:sz w:val="20"/>
              </w:rPr>
              <w:t>ar</w:t>
            </w:r>
            <w:proofErr w:type="spellEnd"/>
            <w:r>
              <w:rPr>
                <w:rFonts w:ascii="Verdana" w:hAnsi="Verdana"/>
                <w:sz w:val="20"/>
              </w:rPr>
              <w:t xml:space="preserve">-methyl </w:t>
            </w:r>
            <w:proofErr w:type="spellStart"/>
            <w:r w:rsidR="00B57F3A">
              <w:rPr>
                <w:rFonts w:ascii="Verdana" w:hAnsi="Verdana"/>
                <w:sz w:val="20"/>
                <w:szCs w:val="20"/>
              </w:rPr>
              <w:t>erivative</w:t>
            </w:r>
            <w:proofErr w:type="spellEnd"/>
          </w:p>
        </w:tc>
        <w:tc>
          <w:tcPr>
            <w:tcW w:w="2551" w:type="dxa"/>
            <w:tcBorders>
              <w:left w:val="nil"/>
            </w:tcBorders>
            <w:vAlign w:val="center"/>
          </w:tcPr>
          <w:p w14:paraId="35ACE507" w14:textId="2031A402" w:rsidR="0059175B" w:rsidRPr="006C6BB5" w:rsidRDefault="00D915ED" w:rsidP="005F3A27">
            <w:pPr>
              <w:spacing w:after="0"/>
              <w:rPr>
                <w:rFonts w:ascii="Verdana" w:hAnsi="Verdana" w:cs="Arial"/>
                <w:sz w:val="20"/>
                <w:szCs w:val="20"/>
              </w:rPr>
            </w:pPr>
            <w:r w:rsidRPr="00D915ED">
              <w:rPr>
                <w:rFonts w:ascii="Verdana" w:hAnsi="Verdana" w:cs="Arial"/>
                <w:sz w:val="20"/>
                <w:szCs w:val="20"/>
              </w:rPr>
              <w:t>6-(1-phenylethyl)-1,2,3,4-tetrahydronaphthalene</w:t>
            </w:r>
          </w:p>
        </w:tc>
      </w:tr>
      <w:tr w:rsidR="000A270A" w:rsidRPr="00DC3C42" w14:paraId="39B96A02" w14:textId="29BA7162" w:rsidTr="000A270A">
        <w:trPr>
          <w:cantSplit/>
          <w:trHeight w:val="901"/>
        </w:trPr>
        <w:tc>
          <w:tcPr>
            <w:tcW w:w="1418" w:type="dxa"/>
            <w:textDirection w:val="btLr"/>
            <w:vAlign w:val="center"/>
          </w:tcPr>
          <w:p w14:paraId="39B969FF" w14:textId="77777777" w:rsidR="000A270A" w:rsidRPr="00D06EB3" w:rsidRDefault="000A270A" w:rsidP="000A270A">
            <w:pPr>
              <w:pStyle w:val="Leipteksti"/>
              <w:spacing w:before="120" w:after="0"/>
              <w:ind w:right="113"/>
              <w:jc w:val="center"/>
              <w:rPr>
                <w:rFonts w:ascii="Verdana" w:hAnsi="Verdana"/>
                <w:sz w:val="20"/>
              </w:rPr>
            </w:pPr>
            <w:r>
              <w:rPr>
                <w:rFonts w:ascii="Verdana" w:hAnsi="Verdana"/>
                <w:sz w:val="20"/>
              </w:rPr>
              <w:t>RMOA</w:t>
            </w:r>
          </w:p>
        </w:tc>
        <w:tc>
          <w:tcPr>
            <w:tcW w:w="850" w:type="dxa"/>
            <w:tcBorders>
              <w:right w:val="nil"/>
            </w:tcBorders>
            <w:shd w:val="clear" w:color="auto" w:fill="auto"/>
            <w:textDirection w:val="btLr"/>
            <w:vAlign w:val="center"/>
          </w:tcPr>
          <w:p w14:paraId="39B96A00" w14:textId="77777777" w:rsidR="000A270A" w:rsidRPr="009845E0" w:rsidRDefault="000A270A" w:rsidP="000A270A">
            <w:pPr>
              <w:pStyle w:val="Leipteksti"/>
              <w:spacing w:before="120" w:after="0"/>
              <w:ind w:right="113"/>
              <w:jc w:val="center"/>
              <w:rPr>
                <w:rFonts w:ascii="Verdana" w:hAnsi="Verdana"/>
                <w:sz w:val="20"/>
              </w:rPr>
            </w:pPr>
          </w:p>
        </w:tc>
        <w:tc>
          <w:tcPr>
            <w:tcW w:w="2410" w:type="dxa"/>
            <w:tcBorders>
              <w:left w:val="nil"/>
            </w:tcBorders>
            <w:shd w:val="clear" w:color="auto" w:fill="auto"/>
            <w:vAlign w:val="center"/>
          </w:tcPr>
          <w:p w14:paraId="39B96A01" w14:textId="4DDCBAA5" w:rsidR="000A270A" w:rsidRPr="00404EE1" w:rsidRDefault="000A270A" w:rsidP="000A270A">
            <w:pPr>
              <w:pStyle w:val="Leipteksti"/>
              <w:spacing w:before="120" w:after="0"/>
              <w:jc w:val="left"/>
              <w:rPr>
                <w:rFonts w:ascii="Verdana" w:hAnsi="Verdana"/>
                <w:sz w:val="20"/>
              </w:rPr>
            </w:pPr>
            <w:r>
              <w:rPr>
                <w:rFonts w:ascii="Verdana" w:hAnsi="Verdana"/>
                <w:sz w:val="20"/>
              </w:rPr>
              <w:t>Risk Manage</w:t>
            </w:r>
            <w:r w:rsidRPr="00C220E5">
              <w:rPr>
                <w:rFonts w:ascii="Verdana" w:hAnsi="Verdana"/>
                <w:sz w:val="20"/>
              </w:rPr>
              <w:t xml:space="preserve">ment Option Analysis </w:t>
            </w:r>
            <w:r>
              <w:rPr>
                <w:rFonts w:ascii="Verdana" w:hAnsi="Verdana"/>
                <w:sz w:val="20"/>
              </w:rPr>
              <w:t>(RMOA) other than this RMOA</w:t>
            </w:r>
          </w:p>
        </w:tc>
        <w:tc>
          <w:tcPr>
            <w:tcW w:w="2552" w:type="dxa"/>
            <w:tcBorders>
              <w:left w:val="nil"/>
            </w:tcBorders>
          </w:tcPr>
          <w:p w14:paraId="42BA55C0" w14:textId="76133BBB" w:rsidR="000A270A" w:rsidRDefault="004953A7" w:rsidP="000A270A">
            <w:pPr>
              <w:pStyle w:val="Leipteksti"/>
              <w:spacing w:before="120" w:after="0"/>
              <w:ind w:left="317" w:hanging="317"/>
              <w:jc w:val="left"/>
              <w:rPr>
                <w:rFonts w:ascii="Verdana" w:hAnsi="Verdana"/>
                <w:szCs w:val="24"/>
              </w:rPr>
            </w:pPr>
            <w:sdt>
              <w:sdtPr>
                <w:rPr>
                  <w:rFonts w:ascii="Verdana" w:hAnsi="Verdana"/>
                  <w:szCs w:val="24"/>
                </w:rPr>
                <w:id w:val="169693930"/>
                <w14:checkbox>
                  <w14:checked w14:val="0"/>
                  <w14:checkedState w14:val="2612" w14:font="MS Gothic"/>
                  <w14:uncheckedState w14:val="2610" w14:font="MS Gothic"/>
                </w14:checkbox>
              </w:sdtPr>
              <w:sdtEndPr/>
              <w:sdtContent>
                <w:r w:rsidR="000A270A">
                  <w:rPr>
                    <w:rFonts w:ascii="MS Gothic" w:eastAsia="MS Gothic" w:hAnsi="MS Gothic" w:hint="eastAsia"/>
                    <w:szCs w:val="24"/>
                  </w:rPr>
                  <w:t>☐</w:t>
                </w:r>
              </w:sdtContent>
            </w:sdt>
          </w:p>
        </w:tc>
        <w:tc>
          <w:tcPr>
            <w:tcW w:w="2551" w:type="dxa"/>
            <w:tcBorders>
              <w:left w:val="nil"/>
            </w:tcBorders>
          </w:tcPr>
          <w:p w14:paraId="709C7458" w14:textId="5B92D628" w:rsidR="000A270A" w:rsidRDefault="004953A7" w:rsidP="000A270A">
            <w:pPr>
              <w:pStyle w:val="Leipteksti"/>
              <w:spacing w:before="120" w:after="0"/>
              <w:ind w:left="317" w:hanging="317"/>
              <w:rPr>
                <w:rFonts w:ascii="Verdana" w:hAnsi="Verdana"/>
                <w:szCs w:val="24"/>
              </w:rPr>
            </w:pPr>
            <w:sdt>
              <w:sdtPr>
                <w:rPr>
                  <w:rFonts w:ascii="Verdana" w:hAnsi="Verdana"/>
                  <w:szCs w:val="24"/>
                </w:rPr>
                <w:id w:val="-451635953"/>
                <w14:checkbox>
                  <w14:checked w14:val="0"/>
                  <w14:checkedState w14:val="2612" w14:font="MS Gothic"/>
                  <w14:uncheckedState w14:val="2610" w14:font="MS Gothic"/>
                </w14:checkbox>
              </w:sdtPr>
              <w:sdtEndPr/>
              <w:sdtContent>
                <w:r w:rsidR="000A270A">
                  <w:rPr>
                    <w:rFonts w:ascii="MS Gothic" w:eastAsia="MS Gothic" w:hAnsi="MS Gothic" w:hint="eastAsia"/>
                    <w:szCs w:val="24"/>
                  </w:rPr>
                  <w:t>☐</w:t>
                </w:r>
              </w:sdtContent>
            </w:sdt>
          </w:p>
        </w:tc>
      </w:tr>
      <w:tr w:rsidR="000A270A" w:rsidRPr="00DC3C42" w14:paraId="39B96A06" w14:textId="4D47C76B" w:rsidTr="000A270A">
        <w:trPr>
          <w:cantSplit/>
          <w:trHeight w:val="559"/>
        </w:trPr>
        <w:tc>
          <w:tcPr>
            <w:tcW w:w="1418" w:type="dxa"/>
            <w:vMerge w:val="restart"/>
            <w:textDirection w:val="btLr"/>
            <w:vAlign w:val="center"/>
          </w:tcPr>
          <w:p w14:paraId="39B96A03" w14:textId="77777777" w:rsidR="000A270A" w:rsidRPr="00D06EB3" w:rsidRDefault="000A270A" w:rsidP="000A270A">
            <w:pPr>
              <w:pStyle w:val="Leipteksti"/>
              <w:spacing w:before="120" w:after="0"/>
              <w:ind w:right="113"/>
              <w:jc w:val="center"/>
              <w:rPr>
                <w:rFonts w:ascii="Verdana" w:hAnsi="Verdana"/>
                <w:sz w:val="20"/>
              </w:rPr>
            </w:pPr>
            <w:r>
              <w:rPr>
                <w:rFonts w:ascii="Verdana" w:hAnsi="Verdana"/>
                <w:sz w:val="20"/>
              </w:rPr>
              <w:t>REACH</w:t>
            </w:r>
            <w:r w:rsidRPr="00D06EB3">
              <w:rPr>
                <w:rFonts w:ascii="Verdana" w:hAnsi="Verdana"/>
                <w:sz w:val="20"/>
              </w:rPr>
              <w:t xml:space="preserve"> Processes</w:t>
            </w:r>
          </w:p>
        </w:tc>
        <w:tc>
          <w:tcPr>
            <w:tcW w:w="850" w:type="dxa"/>
            <w:vMerge w:val="restart"/>
            <w:textDirection w:val="btLr"/>
            <w:vAlign w:val="center"/>
          </w:tcPr>
          <w:p w14:paraId="39B96A04" w14:textId="77777777" w:rsidR="000A270A" w:rsidRPr="009845E0" w:rsidRDefault="000A270A" w:rsidP="000A270A">
            <w:pPr>
              <w:pStyle w:val="Leipteksti"/>
              <w:spacing w:before="120" w:after="0"/>
              <w:ind w:right="113"/>
              <w:jc w:val="center"/>
              <w:rPr>
                <w:rFonts w:ascii="Verdana" w:hAnsi="Verdana"/>
                <w:sz w:val="20"/>
              </w:rPr>
            </w:pPr>
            <w:r w:rsidRPr="00E813C2">
              <w:rPr>
                <w:rFonts w:ascii="Verdana" w:hAnsi="Verdana"/>
                <w:sz w:val="20"/>
              </w:rPr>
              <w:t>Evaluation</w:t>
            </w:r>
          </w:p>
        </w:tc>
        <w:tc>
          <w:tcPr>
            <w:tcW w:w="2410" w:type="dxa"/>
            <w:vAlign w:val="center"/>
          </w:tcPr>
          <w:p w14:paraId="39B96A05" w14:textId="7703939C" w:rsidR="000A270A" w:rsidRPr="00404EE1" w:rsidRDefault="000A270A" w:rsidP="000A270A">
            <w:pPr>
              <w:pStyle w:val="Leipteksti"/>
              <w:spacing w:before="120" w:after="0"/>
              <w:rPr>
                <w:rFonts w:ascii="Verdana" w:hAnsi="Verdana"/>
                <w:sz w:val="20"/>
              </w:rPr>
            </w:pPr>
            <w:r w:rsidRPr="00404EE1">
              <w:rPr>
                <w:rFonts w:ascii="Verdana" w:hAnsi="Verdana"/>
                <w:sz w:val="20"/>
              </w:rPr>
              <w:t>Compliance check, Final decision</w:t>
            </w:r>
          </w:p>
        </w:tc>
        <w:tc>
          <w:tcPr>
            <w:tcW w:w="2552" w:type="dxa"/>
          </w:tcPr>
          <w:p w14:paraId="6769C4AE" w14:textId="29DBD5B7" w:rsidR="000A270A" w:rsidRDefault="004953A7" w:rsidP="000A270A">
            <w:pPr>
              <w:pStyle w:val="Leipteksti"/>
              <w:tabs>
                <w:tab w:val="left" w:pos="2504"/>
              </w:tabs>
              <w:spacing w:before="120" w:after="0"/>
              <w:rPr>
                <w:rFonts w:ascii="Verdana" w:hAnsi="Verdana"/>
                <w:szCs w:val="24"/>
              </w:rPr>
            </w:pPr>
            <w:sdt>
              <w:sdtPr>
                <w:rPr>
                  <w:rFonts w:ascii="Verdana" w:hAnsi="Verdana"/>
                  <w:szCs w:val="24"/>
                </w:rPr>
                <w:id w:val="2124187997"/>
                <w14:checkbox>
                  <w14:checked w14:val="1"/>
                  <w14:checkedState w14:val="2612" w14:font="MS Gothic"/>
                  <w14:uncheckedState w14:val="2610" w14:font="MS Gothic"/>
                </w14:checkbox>
              </w:sdtPr>
              <w:sdtEndPr/>
              <w:sdtContent>
                <w:r w:rsidR="000A270A">
                  <w:rPr>
                    <w:rFonts w:ascii="MS Gothic" w:eastAsia="MS Gothic" w:hAnsi="MS Gothic" w:hint="eastAsia"/>
                    <w:szCs w:val="24"/>
                  </w:rPr>
                  <w:t>☒</w:t>
                </w:r>
              </w:sdtContent>
            </w:sdt>
            <w:r w:rsidR="000A270A">
              <w:rPr>
                <w:rFonts w:ascii="Verdana" w:hAnsi="Verdana"/>
                <w:szCs w:val="24"/>
              </w:rPr>
              <w:tab/>
            </w:r>
          </w:p>
          <w:p w14:paraId="4C64BD39" w14:textId="1C92898C" w:rsidR="000A270A" w:rsidRPr="00446D2F" w:rsidRDefault="000A270A" w:rsidP="000A270A">
            <w:pPr>
              <w:pStyle w:val="Leipteksti"/>
              <w:tabs>
                <w:tab w:val="left" w:pos="2504"/>
              </w:tabs>
              <w:spacing w:before="120" w:after="0"/>
              <w:rPr>
                <w:rFonts w:ascii="Verdana" w:hAnsi="Verdana"/>
                <w:sz w:val="20"/>
              </w:rPr>
            </w:pPr>
            <w:r w:rsidRPr="00446D2F">
              <w:rPr>
                <w:rFonts w:ascii="Verdana" w:hAnsi="Verdana"/>
                <w:sz w:val="20"/>
              </w:rPr>
              <w:t>Decision of 9 July 2018</w:t>
            </w:r>
            <w:r w:rsidRPr="00446D2F">
              <w:rPr>
                <w:rStyle w:val="Alaviitteenviite"/>
                <w:rFonts w:ascii="Verdana" w:hAnsi="Verdana"/>
                <w:sz w:val="20"/>
              </w:rPr>
              <w:footnoteReference w:id="4"/>
            </w:r>
            <w:r w:rsidRPr="00446D2F">
              <w:rPr>
                <w:rFonts w:ascii="Verdana" w:hAnsi="Verdana"/>
                <w:sz w:val="20"/>
              </w:rPr>
              <w:t>: a request submitted according to Article 41</w:t>
            </w:r>
          </w:p>
        </w:tc>
        <w:tc>
          <w:tcPr>
            <w:tcW w:w="2551" w:type="dxa"/>
          </w:tcPr>
          <w:p w14:paraId="55BA38F3" w14:textId="011D481E" w:rsidR="000A270A" w:rsidRDefault="004953A7" w:rsidP="000A270A">
            <w:pPr>
              <w:pStyle w:val="Leipteksti"/>
              <w:spacing w:before="120" w:after="0"/>
              <w:rPr>
                <w:rFonts w:ascii="Verdana" w:hAnsi="Verdana"/>
                <w:szCs w:val="24"/>
              </w:rPr>
            </w:pPr>
            <w:sdt>
              <w:sdtPr>
                <w:rPr>
                  <w:rFonts w:ascii="Verdana" w:hAnsi="Verdana"/>
                  <w:szCs w:val="24"/>
                </w:rPr>
                <w:id w:val="1306281224"/>
                <w14:checkbox>
                  <w14:checked w14:val="0"/>
                  <w14:checkedState w14:val="2612" w14:font="MS Gothic"/>
                  <w14:uncheckedState w14:val="2610" w14:font="MS Gothic"/>
                </w14:checkbox>
              </w:sdtPr>
              <w:sdtEndPr/>
              <w:sdtContent>
                <w:r w:rsidR="000A270A">
                  <w:rPr>
                    <w:rFonts w:ascii="MS Gothic" w:eastAsia="MS Gothic" w:hAnsi="MS Gothic" w:hint="eastAsia"/>
                    <w:szCs w:val="24"/>
                  </w:rPr>
                  <w:t>☐</w:t>
                </w:r>
              </w:sdtContent>
            </w:sdt>
          </w:p>
        </w:tc>
      </w:tr>
      <w:tr w:rsidR="000A270A" w:rsidRPr="00DC3C42" w14:paraId="39B96A0A" w14:textId="1A3F4E93" w:rsidTr="000A270A">
        <w:trPr>
          <w:cantSplit/>
          <w:trHeight w:val="553"/>
        </w:trPr>
        <w:tc>
          <w:tcPr>
            <w:tcW w:w="1418" w:type="dxa"/>
            <w:vMerge/>
            <w:textDirection w:val="btLr"/>
            <w:vAlign w:val="center"/>
          </w:tcPr>
          <w:p w14:paraId="39B96A07" w14:textId="77777777" w:rsidR="000A270A" w:rsidRPr="00D06EB3" w:rsidRDefault="000A270A" w:rsidP="000A270A">
            <w:pPr>
              <w:pStyle w:val="Leipteksti"/>
              <w:spacing w:before="120" w:after="0"/>
              <w:ind w:right="113"/>
              <w:jc w:val="center"/>
              <w:rPr>
                <w:rFonts w:ascii="Verdana" w:hAnsi="Verdana"/>
                <w:sz w:val="20"/>
              </w:rPr>
            </w:pPr>
          </w:p>
        </w:tc>
        <w:tc>
          <w:tcPr>
            <w:tcW w:w="850" w:type="dxa"/>
            <w:vMerge/>
            <w:textDirection w:val="btLr"/>
            <w:vAlign w:val="center"/>
          </w:tcPr>
          <w:p w14:paraId="39B96A08" w14:textId="77777777" w:rsidR="000A270A" w:rsidRPr="009845E0" w:rsidRDefault="000A270A" w:rsidP="000A270A">
            <w:pPr>
              <w:pStyle w:val="Leipteksti"/>
              <w:spacing w:before="120" w:after="0"/>
              <w:ind w:right="113"/>
              <w:jc w:val="center"/>
              <w:rPr>
                <w:rFonts w:ascii="Verdana" w:hAnsi="Verdana"/>
                <w:sz w:val="20"/>
              </w:rPr>
            </w:pPr>
          </w:p>
        </w:tc>
        <w:tc>
          <w:tcPr>
            <w:tcW w:w="2410" w:type="dxa"/>
            <w:vAlign w:val="center"/>
          </w:tcPr>
          <w:p w14:paraId="39B96A09" w14:textId="77BF5234" w:rsidR="000A270A" w:rsidRPr="00404EE1" w:rsidRDefault="000A270A" w:rsidP="000A270A">
            <w:pPr>
              <w:pStyle w:val="Leipteksti"/>
              <w:spacing w:before="120" w:after="0"/>
              <w:rPr>
                <w:rFonts w:ascii="Verdana" w:hAnsi="Verdana"/>
                <w:sz w:val="20"/>
              </w:rPr>
            </w:pPr>
            <w:r w:rsidRPr="00404EE1">
              <w:rPr>
                <w:rFonts w:ascii="Verdana" w:hAnsi="Verdana"/>
                <w:sz w:val="20"/>
              </w:rPr>
              <w:t>Testing proposal</w:t>
            </w:r>
          </w:p>
        </w:tc>
        <w:tc>
          <w:tcPr>
            <w:tcW w:w="2552" w:type="dxa"/>
          </w:tcPr>
          <w:p w14:paraId="1DCA2EA7" w14:textId="0B768E44" w:rsidR="000A270A" w:rsidRDefault="004953A7" w:rsidP="000A270A">
            <w:pPr>
              <w:pStyle w:val="Leipteksti"/>
              <w:spacing w:before="120" w:after="0"/>
              <w:jc w:val="left"/>
              <w:rPr>
                <w:rFonts w:ascii="Verdana" w:hAnsi="Verdana"/>
                <w:szCs w:val="24"/>
              </w:rPr>
            </w:pPr>
            <w:sdt>
              <w:sdtPr>
                <w:rPr>
                  <w:rFonts w:ascii="Verdana" w:hAnsi="Verdana"/>
                  <w:szCs w:val="24"/>
                </w:rPr>
                <w:id w:val="-1257897845"/>
                <w14:checkbox>
                  <w14:checked w14:val="0"/>
                  <w14:checkedState w14:val="2612" w14:font="MS Gothic"/>
                  <w14:uncheckedState w14:val="2610" w14:font="MS Gothic"/>
                </w14:checkbox>
              </w:sdtPr>
              <w:sdtEndPr/>
              <w:sdtContent>
                <w:r w:rsidR="000A270A">
                  <w:rPr>
                    <w:rFonts w:ascii="MS Gothic" w:eastAsia="MS Gothic" w:hAnsi="MS Gothic" w:hint="eastAsia"/>
                    <w:szCs w:val="24"/>
                  </w:rPr>
                  <w:t>☐</w:t>
                </w:r>
              </w:sdtContent>
            </w:sdt>
          </w:p>
        </w:tc>
        <w:tc>
          <w:tcPr>
            <w:tcW w:w="2551" w:type="dxa"/>
          </w:tcPr>
          <w:p w14:paraId="09B60BA3" w14:textId="274007C0" w:rsidR="000A270A" w:rsidRDefault="004953A7" w:rsidP="000A270A">
            <w:pPr>
              <w:pStyle w:val="Leipteksti"/>
              <w:spacing w:before="120" w:after="0"/>
              <w:rPr>
                <w:rFonts w:ascii="Verdana" w:hAnsi="Verdana"/>
                <w:szCs w:val="24"/>
              </w:rPr>
            </w:pPr>
            <w:sdt>
              <w:sdtPr>
                <w:rPr>
                  <w:rFonts w:ascii="Verdana" w:hAnsi="Verdana"/>
                  <w:szCs w:val="24"/>
                </w:rPr>
                <w:id w:val="-1132943955"/>
                <w14:checkbox>
                  <w14:checked w14:val="0"/>
                  <w14:checkedState w14:val="2612" w14:font="MS Gothic"/>
                  <w14:uncheckedState w14:val="2610" w14:font="MS Gothic"/>
                </w14:checkbox>
              </w:sdtPr>
              <w:sdtEndPr/>
              <w:sdtContent>
                <w:r w:rsidR="000A270A">
                  <w:rPr>
                    <w:rFonts w:ascii="MS Gothic" w:eastAsia="MS Gothic" w:hAnsi="MS Gothic" w:hint="eastAsia"/>
                    <w:szCs w:val="24"/>
                  </w:rPr>
                  <w:t>☐</w:t>
                </w:r>
              </w:sdtContent>
            </w:sdt>
          </w:p>
        </w:tc>
      </w:tr>
      <w:tr w:rsidR="000A270A" w:rsidRPr="00DC3C42" w14:paraId="39B96A0E" w14:textId="528069CD" w:rsidTr="000A270A">
        <w:trPr>
          <w:cantSplit/>
          <w:trHeight w:val="561"/>
        </w:trPr>
        <w:tc>
          <w:tcPr>
            <w:tcW w:w="1418" w:type="dxa"/>
            <w:vMerge/>
            <w:textDirection w:val="btLr"/>
            <w:vAlign w:val="center"/>
          </w:tcPr>
          <w:p w14:paraId="39B96A0B" w14:textId="77777777" w:rsidR="000A270A" w:rsidRPr="00D06EB3" w:rsidRDefault="000A270A" w:rsidP="000A270A">
            <w:pPr>
              <w:pStyle w:val="Leipteksti"/>
              <w:spacing w:before="120" w:after="0"/>
              <w:ind w:right="113"/>
              <w:jc w:val="center"/>
              <w:rPr>
                <w:rFonts w:ascii="Verdana" w:hAnsi="Verdana"/>
                <w:sz w:val="20"/>
              </w:rPr>
            </w:pPr>
          </w:p>
        </w:tc>
        <w:tc>
          <w:tcPr>
            <w:tcW w:w="850" w:type="dxa"/>
            <w:vMerge/>
            <w:textDirection w:val="btLr"/>
            <w:vAlign w:val="center"/>
          </w:tcPr>
          <w:p w14:paraId="39B96A0C" w14:textId="77777777" w:rsidR="000A270A" w:rsidRPr="009845E0" w:rsidRDefault="000A270A" w:rsidP="000A270A">
            <w:pPr>
              <w:pStyle w:val="Leipteksti"/>
              <w:spacing w:before="120" w:after="0"/>
              <w:ind w:right="113"/>
              <w:jc w:val="center"/>
              <w:rPr>
                <w:rFonts w:ascii="Verdana" w:hAnsi="Verdana"/>
                <w:sz w:val="20"/>
              </w:rPr>
            </w:pPr>
          </w:p>
        </w:tc>
        <w:tc>
          <w:tcPr>
            <w:tcW w:w="2410" w:type="dxa"/>
            <w:vAlign w:val="center"/>
          </w:tcPr>
          <w:p w14:paraId="39B96A0D" w14:textId="36D96D20" w:rsidR="000A270A" w:rsidRPr="00404EE1" w:rsidRDefault="000A270A" w:rsidP="000A270A">
            <w:pPr>
              <w:pStyle w:val="Leipteksti"/>
              <w:spacing w:before="120" w:after="0"/>
              <w:rPr>
                <w:rFonts w:ascii="Verdana" w:hAnsi="Verdana"/>
                <w:sz w:val="20"/>
              </w:rPr>
            </w:pPr>
            <w:proofErr w:type="spellStart"/>
            <w:r>
              <w:rPr>
                <w:rFonts w:ascii="Verdana" w:hAnsi="Verdana"/>
                <w:sz w:val="20"/>
              </w:rPr>
              <w:t>CoRAP</w:t>
            </w:r>
            <w:proofErr w:type="spellEnd"/>
            <w:r>
              <w:rPr>
                <w:rFonts w:ascii="Verdana" w:hAnsi="Verdana"/>
                <w:sz w:val="20"/>
              </w:rPr>
              <w:t xml:space="preserve"> and Substance Evaluation</w:t>
            </w:r>
          </w:p>
        </w:tc>
        <w:tc>
          <w:tcPr>
            <w:tcW w:w="2552" w:type="dxa"/>
          </w:tcPr>
          <w:p w14:paraId="6CB4FC46" w14:textId="515F18A4" w:rsidR="000A270A" w:rsidRDefault="004953A7" w:rsidP="000A270A">
            <w:pPr>
              <w:pStyle w:val="Leipteksti"/>
              <w:spacing w:before="120" w:after="0"/>
              <w:rPr>
                <w:rFonts w:ascii="Verdana" w:hAnsi="Verdana"/>
                <w:szCs w:val="24"/>
              </w:rPr>
            </w:pPr>
            <w:sdt>
              <w:sdtPr>
                <w:rPr>
                  <w:rFonts w:ascii="Verdana" w:hAnsi="Verdana"/>
                  <w:szCs w:val="24"/>
                </w:rPr>
                <w:id w:val="-2005964895"/>
                <w14:checkbox>
                  <w14:checked w14:val="0"/>
                  <w14:checkedState w14:val="2612" w14:font="MS Gothic"/>
                  <w14:uncheckedState w14:val="2610" w14:font="MS Gothic"/>
                </w14:checkbox>
              </w:sdtPr>
              <w:sdtEndPr/>
              <w:sdtContent>
                <w:r w:rsidR="000A270A">
                  <w:rPr>
                    <w:rFonts w:ascii="MS Gothic" w:eastAsia="MS Gothic" w:hAnsi="MS Gothic" w:hint="eastAsia"/>
                    <w:szCs w:val="24"/>
                  </w:rPr>
                  <w:t>☐</w:t>
                </w:r>
              </w:sdtContent>
            </w:sdt>
          </w:p>
        </w:tc>
        <w:tc>
          <w:tcPr>
            <w:tcW w:w="2551" w:type="dxa"/>
          </w:tcPr>
          <w:p w14:paraId="2367B990" w14:textId="50D2DB68" w:rsidR="000A270A" w:rsidRDefault="004953A7" w:rsidP="000A270A">
            <w:pPr>
              <w:pStyle w:val="Leipteksti"/>
              <w:spacing w:before="120" w:after="0"/>
              <w:rPr>
                <w:rFonts w:ascii="Verdana" w:hAnsi="Verdana"/>
                <w:szCs w:val="24"/>
              </w:rPr>
            </w:pPr>
            <w:sdt>
              <w:sdtPr>
                <w:rPr>
                  <w:rFonts w:ascii="Verdana" w:hAnsi="Verdana"/>
                  <w:szCs w:val="24"/>
                </w:rPr>
                <w:id w:val="-1125390683"/>
                <w14:checkbox>
                  <w14:checked w14:val="0"/>
                  <w14:checkedState w14:val="2612" w14:font="MS Gothic"/>
                  <w14:uncheckedState w14:val="2610" w14:font="MS Gothic"/>
                </w14:checkbox>
              </w:sdtPr>
              <w:sdtEndPr/>
              <w:sdtContent>
                <w:r w:rsidR="000A270A">
                  <w:rPr>
                    <w:rFonts w:ascii="MS Gothic" w:eastAsia="MS Gothic" w:hAnsi="MS Gothic" w:hint="eastAsia"/>
                    <w:szCs w:val="24"/>
                  </w:rPr>
                  <w:t>☐</w:t>
                </w:r>
              </w:sdtContent>
            </w:sdt>
          </w:p>
        </w:tc>
      </w:tr>
      <w:tr w:rsidR="000A270A" w:rsidRPr="00DC3C42" w14:paraId="39B96A12" w14:textId="484BB63F" w:rsidTr="000A270A">
        <w:trPr>
          <w:cantSplit/>
          <w:trHeight w:val="838"/>
        </w:trPr>
        <w:tc>
          <w:tcPr>
            <w:tcW w:w="1418" w:type="dxa"/>
            <w:vMerge/>
            <w:textDirection w:val="btLr"/>
            <w:vAlign w:val="center"/>
          </w:tcPr>
          <w:p w14:paraId="39B96A0F" w14:textId="77777777" w:rsidR="000A270A" w:rsidRPr="00D06EB3" w:rsidRDefault="000A270A" w:rsidP="000A270A">
            <w:pPr>
              <w:pStyle w:val="Leipteksti"/>
              <w:spacing w:before="120" w:after="0"/>
              <w:ind w:right="113"/>
              <w:jc w:val="center"/>
              <w:rPr>
                <w:rFonts w:ascii="Verdana" w:hAnsi="Verdana"/>
                <w:sz w:val="20"/>
              </w:rPr>
            </w:pPr>
          </w:p>
        </w:tc>
        <w:tc>
          <w:tcPr>
            <w:tcW w:w="850" w:type="dxa"/>
            <w:vMerge w:val="restart"/>
            <w:textDirection w:val="btLr"/>
            <w:vAlign w:val="center"/>
          </w:tcPr>
          <w:p w14:paraId="39B96A10" w14:textId="77777777" w:rsidR="000A270A" w:rsidRPr="00D06EB3" w:rsidRDefault="000A270A" w:rsidP="000A270A">
            <w:pPr>
              <w:pStyle w:val="Leipteksti"/>
              <w:spacing w:before="120" w:after="0"/>
              <w:ind w:right="113"/>
              <w:jc w:val="center"/>
              <w:rPr>
                <w:rFonts w:ascii="Verdana" w:hAnsi="Verdana"/>
                <w:sz w:val="20"/>
              </w:rPr>
            </w:pPr>
            <w:r w:rsidRPr="009845E0">
              <w:rPr>
                <w:rFonts w:ascii="Verdana" w:hAnsi="Verdana"/>
                <w:sz w:val="20"/>
              </w:rPr>
              <w:t>Authori</w:t>
            </w:r>
            <w:r>
              <w:rPr>
                <w:rFonts w:ascii="Verdana" w:hAnsi="Verdana"/>
                <w:sz w:val="20"/>
              </w:rPr>
              <w:t>s</w:t>
            </w:r>
            <w:r w:rsidRPr="009845E0">
              <w:rPr>
                <w:rFonts w:ascii="Verdana" w:hAnsi="Verdana"/>
                <w:sz w:val="20"/>
              </w:rPr>
              <w:t>ation</w:t>
            </w:r>
          </w:p>
        </w:tc>
        <w:tc>
          <w:tcPr>
            <w:tcW w:w="2410" w:type="dxa"/>
            <w:vAlign w:val="center"/>
          </w:tcPr>
          <w:p w14:paraId="39B96A11" w14:textId="3CDDFCE7" w:rsidR="000A270A" w:rsidRPr="00404EE1" w:rsidRDefault="000A270A" w:rsidP="000A270A">
            <w:pPr>
              <w:pStyle w:val="Leipteksti"/>
              <w:spacing w:before="120" w:after="0"/>
              <w:rPr>
                <w:rFonts w:ascii="Verdana" w:hAnsi="Verdana"/>
                <w:sz w:val="20"/>
              </w:rPr>
            </w:pPr>
            <w:r w:rsidRPr="009845E0">
              <w:rPr>
                <w:rFonts w:ascii="Verdana" w:hAnsi="Verdana"/>
                <w:sz w:val="20"/>
              </w:rPr>
              <w:t>Candidate List</w:t>
            </w:r>
          </w:p>
        </w:tc>
        <w:tc>
          <w:tcPr>
            <w:tcW w:w="2552" w:type="dxa"/>
          </w:tcPr>
          <w:p w14:paraId="4D4C94E6" w14:textId="69A0150A" w:rsidR="000A270A" w:rsidRDefault="004953A7" w:rsidP="000A270A">
            <w:pPr>
              <w:pStyle w:val="Leipteksti"/>
              <w:spacing w:before="120" w:after="0"/>
              <w:rPr>
                <w:rFonts w:ascii="Verdana" w:hAnsi="Verdana"/>
                <w:szCs w:val="24"/>
              </w:rPr>
            </w:pPr>
            <w:sdt>
              <w:sdtPr>
                <w:rPr>
                  <w:rFonts w:ascii="Verdana" w:hAnsi="Verdana"/>
                  <w:szCs w:val="24"/>
                </w:rPr>
                <w:id w:val="-404770793"/>
                <w14:checkbox>
                  <w14:checked w14:val="0"/>
                  <w14:checkedState w14:val="2612" w14:font="MS Gothic"/>
                  <w14:uncheckedState w14:val="2610" w14:font="MS Gothic"/>
                </w14:checkbox>
              </w:sdtPr>
              <w:sdtEndPr/>
              <w:sdtContent>
                <w:r w:rsidR="000A270A">
                  <w:rPr>
                    <w:rFonts w:ascii="MS Gothic" w:eastAsia="MS Gothic" w:hAnsi="MS Gothic" w:hint="eastAsia"/>
                    <w:szCs w:val="24"/>
                  </w:rPr>
                  <w:t>☐</w:t>
                </w:r>
              </w:sdtContent>
            </w:sdt>
          </w:p>
        </w:tc>
        <w:tc>
          <w:tcPr>
            <w:tcW w:w="2551" w:type="dxa"/>
          </w:tcPr>
          <w:p w14:paraId="1B9B643C" w14:textId="31FDA34E" w:rsidR="000A270A" w:rsidRDefault="004953A7" w:rsidP="000A270A">
            <w:pPr>
              <w:pStyle w:val="Leipteksti"/>
              <w:spacing w:before="120" w:after="0"/>
              <w:rPr>
                <w:rFonts w:ascii="Verdana" w:hAnsi="Verdana"/>
                <w:szCs w:val="24"/>
              </w:rPr>
            </w:pPr>
            <w:sdt>
              <w:sdtPr>
                <w:rPr>
                  <w:rFonts w:ascii="Verdana" w:hAnsi="Verdana"/>
                  <w:szCs w:val="24"/>
                </w:rPr>
                <w:id w:val="2057811102"/>
                <w14:checkbox>
                  <w14:checked w14:val="0"/>
                  <w14:checkedState w14:val="2612" w14:font="MS Gothic"/>
                  <w14:uncheckedState w14:val="2610" w14:font="MS Gothic"/>
                </w14:checkbox>
              </w:sdtPr>
              <w:sdtEndPr/>
              <w:sdtContent>
                <w:r w:rsidR="000A270A">
                  <w:rPr>
                    <w:rFonts w:ascii="MS Gothic" w:eastAsia="MS Gothic" w:hAnsi="MS Gothic" w:hint="eastAsia"/>
                    <w:szCs w:val="24"/>
                  </w:rPr>
                  <w:t>☐</w:t>
                </w:r>
              </w:sdtContent>
            </w:sdt>
          </w:p>
        </w:tc>
      </w:tr>
      <w:tr w:rsidR="000A270A" w:rsidRPr="00DC3C42" w14:paraId="39B96A16" w14:textId="0D72CB12" w:rsidTr="000A270A">
        <w:trPr>
          <w:cantSplit/>
          <w:trHeight w:val="838"/>
        </w:trPr>
        <w:tc>
          <w:tcPr>
            <w:tcW w:w="1418" w:type="dxa"/>
            <w:vMerge/>
            <w:textDirection w:val="btLr"/>
            <w:vAlign w:val="center"/>
          </w:tcPr>
          <w:p w14:paraId="39B96A13" w14:textId="77777777" w:rsidR="000A270A" w:rsidRPr="00D06EB3" w:rsidRDefault="000A270A" w:rsidP="000A270A">
            <w:pPr>
              <w:pStyle w:val="Leipteksti"/>
              <w:spacing w:before="120" w:after="0"/>
              <w:ind w:right="113"/>
              <w:jc w:val="center"/>
              <w:rPr>
                <w:rFonts w:ascii="Verdana" w:hAnsi="Verdana"/>
                <w:sz w:val="20"/>
              </w:rPr>
            </w:pPr>
          </w:p>
        </w:tc>
        <w:tc>
          <w:tcPr>
            <w:tcW w:w="850" w:type="dxa"/>
            <w:vMerge/>
            <w:textDirection w:val="btLr"/>
            <w:vAlign w:val="center"/>
          </w:tcPr>
          <w:p w14:paraId="39B96A14" w14:textId="77777777" w:rsidR="000A270A" w:rsidRPr="00D06EB3" w:rsidRDefault="000A270A" w:rsidP="000A270A">
            <w:pPr>
              <w:pStyle w:val="Leipteksti"/>
              <w:spacing w:before="120" w:after="0"/>
              <w:ind w:right="113"/>
              <w:jc w:val="center"/>
              <w:rPr>
                <w:rFonts w:ascii="Verdana" w:hAnsi="Verdana"/>
                <w:sz w:val="20"/>
              </w:rPr>
            </w:pPr>
          </w:p>
        </w:tc>
        <w:tc>
          <w:tcPr>
            <w:tcW w:w="2410" w:type="dxa"/>
            <w:vAlign w:val="center"/>
          </w:tcPr>
          <w:p w14:paraId="39B96A15" w14:textId="3EAB3EB3" w:rsidR="000A270A" w:rsidRPr="00404EE1" w:rsidRDefault="000A270A" w:rsidP="000A270A">
            <w:pPr>
              <w:pStyle w:val="Leipteksti"/>
              <w:spacing w:before="120" w:after="0"/>
              <w:rPr>
                <w:rFonts w:ascii="Verdana" w:hAnsi="Verdana"/>
                <w:sz w:val="20"/>
              </w:rPr>
            </w:pPr>
            <w:r w:rsidRPr="009845E0">
              <w:rPr>
                <w:rFonts w:ascii="Verdana" w:hAnsi="Verdana"/>
                <w:sz w:val="20"/>
              </w:rPr>
              <w:t xml:space="preserve">Annex XIV </w:t>
            </w:r>
          </w:p>
        </w:tc>
        <w:tc>
          <w:tcPr>
            <w:tcW w:w="2552" w:type="dxa"/>
          </w:tcPr>
          <w:p w14:paraId="7C8A950F" w14:textId="697F8B19" w:rsidR="000A270A" w:rsidRDefault="004953A7" w:rsidP="000A270A">
            <w:pPr>
              <w:pStyle w:val="Leipteksti"/>
              <w:spacing w:before="120" w:after="0"/>
              <w:rPr>
                <w:rFonts w:ascii="Verdana" w:hAnsi="Verdana"/>
                <w:szCs w:val="24"/>
              </w:rPr>
            </w:pPr>
            <w:sdt>
              <w:sdtPr>
                <w:rPr>
                  <w:rFonts w:ascii="Verdana" w:hAnsi="Verdana"/>
                  <w:szCs w:val="24"/>
                </w:rPr>
                <w:id w:val="-1236774476"/>
                <w14:checkbox>
                  <w14:checked w14:val="0"/>
                  <w14:checkedState w14:val="2612" w14:font="MS Gothic"/>
                  <w14:uncheckedState w14:val="2610" w14:font="MS Gothic"/>
                </w14:checkbox>
              </w:sdtPr>
              <w:sdtEndPr/>
              <w:sdtContent>
                <w:r w:rsidR="000A270A" w:rsidRPr="00BD70C3">
                  <w:rPr>
                    <w:rFonts w:ascii="MS Gothic" w:eastAsia="MS Gothic" w:hAnsi="MS Gothic" w:hint="eastAsia"/>
                    <w:szCs w:val="24"/>
                  </w:rPr>
                  <w:t>☐</w:t>
                </w:r>
              </w:sdtContent>
            </w:sdt>
          </w:p>
        </w:tc>
        <w:tc>
          <w:tcPr>
            <w:tcW w:w="2551" w:type="dxa"/>
          </w:tcPr>
          <w:p w14:paraId="07E52A6A" w14:textId="1A052034" w:rsidR="000A270A" w:rsidRDefault="004953A7" w:rsidP="000A270A">
            <w:pPr>
              <w:pStyle w:val="Leipteksti"/>
              <w:spacing w:before="120" w:after="0"/>
              <w:rPr>
                <w:rFonts w:ascii="Verdana" w:hAnsi="Verdana"/>
                <w:szCs w:val="24"/>
              </w:rPr>
            </w:pPr>
            <w:sdt>
              <w:sdtPr>
                <w:rPr>
                  <w:rFonts w:ascii="Verdana" w:hAnsi="Verdana"/>
                  <w:szCs w:val="24"/>
                </w:rPr>
                <w:id w:val="-1173406232"/>
                <w14:checkbox>
                  <w14:checked w14:val="0"/>
                  <w14:checkedState w14:val="2612" w14:font="MS Gothic"/>
                  <w14:uncheckedState w14:val="2610" w14:font="MS Gothic"/>
                </w14:checkbox>
              </w:sdtPr>
              <w:sdtEndPr/>
              <w:sdtContent>
                <w:r w:rsidR="000A270A" w:rsidRPr="00BD70C3">
                  <w:rPr>
                    <w:rFonts w:ascii="MS Gothic" w:eastAsia="MS Gothic" w:hAnsi="MS Gothic" w:hint="eastAsia"/>
                    <w:szCs w:val="24"/>
                  </w:rPr>
                  <w:t>☐</w:t>
                </w:r>
              </w:sdtContent>
            </w:sdt>
          </w:p>
        </w:tc>
      </w:tr>
      <w:tr w:rsidR="000A270A" w:rsidRPr="00DC3C42" w14:paraId="39B96A1A" w14:textId="2254A35B" w:rsidTr="000A270A">
        <w:trPr>
          <w:cantSplit/>
          <w:trHeight w:val="896"/>
        </w:trPr>
        <w:tc>
          <w:tcPr>
            <w:tcW w:w="1418" w:type="dxa"/>
            <w:vMerge/>
            <w:textDirection w:val="btLr"/>
            <w:vAlign w:val="center"/>
          </w:tcPr>
          <w:p w14:paraId="39B96A17" w14:textId="77777777" w:rsidR="000A270A" w:rsidRPr="00D06EB3" w:rsidRDefault="000A270A" w:rsidP="000A270A">
            <w:pPr>
              <w:pStyle w:val="Leipteksti"/>
              <w:spacing w:before="120" w:after="0"/>
              <w:ind w:right="113"/>
              <w:jc w:val="center"/>
              <w:rPr>
                <w:rFonts w:ascii="Verdana" w:hAnsi="Verdana"/>
                <w:sz w:val="20"/>
              </w:rPr>
            </w:pPr>
          </w:p>
        </w:tc>
        <w:tc>
          <w:tcPr>
            <w:tcW w:w="850" w:type="dxa"/>
            <w:tcBorders>
              <w:bottom w:val="single" w:sz="4" w:space="0" w:color="auto"/>
            </w:tcBorders>
            <w:textDirection w:val="btLr"/>
            <w:vAlign w:val="center"/>
          </w:tcPr>
          <w:p w14:paraId="39B96A18" w14:textId="77777777" w:rsidR="000A270A" w:rsidRPr="00D06EB3" w:rsidRDefault="000A270A" w:rsidP="000A270A">
            <w:pPr>
              <w:pStyle w:val="Leipteksti"/>
              <w:spacing w:before="120" w:after="0"/>
              <w:ind w:right="113"/>
              <w:jc w:val="center"/>
              <w:rPr>
                <w:rFonts w:ascii="Verdana" w:hAnsi="Verdana"/>
                <w:sz w:val="20"/>
              </w:rPr>
            </w:pPr>
            <w:proofErr w:type="spellStart"/>
            <w:r w:rsidRPr="009845E0">
              <w:rPr>
                <w:rFonts w:ascii="Verdana" w:hAnsi="Verdana"/>
                <w:sz w:val="20"/>
              </w:rPr>
              <w:t>Restri</w:t>
            </w:r>
            <w:r>
              <w:rPr>
                <w:rFonts w:ascii="Verdana" w:hAnsi="Verdana"/>
                <w:sz w:val="20"/>
              </w:rPr>
              <w:t>-</w:t>
            </w:r>
            <w:r w:rsidRPr="009845E0">
              <w:rPr>
                <w:rFonts w:ascii="Verdana" w:hAnsi="Verdana"/>
                <w:sz w:val="20"/>
              </w:rPr>
              <w:t>ction</w:t>
            </w:r>
            <w:proofErr w:type="spellEnd"/>
          </w:p>
        </w:tc>
        <w:tc>
          <w:tcPr>
            <w:tcW w:w="2410" w:type="dxa"/>
            <w:tcBorders>
              <w:bottom w:val="single" w:sz="4" w:space="0" w:color="auto"/>
            </w:tcBorders>
            <w:vAlign w:val="center"/>
          </w:tcPr>
          <w:p w14:paraId="39B96A19" w14:textId="5137F7D2" w:rsidR="000A270A" w:rsidRPr="00404EE1" w:rsidRDefault="000A270A" w:rsidP="000A270A">
            <w:pPr>
              <w:pStyle w:val="Leipteksti"/>
              <w:spacing w:before="120" w:after="0"/>
              <w:rPr>
                <w:rFonts w:ascii="Verdana" w:hAnsi="Verdana"/>
                <w:sz w:val="20"/>
              </w:rPr>
            </w:pPr>
            <w:r w:rsidRPr="00074765">
              <w:rPr>
                <w:rFonts w:ascii="Verdana" w:hAnsi="Verdana"/>
                <w:sz w:val="20"/>
              </w:rPr>
              <w:t>Annex XVII</w:t>
            </w:r>
          </w:p>
        </w:tc>
        <w:tc>
          <w:tcPr>
            <w:tcW w:w="2552" w:type="dxa"/>
            <w:tcBorders>
              <w:bottom w:val="single" w:sz="4" w:space="0" w:color="auto"/>
            </w:tcBorders>
          </w:tcPr>
          <w:p w14:paraId="0CB80112" w14:textId="512D964F" w:rsidR="000A270A" w:rsidRDefault="004953A7" w:rsidP="000A270A">
            <w:pPr>
              <w:pStyle w:val="Leipteksti"/>
              <w:spacing w:before="120" w:after="0"/>
              <w:rPr>
                <w:rFonts w:ascii="Verdana" w:hAnsi="Verdana"/>
                <w:szCs w:val="24"/>
              </w:rPr>
            </w:pPr>
            <w:sdt>
              <w:sdtPr>
                <w:rPr>
                  <w:rFonts w:ascii="Verdana" w:hAnsi="Verdana"/>
                  <w:szCs w:val="24"/>
                </w:rPr>
                <w:id w:val="433253061"/>
                <w14:checkbox>
                  <w14:checked w14:val="0"/>
                  <w14:checkedState w14:val="2612" w14:font="MS Gothic"/>
                  <w14:uncheckedState w14:val="2610" w14:font="MS Gothic"/>
                </w14:checkbox>
              </w:sdtPr>
              <w:sdtEndPr/>
              <w:sdtContent>
                <w:r w:rsidR="000A270A" w:rsidRPr="00FB129D">
                  <w:rPr>
                    <w:rFonts w:ascii="MS Gothic" w:eastAsia="MS Gothic" w:hAnsi="MS Gothic" w:hint="eastAsia"/>
                    <w:szCs w:val="24"/>
                  </w:rPr>
                  <w:t>☐</w:t>
                </w:r>
              </w:sdtContent>
            </w:sdt>
          </w:p>
        </w:tc>
        <w:tc>
          <w:tcPr>
            <w:tcW w:w="2551" w:type="dxa"/>
            <w:tcBorders>
              <w:bottom w:val="single" w:sz="4" w:space="0" w:color="auto"/>
            </w:tcBorders>
          </w:tcPr>
          <w:p w14:paraId="240B957B" w14:textId="66FC1FA7" w:rsidR="000A270A" w:rsidRDefault="004953A7" w:rsidP="000A270A">
            <w:pPr>
              <w:pStyle w:val="Leipteksti"/>
              <w:spacing w:before="120" w:after="0"/>
              <w:rPr>
                <w:rFonts w:ascii="Verdana" w:hAnsi="Verdana"/>
                <w:szCs w:val="24"/>
              </w:rPr>
            </w:pPr>
            <w:sdt>
              <w:sdtPr>
                <w:rPr>
                  <w:rFonts w:ascii="Verdana" w:hAnsi="Verdana"/>
                  <w:szCs w:val="24"/>
                </w:rPr>
                <w:id w:val="1131443549"/>
                <w14:checkbox>
                  <w14:checked w14:val="0"/>
                  <w14:checkedState w14:val="2612" w14:font="MS Gothic"/>
                  <w14:uncheckedState w14:val="2610" w14:font="MS Gothic"/>
                </w14:checkbox>
              </w:sdtPr>
              <w:sdtEndPr/>
              <w:sdtContent>
                <w:r w:rsidR="000A270A" w:rsidRPr="00FB129D">
                  <w:rPr>
                    <w:rFonts w:ascii="MS Gothic" w:eastAsia="MS Gothic" w:hAnsi="MS Gothic" w:hint="eastAsia"/>
                    <w:szCs w:val="24"/>
                  </w:rPr>
                  <w:t>☐</w:t>
                </w:r>
              </w:sdtContent>
            </w:sdt>
          </w:p>
        </w:tc>
      </w:tr>
      <w:tr w:rsidR="000A270A" w:rsidRPr="00DC3C42" w14:paraId="39B96A1E" w14:textId="027E3CD9" w:rsidTr="000A270A">
        <w:trPr>
          <w:cantSplit/>
          <w:trHeight w:val="1475"/>
        </w:trPr>
        <w:tc>
          <w:tcPr>
            <w:tcW w:w="1418" w:type="dxa"/>
            <w:textDirection w:val="btLr"/>
            <w:vAlign w:val="center"/>
          </w:tcPr>
          <w:p w14:paraId="39B96A1B" w14:textId="77777777" w:rsidR="000A270A" w:rsidRPr="00037AE8" w:rsidRDefault="000A270A" w:rsidP="000A270A">
            <w:pPr>
              <w:pStyle w:val="Leipteksti"/>
              <w:spacing w:before="120" w:after="0"/>
              <w:ind w:right="113"/>
              <w:jc w:val="center"/>
              <w:rPr>
                <w:rFonts w:ascii="Verdana" w:hAnsi="Verdana"/>
                <w:sz w:val="20"/>
              </w:rPr>
            </w:pPr>
            <w:r w:rsidRPr="00D06EB3">
              <w:rPr>
                <w:rFonts w:ascii="Verdana" w:hAnsi="Verdana"/>
                <w:sz w:val="20"/>
              </w:rPr>
              <w:t>Harmonised C&amp;L</w:t>
            </w:r>
            <w:r>
              <w:rPr>
                <w:rFonts w:ascii="Verdana" w:hAnsi="Verdana"/>
                <w:sz w:val="20"/>
              </w:rPr>
              <w:t xml:space="preserve"> </w:t>
            </w:r>
          </w:p>
        </w:tc>
        <w:tc>
          <w:tcPr>
            <w:tcW w:w="850" w:type="dxa"/>
            <w:tcBorders>
              <w:right w:val="nil"/>
            </w:tcBorders>
            <w:textDirection w:val="btLr"/>
            <w:vAlign w:val="center"/>
          </w:tcPr>
          <w:p w14:paraId="39B96A1C" w14:textId="77777777" w:rsidR="000A270A" w:rsidRPr="00D06EB3" w:rsidRDefault="000A270A" w:rsidP="000A270A">
            <w:pPr>
              <w:pStyle w:val="Leipteksti"/>
              <w:spacing w:before="120" w:after="0"/>
              <w:ind w:right="113"/>
              <w:jc w:val="center"/>
              <w:rPr>
                <w:rFonts w:ascii="Verdana" w:hAnsi="Verdana"/>
                <w:sz w:val="20"/>
              </w:rPr>
            </w:pPr>
          </w:p>
        </w:tc>
        <w:tc>
          <w:tcPr>
            <w:tcW w:w="2410" w:type="dxa"/>
            <w:tcBorders>
              <w:left w:val="nil"/>
            </w:tcBorders>
            <w:vAlign w:val="center"/>
          </w:tcPr>
          <w:p w14:paraId="39B96A1D" w14:textId="5E81B44A" w:rsidR="000A270A" w:rsidRPr="00404EE1" w:rsidRDefault="000A270A" w:rsidP="000A270A">
            <w:pPr>
              <w:pStyle w:val="Leipteksti"/>
              <w:spacing w:after="0"/>
              <w:rPr>
                <w:rFonts w:ascii="Verdana" w:hAnsi="Verdana"/>
                <w:sz w:val="20"/>
              </w:rPr>
            </w:pPr>
            <w:r w:rsidRPr="00404EE1">
              <w:rPr>
                <w:rFonts w:ascii="Verdana" w:hAnsi="Verdana"/>
                <w:sz w:val="20"/>
              </w:rPr>
              <w:t>Annex VI (CLP)</w:t>
            </w:r>
            <w:r>
              <w:rPr>
                <w:rFonts w:ascii="Verdana" w:hAnsi="Verdana"/>
                <w:sz w:val="20"/>
              </w:rPr>
              <w:t xml:space="preserve"> (see section 3.1)</w:t>
            </w:r>
          </w:p>
        </w:tc>
        <w:tc>
          <w:tcPr>
            <w:tcW w:w="2552" w:type="dxa"/>
            <w:tcBorders>
              <w:left w:val="nil"/>
            </w:tcBorders>
          </w:tcPr>
          <w:p w14:paraId="73C31E87" w14:textId="5DA26FF0" w:rsidR="000A270A" w:rsidRDefault="004953A7" w:rsidP="000A270A">
            <w:pPr>
              <w:pStyle w:val="Leipteksti"/>
              <w:spacing w:before="120" w:after="0"/>
              <w:rPr>
                <w:rFonts w:ascii="Verdana" w:hAnsi="Verdana"/>
                <w:szCs w:val="24"/>
              </w:rPr>
            </w:pPr>
            <w:sdt>
              <w:sdtPr>
                <w:rPr>
                  <w:rFonts w:ascii="Verdana" w:hAnsi="Verdana"/>
                  <w:szCs w:val="24"/>
                </w:rPr>
                <w:id w:val="-1177037488"/>
                <w14:checkbox>
                  <w14:checked w14:val="0"/>
                  <w14:checkedState w14:val="2612" w14:font="MS Gothic"/>
                  <w14:uncheckedState w14:val="2610" w14:font="MS Gothic"/>
                </w14:checkbox>
              </w:sdtPr>
              <w:sdtEndPr/>
              <w:sdtContent>
                <w:r w:rsidR="000A270A" w:rsidRPr="00FB129D">
                  <w:rPr>
                    <w:rFonts w:ascii="MS Gothic" w:eastAsia="MS Gothic" w:hAnsi="MS Gothic" w:hint="eastAsia"/>
                    <w:szCs w:val="24"/>
                  </w:rPr>
                  <w:t>☐</w:t>
                </w:r>
              </w:sdtContent>
            </w:sdt>
          </w:p>
        </w:tc>
        <w:tc>
          <w:tcPr>
            <w:tcW w:w="2551" w:type="dxa"/>
            <w:tcBorders>
              <w:left w:val="nil"/>
            </w:tcBorders>
          </w:tcPr>
          <w:p w14:paraId="3FF10788" w14:textId="650598BC" w:rsidR="000A270A" w:rsidRDefault="004953A7" w:rsidP="000A270A">
            <w:pPr>
              <w:pStyle w:val="Leipteksti"/>
              <w:spacing w:before="120" w:after="0"/>
              <w:rPr>
                <w:rFonts w:ascii="Verdana" w:hAnsi="Verdana"/>
                <w:szCs w:val="24"/>
              </w:rPr>
            </w:pPr>
            <w:sdt>
              <w:sdtPr>
                <w:rPr>
                  <w:rFonts w:ascii="Verdana" w:hAnsi="Verdana"/>
                  <w:szCs w:val="24"/>
                </w:rPr>
                <w:id w:val="-491948754"/>
                <w14:checkbox>
                  <w14:checked w14:val="0"/>
                  <w14:checkedState w14:val="2612" w14:font="MS Gothic"/>
                  <w14:uncheckedState w14:val="2610" w14:font="MS Gothic"/>
                </w14:checkbox>
              </w:sdtPr>
              <w:sdtEndPr/>
              <w:sdtContent>
                <w:r w:rsidR="000A270A" w:rsidRPr="00FB129D">
                  <w:rPr>
                    <w:rFonts w:ascii="MS Gothic" w:eastAsia="MS Gothic" w:hAnsi="MS Gothic" w:hint="eastAsia"/>
                    <w:szCs w:val="24"/>
                  </w:rPr>
                  <w:t>☐</w:t>
                </w:r>
              </w:sdtContent>
            </w:sdt>
          </w:p>
        </w:tc>
      </w:tr>
      <w:tr w:rsidR="000A270A" w:rsidRPr="00DC3C42" w14:paraId="39B96A23" w14:textId="33A0FA29" w:rsidTr="000A270A">
        <w:trPr>
          <w:cantSplit/>
          <w:trHeight w:val="726"/>
        </w:trPr>
        <w:tc>
          <w:tcPr>
            <w:tcW w:w="1418" w:type="dxa"/>
            <w:vMerge w:val="restart"/>
            <w:textDirection w:val="btLr"/>
            <w:vAlign w:val="center"/>
          </w:tcPr>
          <w:p w14:paraId="39B96A1F" w14:textId="77777777" w:rsidR="000A270A" w:rsidRPr="00037AE8" w:rsidRDefault="000A270A" w:rsidP="000A270A">
            <w:pPr>
              <w:pStyle w:val="Leipteksti"/>
              <w:spacing w:before="120" w:after="0"/>
              <w:ind w:right="113"/>
              <w:jc w:val="center"/>
              <w:rPr>
                <w:rFonts w:ascii="Verdana" w:hAnsi="Verdana"/>
                <w:sz w:val="20"/>
              </w:rPr>
            </w:pPr>
            <w:r w:rsidRPr="00361575">
              <w:rPr>
                <w:rFonts w:ascii="Verdana" w:hAnsi="Verdana"/>
                <w:sz w:val="20"/>
              </w:rPr>
              <w:t xml:space="preserve">Processes under </w:t>
            </w:r>
            <w:proofErr w:type="gramStart"/>
            <w:r w:rsidRPr="00361575">
              <w:rPr>
                <w:rFonts w:ascii="Verdana" w:hAnsi="Verdana"/>
                <w:sz w:val="20"/>
              </w:rPr>
              <w:t>other</w:t>
            </w:r>
            <w:proofErr w:type="gramEnd"/>
            <w:r w:rsidRPr="00361575">
              <w:rPr>
                <w:rFonts w:ascii="Verdana" w:hAnsi="Verdana"/>
                <w:sz w:val="20"/>
              </w:rPr>
              <w:t xml:space="preserve"> EU legislation</w:t>
            </w:r>
          </w:p>
        </w:tc>
        <w:tc>
          <w:tcPr>
            <w:tcW w:w="850" w:type="dxa"/>
            <w:tcBorders>
              <w:right w:val="nil"/>
            </w:tcBorders>
            <w:textDirection w:val="btLr"/>
            <w:vAlign w:val="center"/>
          </w:tcPr>
          <w:p w14:paraId="39B96A20" w14:textId="77777777" w:rsidR="000A270A" w:rsidRPr="00D06EB3" w:rsidRDefault="000A270A" w:rsidP="000A270A">
            <w:pPr>
              <w:pStyle w:val="Leipteksti"/>
              <w:spacing w:before="120" w:after="0"/>
              <w:ind w:right="113"/>
              <w:jc w:val="center"/>
              <w:rPr>
                <w:rFonts w:ascii="Verdana" w:hAnsi="Verdana"/>
                <w:sz w:val="20"/>
              </w:rPr>
            </w:pPr>
          </w:p>
        </w:tc>
        <w:tc>
          <w:tcPr>
            <w:tcW w:w="2410" w:type="dxa"/>
            <w:tcBorders>
              <w:left w:val="nil"/>
            </w:tcBorders>
            <w:vAlign w:val="center"/>
          </w:tcPr>
          <w:p w14:paraId="39B96A21" w14:textId="3B88AF03" w:rsidR="000A270A" w:rsidRDefault="000A270A" w:rsidP="000A270A">
            <w:pPr>
              <w:pStyle w:val="Leipteksti"/>
              <w:spacing w:after="120"/>
              <w:jc w:val="left"/>
              <w:rPr>
                <w:rFonts w:ascii="Verdana" w:hAnsi="Verdana"/>
                <w:sz w:val="20"/>
              </w:rPr>
            </w:pPr>
            <w:r w:rsidRPr="00404EE1">
              <w:rPr>
                <w:rFonts w:ascii="Verdana" w:hAnsi="Verdana"/>
                <w:sz w:val="20"/>
              </w:rPr>
              <w:t>Plant Protection Products Regulation</w:t>
            </w:r>
          </w:p>
          <w:p w14:paraId="39B96A22" w14:textId="77777777" w:rsidR="000A270A" w:rsidRPr="009940A8" w:rsidRDefault="000A270A" w:rsidP="000A270A">
            <w:pPr>
              <w:pStyle w:val="Leipteksti"/>
              <w:spacing w:after="120"/>
              <w:jc w:val="left"/>
              <w:rPr>
                <w:rFonts w:ascii="Verdana" w:hAnsi="Verdana"/>
                <w:sz w:val="20"/>
              </w:rPr>
            </w:pPr>
            <w:r>
              <w:rPr>
                <w:rFonts w:ascii="Verdana" w:hAnsi="Verdana"/>
                <w:sz w:val="20"/>
              </w:rPr>
              <w:t>Regulation</w:t>
            </w:r>
            <w:r w:rsidRPr="00404EE1">
              <w:rPr>
                <w:rFonts w:ascii="Verdana" w:hAnsi="Verdana"/>
                <w:sz w:val="20"/>
              </w:rPr>
              <w:t xml:space="preserve"> </w:t>
            </w:r>
            <w:r>
              <w:rPr>
                <w:rFonts w:ascii="Verdana" w:hAnsi="Verdana"/>
                <w:sz w:val="20"/>
              </w:rPr>
              <w:t xml:space="preserve">(EC) No 1107/2009 </w:t>
            </w:r>
          </w:p>
        </w:tc>
        <w:tc>
          <w:tcPr>
            <w:tcW w:w="2552" w:type="dxa"/>
            <w:tcBorders>
              <w:left w:val="nil"/>
            </w:tcBorders>
          </w:tcPr>
          <w:p w14:paraId="00F6120F" w14:textId="4AD6C5EE" w:rsidR="000A270A" w:rsidRDefault="004953A7" w:rsidP="000A270A">
            <w:pPr>
              <w:pStyle w:val="Leipteksti"/>
              <w:spacing w:before="120" w:after="0"/>
              <w:ind w:left="459" w:hanging="459"/>
              <w:jc w:val="left"/>
              <w:rPr>
                <w:rFonts w:ascii="Verdana" w:hAnsi="Verdana"/>
                <w:szCs w:val="24"/>
              </w:rPr>
            </w:pPr>
            <w:sdt>
              <w:sdtPr>
                <w:rPr>
                  <w:rFonts w:ascii="Verdana" w:hAnsi="Verdana"/>
                  <w:szCs w:val="24"/>
                </w:rPr>
                <w:id w:val="2002387226"/>
                <w14:checkbox>
                  <w14:checked w14:val="0"/>
                  <w14:checkedState w14:val="2612" w14:font="MS Gothic"/>
                  <w14:uncheckedState w14:val="2610" w14:font="MS Gothic"/>
                </w14:checkbox>
              </w:sdtPr>
              <w:sdtEndPr/>
              <w:sdtContent>
                <w:r w:rsidR="000A270A" w:rsidRPr="00FB129D">
                  <w:rPr>
                    <w:rFonts w:ascii="MS Gothic" w:eastAsia="MS Gothic" w:hAnsi="MS Gothic" w:hint="eastAsia"/>
                    <w:szCs w:val="24"/>
                  </w:rPr>
                  <w:t>☐</w:t>
                </w:r>
              </w:sdtContent>
            </w:sdt>
          </w:p>
        </w:tc>
        <w:tc>
          <w:tcPr>
            <w:tcW w:w="2551" w:type="dxa"/>
            <w:tcBorders>
              <w:left w:val="nil"/>
            </w:tcBorders>
          </w:tcPr>
          <w:p w14:paraId="41A9C57F" w14:textId="7E17743A" w:rsidR="000A270A" w:rsidRDefault="004953A7" w:rsidP="000A270A">
            <w:pPr>
              <w:pStyle w:val="Leipteksti"/>
              <w:spacing w:before="120" w:after="0"/>
              <w:ind w:left="459" w:hanging="459"/>
              <w:jc w:val="left"/>
              <w:rPr>
                <w:rFonts w:ascii="Verdana" w:hAnsi="Verdana"/>
                <w:szCs w:val="24"/>
              </w:rPr>
            </w:pPr>
            <w:sdt>
              <w:sdtPr>
                <w:rPr>
                  <w:rFonts w:ascii="Verdana" w:hAnsi="Verdana"/>
                  <w:szCs w:val="24"/>
                </w:rPr>
                <w:id w:val="1166204576"/>
                <w14:checkbox>
                  <w14:checked w14:val="0"/>
                  <w14:checkedState w14:val="2612" w14:font="MS Gothic"/>
                  <w14:uncheckedState w14:val="2610" w14:font="MS Gothic"/>
                </w14:checkbox>
              </w:sdtPr>
              <w:sdtEndPr/>
              <w:sdtContent>
                <w:r w:rsidR="000A270A" w:rsidRPr="00FB129D">
                  <w:rPr>
                    <w:rFonts w:ascii="MS Gothic" w:eastAsia="MS Gothic" w:hAnsi="MS Gothic" w:hint="eastAsia"/>
                    <w:szCs w:val="24"/>
                  </w:rPr>
                  <w:t>☐</w:t>
                </w:r>
              </w:sdtContent>
            </w:sdt>
          </w:p>
        </w:tc>
      </w:tr>
      <w:tr w:rsidR="000A270A" w:rsidRPr="00037AE8" w14:paraId="39B96A28" w14:textId="35CE30DC" w:rsidTr="000A270A">
        <w:trPr>
          <w:cantSplit/>
          <w:trHeight w:val="694"/>
        </w:trPr>
        <w:tc>
          <w:tcPr>
            <w:tcW w:w="1418" w:type="dxa"/>
            <w:vMerge/>
            <w:textDirection w:val="btLr"/>
            <w:vAlign w:val="center"/>
          </w:tcPr>
          <w:p w14:paraId="39B96A24" w14:textId="77777777" w:rsidR="000A270A" w:rsidRPr="00831D14" w:rsidRDefault="000A270A" w:rsidP="000A270A">
            <w:pPr>
              <w:pStyle w:val="Leipteksti"/>
              <w:spacing w:before="120" w:after="0"/>
              <w:ind w:right="113"/>
              <w:jc w:val="center"/>
              <w:rPr>
                <w:rFonts w:ascii="Verdana" w:hAnsi="Verdana"/>
                <w:sz w:val="20"/>
              </w:rPr>
            </w:pPr>
          </w:p>
        </w:tc>
        <w:tc>
          <w:tcPr>
            <w:tcW w:w="850" w:type="dxa"/>
            <w:tcBorders>
              <w:right w:val="nil"/>
            </w:tcBorders>
            <w:textDirection w:val="btLr"/>
            <w:vAlign w:val="center"/>
          </w:tcPr>
          <w:p w14:paraId="39B96A25" w14:textId="77777777" w:rsidR="000A270A" w:rsidRPr="001F1FCC" w:rsidRDefault="000A270A" w:rsidP="000A270A">
            <w:pPr>
              <w:pStyle w:val="Leipteksti"/>
              <w:spacing w:before="120" w:after="0"/>
              <w:ind w:right="113"/>
              <w:jc w:val="center"/>
              <w:rPr>
                <w:rFonts w:ascii="Verdana" w:hAnsi="Verdana"/>
                <w:sz w:val="20"/>
              </w:rPr>
            </w:pPr>
          </w:p>
        </w:tc>
        <w:tc>
          <w:tcPr>
            <w:tcW w:w="2410" w:type="dxa"/>
            <w:tcBorders>
              <w:left w:val="nil"/>
            </w:tcBorders>
            <w:vAlign w:val="center"/>
          </w:tcPr>
          <w:p w14:paraId="6A53F0F0" w14:textId="024894B8" w:rsidR="000A270A" w:rsidRDefault="000A270A" w:rsidP="000A270A">
            <w:pPr>
              <w:pStyle w:val="Leipteksti"/>
              <w:spacing w:after="120"/>
              <w:jc w:val="left"/>
              <w:rPr>
                <w:rFonts w:ascii="Verdana" w:hAnsi="Verdana"/>
                <w:sz w:val="20"/>
              </w:rPr>
            </w:pPr>
            <w:r w:rsidRPr="00404EE1">
              <w:rPr>
                <w:rFonts w:ascii="Verdana" w:hAnsi="Verdana"/>
                <w:sz w:val="20"/>
              </w:rPr>
              <w:t>Biocidal Product Regulation</w:t>
            </w:r>
          </w:p>
          <w:p w14:paraId="39B96A27" w14:textId="77777777" w:rsidR="000A270A" w:rsidRPr="00404EE1" w:rsidRDefault="000A270A" w:rsidP="000A270A">
            <w:pPr>
              <w:pStyle w:val="Leipteksti"/>
              <w:spacing w:after="0"/>
              <w:jc w:val="left"/>
              <w:rPr>
                <w:rFonts w:ascii="Verdana" w:hAnsi="Verdana"/>
                <w:sz w:val="20"/>
              </w:rPr>
            </w:pPr>
            <w:r>
              <w:rPr>
                <w:rFonts w:ascii="Verdana" w:hAnsi="Verdana"/>
                <w:sz w:val="20"/>
              </w:rPr>
              <w:t>Regulation</w:t>
            </w:r>
            <w:r w:rsidRPr="00404EE1">
              <w:rPr>
                <w:rFonts w:ascii="Verdana" w:hAnsi="Verdana"/>
                <w:sz w:val="20"/>
              </w:rPr>
              <w:t xml:space="preserve"> (EU) 528/2012</w:t>
            </w:r>
            <w:r>
              <w:rPr>
                <w:rFonts w:ascii="Verdana" w:hAnsi="Verdana"/>
                <w:sz w:val="20"/>
              </w:rPr>
              <w:t xml:space="preserve"> and amendments</w:t>
            </w:r>
            <w:r w:rsidRPr="00404EE1">
              <w:rPr>
                <w:rFonts w:ascii="Verdana" w:hAnsi="Verdana"/>
                <w:sz w:val="20"/>
              </w:rPr>
              <w:t xml:space="preserve"> </w:t>
            </w:r>
            <w:r>
              <w:rPr>
                <w:rFonts w:ascii="Verdana" w:hAnsi="Verdana"/>
                <w:sz w:val="20"/>
              </w:rPr>
              <w:t xml:space="preserve"> </w:t>
            </w:r>
          </w:p>
        </w:tc>
        <w:tc>
          <w:tcPr>
            <w:tcW w:w="2552" w:type="dxa"/>
            <w:tcBorders>
              <w:left w:val="nil"/>
            </w:tcBorders>
          </w:tcPr>
          <w:p w14:paraId="2D2B548E" w14:textId="37FA4D3D" w:rsidR="000A270A" w:rsidRDefault="004953A7" w:rsidP="000A270A">
            <w:pPr>
              <w:pStyle w:val="Leipteksti"/>
              <w:spacing w:before="120" w:after="0"/>
              <w:ind w:left="317" w:hanging="317"/>
              <w:jc w:val="left"/>
              <w:rPr>
                <w:rFonts w:ascii="Verdana" w:hAnsi="Verdana"/>
                <w:szCs w:val="24"/>
              </w:rPr>
            </w:pPr>
            <w:sdt>
              <w:sdtPr>
                <w:rPr>
                  <w:rFonts w:ascii="Verdana" w:hAnsi="Verdana"/>
                  <w:szCs w:val="24"/>
                </w:rPr>
                <w:id w:val="1491598679"/>
                <w14:checkbox>
                  <w14:checked w14:val="0"/>
                  <w14:checkedState w14:val="2612" w14:font="MS Gothic"/>
                  <w14:uncheckedState w14:val="2610" w14:font="MS Gothic"/>
                </w14:checkbox>
              </w:sdtPr>
              <w:sdtEndPr/>
              <w:sdtContent>
                <w:r w:rsidR="000A270A" w:rsidRPr="00FB129D">
                  <w:rPr>
                    <w:rFonts w:ascii="MS Gothic" w:eastAsia="MS Gothic" w:hAnsi="MS Gothic" w:hint="eastAsia"/>
                    <w:szCs w:val="24"/>
                  </w:rPr>
                  <w:t>☐</w:t>
                </w:r>
              </w:sdtContent>
            </w:sdt>
          </w:p>
        </w:tc>
        <w:tc>
          <w:tcPr>
            <w:tcW w:w="2551" w:type="dxa"/>
            <w:tcBorders>
              <w:left w:val="nil"/>
            </w:tcBorders>
          </w:tcPr>
          <w:p w14:paraId="42352AD5" w14:textId="76DBB3F3" w:rsidR="000A270A" w:rsidRDefault="004953A7" w:rsidP="000A270A">
            <w:pPr>
              <w:pStyle w:val="Leipteksti"/>
              <w:spacing w:before="120" w:after="0"/>
              <w:ind w:left="317" w:hanging="317"/>
              <w:jc w:val="left"/>
              <w:rPr>
                <w:rFonts w:ascii="Verdana" w:hAnsi="Verdana"/>
                <w:szCs w:val="24"/>
              </w:rPr>
            </w:pPr>
            <w:sdt>
              <w:sdtPr>
                <w:rPr>
                  <w:rFonts w:ascii="Verdana" w:hAnsi="Verdana"/>
                  <w:szCs w:val="24"/>
                </w:rPr>
                <w:id w:val="-911995515"/>
                <w14:checkbox>
                  <w14:checked w14:val="0"/>
                  <w14:checkedState w14:val="2612" w14:font="MS Gothic"/>
                  <w14:uncheckedState w14:val="2610" w14:font="MS Gothic"/>
                </w14:checkbox>
              </w:sdtPr>
              <w:sdtEndPr/>
              <w:sdtContent>
                <w:r w:rsidR="000A270A" w:rsidRPr="00FB129D">
                  <w:rPr>
                    <w:rFonts w:ascii="MS Gothic" w:eastAsia="MS Gothic" w:hAnsi="MS Gothic" w:hint="eastAsia"/>
                    <w:szCs w:val="24"/>
                  </w:rPr>
                  <w:t>☐</w:t>
                </w:r>
              </w:sdtContent>
            </w:sdt>
          </w:p>
        </w:tc>
      </w:tr>
      <w:tr w:rsidR="000A270A" w:rsidRPr="00853DDE" w14:paraId="39B96A2D" w14:textId="2318FE5D" w:rsidTr="000A270A">
        <w:trPr>
          <w:cantSplit/>
          <w:trHeight w:val="704"/>
        </w:trPr>
        <w:tc>
          <w:tcPr>
            <w:tcW w:w="1418" w:type="dxa"/>
            <w:vMerge w:val="restart"/>
            <w:textDirection w:val="btLr"/>
            <w:vAlign w:val="center"/>
          </w:tcPr>
          <w:p w14:paraId="39B96A29" w14:textId="77777777" w:rsidR="000A270A" w:rsidRPr="003E5AC2" w:rsidRDefault="000A270A" w:rsidP="000A270A">
            <w:pPr>
              <w:pStyle w:val="Leipteksti"/>
              <w:spacing w:before="120" w:after="0"/>
              <w:ind w:right="113"/>
              <w:jc w:val="center"/>
              <w:rPr>
                <w:rFonts w:ascii="Verdana" w:hAnsi="Verdana"/>
                <w:sz w:val="20"/>
              </w:rPr>
            </w:pPr>
            <w:r>
              <w:rPr>
                <w:rFonts w:ascii="Verdana" w:hAnsi="Verdana"/>
                <w:sz w:val="20"/>
              </w:rPr>
              <w:lastRenderedPageBreak/>
              <w:t>Previous legislation</w:t>
            </w:r>
          </w:p>
        </w:tc>
        <w:tc>
          <w:tcPr>
            <w:tcW w:w="850" w:type="dxa"/>
            <w:tcBorders>
              <w:right w:val="nil"/>
            </w:tcBorders>
            <w:textDirection w:val="btLr"/>
            <w:vAlign w:val="center"/>
          </w:tcPr>
          <w:p w14:paraId="39B96A2A" w14:textId="77777777" w:rsidR="000A270A" w:rsidRPr="003E5AC2" w:rsidRDefault="000A270A" w:rsidP="000A270A">
            <w:pPr>
              <w:pStyle w:val="Leipteksti"/>
              <w:spacing w:before="120" w:after="0"/>
              <w:ind w:right="113"/>
              <w:jc w:val="center"/>
              <w:rPr>
                <w:rFonts w:ascii="Verdana" w:hAnsi="Verdana"/>
                <w:sz w:val="20"/>
              </w:rPr>
            </w:pPr>
          </w:p>
        </w:tc>
        <w:tc>
          <w:tcPr>
            <w:tcW w:w="2410" w:type="dxa"/>
            <w:tcBorders>
              <w:left w:val="nil"/>
            </w:tcBorders>
            <w:vAlign w:val="center"/>
          </w:tcPr>
          <w:p w14:paraId="39B96A2B" w14:textId="32C64166" w:rsidR="000A270A" w:rsidRDefault="000A270A" w:rsidP="000A270A">
            <w:pPr>
              <w:pStyle w:val="Leipteksti"/>
              <w:spacing w:after="120"/>
              <w:ind w:hanging="347"/>
              <w:jc w:val="left"/>
              <w:rPr>
                <w:rFonts w:ascii="Verdana" w:hAnsi="Verdana"/>
                <w:sz w:val="20"/>
                <w:lang w:val="fr-FR"/>
              </w:rPr>
            </w:pPr>
            <w:r>
              <w:rPr>
                <w:rFonts w:ascii="MS Gothic" w:eastAsia="MS Gothic" w:hAnsi="MS Gothic" w:hint="eastAsia"/>
                <w:szCs w:val="24"/>
                <w:lang w:val="fr-BE"/>
              </w:rPr>
              <w:t xml:space="preserve"> </w:t>
            </w:r>
            <w:r>
              <w:rPr>
                <w:rFonts w:ascii="MS Gothic" w:eastAsia="MS Gothic" w:hAnsi="MS Gothic"/>
                <w:szCs w:val="24"/>
                <w:lang w:val="fr-BE"/>
              </w:rPr>
              <w:t xml:space="preserve">  </w:t>
            </w:r>
            <w:r w:rsidRPr="006C0A2C">
              <w:rPr>
                <w:rFonts w:ascii="Verdana" w:hAnsi="Verdana"/>
                <w:sz w:val="20"/>
                <w:lang w:val="fr-FR"/>
              </w:rPr>
              <w:t>Dangerous substances Directive</w:t>
            </w:r>
          </w:p>
          <w:p w14:paraId="39B96A2C" w14:textId="357E018E" w:rsidR="000A270A" w:rsidRPr="0048058C" w:rsidRDefault="000A270A" w:rsidP="000A270A">
            <w:pPr>
              <w:pStyle w:val="Leipteksti"/>
              <w:spacing w:after="120"/>
              <w:jc w:val="left"/>
              <w:rPr>
                <w:rFonts w:ascii="Verdana" w:hAnsi="Verdana"/>
                <w:sz w:val="20"/>
                <w:lang w:val="fr-BE"/>
              </w:rPr>
            </w:pPr>
            <w:r>
              <w:rPr>
                <w:rFonts w:ascii="Verdana" w:hAnsi="Verdana"/>
                <w:sz w:val="20"/>
                <w:lang w:val="fr-FR"/>
              </w:rPr>
              <w:t>Directive</w:t>
            </w:r>
            <w:r w:rsidRPr="006C0A2C">
              <w:rPr>
                <w:rFonts w:ascii="Verdana" w:hAnsi="Verdana"/>
                <w:sz w:val="20"/>
                <w:lang w:val="fr-FR"/>
              </w:rPr>
              <w:t xml:space="preserve"> 67/548/EEC (NONS)</w:t>
            </w:r>
          </w:p>
        </w:tc>
        <w:tc>
          <w:tcPr>
            <w:tcW w:w="2552" w:type="dxa"/>
            <w:tcBorders>
              <w:left w:val="nil"/>
            </w:tcBorders>
          </w:tcPr>
          <w:p w14:paraId="5CCD28F5" w14:textId="4FF91571" w:rsidR="000A270A" w:rsidRDefault="004953A7" w:rsidP="000A270A">
            <w:pPr>
              <w:pStyle w:val="Leipteksti"/>
              <w:spacing w:before="120" w:after="0"/>
              <w:ind w:left="317" w:hanging="317"/>
              <w:jc w:val="left"/>
              <w:rPr>
                <w:rFonts w:ascii="Verdana" w:hAnsi="Verdana"/>
                <w:szCs w:val="24"/>
                <w:lang w:val="fr-BE"/>
              </w:rPr>
            </w:pPr>
            <w:sdt>
              <w:sdtPr>
                <w:rPr>
                  <w:rFonts w:ascii="Verdana" w:hAnsi="Verdana"/>
                  <w:szCs w:val="24"/>
                </w:rPr>
                <w:id w:val="820236593"/>
                <w14:checkbox>
                  <w14:checked w14:val="0"/>
                  <w14:checkedState w14:val="2612" w14:font="MS Gothic"/>
                  <w14:uncheckedState w14:val="2610" w14:font="MS Gothic"/>
                </w14:checkbox>
              </w:sdtPr>
              <w:sdtEndPr/>
              <w:sdtContent>
                <w:r w:rsidR="000A270A" w:rsidRPr="00FB129D">
                  <w:rPr>
                    <w:rFonts w:ascii="MS Gothic" w:eastAsia="MS Gothic" w:hAnsi="MS Gothic" w:hint="eastAsia"/>
                    <w:szCs w:val="24"/>
                  </w:rPr>
                  <w:t>☐</w:t>
                </w:r>
              </w:sdtContent>
            </w:sdt>
          </w:p>
        </w:tc>
        <w:tc>
          <w:tcPr>
            <w:tcW w:w="2551" w:type="dxa"/>
            <w:tcBorders>
              <w:left w:val="nil"/>
            </w:tcBorders>
          </w:tcPr>
          <w:p w14:paraId="7F127E79" w14:textId="77777777" w:rsidR="000A270A" w:rsidRDefault="004953A7" w:rsidP="000A270A">
            <w:pPr>
              <w:pStyle w:val="Leipteksti"/>
              <w:tabs>
                <w:tab w:val="center" w:pos="1735"/>
              </w:tabs>
              <w:spacing w:before="120" w:after="0"/>
              <w:ind w:left="317" w:hanging="317"/>
              <w:jc w:val="left"/>
              <w:rPr>
                <w:rFonts w:ascii="Verdana" w:hAnsi="Verdana"/>
                <w:szCs w:val="24"/>
              </w:rPr>
            </w:pPr>
            <w:sdt>
              <w:sdtPr>
                <w:rPr>
                  <w:rFonts w:ascii="Verdana" w:hAnsi="Verdana"/>
                  <w:szCs w:val="24"/>
                </w:rPr>
                <w:id w:val="-886650290"/>
                <w14:checkbox>
                  <w14:checked w14:val="1"/>
                  <w14:checkedState w14:val="2612" w14:font="MS Gothic"/>
                  <w14:uncheckedState w14:val="2610" w14:font="MS Gothic"/>
                </w14:checkbox>
              </w:sdtPr>
              <w:sdtEndPr/>
              <w:sdtContent>
                <w:r w:rsidR="000A270A">
                  <w:rPr>
                    <w:rFonts w:ascii="MS Gothic" w:eastAsia="MS Gothic" w:hAnsi="MS Gothic" w:hint="eastAsia"/>
                    <w:szCs w:val="24"/>
                  </w:rPr>
                  <w:t>☒</w:t>
                </w:r>
              </w:sdtContent>
            </w:sdt>
            <w:r w:rsidR="000A270A">
              <w:rPr>
                <w:rFonts w:ascii="Verdana" w:hAnsi="Verdana"/>
                <w:szCs w:val="24"/>
              </w:rPr>
              <w:tab/>
            </w:r>
            <w:r w:rsidR="000A270A">
              <w:rPr>
                <w:rFonts w:ascii="Verdana" w:hAnsi="Verdana"/>
                <w:szCs w:val="24"/>
              </w:rPr>
              <w:tab/>
            </w:r>
          </w:p>
          <w:p w14:paraId="10E304FD" w14:textId="51D607E8" w:rsidR="000A270A" w:rsidRPr="00446D2F" w:rsidRDefault="000A270A" w:rsidP="000A270A">
            <w:pPr>
              <w:pStyle w:val="Leipteksti"/>
              <w:tabs>
                <w:tab w:val="center" w:pos="1735"/>
              </w:tabs>
              <w:spacing w:before="120" w:after="0"/>
              <w:jc w:val="left"/>
              <w:rPr>
                <w:rFonts w:ascii="Verdana" w:hAnsi="Verdana"/>
                <w:sz w:val="20"/>
                <w:lang w:val="fr-BE"/>
              </w:rPr>
            </w:pPr>
            <w:r w:rsidRPr="00446D2F">
              <w:rPr>
                <w:rFonts w:ascii="Verdana" w:hAnsi="Verdana"/>
                <w:sz w:val="20"/>
              </w:rPr>
              <w:t>Substance is registered as NONS</w:t>
            </w:r>
          </w:p>
        </w:tc>
      </w:tr>
      <w:tr w:rsidR="000A270A" w:rsidRPr="00037AE8" w14:paraId="39B96A32" w14:textId="1B5D0D03" w:rsidTr="000A270A">
        <w:trPr>
          <w:cantSplit/>
          <w:trHeight w:val="646"/>
        </w:trPr>
        <w:tc>
          <w:tcPr>
            <w:tcW w:w="1418" w:type="dxa"/>
            <w:vMerge/>
            <w:textDirection w:val="btLr"/>
            <w:vAlign w:val="center"/>
          </w:tcPr>
          <w:p w14:paraId="39B96A2E" w14:textId="77777777" w:rsidR="000A270A" w:rsidRPr="0048058C" w:rsidRDefault="000A270A" w:rsidP="000A270A">
            <w:pPr>
              <w:pStyle w:val="Leipteksti"/>
              <w:spacing w:before="120" w:after="0"/>
              <w:ind w:right="113"/>
              <w:jc w:val="center"/>
              <w:rPr>
                <w:rFonts w:ascii="Verdana" w:hAnsi="Verdana"/>
                <w:sz w:val="20"/>
                <w:lang w:val="fr-BE"/>
              </w:rPr>
            </w:pPr>
          </w:p>
        </w:tc>
        <w:tc>
          <w:tcPr>
            <w:tcW w:w="850" w:type="dxa"/>
            <w:tcBorders>
              <w:right w:val="nil"/>
            </w:tcBorders>
            <w:textDirection w:val="btLr"/>
            <w:vAlign w:val="center"/>
          </w:tcPr>
          <w:p w14:paraId="39B96A2F" w14:textId="77777777" w:rsidR="000A270A" w:rsidRPr="0048058C" w:rsidRDefault="000A270A" w:rsidP="000A270A">
            <w:pPr>
              <w:pStyle w:val="Leipteksti"/>
              <w:spacing w:before="120" w:after="0"/>
              <w:ind w:right="113"/>
              <w:jc w:val="center"/>
              <w:rPr>
                <w:rFonts w:ascii="Verdana" w:hAnsi="Verdana"/>
                <w:sz w:val="20"/>
                <w:lang w:val="fr-BE"/>
              </w:rPr>
            </w:pPr>
          </w:p>
        </w:tc>
        <w:tc>
          <w:tcPr>
            <w:tcW w:w="2410" w:type="dxa"/>
            <w:tcBorders>
              <w:left w:val="nil"/>
            </w:tcBorders>
            <w:vAlign w:val="center"/>
          </w:tcPr>
          <w:p w14:paraId="39B96A30" w14:textId="4931ED59" w:rsidR="000A270A" w:rsidRDefault="000A270A" w:rsidP="000A270A">
            <w:pPr>
              <w:pStyle w:val="Leipteksti"/>
              <w:spacing w:after="0"/>
              <w:ind w:hanging="317"/>
              <w:jc w:val="left"/>
              <w:rPr>
                <w:rFonts w:ascii="Verdana" w:hAnsi="Verdana"/>
                <w:sz w:val="20"/>
              </w:rPr>
            </w:pPr>
            <w:r>
              <w:rPr>
                <w:rFonts w:ascii="MS Gothic" w:eastAsia="MS Gothic" w:hAnsi="MS Gothic" w:hint="eastAsia"/>
                <w:szCs w:val="24"/>
              </w:rPr>
              <w:t xml:space="preserve"> </w:t>
            </w:r>
            <w:r>
              <w:rPr>
                <w:rFonts w:ascii="MS Gothic" w:eastAsia="MS Gothic" w:hAnsi="MS Gothic"/>
                <w:szCs w:val="24"/>
              </w:rPr>
              <w:t xml:space="preserve"> </w:t>
            </w:r>
            <w:r w:rsidRPr="00404EE1">
              <w:rPr>
                <w:rFonts w:ascii="Verdana" w:hAnsi="Verdana"/>
                <w:sz w:val="20"/>
              </w:rPr>
              <w:t xml:space="preserve"> Existing Substances Regulation</w:t>
            </w:r>
          </w:p>
          <w:p w14:paraId="39B96A31" w14:textId="46957680" w:rsidR="000A270A" w:rsidRPr="00404EE1" w:rsidRDefault="000A270A" w:rsidP="000A270A">
            <w:pPr>
              <w:pStyle w:val="Leipteksti"/>
              <w:spacing w:after="0"/>
              <w:jc w:val="left"/>
              <w:rPr>
                <w:rFonts w:ascii="Verdana" w:hAnsi="Verdana"/>
                <w:sz w:val="20"/>
              </w:rPr>
            </w:pPr>
            <w:r>
              <w:rPr>
                <w:rFonts w:ascii="Verdana" w:hAnsi="Verdana"/>
                <w:sz w:val="20"/>
              </w:rPr>
              <w:t>Regulation</w:t>
            </w:r>
            <w:r w:rsidRPr="00404EE1">
              <w:rPr>
                <w:rFonts w:ascii="Verdana" w:hAnsi="Verdana"/>
                <w:sz w:val="20"/>
              </w:rPr>
              <w:t xml:space="preserve"> 793/93/EEC</w:t>
            </w:r>
            <w:r>
              <w:rPr>
                <w:rFonts w:ascii="Verdana" w:hAnsi="Verdana"/>
                <w:sz w:val="20"/>
              </w:rPr>
              <w:t xml:space="preserve"> (RAR/</w:t>
            </w:r>
            <w:proofErr w:type="gramStart"/>
            <w:r>
              <w:rPr>
                <w:rFonts w:ascii="Verdana" w:hAnsi="Verdana"/>
                <w:sz w:val="20"/>
              </w:rPr>
              <w:t xml:space="preserve">RRS)   </w:t>
            </w:r>
            <w:proofErr w:type="gramEnd"/>
          </w:p>
        </w:tc>
        <w:tc>
          <w:tcPr>
            <w:tcW w:w="2552" w:type="dxa"/>
            <w:tcBorders>
              <w:left w:val="nil"/>
            </w:tcBorders>
          </w:tcPr>
          <w:p w14:paraId="62680E90" w14:textId="653F319D" w:rsidR="000A270A" w:rsidRDefault="004953A7" w:rsidP="000A270A">
            <w:pPr>
              <w:pStyle w:val="Leipteksti"/>
              <w:spacing w:after="0"/>
              <w:ind w:left="317" w:hanging="317"/>
              <w:jc w:val="left"/>
              <w:rPr>
                <w:rFonts w:ascii="Verdana" w:hAnsi="Verdana"/>
                <w:szCs w:val="24"/>
              </w:rPr>
            </w:pPr>
            <w:sdt>
              <w:sdtPr>
                <w:rPr>
                  <w:rFonts w:ascii="Verdana" w:hAnsi="Verdana"/>
                  <w:szCs w:val="24"/>
                </w:rPr>
                <w:id w:val="-918865919"/>
                <w14:checkbox>
                  <w14:checked w14:val="1"/>
                  <w14:checkedState w14:val="2612" w14:font="MS Gothic"/>
                  <w14:uncheckedState w14:val="2610" w14:font="MS Gothic"/>
                </w14:checkbox>
              </w:sdtPr>
              <w:sdtEndPr/>
              <w:sdtContent>
                <w:r w:rsidR="000A270A">
                  <w:rPr>
                    <w:rFonts w:ascii="MS Gothic" w:eastAsia="MS Gothic" w:hAnsi="MS Gothic" w:hint="eastAsia"/>
                    <w:szCs w:val="24"/>
                  </w:rPr>
                  <w:t>☒</w:t>
                </w:r>
              </w:sdtContent>
            </w:sdt>
          </w:p>
          <w:p w14:paraId="445F3DE9" w14:textId="2D23B709" w:rsidR="000A270A" w:rsidRDefault="000A270A" w:rsidP="000A270A">
            <w:pPr>
              <w:spacing w:after="0"/>
              <w:rPr>
                <w:lang w:val="en-GB"/>
              </w:rPr>
            </w:pPr>
          </w:p>
          <w:p w14:paraId="4E31A8CA" w14:textId="354E4A14" w:rsidR="000A270A" w:rsidRPr="000A270A" w:rsidRDefault="000A270A" w:rsidP="0071679E">
            <w:pPr>
              <w:spacing w:after="0"/>
              <w:rPr>
                <w:rFonts w:ascii="Verdana" w:hAnsi="Verdana"/>
                <w:sz w:val="20"/>
                <w:szCs w:val="20"/>
              </w:rPr>
            </w:pPr>
            <w:r w:rsidRPr="000A270A">
              <w:rPr>
                <w:rFonts w:ascii="Verdana" w:hAnsi="Verdana"/>
                <w:sz w:val="20"/>
                <w:szCs w:val="20"/>
                <w:lang w:val="en-GB"/>
              </w:rPr>
              <w:t xml:space="preserve">ECB PBT working group PBT assessment for </w:t>
            </w:r>
            <w:proofErr w:type="spellStart"/>
            <w:r w:rsidRPr="000A270A">
              <w:rPr>
                <w:rFonts w:ascii="Verdana" w:hAnsi="Verdana"/>
                <w:sz w:val="20"/>
                <w:szCs w:val="20"/>
                <w:lang w:val="en-GB"/>
              </w:rPr>
              <w:t>dibenzyltoluene</w:t>
            </w:r>
            <w:proofErr w:type="spellEnd"/>
            <w:r w:rsidRPr="000A270A">
              <w:rPr>
                <w:rFonts w:ascii="Verdana" w:hAnsi="Verdana"/>
                <w:sz w:val="20"/>
                <w:szCs w:val="20"/>
                <w:lang w:val="en-GB"/>
              </w:rPr>
              <w:t xml:space="preserve"> (EC: 248-097-0, CAS: 26898-17-9) with </w:t>
            </w:r>
            <w:proofErr w:type="spellStart"/>
            <w:proofErr w:type="gramStart"/>
            <w:r w:rsidRPr="000A270A">
              <w:rPr>
                <w:rFonts w:ascii="Verdana" w:hAnsi="Verdana"/>
                <w:sz w:val="20"/>
                <w:szCs w:val="20"/>
                <w:lang w:val="en-GB"/>
              </w:rPr>
              <w:t>a</w:t>
            </w:r>
            <w:proofErr w:type="spellEnd"/>
            <w:proofErr w:type="gramEnd"/>
            <w:r w:rsidRPr="000A270A">
              <w:rPr>
                <w:rFonts w:ascii="Verdana" w:hAnsi="Verdana"/>
                <w:sz w:val="20"/>
                <w:szCs w:val="20"/>
                <w:lang w:val="en-GB"/>
              </w:rPr>
              <w:t xml:space="preserve"> outcome that </w:t>
            </w:r>
            <w:proofErr w:type="spellStart"/>
            <w:r w:rsidRPr="000A270A">
              <w:rPr>
                <w:rFonts w:ascii="Verdana" w:hAnsi="Verdana"/>
                <w:sz w:val="20"/>
                <w:szCs w:val="20"/>
                <w:lang w:val="en-GB"/>
              </w:rPr>
              <w:t>dibenzyltoluene</w:t>
            </w:r>
            <w:proofErr w:type="spellEnd"/>
            <w:r w:rsidRPr="000A270A">
              <w:rPr>
                <w:rFonts w:ascii="Verdana" w:hAnsi="Verdana"/>
                <w:sz w:val="20"/>
                <w:szCs w:val="20"/>
                <w:lang w:val="en-GB"/>
              </w:rPr>
              <w:t xml:space="preserve"> is not considered to be a PBT substance</w:t>
            </w:r>
            <w:r w:rsidR="00336F7B">
              <w:rPr>
                <w:rFonts w:ascii="Verdana" w:hAnsi="Verdana"/>
                <w:sz w:val="20"/>
                <w:szCs w:val="20"/>
                <w:lang w:val="en-GB"/>
              </w:rPr>
              <w:t xml:space="preserve"> at that time</w:t>
            </w:r>
            <w:r w:rsidRPr="000A270A">
              <w:rPr>
                <w:rFonts w:ascii="Verdana" w:hAnsi="Verdana"/>
                <w:sz w:val="20"/>
                <w:szCs w:val="20"/>
                <w:lang w:val="en-GB"/>
              </w:rPr>
              <w:t>.</w:t>
            </w:r>
          </w:p>
        </w:tc>
        <w:tc>
          <w:tcPr>
            <w:tcW w:w="2551" w:type="dxa"/>
            <w:tcBorders>
              <w:left w:val="nil"/>
            </w:tcBorders>
          </w:tcPr>
          <w:p w14:paraId="5BC8D9CB" w14:textId="07FDE162" w:rsidR="000A270A" w:rsidRDefault="004953A7" w:rsidP="000A270A">
            <w:pPr>
              <w:pStyle w:val="Leipteksti"/>
              <w:spacing w:after="0"/>
              <w:ind w:left="317" w:hanging="317"/>
              <w:jc w:val="left"/>
              <w:rPr>
                <w:rFonts w:ascii="Verdana" w:hAnsi="Verdana"/>
                <w:szCs w:val="24"/>
              </w:rPr>
            </w:pPr>
            <w:sdt>
              <w:sdtPr>
                <w:rPr>
                  <w:rFonts w:ascii="Verdana" w:hAnsi="Verdana"/>
                  <w:szCs w:val="24"/>
                </w:rPr>
                <w:id w:val="-799763277"/>
                <w14:checkbox>
                  <w14:checked w14:val="0"/>
                  <w14:checkedState w14:val="2612" w14:font="MS Gothic"/>
                  <w14:uncheckedState w14:val="2610" w14:font="MS Gothic"/>
                </w14:checkbox>
              </w:sdtPr>
              <w:sdtEndPr/>
              <w:sdtContent>
                <w:r w:rsidR="000A270A">
                  <w:rPr>
                    <w:rFonts w:ascii="MS Gothic" w:eastAsia="MS Gothic" w:hAnsi="MS Gothic" w:hint="eastAsia"/>
                    <w:szCs w:val="24"/>
                  </w:rPr>
                  <w:t>☐</w:t>
                </w:r>
              </w:sdtContent>
            </w:sdt>
          </w:p>
        </w:tc>
      </w:tr>
    </w:tbl>
    <w:tbl>
      <w:tblPr>
        <w:tblStyle w:val="TaulukkoRuudukko"/>
        <w:tblpPr w:leftFromText="141" w:rightFromText="141" w:vertAnchor="text" w:horzAnchor="margin" w:tblpX="-572" w:tblpY="1"/>
        <w:tblW w:w="9776" w:type="dxa"/>
        <w:tblLayout w:type="fixed"/>
        <w:tblLook w:val="04A0" w:firstRow="1" w:lastRow="0" w:firstColumn="1" w:lastColumn="0" w:noHBand="0" w:noVBand="1"/>
      </w:tblPr>
      <w:tblGrid>
        <w:gridCol w:w="2268"/>
        <w:gridCol w:w="2405"/>
        <w:gridCol w:w="2552"/>
        <w:gridCol w:w="2551"/>
      </w:tblGrid>
      <w:tr w:rsidR="000A270A" w:rsidRPr="00037AE8" w14:paraId="6A28B729" w14:textId="77777777" w:rsidTr="000A270A">
        <w:trPr>
          <w:cantSplit/>
          <w:trHeight w:val="1000"/>
        </w:trPr>
        <w:tc>
          <w:tcPr>
            <w:tcW w:w="2268" w:type="dxa"/>
            <w:vMerge w:val="restart"/>
            <w:textDirection w:val="btLr"/>
            <w:vAlign w:val="center"/>
          </w:tcPr>
          <w:p w14:paraId="02CE5712" w14:textId="77777777" w:rsidR="000A270A" w:rsidRPr="00C220E5" w:rsidRDefault="000A270A" w:rsidP="000A270A">
            <w:pPr>
              <w:pStyle w:val="Leipteksti"/>
              <w:spacing w:before="120" w:after="0"/>
              <w:ind w:right="113"/>
              <w:jc w:val="center"/>
              <w:rPr>
                <w:rFonts w:ascii="Verdana" w:hAnsi="Verdana"/>
                <w:sz w:val="20"/>
              </w:rPr>
            </w:pPr>
            <w:r w:rsidRPr="00C220E5">
              <w:rPr>
                <w:rFonts w:ascii="Verdana" w:hAnsi="Verdana"/>
                <w:sz w:val="20"/>
              </w:rPr>
              <w:t>(UNEP) Stockholm convention (POPs Protocol)</w:t>
            </w:r>
          </w:p>
        </w:tc>
        <w:tc>
          <w:tcPr>
            <w:tcW w:w="2405" w:type="dxa"/>
            <w:tcBorders>
              <w:left w:val="nil"/>
            </w:tcBorders>
            <w:vAlign w:val="center"/>
          </w:tcPr>
          <w:p w14:paraId="2B884DD2" w14:textId="77777777" w:rsidR="000A270A" w:rsidRPr="00404EE1" w:rsidRDefault="000A270A" w:rsidP="000A270A">
            <w:pPr>
              <w:pStyle w:val="Leipteksti"/>
              <w:spacing w:after="0"/>
              <w:rPr>
                <w:rFonts w:ascii="Verdana" w:hAnsi="Verdana"/>
                <w:sz w:val="20"/>
              </w:rPr>
            </w:pPr>
            <w:r>
              <w:rPr>
                <w:rFonts w:ascii="Verdana" w:hAnsi="Verdana"/>
                <w:sz w:val="20"/>
              </w:rPr>
              <w:t xml:space="preserve">Assessment   </w:t>
            </w:r>
          </w:p>
        </w:tc>
        <w:tc>
          <w:tcPr>
            <w:tcW w:w="2552" w:type="dxa"/>
            <w:tcBorders>
              <w:left w:val="nil"/>
            </w:tcBorders>
          </w:tcPr>
          <w:p w14:paraId="271E30D5" w14:textId="22C3FD4C" w:rsidR="000A270A" w:rsidRDefault="000A270A" w:rsidP="000A270A">
            <w:pPr>
              <w:pStyle w:val="Leipteksti"/>
              <w:spacing w:after="0"/>
              <w:rPr>
                <w:rFonts w:ascii="Verdana" w:hAnsi="Verdana"/>
                <w:szCs w:val="24"/>
              </w:rPr>
            </w:pPr>
            <w:r w:rsidRPr="0055237D">
              <w:rPr>
                <w:rFonts w:ascii="MS Gothic" w:eastAsia="MS Gothic" w:hAnsi="MS Gothic" w:hint="eastAsia"/>
                <w:szCs w:val="24"/>
              </w:rPr>
              <w:t>☐</w:t>
            </w:r>
          </w:p>
        </w:tc>
        <w:tc>
          <w:tcPr>
            <w:tcW w:w="2551" w:type="dxa"/>
            <w:tcBorders>
              <w:left w:val="nil"/>
            </w:tcBorders>
          </w:tcPr>
          <w:p w14:paraId="4C44100E" w14:textId="01191D23" w:rsidR="000A270A" w:rsidRDefault="000A270A" w:rsidP="000A270A">
            <w:pPr>
              <w:pStyle w:val="Leipteksti"/>
              <w:spacing w:after="0"/>
              <w:rPr>
                <w:rFonts w:ascii="Verdana" w:hAnsi="Verdana"/>
                <w:szCs w:val="24"/>
              </w:rPr>
            </w:pPr>
            <w:r w:rsidRPr="0055237D">
              <w:rPr>
                <w:rFonts w:ascii="MS Gothic" w:eastAsia="MS Gothic" w:hAnsi="MS Gothic" w:hint="eastAsia"/>
                <w:szCs w:val="24"/>
              </w:rPr>
              <w:t>☐</w:t>
            </w:r>
          </w:p>
        </w:tc>
      </w:tr>
      <w:tr w:rsidR="000A270A" w:rsidRPr="00037AE8" w14:paraId="4D95D4A4" w14:textId="77777777" w:rsidTr="000A270A">
        <w:trPr>
          <w:cantSplit/>
          <w:trHeight w:val="692"/>
        </w:trPr>
        <w:tc>
          <w:tcPr>
            <w:tcW w:w="2268" w:type="dxa"/>
            <w:vMerge/>
            <w:textDirection w:val="btLr"/>
            <w:vAlign w:val="center"/>
          </w:tcPr>
          <w:p w14:paraId="37078413" w14:textId="77777777" w:rsidR="000A270A" w:rsidRPr="0048058C" w:rsidRDefault="000A270A" w:rsidP="000A270A">
            <w:pPr>
              <w:pStyle w:val="Leipteksti"/>
              <w:spacing w:before="120" w:after="0"/>
              <w:ind w:right="113"/>
              <w:jc w:val="center"/>
              <w:rPr>
                <w:rFonts w:ascii="Verdana" w:hAnsi="Verdana"/>
                <w:sz w:val="20"/>
              </w:rPr>
            </w:pPr>
          </w:p>
        </w:tc>
        <w:tc>
          <w:tcPr>
            <w:tcW w:w="2405" w:type="dxa"/>
            <w:tcBorders>
              <w:left w:val="nil"/>
            </w:tcBorders>
            <w:vAlign w:val="center"/>
          </w:tcPr>
          <w:p w14:paraId="00CC0266" w14:textId="77777777" w:rsidR="000A270A" w:rsidRPr="00404EE1" w:rsidRDefault="000A270A" w:rsidP="000A270A">
            <w:pPr>
              <w:pStyle w:val="Leipteksti"/>
              <w:spacing w:after="0"/>
              <w:rPr>
                <w:rFonts w:ascii="Verdana" w:hAnsi="Verdana"/>
                <w:sz w:val="20"/>
              </w:rPr>
            </w:pPr>
            <w:r>
              <w:rPr>
                <w:rFonts w:ascii="Verdana" w:hAnsi="Verdana"/>
                <w:sz w:val="20"/>
              </w:rPr>
              <w:t xml:space="preserve">In relevant Annex </w:t>
            </w:r>
          </w:p>
        </w:tc>
        <w:tc>
          <w:tcPr>
            <w:tcW w:w="2552" w:type="dxa"/>
            <w:tcBorders>
              <w:left w:val="nil"/>
            </w:tcBorders>
          </w:tcPr>
          <w:p w14:paraId="2D84B841" w14:textId="0A3B970E" w:rsidR="000A270A" w:rsidRDefault="000A270A" w:rsidP="000A270A">
            <w:pPr>
              <w:pStyle w:val="Leipteksti"/>
              <w:spacing w:after="0"/>
              <w:rPr>
                <w:rFonts w:ascii="Verdana" w:hAnsi="Verdana"/>
                <w:szCs w:val="24"/>
              </w:rPr>
            </w:pPr>
            <w:r w:rsidRPr="0055237D">
              <w:rPr>
                <w:rFonts w:ascii="MS Gothic" w:eastAsia="MS Gothic" w:hAnsi="MS Gothic" w:hint="eastAsia"/>
                <w:szCs w:val="24"/>
              </w:rPr>
              <w:t>☐</w:t>
            </w:r>
          </w:p>
        </w:tc>
        <w:tc>
          <w:tcPr>
            <w:tcW w:w="2551" w:type="dxa"/>
            <w:tcBorders>
              <w:left w:val="nil"/>
            </w:tcBorders>
          </w:tcPr>
          <w:p w14:paraId="579D6E1B" w14:textId="0442DC4C" w:rsidR="000A270A" w:rsidRDefault="000A270A" w:rsidP="000A270A">
            <w:pPr>
              <w:pStyle w:val="Leipteksti"/>
              <w:spacing w:after="0"/>
              <w:rPr>
                <w:rFonts w:ascii="Verdana" w:hAnsi="Verdana"/>
                <w:szCs w:val="24"/>
              </w:rPr>
            </w:pPr>
            <w:r w:rsidRPr="0055237D">
              <w:rPr>
                <w:rFonts w:ascii="MS Gothic" w:eastAsia="MS Gothic" w:hAnsi="MS Gothic" w:hint="eastAsia"/>
                <w:szCs w:val="24"/>
              </w:rPr>
              <w:t>☐</w:t>
            </w:r>
          </w:p>
        </w:tc>
      </w:tr>
      <w:tr w:rsidR="000A270A" w:rsidRPr="00037AE8" w14:paraId="4EE30BB6" w14:textId="77777777" w:rsidTr="000A270A">
        <w:trPr>
          <w:cantSplit/>
          <w:trHeight w:val="1818"/>
        </w:trPr>
        <w:tc>
          <w:tcPr>
            <w:tcW w:w="2268" w:type="dxa"/>
            <w:textDirection w:val="btLr"/>
            <w:vAlign w:val="center"/>
          </w:tcPr>
          <w:p w14:paraId="080B7D09" w14:textId="77777777" w:rsidR="000A270A" w:rsidRPr="0048058C" w:rsidRDefault="000A270A" w:rsidP="000A270A">
            <w:pPr>
              <w:pStyle w:val="Leipteksti"/>
              <w:spacing w:before="120" w:after="0"/>
              <w:ind w:right="113"/>
              <w:jc w:val="center"/>
              <w:rPr>
                <w:rFonts w:ascii="Verdana" w:hAnsi="Verdana"/>
                <w:sz w:val="20"/>
              </w:rPr>
            </w:pPr>
            <w:proofErr w:type="gramStart"/>
            <w:r>
              <w:rPr>
                <w:rFonts w:ascii="Verdana" w:hAnsi="Verdana"/>
                <w:sz w:val="20"/>
              </w:rPr>
              <w:t>Other</w:t>
            </w:r>
            <w:proofErr w:type="gramEnd"/>
            <w:r>
              <w:rPr>
                <w:rFonts w:ascii="Verdana" w:hAnsi="Verdana"/>
                <w:sz w:val="20"/>
              </w:rPr>
              <w:t xml:space="preserve"> processes/ EU legislation</w:t>
            </w:r>
          </w:p>
        </w:tc>
        <w:tc>
          <w:tcPr>
            <w:tcW w:w="2405" w:type="dxa"/>
            <w:tcBorders>
              <w:left w:val="nil"/>
            </w:tcBorders>
            <w:vAlign w:val="center"/>
          </w:tcPr>
          <w:p w14:paraId="1403B5F1" w14:textId="77777777" w:rsidR="000A270A" w:rsidRPr="006C6BB5" w:rsidRDefault="000A270A" w:rsidP="000A270A">
            <w:pPr>
              <w:pStyle w:val="Leipteksti"/>
              <w:spacing w:after="0"/>
              <w:rPr>
                <w:rFonts w:ascii="Verdana" w:hAnsi="Verdana"/>
                <w:sz w:val="20"/>
              </w:rPr>
            </w:pPr>
            <w:r w:rsidRPr="001D1FDB">
              <w:rPr>
                <w:rFonts w:ascii="Verdana" w:hAnsi="Verdana"/>
                <w:sz w:val="20"/>
              </w:rPr>
              <w:t>Other</w:t>
            </w:r>
            <w:r>
              <w:rPr>
                <w:rFonts w:ascii="Verdana" w:hAnsi="Verdana"/>
                <w:sz w:val="20"/>
              </w:rPr>
              <w:t xml:space="preserve"> </w:t>
            </w:r>
            <w:r w:rsidRPr="001D1FDB">
              <w:rPr>
                <w:rFonts w:ascii="Verdana" w:hAnsi="Verdana"/>
                <w:sz w:val="20"/>
              </w:rPr>
              <w:t>(provide further details below)</w:t>
            </w:r>
          </w:p>
        </w:tc>
        <w:tc>
          <w:tcPr>
            <w:tcW w:w="2552" w:type="dxa"/>
            <w:tcBorders>
              <w:left w:val="nil"/>
            </w:tcBorders>
          </w:tcPr>
          <w:p w14:paraId="6D679A1E" w14:textId="4F641C80" w:rsidR="000A270A" w:rsidRDefault="000A270A" w:rsidP="000A270A">
            <w:pPr>
              <w:pStyle w:val="Leipteksti"/>
              <w:spacing w:after="0"/>
              <w:rPr>
                <w:rFonts w:ascii="Verdana" w:hAnsi="Verdana"/>
                <w:szCs w:val="24"/>
              </w:rPr>
            </w:pPr>
            <w:r w:rsidRPr="0055237D">
              <w:rPr>
                <w:rFonts w:ascii="MS Gothic" w:eastAsia="MS Gothic" w:hAnsi="MS Gothic" w:hint="eastAsia"/>
                <w:szCs w:val="24"/>
              </w:rPr>
              <w:t>☐</w:t>
            </w:r>
          </w:p>
        </w:tc>
        <w:tc>
          <w:tcPr>
            <w:tcW w:w="2551" w:type="dxa"/>
            <w:tcBorders>
              <w:left w:val="nil"/>
            </w:tcBorders>
          </w:tcPr>
          <w:p w14:paraId="3A905A40" w14:textId="0423CEDE" w:rsidR="000A270A" w:rsidRDefault="000A270A" w:rsidP="000A270A">
            <w:pPr>
              <w:pStyle w:val="Leipteksti"/>
              <w:spacing w:after="0"/>
              <w:rPr>
                <w:rFonts w:ascii="Verdana" w:hAnsi="Verdana"/>
                <w:szCs w:val="24"/>
              </w:rPr>
            </w:pPr>
            <w:r w:rsidRPr="0055237D">
              <w:rPr>
                <w:rFonts w:ascii="MS Gothic" w:eastAsia="MS Gothic" w:hAnsi="MS Gothic" w:hint="eastAsia"/>
                <w:szCs w:val="24"/>
              </w:rPr>
              <w:t>☐</w:t>
            </w:r>
          </w:p>
        </w:tc>
      </w:tr>
    </w:tbl>
    <w:p w14:paraId="0D310BB1" w14:textId="77777777" w:rsidR="00665558" w:rsidRDefault="00665558" w:rsidP="000A270A">
      <w:pPr>
        <w:pStyle w:val="Leipteksti"/>
        <w:spacing w:before="120" w:after="0"/>
        <w:ind w:right="113"/>
        <w:rPr>
          <w:rFonts w:ascii="Verdana" w:hAnsi="Verdana"/>
          <w:sz w:val="20"/>
        </w:rPr>
        <w:sectPr w:rsidR="00665558" w:rsidSect="005F3A27">
          <w:pgSz w:w="11906" w:h="16838" w:code="9"/>
          <w:pgMar w:top="1418" w:right="1797" w:bottom="1134" w:left="1797" w:header="680" w:footer="567" w:gutter="0"/>
          <w:cols w:space="708"/>
          <w:docGrid w:linePitch="360"/>
        </w:sectPr>
      </w:pPr>
    </w:p>
    <w:p w14:paraId="39B96A43" w14:textId="71C99553" w:rsidR="00063A81" w:rsidRDefault="00063A81">
      <w:pPr>
        <w:spacing w:after="0"/>
        <w:rPr>
          <w:rFonts w:ascii="Verdana" w:hAnsi="Verdana"/>
          <w:b/>
          <w:caps/>
          <w:szCs w:val="20"/>
          <w:lang w:val="en-GB"/>
        </w:rPr>
      </w:pPr>
      <w:bookmarkStart w:id="18" w:name="_Toc387770102"/>
      <w:bookmarkEnd w:id="16"/>
      <w:bookmarkEnd w:id="17"/>
    </w:p>
    <w:p w14:paraId="39B96A44" w14:textId="77777777" w:rsidR="000E3DC6" w:rsidRDefault="000E3DC6" w:rsidP="000E3DC6">
      <w:pPr>
        <w:pStyle w:val="Otsikko1"/>
        <w:tabs>
          <w:tab w:val="clear" w:pos="839"/>
        </w:tabs>
        <w:ind w:left="426" w:hanging="426"/>
        <w:rPr>
          <w:rFonts w:ascii="Verdana" w:hAnsi="Verdana"/>
        </w:rPr>
      </w:pPr>
      <w:r w:rsidRPr="000E3DC6">
        <w:rPr>
          <w:rFonts w:ascii="Verdana" w:hAnsi="Verdana"/>
        </w:rPr>
        <w:t>HAZARD INFORMATION (INCLUDING CLASSIFICATION)</w:t>
      </w:r>
      <w:bookmarkEnd w:id="18"/>
    </w:p>
    <w:p w14:paraId="39B96A47" w14:textId="77777777" w:rsidR="000E3DC6" w:rsidRPr="00E25711" w:rsidRDefault="000E3DC6" w:rsidP="000E3DC6">
      <w:pPr>
        <w:pStyle w:val="Otsikko2"/>
        <w:tabs>
          <w:tab w:val="clear" w:pos="839"/>
          <w:tab w:val="num" w:pos="540"/>
        </w:tabs>
        <w:spacing w:before="240"/>
        <w:ind w:left="540" w:hanging="540"/>
      </w:pPr>
      <w:bookmarkStart w:id="19" w:name="_Toc387770103"/>
      <w:r w:rsidRPr="00E25711">
        <w:t>Classification</w:t>
      </w:r>
      <w:bookmarkEnd w:id="19"/>
      <w:r w:rsidRPr="00E25711">
        <w:t xml:space="preserve"> </w:t>
      </w:r>
    </w:p>
    <w:p w14:paraId="39B96A49" w14:textId="77777777" w:rsidR="00E25711" w:rsidRPr="00E25711" w:rsidRDefault="00E25711" w:rsidP="00336750">
      <w:pPr>
        <w:pStyle w:val="Otsikko3"/>
      </w:pPr>
      <w:bookmarkStart w:id="20" w:name="_Toc308015315"/>
      <w:bookmarkStart w:id="21" w:name="_Toc387770104"/>
      <w:bookmarkStart w:id="22" w:name="_Toc285710603"/>
      <w:r w:rsidRPr="00E25711">
        <w:t>Harmonised Classification in Annex VI of the CLP</w:t>
      </w:r>
      <w:bookmarkEnd w:id="20"/>
      <w:bookmarkEnd w:id="21"/>
    </w:p>
    <w:p w14:paraId="12A4A981" w14:textId="68961959" w:rsidR="00305A6E" w:rsidRPr="00446D2F" w:rsidRDefault="00305A6E" w:rsidP="00DA167C">
      <w:pPr>
        <w:pStyle w:val="Leipteksti"/>
        <w:spacing w:after="0"/>
        <w:ind w:right="-477"/>
        <w:jc w:val="left"/>
        <w:rPr>
          <w:rFonts w:ascii="Verdana" w:hAnsi="Verdana"/>
          <w:sz w:val="20"/>
        </w:rPr>
      </w:pPr>
      <w:r>
        <w:rPr>
          <w:rFonts w:ascii="Verdana" w:hAnsi="Verdana"/>
          <w:sz w:val="20"/>
        </w:rPr>
        <w:t>No harmonised classification</w:t>
      </w:r>
      <w:r w:rsidR="00674ED0">
        <w:rPr>
          <w:rFonts w:ascii="Verdana" w:hAnsi="Verdana"/>
          <w:sz w:val="20"/>
        </w:rPr>
        <w:t>s</w:t>
      </w:r>
      <w:r>
        <w:rPr>
          <w:rFonts w:ascii="Verdana" w:hAnsi="Verdana"/>
          <w:sz w:val="20"/>
        </w:rPr>
        <w:t>.</w:t>
      </w:r>
    </w:p>
    <w:p w14:paraId="39B96A68" w14:textId="77777777" w:rsidR="0024758B" w:rsidRPr="00E25711" w:rsidRDefault="0024758B" w:rsidP="000E3DC6">
      <w:pPr>
        <w:pStyle w:val="Otsikko3"/>
      </w:pPr>
      <w:bookmarkStart w:id="23" w:name="_Toc285710604"/>
      <w:bookmarkStart w:id="24" w:name="_Toc308015316"/>
      <w:bookmarkStart w:id="25" w:name="_Toc387770105"/>
      <w:bookmarkEnd w:id="22"/>
      <w:proofErr w:type="spellStart"/>
      <w:r w:rsidRPr="00E25711">
        <w:t>Self classification</w:t>
      </w:r>
      <w:bookmarkEnd w:id="23"/>
      <w:bookmarkEnd w:id="24"/>
      <w:bookmarkEnd w:id="25"/>
      <w:proofErr w:type="spellEnd"/>
      <w:r w:rsidRPr="00E25711">
        <w:t xml:space="preserve"> </w:t>
      </w:r>
    </w:p>
    <w:p w14:paraId="088A6651" w14:textId="3EF5831F" w:rsidR="00674ED0" w:rsidRDefault="0024758B" w:rsidP="00D23F3C">
      <w:pPr>
        <w:numPr>
          <w:ilvl w:val="0"/>
          <w:numId w:val="7"/>
        </w:numPr>
        <w:spacing w:after="120"/>
        <w:ind w:left="426"/>
        <w:rPr>
          <w:rFonts w:ascii="Verdana" w:hAnsi="Verdana"/>
          <w:sz w:val="20"/>
          <w:szCs w:val="20"/>
        </w:rPr>
      </w:pPr>
      <w:r w:rsidRPr="00875BE2">
        <w:rPr>
          <w:rFonts w:ascii="Verdana" w:hAnsi="Verdana"/>
          <w:sz w:val="20"/>
          <w:szCs w:val="20"/>
        </w:rPr>
        <w:t xml:space="preserve">In the </w:t>
      </w:r>
      <w:r w:rsidR="002A4D4A" w:rsidRPr="00875BE2">
        <w:rPr>
          <w:rFonts w:ascii="Verdana" w:hAnsi="Verdana"/>
          <w:sz w:val="20"/>
          <w:szCs w:val="20"/>
        </w:rPr>
        <w:t>registration</w:t>
      </w:r>
      <w:r w:rsidR="00BE0FF6">
        <w:rPr>
          <w:rFonts w:ascii="Verdana" w:hAnsi="Verdana"/>
          <w:sz w:val="20"/>
          <w:szCs w:val="20"/>
        </w:rPr>
        <w:t>(s)</w:t>
      </w:r>
      <w:r w:rsidR="00942E3F">
        <w:rPr>
          <w:rFonts w:ascii="Verdana" w:hAnsi="Verdana"/>
          <w:sz w:val="20"/>
          <w:szCs w:val="20"/>
        </w:rPr>
        <w:t>:</w:t>
      </w:r>
      <w:r w:rsidRPr="00875BE2">
        <w:rPr>
          <w:rFonts w:ascii="Verdana" w:hAnsi="Verdana"/>
          <w:sz w:val="20"/>
          <w:szCs w:val="20"/>
        </w:rPr>
        <w:t xml:space="preserve"> </w:t>
      </w:r>
    </w:p>
    <w:p w14:paraId="39B96A69" w14:textId="5EABBF62" w:rsidR="00942E3F" w:rsidRDefault="00674ED0" w:rsidP="00674ED0">
      <w:pPr>
        <w:spacing w:after="120"/>
        <w:ind w:left="426"/>
        <w:rPr>
          <w:rFonts w:ascii="Verdana" w:hAnsi="Verdana"/>
          <w:sz w:val="20"/>
          <w:szCs w:val="20"/>
        </w:rPr>
      </w:pPr>
      <w:r w:rsidRPr="00674ED0">
        <w:rPr>
          <w:rFonts w:ascii="Verdana" w:hAnsi="Verdana"/>
          <w:b/>
          <w:sz w:val="20"/>
          <w:szCs w:val="20"/>
        </w:rPr>
        <w:t xml:space="preserve">Dibenzylbenzene, </w:t>
      </w:r>
      <w:proofErr w:type="spellStart"/>
      <w:r w:rsidRPr="00674ED0">
        <w:rPr>
          <w:rFonts w:ascii="Verdana" w:hAnsi="Verdana"/>
          <w:b/>
          <w:sz w:val="20"/>
          <w:szCs w:val="20"/>
        </w:rPr>
        <w:t>ar</w:t>
      </w:r>
      <w:proofErr w:type="spellEnd"/>
      <w:r w:rsidRPr="00674ED0">
        <w:rPr>
          <w:rFonts w:ascii="Verdana" w:hAnsi="Verdana"/>
          <w:b/>
          <w:sz w:val="20"/>
          <w:szCs w:val="20"/>
        </w:rPr>
        <w:t>-methyl derivative</w:t>
      </w:r>
      <w:r>
        <w:rPr>
          <w:rFonts w:ascii="Verdana" w:hAnsi="Verdana"/>
          <w:sz w:val="20"/>
          <w:szCs w:val="20"/>
        </w:rPr>
        <w:t xml:space="preserve">: </w:t>
      </w:r>
      <w:r w:rsidR="00305A6E">
        <w:rPr>
          <w:rFonts w:ascii="Verdana" w:hAnsi="Verdana"/>
          <w:sz w:val="20"/>
          <w:szCs w:val="20"/>
        </w:rPr>
        <w:t xml:space="preserve">Asp. Tox. 1 (H304), Aquatic Chronic 4 (H413).  </w:t>
      </w:r>
    </w:p>
    <w:p w14:paraId="7DD9EAA4" w14:textId="0D4C1A8C" w:rsidR="00674ED0" w:rsidRPr="00674ED0" w:rsidRDefault="00674ED0" w:rsidP="00674ED0">
      <w:pPr>
        <w:spacing w:after="120"/>
        <w:ind w:left="426"/>
        <w:rPr>
          <w:rFonts w:ascii="Verdana" w:hAnsi="Verdana"/>
          <w:b/>
          <w:sz w:val="20"/>
          <w:szCs w:val="20"/>
        </w:rPr>
      </w:pPr>
      <w:r w:rsidRPr="00674ED0">
        <w:rPr>
          <w:rFonts w:ascii="Verdana" w:hAnsi="Verdana"/>
          <w:b/>
          <w:sz w:val="20"/>
          <w:szCs w:val="20"/>
        </w:rPr>
        <w:t>6-(1-phenylethyl)-1,2,3,4-tetrahydronaphthalene</w:t>
      </w:r>
      <w:r>
        <w:rPr>
          <w:rFonts w:ascii="Verdana" w:hAnsi="Verdana"/>
          <w:b/>
          <w:sz w:val="20"/>
          <w:szCs w:val="20"/>
        </w:rPr>
        <w:t xml:space="preserve">: </w:t>
      </w:r>
      <w:r w:rsidRPr="00850AEF">
        <w:rPr>
          <w:rFonts w:ascii="Verdana" w:hAnsi="Verdana"/>
          <w:sz w:val="20"/>
          <w:szCs w:val="20"/>
        </w:rPr>
        <w:t>Aquatic Acute 1 (H400), Aquatic Chronic 1 (H410).</w:t>
      </w:r>
    </w:p>
    <w:p w14:paraId="39B96A71" w14:textId="77777777" w:rsidR="006360FB" w:rsidRPr="00E25711" w:rsidRDefault="006360FB" w:rsidP="006360FB">
      <w:pPr>
        <w:pStyle w:val="Otsikko3"/>
      </w:pPr>
      <w:bookmarkStart w:id="26" w:name="_Toc352665471"/>
      <w:bookmarkStart w:id="27" w:name="_Toc387770107"/>
      <w:r w:rsidRPr="00E25711">
        <w:t>Proposal for Harmonised Classification in Annex VI of the CLP</w:t>
      </w:r>
      <w:bookmarkEnd w:id="26"/>
      <w:bookmarkEnd w:id="27"/>
    </w:p>
    <w:p w14:paraId="39B96A79" w14:textId="1488935C" w:rsidR="00076935" w:rsidRDefault="00ED15A3" w:rsidP="00D23F3C">
      <w:pPr>
        <w:spacing w:after="0"/>
        <w:ind w:left="426" w:right="-477"/>
        <w:rPr>
          <w:rFonts w:ascii="Verdana" w:hAnsi="Verdana"/>
          <w:sz w:val="20"/>
          <w:szCs w:val="20"/>
          <w:lang w:val="en-GB"/>
        </w:rPr>
      </w:pPr>
      <w:r>
        <w:rPr>
          <w:rFonts w:ascii="Verdana" w:hAnsi="Verdana"/>
          <w:sz w:val="20"/>
          <w:szCs w:val="20"/>
          <w:lang w:val="en-GB"/>
        </w:rPr>
        <w:t>No proposals.</w:t>
      </w:r>
    </w:p>
    <w:p w14:paraId="3F01E5EE" w14:textId="11EAB276" w:rsidR="00CF1B60" w:rsidRPr="0000318B" w:rsidRDefault="00867E74" w:rsidP="00CF1B60">
      <w:pPr>
        <w:pStyle w:val="Otsikko3"/>
      </w:pPr>
      <w:bookmarkStart w:id="28" w:name="_Toc387770106"/>
      <w:r w:rsidRPr="00793703">
        <w:t>CLP Notification Status</w:t>
      </w:r>
      <w:bookmarkEnd w:id="28"/>
    </w:p>
    <w:p w14:paraId="66B91558" w14:textId="77777777" w:rsidR="00CF1B60" w:rsidRPr="00CF1B60" w:rsidRDefault="00CF1B60" w:rsidP="00CF1B60">
      <w:pPr>
        <w:pStyle w:val="Leipteksti"/>
        <w:rPr>
          <w:lang w:val="en-US"/>
        </w:rPr>
      </w:pPr>
    </w:p>
    <w:p w14:paraId="39B96A7D" w14:textId="06C718CF" w:rsidR="00867E74" w:rsidRPr="007D2EEF" w:rsidRDefault="00867E74" w:rsidP="00867E74">
      <w:pPr>
        <w:pStyle w:val="Kuvaotsikko"/>
        <w:rPr>
          <w:rFonts w:ascii="Verdana" w:hAnsi="Verdana"/>
          <w:b/>
          <w:sz w:val="20"/>
        </w:rPr>
      </w:pPr>
      <w:r w:rsidRPr="007D2EEF">
        <w:rPr>
          <w:rFonts w:ascii="Verdana" w:hAnsi="Verdana"/>
          <w:b/>
          <w:sz w:val="20"/>
        </w:rPr>
        <w:t>Table</w:t>
      </w:r>
      <w:r w:rsidR="00E669C1">
        <w:rPr>
          <w:rFonts w:ascii="Verdana" w:hAnsi="Verdana"/>
          <w:b/>
          <w:sz w:val="20"/>
        </w:rPr>
        <w:t xml:space="preserve"> 6</w:t>
      </w:r>
      <w:r w:rsidRPr="007D2EEF">
        <w:rPr>
          <w:rFonts w:ascii="Verdana" w:hAnsi="Verdana"/>
          <w:b/>
          <w:sz w:val="20"/>
        </w:rPr>
        <w:t>: CLP Notifications</w:t>
      </w:r>
    </w:p>
    <w:tbl>
      <w:tblPr>
        <w:tblW w:w="5289" w:type="pct"/>
        <w:jc w:val="center"/>
        <w:tblLayout w:type="fixed"/>
        <w:tblLook w:val="0000" w:firstRow="0" w:lastRow="0" w:firstColumn="0" w:lastColumn="0" w:noHBand="0" w:noVBand="0"/>
      </w:tblPr>
      <w:tblGrid>
        <w:gridCol w:w="3115"/>
        <w:gridCol w:w="2693"/>
        <w:gridCol w:w="2976"/>
      </w:tblGrid>
      <w:tr w:rsidR="00850AEF" w:rsidRPr="00793703" w14:paraId="39B96A80" w14:textId="79819E7A" w:rsidTr="00850AEF">
        <w:trPr>
          <w:cantSplit/>
          <w:trHeight w:val="98"/>
          <w:jc w:val="center"/>
        </w:trPr>
        <w:tc>
          <w:tcPr>
            <w:tcW w:w="1773" w:type="pct"/>
            <w:tcBorders>
              <w:top w:val="single" w:sz="2" w:space="0" w:color="auto"/>
              <w:left w:val="single" w:sz="4" w:space="0" w:color="auto"/>
              <w:bottom w:val="single" w:sz="4" w:space="0" w:color="auto"/>
              <w:right w:val="single" w:sz="4" w:space="0" w:color="auto"/>
            </w:tcBorders>
          </w:tcPr>
          <w:p w14:paraId="39B96A7E" w14:textId="77777777" w:rsidR="00850AEF" w:rsidRPr="00793703" w:rsidRDefault="00850AEF" w:rsidP="003D15D1">
            <w:pPr>
              <w:spacing w:before="60" w:after="60"/>
              <w:jc w:val="center"/>
              <w:rPr>
                <w:rFonts w:ascii="Verdana" w:hAnsi="Verdana"/>
                <w:b/>
                <w:sz w:val="20"/>
                <w:szCs w:val="20"/>
              </w:rPr>
            </w:pPr>
          </w:p>
        </w:tc>
        <w:tc>
          <w:tcPr>
            <w:tcW w:w="3227" w:type="pct"/>
            <w:gridSpan w:val="2"/>
            <w:tcBorders>
              <w:top w:val="single" w:sz="2" w:space="0" w:color="auto"/>
              <w:left w:val="single" w:sz="4" w:space="0" w:color="auto"/>
              <w:bottom w:val="single" w:sz="4" w:space="0" w:color="auto"/>
              <w:right w:val="single" w:sz="2" w:space="0" w:color="auto"/>
            </w:tcBorders>
          </w:tcPr>
          <w:p w14:paraId="7CA9B064" w14:textId="10492A9C" w:rsidR="00850AEF" w:rsidRPr="00793703" w:rsidRDefault="00850AEF" w:rsidP="003D15D1">
            <w:pPr>
              <w:spacing w:before="60" w:after="60"/>
              <w:jc w:val="center"/>
              <w:rPr>
                <w:rFonts w:ascii="Verdana" w:hAnsi="Verdana"/>
                <w:b/>
                <w:sz w:val="20"/>
                <w:szCs w:val="20"/>
              </w:rPr>
            </w:pPr>
            <w:r w:rsidRPr="00793703">
              <w:rPr>
                <w:rFonts w:ascii="Verdana" w:hAnsi="Verdana"/>
                <w:b/>
                <w:sz w:val="20"/>
                <w:szCs w:val="20"/>
              </w:rPr>
              <w:t>CLP Notifications</w:t>
            </w:r>
            <w:r w:rsidRPr="00FA015A">
              <w:rPr>
                <w:rStyle w:val="Alaviitteenviite"/>
                <w:rFonts w:ascii="Verdana" w:hAnsi="Verdana"/>
                <w:b/>
                <w:sz w:val="20"/>
                <w:szCs w:val="20"/>
              </w:rPr>
              <w:footnoteReference w:id="5"/>
            </w:r>
          </w:p>
        </w:tc>
      </w:tr>
      <w:tr w:rsidR="00850AEF" w:rsidRPr="00793703" w14:paraId="37BF8575" w14:textId="48BF0928" w:rsidTr="00850AEF">
        <w:trPr>
          <w:cantSplit/>
          <w:trHeight w:val="98"/>
          <w:jc w:val="center"/>
        </w:trPr>
        <w:tc>
          <w:tcPr>
            <w:tcW w:w="1773" w:type="pct"/>
            <w:tcBorders>
              <w:top w:val="single" w:sz="2" w:space="0" w:color="auto"/>
              <w:left w:val="single" w:sz="4" w:space="0" w:color="auto"/>
              <w:bottom w:val="single" w:sz="4" w:space="0" w:color="auto"/>
              <w:right w:val="single" w:sz="4" w:space="0" w:color="auto"/>
            </w:tcBorders>
          </w:tcPr>
          <w:p w14:paraId="714DDE0C" w14:textId="77777777" w:rsidR="00850AEF" w:rsidRPr="00793703" w:rsidRDefault="00850AEF" w:rsidP="003D15D1">
            <w:pPr>
              <w:spacing w:before="60" w:after="60"/>
              <w:jc w:val="center"/>
              <w:rPr>
                <w:rFonts w:ascii="Verdana" w:hAnsi="Verdana"/>
                <w:b/>
                <w:sz w:val="20"/>
                <w:szCs w:val="20"/>
              </w:rPr>
            </w:pPr>
          </w:p>
        </w:tc>
        <w:tc>
          <w:tcPr>
            <w:tcW w:w="1533" w:type="pct"/>
            <w:tcBorders>
              <w:top w:val="single" w:sz="2" w:space="0" w:color="auto"/>
              <w:left w:val="single" w:sz="4" w:space="0" w:color="auto"/>
              <w:bottom w:val="single" w:sz="4" w:space="0" w:color="auto"/>
              <w:right w:val="single" w:sz="2" w:space="0" w:color="auto"/>
            </w:tcBorders>
          </w:tcPr>
          <w:p w14:paraId="496F9AD7" w14:textId="77777777" w:rsidR="00850AEF" w:rsidRPr="00850AEF" w:rsidRDefault="00850AEF" w:rsidP="00850AEF">
            <w:pPr>
              <w:spacing w:after="120" w:line="360" w:lineRule="auto"/>
              <w:rPr>
                <w:rFonts w:ascii="Verdana" w:hAnsi="Verdana" w:cs="Arial"/>
                <w:sz w:val="20"/>
                <w:szCs w:val="20"/>
              </w:rPr>
            </w:pPr>
            <w:bookmarkStart w:id="29" w:name="_Hlk20821154"/>
            <w:r w:rsidRPr="00850AEF">
              <w:rPr>
                <w:rFonts w:ascii="Verdana" w:hAnsi="Verdana" w:cs="Arial"/>
                <w:sz w:val="20"/>
                <w:szCs w:val="20"/>
              </w:rPr>
              <w:t xml:space="preserve">Dibenzylbenzene, </w:t>
            </w:r>
            <w:proofErr w:type="spellStart"/>
            <w:r w:rsidRPr="00850AEF">
              <w:rPr>
                <w:rFonts w:ascii="Verdana" w:hAnsi="Verdana" w:cs="Arial"/>
                <w:sz w:val="20"/>
                <w:szCs w:val="20"/>
              </w:rPr>
              <w:t>ar</w:t>
            </w:r>
            <w:proofErr w:type="spellEnd"/>
            <w:r w:rsidRPr="00850AEF">
              <w:rPr>
                <w:rFonts w:ascii="Verdana" w:hAnsi="Verdana" w:cs="Arial"/>
                <w:sz w:val="20"/>
                <w:szCs w:val="20"/>
              </w:rPr>
              <w:t>-methyl derivative</w:t>
            </w:r>
          </w:p>
          <w:bookmarkEnd w:id="29"/>
          <w:p w14:paraId="534C78B4" w14:textId="77777777" w:rsidR="00850AEF" w:rsidRPr="00850AEF" w:rsidRDefault="00850AEF" w:rsidP="003D15D1">
            <w:pPr>
              <w:spacing w:before="60" w:after="60"/>
              <w:jc w:val="center"/>
              <w:rPr>
                <w:rFonts w:ascii="Verdana" w:hAnsi="Verdana"/>
                <w:b/>
                <w:sz w:val="20"/>
                <w:szCs w:val="20"/>
              </w:rPr>
            </w:pPr>
          </w:p>
        </w:tc>
        <w:tc>
          <w:tcPr>
            <w:tcW w:w="1694" w:type="pct"/>
            <w:tcBorders>
              <w:top w:val="single" w:sz="2" w:space="0" w:color="auto"/>
              <w:left w:val="single" w:sz="4" w:space="0" w:color="auto"/>
              <w:bottom w:val="single" w:sz="4" w:space="0" w:color="auto"/>
              <w:right w:val="single" w:sz="2" w:space="0" w:color="auto"/>
            </w:tcBorders>
          </w:tcPr>
          <w:p w14:paraId="63CF2636" w14:textId="34391152" w:rsidR="00850AEF" w:rsidRPr="00850AEF" w:rsidRDefault="00850AEF" w:rsidP="00850AEF">
            <w:pPr>
              <w:spacing w:after="120" w:line="360" w:lineRule="auto"/>
              <w:rPr>
                <w:rFonts w:ascii="Verdana" w:hAnsi="Verdana" w:cs="Arial"/>
                <w:sz w:val="20"/>
                <w:szCs w:val="20"/>
              </w:rPr>
            </w:pPr>
            <w:r w:rsidRPr="00850AEF">
              <w:rPr>
                <w:rFonts w:ascii="Verdana" w:hAnsi="Verdana" w:cs="Arial"/>
                <w:sz w:val="20"/>
                <w:szCs w:val="20"/>
              </w:rPr>
              <w:t>6-(1-phenylethyl)-1,2,3,4-tetrahydronaphthalene</w:t>
            </w:r>
          </w:p>
        </w:tc>
      </w:tr>
      <w:tr w:rsidR="00850AEF" w:rsidRPr="00793703" w14:paraId="39B96A83" w14:textId="46A4FE62" w:rsidTr="00850AEF">
        <w:trPr>
          <w:cantSplit/>
          <w:trHeight w:val="168"/>
          <w:jc w:val="center"/>
        </w:trPr>
        <w:tc>
          <w:tcPr>
            <w:tcW w:w="1773" w:type="pct"/>
            <w:tcBorders>
              <w:top w:val="single" w:sz="2" w:space="0" w:color="auto"/>
              <w:left w:val="single" w:sz="4" w:space="0" w:color="auto"/>
              <w:bottom w:val="single" w:sz="2" w:space="0" w:color="auto"/>
              <w:right w:val="single" w:sz="4" w:space="0" w:color="auto"/>
            </w:tcBorders>
          </w:tcPr>
          <w:p w14:paraId="39B96A81" w14:textId="77777777" w:rsidR="00850AEF" w:rsidRPr="00793703" w:rsidRDefault="00850AEF" w:rsidP="003D15D1">
            <w:pPr>
              <w:spacing w:before="60" w:after="60"/>
              <w:ind w:right="-108"/>
              <w:rPr>
                <w:rFonts w:ascii="Verdana" w:hAnsi="Verdana"/>
                <w:sz w:val="20"/>
                <w:szCs w:val="20"/>
              </w:rPr>
            </w:pPr>
            <w:r w:rsidRPr="00793703">
              <w:rPr>
                <w:rFonts w:ascii="Verdana" w:hAnsi="Verdana"/>
                <w:sz w:val="20"/>
                <w:szCs w:val="20"/>
              </w:rPr>
              <w:t>Number of aggregated notifications</w:t>
            </w:r>
          </w:p>
        </w:tc>
        <w:tc>
          <w:tcPr>
            <w:tcW w:w="1533" w:type="pct"/>
            <w:tcBorders>
              <w:top w:val="single" w:sz="2" w:space="0" w:color="auto"/>
              <w:left w:val="single" w:sz="4" w:space="0" w:color="auto"/>
              <w:bottom w:val="single" w:sz="2" w:space="0" w:color="auto"/>
              <w:right w:val="single" w:sz="2" w:space="0" w:color="auto"/>
            </w:tcBorders>
          </w:tcPr>
          <w:p w14:paraId="39B96A82" w14:textId="1B26E763" w:rsidR="00850AEF" w:rsidRPr="00850AEF" w:rsidRDefault="00850AEF" w:rsidP="003D15D1">
            <w:pPr>
              <w:spacing w:before="60" w:after="60"/>
              <w:jc w:val="center"/>
              <w:rPr>
                <w:rFonts w:ascii="Verdana" w:hAnsi="Verdana"/>
                <w:sz w:val="20"/>
                <w:szCs w:val="20"/>
              </w:rPr>
            </w:pPr>
            <w:r w:rsidRPr="00850AEF">
              <w:rPr>
                <w:rFonts w:ascii="Verdana" w:hAnsi="Verdana"/>
                <w:sz w:val="20"/>
                <w:szCs w:val="20"/>
              </w:rPr>
              <w:t>1</w:t>
            </w:r>
          </w:p>
        </w:tc>
        <w:tc>
          <w:tcPr>
            <w:tcW w:w="1694" w:type="pct"/>
            <w:tcBorders>
              <w:top w:val="single" w:sz="2" w:space="0" w:color="auto"/>
              <w:left w:val="single" w:sz="4" w:space="0" w:color="auto"/>
              <w:bottom w:val="single" w:sz="2" w:space="0" w:color="auto"/>
              <w:right w:val="single" w:sz="2" w:space="0" w:color="auto"/>
            </w:tcBorders>
          </w:tcPr>
          <w:p w14:paraId="42BFC7CC" w14:textId="69C57463" w:rsidR="00850AEF" w:rsidRPr="00850AEF" w:rsidRDefault="00850AEF" w:rsidP="003D15D1">
            <w:pPr>
              <w:spacing w:before="60" w:after="60"/>
              <w:jc w:val="center"/>
              <w:rPr>
                <w:rFonts w:ascii="Verdana" w:hAnsi="Verdana"/>
                <w:sz w:val="20"/>
                <w:szCs w:val="20"/>
              </w:rPr>
            </w:pPr>
            <w:r w:rsidRPr="00850AEF">
              <w:rPr>
                <w:rFonts w:ascii="Verdana" w:hAnsi="Verdana"/>
                <w:sz w:val="20"/>
                <w:szCs w:val="20"/>
              </w:rPr>
              <w:t>3</w:t>
            </w:r>
          </w:p>
        </w:tc>
      </w:tr>
      <w:tr w:rsidR="00850AEF" w:rsidRPr="00954FB8" w14:paraId="39B96A86" w14:textId="73B79C1F" w:rsidTr="00850AEF">
        <w:trPr>
          <w:cantSplit/>
          <w:trHeight w:val="168"/>
          <w:jc w:val="center"/>
        </w:trPr>
        <w:tc>
          <w:tcPr>
            <w:tcW w:w="1773" w:type="pct"/>
            <w:tcBorders>
              <w:top w:val="single" w:sz="2" w:space="0" w:color="auto"/>
              <w:left w:val="single" w:sz="4" w:space="0" w:color="auto"/>
              <w:bottom w:val="single" w:sz="2" w:space="0" w:color="auto"/>
              <w:right w:val="single" w:sz="4" w:space="0" w:color="auto"/>
            </w:tcBorders>
          </w:tcPr>
          <w:p w14:paraId="39B96A84" w14:textId="77777777" w:rsidR="00850AEF" w:rsidRPr="00954FB8" w:rsidRDefault="00850AEF" w:rsidP="003D15D1">
            <w:pPr>
              <w:spacing w:before="60" w:after="60"/>
              <w:ind w:right="-108"/>
              <w:rPr>
                <w:color w:val="000000"/>
                <w:sz w:val="20"/>
                <w:szCs w:val="20"/>
              </w:rPr>
            </w:pPr>
            <w:r w:rsidRPr="00793703">
              <w:rPr>
                <w:rFonts w:ascii="Verdana" w:hAnsi="Verdana"/>
                <w:sz w:val="20"/>
                <w:szCs w:val="20"/>
              </w:rPr>
              <w:t>Total number of notifiers</w:t>
            </w:r>
            <w:r w:rsidRPr="00954FB8">
              <w:rPr>
                <w:rFonts w:ascii="Verdana" w:hAnsi="Verdana"/>
                <w:sz w:val="20"/>
                <w:szCs w:val="20"/>
              </w:rPr>
              <w:t xml:space="preserve"> </w:t>
            </w:r>
          </w:p>
        </w:tc>
        <w:tc>
          <w:tcPr>
            <w:tcW w:w="1533" w:type="pct"/>
            <w:tcBorders>
              <w:top w:val="single" w:sz="2" w:space="0" w:color="auto"/>
              <w:left w:val="single" w:sz="4" w:space="0" w:color="auto"/>
              <w:bottom w:val="single" w:sz="2" w:space="0" w:color="auto"/>
              <w:right w:val="single" w:sz="2" w:space="0" w:color="auto"/>
            </w:tcBorders>
          </w:tcPr>
          <w:p w14:paraId="39B96A85" w14:textId="64DDA16F" w:rsidR="00850AEF" w:rsidRPr="00850AEF" w:rsidRDefault="00850AEF" w:rsidP="003D15D1">
            <w:pPr>
              <w:spacing w:before="60" w:after="60"/>
              <w:jc w:val="center"/>
              <w:rPr>
                <w:rFonts w:ascii="Verdana" w:hAnsi="Verdana"/>
                <w:sz w:val="20"/>
                <w:szCs w:val="20"/>
              </w:rPr>
            </w:pPr>
            <w:r w:rsidRPr="00850AEF">
              <w:rPr>
                <w:rFonts w:ascii="Verdana" w:hAnsi="Verdana"/>
                <w:sz w:val="20"/>
                <w:szCs w:val="20"/>
              </w:rPr>
              <w:t>34</w:t>
            </w:r>
          </w:p>
        </w:tc>
        <w:tc>
          <w:tcPr>
            <w:tcW w:w="1694" w:type="pct"/>
            <w:tcBorders>
              <w:top w:val="single" w:sz="2" w:space="0" w:color="auto"/>
              <w:left w:val="single" w:sz="4" w:space="0" w:color="auto"/>
              <w:bottom w:val="single" w:sz="2" w:space="0" w:color="auto"/>
              <w:right w:val="single" w:sz="2" w:space="0" w:color="auto"/>
            </w:tcBorders>
          </w:tcPr>
          <w:p w14:paraId="65ED5150" w14:textId="733E8532" w:rsidR="00850AEF" w:rsidRPr="00850AEF" w:rsidRDefault="00850AEF" w:rsidP="003D15D1">
            <w:pPr>
              <w:spacing w:before="60" w:after="60"/>
              <w:jc w:val="center"/>
              <w:rPr>
                <w:rFonts w:ascii="Verdana" w:hAnsi="Verdana"/>
                <w:sz w:val="20"/>
                <w:szCs w:val="20"/>
              </w:rPr>
            </w:pPr>
            <w:r w:rsidRPr="00850AEF">
              <w:rPr>
                <w:rFonts w:ascii="Verdana" w:hAnsi="Verdana"/>
                <w:sz w:val="20"/>
                <w:szCs w:val="20"/>
              </w:rPr>
              <w:t>95</w:t>
            </w:r>
          </w:p>
        </w:tc>
      </w:tr>
    </w:tbl>
    <w:p w14:paraId="39B96A87" w14:textId="77777777" w:rsidR="00867E74" w:rsidRDefault="00867E74" w:rsidP="00867E74">
      <w:pPr>
        <w:spacing w:after="0"/>
        <w:jc w:val="both"/>
        <w:rPr>
          <w:rFonts w:ascii="Verdana" w:hAnsi="Verdana"/>
          <w:i/>
          <w:sz w:val="20"/>
          <w:szCs w:val="20"/>
        </w:rPr>
      </w:pPr>
    </w:p>
    <w:p w14:paraId="2993F923" w14:textId="77777777" w:rsidR="0000318B" w:rsidRDefault="0000318B" w:rsidP="0042302F">
      <w:pPr>
        <w:spacing w:after="0"/>
        <w:ind w:right="-477"/>
        <w:rPr>
          <w:rFonts w:ascii="Verdana" w:hAnsi="Verdana"/>
          <w:sz w:val="20"/>
          <w:szCs w:val="20"/>
          <w:lang w:val="en-GB"/>
        </w:rPr>
      </w:pPr>
    </w:p>
    <w:p w14:paraId="469F0F3C" w14:textId="0D44BC9E" w:rsidR="007C58EC" w:rsidRPr="007C58EC" w:rsidRDefault="001A4BCD" w:rsidP="007C58EC">
      <w:pPr>
        <w:pStyle w:val="Otsikko2"/>
        <w:tabs>
          <w:tab w:val="clear" w:pos="839"/>
          <w:tab w:val="num" w:pos="540"/>
        </w:tabs>
        <w:spacing w:before="240"/>
        <w:ind w:left="540" w:hanging="540"/>
        <w:rPr>
          <w:szCs w:val="24"/>
        </w:rPr>
      </w:pPr>
      <w:r w:rsidRPr="00154C39">
        <w:rPr>
          <w:szCs w:val="24"/>
        </w:rPr>
        <w:t>Additional hazard information</w:t>
      </w:r>
    </w:p>
    <w:p w14:paraId="6F91694F" w14:textId="438D3544" w:rsidR="000A270A" w:rsidRPr="00E944B9" w:rsidRDefault="000A270A" w:rsidP="000A270A">
      <w:pPr>
        <w:pStyle w:val="Leipteksti"/>
        <w:spacing w:after="0"/>
        <w:rPr>
          <w:rFonts w:ascii="Verdana" w:hAnsi="Verdana"/>
          <w:sz w:val="20"/>
        </w:rPr>
      </w:pPr>
      <w:r>
        <w:rPr>
          <w:rFonts w:ascii="Verdana" w:hAnsi="Verdana"/>
          <w:sz w:val="20"/>
        </w:rPr>
        <w:t xml:space="preserve">Hazard information for human health and </w:t>
      </w:r>
      <w:r w:rsidR="00E209A5">
        <w:rPr>
          <w:rFonts w:ascii="Verdana" w:hAnsi="Verdana"/>
          <w:sz w:val="20"/>
        </w:rPr>
        <w:t xml:space="preserve">the </w:t>
      </w:r>
      <w:r>
        <w:rPr>
          <w:rFonts w:ascii="Verdana" w:hAnsi="Verdana"/>
          <w:sz w:val="20"/>
        </w:rPr>
        <w:t>environment is briefly presented in the following sections 3.2.1 and 3.2.2 separ</w:t>
      </w:r>
      <w:r w:rsidR="00E209A5">
        <w:rPr>
          <w:rFonts w:ascii="Verdana" w:hAnsi="Verdana"/>
          <w:sz w:val="20"/>
        </w:rPr>
        <w:t>a</w:t>
      </w:r>
      <w:r>
        <w:rPr>
          <w:rFonts w:ascii="Verdana" w:hAnsi="Verdana"/>
          <w:sz w:val="20"/>
        </w:rPr>
        <w:t>tely for d</w:t>
      </w:r>
      <w:r w:rsidRPr="002E791D">
        <w:rPr>
          <w:rFonts w:ascii="Verdana" w:hAnsi="Verdana"/>
          <w:sz w:val="20"/>
        </w:rPr>
        <w:t xml:space="preserve">ibenzylbenzene, </w:t>
      </w:r>
      <w:proofErr w:type="spellStart"/>
      <w:r w:rsidRPr="002E791D">
        <w:rPr>
          <w:rFonts w:ascii="Verdana" w:hAnsi="Verdana"/>
          <w:sz w:val="20"/>
        </w:rPr>
        <w:t>ar</w:t>
      </w:r>
      <w:proofErr w:type="spellEnd"/>
      <w:r w:rsidRPr="002E791D">
        <w:rPr>
          <w:rFonts w:ascii="Verdana" w:hAnsi="Verdana"/>
          <w:sz w:val="20"/>
        </w:rPr>
        <w:t>-methyl derivative</w:t>
      </w:r>
      <w:r>
        <w:rPr>
          <w:rFonts w:ascii="Verdana" w:hAnsi="Verdana"/>
          <w:sz w:val="20"/>
        </w:rPr>
        <w:t xml:space="preserve"> and </w:t>
      </w:r>
      <w:r w:rsidRPr="007C58EC">
        <w:rPr>
          <w:rFonts w:ascii="Verdana" w:hAnsi="Verdana"/>
          <w:sz w:val="20"/>
        </w:rPr>
        <w:t>6-(1-phenylethyl)-1,2,3,4-tetrahydronaphthalene</w:t>
      </w:r>
      <w:r>
        <w:rPr>
          <w:rFonts w:ascii="Verdana" w:hAnsi="Verdana"/>
          <w:sz w:val="20"/>
        </w:rPr>
        <w:t>.</w:t>
      </w:r>
      <w:r w:rsidR="000F40FE">
        <w:rPr>
          <w:rFonts w:ascii="Verdana" w:hAnsi="Verdana"/>
          <w:sz w:val="20"/>
        </w:rPr>
        <w:t xml:space="preserve"> All hazard information in these sections </w:t>
      </w:r>
      <w:r w:rsidR="0029232B">
        <w:rPr>
          <w:rFonts w:ascii="Verdana" w:hAnsi="Verdana"/>
          <w:sz w:val="20"/>
        </w:rPr>
        <w:t>are</w:t>
      </w:r>
      <w:r w:rsidR="000F40FE">
        <w:rPr>
          <w:rFonts w:ascii="Verdana" w:hAnsi="Verdana"/>
          <w:sz w:val="20"/>
        </w:rPr>
        <w:t xml:space="preserve"> from</w:t>
      </w:r>
      <w:r w:rsidR="0029232B">
        <w:rPr>
          <w:rFonts w:ascii="Verdana" w:hAnsi="Verdana"/>
          <w:sz w:val="20"/>
        </w:rPr>
        <w:t xml:space="preserve"> the registration dossiers as presented in</w:t>
      </w:r>
      <w:r w:rsidR="000F40FE">
        <w:rPr>
          <w:rFonts w:ascii="Verdana" w:hAnsi="Verdana"/>
          <w:sz w:val="20"/>
        </w:rPr>
        <w:t xml:space="preserve"> the public substance factsheets from the ECHA website. </w:t>
      </w:r>
      <w:r w:rsidR="0029232B">
        <w:rPr>
          <w:rFonts w:ascii="Verdana" w:hAnsi="Verdana"/>
          <w:sz w:val="20"/>
        </w:rPr>
        <w:t>C</w:t>
      </w:r>
      <w:r w:rsidR="000F40FE">
        <w:rPr>
          <w:rFonts w:ascii="Verdana" w:hAnsi="Verdana"/>
          <w:sz w:val="20"/>
        </w:rPr>
        <w:t xml:space="preserve">onfidential </w:t>
      </w:r>
      <w:r w:rsidR="0029232B">
        <w:rPr>
          <w:rFonts w:ascii="Verdana" w:hAnsi="Verdana"/>
          <w:sz w:val="20"/>
        </w:rPr>
        <w:t xml:space="preserve">hazard </w:t>
      </w:r>
      <w:r w:rsidR="000F40FE">
        <w:rPr>
          <w:rFonts w:ascii="Verdana" w:hAnsi="Verdana"/>
          <w:sz w:val="20"/>
        </w:rPr>
        <w:lastRenderedPageBreak/>
        <w:t>information from the registration dossier</w:t>
      </w:r>
      <w:r w:rsidR="0029232B">
        <w:rPr>
          <w:rFonts w:ascii="Verdana" w:hAnsi="Verdana"/>
          <w:sz w:val="20"/>
        </w:rPr>
        <w:t xml:space="preserve">s are included in to </w:t>
      </w:r>
      <w:r w:rsidR="00322D9C">
        <w:rPr>
          <w:rFonts w:ascii="Verdana" w:hAnsi="Verdana"/>
          <w:sz w:val="20"/>
        </w:rPr>
        <w:t xml:space="preserve">confidential </w:t>
      </w:r>
      <w:r w:rsidR="0029232B">
        <w:rPr>
          <w:rFonts w:ascii="Verdana" w:hAnsi="Verdana"/>
          <w:sz w:val="20"/>
        </w:rPr>
        <w:t>Annex I of this RMOA.</w:t>
      </w:r>
    </w:p>
    <w:p w14:paraId="1D4EB563" w14:textId="77777777" w:rsidR="000A270A" w:rsidRDefault="000A270A" w:rsidP="001A4BCD">
      <w:pPr>
        <w:pStyle w:val="Leipteksti"/>
        <w:spacing w:after="0"/>
        <w:rPr>
          <w:rFonts w:ascii="Verdana" w:hAnsi="Verdana"/>
          <w:sz w:val="20"/>
        </w:rPr>
      </w:pPr>
    </w:p>
    <w:p w14:paraId="4748B0EF" w14:textId="23EB2851" w:rsidR="00973EE7" w:rsidRDefault="003B2333" w:rsidP="001A4BCD">
      <w:pPr>
        <w:pStyle w:val="Leipteksti"/>
        <w:spacing w:after="0"/>
        <w:rPr>
          <w:rFonts w:ascii="Verdana" w:hAnsi="Verdana"/>
          <w:sz w:val="20"/>
        </w:rPr>
      </w:pPr>
      <w:r>
        <w:rPr>
          <w:rFonts w:ascii="Verdana" w:hAnsi="Verdana"/>
          <w:sz w:val="20"/>
        </w:rPr>
        <w:t>For persistence, the PBT screening criteria (ECHA 2017</w:t>
      </w:r>
      <w:r w:rsidR="007C2ACD">
        <w:rPr>
          <w:rFonts w:ascii="Verdana" w:hAnsi="Verdana"/>
          <w:sz w:val="20"/>
        </w:rPr>
        <w:t>a</w:t>
      </w:r>
      <w:r>
        <w:rPr>
          <w:rFonts w:ascii="Verdana" w:hAnsi="Verdana"/>
          <w:sz w:val="20"/>
        </w:rPr>
        <w:t>) are fulfilled for d</w:t>
      </w:r>
      <w:r w:rsidRPr="002E791D">
        <w:rPr>
          <w:rFonts w:ascii="Verdana" w:hAnsi="Verdana"/>
          <w:sz w:val="20"/>
        </w:rPr>
        <w:t xml:space="preserve">ibenzylbenzene, </w:t>
      </w:r>
      <w:proofErr w:type="spellStart"/>
      <w:r w:rsidRPr="002E791D">
        <w:rPr>
          <w:rFonts w:ascii="Verdana" w:hAnsi="Verdana"/>
          <w:sz w:val="20"/>
        </w:rPr>
        <w:t>ar</w:t>
      </w:r>
      <w:proofErr w:type="spellEnd"/>
      <w:r w:rsidRPr="002E791D">
        <w:rPr>
          <w:rFonts w:ascii="Verdana" w:hAnsi="Verdana"/>
          <w:sz w:val="20"/>
        </w:rPr>
        <w:t>-methyl derivative</w:t>
      </w:r>
      <w:r>
        <w:rPr>
          <w:rFonts w:ascii="Verdana" w:hAnsi="Verdana"/>
          <w:sz w:val="20"/>
        </w:rPr>
        <w:t xml:space="preserve"> indicating that </w:t>
      </w:r>
      <w:r w:rsidR="00A305BD">
        <w:rPr>
          <w:rFonts w:ascii="Verdana" w:hAnsi="Verdana"/>
          <w:sz w:val="20"/>
        </w:rPr>
        <w:t>at least some of its constituents</w:t>
      </w:r>
      <w:r>
        <w:rPr>
          <w:rFonts w:ascii="Verdana" w:hAnsi="Verdana"/>
          <w:sz w:val="20"/>
        </w:rPr>
        <w:t xml:space="preserve"> </w:t>
      </w:r>
      <w:r w:rsidR="00A305BD">
        <w:rPr>
          <w:rFonts w:ascii="Verdana" w:hAnsi="Verdana"/>
          <w:sz w:val="20"/>
        </w:rPr>
        <w:t>are</w:t>
      </w:r>
      <w:r>
        <w:rPr>
          <w:rFonts w:ascii="Verdana" w:hAnsi="Verdana"/>
          <w:sz w:val="20"/>
        </w:rPr>
        <w:t xml:space="preserve"> potentially P/</w:t>
      </w:r>
      <w:proofErr w:type="spellStart"/>
      <w:r>
        <w:rPr>
          <w:rFonts w:ascii="Verdana" w:hAnsi="Verdana"/>
          <w:sz w:val="20"/>
        </w:rPr>
        <w:t>vP</w:t>
      </w:r>
      <w:proofErr w:type="spellEnd"/>
      <w:r w:rsidR="00A305BD">
        <w:rPr>
          <w:rFonts w:ascii="Verdana" w:hAnsi="Verdana"/>
          <w:sz w:val="20"/>
        </w:rPr>
        <w:t xml:space="preserve"> according to the </w:t>
      </w:r>
      <w:proofErr w:type="spellStart"/>
      <w:r w:rsidR="00A305BD">
        <w:rPr>
          <w:rFonts w:ascii="Verdana" w:hAnsi="Verdana"/>
          <w:sz w:val="20"/>
        </w:rPr>
        <w:t>eMSCA</w:t>
      </w:r>
      <w:proofErr w:type="spellEnd"/>
      <w:r>
        <w:rPr>
          <w:rFonts w:ascii="Verdana" w:hAnsi="Verdana"/>
          <w:sz w:val="20"/>
        </w:rPr>
        <w:t>. The substance</w:t>
      </w:r>
      <w:r w:rsidR="00973EE7">
        <w:rPr>
          <w:rFonts w:ascii="Verdana" w:hAnsi="Verdana"/>
          <w:sz w:val="20"/>
        </w:rPr>
        <w:t xml:space="preserve"> </w:t>
      </w:r>
      <w:r w:rsidR="00346807">
        <w:rPr>
          <w:rFonts w:ascii="Verdana" w:hAnsi="Verdana"/>
          <w:sz w:val="20"/>
        </w:rPr>
        <w:t>may have</w:t>
      </w:r>
      <w:r w:rsidR="00973EE7">
        <w:rPr>
          <w:rFonts w:ascii="Verdana" w:hAnsi="Verdana"/>
          <w:sz w:val="20"/>
        </w:rPr>
        <w:t xml:space="preserve"> B </w:t>
      </w:r>
      <w:r w:rsidR="00B436E8">
        <w:rPr>
          <w:rFonts w:ascii="Verdana" w:hAnsi="Verdana"/>
          <w:sz w:val="20"/>
        </w:rPr>
        <w:t xml:space="preserve">and T </w:t>
      </w:r>
      <w:r w:rsidR="00346807">
        <w:rPr>
          <w:rFonts w:ascii="Verdana" w:hAnsi="Verdana"/>
          <w:sz w:val="20"/>
        </w:rPr>
        <w:t>properties</w:t>
      </w:r>
      <w:r w:rsidR="00973EE7">
        <w:rPr>
          <w:rFonts w:ascii="Verdana" w:hAnsi="Verdana"/>
          <w:sz w:val="20"/>
        </w:rPr>
        <w:t xml:space="preserve"> based on the information </w:t>
      </w:r>
      <w:r w:rsidR="004336EE">
        <w:rPr>
          <w:rFonts w:ascii="Verdana" w:hAnsi="Verdana"/>
          <w:sz w:val="20"/>
        </w:rPr>
        <w:t>in the</w:t>
      </w:r>
      <w:r w:rsidR="00973EE7">
        <w:rPr>
          <w:rFonts w:ascii="Verdana" w:hAnsi="Verdana"/>
          <w:sz w:val="20"/>
        </w:rPr>
        <w:t xml:space="preserve"> registration dossier. </w:t>
      </w:r>
      <w:r w:rsidR="00252270">
        <w:rPr>
          <w:rFonts w:ascii="Verdana" w:hAnsi="Verdana"/>
          <w:sz w:val="20"/>
        </w:rPr>
        <w:t>However, m</w:t>
      </w:r>
      <w:r w:rsidR="00D5245E">
        <w:rPr>
          <w:rFonts w:ascii="Verdana" w:hAnsi="Verdana"/>
          <w:sz w:val="20"/>
        </w:rPr>
        <w:t xml:space="preserve">ore information for </w:t>
      </w:r>
      <w:r w:rsidR="00D447E0">
        <w:rPr>
          <w:rFonts w:ascii="Verdana" w:hAnsi="Verdana"/>
          <w:sz w:val="20"/>
        </w:rPr>
        <w:t xml:space="preserve">human health and </w:t>
      </w:r>
      <w:r w:rsidR="00D44C6B">
        <w:rPr>
          <w:rFonts w:ascii="Verdana" w:hAnsi="Verdana"/>
          <w:sz w:val="20"/>
        </w:rPr>
        <w:t xml:space="preserve">the </w:t>
      </w:r>
      <w:r w:rsidR="00D447E0">
        <w:rPr>
          <w:rFonts w:ascii="Verdana" w:hAnsi="Verdana"/>
          <w:sz w:val="20"/>
        </w:rPr>
        <w:t>environment</w:t>
      </w:r>
      <w:r w:rsidR="00D5245E">
        <w:rPr>
          <w:rFonts w:ascii="Verdana" w:hAnsi="Verdana"/>
          <w:sz w:val="20"/>
        </w:rPr>
        <w:t xml:space="preserve"> are</w:t>
      </w:r>
      <w:r w:rsidR="00362B46">
        <w:rPr>
          <w:rFonts w:ascii="Verdana" w:hAnsi="Verdana"/>
          <w:sz w:val="20"/>
        </w:rPr>
        <w:t xml:space="preserve"> currently being</w:t>
      </w:r>
      <w:r w:rsidR="00D5245E">
        <w:rPr>
          <w:rFonts w:ascii="Verdana" w:hAnsi="Verdana"/>
          <w:sz w:val="20"/>
        </w:rPr>
        <w:t xml:space="preserve"> requested under ECHA decision on a compliance check based on Article 41 of REACH Regulation </w:t>
      </w:r>
      <w:r w:rsidR="00356903">
        <w:rPr>
          <w:rFonts w:ascii="Verdana" w:hAnsi="Verdana"/>
          <w:sz w:val="20"/>
        </w:rPr>
        <w:t>(ECHA 2018)</w:t>
      </w:r>
      <w:r w:rsidR="00D5245E">
        <w:rPr>
          <w:rFonts w:ascii="Verdana" w:hAnsi="Verdana"/>
          <w:sz w:val="20"/>
        </w:rPr>
        <w:t xml:space="preserve">. </w:t>
      </w:r>
      <w:r w:rsidR="00E73A7A" w:rsidRPr="00E73A7A">
        <w:rPr>
          <w:rFonts w:ascii="Verdana" w:hAnsi="Verdana"/>
          <w:sz w:val="20"/>
        </w:rPr>
        <w:t>The requested information is relevant for PBT/</w:t>
      </w:r>
      <w:proofErr w:type="spellStart"/>
      <w:r w:rsidR="00E73A7A" w:rsidRPr="00E73A7A">
        <w:rPr>
          <w:rFonts w:ascii="Verdana" w:hAnsi="Verdana"/>
          <w:sz w:val="20"/>
        </w:rPr>
        <w:t>vPvB</w:t>
      </w:r>
      <w:proofErr w:type="spellEnd"/>
      <w:r w:rsidR="00E73A7A" w:rsidRPr="00E73A7A">
        <w:rPr>
          <w:rFonts w:ascii="Verdana" w:hAnsi="Verdana"/>
          <w:sz w:val="20"/>
        </w:rPr>
        <w:t xml:space="preserve"> assessment</w:t>
      </w:r>
      <w:r w:rsidR="00362B46">
        <w:rPr>
          <w:rFonts w:ascii="Verdana" w:hAnsi="Verdana"/>
          <w:sz w:val="20"/>
        </w:rPr>
        <w:t>.</w:t>
      </w:r>
      <w:r w:rsidR="009B2B06">
        <w:rPr>
          <w:rFonts w:ascii="Verdana" w:hAnsi="Verdana"/>
          <w:sz w:val="20"/>
        </w:rPr>
        <w:t xml:space="preserve"> </w:t>
      </w:r>
      <w:r w:rsidR="00362B46">
        <w:rPr>
          <w:rFonts w:ascii="Verdana" w:hAnsi="Verdana"/>
          <w:sz w:val="20"/>
        </w:rPr>
        <w:t xml:space="preserve">Deadline </w:t>
      </w:r>
      <w:r w:rsidR="00BD6F6F">
        <w:rPr>
          <w:rFonts w:ascii="Verdana" w:hAnsi="Verdana"/>
          <w:sz w:val="20"/>
        </w:rPr>
        <w:t xml:space="preserve">for Registrant(s) </w:t>
      </w:r>
      <w:r w:rsidR="00362B46">
        <w:rPr>
          <w:rFonts w:ascii="Verdana" w:hAnsi="Verdana"/>
          <w:sz w:val="20"/>
        </w:rPr>
        <w:t>to submit requested information in an updated registration dossier is 17</w:t>
      </w:r>
      <w:r w:rsidR="00775653">
        <w:rPr>
          <w:rFonts w:ascii="Verdana" w:hAnsi="Verdana"/>
          <w:sz w:val="20"/>
        </w:rPr>
        <w:t>th</w:t>
      </w:r>
      <w:r w:rsidR="00362B46">
        <w:rPr>
          <w:rFonts w:ascii="Verdana" w:hAnsi="Verdana"/>
          <w:sz w:val="20"/>
        </w:rPr>
        <w:t xml:space="preserve"> January 2022.</w:t>
      </w:r>
    </w:p>
    <w:p w14:paraId="343D1E66" w14:textId="77777777" w:rsidR="00322D9C" w:rsidRDefault="00322D9C" w:rsidP="007C58EC">
      <w:pPr>
        <w:pStyle w:val="Leipteksti"/>
        <w:spacing w:after="0"/>
        <w:rPr>
          <w:rFonts w:ascii="Verdana" w:hAnsi="Verdana"/>
          <w:sz w:val="20"/>
        </w:rPr>
      </w:pPr>
    </w:p>
    <w:p w14:paraId="6BC9ED1D" w14:textId="17AA03ED" w:rsidR="007C58EC" w:rsidRDefault="007C58EC" w:rsidP="007C58EC">
      <w:pPr>
        <w:pStyle w:val="Leipteksti"/>
        <w:spacing w:after="0"/>
        <w:rPr>
          <w:rFonts w:ascii="Verdana" w:hAnsi="Verdana"/>
          <w:sz w:val="20"/>
        </w:rPr>
      </w:pPr>
      <w:r w:rsidRPr="00923C63">
        <w:rPr>
          <w:rFonts w:ascii="Verdana" w:hAnsi="Verdana"/>
          <w:sz w:val="20"/>
        </w:rPr>
        <w:t>The screening criteria for PBT are met for persistence, bioaccumulation and aquatic toxicity</w:t>
      </w:r>
      <w:r w:rsidR="00A305BD">
        <w:rPr>
          <w:rFonts w:ascii="Verdana" w:hAnsi="Verdana"/>
          <w:sz w:val="20"/>
        </w:rPr>
        <w:t xml:space="preserve"> </w:t>
      </w:r>
      <w:r w:rsidR="00311E7A">
        <w:rPr>
          <w:rFonts w:ascii="Verdana" w:hAnsi="Verdana"/>
          <w:sz w:val="20"/>
        </w:rPr>
        <w:t xml:space="preserve">for </w:t>
      </w:r>
      <w:r w:rsidR="00311E7A" w:rsidRPr="007C58EC">
        <w:rPr>
          <w:rFonts w:ascii="Verdana" w:hAnsi="Verdana"/>
          <w:sz w:val="20"/>
        </w:rPr>
        <w:t>6-(1-phenylethyl)-1,2,3,4-tetrahydronaphthalene</w:t>
      </w:r>
      <w:r w:rsidR="00507AF4">
        <w:rPr>
          <w:rFonts w:ascii="Verdana" w:hAnsi="Verdana"/>
          <w:sz w:val="20"/>
        </w:rPr>
        <w:t xml:space="preserve"> according to the </w:t>
      </w:r>
      <w:proofErr w:type="spellStart"/>
      <w:r w:rsidR="00507AF4">
        <w:rPr>
          <w:rFonts w:ascii="Verdana" w:hAnsi="Verdana"/>
          <w:sz w:val="20"/>
        </w:rPr>
        <w:t>eMSCA</w:t>
      </w:r>
      <w:proofErr w:type="spellEnd"/>
      <w:r w:rsidRPr="00923C63">
        <w:rPr>
          <w:rFonts w:ascii="Verdana" w:hAnsi="Verdana"/>
          <w:sz w:val="20"/>
        </w:rPr>
        <w:t>. However</w:t>
      </w:r>
      <w:r>
        <w:rPr>
          <w:rFonts w:ascii="Verdana" w:hAnsi="Verdana"/>
          <w:sz w:val="20"/>
        </w:rPr>
        <w:t xml:space="preserve"> as there </w:t>
      </w:r>
      <w:r w:rsidR="00E209A5">
        <w:rPr>
          <w:rFonts w:ascii="Verdana" w:hAnsi="Verdana"/>
          <w:sz w:val="20"/>
        </w:rPr>
        <w:t>is</w:t>
      </w:r>
      <w:r>
        <w:rPr>
          <w:rFonts w:ascii="Verdana" w:hAnsi="Verdana"/>
          <w:sz w:val="20"/>
        </w:rPr>
        <w:t xml:space="preserve"> no further information about which constituent(s) are tested or specific composition of the test substance, it is not possible </w:t>
      </w:r>
      <w:r w:rsidR="00A305BD">
        <w:rPr>
          <w:rFonts w:ascii="Verdana" w:hAnsi="Verdana"/>
          <w:sz w:val="20"/>
        </w:rPr>
        <w:t xml:space="preserve">for </w:t>
      </w:r>
      <w:proofErr w:type="spellStart"/>
      <w:r w:rsidR="00A305BD">
        <w:rPr>
          <w:rFonts w:ascii="Verdana" w:hAnsi="Verdana"/>
          <w:sz w:val="20"/>
        </w:rPr>
        <w:t>eMSCA</w:t>
      </w:r>
      <w:proofErr w:type="spellEnd"/>
      <w:r w:rsidR="00A305BD">
        <w:rPr>
          <w:rFonts w:ascii="Verdana" w:hAnsi="Verdana"/>
          <w:sz w:val="20"/>
        </w:rPr>
        <w:t xml:space="preserve"> </w:t>
      </w:r>
      <w:r>
        <w:rPr>
          <w:rFonts w:ascii="Verdana" w:hAnsi="Verdana"/>
          <w:sz w:val="20"/>
        </w:rPr>
        <w:t xml:space="preserve">to adequately assess the PBT properties of the substance. </w:t>
      </w:r>
    </w:p>
    <w:p w14:paraId="3C9A7004" w14:textId="77777777" w:rsidR="007C58EC" w:rsidRDefault="007C58EC" w:rsidP="007C58EC">
      <w:pPr>
        <w:pStyle w:val="Leipteksti"/>
        <w:spacing w:after="0"/>
        <w:rPr>
          <w:rFonts w:ascii="Verdana" w:hAnsi="Verdana"/>
          <w:sz w:val="20"/>
        </w:rPr>
      </w:pPr>
    </w:p>
    <w:p w14:paraId="65959519" w14:textId="0784B12D" w:rsidR="00507AF4" w:rsidRPr="00507AF4" w:rsidRDefault="007C58EC" w:rsidP="001A4BCD">
      <w:pPr>
        <w:pStyle w:val="Leipteksti"/>
        <w:spacing w:after="0"/>
        <w:rPr>
          <w:rFonts w:ascii="Verdana" w:hAnsi="Verdana"/>
          <w:sz w:val="20"/>
        </w:rPr>
      </w:pPr>
      <w:r>
        <w:rPr>
          <w:rFonts w:ascii="Verdana" w:hAnsi="Verdana"/>
          <w:sz w:val="20"/>
        </w:rPr>
        <w:t xml:space="preserve">In an </w:t>
      </w:r>
      <w:proofErr w:type="spellStart"/>
      <w:r>
        <w:rPr>
          <w:rFonts w:ascii="Verdana" w:hAnsi="Verdana"/>
          <w:sz w:val="20"/>
        </w:rPr>
        <w:t>Infocard</w:t>
      </w:r>
      <w:proofErr w:type="spellEnd"/>
      <w:r w:rsidR="009B2B06">
        <w:rPr>
          <w:rStyle w:val="Alaviitteenviite"/>
          <w:rFonts w:ascii="Verdana" w:hAnsi="Verdana"/>
          <w:sz w:val="20"/>
        </w:rPr>
        <w:footnoteReference w:id="6"/>
      </w:r>
      <w:r>
        <w:rPr>
          <w:rFonts w:ascii="Verdana" w:hAnsi="Verdana"/>
          <w:sz w:val="20"/>
        </w:rPr>
        <w:t xml:space="preserve"> of </w:t>
      </w:r>
      <w:r w:rsidR="00507AF4" w:rsidRPr="007C58EC">
        <w:rPr>
          <w:rFonts w:ascii="Verdana" w:hAnsi="Verdana"/>
          <w:sz w:val="20"/>
        </w:rPr>
        <w:t>6-(1-phenylethyl)-1,2,3,4-tetrahydronaphthalene</w:t>
      </w:r>
      <w:r>
        <w:rPr>
          <w:rFonts w:ascii="Verdana" w:hAnsi="Verdana"/>
          <w:sz w:val="20"/>
        </w:rPr>
        <w:t xml:space="preserve">, it is indicated that </w:t>
      </w:r>
      <w:proofErr w:type="gramStart"/>
      <w:r>
        <w:rPr>
          <w:rFonts w:ascii="Verdana" w:hAnsi="Verdana"/>
          <w:sz w:val="20"/>
        </w:rPr>
        <w:t>a majority of</w:t>
      </w:r>
      <w:proofErr w:type="gramEnd"/>
      <w:r>
        <w:rPr>
          <w:rFonts w:ascii="Verdana" w:hAnsi="Verdana"/>
          <w:sz w:val="20"/>
        </w:rPr>
        <w:t xml:space="preserve"> data submitters agree that this substance is Persistent, Bioaccumulative and Toxic. This comes from data submitted by industry to </w:t>
      </w:r>
      <w:proofErr w:type="gramStart"/>
      <w:r>
        <w:rPr>
          <w:rFonts w:ascii="Verdana" w:hAnsi="Verdana"/>
          <w:sz w:val="20"/>
        </w:rPr>
        <w:t>ECHA, and</w:t>
      </w:r>
      <w:proofErr w:type="gramEnd"/>
      <w:r>
        <w:rPr>
          <w:rFonts w:ascii="Verdana" w:hAnsi="Verdana"/>
          <w:sz w:val="20"/>
        </w:rPr>
        <w:t xml:space="preserve"> indicates that the data submitted is aligned with &gt;= 50% of the data submitters </w:t>
      </w:r>
      <w:r w:rsidR="00A305BD">
        <w:rPr>
          <w:rFonts w:ascii="Verdana" w:hAnsi="Verdana"/>
          <w:sz w:val="20"/>
        </w:rPr>
        <w:t>have the same conclusion</w:t>
      </w:r>
      <w:r>
        <w:rPr>
          <w:rFonts w:ascii="Verdana" w:hAnsi="Verdana"/>
          <w:sz w:val="20"/>
        </w:rPr>
        <w:t xml:space="preserve">. </w:t>
      </w:r>
    </w:p>
    <w:p w14:paraId="0985829F" w14:textId="37699ED6" w:rsidR="004818AD" w:rsidRDefault="004818AD" w:rsidP="004818AD">
      <w:pPr>
        <w:pStyle w:val="Otsikko3"/>
      </w:pPr>
      <w:r>
        <w:t>Human health</w:t>
      </w:r>
    </w:p>
    <w:p w14:paraId="003A91B7" w14:textId="61F4BFFE" w:rsidR="006954F3" w:rsidRPr="005759C0" w:rsidRDefault="006954F3" w:rsidP="006954F3">
      <w:pPr>
        <w:spacing w:after="120" w:line="360" w:lineRule="auto"/>
        <w:rPr>
          <w:rFonts w:ascii="Verdana" w:hAnsi="Verdana" w:cs="Arial"/>
          <w:b/>
          <w:sz w:val="20"/>
          <w:szCs w:val="20"/>
          <w:u w:val="single"/>
        </w:rPr>
      </w:pPr>
      <w:r w:rsidRPr="005759C0">
        <w:rPr>
          <w:rFonts w:ascii="Verdana" w:hAnsi="Verdana" w:cs="Arial"/>
          <w:b/>
          <w:sz w:val="20"/>
          <w:szCs w:val="20"/>
          <w:u w:val="single"/>
        </w:rPr>
        <w:t xml:space="preserve">Dibenzylbenzene, </w:t>
      </w:r>
      <w:proofErr w:type="spellStart"/>
      <w:r w:rsidRPr="005759C0">
        <w:rPr>
          <w:rFonts w:ascii="Verdana" w:hAnsi="Verdana" w:cs="Arial"/>
          <w:b/>
          <w:sz w:val="20"/>
          <w:szCs w:val="20"/>
          <w:u w:val="single"/>
        </w:rPr>
        <w:t>ar</w:t>
      </w:r>
      <w:proofErr w:type="spellEnd"/>
      <w:r w:rsidRPr="005759C0">
        <w:rPr>
          <w:rFonts w:ascii="Verdana" w:hAnsi="Verdana" w:cs="Arial"/>
          <w:b/>
          <w:sz w:val="20"/>
          <w:szCs w:val="20"/>
          <w:u w:val="single"/>
        </w:rPr>
        <w:t>-methyl derivative</w:t>
      </w:r>
    </w:p>
    <w:p w14:paraId="46207621" w14:textId="25D21311" w:rsidR="00487E88" w:rsidRPr="005759C0" w:rsidRDefault="009B4CF4" w:rsidP="00EE69C9">
      <w:pPr>
        <w:jc w:val="both"/>
        <w:rPr>
          <w:rFonts w:ascii="Verdana" w:hAnsi="Verdana"/>
          <w:sz w:val="20"/>
          <w:szCs w:val="20"/>
        </w:rPr>
      </w:pPr>
      <w:r w:rsidRPr="005759C0">
        <w:rPr>
          <w:rFonts w:ascii="Verdana" w:hAnsi="Verdana"/>
          <w:sz w:val="20"/>
          <w:szCs w:val="20"/>
        </w:rPr>
        <w:t xml:space="preserve">The substance </w:t>
      </w:r>
      <w:r w:rsidR="00DE51AF" w:rsidRPr="005759C0">
        <w:rPr>
          <w:rFonts w:ascii="Verdana" w:hAnsi="Verdana"/>
          <w:sz w:val="20"/>
          <w:szCs w:val="20"/>
        </w:rPr>
        <w:t xml:space="preserve">does not have a </w:t>
      </w:r>
      <w:proofErr w:type="spellStart"/>
      <w:r w:rsidR="00DE51AF" w:rsidRPr="005759C0">
        <w:rPr>
          <w:rFonts w:ascii="Verdana" w:hAnsi="Verdana"/>
          <w:sz w:val="20"/>
          <w:szCs w:val="20"/>
        </w:rPr>
        <w:t>harmonised</w:t>
      </w:r>
      <w:proofErr w:type="spellEnd"/>
      <w:r w:rsidR="00DE51AF" w:rsidRPr="005759C0">
        <w:rPr>
          <w:rFonts w:ascii="Verdana" w:hAnsi="Verdana"/>
          <w:sz w:val="20"/>
          <w:szCs w:val="20"/>
        </w:rPr>
        <w:t xml:space="preserve"> classification </w:t>
      </w:r>
      <w:r w:rsidR="0027341B" w:rsidRPr="005759C0">
        <w:rPr>
          <w:rFonts w:ascii="Verdana" w:hAnsi="Verdana"/>
          <w:sz w:val="20"/>
          <w:szCs w:val="20"/>
        </w:rPr>
        <w:t>and there are no existing</w:t>
      </w:r>
      <w:r w:rsidRPr="005759C0">
        <w:rPr>
          <w:rFonts w:ascii="Verdana" w:hAnsi="Verdana"/>
          <w:sz w:val="20"/>
          <w:szCs w:val="20"/>
        </w:rPr>
        <w:t xml:space="preserve"> </w:t>
      </w:r>
      <w:r w:rsidR="00DE51AF" w:rsidRPr="005759C0">
        <w:rPr>
          <w:rFonts w:ascii="Verdana" w:hAnsi="Verdana"/>
          <w:sz w:val="20"/>
          <w:szCs w:val="20"/>
        </w:rPr>
        <w:t>self-</w:t>
      </w:r>
      <w:r w:rsidRPr="005759C0">
        <w:rPr>
          <w:rFonts w:ascii="Verdana" w:hAnsi="Verdana"/>
          <w:sz w:val="20"/>
          <w:szCs w:val="20"/>
        </w:rPr>
        <w:t>classifi</w:t>
      </w:r>
      <w:r w:rsidR="00AA5BC6" w:rsidRPr="005759C0">
        <w:rPr>
          <w:rFonts w:ascii="Verdana" w:hAnsi="Verdana"/>
          <w:sz w:val="20"/>
          <w:szCs w:val="20"/>
        </w:rPr>
        <w:t>cations</w:t>
      </w:r>
      <w:r w:rsidRPr="005759C0">
        <w:rPr>
          <w:rFonts w:ascii="Verdana" w:hAnsi="Verdana"/>
          <w:sz w:val="20"/>
          <w:szCs w:val="20"/>
        </w:rPr>
        <w:t xml:space="preserve"> for CMR or STOT RE properties. </w:t>
      </w:r>
      <w:r w:rsidR="00487E88" w:rsidRPr="005759C0">
        <w:rPr>
          <w:rFonts w:ascii="Verdana" w:hAnsi="Verdana"/>
          <w:sz w:val="20"/>
          <w:szCs w:val="20"/>
        </w:rPr>
        <w:t xml:space="preserve">The data pending a </w:t>
      </w:r>
      <w:r w:rsidR="00567BDC" w:rsidRPr="005759C0">
        <w:rPr>
          <w:rFonts w:ascii="Verdana" w:hAnsi="Verdana"/>
          <w:sz w:val="20"/>
          <w:szCs w:val="20"/>
        </w:rPr>
        <w:t>dossier evaluation</w:t>
      </w:r>
      <w:r w:rsidR="00487E88" w:rsidRPr="005759C0">
        <w:rPr>
          <w:rFonts w:ascii="Verdana" w:hAnsi="Verdana"/>
          <w:sz w:val="20"/>
          <w:szCs w:val="20"/>
        </w:rPr>
        <w:t xml:space="preserve"> decision on the substance are necessary to </w:t>
      </w:r>
      <w:r w:rsidR="001762DD" w:rsidRPr="005759C0">
        <w:rPr>
          <w:rFonts w:ascii="Verdana" w:hAnsi="Verdana"/>
          <w:sz w:val="20"/>
          <w:szCs w:val="20"/>
        </w:rPr>
        <w:t>further inform</w:t>
      </w:r>
      <w:r w:rsidR="00487E88" w:rsidRPr="005759C0">
        <w:rPr>
          <w:rFonts w:ascii="Verdana" w:hAnsi="Verdana"/>
          <w:sz w:val="20"/>
          <w:szCs w:val="20"/>
        </w:rPr>
        <w:t xml:space="preserve"> the T assessment for human health endpoints. </w:t>
      </w:r>
      <w:r w:rsidR="00465750" w:rsidRPr="005759C0">
        <w:rPr>
          <w:rFonts w:ascii="Verdana" w:hAnsi="Verdana"/>
          <w:sz w:val="20"/>
          <w:szCs w:val="20"/>
        </w:rPr>
        <w:t xml:space="preserve">However, the currently available data from the dossier are </w:t>
      </w:r>
      <w:proofErr w:type="spellStart"/>
      <w:r w:rsidR="00465750" w:rsidRPr="005759C0">
        <w:rPr>
          <w:rFonts w:ascii="Verdana" w:hAnsi="Verdana"/>
          <w:sz w:val="20"/>
          <w:szCs w:val="20"/>
        </w:rPr>
        <w:t>summari</w:t>
      </w:r>
      <w:r w:rsidR="00797F65" w:rsidRPr="005759C0">
        <w:rPr>
          <w:rFonts w:ascii="Verdana" w:hAnsi="Verdana"/>
          <w:sz w:val="20"/>
          <w:szCs w:val="20"/>
        </w:rPr>
        <w:t>s</w:t>
      </w:r>
      <w:r w:rsidR="00465750" w:rsidRPr="005759C0">
        <w:rPr>
          <w:rFonts w:ascii="Verdana" w:hAnsi="Verdana"/>
          <w:sz w:val="20"/>
          <w:szCs w:val="20"/>
        </w:rPr>
        <w:t>ed</w:t>
      </w:r>
      <w:proofErr w:type="spellEnd"/>
      <w:r w:rsidR="00465750" w:rsidRPr="005759C0">
        <w:rPr>
          <w:rFonts w:ascii="Verdana" w:hAnsi="Verdana"/>
          <w:sz w:val="20"/>
          <w:szCs w:val="20"/>
        </w:rPr>
        <w:t xml:space="preserve"> below for CMR and STOT RE properties. </w:t>
      </w:r>
    </w:p>
    <w:p w14:paraId="05765B0E" w14:textId="276E1B77" w:rsidR="006954F3" w:rsidRPr="005759C0" w:rsidRDefault="006954F3" w:rsidP="006954F3">
      <w:pPr>
        <w:spacing w:after="120" w:line="360" w:lineRule="auto"/>
        <w:rPr>
          <w:rFonts w:ascii="Verdana" w:hAnsi="Verdana" w:cs="Arial"/>
          <w:b/>
          <w:sz w:val="20"/>
          <w:szCs w:val="20"/>
        </w:rPr>
      </w:pPr>
      <w:r w:rsidRPr="005759C0">
        <w:rPr>
          <w:rFonts w:ascii="Verdana" w:hAnsi="Verdana" w:cs="Arial"/>
          <w:b/>
          <w:sz w:val="20"/>
          <w:szCs w:val="20"/>
        </w:rPr>
        <w:t>Carcinogenicity</w:t>
      </w:r>
    </w:p>
    <w:p w14:paraId="3F42B8B2" w14:textId="55BC007D" w:rsidR="00677121" w:rsidRPr="005759C0" w:rsidRDefault="00487E88" w:rsidP="00EE69C9">
      <w:pPr>
        <w:spacing w:after="120" w:line="360" w:lineRule="auto"/>
        <w:rPr>
          <w:rFonts w:ascii="Verdana" w:hAnsi="Verdana"/>
          <w:sz w:val="20"/>
          <w:szCs w:val="20"/>
        </w:rPr>
      </w:pPr>
      <w:r w:rsidRPr="005759C0">
        <w:rPr>
          <w:rFonts w:ascii="Verdana" w:hAnsi="Verdana"/>
          <w:sz w:val="20"/>
          <w:szCs w:val="20"/>
        </w:rPr>
        <w:t xml:space="preserve">No data available. </w:t>
      </w:r>
    </w:p>
    <w:p w14:paraId="4EA934E4" w14:textId="253C854C" w:rsidR="006954F3" w:rsidRPr="005759C0" w:rsidRDefault="006954F3" w:rsidP="006954F3">
      <w:pPr>
        <w:spacing w:after="120" w:line="360" w:lineRule="auto"/>
        <w:rPr>
          <w:rFonts w:ascii="Verdana" w:hAnsi="Verdana" w:cs="Arial"/>
          <w:b/>
          <w:sz w:val="20"/>
          <w:szCs w:val="20"/>
        </w:rPr>
      </w:pPr>
      <w:r w:rsidRPr="005759C0">
        <w:rPr>
          <w:rFonts w:ascii="Verdana" w:hAnsi="Verdana" w:cs="Arial"/>
          <w:b/>
          <w:sz w:val="20"/>
          <w:szCs w:val="20"/>
        </w:rPr>
        <w:t>Mutagenicity</w:t>
      </w:r>
    </w:p>
    <w:p w14:paraId="2574ED6A" w14:textId="26B9506C" w:rsidR="00555060" w:rsidRPr="005759C0" w:rsidRDefault="00795F99" w:rsidP="00B75B01">
      <w:pPr>
        <w:spacing w:after="120"/>
        <w:jc w:val="both"/>
        <w:rPr>
          <w:rFonts w:ascii="Verdana" w:hAnsi="Verdana"/>
          <w:sz w:val="20"/>
          <w:szCs w:val="20"/>
        </w:rPr>
      </w:pPr>
      <w:r w:rsidRPr="005759C0">
        <w:rPr>
          <w:rFonts w:ascii="Verdana" w:hAnsi="Verdana"/>
          <w:sz w:val="20"/>
          <w:szCs w:val="20"/>
        </w:rPr>
        <w:t>There are 4 available in vitro gene mutation studies in bacteria</w:t>
      </w:r>
      <w:r w:rsidR="00E742EA" w:rsidRPr="005759C0">
        <w:rPr>
          <w:rFonts w:ascii="Verdana" w:hAnsi="Verdana"/>
          <w:sz w:val="20"/>
          <w:szCs w:val="20"/>
        </w:rPr>
        <w:t xml:space="preserve">, three of which are submitted only as supporting information. An in vitro gene mutation study in mammalian cells and an in vitro chromosome aberration study in mammalian cells are also available in the </w:t>
      </w:r>
      <w:r w:rsidR="00D574FA" w:rsidRPr="005759C0">
        <w:rPr>
          <w:rFonts w:ascii="Verdana" w:hAnsi="Verdana"/>
          <w:sz w:val="20"/>
          <w:szCs w:val="20"/>
        </w:rPr>
        <w:t>disseminated dossier</w:t>
      </w:r>
      <w:r w:rsidR="00E742EA" w:rsidRPr="005759C0">
        <w:rPr>
          <w:rFonts w:ascii="Verdana" w:hAnsi="Verdana"/>
          <w:sz w:val="20"/>
          <w:szCs w:val="20"/>
        </w:rPr>
        <w:t xml:space="preserve">. </w:t>
      </w:r>
    </w:p>
    <w:p w14:paraId="1DD2707B" w14:textId="725F0F4D" w:rsidR="00465750" w:rsidRDefault="00795F99" w:rsidP="00B75B01">
      <w:pPr>
        <w:spacing w:after="120"/>
        <w:jc w:val="both"/>
        <w:rPr>
          <w:rFonts w:ascii="Verdana" w:hAnsi="Verdana"/>
          <w:sz w:val="20"/>
          <w:szCs w:val="20"/>
        </w:rPr>
      </w:pPr>
      <w:r>
        <w:rPr>
          <w:rFonts w:ascii="Verdana" w:hAnsi="Verdana"/>
          <w:sz w:val="20"/>
          <w:szCs w:val="20"/>
        </w:rPr>
        <w:t>The substance was negative i</w:t>
      </w:r>
      <w:r w:rsidR="00572B8D" w:rsidRPr="00896542">
        <w:rPr>
          <w:rFonts w:ascii="Verdana" w:hAnsi="Verdana"/>
          <w:sz w:val="20"/>
          <w:szCs w:val="20"/>
        </w:rPr>
        <w:t xml:space="preserve">n </w:t>
      </w:r>
      <w:r>
        <w:rPr>
          <w:rFonts w:ascii="Verdana" w:hAnsi="Verdana"/>
          <w:sz w:val="20"/>
          <w:szCs w:val="20"/>
        </w:rPr>
        <w:t xml:space="preserve">an </w:t>
      </w:r>
      <w:r w:rsidRPr="00896542">
        <w:rPr>
          <w:rFonts w:ascii="Verdana" w:hAnsi="Verdana"/>
          <w:sz w:val="20"/>
          <w:szCs w:val="20"/>
        </w:rPr>
        <w:t xml:space="preserve">Ames test </w:t>
      </w:r>
      <w:r w:rsidR="00A41CF4">
        <w:rPr>
          <w:rFonts w:ascii="Verdana" w:hAnsi="Verdana"/>
          <w:sz w:val="20"/>
          <w:szCs w:val="20"/>
        </w:rPr>
        <w:t>applying 5 concentrations</w:t>
      </w:r>
      <w:r>
        <w:rPr>
          <w:rFonts w:ascii="Verdana" w:hAnsi="Verdana"/>
          <w:sz w:val="20"/>
          <w:szCs w:val="20"/>
        </w:rPr>
        <w:t xml:space="preserve"> up to 5000 µg/plate in 5 strains of salmonella typhimurium</w:t>
      </w:r>
      <w:r w:rsidR="0087637D">
        <w:rPr>
          <w:rFonts w:ascii="Verdana" w:hAnsi="Verdana"/>
          <w:sz w:val="20"/>
          <w:szCs w:val="20"/>
        </w:rPr>
        <w:t xml:space="preserve"> with and without metabolic activation</w:t>
      </w:r>
      <w:r>
        <w:rPr>
          <w:rFonts w:ascii="Verdana" w:hAnsi="Verdana"/>
          <w:sz w:val="20"/>
          <w:szCs w:val="20"/>
        </w:rPr>
        <w:t xml:space="preserve">. Precipitation occurred at concentrations above 200 µg/plate. However, strains able to detect oxidizing mutagens, cross-linking agents and </w:t>
      </w:r>
      <w:proofErr w:type="spellStart"/>
      <w:r>
        <w:rPr>
          <w:rFonts w:ascii="Verdana" w:hAnsi="Verdana"/>
          <w:sz w:val="20"/>
          <w:szCs w:val="20"/>
        </w:rPr>
        <w:t>hydrazines</w:t>
      </w:r>
      <w:proofErr w:type="spellEnd"/>
      <w:r>
        <w:rPr>
          <w:rFonts w:ascii="Verdana" w:hAnsi="Verdana"/>
          <w:sz w:val="20"/>
          <w:szCs w:val="20"/>
        </w:rPr>
        <w:t xml:space="preserve"> </w:t>
      </w:r>
      <w:r w:rsidR="00F3468F">
        <w:rPr>
          <w:rFonts w:ascii="Verdana" w:hAnsi="Verdana"/>
          <w:sz w:val="20"/>
          <w:szCs w:val="20"/>
        </w:rPr>
        <w:t xml:space="preserve">(i.e. E. Coli WP2 </w:t>
      </w:r>
      <w:proofErr w:type="spellStart"/>
      <w:r w:rsidR="00F3468F">
        <w:rPr>
          <w:rFonts w:ascii="Verdana" w:hAnsi="Verdana"/>
          <w:sz w:val="20"/>
          <w:szCs w:val="20"/>
        </w:rPr>
        <w:t>uvrA</w:t>
      </w:r>
      <w:proofErr w:type="spellEnd"/>
      <w:r w:rsidR="00F3468F">
        <w:rPr>
          <w:rFonts w:ascii="Verdana" w:hAnsi="Verdana"/>
          <w:sz w:val="20"/>
          <w:szCs w:val="20"/>
        </w:rPr>
        <w:t xml:space="preserve"> or E. Coli WP2 </w:t>
      </w:r>
      <w:proofErr w:type="spellStart"/>
      <w:r w:rsidR="00F3468F">
        <w:rPr>
          <w:rFonts w:ascii="Verdana" w:hAnsi="Verdana"/>
          <w:sz w:val="20"/>
          <w:szCs w:val="20"/>
        </w:rPr>
        <w:t>uvrA</w:t>
      </w:r>
      <w:proofErr w:type="spellEnd"/>
      <w:r w:rsidR="00F3468F">
        <w:rPr>
          <w:rFonts w:ascii="Verdana" w:hAnsi="Verdana"/>
          <w:sz w:val="20"/>
          <w:szCs w:val="20"/>
        </w:rPr>
        <w:t xml:space="preserve"> (pKM101)</w:t>
      </w:r>
      <w:r w:rsidR="000744D5">
        <w:rPr>
          <w:rFonts w:ascii="Verdana" w:hAnsi="Verdana"/>
          <w:sz w:val="20"/>
          <w:szCs w:val="20"/>
        </w:rPr>
        <w:t>)</w:t>
      </w:r>
      <w:r w:rsidR="00F3468F">
        <w:rPr>
          <w:rFonts w:ascii="Verdana" w:hAnsi="Verdana"/>
          <w:sz w:val="20"/>
          <w:szCs w:val="20"/>
        </w:rPr>
        <w:t xml:space="preserve"> </w:t>
      </w:r>
      <w:r w:rsidR="00555060">
        <w:rPr>
          <w:rFonts w:ascii="Verdana" w:hAnsi="Verdana"/>
          <w:sz w:val="20"/>
          <w:szCs w:val="20"/>
        </w:rPr>
        <w:t>wer</w:t>
      </w:r>
      <w:r>
        <w:rPr>
          <w:rFonts w:ascii="Verdana" w:hAnsi="Verdana"/>
          <w:sz w:val="20"/>
          <w:szCs w:val="20"/>
        </w:rPr>
        <w:t>e not included in the tested strains.</w:t>
      </w:r>
      <w:r w:rsidR="00A41CF4">
        <w:rPr>
          <w:rFonts w:ascii="Verdana" w:hAnsi="Verdana"/>
          <w:sz w:val="20"/>
          <w:szCs w:val="20"/>
        </w:rPr>
        <w:t xml:space="preserve"> </w:t>
      </w:r>
    </w:p>
    <w:p w14:paraId="3401D536" w14:textId="77777777" w:rsidR="00D86F19" w:rsidRDefault="00DC5AEA" w:rsidP="00B75B01">
      <w:pPr>
        <w:spacing w:after="120"/>
        <w:jc w:val="both"/>
        <w:rPr>
          <w:rFonts w:ascii="Verdana" w:hAnsi="Verdana"/>
          <w:sz w:val="20"/>
          <w:szCs w:val="20"/>
        </w:rPr>
      </w:pPr>
      <w:r>
        <w:rPr>
          <w:rFonts w:ascii="Verdana" w:hAnsi="Verdana"/>
          <w:sz w:val="20"/>
          <w:szCs w:val="20"/>
        </w:rPr>
        <w:t xml:space="preserve">In the supporting Ames tests, the </w:t>
      </w:r>
      <w:r w:rsidR="0087637D">
        <w:rPr>
          <w:rFonts w:ascii="Verdana" w:hAnsi="Verdana"/>
          <w:sz w:val="20"/>
          <w:szCs w:val="20"/>
        </w:rPr>
        <w:t xml:space="preserve">test item (Marlotherm S) was negative </w:t>
      </w:r>
      <w:r w:rsidR="00F3468F">
        <w:rPr>
          <w:rFonts w:ascii="Verdana" w:hAnsi="Verdana"/>
          <w:sz w:val="20"/>
          <w:szCs w:val="20"/>
        </w:rPr>
        <w:t xml:space="preserve">in two studies </w:t>
      </w:r>
      <w:r w:rsidR="0087637D">
        <w:rPr>
          <w:rFonts w:ascii="Verdana" w:hAnsi="Verdana"/>
          <w:sz w:val="20"/>
          <w:szCs w:val="20"/>
        </w:rPr>
        <w:t xml:space="preserve">up to concentrations of 5 </w:t>
      </w:r>
      <w:r w:rsidR="009F058A">
        <w:rPr>
          <w:rFonts w:ascii="Verdana" w:hAnsi="Verdana"/>
          <w:sz w:val="20"/>
          <w:szCs w:val="20"/>
        </w:rPr>
        <w:t>m</w:t>
      </w:r>
      <w:r w:rsidR="0087637D">
        <w:rPr>
          <w:rFonts w:ascii="Verdana" w:hAnsi="Verdana"/>
          <w:sz w:val="20"/>
          <w:szCs w:val="20"/>
        </w:rPr>
        <w:t xml:space="preserve">g/plate with precipitation </w:t>
      </w:r>
      <w:r w:rsidR="00F3468F">
        <w:rPr>
          <w:rFonts w:ascii="Verdana" w:hAnsi="Verdana"/>
          <w:sz w:val="20"/>
          <w:szCs w:val="20"/>
        </w:rPr>
        <w:t>in three and five</w:t>
      </w:r>
      <w:r w:rsidR="0087637D">
        <w:rPr>
          <w:rFonts w:ascii="Verdana" w:hAnsi="Verdana"/>
          <w:sz w:val="20"/>
          <w:szCs w:val="20"/>
        </w:rPr>
        <w:t xml:space="preserve"> </w:t>
      </w:r>
      <w:r w:rsidR="0087637D">
        <w:rPr>
          <w:rFonts w:ascii="Verdana" w:hAnsi="Verdana"/>
          <w:sz w:val="20"/>
          <w:szCs w:val="20"/>
        </w:rPr>
        <w:lastRenderedPageBreak/>
        <w:t>concentrations tested. 5 strains of salmonella typhimurium were tested with and without metabolic activation, but tested strains did not include TA 102</w:t>
      </w:r>
      <w:r w:rsidR="00F3468F">
        <w:rPr>
          <w:rFonts w:ascii="Verdana" w:hAnsi="Verdana"/>
          <w:sz w:val="20"/>
          <w:szCs w:val="20"/>
        </w:rPr>
        <w:t xml:space="preserve"> or </w:t>
      </w:r>
      <w:r w:rsidR="00F3468F" w:rsidRPr="00F3468F">
        <w:rPr>
          <w:rFonts w:ascii="Verdana" w:hAnsi="Verdana"/>
          <w:sz w:val="20"/>
          <w:szCs w:val="20"/>
        </w:rPr>
        <w:t>E. coli WP2</w:t>
      </w:r>
      <w:r w:rsidR="0087637D">
        <w:rPr>
          <w:rFonts w:ascii="Verdana" w:hAnsi="Verdana"/>
          <w:sz w:val="20"/>
          <w:szCs w:val="20"/>
        </w:rPr>
        <w:t xml:space="preserve">. </w:t>
      </w:r>
      <w:r w:rsidR="00F3468F">
        <w:rPr>
          <w:rFonts w:ascii="Verdana" w:hAnsi="Verdana"/>
          <w:sz w:val="20"/>
          <w:szCs w:val="20"/>
        </w:rPr>
        <w:t xml:space="preserve">In the third supporting Ames test, </w:t>
      </w:r>
      <w:r w:rsidR="00F3468F" w:rsidRPr="00F3468F">
        <w:rPr>
          <w:rFonts w:ascii="Verdana" w:hAnsi="Verdana"/>
          <w:sz w:val="20"/>
          <w:szCs w:val="20"/>
        </w:rPr>
        <w:t xml:space="preserve">dibenzylbenzene, </w:t>
      </w:r>
      <w:proofErr w:type="spellStart"/>
      <w:r w:rsidR="00F3468F" w:rsidRPr="00F3468F">
        <w:rPr>
          <w:rFonts w:ascii="Verdana" w:hAnsi="Verdana"/>
          <w:sz w:val="20"/>
          <w:szCs w:val="20"/>
        </w:rPr>
        <w:t>ar</w:t>
      </w:r>
      <w:proofErr w:type="spellEnd"/>
      <w:r w:rsidR="00F3468F" w:rsidRPr="00F3468F">
        <w:rPr>
          <w:rFonts w:ascii="Verdana" w:hAnsi="Verdana"/>
          <w:sz w:val="20"/>
          <w:szCs w:val="20"/>
        </w:rPr>
        <w:t xml:space="preserve">-methyl derivative </w:t>
      </w:r>
      <w:r w:rsidR="00F3468F">
        <w:rPr>
          <w:rFonts w:ascii="Verdana" w:hAnsi="Verdana"/>
          <w:sz w:val="20"/>
          <w:szCs w:val="20"/>
        </w:rPr>
        <w:t xml:space="preserve">was tested at 4 concentrations up to 2 µl/plate with and without metabolic activation. The 5 salmonella strains used did not include TA 102 or </w:t>
      </w:r>
      <w:r w:rsidR="00F3468F" w:rsidRPr="00F3468F">
        <w:rPr>
          <w:rFonts w:ascii="Verdana" w:hAnsi="Verdana"/>
          <w:sz w:val="20"/>
          <w:szCs w:val="20"/>
        </w:rPr>
        <w:t>E. coli WP2</w:t>
      </w:r>
      <w:r w:rsidR="00F3468F">
        <w:rPr>
          <w:rFonts w:ascii="Verdana" w:hAnsi="Verdana"/>
          <w:sz w:val="20"/>
          <w:szCs w:val="20"/>
        </w:rPr>
        <w:t xml:space="preserve">. The study was negative in the presence and absence of metabolic activation. Precipitation or cytotoxicity were not reported in this test. </w:t>
      </w:r>
    </w:p>
    <w:p w14:paraId="2F79A2A3" w14:textId="6E1EF09E" w:rsidR="0087637D" w:rsidRDefault="001B6625" w:rsidP="00B75B01">
      <w:pPr>
        <w:spacing w:after="120"/>
        <w:jc w:val="both"/>
        <w:rPr>
          <w:rFonts w:ascii="Verdana" w:hAnsi="Verdana"/>
          <w:sz w:val="20"/>
          <w:szCs w:val="20"/>
        </w:rPr>
      </w:pPr>
      <w:r>
        <w:rPr>
          <w:rFonts w:ascii="Verdana" w:hAnsi="Verdana"/>
          <w:sz w:val="20"/>
          <w:szCs w:val="20"/>
        </w:rPr>
        <w:t xml:space="preserve">The available bacterial reverse mutation studies </w:t>
      </w:r>
      <w:r w:rsidR="00C02781">
        <w:rPr>
          <w:rFonts w:ascii="Verdana" w:hAnsi="Verdana"/>
          <w:sz w:val="20"/>
          <w:szCs w:val="20"/>
        </w:rPr>
        <w:t xml:space="preserve">have some deficiencies </w:t>
      </w:r>
      <w:r>
        <w:rPr>
          <w:rFonts w:ascii="Verdana" w:hAnsi="Verdana"/>
          <w:sz w:val="20"/>
          <w:szCs w:val="20"/>
        </w:rPr>
        <w:t>such as</w:t>
      </w:r>
      <w:r w:rsidR="00C02781">
        <w:rPr>
          <w:rFonts w:ascii="Verdana" w:hAnsi="Verdana"/>
          <w:sz w:val="20"/>
          <w:szCs w:val="20"/>
        </w:rPr>
        <w:t xml:space="preserve"> </w:t>
      </w:r>
      <w:r>
        <w:rPr>
          <w:rFonts w:ascii="Verdana" w:hAnsi="Verdana"/>
          <w:sz w:val="20"/>
          <w:szCs w:val="20"/>
        </w:rPr>
        <w:t xml:space="preserve">lack of appropriate strains used, </w:t>
      </w:r>
      <w:r w:rsidR="00C02781">
        <w:rPr>
          <w:rFonts w:ascii="Verdana" w:hAnsi="Verdana"/>
          <w:sz w:val="20"/>
          <w:szCs w:val="20"/>
        </w:rPr>
        <w:t xml:space="preserve">lacking information on incubation times and temperatures, </w:t>
      </w:r>
      <w:r>
        <w:rPr>
          <w:rFonts w:ascii="Verdana" w:hAnsi="Verdana"/>
          <w:sz w:val="20"/>
          <w:szCs w:val="20"/>
        </w:rPr>
        <w:t xml:space="preserve">description of medium and reporting of cytotoxicity and precipitation. </w:t>
      </w:r>
    </w:p>
    <w:p w14:paraId="74F569C9" w14:textId="152B8E25" w:rsidR="00C02781" w:rsidRDefault="00B2092B" w:rsidP="00B75B01">
      <w:pPr>
        <w:spacing w:after="120"/>
        <w:jc w:val="both"/>
        <w:rPr>
          <w:rFonts w:ascii="Verdana" w:hAnsi="Verdana"/>
          <w:sz w:val="20"/>
          <w:szCs w:val="20"/>
        </w:rPr>
      </w:pPr>
      <w:r>
        <w:rPr>
          <w:rFonts w:ascii="Verdana" w:hAnsi="Verdana"/>
          <w:sz w:val="20"/>
          <w:szCs w:val="20"/>
        </w:rPr>
        <w:t>In the available i</w:t>
      </w:r>
      <w:r w:rsidRPr="00B2092B">
        <w:rPr>
          <w:rFonts w:ascii="Verdana" w:hAnsi="Verdana"/>
          <w:sz w:val="20"/>
          <w:szCs w:val="20"/>
        </w:rPr>
        <w:t xml:space="preserve">n </w:t>
      </w:r>
      <w:r>
        <w:rPr>
          <w:rFonts w:ascii="Verdana" w:hAnsi="Verdana"/>
          <w:sz w:val="20"/>
          <w:szCs w:val="20"/>
        </w:rPr>
        <w:t>v</w:t>
      </w:r>
      <w:r w:rsidRPr="00B2092B">
        <w:rPr>
          <w:rFonts w:ascii="Verdana" w:hAnsi="Verdana"/>
          <w:sz w:val="20"/>
          <w:szCs w:val="20"/>
        </w:rPr>
        <w:t xml:space="preserve">itro </w:t>
      </w:r>
      <w:r>
        <w:rPr>
          <w:rFonts w:ascii="Verdana" w:hAnsi="Verdana"/>
          <w:sz w:val="20"/>
          <w:szCs w:val="20"/>
        </w:rPr>
        <w:t>m</w:t>
      </w:r>
      <w:r w:rsidRPr="00B2092B">
        <w:rPr>
          <w:rFonts w:ascii="Verdana" w:hAnsi="Verdana"/>
          <w:sz w:val="20"/>
          <w:szCs w:val="20"/>
        </w:rPr>
        <w:t xml:space="preserve">ammalian </w:t>
      </w:r>
      <w:r>
        <w:rPr>
          <w:rFonts w:ascii="Verdana" w:hAnsi="Verdana"/>
          <w:sz w:val="20"/>
          <w:szCs w:val="20"/>
        </w:rPr>
        <w:t>c</w:t>
      </w:r>
      <w:r w:rsidRPr="00B2092B">
        <w:rPr>
          <w:rFonts w:ascii="Verdana" w:hAnsi="Verdana"/>
          <w:sz w:val="20"/>
          <w:szCs w:val="20"/>
        </w:rPr>
        <w:t xml:space="preserve">hromosome </w:t>
      </w:r>
      <w:r>
        <w:rPr>
          <w:rFonts w:ascii="Verdana" w:hAnsi="Verdana"/>
          <w:sz w:val="20"/>
          <w:szCs w:val="20"/>
        </w:rPr>
        <w:t>a</w:t>
      </w:r>
      <w:r w:rsidRPr="00B2092B">
        <w:rPr>
          <w:rFonts w:ascii="Verdana" w:hAnsi="Verdana"/>
          <w:sz w:val="20"/>
          <w:szCs w:val="20"/>
        </w:rPr>
        <w:t xml:space="preserve">berration </w:t>
      </w:r>
      <w:r>
        <w:rPr>
          <w:rFonts w:ascii="Verdana" w:hAnsi="Verdana"/>
          <w:sz w:val="20"/>
          <w:szCs w:val="20"/>
        </w:rPr>
        <w:t>t</w:t>
      </w:r>
      <w:r w:rsidRPr="00B2092B">
        <w:rPr>
          <w:rFonts w:ascii="Verdana" w:hAnsi="Verdana"/>
          <w:sz w:val="20"/>
          <w:szCs w:val="20"/>
        </w:rPr>
        <w:t>est</w:t>
      </w:r>
      <w:r>
        <w:rPr>
          <w:rFonts w:ascii="Verdana" w:hAnsi="Verdana"/>
          <w:sz w:val="20"/>
          <w:szCs w:val="20"/>
        </w:rPr>
        <w:t xml:space="preserve">, Marlotherm S was tested in Chinese hamster ovarian cells at 3 concentrations up to 5000 µg/ml. </w:t>
      </w:r>
      <w:r w:rsidR="00D30212">
        <w:rPr>
          <w:rFonts w:ascii="Verdana" w:hAnsi="Verdana"/>
          <w:sz w:val="20"/>
          <w:szCs w:val="20"/>
        </w:rPr>
        <w:t xml:space="preserve">No cytotoxicity was observed </w:t>
      </w:r>
      <w:r w:rsidR="00B2634C">
        <w:rPr>
          <w:rFonts w:ascii="Verdana" w:hAnsi="Verdana"/>
          <w:sz w:val="20"/>
          <w:szCs w:val="20"/>
        </w:rPr>
        <w:t xml:space="preserve">in the concentrations tested. Marlotherm S was negative in the study at both incubation concentrations of 12 and 20 hours with and without metabolic activation. </w:t>
      </w:r>
    </w:p>
    <w:p w14:paraId="42F8CFF9" w14:textId="502CB1A7" w:rsidR="00B2634C" w:rsidRDefault="00B2634C" w:rsidP="003473D8">
      <w:pPr>
        <w:spacing w:after="120"/>
        <w:jc w:val="both"/>
        <w:rPr>
          <w:rFonts w:ascii="Verdana" w:hAnsi="Verdana"/>
          <w:sz w:val="20"/>
          <w:szCs w:val="20"/>
        </w:rPr>
      </w:pPr>
      <w:r>
        <w:rPr>
          <w:rFonts w:ascii="Verdana" w:hAnsi="Verdana"/>
          <w:sz w:val="20"/>
          <w:szCs w:val="20"/>
        </w:rPr>
        <w:t xml:space="preserve">In the in vitro mammalian cell gene mutation test with Chinese hamster lung fibroblasts (V79), Marlotherm S did not affect mutation frequency </w:t>
      </w:r>
      <w:r w:rsidR="000B7D2E">
        <w:rPr>
          <w:rFonts w:ascii="Verdana" w:hAnsi="Verdana"/>
          <w:sz w:val="20"/>
          <w:szCs w:val="20"/>
        </w:rPr>
        <w:t>at the 5 concentrations tested up to 5 mg/ml in the presence or absence of metabolic activation.</w:t>
      </w:r>
    </w:p>
    <w:p w14:paraId="5DA83E4A" w14:textId="34E81D6C" w:rsidR="000B7D2E" w:rsidRDefault="000B7D2E" w:rsidP="003473D8">
      <w:pPr>
        <w:spacing w:after="120"/>
        <w:jc w:val="both"/>
        <w:rPr>
          <w:rFonts w:ascii="Verdana" w:hAnsi="Verdana"/>
          <w:sz w:val="20"/>
          <w:szCs w:val="20"/>
        </w:rPr>
      </w:pPr>
      <w:r>
        <w:rPr>
          <w:rFonts w:ascii="Verdana" w:hAnsi="Verdana"/>
          <w:sz w:val="20"/>
          <w:szCs w:val="20"/>
        </w:rPr>
        <w:t xml:space="preserve">Five in vivo mammalian erythrocyte micronucleus tests are available; </w:t>
      </w:r>
      <w:r w:rsidR="00A57235">
        <w:rPr>
          <w:rFonts w:ascii="Verdana" w:hAnsi="Verdana"/>
          <w:sz w:val="20"/>
          <w:szCs w:val="20"/>
        </w:rPr>
        <w:t>four</w:t>
      </w:r>
      <w:r>
        <w:rPr>
          <w:rFonts w:ascii="Verdana" w:hAnsi="Verdana"/>
          <w:sz w:val="20"/>
          <w:szCs w:val="20"/>
        </w:rPr>
        <w:t xml:space="preserve"> with </w:t>
      </w:r>
      <w:r w:rsidR="0074087B">
        <w:rPr>
          <w:rFonts w:ascii="Verdana" w:hAnsi="Verdana"/>
          <w:sz w:val="20"/>
          <w:szCs w:val="20"/>
        </w:rPr>
        <w:t>d</w:t>
      </w:r>
      <w:r w:rsidRPr="000B7D2E">
        <w:rPr>
          <w:rFonts w:ascii="Verdana" w:hAnsi="Verdana"/>
          <w:sz w:val="20"/>
          <w:szCs w:val="20"/>
        </w:rPr>
        <w:t xml:space="preserve">ibenzylbenzene, </w:t>
      </w:r>
      <w:proofErr w:type="spellStart"/>
      <w:r w:rsidRPr="000B7D2E">
        <w:rPr>
          <w:rFonts w:ascii="Verdana" w:hAnsi="Verdana"/>
          <w:sz w:val="20"/>
          <w:szCs w:val="20"/>
        </w:rPr>
        <w:t>ar</w:t>
      </w:r>
      <w:proofErr w:type="spellEnd"/>
      <w:r w:rsidRPr="000B7D2E">
        <w:rPr>
          <w:rFonts w:ascii="Verdana" w:hAnsi="Verdana"/>
          <w:sz w:val="20"/>
          <w:szCs w:val="20"/>
        </w:rPr>
        <w:t>-methyl derivative</w:t>
      </w:r>
      <w:r>
        <w:rPr>
          <w:rFonts w:ascii="Verdana" w:hAnsi="Verdana"/>
          <w:sz w:val="20"/>
          <w:szCs w:val="20"/>
        </w:rPr>
        <w:t xml:space="preserve"> and </w:t>
      </w:r>
      <w:r w:rsidR="00A57235">
        <w:rPr>
          <w:rFonts w:ascii="Verdana" w:hAnsi="Verdana"/>
          <w:sz w:val="20"/>
          <w:szCs w:val="20"/>
        </w:rPr>
        <w:t>one with Marlotherm S</w:t>
      </w:r>
      <w:r w:rsidR="0074087B">
        <w:rPr>
          <w:rFonts w:ascii="Verdana" w:hAnsi="Verdana"/>
          <w:sz w:val="20"/>
          <w:szCs w:val="20"/>
        </w:rPr>
        <w:t>. Two of the studies with d</w:t>
      </w:r>
      <w:r w:rsidR="0074087B" w:rsidRPr="000B7D2E">
        <w:rPr>
          <w:rFonts w:ascii="Verdana" w:hAnsi="Verdana"/>
          <w:sz w:val="20"/>
          <w:szCs w:val="20"/>
        </w:rPr>
        <w:t xml:space="preserve">ibenzylbenzene, </w:t>
      </w:r>
      <w:proofErr w:type="spellStart"/>
      <w:r w:rsidR="0074087B" w:rsidRPr="000B7D2E">
        <w:rPr>
          <w:rFonts w:ascii="Verdana" w:hAnsi="Verdana"/>
          <w:sz w:val="20"/>
          <w:szCs w:val="20"/>
        </w:rPr>
        <w:t>ar</w:t>
      </w:r>
      <w:proofErr w:type="spellEnd"/>
      <w:r w:rsidR="0074087B" w:rsidRPr="000B7D2E">
        <w:rPr>
          <w:rFonts w:ascii="Verdana" w:hAnsi="Verdana"/>
          <w:sz w:val="20"/>
          <w:szCs w:val="20"/>
        </w:rPr>
        <w:t>-methyl derivative</w:t>
      </w:r>
      <w:r w:rsidR="0074087B">
        <w:rPr>
          <w:rFonts w:ascii="Verdana" w:hAnsi="Verdana"/>
          <w:sz w:val="20"/>
          <w:szCs w:val="20"/>
        </w:rPr>
        <w:t xml:space="preserve"> </w:t>
      </w:r>
      <w:proofErr w:type="gramStart"/>
      <w:r w:rsidR="0074087B">
        <w:rPr>
          <w:rFonts w:ascii="Verdana" w:hAnsi="Verdana"/>
          <w:sz w:val="20"/>
          <w:szCs w:val="20"/>
        </w:rPr>
        <w:t>were</w:t>
      </w:r>
      <w:proofErr w:type="gramEnd"/>
      <w:r w:rsidR="0074087B">
        <w:rPr>
          <w:rFonts w:ascii="Verdana" w:hAnsi="Verdana"/>
          <w:sz w:val="20"/>
          <w:szCs w:val="20"/>
        </w:rPr>
        <w:t xml:space="preserve"> performed as part of 4 month repeated dose toxicity studies employing doses of 500 mg/kg </w:t>
      </w:r>
      <w:proofErr w:type="spellStart"/>
      <w:r w:rsidR="0074087B">
        <w:rPr>
          <w:rFonts w:ascii="Verdana" w:hAnsi="Verdana"/>
          <w:sz w:val="20"/>
          <w:szCs w:val="20"/>
        </w:rPr>
        <w:t>bw</w:t>
      </w:r>
      <w:proofErr w:type="spellEnd"/>
      <w:r w:rsidR="0074087B">
        <w:rPr>
          <w:rFonts w:ascii="Verdana" w:hAnsi="Verdana"/>
          <w:sz w:val="20"/>
          <w:szCs w:val="20"/>
        </w:rPr>
        <w:t>/day by oral gavage in rats. Both studies were negative for micronuclei however one of the tests used only male animals (4 in total). In two of the available studies with d</w:t>
      </w:r>
      <w:r w:rsidR="0074087B" w:rsidRPr="0074087B">
        <w:rPr>
          <w:rFonts w:ascii="Verdana" w:hAnsi="Verdana"/>
          <w:sz w:val="20"/>
          <w:szCs w:val="20"/>
        </w:rPr>
        <w:t xml:space="preserve">ibenzylbenzene, </w:t>
      </w:r>
      <w:proofErr w:type="spellStart"/>
      <w:r w:rsidR="0074087B" w:rsidRPr="0074087B">
        <w:rPr>
          <w:rFonts w:ascii="Verdana" w:hAnsi="Verdana"/>
          <w:sz w:val="20"/>
          <w:szCs w:val="20"/>
        </w:rPr>
        <w:t>ar</w:t>
      </w:r>
      <w:proofErr w:type="spellEnd"/>
      <w:r w:rsidR="0074087B" w:rsidRPr="0074087B">
        <w:rPr>
          <w:rFonts w:ascii="Verdana" w:hAnsi="Verdana"/>
          <w:sz w:val="20"/>
          <w:szCs w:val="20"/>
        </w:rPr>
        <w:t>-methyl derivative</w:t>
      </w:r>
      <w:r w:rsidR="0074087B">
        <w:rPr>
          <w:rFonts w:ascii="Verdana" w:hAnsi="Verdana"/>
          <w:sz w:val="20"/>
          <w:szCs w:val="20"/>
        </w:rPr>
        <w:t xml:space="preserve"> 5 female and 5 male mice were treated with doses of 1000, 2000 and 4000 mg/kg </w:t>
      </w:r>
      <w:proofErr w:type="spellStart"/>
      <w:r w:rsidR="0074087B">
        <w:rPr>
          <w:rFonts w:ascii="Verdana" w:hAnsi="Verdana"/>
          <w:sz w:val="20"/>
          <w:szCs w:val="20"/>
        </w:rPr>
        <w:t>bw</w:t>
      </w:r>
      <w:proofErr w:type="spellEnd"/>
      <w:r w:rsidR="0074087B">
        <w:rPr>
          <w:rFonts w:ascii="Verdana" w:hAnsi="Verdana"/>
          <w:sz w:val="20"/>
          <w:szCs w:val="20"/>
        </w:rPr>
        <w:t xml:space="preserve">/day by oral gavage for two days with a sampling time of 6 hours post-exposure. Both studies were negative for micronuclei. Finally, in a study with Marlotherm S, two doses of the test item were administered intraperitoneally </w:t>
      </w:r>
      <w:r w:rsidR="005F1CE9">
        <w:rPr>
          <w:rFonts w:ascii="Verdana" w:hAnsi="Verdana"/>
          <w:sz w:val="20"/>
          <w:szCs w:val="20"/>
        </w:rPr>
        <w:t xml:space="preserve">using 1000, 2000 and 4000 mg/kg </w:t>
      </w:r>
      <w:r w:rsidR="0074087B">
        <w:rPr>
          <w:rFonts w:ascii="Verdana" w:hAnsi="Verdana"/>
          <w:sz w:val="20"/>
          <w:szCs w:val="20"/>
        </w:rPr>
        <w:t xml:space="preserve">to 5 female and 5 male mice </w:t>
      </w:r>
      <w:r w:rsidR="005F1CE9">
        <w:rPr>
          <w:rFonts w:ascii="Verdana" w:hAnsi="Verdana"/>
          <w:sz w:val="20"/>
          <w:szCs w:val="20"/>
        </w:rPr>
        <w:t xml:space="preserve">per group </w:t>
      </w:r>
      <w:r w:rsidR="0074087B">
        <w:rPr>
          <w:rFonts w:ascii="Verdana" w:hAnsi="Verdana"/>
          <w:sz w:val="20"/>
          <w:szCs w:val="20"/>
        </w:rPr>
        <w:t xml:space="preserve">24 hours apart and sampling </w:t>
      </w:r>
      <w:r w:rsidR="005F1CE9">
        <w:rPr>
          <w:rFonts w:ascii="Verdana" w:hAnsi="Verdana"/>
          <w:sz w:val="20"/>
          <w:szCs w:val="20"/>
        </w:rPr>
        <w:t xml:space="preserve">conducted after 6 hours post-exposure. The test item was negative for micronucleus induction in this study. </w:t>
      </w:r>
    </w:p>
    <w:p w14:paraId="15E54B10" w14:textId="302680EC" w:rsidR="000B7D2E" w:rsidRPr="00896542" w:rsidRDefault="00A412AB" w:rsidP="003473D8">
      <w:pPr>
        <w:spacing w:after="120"/>
        <w:jc w:val="both"/>
        <w:rPr>
          <w:rFonts w:ascii="Verdana" w:hAnsi="Verdana"/>
          <w:sz w:val="20"/>
          <w:szCs w:val="20"/>
        </w:rPr>
      </w:pPr>
      <w:r>
        <w:rPr>
          <w:rFonts w:ascii="Verdana" w:hAnsi="Verdana"/>
          <w:sz w:val="20"/>
          <w:szCs w:val="20"/>
        </w:rPr>
        <w:t>A</w:t>
      </w:r>
      <w:r w:rsidR="00D574FA">
        <w:rPr>
          <w:rFonts w:ascii="Verdana" w:hAnsi="Verdana"/>
          <w:sz w:val="20"/>
          <w:szCs w:val="20"/>
        </w:rPr>
        <w:t xml:space="preserve">n </w:t>
      </w:r>
      <w:r>
        <w:rPr>
          <w:rFonts w:ascii="Verdana" w:hAnsi="Verdana"/>
          <w:sz w:val="20"/>
          <w:szCs w:val="20"/>
        </w:rPr>
        <w:t xml:space="preserve">in vitro gene mutation study in bacteria as well as an in vitro gene mutation study in mammalian cells have been requested </w:t>
      </w:r>
      <w:r w:rsidR="0075480A">
        <w:rPr>
          <w:rFonts w:ascii="Verdana" w:hAnsi="Verdana"/>
          <w:sz w:val="20"/>
          <w:szCs w:val="20"/>
        </w:rPr>
        <w:t xml:space="preserve">to be conducted with </w:t>
      </w:r>
      <w:r>
        <w:rPr>
          <w:rFonts w:ascii="Verdana" w:hAnsi="Verdana"/>
          <w:sz w:val="20"/>
          <w:szCs w:val="20"/>
        </w:rPr>
        <w:t>the registered substance in a compliance check decision by ECH</w:t>
      </w:r>
      <w:r w:rsidR="0075480A">
        <w:rPr>
          <w:rFonts w:ascii="Verdana" w:hAnsi="Verdana"/>
          <w:sz w:val="20"/>
          <w:szCs w:val="20"/>
        </w:rPr>
        <w:t xml:space="preserve">A. Final </w:t>
      </w:r>
      <w:r>
        <w:rPr>
          <w:rFonts w:ascii="Verdana" w:hAnsi="Verdana"/>
          <w:sz w:val="20"/>
          <w:szCs w:val="20"/>
        </w:rPr>
        <w:t>conclusions</w:t>
      </w:r>
      <w:r w:rsidR="0075480A">
        <w:rPr>
          <w:rFonts w:ascii="Verdana" w:hAnsi="Verdana"/>
          <w:sz w:val="20"/>
          <w:szCs w:val="20"/>
        </w:rPr>
        <w:t xml:space="preserve"> </w:t>
      </w:r>
      <w:r>
        <w:rPr>
          <w:rFonts w:ascii="Verdana" w:hAnsi="Verdana"/>
          <w:sz w:val="20"/>
          <w:szCs w:val="20"/>
        </w:rPr>
        <w:t xml:space="preserve">on mutagenicity will be based also on these pending results. </w:t>
      </w:r>
    </w:p>
    <w:p w14:paraId="20B26253" w14:textId="77634C99" w:rsidR="006954F3" w:rsidRDefault="006954F3" w:rsidP="006954F3">
      <w:pPr>
        <w:spacing w:after="120" w:line="360" w:lineRule="auto"/>
        <w:rPr>
          <w:rFonts w:cs="Arial"/>
          <w:b/>
        </w:rPr>
      </w:pPr>
      <w:r w:rsidRPr="003473D8">
        <w:rPr>
          <w:rFonts w:cs="Arial"/>
          <w:b/>
        </w:rPr>
        <w:t>Reproductive toxicity</w:t>
      </w:r>
    </w:p>
    <w:p w14:paraId="4965E966" w14:textId="3E0232E0" w:rsidR="00923C63" w:rsidRDefault="00487E88" w:rsidP="003473D8">
      <w:pPr>
        <w:spacing w:after="120"/>
        <w:jc w:val="both"/>
        <w:rPr>
          <w:rFonts w:ascii="Verdana" w:hAnsi="Verdana"/>
          <w:sz w:val="20"/>
          <w:szCs w:val="20"/>
        </w:rPr>
      </w:pPr>
      <w:r w:rsidRPr="003473D8">
        <w:rPr>
          <w:rFonts w:ascii="Verdana" w:hAnsi="Verdana"/>
          <w:sz w:val="20"/>
          <w:szCs w:val="20"/>
        </w:rPr>
        <w:t>A one generation reproducti</w:t>
      </w:r>
      <w:r>
        <w:rPr>
          <w:rFonts w:ascii="Verdana" w:hAnsi="Verdana"/>
          <w:sz w:val="20"/>
          <w:szCs w:val="20"/>
        </w:rPr>
        <w:t>on</w:t>
      </w:r>
      <w:r w:rsidRPr="003473D8">
        <w:rPr>
          <w:rFonts w:ascii="Verdana" w:hAnsi="Verdana"/>
          <w:sz w:val="20"/>
          <w:szCs w:val="20"/>
        </w:rPr>
        <w:t xml:space="preserve"> toxicity study according to OECD TG 415</w:t>
      </w:r>
      <w:r>
        <w:rPr>
          <w:rFonts w:ascii="Verdana" w:hAnsi="Verdana"/>
          <w:sz w:val="20"/>
          <w:szCs w:val="20"/>
        </w:rPr>
        <w:t xml:space="preserve"> (version adopted 1983)</w:t>
      </w:r>
      <w:r w:rsidRPr="003473D8">
        <w:rPr>
          <w:rFonts w:ascii="Verdana" w:hAnsi="Verdana"/>
          <w:sz w:val="20"/>
          <w:szCs w:val="20"/>
        </w:rPr>
        <w:t xml:space="preserve"> </w:t>
      </w:r>
      <w:r>
        <w:rPr>
          <w:rFonts w:ascii="Verdana" w:hAnsi="Verdana"/>
          <w:sz w:val="20"/>
          <w:szCs w:val="20"/>
        </w:rPr>
        <w:t xml:space="preserve">conducted by oral gavage in rats with the test item </w:t>
      </w:r>
      <w:r w:rsidRPr="00487E88">
        <w:rPr>
          <w:rFonts w:ascii="Verdana" w:hAnsi="Verdana"/>
          <w:sz w:val="20"/>
          <w:szCs w:val="20"/>
        </w:rPr>
        <w:t>Marlotherm S</w:t>
      </w:r>
      <w:r>
        <w:rPr>
          <w:rFonts w:ascii="Verdana" w:hAnsi="Verdana"/>
          <w:sz w:val="20"/>
          <w:szCs w:val="20"/>
        </w:rPr>
        <w:t xml:space="preserve"> </w:t>
      </w:r>
      <w:r w:rsidRPr="003473D8">
        <w:rPr>
          <w:rFonts w:ascii="Verdana" w:hAnsi="Verdana"/>
          <w:sz w:val="20"/>
          <w:szCs w:val="20"/>
        </w:rPr>
        <w:t>is</w:t>
      </w:r>
      <w:r>
        <w:rPr>
          <w:rFonts w:cs="Arial"/>
          <w:b/>
        </w:rPr>
        <w:t xml:space="preserve"> </w:t>
      </w:r>
      <w:r w:rsidRPr="003473D8">
        <w:rPr>
          <w:rFonts w:ascii="Verdana" w:hAnsi="Verdana"/>
          <w:sz w:val="20"/>
          <w:szCs w:val="20"/>
        </w:rPr>
        <w:t>available</w:t>
      </w:r>
      <w:r>
        <w:rPr>
          <w:rFonts w:ascii="Verdana" w:hAnsi="Verdana"/>
          <w:sz w:val="20"/>
          <w:szCs w:val="20"/>
        </w:rPr>
        <w:t>. Dose levels of</w:t>
      </w:r>
      <w:r w:rsidR="00345E88">
        <w:rPr>
          <w:rFonts w:ascii="Verdana" w:hAnsi="Verdana"/>
          <w:sz w:val="20"/>
          <w:szCs w:val="20"/>
        </w:rPr>
        <w:t xml:space="preserve"> 0,</w:t>
      </w:r>
      <w:r>
        <w:rPr>
          <w:rFonts w:ascii="Verdana" w:hAnsi="Verdana"/>
          <w:sz w:val="20"/>
          <w:szCs w:val="20"/>
        </w:rPr>
        <w:t xml:space="preserve"> 20, 120 and 720 mg/kg </w:t>
      </w:r>
      <w:proofErr w:type="spellStart"/>
      <w:r>
        <w:rPr>
          <w:rFonts w:ascii="Verdana" w:hAnsi="Verdana"/>
          <w:sz w:val="20"/>
          <w:szCs w:val="20"/>
        </w:rPr>
        <w:t>bw</w:t>
      </w:r>
      <w:proofErr w:type="spellEnd"/>
      <w:r>
        <w:rPr>
          <w:rFonts w:ascii="Verdana" w:hAnsi="Verdana"/>
          <w:sz w:val="20"/>
          <w:szCs w:val="20"/>
        </w:rPr>
        <w:t>/d were used based on a preliminary study and a 90-day repeated-dose toxicity study in rats.</w:t>
      </w:r>
      <w:r w:rsidR="00DF0169">
        <w:rPr>
          <w:rFonts w:ascii="Verdana" w:hAnsi="Verdana"/>
          <w:sz w:val="20"/>
          <w:szCs w:val="20"/>
        </w:rPr>
        <w:t xml:space="preserve"> </w:t>
      </w:r>
      <w:r w:rsidR="00FC2304">
        <w:rPr>
          <w:rFonts w:ascii="Verdana" w:hAnsi="Verdana"/>
          <w:sz w:val="20"/>
          <w:szCs w:val="20"/>
        </w:rPr>
        <w:t xml:space="preserve">A NOAEL of 120 mg/kg </w:t>
      </w:r>
      <w:proofErr w:type="spellStart"/>
      <w:r w:rsidR="00FC2304">
        <w:rPr>
          <w:rFonts w:ascii="Verdana" w:hAnsi="Verdana"/>
          <w:sz w:val="20"/>
          <w:szCs w:val="20"/>
        </w:rPr>
        <w:t>bw</w:t>
      </w:r>
      <w:proofErr w:type="spellEnd"/>
      <w:r w:rsidR="00FC2304">
        <w:rPr>
          <w:rFonts w:ascii="Verdana" w:hAnsi="Verdana"/>
          <w:sz w:val="20"/>
          <w:szCs w:val="20"/>
        </w:rPr>
        <w:t>/day for general toxicity in parental animals (males and females) was derived based on increased kidney, liver and prostate weights in males of the high dose group and on reduced body weight gain, reduced food consumption and increased liver and kidney weights in females of the high dose group.</w:t>
      </w:r>
      <w:r w:rsidR="0068450D">
        <w:rPr>
          <w:rFonts w:ascii="Verdana" w:hAnsi="Verdana"/>
          <w:sz w:val="20"/>
          <w:szCs w:val="20"/>
        </w:rPr>
        <w:t xml:space="preserve"> No effects on reproductive parameters were observed and a NOAEL of 720 mg/kg </w:t>
      </w:r>
      <w:proofErr w:type="spellStart"/>
      <w:r w:rsidR="0068450D">
        <w:rPr>
          <w:rFonts w:ascii="Verdana" w:hAnsi="Verdana"/>
          <w:sz w:val="20"/>
          <w:szCs w:val="20"/>
        </w:rPr>
        <w:t>bw</w:t>
      </w:r>
      <w:proofErr w:type="spellEnd"/>
      <w:r w:rsidR="0068450D">
        <w:rPr>
          <w:rFonts w:ascii="Verdana" w:hAnsi="Verdana"/>
          <w:sz w:val="20"/>
          <w:szCs w:val="20"/>
        </w:rPr>
        <w:t xml:space="preserve">/day for reproduction was reported. The NOAEL reported for developmental toxicity in the F1 progeny was 720 mg/kg </w:t>
      </w:r>
      <w:proofErr w:type="spellStart"/>
      <w:r w:rsidR="0068450D">
        <w:rPr>
          <w:rFonts w:ascii="Verdana" w:hAnsi="Verdana"/>
          <w:sz w:val="20"/>
          <w:szCs w:val="20"/>
        </w:rPr>
        <w:t>bw</w:t>
      </w:r>
      <w:proofErr w:type="spellEnd"/>
      <w:r w:rsidR="0068450D">
        <w:rPr>
          <w:rFonts w:ascii="Verdana" w:hAnsi="Verdana"/>
          <w:sz w:val="20"/>
          <w:szCs w:val="20"/>
        </w:rPr>
        <w:t xml:space="preserve">/day as effects on litter size, pup survival and organ weights (heart, kidney, brain, liver) were attributed to maternal toxicity of the test item and reduced pup weight. </w:t>
      </w:r>
    </w:p>
    <w:p w14:paraId="510CD9B5" w14:textId="6DDFF5FE" w:rsidR="00405646" w:rsidRDefault="003479B0" w:rsidP="003A09EB">
      <w:pPr>
        <w:spacing w:after="120"/>
        <w:jc w:val="both"/>
        <w:rPr>
          <w:rFonts w:ascii="Verdana" w:hAnsi="Verdana"/>
          <w:sz w:val="20"/>
          <w:szCs w:val="20"/>
        </w:rPr>
      </w:pPr>
      <w:r>
        <w:rPr>
          <w:rFonts w:ascii="Verdana" w:hAnsi="Verdana"/>
          <w:sz w:val="20"/>
          <w:szCs w:val="20"/>
        </w:rPr>
        <w:t>P</w:t>
      </w:r>
      <w:r w:rsidR="00405646">
        <w:rPr>
          <w:rFonts w:ascii="Verdana" w:hAnsi="Verdana"/>
          <w:sz w:val="20"/>
          <w:szCs w:val="20"/>
        </w:rPr>
        <w:t xml:space="preserve">renatal developmental toxicity </w:t>
      </w:r>
      <w:r>
        <w:rPr>
          <w:rFonts w:ascii="Verdana" w:hAnsi="Verdana"/>
          <w:sz w:val="20"/>
          <w:szCs w:val="20"/>
        </w:rPr>
        <w:t xml:space="preserve">was </w:t>
      </w:r>
      <w:r w:rsidR="00405646">
        <w:rPr>
          <w:rFonts w:ascii="Verdana" w:hAnsi="Verdana"/>
          <w:sz w:val="20"/>
          <w:szCs w:val="20"/>
        </w:rPr>
        <w:t>stud</w:t>
      </w:r>
      <w:r>
        <w:rPr>
          <w:rFonts w:ascii="Verdana" w:hAnsi="Verdana"/>
          <w:sz w:val="20"/>
          <w:szCs w:val="20"/>
        </w:rPr>
        <w:t>ied</w:t>
      </w:r>
      <w:r w:rsidR="00405646">
        <w:rPr>
          <w:rFonts w:ascii="Verdana" w:hAnsi="Verdana"/>
          <w:sz w:val="20"/>
          <w:szCs w:val="20"/>
        </w:rPr>
        <w:t xml:space="preserve"> in rats </w:t>
      </w:r>
      <w:r>
        <w:rPr>
          <w:rFonts w:ascii="Verdana" w:hAnsi="Verdana"/>
          <w:sz w:val="20"/>
          <w:szCs w:val="20"/>
        </w:rPr>
        <w:t xml:space="preserve">(OECD TG 414) using Marlotherm S. Parental animals were treated from GD 6-15 with doses of 25, 150 </w:t>
      </w:r>
      <w:r>
        <w:rPr>
          <w:rFonts w:ascii="Verdana" w:hAnsi="Verdana"/>
          <w:sz w:val="20"/>
          <w:szCs w:val="20"/>
        </w:rPr>
        <w:lastRenderedPageBreak/>
        <w:t xml:space="preserve">and 1000 mg/kg </w:t>
      </w:r>
      <w:proofErr w:type="spellStart"/>
      <w:r>
        <w:rPr>
          <w:rFonts w:ascii="Verdana" w:hAnsi="Verdana"/>
          <w:sz w:val="20"/>
          <w:szCs w:val="20"/>
        </w:rPr>
        <w:t>bw</w:t>
      </w:r>
      <w:proofErr w:type="spellEnd"/>
      <w:r>
        <w:rPr>
          <w:rFonts w:ascii="Verdana" w:hAnsi="Verdana"/>
          <w:sz w:val="20"/>
          <w:szCs w:val="20"/>
        </w:rPr>
        <w:t>/day by oral gavage</w:t>
      </w:r>
      <w:r w:rsidR="000A3555">
        <w:rPr>
          <w:rFonts w:ascii="Verdana" w:hAnsi="Verdana"/>
          <w:sz w:val="20"/>
          <w:szCs w:val="20"/>
        </w:rPr>
        <w:t xml:space="preserve"> based on a preliminary study</w:t>
      </w:r>
      <w:r>
        <w:rPr>
          <w:rFonts w:ascii="Verdana" w:hAnsi="Verdana"/>
          <w:sz w:val="20"/>
          <w:szCs w:val="20"/>
        </w:rPr>
        <w:t xml:space="preserve">. </w:t>
      </w:r>
      <w:r w:rsidR="000A3555">
        <w:rPr>
          <w:rFonts w:ascii="Verdana" w:hAnsi="Verdana"/>
          <w:sz w:val="20"/>
          <w:szCs w:val="20"/>
        </w:rPr>
        <w:t>Several l</w:t>
      </w:r>
      <w:r w:rsidR="00EE0DDE">
        <w:rPr>
          <w:rFonts w:ascii="Verdana" w:hAnsi="Verdana"/>
          <w:sz w:val="20"/>
          <w:szCs w:val="20"/>
        </w:rPr>
        <w:t xml:space="preserve">ow dose animals </w:t>
      </w:r>
      <w:r w:rsidR="004E2A88">
        <w:rPr>
          <w:rFonts w:ascii="Verdana" w:hAnsi="Verdana"/>
          <w:sz w:val="20"/>
          <w:szCs w:val="20"/>
        </w:rPr>
        <w:t xml:space="preserve">mistakenly </w:t>
      </w:r>
      <w:r w:rsidR="00EE0DDE">
        <w:rPr>
          <w:rFonts w:ascii="Verdana" w:hAnsi="Verdana"/>
          <w:sz w:val="20"/>
          <w:szCs w:val="20"/>
        </w:rPr>
        <w:t xml:space="preserve">received </w:t>
      </w:r>
      <w:r w:rsidR="000A3555">
        <w:rPr>
          <w:rFonts w:ascii="Verdana" w:hAnsi="Verdana"/>
          <w:sz w:val="20"/>
          <w:szCs w:val="20"/>
        </w:rPr>
        <w:t xml:space="preserve">larger doses than 25 mg/kg </w:t>
      </w:r>
      <w:proofErr w:type="spellStart"/>
      <w:r w:rsidR="000A3555">
        <w:rPr>
          <w:rFonts w:ascii="Verdana" w:hAnsi="Verdana"/>
          <w:sz w:val="20"/>
          <w:szCs w:val="20"/>
        </w:rPr>
        <w:t>bw</w:t>
      </w:r>
      <w:proofErr w:type="spellEnd"/>
      <w:r w:rsidR="000A3555">
        <w:rPr>
          <w:rFonts w:ascii="Verdana" w:hAnsi="Verdana"/>
          <w:sz w:val="20"/>
          <w:szCs w:val="20"/>
        </w:rPr>
        <w:t>/day on day 6 or 7 of administration.</w:t>
      </w:r>
      <w:r w:rsidR="00351E18">
        <w:rPr>
          <w:rFonts w:ascii="Verdana" w:hAnsi="Verdana"/>
          <w:sz w:val="20"/>
          <w:szCs w:val="20"/>
        </w:rPr>
        <w:t xml:space="preserve"> Decreased body weight gain </w:t>
      </w:r>
      <w:r w:rsidR="000A6C52">
        <w:rPr>
          <w:rFonts w:ascii="Verdana" w:hAnsi="Verdana"/>
          <w:sz w:val="20"/>
          <w:szCs w:val="20"/>
        </w:rPr>
        <w:t>as well as slight</w:t>
      </w:r>
      <w:r w:rsidR="00242B39">
        <w:rPr>
          <w:rFonts w:ascii="Verdana" w:hAnsi="Verdana"/>
          <w:sz w:val="20"/>
          <w:szCs w:val="20"/>
        </w:rPr>
        <w:t>ly</w:t>
      </w:r>
      <w:r w:rsidR="000A6C52">
        <w:rPr>
          <w:rFonts w:ascii="Verdana" w:hAnsi="Verdana"/>
          <w:sz w:val="20"/>
          <w:szCs w:val="20"/>
        </w:rPr>
        <w:t xml:space="preserve"> decreased corrected body weights</w:t>
      </w:r>
      <w:r w:rsidR="00351E18">
        <w:rPr>
          <w:rFonts w:ascii="Verdana" w:hAnsi="Verdana"/>
          <w:sz w:val="20"/>
          <w:szCs w:val="20"/>
        </w:rPr>
        <w:t xml:space="preserve"> </w:t>
      </w:r>
      <w:r w:rsidR="000A6C52">
        <w:rPr>
          <w:rFonts w:ascii="Verdana" w:hAnsi="Verdana"/>
          <w:sz w:val="20"/>
          <w:szCs w:val="20"/>
        </w:rPr>
        <w:t xml:space="preserve">were observed </w:t>
      </w:r>
      <w:r w:rsidR="00351E18">
        <w:rPr>
          <w:rFonts w:ascii="Verdana" w:hAnsi="Verdana"/>
          <w:sz w:val="20"/>
          <w:szCs w:val="20"/>
        </w:rPr>
        <w:t xml:space="preserve">in the </w:t>
      </w:r>
      <w:r w:rsidR="00DA4A79">
        <w:rPr>
          <w:rFonts w:ascii="Verdana" w:hAnsi="Verdana"/>
          <w:sz w:val="20"/>
          <w:szCs w:val="20"/>
        </w:rPr>
        <w:t xml:space="preserve">mid </w:t>
      </w:r>
      <w:r w:rsidR="0055203B">
        <w:rPr>
          <w:rFonts w:ascii="Verdana" w:hAnsi="Verdana"/>
          <w:sz w:val="20"/>
          <w:szCs w:val="20"/>
        </w:rPr>
        <w:t xml:space="preserve">dose </w:t>
      </w:r>
      <w:r w:rsidR="00351E18">
        <w:rPr>
          <w:rFonts w:ascii="Verdana" w:hAnsi="Verdana"/>
          <w:sz w:val="20"/>
          <w:szCs w:val="20"/>
        </w:rPr>
        <w:t xml:space="preserve">and </w:t>
      </w:r>
      <w:r w:rsidR="0055203B">
        <w:rPr>
          <w:rFonts w:ascii="Verdana" w:hAnsi="Verdana"/>
          <w:sz w:val="20"/>
          <w:szCs w:val="20"/>
        </w:rPr>
        <w:t>high dose</w:t>
      </w:r>
      <w:r w:rsidR="00351E18">
        <w:rPr>
          <w:rFonts w:ascii="Verdana" w:hAnsi="Verdana"/>
          <w:sz w:val="20"/>
          <w:szCs w:val="20"/>
        </w:rPr>
        <w:t xml:space="preserve"> </w:t>
      </w:r>
      <w:r w:rsidR="000A6C52">
        <w:rPr>
          <w:rFonts w:ascii="Verdana" w:hAnsi="Verdana"/>
          <w:sz w:val="20"/>
          <w:szCs w:val="20"/>
        </w:rPr>
        <w:t xml:space="preserve">maternal females resulting in a maternal NOAEL of 150 mg/kg </w:t>
      </w:r>
      <w:proofErr w:type="spellStart"/>
      <w:r w:rsidR="000A6C52">
        <w:rPr>
          <w:rFonts w:ascii="Verdana" w:hAnsi="Verdana"/>
          <w:sz w:val="20"/>
          <w:szCs w:val="20"/>
        </w:rPr>
        <w:t>bw</w:t>
      </w:r>
      <w:proofErr w:type="spellEnd"/>
      <w:r w:rsidR="000A6C52">
        <w:rPr>
          <w:rFonts w:ascii="Verdana" w:hAnsi="Verdana"/>
          <w:sz w:val="20"/>
          <w:szCs w:val="20"/>
        </w:rPr>
        <w:t xml:space="preserve">/day for general toxicity. </w:t>
      </w:r>
      <w:r w:rsidR="0027369E">
        <w:rPr>
          <w:rFonts w:ascii="Verdana" w:hAnsi="Verdana"/>
          <w:sz w:val="20"/>
          <w:szCs w:val="20"/>
        </w:rPr>
        <w:t>R</w:t>
      </w:r>
      <w:r w:rsidR="00711A9B">
        <w:rPr>
          <w:rFonts w:ascii="Verdana" w:hAnsi="Verdana"/>
          <w:sz w:val="20"/>
          <w:szCs w:val="20"/>
        </w:rPr>
        <w:t xml:space="preserve">educed </w:t>
      </w:r>
      <w:r w:rsidR="0027369E">
        <w:rPr>
          <w:rFonts w:ascii="Verdana" w:hAnsi="Verdana"/>
          <w:sz w:val="20"/>
          <w:szCs w:val="20"/>
        </w:rPr>
        <w:t xml:space="preserve">fetal weights with an increased incidence of runts, increased early and late resorptions, diaphragmatic hernias in pups from one litter, </w:t>
      </w:r>
      <w:r w:rsidR="0027369E" w:rsidRPr="0027369E">
        <w:rPr>
          <w:rFonts w:ascii="Verdana" w:hAnsi="Verdana"/>
          <w:sz w:val="20"/>
          <w:szCs w:val="20"/>
        </w:rPr>
        <w:t>increased incidence of dilated ureters</w:t>
      </w:r>
      <w:r w:rsidR="0027369E">
        <w:rPr>
          <w:rFonts w:ascii="Verdana" w:hAnsi="Verdana"/>
          <w:sz w:val="20"/>
          <w:szCs w:val="20"/>
        </w:rPr>
        <w:t xml:space="preserve"> as well as various skeletal abnormalities</w:t>
      </w:r>
      <w:r w:rsidR="007E583C">
        <w:rPr>
          <w:rFonts w:ascii="Verdana" w:hAnsi="Verdana"/>
          <w:sz w:val="20"/>
          <w:szCs w:val="20"/>
        </w:rPr>
        <w:t xml:space="preserve"> indicative of retarded ossification</w:t>
      </w:r>
      <w:r w:rsidR="0027369E">
        <w:rPr>
          <w:rFonts w:ascii="Verdana" w:hAnsi="Verdana"/>
          <w:sz w:val="20"/>
          <w:szCs w:val="20"/>
        </w:rPr>
        <w:t xml:space="preserve"> were observed in the </w:t>
      </w:r>
      <w:r w:rsidR="0055203B">
        <w:rPr>
          <w:rFonts w:ascii="Verdana" w:hAnsi="Verdana"/>
          <w:sz w:val="20"/>
          <w:szCs w:val="20"/>
        </w:rPr>
        <w:t>high dose</w:t>
      </w:r>
      <w:r w:rsidR="0027369E">
        <w:rPr>
          <w:rFonts w:ascii="Verdana" w:hAnsi="Verdana"/>
          <w:sz w:val="20"/>
          <w:szCs w:val="20"/>
        </w:rPr>
        <w:t xml:space="preserve"> group. </w:t>
      </w:r>
      <w:r w:rsidR="00FB3E66">
        <w:rPr>
          <w:rFonts w:ascii="Verdana" w:hAnsi="Verdana"/>
          <w:sz w:val="20"/>
          <w:szCs w:val="20"/>
        </w:rPr>
        <w:t xml:space="preserve">Hydrocephalus was observed in two animals of two different litters in the </w:t>
      </w:r>
      <w:r w:rsidR="003B1483">
        <w:rPr>
          <w:rFonts w:ascii="Verdana" w:hAnsi="Verdana"/>
          <w:sz w:val="20"/>
          <w:szCs w:val="20"/>
        </w:rPr>
        <w:t>high dose</w:t>
      </w:r>
      <w:r w:rsidR="00FB3E66">
        <w:rPr>
          <w:rFonts w:ascii="Verdana" w:hAnsi="Verdana"/>
          <w:sz w:val="20"/>
          <w:szCs w:val="20"/>
        </w:rPr>
        <w:t xml:space="preserve"> group</w:t>
      </w:r>
      <w:r w:rsidR="00D310FD">
        <w:rPr>
          <w:rFonts w:ascii="Verdana" w:hAnsi="Verdana"/>
          <w:sz w:val="20"/>
          <w:szCs w:val="20"/>
        </w:rPr>
        <w:t xml:space="preserve"> as well as </w:t>
      </w:r>
      <w:r w:rsidR="00D310FD" w:rsidRPr="00D310FD">
        <w:rPr>
          <w:rFonts w:ascii="Verdana" w:hAnsi="Verdana"/>
          <w:sz w:val="20"/>
          <w:szCs w:val="20"/>
        </w:rPr>
        <w:t>kyphosis of the thoracic vertebral column</w:t>
      </w:r>
      <w:r w:rsidR="00D310FD">
        <w:rPr>
          <w:rFonts w:ascii="Verdana" w:hAnsi="Verdana"/>
          <w:sz w:val="20"/>
          <w:szCs w:val="20"/>
        </w:rPr>
        <w:t xml:space="preserve"> in one fetus of the </w:t>
      </w:r>
      <w:r w:rsidR="003B1483">
        <w:rPr>
          <w:rFonts w:ascii="Verdana" w:hAnsi="Verdana"/>
          <w:sz w:val="20"/>
          <w:szCs w:val="20"/>
        </w:rPr>
        <w:t xml:space="preserve">high dose </w:t>
      </w:r>
      <w:r w:rsidR="00D310FD">
        <w:rPr>
          <w:rFonts w:ascii="Verdana" w:hAnsi="Verdana"/>
          <w:sz w:val="20"/>
          <w:szCs w:val="20"/>
        </w:rPr>
        <w:t>group</w:t>
      </w:r>
      <w:r w:rsidR="00FB3E66">
        <w:rPr>
          <w:rFonts w:ascii="Verdana" w:hAnsi="Verdana"/>
          <w:sz w:val="20"/>
          <w:szCs w:val="20"/>
        </w:rPr>
        <w:t xml:space="preserve">. </w:t>
      </w:r>
      <w:r w:rsidR="00F85D0A">
        <w:rPr>
          <w:rFonts w:ascii="Verdana" w:hAnsi="Verdana"/>
          <w:sz w:val="20"/>
          <w:szCs w:val="20"/>
        </w:rPr>
        <w:t>The visceral findings were attribut</w:t>
      </w:r>
      <w:r w:rsidR="003B1483">
        <w:rPr>
          <w:rFonts w:ascii="Verdana" w:hAnsi="Verdana"/>
          <w:sz w:val="20"/>
          <w:szCs w:val="20"/>
        </w:rPr>
        <w:t>ed</w:t>
      </w:r>
      <w:r w:rsidR="00F85D0A">
        <w:rPr>
          <w:rFonts w:ascii="Verdana" w:hAnsi="Verdana"/>
          <w:sz w:val="20"/>
          <w:szCs w:val="20"/>
        </w:rPr>
        <w:t xml:space="preserve"> to growth retardation. </w:t>
      </w:r>
      <w:r w:rsidR="00A53FDD">
        <w:rPr>
          <w:rFonts w:ascii="Verdana" w:hAnsi="Verdana"/>
          <w:sz w:val="20"/>
          <w:szCs w:val="20"/>
        </w:rPr>
        <w:t xml:space="preserve">The resulting visceral and skeletal malformation index was 1.6% for </w:t>
      </w:r>
      <w:r w:rsidR="003B1483">
        <w:rPr>
          <w:rFonts w:ascii="Verdana" w:hAnsi="Verdana"/>
          <w:sz w:val="20"/>
          <w:szCs w:val="20"/>
        </w:rPr>
        <w:t xml:space="preserve">high dose </w:t>
      </w:r>
      <w:r w:rsidR="00A53FDD">
        <w:rPr>
          <w:rFonts w:ascii="Verdana" w:hAnsi="Verdana"/>
          <w:sz w:val="20"/>
          <w:szCs w:val="20"/>
        </w:rPr>
        <w:t>group</w:t>
      </w:r>
      <w:r w:rsidR="00FE41AC">
        <w:rPr>
          <w:rFonts w:ascii="Verdana" w:hAnsi="Verdana"/>
          <w:sz w:val="20"/>
          <w:szCs w:val="20"/>
        </w:rPr>
        <w:t xml:space="preserve"> pups</w:t>
      </w:r>
      <w:r w:rsidR="00A53FDD">
        <w:rPr>
          <w:rFonts w:ascii="Verdana" w:hAnsi="Verdana"/>
          <w:sz w:val="20"/>
          <w:szCs w:val="20"/>
        </w:rPr>
        <w:t xml:space="preserve">. </w:t>
      </w:r>
      <w:r w:rsidR="007E583C">
        <w:rPr>
          <w:rFonts w:ascii="Verdana" w:hAnsi="Verdana"/>
          <w:sz w:val="20"/>
          <w:szCs w:val="20"/>
        </w:rPr>
        <w:t xml:space="preserve">The frequency of skeletal anomalies was slightly increased also in the </w:t>
      </w:r>
      <w:r w:rsidR="003B1483">
        <w:rPr>
          <w:rFonts w:ascii="Verdana" w:hAnsi="Verdana"/>
          <w:sz w:val="20"/>
          <w:szCs w:val="20"/>
        </w:rPr>
        <w:t>mid dose</w:t>
      </w:r>
      <w:r w:rsidR="007E583C">
        <w:rPr>
          <w:rFonts w:ascii="Verdana" w:hAnsi="Verdana"/>
          <w:sz w:val="20"/>
          <w:szCs w:val="20"/>
        </w:rPr>
        <w:t xml:space="preserve"> grou</w:t>
      </w:r>
      <w:r w:rsidR="0079095F">
        <w:rPr>
          <w:rFonts w:ascii="Verdana" w:hAnsi="Verdana"/>
          <w:sz w:val="20"/>
          <w:szCs w:val="20"/>
        </w:rPr>
        <w:t>p</w:t>
      </w:r>
      <w:r w:rsidR="007E583C">
        <w:rPr>
          <w:rFonts w:ascii="Verdana" w:hAnsi="Verdana"/>
          <w:sz w:val="20"/>
          <w:szCs w:val="20"/>
        </w:rPr>
        <w:t>.</w:t>
      </w:r>
      <w:r w:rsidR="000C3673">
        <w:rPr>
          <w:rFonts w:ascii="Verdana" w:hAnsi="Verdana"/>
          <w:sz w:val="20"/>
          <w:szCs w:val="20"/>
        </w:rPr>
        <w:t xml:space="preserve"> </w:t>
      </w:r>
      <w:r w:rsidR="00D310FD" w:rsidRPr="00242B39">
        <w:rPr>
          <w:rFonts w:ascii="Verdana" w:hAnsi="Verdana"/>
          <w:sz w:val="20"/>
          <w:szCs w:val="20"/>
        </w:rPr>
        <w:t>The</w:t>
      </w:r>
      <w:r w:rsidR="00B278FD" w:rsidRPr="00242B39">
        <w:rPr>
          <w:rFonts w:ascii="Verdana" w:hAnsi="Verdana"/>
          <w:sz w:val="20"/>
          <w:szCs w:val="20"/>
        </w:rPr>
        <w:t xml:space="preserve"> frequency of </w:t>
      </w:r>
      <w:r w:rsidR="00D310FD" w:rsidRPr="00242B39">
        <w:rPr>
          <w:rFonts w:ascii="Verdana" w:hAnsi="Verdana"/>
          <w:sz w:val="20"/>
          <w:szCs w:val="20"/>
        </w:rPr>
        <w:t xml:space="preserve">early and late </w:t>
      </w:r>
      <w:r w:rsidR="00B278FD" w:rsidRPr="00242B39">
        <w:rPr>
          <w:rFonts w:ascii="Verdana" w:hAnsi="Verdana"/>
          <w:sz w:val="20"/>
          <w:szCs w:val="20"/>
        </w:rPr>
        <w:t>resorptions</w:t>
      </w:r>
      <w:r w:rsidR="000C3673" w:rsidRPr="00C265A9">
        <w:rPr>
          <w:rFonts w:ascii="Verdana" w:hAnsi="Verdana"/>
          <w:sz w:val="20"/>
          <w:szCs w:val="20"/>
        </w:rPr>
        <w:t xml:space="preserve"> w</w:t>
      </w:r>
      <w:r w:rsidR="00D310FD" w:rsidRPr="00242B39">
        <w:rPr>
          <w:rFonts w:ascii="Verdana" w:hAnsi="Verdana"/>
          <w:sz w:val="20"/>
          <w:szCs w:val="20"/>
        </w:rPr>
        <w:t>as</w:t>
      </w:r>
      <w:r w:rsidR="000C3673" w:rsidRPr="00C265A9">
        <w:rPr>
          <w:rFonts w:ascii="Verdana" w:hAnsi="Verdana"/>
          <w:sz w:val="20"/>
          <w:szCs w:val="20"/>
        </w:rPr>
        <w:t xml:space="preserve"> </w:t>
      </w:r>
      <w:r w:rsidR="00D310FD" w:rsidRPr="00242B39">
        <w:rPr>
          <w:rFonts w:ascii="Verdana" w:hAnsi="Verdana"/>
          <w:sz w:val="20"/>
          <w:szCs w:val="20"/>
        </w:rPr>
        <w:t>incre</w:t>
      </w:r>
      <w:r w:rsidR="000C3673" w:rsidRPr="00C265A9">
        <w:rPr>
          <w:rFonts w:ascii="Verdana" w:hAnsi="Verdana"/>
          <w:sz w:val="20"/>
          <w:szCs w:val="20"/>
        </w:rPr>
        <w:t xml:space="preserve">ased in the </w:t>
      </w:r>
      <w:r w:rsidR="003B1483">
        <w:rPr>
          <w:rFonts w:ascii="Verdana" w:hAnsi="Verdana"/>
          <w:sz w:val="20"/>
          <w:szCs w:val="20"/>
        </w:rPr>
        <w:t>high dose</w:t>
      </w:r>
      <w:r w:rsidR="000C3673" w:rsidRPr="00C265A9">
        <w:rPr>
          <w:rFonts w:ascii="Verdana" w:hAnsi="Verdana"/>
          <w:sz w:val="20"/>
          <w:szCs w:val="20"/>
        </w:rPr>
        <w:t xml:space="preserve"> </w:t>
      </w:r>
      <w:r w:rsidR="003B1483">
        <w:rPr>
          <w:rFonts w:ascii="Verdana" w:hAnsi="Verdana"/>
          <w:sz w:val="20"/>
          <w:szCs w:val="20"/>
        </w:rPr>
        <w:t>g</w:t>
      </w:r>
      <w:r w:rsidR="000C3673" w:rsidRPr="00C265A9">
        <w:rPr>
          <w:rFonts w:ascii="Verdana" w:hAnsi="Verdana"/>
          <w:sz w:val="20"/>
          <w:szCs w:val="20"/>
        </w:rPr>
        <w:t>roup</w:t>
      </w:r>
      <w:r w:rsidR="00D310FD" w:rsidRPr="00C265A9">
        <w:rPr>
          <w:rFonts w:ascii="Verdana" w:hAnsi="Verdana"/>
          <w:sz w:val="20"/>
          <w:szCs w:val="20"/>
        </w:rPr>
        <w:t xml:space="preserve"> </w:t>
      </w:r>
      <w:r w:rsidR="00242B39">
        <w:rPr>
          <w:rFonts w:ascii="Verdana" w:hAnsi="Verdana"/>
          <w:sz w:val="20"/>
          <w:szCs w:val="20"/>
        </w:rPr>
        <w:t xml:space="preserve">was significant </w:t>
      </w:r>
      <w:r w:rsidR="00D310FD" w:rsidRPr="00C265A9">
        <w:rPr>
          <w:rFonts w:ascii="Verdana" w:hAnsi="Verdana"/>
          <w:sz w:val="20"/>
          <w:szCs w:val="20"/>
        </w:rPr>
        <w:t>with a r</w:t>
      </w:r>
      <w:r w:rsidR="00D310FD">
        <w:rPr>
          <w:rFonts w:ascii="Verdana" w:hAnsi="Verdana"/>
          <w:sz w:val="20"/>
          <w:szCs w:val="20"/>
        </w:rPr>
        <w:t>esorption index of 10.2% (compared to 4.4% in controls)</w:t>
      </w:r>
      <w:r w:rsidR="000C3673">
        <w:rPr>
          <w:rFonts w:ascii="Verdana" w:hAnsi="Verdana"/>
          <w:sz w:val="20"/>
          <w:szCs w:val="20"/>
        </w:rPr>
        <w:t>.</w:t>
      </w:r>
      <w:r w:rsidR="007E583C">
        <w:rPr>
          <w:rFonts w:ascii="Verdana" w:hAnsi="Verdana"/>
          <w:sz w:val="20"/>
          <w:szCs w:val="20"/>
        </w:rPr>
        <w:t xml:space="preserve"> </w:t>
      </w:r>
      <w:r w:rsidR="001E4A88">
        <w:rPr>
          <w:rFonts w:ascii="Verdana" w:hAnsi="Verdana"/>
          <w:sz w:val="20"/>
          <w:szCs w:val="20"/>
        </w:rPr>
        <w:t xml:space="preserve">A developmental NOAEL of 150 mg/kg </w:t>
      </w:r>
      <w:proofErr w:type="spellStart"/>
      <w:r w:rsidR="001E4A88">
        <w:rPr>
          <w:rFonts w:ascii="Verdana" w:hAnsi="Verdana"/>
          <w:sz w:val="20"/>
          <w:szCs w:val="20"/>
        </w:rPr>
        <w:t>bw</w:t>
      </w:r>
      <w:proofErr w:type="spellEnd"/>
      <w:r w:rsidR="001E4A88">
        <w:rPr>
          <w:rFonts w:ascii="Verdana" w:hAnsi="Verdana"/>
          <w:sz w:val="20"/>
          <w:szCs w:val="20"/>
        </w:rPr>
        <w:t>/day was reported based on</w:t>
      </w:r>
      <w:r w:rsidR="00F85D0A">
        <w:rPr>
          <w:rFonts w:ascii="Verdana" w:hAnsi="Verdana"/>
          <w:sz w:val="20"/>
          <w:szCs w:val="20"/>
        </w:rPr>
        <w:t xml:space="preserve"> growth retardation and increased resorption rate</w:t>
      </w:r>
      <w:r w:rsidR="00242B39">
        <w:rPr>
          <w:rFonts w:ascii="Verdana" w:hAnsi="Verdana"/>
          <w:sz w:val="20"/>
          <w:szCs w:val="20"/>
        </w:rPr>
        <w:t xml:space="preserve"> at the highest dose tested</w:t>
      </w:r>
      <w:r w:rsidR="00F85D0A">
        <w:rPr>
          <w:rFonts w:ascii="Verdana" w:hAnsi="Verdana"/>
          <w:sz w:val="20"/>
          <w:szCs w:val="20"/>
        </w:rPr>
        <w:t xml:space="preserve">. </w:t>
      </w:r>
      <w:r w:rsidR="00D310FD">
        <w:rPr>
          <w:rFonts w:ascii="Verdana" w:hAnsi="Verdana"/>
          <w:sz w:val="20"/>
          <w:szCs w:val="20"/>
        </w:rPr>
        <w:t>More detailed information on the individual animals and litters would be necessary for a detailed evaluation</w:t>
      </w:r>
      <w:r w:rsidR="00242B39">
        <w:rPr>
          <w:rFonts w:ascii="Verdana" w:hAnsi="Verdana"/>
          <w:sz w:val="20"/>
          <w:szCs w:val="20"/>
        </w:rPr>
        <w:t xml:space="preserve"> of the findings</w:t>
      </w:r>
      <w:r w:rsidR="00D310FD">
        <w:rPr>
          <w:rFonts w:ascii="Verdana" w:hAnsi="Verdana"/>
          <w:sz w:val="20"/>
          <w:szCs w:val="20"/>
        </w:rPr>
        <w:t xml:space="preserve">. </w:t>
      </w:r>
    </w:p>
    <w:p w14:paraId="4C96C2D9" w14:textId="2F3CD81F" w:rsidR="008D6276" w:rsidRDefault="00C00324" w:rsidP="007C2ACD">
      <w:pPr>
        <w:spacing w:after="120"/>
        <w:jc w:val="both"/>
        <w:rPr>
          <w:rFonts w:ascii="Verdana" w:hAnsi="Verdana"/>
          <w:sz w:val="20"/>
          <w:szCs w:val="20"/>
        </w:rPr>
      </w:pPr>
      <w:r>
        <w:rPr>
          <w:rFonts w:ascii="Verdana" w:hAnsi="Verdana"/>
          <w:sz w:val="20"/>
          <w:szCs w:val="20"/>
        </w:rPr>
        <w:t xml:space="preserve">In a second prenatal developmental toxicity study </w:t>
      </w:r>
      <w:proofErr w:type="gramStart"/>
      <w:r w:rsidR="007E13CB">
        <w:rPr>
          <w:rFonts w:ascii="Verdana" w:hAnsi="Verdana"/>
          <w:sz w:val="20"/>
          <w:szCs w:val="20"/>
        </w:rPr>
        <w:t>similar to</w:t>
      </w:r>
      <w:proofErr w:type="gramEnd"/>
      <w:r w:rsidR="007E13CB">
        <w:rPr>
          <w:rFonts w:ascii="Verdana" w:hAnsi="Verdana"/>
          <w:sz w:val="20"/>
          <w:szCs w:val="20"/>
        </w:rPr>
        <w:t xml:space="preserve"> the OECD TG 414 </w:t>
      </w:r>
      <w:r w:rsidR="00A412AB">
        <w:rPr>
          <w:rFonts w:ascii="Verdana" w:hAnsi="Verdana"/>
          <w:sz w:val="20"/>
          <w:szCs w:val="20"/>
        </w:rPr>
        <w:t xml:space="preserve">also in rats </w:t>
      </w:r>
      <w:r>
        <w:rPr>
          <w:rFonts w:ascii="Verdana" w:hAnsi="Verdana"/>
          <w:sz w:val="20"/>
          <w:szCs w:val="20"/>
        </w:rPr>
        <w:t xml:space="preserve">with </w:t>
      </w:r>
      <w:r w:rsidRPr="00C00324">
        <w:rPr>
          <w:rFonts w:ascii="Verdana" w:hAnsi="Verdana"/>
          <w:sz w:val="20"/>
          <w:szCs w:val="20"/>
        </w:rPr>
        <w:t xml:space="preserve">dibenzylbenzene, </w:t>
      </w:r>
      <w:proofErr w:type="spellStart"/>
      <w:r w:rsidRPr="00C00324">
        <w:rPr>
          <w:rFonts w:ascii="Verdana" w:hAnsi="Verdana"/>
          <w:sz w:val="20"/>
          <w:szCs w:val="20"/>
        </w:rPr>
        <w:t>ar</w:t>
      </w:r>
      <w:proofErr w:type="spellEnd"/>
      <w:r w:rsidRPr="00C00324">
        <w:rPr>
          <w:rFonts w:ascii="Verdana" w:hAnsi="Verdana"/>
          <w:sz w:val="20"/>
          <w:szCs w:val="20"/>
        </w:rPr>
        <w:t>-methyl derivative</w:t>
      </w:r>
      <w:r>
        <w:rPr>
          <w:rFonts w:ascii="Verdana" w:hAnsi="Verdana"/>
          <w:sz w:val="20"/>
          <w:szCs w:val="20"/>
        </w:rPr>
        <w:t xml:space="preserve"> of unknown purity </w:t>
      </w:r>
      <w:r w:rsidR="007E13CB">
        <w:rPr>
          <w:rFonts w:ascii="Verdana" w:hAnsi="Verdana"/>
          <w:sz w:val="20"/>
          <w:szCs w:val="20"/>
        </w:rPr>
        <w:t xml:space="preserve">was tested </w:t>
      </w:r>
      <w:r w:rsidR="008D6276">
        <w:rPr>
          <w:rFonts w:ascii="Verdana" w:hAnsi="Verdana"/>
          <w:sz w:val="20"/>
          <w:szCs w:val="20"/>
        </w:rPr>
        <w:t xml:space="preserve">from days 7-17 of gestation at doses of 100, 300 and 1000 mg/kg </w:t>
      </w:r>
      <w:proofErr w:type="spellStart"/>
      <w:r w:rsidR="008D6276">
        <w:rPr>
          <w:rFonts w:ascii="Verdana" w:hAnsi="Verdana"/>
          <w:sz w:val="20"/>
          <w:szCs w:val="20"/>
        </w:rPr>
        <w:t>bw</w:t>
      </w:r>
      <w:proofErr w:type="spellEnd"/>
      <w:r w:rsidR="008D6276">
        <w:rPr>
          <w:rFonts w:ascii="Verdana" w:hAnsi="Verdana"/>
          <w:sz w:val="20"/>
          <w:szCs w:val="20"/>
        </w:rPr>
        <w:t xml:space="preserve">/day by gavage. A maternal NOAEL of 300 mg/kg </w:t>
      </w:r>
      <w:proofErr w:type="spellStart"/>
      <w:r w:rsidR="008D6276">
        <w:rPr>
          <w:rFonts w:ascii="Verdana" w:hAnsi="Verdana"/>
          <w:sz w:val="20"/>
          <w:szCs w:val="20"/>
        </w:rPr>
        <w:t>bw</w:t>
      </w:r>
      <w:proofErr w:type="spellEnd"/>
      <w:r w:rsidR="008D6276">
        <w:rPr>
          <w:rFonts w:ascii="Verdana" w:hAnsi="Verdana"/>
          <w:sz w:val="20"/>
          <w:szCs w:val="20"/>
        </w:rPr>
        <w:t xml:space="preserve">/day was derived based on a </w:t>
      </w:r>
      <w:r w:rsidR="004F48D5">
        <w:rPr>
          <w:rFonts w:ascii="Verdana" w:hAnsi="Verdana"/>
          <w:sz w:val="20"/>
          <w:szCs w:val="20"/>
        </w:rPr>
        <w:t xml:space="preserve">slightly </w:t>
      </w:r>
      <w:r w:rsidR="008D6276">
        <w:rPr>
          <w:rFonts w:ascii="Verdana" w:hAnsi="Verdana"/>
          <w:sz w:val="20"/>
          <w:szCs w:val="20"/>
        </w:rPr>
        <w:t xml:space="preserve">decreased body weight gain in the </w:t>
      </w:r>
      <w:r w:rsidR="007B054B">
        <w:rPr>
          <w:rFonts w:ascii="Verdana" w:hAnsi="Verdana"/>
          <w:sz w:val="20"/>
          <w:szCs w:val="20"/>
        </w:rPr>
        <w:t>high dose</w:t>
      </w:r>
      <w:r w:rsidR="008D6276">
        <w:rPr>
          <w:rFonts w:ascii="Verdana" w:hAnsi="Verdana"/>
          <w:sz w:val="20"/>
          <w:szCs w:val="20"/>
        </w:rPr>
        <w:t xml:space="preserve"> females. </w:t>
      </w:r>
      <w:r w:rsidR="00A25BF7">
        <w:rPr>
          <w:rFonts w:ascii="Verdana" w:hAnsi="Verdana"/>
          <w:sz w:val="20"/>
          <w:szCs w:val="20"/>
        </w:rPr>
        <w:t xml:space="preserve">A decrease in the </w:t>
      </w:r>
      <w:r w:rsidR="00A25BF7" w:rsidRPr="00A25BF7">
        <w:rPr>
          <w:rFonts w:ascii="Verdana" w:hAnsi="Verdana"/>
          <w:sz w:val="20"/>
          <w:szCs w:val="20"/>
        </w:rPr>
        <w:t>number of corpora lutea</w:t>
      </w:r>
      <w:r w:rsidR="00A25BF7">
        <w:rPr>
          <w:rFonts w:ascii="Verdana" w:hAnsi="Verdana"/>
          <w:sz w:val="20"/>
          <w:szCs w:val="20"/>
        </w:rPr>
        <w:t xml:space="preserve"> of </w:t>
      </w:r>
      <w:r w:rsidR="007B054B">
        <w:rPr>
          <w:rFonts w:ascii="Verdana" w:hAnsi="Verdana"/>
          <w:sz w:val="20"/>
          <w:szCs w:val="20"/>
        </w:rPr>
        <w:t>high dose</w:t>
      </w:r>
      <w:r w:rsidR="00A25BF7">
        <w:rPr>
          <w:rFonts w:ascii="Verdana" w:hAnsi="Verdana"/>
          <w:sz w:val="20"/>
          <w:szCs w:val="20"/>
        </w:rPr>
        <w:t xml:space="preserve"> females was found but was not considered treatment related due to the commencement of dosing being subsequent to implantation. </w:t>
      </w:r>
      <w:r w:rsidR="008D6276">
        <w:rPr>
          <w:rFonts w:ascii="Verdana" w:hAnsi="Verdana"/>
          <w:sz w:val="20"/>
          <w:szCs w:val="20"/>
        </w:rPr>
        <w:t xml:space="preserve">A slight decrease in pup body weight was reported in the </w:t>
      </w:r>
      <w:r w:rsidR="007B054B">
        <w:rPr>
          <w:rFonts w:ascii="Verdana" w:hAnsi="Verdana"/>
          <w:sz w:val="20"/>
          <w:szCs w:val="20"/>
        </w:rPr>
        <w:t xml:space="preserve">high dose </w:t>
      </w:r>
      <w:r w:rsidR="008D6276">
        <w:rPr>
          <w:rFonts w:ascii="Verdana" w:hAnsi="Verdana"/>
          <w:sz w:val="20"/>
          <w:szCs w:val="20"/>
        </w:rPr>
        <w:t xml:space="preserve">pups which was attributed to maternal toxicity. A developmental NOAEL of 1000 mg/kg </w:t>
      </w:r>
      <w:proofErr w:type="spellStart"/>
      <w:r w:rsidR="008D6276">
        <w:rPr>
          <w:rFonts w:ascii="Verdana" w:hAnsi="Verdana"/>
          <w:sz w:val="20"/>
          <w:szCs w:val="20"/>
        </w:rPr>
        <w:t>bw</w:t>
      </w:r>
      <w:proofErr w:type="spellEnd"/>
      <w:r w:rsidR="008D6276">
        <w:rPr>
          <w:rFonts w:ascii="Verdana" w:hAnsi="Verdana"/>
          <w:sz w:val="20"/>
          <w:szCs w:val="20"/>
        </w:rPr>
        <w:t xml:space="preserve">/day was reported although no </w:t>
      </w:r>
      <w:r w:rsidR="000C3673">
        <w:rPr>
          <w:rFonts w:ascii="Verdana" w:hAnsi="Verdana"/>
          <w:sz w:val="20"/>
          <w:szCs w:val="20"/>
        </w:rPr>
        <w:t>details were</w:t>
      </w:r>
      <w:r w:rsidR="008D6276">
        <w:rPr>
          <w:rFonts w:ascii="Verdana" w:hAnsi="Verdana"/>
          <w:sz w:val="20"/>
          <w:szCs w:val="20"/>
        </w:rPr>
        <w:t xml:space="preserve"> provided regarding visceral and skeletal findings.</w:t>
      </w:r>
    </w:p>
    <w:p w14:paraId="53E84CAF" w14:textId="511A3F06" w:rsidR="00BC53EC" w:rsidRDefault="00BC53EC" w:rsidP="007C2ACD">
      <w:pPr>
        <w:spacing w:after="120"/>
        <w:jc w:val="both"/>
        <w:rPr>
          <w:rFonts w:ascii="Verdana" w:hAnsi="Verdana"/>
          <w:sz w:val="20"/>
          <w:szCs w:val="20"/>
        </w:rPr>
      </w:pPr>
      <w:r>
        <w:rPr>
          <w:rFonts w:ascii="Verdana" w:hAnsi="Verdana"/>
          <w:sz w:val="20"/>
          <w:szCs w:val="20"/>
        </w:rPr>
        <w:t xml:space="preserve">In the available studies described, no effects on sexual function or fertility or on lactation were found. Effects on development were observed in the prenatal developmental toxicity study with Marlotherm S at 1000 mg/kg </w:t>
      </w:r>
      <w:proofErr w:type="spellStart"/>
      <w:r>
        <w:rPr>
          <w:rFonts w:ascii="Verdana" w:hAnsi="Verdana"/>
          <w:sz w:val="20"/>
          <w:szCs w:val="20"/>
        </w:rPr>
        <w:t>bw</w:t>
      </w:r>
      <w:proofErr w:type="spellEnd"/>
      <w:r>
        <w:rPr>
          <w:rFonts w:ascii="Verdana" w:hAnsi="Verdana"/>
          <w:sz w:val="20"/>
          <w:szCs w:val="20"/>
        </w:rPr>
        <w:t xml:space="preserve">/day as well as in the one generation reproductive toxicity study at 720 mg/kg </w:t>
      </w:r>
      <w:proofErr w:type="spellStart"/>
      <w:r>
        <w:rPr>
          <w:rFonts w:ascii="Verdana" w:hAnsi="Verdana"/>
          <w:sz w:val="20"/>
          <w:szCs w:val="20"/>
        </w:rPr>
        <w:t>bw</w:t>
      </w:r>
      <w:proofErr w:type="spellEnd"/>
      <w:r>
        <w:rPr>
          <w:rFonts w:ascii="Verdana" w:hAnsi="Verdana"/>
          <w:sz w:val="20"/>
          <w:szCs w:val="20"/>
        </w:rPr>
        <w:t>/day. The effects observed in both studies were reported to be attribut</w:t>
      </w:r>
      <w:r w:rsidR="003B1483">
        <w:rPr>
          <w:rFonts w:ascii="Verdana" w:hAnsi="Verdana"/>
          <w:sz w:val="20"/>
          <w:szCs w:val="20"/>
        </w:rPr>
        <w:t>ed</w:t>
      </w:r>
      <w:r>
        <w:rPr>
          <w:rFonts w:ascii="Verdana" w:hAnsi="Verdana"/>
          <w:sz w:val="20"/>
          <w:szCs w:val="20"/>
        </w:rPr>
        <w:t xml:space="preserve"> to maternal toxicity. </w:t>
      </w:r>
      <w:r w:rsidR="003B1483">
        <w:rPr>
          <w:rFonts w:ascii="Verdana" w:hAnsi="Verdana"/>
          <w:sz w:val="20"/>
          <w:szCs w:val="20"/>
        </w:rPr>
        <w:t xml:space="preserve">No clear signs of toxicity were observed in the maternal animals with </w:t>
      </w:r>
      <w:r w:rsidR="003B1483" w:rsidRPr="00CF1B60">
        <w:rPr>
          <w:rFonts w:ascii="Verdana" w:hAnsi="Verdana"/>
          <w:sz w:val="20"/>
          <w:szCs w:val="20"/>
        </w:rPr>
        <w:t>respect to clinical signs</w:t>
      </w:r>
      <w:r w:rsidR="0012445A" w:rsidRPr="00CF1B60">
        <w:rPr>
          <w:rFonts w:ascii="Verdana" w:hAnsi="Verdana"/>
          <w:sz w:val="20"/>
          <w:szCs w:val="20"/>
        </w:rPr>
        <w:t>, mortality or morbidity</w:t>
      </w:r>
      <w:r w:rsidR="003B1483" w:rsidRPr="00CF1B60">
        <w:rPr>
          <w:rFonts w:ascii="Verdana" w:hAnsi="Verdana"/>
          <w:sz w:val="20"/>
          <w:szCs w:val="20"/>
        </w:rPr>
        <w:t xml:space="preserve"> </w:t>
      </w:r>
      <w:proofErr w:type="spellStart"/>
      <w:r w:rsidR="003B1483" w:rsidRPr="00CF1B60">
        <w:rPr>
          <w:rFonts w:ascii="Verdana" w:hAnsi="Verdana"/>
          <w:sz w:val="20"/>
          <w:szCs w:val="20"/>
        </w:rPr>
        <w:t>or</w:t>
      </w:r>
      <w:r w:rsidR="0012445A" w:rsidRPr="00CF1B60">
        <w:rPr>
          <w:rFonts w:ascii="Verdana" w:hAnsi="Verdana"/>
          <w:sz w:val="20"/>
          <w:szCs w:val="20"/>
        </w:rPr>
        <w:t>during</w:t>
      </w:r>
      <w:proofErr w:type="spellEnd"/>
      <w:r w:rsidR="0012445A" w:rsidRPr="00CF1B60">
        <w:rPr>
          <w:rFonts w:ascii="Verdana" w:hAnsi="Verdana"/>
          <w:sz w:val="20"/>
          <w:szCs w:val="20"/>
        </w:rPr>
        <w:t xml:space="preserve"> necropsy</w:t>
      </w:r>
      <w:r w:rsidR="003B1483" w:rsidRPr="00CF1B60">
        <w:rPr>
          <w:rFonts w:ascii="Verdana" w:hAnsi="Verdana"/>
          <w:sz w:val="20"/>
          <w:szCs w:val="20"/>
        </w:rPr>
        <w:t>.</w:t>
      </w:r>
      <w:r w:rsidR="003B1483">
        <w:rPr>
          <w:rFonts w:ascii="Verdana" w:hAnsi="Verdana"/>
          <w:sz w:val="20"/>
          <w:szCs w:val="20"/>
        </w:rPr>
        <w:t xml:space="preserve"> </w:t>
      </w:r>
      <w:r>
        <w:rPr>
          <w:rFonts w:ascii="Verdana" w:hAnsi="Verdana"/>
          <w:sz w:val="20"/>
          <w:szCs w:val="20"/>
        </w:rPr>
        <w:t xml:space="preserve">However, </w:t>
      </w:r>
      <w:r w:rsidR="003B1483">
        <w:rPr>
          <w:rFonts w:ascii="Verdana" w:hAnsi="Verdana"/>
          <w:sz w:val="20"/>
          <w:szCs w:val="20"/>
        </w:rPr>
        <w:t xml:space="preserve">a decreased weight gain during </w:t>
      </w:r>
      <w:r w:rsidR="0012445A">
        <w:rPr>
          <w:rFonts w:ascii="Verdana" w:hAnsi="Verdana"/>
          <w:sz w:val="20"/>
          <w:szCs w:val="20"/>
        </w:rPr>
        <w:t xml:space="preserve">gestation </w:t>
      </w:r>
      <w:r w:rsidR="003B1483">
        <w:rPr>
          <w:rFonts w:ascii="Verdana" w:hAnsi="Verdana"/>
          <w:sz w:val="20"/>
          <w:szCs w:val="20"/>
        </w:rPr>
        <w:t xml:space="preserve">days 6-15 of </w:t>
      </w:r>
      <w:r w:rsidR="00DE6DB9">
        <w:rPr>
          <w:rFonts w:ascii="Verdana" w:hAnsi="Verdana"/>
          <w:sz w:val="20"/>
          <w:szCs w:val="20"/>
        </w:rPr>
        <w:t>~</w:t>
      </w:r>
      <w:r w:rsidR="003B1483">
        <w:rPr>
          <w:rFonts w:ascii="Verdana" w:hAnsi="Verdana"/>
          <w:sz w:val="20"/>
          <w:szCs w:val="20"/>
        </w:rPr>
        <w:t xml:space="preserve">27% </w:t>
      </w:r>
      <w:r w:rsidR="007B054B">
        <w:rPr>
          <w:rFonts w:ascii="Verdana" w:hAnsi="Verdana"/>
          <w:sz w:val="20"/>
          <w:szCs w:val="20"/>
        </w:rPr>
        <w:t xml:space="preserve">of the high dose </w:t>
      </w:r>
      <w:r w:rsidR="00AD3A2D">
        <w:rPr>
          <w:rFonts w:ascii="Verdana" w:hAnsi="Verdana"/>
          <w:sz w:val="20"/>
          <w:szCs w:val="20"/>
        </w:rPr>
        <w:t>dams</w:t>
      </w:r>
      <w:r w:rsidR="007B054B">
        <w:rPr>
          <w:rFonts w:ascii="Verdana" w:hAnsi="Verdana"/>
          <w:sz w:val="20"/>
          <w:szCs w:val="20"/>
        </w:rPr>
        <w:t xml:space="preserve"> </w:t>
      </w:r>
      <w:r w:rsidR="003B1483">
        <w:rPr>
          <w:rFonts w:ascii="Verdana" w:hAnsi="Verdana"/>
          <w:sz w:val="20"/>
          <w:szCs w:val="20"/>
        </w:rPr>
        <w:t>compared to control</w:t>
      </w:r>
      <w:r w:rsidR="00AD3A2D">
        <w:rPr>
          <w:rFonts w:ascii="Verdana" w:hAnsi="Verdana"/>
          <w:sz w:val="20"/>
          <w:szCs w:val="20"/>
        </w:rPr>
        <w:t>s</w:t>
      </w:r>
      <w:r w:rsidR="003B1483">
        <w:rPr>
          <w:rFonts w:ascii="Verdana" w:hAnsi="Verdana"/>
          <w:sz w:val="20"/>
          <w:szCs w:val="20"/>
        </w:rPr>
        <w:t xml:space="preserve"> was observed</w:t>
      </w:r>
      <w:r w:rsidR="0012445A">
        <w:rPr>
          <w:rFonts w:ascii="Verdana" w:hAnsi="Verdana"/>
          <w:sz w:val="20"/>
          <w:szCs w:val="20"/>
        </w:rPr>
        <w:t xml:space="preserve"> in the prenatal developmental toxicity study</w:t>
      </w:r>
      <w:r w:rsidR="00672971">
        <w:rPr>
          <w:rFonts w:ascii="Verdana" w:hAnsi="Verdana"/>
          <w:sz w:val="20"/>
          <w:szCs w:val="20"/>
        </w:rPr>
        <w:t xml:space="preserve">. Decreased weight gain of </w:t>
      </w:r>
      <w:r w:rsidR="00AD3A2D">
        <w:rPr>
          <w:rFonts w:ascii="Verdana" w:hAnsi="Verdana"/>
          <w:sz w:val="20"/>
          <w:szCs w:val="20"/>
        </w:rPr>
        <w:t>19.7% during weeks 0-2 (premating period) and 14.7% during gestation days 0-20 compared to controls in</w:t>
      </w:r>
      <w:r w:rsidR="00672971">
        <w:rPr>
          <w:rFonts w:ascii="Verdana" w:hAnsi="Verdana"/>
          <w:sz w:val="20"/>
          <w:szCs w:val="20"/>
        </w:rPr>
        <w:t xml:space="preserve"> high dose dams was also observed in </w:t>
      </w:r>
      <w:r w:rsidR="00AD3A2D">
        <w:rPr>
          <w:rFonts w:ascii="Verdana" w:hAnsi="Verdana"/>
          <w:sz w:val="20"/>
          <w:szCs w:val="20"/>
        </w:rPr>
        <w:t xml:space="preserve">the </w:t>
      </w:r>
      <w:r w:rsidR="00672971">
        <w:rPr>
          <w:rFonts w:ascii="Verdana" w:hAnsi="Verdana"/>
          <w:sz w:val="20"/>
          <w:szCs w:val="20"/>
        </w:rPr>
        <w:t>one generation study</w:t>
      </w:r>
      <w:r w:rsidR="003B1483">
        <w:rPr>
          <w:rFonts w:ascii="Verdana" w:hAnsi="Verdana"/>
          <w:sz w:val="20"/>
          <w:szCs w:val="20"/>
        </w:rPr>
        <w:t xml:space="preserve">. </w:t>
      </w:r>
      <w:r w:rsidR="00B75B01">
        <w:rPr>
          <w:rFonts w:ascii="Verdana" w:hAnsi="Verdana"/>
          <w:sz w:val="20"/>
          <w:szCs w:val="20"/>
        </w:rPr>
        <w:t>More detailed</w:t>
      </w:r>
      <w:r w:rsidR="00C265A9">
        <w:rPr>
          <w:rFonts w:ascii="Verdana" w:hAnsi="Verdana"/>
          <w:sz w:val="20"/>
          <w:szCs w:val="20"/>
        </w:rPr>
        <w:t xml:space="preserve"> information on the individual animal and litter data would be necessary for further analysis of the findings. </w:t>
      </w:r>
    </w:p>
    <w:p w14:paraId="079F24FE" w14:textId="01E0F383" w:rsidR="0042302F" w:rsidRDefault="00A412AB" w:rsidP="00B57919">
      <w:pPr>
        <w:spacing w:after="120"/>
        <w:jc w:val="both"/>
        <w:rPr>
          <w:rFonts w:ascii="Verdana" w:hAnsi="Verdana"/>
          <w:sz w:val="20"/>
          <w:szCs w:val="20"/>
        </w:rPr>
      </w:pPr>
      <w:r>
        <w:rPr>
          <w:rFonts w:ascii="Verdana" w:hAnsi="Verdana"/>
          <w:sz w:val="20"/>
          <w:szCs w:val="20"/>
        </w:rPr>
        <w:t xml:space="preserve">A prenatal developmental toxicity study in a second species (rabbits) </w:t>
      </w:r>
      <w:r w:rsidR="00D02149">
        <w:rPr>
          <w:rFonts w:ascii="Verdana" w:hAnsi="Verdana"/>
          <w:sz w:val="20"/>
          <w:szCs w:val="20"/>
        </w:rPr>
        <w:t xml:space="preserve">and an extended one generation reproductive toxicity study with an extension of cohort 1B to produce an F2 generation </w:t>
      </w:r>
      <w:r>
        <w:rPr>
          <w:rFonts w:ascii="Verdana" w:hAnsi="Verdana"/>
          <w:sz w:val="20"/>
          <w:szCs w:val="20"/>
        </w:rPr>
        <w:t>ha</w:t>
      </w:r>
      <w:r w:rsidR="00D02149">
        <w:rPr>
          <w:rFonts w:ascii="Verdana" w:hAnsi="Verdana"/>
          <w:sz w:val="20"/>
          <w:szCs w:val="20"/>
        </w:rPr>
        <w:t>ve</w:t>
      </w:r>
      <w:r>
        <w:rPr>
          <w:rFonts w:ascii="Verdana" w:hAnsi="Verdana"/>
          <w:sz w:val="20"/>
          <w:szCs w:val="20"/>
        </w:rPr>
        <w:t xml:space="preserve"> been requested by ECHA under a compliance check decision. Final conclusions on the </w:t>
      </w:r>
      <w:r w:rsidR="00D02149">
        <w:rPr>
          <w:rFonts w:ascii="Verdana" w:hAnsi="Verdana"/>
          <w:sz w:val="20"/>
          <w:szCs w:val="20"/>
        </w:rPr>
        <w:t xml:space="preserve">reproductive and </w:t>
      </w:r>
      <w:r>
        <w:rPr>
          <w:rFonts w:ascii="Verdana" w:hAnsi="Verdana"/>
          <w:sz w:val="20"/>
          <w:szCs w:val="20"/>
        </w:rPr>
        <w:t xml:space="preserve">developmental toxicity of the substance will be based on the </w:t>
      </w:r>
      <w:r w:rsidR="00242B39">
        <w:rPr>
          <w:rFonts w:ascii="Verdana" w:hAnsi="Verdana"/>
          <w:sz w:val="20"/>
          <w:szCs w:val="20"/>
        </w:rPr>
        <w:t xml:space="preserve">available data together with the pending </w:t>
      </w:r>
      <w:r>
        <w:rPr>
          <w:rFonts w:ascii="Verdana" w:hAnsi="Verdana"/>
          <w:sz w:val="20"/>
          <w:szCs w:val="20"/>
        </w:rPr>
        <w:t>results of th</w:t>
      </w:r>
      <w:r w:rsidR="00D02149">
        <w:rPr>
          <w:rFonts w:ascii="Verdana" w:hAnsi="Verdana"/>
          <w:sz w:val="20"/>
          <w:szCs w:val="20"/>
        </w:rPr>
        <w:t>e</w:t>
      </w:r>
      <w:r>
        <w:rPr>
          <w:rFonts w:ascii="Verdana" w:hAnsi="Verdana"/>
          <w:sz w:val="20"/>
          <w:szCs w:val="20"/>
        </w:rPr>
        <w:t xml:space="preserve"> new stud</w:t>
      </w:r>
      <w:r w:rsidR="00D02149">
        <w:rPr>
          <w:rFonts w:ascii="Verdana" w:hAnsi="Verdana"/>
          <w:sz w:val="20"/>
          <w:szCs w:val="20"/>
        </w:rPr>
        <w:t>ies</w:t>
      </w:r>
      <w:r>
        <w:rPr>
          <w:rFonts w:ascii="Verdana" w:hAnsi="Verdana"/>
          <w:sz w:val="20"/>
          <w:szCs w:val="20"/>
        </w:rPr>
        <w:t xml:space="preserve">. </w:t>
      </w:r>
    </w:p>
    <w:p w14:paraId="2DEA99AB" w14:textId="77777777" w:rsidR="004953A7" w:rsidRPr="00B57919" w:rsidRDefault="004953A7" w:rsidP="00B57919">
      <w:pPr>
        <w:spacing w:after="120"/>
        <w:jc w:val="both"/>
        <w:rPr>
          <w:rFonts w:ascii="Verdana" w:hAnsi="Verdana"/>
          <w:sz w:val="20"/>
          <w:szCs w:val="20"/>
        </w:rPr>
      </w:pPr>
    </w:p>
    <w:p w14:paraId="2D97AB9D" w14:textId="7D4C1A7E" w:rsidR="006954F3" w:rsidRDefault="006954F3" w:rsidP="006954F3">
      <w:pPr>
        <w:spacing w:after="120" w:line="360" w:lineRule="auto"/>
        <w:rPr>
          <w:rFonts w:cs="Arial"/>
          <w:b/>
        </w:rPr>
      </w:pPr>
      <w:r w:rsidRPr="00B57919">
        <w:rPr>
          <w:rFonts w:cs="Arial"/>
          <w:b/>
        </w:rPr>
        <w:t>Specific Target Organ Toxicity</w:t>
      </w:r>
    </w:p>
    <w:p w14:paraId="66FF912E" w14:textId="5FA47884" w:rsidR="007218B2" w:rsidRPr="00797F65" w:rsidRDefault="00AD742F" w:rsidP="00B57919">
      <w:pPr>
        <w:spacing w:after="120"/>
        <w:jc w:val="both"/>
        <w:rPr>
          <w:rFonts w:ascii="Verdana" w:hAnsi="Verdana"/>
          <w:sz w:val="20"/>
          <w:szCs w:val="20"/>
        </w:rPr>
      </w:pPr>
      <w:r w:rsidRPr="00797F65">
        <w:rPr>
          <w:rFonts w:ascii="Verdana" w:hAnsi="Verdana"/>
          <w:sz w:val="20"/>
          <w:szCs w:val="20"/>
        </w:rPr>
        <w:t>Two OECD</w:t>
      </w:r>
      <w:r w:rsidR="00EE69C9">
        <w:rPr>
          <w:rFonts w:ascii="Verdana" w:hAnsi="Verdana"/>
          <w:sz w:val="20"/>
          <w:szCs w:val="20"/>
        </w:rPr>
        <w:t xml:space="preserve"> TG</w:t>
      </w:r>
      <w:r w:rsidRPr="00797F65">
        <w:rPr>
          <w:rFonts w:ascii="Verdana" w:hAnsi="Verdana"/>
          <w:sz w:val="20"/>
          <w:szCs w:val="20"/>
        </w:rPr>
        <w:t xml:space="preserve"> 408 studies are available, one for Marlotherm S and one</w:t>
      </w:r>
      <w:r w:rsidRPr="009E4B6F">
        <w:rPr>
          <w:rFonts w:ascii="Verdana" w:hAnsi="Verdana"/>
          <w:sz w:val="20"/>
          <w:szCs w:val="20"/>
        </w:rPr>
        <w:t xml:space="preserve"> for the substance. Both conducted by gavage in rats using doses of 0</w:t>
      </w:r>
      <w:r w:rsidR="007218B2" w:rsidRPr="007C06D0">
        <w:rPr>
          <w:rFonts w:ascii="Verdana" w:hAnsi="Verdana"/>
          <w:sz w:val="20"/>
          <w:szCs w:val="20"/>
        </w:rPr>
        <w:t>-</w:t>
      </w:r>
      <w:r w:rsidRPr="00327799">
        <w:rPr>
          <w:rFonts w:ascii="Verdana" w:hAnsi="Verdana"/>
          <w:sz w:val="20"/>
          <w:szCs w:val="20"/>
        </w:rPr>
        <w:t xml:space="preserve">500 mg/kg </w:t>
      </w:r>
      <w:proofErr w:type="spellStart"/>
      <w:r w:rsidRPr="00327799">
        <w:rPr>
          <w:rFonts w:ascii="Verdana" w:hAnsi="Verdana"/>
          <w:sz w:val="20"/>
          <w:szCs w:val="20"/>
        </w:rPr>
        <w:t>bw</w:t>
      </w:r>
      <w:proofErr w:type="spellEnd"/>
      <w:r w:rsidRPr="00327799">
        <w:rPr>
          <w:rFonts w:ascii="Verdana" w:hAnsi="Verdana"/>
          <w:sz w:val="20"/>
          <w:szCs w:val="20"/>
        </w:rPr>
        <w:t>/day</w:t>
      </w:r>
      <w:r w:rsidR="007218B2" w:rsidRPr="00E66140">
        <w:rPr>
          <w:rFonts w:ascii="Verdana" w:hAnsi="Verdana"/>
          <w:sz w:val="20"/>
          <w:szCs w:val="20"/>
        </w:rPr>
        <w:t>.</w:t>
      </w:r>
      <w:r w:rsidR="005634A6" w:rsidRPr="00E66140">
        <w:rPr>
          <w:rFonts w:ascii="Verdana" w:hAnsi="Verdana"/>
          <w:sz w:val="20"/>
          <w:szCs w:val="20"/>
        </w:rPr>
        <w:t xml:space="preserve"> </w:t>
      </w:r>
      <w:r w:rsidR="00025C19" w:rsidRPr="00787968">
        <w:rPr>
          <w:rFonts w:ascii="Verdana" w:hAnsi="Verdana"/>
          <w:sz w:val="20"/>
          <w:szCs w:val="20"/>
        </w:rPr>
        <w:t>One in vivo and two in</w:t>
      </w:r>
      <w:r w:rsidR="00025C19" w:rsidRPr="00797F65">
        <w:rPr>
          <w:rFonts w:ascii="Verdana" w:hAnsi="Verdana"/>
          <w:sz w:val="20"/>
          <w:szCs w:val="20"/>
        </w:rPr>
        <w:t xml:space="preserve"> vitro studies on liver enzyme induction and peroxisome </w:t>
      </w:r>
      <w:r w:rsidR="00025C19" w:rsidRPr="00797F65">
        <w:rPr>
          <w:rFonts w:ascii="Verdana" w:hAnsi="Verdana"/>
          <w:sz w:val="20"/>
          <w:szCs w:val="20"/>
        </w:rPr>
        <w:lastRenderedPageBreak/>
        <w:t>proliferation are available. In addition, a</w:t>
      </w:r>
      <w:r w:rsidR="005634A6" w:rsidRPr="00797F65">
        <w:rPr>
          <w:rFonts w:ascii="Verdana" w:hAnsi="Verdana"/>
          <w:sz w:val="20"/>
          <w:szCs w:val="20"/>
        </w:rPr>
        <w:t xml:space="preserve"> one</w:t>
      </w:r>
      <w:r w:rsidR="004A5DA5" w:rsidRPr="00797F65">
        <w:rPr>
          <w:rFonts w:ascii="Verdana" w:hAnsi="Verdana"/>
          <w:sz w:val="20"/>
          <w:szCs w:val="20"/>
        </w:rPr>
        <w:t xml:space="preserve"> </w:t>
      </w:r>
      <w:r w:rsidR="005634A6" w:rsidRPr="00797F65">
        <w:rPr>
          <w:rFonts w:ascii="Verdana" w:hAnsi="Verdana"/>
          <w:sz w:val="20"/>
          <w:szCs w:val="20"/>
        </w:rPr>
        <w:t xml:space="preserve">generation reproductive toxicity study </w:t>
      </w:r>
      <w:r w:rsidR="00025C19" w:rsidRPr="00797F65">
        <w:rPr>
          <w:rFonts w:ascii="Verdana" w:hAnsi="Verdana"/>
          <w:sz w:val="20"/>
          <w:szCs w:val="20"/>
        </w:rPr>
        <w:t>provides some evidence of s</w:t>
      </w:r>
      <w:r w:rsidR="005634A6" w:rsidRPr="00797F65">
        <w:rPr>
          <w:rFonts w:ascii="Verdana" w:hAnsi="Verdana"/>
          <w:sz w:val="20"/>
          <w:szCs w:val="20"/>
        </w:rPr>
        <w:t xml:space="preserve">ystemic toxicity observed in parental animals. </w:t>
      </w:r>
    </w:p>
    <w:p w14:paraId="03602B2E" w14:textId="5A513563" w:rsidR="00AD742F" w:rsidRPr="00797F65" w:rsidRDefault="007218B2" w:rsidP="00B57919">
      <w:pPr>
        <w:spacing w:after="120"/>
        <w:jc w:val="both"/>
        <w:rPr>
          <w:rFonts w:ascii="Verdana" w:hAnsi="Verdana"/>
          <w:sz w:val="20"/>
          <w:szCs w:val="20"/>
        </w:rPr>
      </w:pPr>
      <w:r w:rsidRPr="00797F65">
        <w:rPr>
          <w:rFonts w:ascii="Verdana" w:hAnsi="Verdana"/>
          <w:sz w:val="20"/>
          <w:szCs w:val="20"/>
        </w:rPr>
        <w:t xml:space="preserve">In the </w:t>
      </w:r>
      <w:r w:rsidR="00F137CE" w:rsidRPr="00797F65">
        <w:rPr>
          <w:rFonts w:ascii="Verdana" w:hAnsi="Verdana"/>
          <w:sz w:val="20"/>
          <w:szCs w:val="20"/>
        </w:rPr>
        <w:t xml:space="preserve">first </w:t>
      </w:r>
      <w:r w:rsidRPr="00797F65">
        <w:rPr>
          <w:rFonts w:ascii="Verdana" w:hAnsi="Verdana"/>
          <w:sz w:val="20"/>
          <w:szCs w:val="20"/>
        </w:rPr>
        <w:t xml:space="preserve">study administering 0, 5, 50 and 500 mg/kg </w:t>
      </w:r>
      <w:proofErr w:type="spellStart"/>
      <w:r w:rsidRPr="00797F65">
        <w:rPr>
          <w:rFonts w:ascii="Verdana" w:hAnsi="Verdana"/>
          <w:sz w:val="20"/>
          <w:szCs w:val="20"/>
        </w:rPr>
        <w:t>bw</w:t>
      </w:r>
      <w:proofErr w:type="spellEnd"/>
      <w:r w:rsidRPr="00797F65">
        <w:rPr>
          <w:rFonts w:ascii="Verdana" w:hAnsi="Verdana"/>
          <w:sz w:val="20"/>
          <w:szCs w:val="20"/>
        </w:rPr>
        <w:t>/day, t</w:t>
      </w:r>
      <w:r w:rsidR="00AD742F" w:rsidRPr="00797F65">
        <w:rPr>
          <w:rFonts w:ascii="Verdana" w:hAnsi="Verdana"/>
          <w:sz w:val="20"/>
          <w:szCs w:val="20"/>
        </w:rPr>
        <w:t>est item related effects were observed in clinical chemistry parameters, organ weights and histopathology.</w:t>
      </w:r>
      <w:r w:rsidR="005C1C16" w:rsidRPr="00797F65">
        <w:rPr>
          <w:rFonts w:ascii="Verdana" w:hAnsi="Verdana"/>
          <w:sz w:val="20"/>
          <w:szCs w:val="20"/>
        </w:rPr>
        <w:t xml:space="preserve"> A</w:t>
      </w:r>
      <w:r w:rsidR="00AD742F" w:rsidRPr="00797F65">
        <w:rPr>
          <w:rFonts w:ascii="Verdana" w:hAnsi="Verdana"/>
          <w:sz w:val="20"/>
          <w:szCs w:val="20"/>
        </w:rPr>
        <w:t xml:space="preserve"> NOAEL </w:t>
      </w:r>
      <w:r w:rsidR="005C1C16" w:rsidRPr="00797F65">
        <w:rPr>
          <w:rFonts w:ascii="Verdana" w:hAnsi="Verdana"/>
          <w:sz w:val="20"/>
          <w:szCs w:val="20"/>
        </w:rPr>
        <w:t>of</w:t>
      </w:r>
      <w:r w:rsidR="00AD742F" w:rsidRPr="00797F65">
        <w:rPr>
          <w:rFonts w:ascii="Verdana" w:hAnsi="Verdana"/>
          <w:sz w:val="20"/>
          <w:szCs w:val="20"/>
        </w:rPr>
        <w:t xml:space="preserve"> 50 mg/kg </w:t>
      </w:r>
      <w:proofErr w:type="spellStart"/>
      <w:r w:rsidR="00AD742F" w:rsidRPr="00797F65">
        <w:rPr>
          <w:rFonts w:ascii="Verdana" w:hAnsi="Verdana"/>
          <w:sz w:val="20"/>
          <w:szCs w:val="20"/>
        </w:rPr>
        <w:t>bw</w:t>
      </w:r>
      <w:proofErr w:type="spellEnd"/>
      <w:r w:rsidR="00AD742F" w:rsidRPr="00797F65">
        <w:rPr>
          <w:rFonts w:ascii="Verdana" w:hAnsi="Verdana"/>
          <w:sz w:val="20"/>
          <w:szCs w:val="20"/>
        </w:rPr>
        <w:t xml:space="preserve">/day </w:t>
      </w:r>
      <w:r w:rsidR="005C1C16" w:rsidRPr="00797F65">
        <w:rPr>
          <w:rFonts w:ascii="Verdana" w:hAnsi="Verdana"/>
          <w:sz w:val="20"/>
          <w:szCs w:val="20"/>
        </w:rPr>
        <w:t>was reported based on a LOAEL of</w:t>
      </w:r>
      <w:r w:rsidR="00AD742F" w:rsidRPr="00797F65">
        <w:rPr>
          <w:rFonts w:ascii="Verdana" w:hAnsi="Verdana"/>
          <w:sz w:val="20"/>
          <w:szCs w:val="20"/>
        </w:rPr>
        <w:t xml:space="preserve"> 500 mg/kg </w:t>
      </w:r>
      <w:proofErr w:type="spellStart"/>
      <w:r w:rsidR="00AD742F" w:rsidRPr="00797F65">
        <w:rPr>
          <w:rFonts w:ascii="Verdana" w:hAnsi="Verdana"/>
          <w:sz w:val="20"/>
          <w:szCs w:val="20"/>
        </w:rPr>
        <w:t>bw</w:t>
      </w:r>
      <w:proofErr w:type="spellEnd"/>
      <w:r w:rsidR="00AD742F" w:rsidRPr="00797F65">
        <w:rPr>
          <w:rFonts w:ascii="Verdana" w:hAnsi="Verdana"/>
          <w:sz w:val="20"/>
          <w:szCs w:val="20"/>
        </w:rPr>
        <w:t>/day</w:t>
      </w:r>
      <w:r w:rsidRPr="00797F65">
        <w:rPr>
          <w:rFonts w:ascii="Verdana" w:hAnsi="Verdana"/>
          <w:sz w:val="20"/>
          <w:szCs w:val="20"/>
        </w:rPr>
        <w:t>. C</w:t>
      </w:r>
      <w:r w:rsidR="005C1C16" w:rsidRPr="00797F65">
        <w:rPr>
          <w:rFonts w:ascii="Verdana" w:hAnsi="Verdana"/>
          <w:sz w:val="20"/>
          <w:szCs w:val="20"/>
        </w:rPr>
        <w:t>hanges in liver weights and histopathology as well as increased cholesterol levels were observed at this dose.</w:t>
      </w:r>
      <w:r w:rsidRPr="00797F65">
        <w:rPr>
          <w:rFonts w:ascii="Verdana" w:hAnsi="Verdana"/>
          <w:sz w:val="20"/>
          <w:szCs w:val="20"/>
        </w:rPr>
        <w:t xml:space="preserve"> Slight hepatocellular hypertrophy was observed in 2/10 males at 50 mg/kg </w:t>
      </w:r>
      <w:proofErr w:type="spellStart"/>
      <w:r w:rsidRPr="00797F65">
        <w:rPr>
          <w:rFonts w:ascii="Verdana" w:hAnsi="Verdana"/>
          <w:sz w:val="20"/>
          <w:szCs w:val="20"/>
        </w:rPr>
        <w:t>bw</w:t>
      </w:r>
      <w:proofErr w:type="spellEnd"/>
      <w:r w:rsidRPr="00797F65">
        <w:rPr>
          <w:rFonts w:ascii="Verdana" w:hAnsi="Verdana"/>
          <w:sz w:val="20"/>
          <w:szCs w:val="20"/>
        </w:rPr>
        <w:t xml:space="preserve">/day. </w:t>
      </w:r>
    </w:p>
    <w:p w14:paraId="22AAFDB9" w14:textId="059A64A9" w:rsidR="007218B2" w:rsidRPr="00797F65" w:rsidRDefault="007218B2" w:rsidP="00B57919">
      <w:pPr>
        <w:spacing w:after="120"/>
        <w:jc w:val="both"/>
        <w:rPr>
          <w:rFonts w:ascii="Verdana" w:hAnsi="Verdana"/>
          <w:sz w:val="20"/>
          <w:szCs w:val="20"/>
        </w:rPr>
      </w:pPr>
      <w:r w:rsidRPr="00797F65">
        <w:rPr>
          <w:rFonts w:ascii="Verdana" w:hAnsi="Verdana"/>
          <w:sz w:val="20"/>
          <w:szCs w:val="20"/>
        </w:rPr>
        <w:t xml:space="preserve">In the second OECD </w:t>
      </w:r>
      <w:r w:rsidR="00EE69C9">
        <w:rPr>
          <w:rFonts w:ascii="Verdana" w:hAnsi="Verdana"/>
          <w:sz w:val="20"/>
          <w:szCs w:val="20"/>
        </w:rPr>
        <w:t xml:space="preserve">TG </w:t>
      </w:r>
      <w:r w:rsidRPr="00797F65">
        <w:rPr>
          <w:rFonts w:ascii="Verdana" w:hAnsi="Verdana"/>
          <w:sz w:val="20"/>
          <w:szCs w:val="20"/>
        </w:rPr>
        <w:t xml:space="preserve">408 study </w:t>
      </w:r>
      <w:r w:rsidR="00F137CE" w:rsidRPr="00797F65">
        <w:rPr>
          <w:rFonts w:ascii="Verdana" w:hAnsi="Verdana"/>
          <w:sz w:val="20"/>
          <w:szCs w:val="20"/>
        </w:rPr>
        <w:t xml:space="preserve">doses of 0, 10, 100 and 500 mg/kg </w:t>
      </w:r>
      <w:proofErr w:type="spellStart"/>
      <w:r w:rsidR="00F137CE" w:rsidRPr="00797F65">
        <w:rPr>
          <w:rFonts w:ascii="Verdana" w:hAnsi="Verdana"/>
          <w:sz w:val="20"/>
          <w:szCs w:val="20"/>
        </w:rPr>
        <w:t>bw</w:t>
      </w:r>
      <w:proofErr w:type="spellEnd"/>
      <w:r w:rsidR="00F137CE" w:rsidRPr="00797F65">
        <w:rPr>
          <w:rFonts w:ascii="Verdana" w:hAnsi="Verdana"/>
          <w:sz w:val="20"/>
          <w:szCs w:val="20"/>
        </w:rPr>
        <w:t xml:space="preserve">/day </w:t>
      </w:r>
      <w:r w:rsidR="00466CDE" w:rsidRPr="00797F65">
        <w:rPr>
          <w:rFonts w:ascii="Verdana" w:hAnsi="Verdana"/>
          <w:sz w:val="20"/>
          <w:szCs w:val="20"/>
        </w:rPr>
        <w:t xml:space="preserve">of Marlotherm S </w:t>
      </w:r>
      <w:r w:rsidR="00F137CE" w:rsidRPr="00797F65">
        <w:rPr>
          <w:rFonts w:ascii="Verdana" w:hAnsi="Verdana"/>
          <w:sz w:val="20"/>
          <w:szCs w:val="20"/>
        </w:rPr>
        <w:t>were used. T</w:t>
      </w:r>
      <w:r w:rsidRPr="00797F65">
        <w:rPr>
          <w:rFonts w:ascii="Verdana" w:hAnsi="Verdana"/>
          <w:sz w:val="20"/>
          <w:szCs w:val="20"/>
        </w:rPr>
        <w:t xml:space="preserve">est item related effects were observed in </w:t>
      </w:r>
      <w:proofErr w:type="spellStart"/>
      <w:r w:rsidRPr="00797F65">
        <w:rPr>
          <w:rFonts w:ascii="Verdana" w:hAnsi="Verdana"/>
          <w:sz w:val="20"/>
          <w:szCs w:val="20"/>
        </w:rPr>
        <w:t>haematology</w:t>
      </w:r>
      <w:proofErr w:type="spellEnd"/>
      <w:r w:rsidRPr="00797F65">
        <w:rPr>
          <w:rFonts w:ascii="Verdana" w:hAnsi="Verdana"/>
          <w:sz w:val="20"/>
          <w:szCs w:val="20"/>
        </w:rPr>
        <w:t xml:space="preserve"> parameters, clinical chemistry, organ weights, gross pathology as well as histopathology. </w:t>
      </w:r>
      <w:r w:rsidR="00F137CE" w:rsidRPr="00797F65">
        <w:rPr>
          <w:rFonts w:ascii="Verdana" w:hAnsi="Verdana"/>
          <w:sz w:val="20"/>
          <w:szCs w:val="20"/>
        </w:rPr>
        <w:t xml:space="preserve">A NOEL of 10 mg/kg </w:t>
      </w:r>
      <w:proofErr w:type="spellStart"/>
      <w:r w:rsidR="00F137CE" w:rsidRPr="00797F65">
        <w:rPr>
          <w:rFonts w:ascii="Verdana" w:hAnsi="Verdana"/>
          <w:sz w:val="20"/>
          <w:szCs w:val="20"/>
        </w:rPr>
        <w:t>bw</w:t>
      </w:r>
      <w:proofErr w:type="spellEnd"/>
      <w:r w:rsidR="00F137CE" w:rsidRPr="00797F65">
        <w:rPr>
          <w:rFonts w:ascii="Verdana" w:hAnsi="Verdana"/>
          <w:sz w:val="20"/>
          <w:szCs w:val="20"/>
        </w:rPr>
        <w:t>/day was reported based on dose-dependent increases in liver and kidney weights accompanied hepatocellular hypertrophy in the mid- and high</w:t>
      </w:r>
      <w:r w:rsidR="0083185A">
        <w:rPr>
          <w:rFonts w:ascii="Verdana" w:hAnsi="Verdana"/>
          <w:sz w:val="20"/>
          <w:szCs w:val="20"/>
        </w:rPr>
        <w:t xml:space="preserve"> </w:t>
      </w:r>
      <w:r w:rsidR="00F137CE" w:rsidRPr="00797F65">
        <w:rPr>
          <w:rFonts w:ascii="Verdana" w:hAnsi="Verdana"/>
          <w:sz w:val="20"/>
          <w:szCs w:val="20"/>
        </w:rPr>
        <w:t xml:space="preserve">dose groups. </w:t>
      </w:r>
      <w:r w:rsidR="00586C9E" w:rsidRPr="00797F65">
        <w:rPr>
          <w:rFonts w:ascii="Verdana" w:hAnsi="Verdana"/>
          <w:sz w:val="20"/>
          <w:szCs w:val="20"/>
        </w:rPr>
        <w:t>Liver and kidney weights were increased in mid- and high</w:t>
      </w:r>
      <w:r w:rsidR="007B054B">
        <w:rPr>
          <w:rFonts w:ascii="Verdana" w:hAnsi="Verdana"/>
          <w:sz w:val="20"/>
          <w:szCs w:val="20"/>
        </w:rPr>
        <w:t xml:space="preserve"> </w:t>
      </w:r>
      <w:r w:rsidR="00586C9E" w:rsidRPr="00797F65">
        <w:rPr>
          <w:rFonts w:ascii="Verdana" w:hAnsi="Verdana"/>
          <w:sz w:val="20"/>
          <w:szCs w:val="20"/>
        </w:rPr>
        <w:t xml:space="preserve">dose groups in a dose-dependent manner and livers were swollen upon gross examination. </w:t>
      </w:r>
      <w:r w:rsidR="00466CDE" w:rsidRPr="00797F65">
        <w:rPr>
          <w:rFonts w:ascii="Verdana" w:hAnsi="Verdana"/>
          <w:sz w:val="20"/>
          <w:szCs w:val="20"/>
        </w:rPr>
        <w:t xml:space="preserve">There were no treatment related findings reported in urinalysis parameters, gross pathology or histopathology of the kidneys. </w:t>
      </w:r>
    </w:p>
    <w:p w14:paraId="6BA14763" w14:textId="3C654704" w:rsidR="00465750" w:rsidRPr="00797F65" w:rsidRDefault="00465750" w:rsidP="00B57919">
      <w:pPr>
        <w:spacing w:after="120"/>
        <w:jc w:val="both"/>
        <w:rPr>
          <w:rFonts w:ascii="Verdana" w:hAnsi="Verdana"/>
          <w:sz w:val="20"/>
          <w:szCs w:val="20"/>
        </w:rPr>
      </w:pPr>
      <w:r w:rsidRPr="00B57919">
        <w:rPr>
          <w:rFonts w:ascii="Verdana" w:hAnsi="Verdana"/>
          <w:sz w:val="20"/>
          <w:szCs w:val="20"/>
        </w:rPr>
        <w:t xml:space="preserve">CYP450 enzyme induction </w:t>
      </w:r>
      <w:r w:rsidRPr="00797F65">
        <w:rPr>
          <w:rFonts w:ascii="Verdana" w:hAnsi="Verdana"/>
          <w:sz w:val="20"/>
          <w:szCs w:val="20"/>
        </w:rPr>
        <w:t xml:space="preserve">after repeated exposure </w:t>
      </w:r>
      <w:r w:rsidRPr="00B57919">
        <w:rPr>
          <w:rFonts w:ascii="Verdana" w:hAnsi="Verdana"/>
          <w:sz w:val="20"/>
          <w:szCs w:val="20"/>
        </w:rPr>
        <w:t xml:space="preserve">was studied in a non-guideline </w:t>
      </w:r>
      <w:r w:rsidRPr="00797F65">
        <w:rPr>
          <w:rFonts w:ascii="Verdana" w:hAnsi="Verdana"/>
          <w:sz w:val="20"/>
          <w:szCs w:val="20"/>
        </w:rPr>
        <w:t xml:space="preserve">in vivo </w:t>
      </w:r>
      <w:r w:rsidRPr="00B57919">
        <w:rPr>
          <w:rFonts w:ascii="Verdana" w:hAnsi="Verdana"/>
          <w:sz w:val="20"/>
          <w:szCs w:val="20"/>
        </w:rPr>
        <w:t>study</w:t>
      </w:r>
      <w:r w:rsidRPr="00797F65">
        <w:rPr>
          <w:rFonts w:ascii="Verdana" w:hAnsi="Verdana"/>
          <w:sz w:val="20"/>
          <w:szCs w:val="20"/>
        </w:rPr>
        <w:t xml:space="preserve">. 10 male and 10 female rats per group </w:t>
      </w:r>
      <w:r w:rsidRPr="009E4B6F">
        <w:rPr>
          <w:rFonts w:ascii="Verdana" w:hAnsi="Verdana"/>
          <w:sz w:val="20"/>
          <w:szCs w:val="20"/>
        </w:rPr>
        <w:t xml:space="preserve">were dosed daily via gavage </w:t>
      </w:r>
      <w:r w:rsidRPr="007C06D0">
        <w:rPr>
          <w:rFonts w:ascii="Verdana" w:hAnsi="Verdana"/>
          <w:sz w:val="20"/>
          <w:szCs w:val="20"/>
        </w:rPr>
        <w:t xml:space="preserve">for a minimum of 120 days </w:t>
      </w:r>
      <w:r w:rsidRPr="00327799">
        <w:rPr>
          <w:rFonts w:ascii="Verdana" w:hAnsi="Verdana"/>
          <w:sz w:val="20"/>
          <w:szCs w:val="20"/>
        </w:rPr>
        <w:t xml:space="preserve">at 0, 5, 50 and 500 mg/kg </w:t>
      </w:r>
      <w:proofErr w:type="spellStart"/>
      <w:r w:rsidRPr="00327799">
        <w:rPr>
          <w:rFonts w:ascii="Verdana" w:hAnsi="Verdana"/>
          <w:sz w:val="20"/>
          <w:szCs w:val="20"/>
        </w:rPr>
        <w:t>bw</w:t>
      </w:r>
      <w:proofErr w:type="spellEnd"/>
      <w:r w:rsidRPr="00327799">
        <w:rPr>
          <w:rFonts w:ascii="Verdana" w:hAnsi="Verdana"/>
          <w:sz w:val="20"/>
          <w:szCs w:val="20"/>
        </w:rPr>
        <w:t>/day. The livers were subse</w:t>
      </w:r>
      <w:r w:rsidRPr="00E66140">
        <w:rPr>
          <w:rFonts w:ascii="Verdana" w:hAnsi="Verdana"/>
          <w:sz w:val="20"/>
          <w:szCs w:val="20"/>
        </w:rPr>
        <w:t xml:space="preserve">quently </w:t>
      </w:r>
      <w:proofErr w:type="gramStart"/>
      <w:r w:rsidRPr="00E66140">
        <w:rPr>
          <w:rFonts w:ascii="Verdana" w:hAnsi="Verdana"/>
          <w:sz w:val="20"/>
          <w:szCs w:val="20"/>
        </w:rPr>
        <w:t>sampled</w:t>
      </w:r>
      <w:proofErr w:type="gramEnd"/>
      <w:r w:rsidRPr="00E66140">
        <w:rPr>
          <w:rFonts w:ascii="Verdana" w:hAnsi="Verdana"/>
          <w:sz w:val="20"/>
          <w:szCs w:val="20"/>
        </w:rPr>
        <w:t xml:space="preserve"> and microsomal fraction</w:t>
      </w:r>
      <w:r w:rsidR="00BB0D55" w:rsidRPr="00787968">
        <w:rPr>
          <w:rFonts w:ascii="Verdana" w:hAnsi="Verdana"/>
          <w:sz w:val="20"/>
          <w:szCs w:val="20"/>
        </w:rPr>
        <w:t>s prepared for</w:t>
      </w:r>
      <w:r w:rsidRPr="00797F65">
        <w:rPr>
          <w:rFonts w:ascii="Verdana" w:hAnsi="Verdana"/>
          <w:sz w:val="20"/>
          <w:szCs w:val="20"/>
        </w:rPr>
        <w:t xml:space="preserve"> enzyme activity determination</w:t>
      </w:r>
      <w:r w:rsidR="00BB0D55" w:rsidRPr="00797F65">
        <w:rPr>
          <w:rFonts w:ascii="Verdana" w:hAnsi="Verdana"/>
          <w:sz w:val="20"/>
          <w:szCs w:val="20"/>
        </w:rPr>
        <w:t xml:space="preserve"> as well as liver homogenate samples prepared for peroxisome proliferation assessment</w:t>
      </w:r>
      <w:r w:rsidRPr="00797F65">
        <w:rPr>
          <w:rFonts w:ascii="Verdana" w:hAnsi="Verdana"/>
          <w:sz w:val="20"/>
          <w:szCs w:val="20"/>
        </w:rPr>
        <w:t xml:space="preserve">. </w:t>
      </w:r>
      <w:r w:rsidR="00BB0D55" w:rsidRPr="00797F65">
        <w:rPr>
          <w:rFonts w:ascii="Verdana" w:hAnsi="Verdana"/>
          <w:sz w:val="20"/>
          <w:szCs w:val="20"/>
        </w:rPr>
        <w:t xml:space="preserve">CYP450 induction and slight hepatic peroxisome proliferation were observed at 500 mg/kg </w:t>
      </w:r>
      <w:proofErr w:type="spellStart"/>
      <w:r w:rsidR="00BB0D55" w:rsidRPr="00797F65">
        <w:rPr>
          <w:rFonts w:ascii="Verdana" w:hAnsi="Verdana"/>
          <w:sz w:val="20"/>
          <w:szCs w:val="20"/>
        </w:rPr>
        <w:t>bw</w:t>
      </w:r>
      <w:proofErr w:type="spellEnd"/>
      <w:r w:rsidR="00BB0D55" w:rsidRPr="00797F65">
        <w:rPr>
          <w:rFonts w:ascii="Verdana" w:hAnsi="Verdana"/>
          <w:sz w:val="20"/>
          <w:szCs w:val="20"/>
        </w:rPr>
        <w:t xml:space="preserve">/day. These findings were consistent with observed centrilobular hepatocyte hypertrophy and increased liver weights and increased liver/body weight ratios observed in male and female animals. </w:t>
      </w:r>
      <w:r w:rsidR="00C37331" w:rsidRPr="00797F65">
        <w:rPr>
          <w:rFonts w:ascii="Verdana" w:hAnsi="Verdana"/>
          <w:sz w:val="20"/>
          <w:szCs w:val="20"/>
        </w:rPr>
        <w:t>Hepatic enzyme induction and p</w:t>
      </w:r>
      <w:r w:rsidR="00BB0D55" w:rsidRPr="00797F65">
        <w:rPr>
          <w:rFonts w:ascii="Verdana" w:hAnsi="Verdana"/>
          <w:sz w:val="20"/>
          <w:szCs w:val="20"/>
        </w:rPr>
        <w:t xml:space="preserve">eroxisome proliferation </w:t>
      </w:r>
      <w:r w:rsidR="00C37331" w:rsidRPr="00797F65">
        <w:rPr>
          <w:rFonts w:ascii="Verdana" w:hAnsi="Verdana"/>
          <w:sz w:val="20"/>
          <w:szCs w:val="20"/>
        </w:rPr>
        <w:t xml:space="preserve">potential </w:t>
      </w:r>
      <w:r w:rsidR="00BB0D55" w:rsidRPr="00797F65">
        <w:rPr>
          <w:rFonts w:ascii="Verdana" w:hAnsi="Verdana"/>
          <w:sz w:val="20"/>
          <w:szCs w:val="20"/>
        </w:rPr>
        <w:t>of the substance ha</w:t>
      </w:r>
      <w:r w:rsidR="00C37331" w:rsidRPr="00797F65">
        <w:rPr>
          <w:rFonts w:ascii="Verdana" w:hAnsi="Verdana"/>
          <w:sz w:val="20"/>
          <w:szCs w:val="20"/>
        </w:rPr>
        <w:t>ve</w:t>
      </w:r>
      <w:r w:rsidR="00BB0D55" w:rsidRPr="00797F65">
        <w:rPr>
          <w:rFonts w:ascii="Verdana" w:hAnsi="Verdana"/>
          <w:sz w:val="20"/>
          <w:szCs w:val="20"/>
        </w:rPr>
        <w:t xml:space="preserve"> also been observed in vitro</w:t>
      </w:r>
      <w:r w:rsidR="00C37331" w:rsidRPr="00797F65">
        <w:rPr>
          <w:rFonts w:ascii="Verdana" w:hAnsi="Verdana"/>
          <w:sz w:val="20"/>
          <w:szCs w:val="20"/>
        </w:rPr>
        <w:t xml:space="preserve">. </w:t>
      </w:r>
    </w:p>
    <w:p w14:paraId="0381CF1F" w14:textId="54908C12" w:rsidR="005634A6" w:rsidRPr="00797F65" w:rsidRDefault="005634A6" w:rsidP="00797F65">
      <w:pPr>
        <w:jc w:val="both"/>
        <w:rPr>
          <w:rFonts w:ascii="Verdana" w:hAnsi="Verdana"/>
          <w:sz w:val="20"/>
          <w:szCs w:val="20"/>
        </w:rPr>
      </w:pPr>
      <w:r w:rsidRPr="00797F65">
        <w:rPr>
          <w:rFonts w:ascii="Verdana" w:hAnsi="Verdana"/>
          <w:sz w:val="20"/>
          <w:szCs w:val="20"/>
        </w:rPr>
        <w:t xml:space="preserve">In a one generation reproductive toxicity study a NOAEL of 120 mg/kg </w:t>
      </w:r>
      <w:proofErr w:type="spellStart"/>
      <w:r w:rsidRPr="00797F65">
        <w:rPr>
          <w:rFonts w:ascii="Verdana" w:hAnsi="Verdana"/>
          <w:sz w:val="20"/>
          <w:szCs w:val="20"/>
        </w:rPr>
        <w:t>bw</w:t>
      </w:r>
      <w:proofErr w:type="spellEnd"/>
      <w:r w:rsidRPr="00797F65">
        <w:rPr>
          <w:rFonts w:ascii="Verdana" w:hAnsi="Verdana"/>
          <w:sz w:val="20"/>
          <w:szCs w:val="20"/>
        </w:rPr>
        <w:t>/day for general toxicity in parental animals (males and females) was derived based on increased kidney, liver and prostate weights in males of the high dose group and on reduced body weight gain, reduced food consumption and increased liver and kidney weights in females of the high dose group.</w:t>
      </w:r>
    </w:p>
    <w:p w14:paraId="485A6E39" w14:textId="4D228A7D" w:rsidR="005634A6" w:rsidRPr="0042302F" w:rsidRDefault="005634A6" w:rsidP="00797F65">
      <w:pPr>
        <w:jc w:val="both"/>
        <w:rPr>
          <w:rFonts w:ascii="Verdana" w:hAnsi="Verdana"/>
          <w:sz w:val="20"/>
          <w:szCs w:val="20"/>
        </w:rPr>
      </w:pPr>
      <w:r w:rsidRPr="00797F65">
        <w:rPr>
          <w:rFonts w:ascii="Verdana" w:hAnsi="Verdana"/>
          <w:sz w:val="20"/>
          <w:szCs w:val="20"/>
        </w:rPr>
        <w:t xml:space="preserve">The substance </w:t>
      </w:r>
      <w:r>
        <w:rPr>
          <w:rFonts w:ascii="Verdana" w:hAnsi="Verdana"/>
          <w:sz w:val="20"/>
          <w:szCs w:val="20"/>
        </w:rPr>
        <w:t>induce</w:t>
      </w:r>
      <w:r w:rsidR="00A265B1">
        <w:rPr>
          <w:rFonts w:ascii="Verdana" w:hAnsi="Verdana"/>
          <w:sz w:val="20"/>
          <w:szCs w:val="20"/>
        </w:rPr>
        <w:t>d</w:t>
      </w:r>
      <w:r w:rsidRPr="00787968">
        <w:rPr>
          <w:rFonts w:ascii="Verdana" w:hAnsi="Verdana"/>
          <w:sz w:val="20"/>
          <w:szCs w:val="20"/>
        </w:rPr>
        <w:t xml:space="preserve"> effects on the liver</w:t>
      </w:r>
      <w:r w:rsidR="00025C19" w:rsidRPr="00797F65">
        <w:rPr>
          <w:rFonts w:ascii="Verdana" w:hAnsi="Verdana"/>
          <w:sz w:val="20"/>
          <w:szCs w:val="20"/>
        </w:rPr>
        <w:t xml:space="preserve"> and kidney</w:t>
      </w:r>
      <w:r w:rsidRPr="00797F65">
        <w:rPr>
          <w:rFonts w:ascii="Verdana" w:hAnsi="Verdana"/>
          <w:sz w:val="20"/>
          <w:szCs w:val="20"/>
        </w:rPr>
        <w:t xml:space="preserve"> at doses </w:t>
      </w:r>
      <w:r w:rsidR="00DE49EC" w:rsidRPr="00797F65">
        <w:rPr>
          <w:rFonts w:ascii="Verdana" w:hAnsi="Verdana"/>
          <w:sz w:val="20"/>
          <w:szCs w:val="20"/>
        </w:rPr>
        <w:t>of</w:t>
      </w:r>
      <w:r w:rsidRPr="00797F65">
        <w:rPr>
          <w:rFonts w:ascii="Verdana" w:hAnsi="Verdana"/>
          <w:sz w:val="20"/>
          <w:szCs w:val="20"/>
        </w:rPr>
        <w:t xml:space="preserve"> 10</w:t>
      </w:r>
      <w:r w:rsidR="00DE49EC" w:rsidRPr="00797F65">
        <w:rPr>
          <w:rFonts w:ascii="Verdana" w:hAnsi="Verdana"/>
          <w:sz w:val="20"/>
          <w:szCs w:val="20"/>
        </w:rPr>
        <w:t>0</w:t>
      </w:r>
      <w:r w:rsidRPr="00797F65">
        <w:rPr>
          <w:rFonts w:ascii="Verdana" w:hAnsi="Verdana"/>
          <w:sz w:val="20"/>
          <w:szCs w:val="20"/>
        </w:rPr>
        <w:t xml:space="preserve"> mg/kg </w:t>
      </w:r>
      <w:proofErr w:type="spellStart"/>
      <w:r w:rsidRPr="00797F65">
        <w:rPr>
          <w:rFonts w:ascii="Verdana" w:hAnsi="Verdana"/>
          <w:sz w:val="20"/>
          <w:szCs w:val="20"/>
        </w:rPr>
        <w:t>bw</w:t>
      </w:r>
      <w:proofErr w:type="spellEnd"/>
      <w:r w:rsidRPr="00797F65">
        <w:rPr>
          <w:rFonts w:ascii="Verdana" w:hAnsi="Verdana"/>
          <w:sz w:val="20"/>
          <w:szCs w:val="20"/>
        </w:rPr>
        <w:t>/day</w:t>
      </w:r>
      <w:r w:rsidR="00DE49EC" w:rsidRPr="00797F65">
        <w:rPr>
          <w:rFonts w:ascii="Verdana" w:hAnsi="Verdana"/>
          <w:sz w:val="20"/>
          <w:szCs w:val="20"/>
        </w:rPr>
        <w:t xml:space="preserve"> and greater</w:t>
      </w:r>
      <w:r w:rsidR="00025C19" w:rsidRPr="00797F65">
        <w:rPr>
          <w:rFonts w:ascii="Verdana" w:hAnsi="Verdana"/>
          <w:sz w:val="20"/>
          <w:szCs w:val="20"/>
        </w:rPr>
        <w:t xml:space="preserve">. The findings in the liver are complemented by the data from in vitro and in vivo enzyme induction and peroxisome proliferation studies. </w:t>
      </w:r>
      <w:r w:rsidR="00466CDE" w:rsidRPr="00797F65">
        <w:rPr>
          <w:rFonts w:ascii="Verdana" w:hAnsi="Verdana"/>
          <w:sz w:val="20"/>
          <w:szCs w:val="20"/>
        </w:rPr>
        <w:t xml:space="preserve">The morphological as well as functional changes observed in the liver are considered </w:t>
      </w:r>
      <w:r w:rsidR="00F15800">
        <w:rPr>
          <w:rFonts w:ascii="Verdana" w:hAnsi="Verdana"/>
          <w:sz w:val="20"/>
          <w:szCs w:val="20"/>
        </w:rPr>
        <w:t>test</w:t>
      </w:r>
      <w:r w:rsidR="00F15800" w:rsidRPr="00787968">
        <w:rPr>
          <w:rFonts w:ascii="Verdana" w:hAnsi="Verdana"/>
          <w:sz w:val="20"/>
          <w:szCs w:val="20"/>
        </w:rPr>
        <w:t xml:space="preserve"> item r</w:t>
      </w:r>
      <w:r w:rsidR="00F15800" w:rsidRPr="00797F65">
        <w:rPr>
          <w:rFonts w:ascii="Verdana" w:hAnsi="Verdana"/>
          <w:sz w:val="20"/>
          <w:szCs w:val="20"/>
        </w:rPr>
        <w:t>elated</w:t>
      </w:r>
      <w:r w:rsidR="002E5022">
        <w:rPr>
          <w:rFonts w:ascii="Verdana" w:hAnsi="Verdana"/>
          <w:sz w:val="20"/>
          <w:szCs w:val="20"/>
        </w:rPr>
        <w:t xml:space="preserve"> and may be adaptive</w:t>
      </w:r>
      <w:r w:rsidR="00466CDE">
        <w:rPr>
          <w:rFonts w:ascii="Verdana" w:hAnsi="Verdana"/>
          <w:sz w:val="20"/>
          <w:szCs w:val="20"/>
        </w:rPr>
        <w:t>.</w:t>
      </w:r>
      <w:r w:rsidR="00466CDE" w:rsidRPr="00E66140">
        <w:rPr>
          <w:rFonts w:ascii="Verdana" w:hAnsi="Verdana"/>
          <w:sz w:val="20"/>
          <w:szCs w:val="20"/>
        </w:rPr>
        <w:t xml:space="preserve"> </w:t>
      </w:r>
      <w:r w:rsidR="00A265B1" w:rsidRPr="00E66140">
        <w:rPr>
          <w:rFonts w:ascii="Verdana" w:hAnsi="Verdana"/>
          <w:sz w:val="20"/>
          <w:szCs w:val="20"/>
        </w:rPr>
        <w:t xml:space="preserve">However, </w:t>
      </w:r>
      <w:r w:rsidR="00A265B1">
        <w:rPr>
          <w:rFonts w:ascii="Verdana" w:hAnsi="Verdana"/>
          <w:sz w:val="20"/>
          <w:szCs w:val="20"/>
        </w:rPr>
        <w:t>p</w:t>
      </w:r>
      <w:r w:rsidR="00A9022B">
        <w:rPr>
          <w:rFonts w:ascii="Verdana" w:hAnsi="Verdana"/>
          <w:sz w:val="20"/>
          <w:szCs w:val="20"/>
        </w:rPr>
        <w:t>eroxisome</w:t>
      </w:r>
      <w:r w:rsidR="00A9022B" w:rsidRPr="00787968">
        <w:rPr>
          <w:rFonts w:ascii="Verdana" w:hAnsi="Verdana"/>
          <w:sz w:val="20"/>
          <w:szCs w:val="20"/>
        </w:rPr>
        <w:t xml:space="preserve"> proliferation following </w:t>
      </w:r>
      <w:r w:rsidR="00A9022B" w:rsidRPr="0042302F">
        <w:rPr>
          <w:rFonts w:ascii="Verdana" w:hAnsi="Verdana"/>
          <w:sz w:val="20"/>
          <w:szCs w:val="20"/>
        </w:rPr>
        <w:t xml:space="preserve">exposure to the substance is not </w:t>
      </w:r>
      <w:r w:rsidR="009420C6" w:rsidRPr="0042302F">
        <w:rPr>
          <w:rFonts w:ascii="Verdana" w:hAnsi="Verdana"/>
          <w:sz w:val="20"/>
          <w:szCs w:val="20"/>
        </w:rPr>
        <w:t>considered relevant for adversity in humans</w:t>
      </w:r>
      <w:r w:rsidR="002E5022" w:rsidRPr="0042302F">
        <w:rPr>
          <w:rFonts w:ascii="Verdana" w:hAnsi="Verdana"/>
          <w:sz w:val="20"/>
          <w:szCs w:val="20"/>
        </w:rPr>
        <w:t xml:space="preserve"> (ECHA 2017b)</w:t>
      </w:r>
      <w:r w:rsidR="009420C6" w:rsidRPr="0042302F">
        <w:rPr>
          <w:rFonts w:ascii="Verdana" w:hAnsi="Verdana"/>
          <w:sz w:val="20"/>
          <w:szCs w:val="20"/>
        </w:rPr>
        <w:t xml:space="preserve">. </w:t>
      </w:r>
      <w:r w:rsidR="00B625B8" w:rsidRPr="0042302F">
        <w:rPr>
          <w:rFonts w:ascii="Verdana" w:hAnsi="Verdana"/>
          <w:sz w:val="20"/>
          <w:szCs w:val="20"/>
        </w:rPr>
        <w:t>Furthermore, t</w:t>
      </w:r>
      <w:r w:rsidR="005925AA" w:rsidRPr="0042302F">
        <w:rPr>
          <w:rFonts w:ascii="Verdana" w:hAnsi="Verdana"/>
          <w:sz w:val="20"/>
          <w:szCs w:val="20"/>
        </w:rPr>
        <w:t xml:space="preserve">he nature and severity of the findings </w:t>
      </w:r>
      <w:r w:rsidR="002E5022" w:rsidRPr="0042302F">
        <w:rPr>
          <w:rFonts w:ascii="Verdana" w:hAnsi="Verdana"/>
          <w:sz w:val="20"/>
          <w:szCs w:val="20"/>
        </w:rPr>
        <w:t xml:space="preserve">do not fulfil </w:t>
      </w:r>
      <w:r w:rsidR="009420C6" w:rsidRPr="0042302F">
        <w:rPr>
          <w:rFonts w:ascii="Verdana" w:hAnsi="Verdana"/>
          <w:sz w:val="20"/>
          <w:szCs w:val="20"/>
        </w:rPr>
        <w:t>the</w:t>
      </w:r>
      <w:r w:rsidR="002E5022" w:rsidRPr="0042302F">
        <w:rPr>
          <w:rFonts w:ascii="Verdana" w:hAnsi="Verdana"/>
          <w:sz w:val="20"/>
          <w:szCs w:val="20"/>
        </w:rPr>
        <w:t xml:space="preserve"> classification</w:t>
      </w:r>
      <w:r w:rsidR="009420C6" w:rsidRPr="0042302F">
        <w:rPr>
          <w:rFonts w:ascii="Verdana" w:hAnsi="Verdana"/>
          <w:sz w:val="20"/>
          <w:szCs w:val="20"/>
        </w:rPr>
        <w:t xml:space="preserve"> </w:t>
      </w:r>
      <w:r w:rsidR="00A45A5F" w:rsidRPr="0042302F">
        <w:rPr>
          <w:rFonts w:ascii="Verdana" w:hAnsi="Verdana"/>
          <w:sz w:val="20"/>
          <w:szCs w:val="20"/>
        </w:rPr>
        <w:t>criteria for specific target organ toxicity, repeated exposure.</w:t>
      </w:r>
    </w:p>
    <w:p w14:paraId="70051718" w14:textId="54315474" w:rsidR="006954F3" w:rsidRPr="0042302F" w:rsidRDefault="006954F3" w:rsidP="006954F3">
      <w:pPr>
        <w:jc w:val="both"/>
        <w:rPr>
          <w:rFonts w:ascii="Verdana" w:hAnsi="Verdana" w:cstheme="minorHAnsi"/>
          <w:b/>
          <w:sz w:val="20"/>
          <w:szCs w:val="20"/>
          <w:u w:val="single"/>
        </w:rPr>
      </w:pPr>
      <w:r w:rsidRPr="0042302F">
        <w:rPr>
          <w:rFonts w:ascii="Verdana" w:hAnsi="Verdana" w:cstheme="minorHAnsi"/>
          <w:b/>
          <w:sz w:val="20"/>
          <w:szCs w:val="20"/>
          <w:u w:val="single"/>
        </w:rPr>
        <w:t>6-(1-phenylethyl)-1,2,3,4-tetrahydronaphthalene</w:t>
      </w:r>
    </w:p>
    <w:p w14:paraId="3FDE6E2B" w14:textId="3D8F83AB" w:rsidR="003E314F" w:rsidRPr="0042302F" w:rsidRDefault="003E314F" w:rsidP="00F916C5">
      <w:pPr>
        <w:spacing w:after="120"/>
        <w:jc w:val="both"/>
        <w:rPr>
          <w:rFonts w:ascii="Verdana" w:hAnsi="Verdana" w:cs="Arial"/>
          <w:b/>
          <w:sz w:val="20"/>
          <w:szCs w:val="20"/>
        </w:rPr>
      </w:pPr>
      <w:r w:rsidRPr="0042302F">
        <w:rPr>
          <w:rFonts w:ascii="Verdana" w:hAnsi="Verdana"/>
          <w:sz w:val="20"/>
          <w:szCs w:val="20"/>
        </w:rPr>
        <w:t xml:space="preserve">The substance is not </w:t>
      </w:r>
      <w:r w:rsidR="00B35064" w:rsidRPr="0042302F">
        <w:rPr>
          <w:rFonts w:ascii="Verdana" w:hAnsi="Verdana"/>
          <w:sz w:val="20"/>
          <w:szCs w:val="20"/>
        </w:rPr>
        <w:t>self-</w:t>
      </w:r>
      <w:r w:rsidRPr="0042302F">
        <w:rPr>
          <w:rFonts w:ascii="Verdana" w:hAnsi="Verdana"/>
          <w:sz w:val="20"/>
          <w:szCs w:val="20"/>
        </w:rPr>
        <w:t>classified for CMR or STOT RE properties</w:t>
      </w:r>
      <w:r w:rsidR="00B35064" w:rsidRPr="0042302F">
        <w:rPr>
          <w:rFonts w:ascii="Verdana" w:hAnsi="Verdana"/>
          <w:sz w:val="20"/>
          <w:szCs w:val="20"/>
        </w:rPr>
        <w:t xml:space="preserve"> and does not have a </w:t>
      </w:r>
      <w:proofErr w:type="spellStart"/>
      <w:r w:rsidR="00B35064" w:rsidRPr="0042302F">
        <w:rPr>
          <w:rFonts w:ascii="Verdana" w:hAnsi="Verdana"/>
          <w:sz w:val="20"/>
          <w:szCs w:val="20"/>
        </w:rPr>
        <w:t>harmonised</w:t>
      </w:r>
      <w:proofErr w:type="spellEnd"/>
      <w:r w:rsidR="00B35064" w:rsidRPr="0042302F">
        <w:rPr>
          <w:rFonts w:ascii="Verdana" w:hAnsi="Verdana"/>
          <w:sz w:val="20"/>
          <w:szCs w:val="20"/>
        </w:rPr>
        <w:t xml:space="preserve"> classification</w:t>
      </w:r>
      <w:r w:rsidRPr="0042302F">
        <w:rPr>
          <w:rFonts w:ascii="Verdana" w:hAnsi="Verdana"/>
          <w:sz w:val="20"/>
          <w:szCs w:val="20"/>
        </w:rPr>
        <w:t>.</w:t>
      </w:r>
      <w:r w:rsidR="00097146" w:rsidRPr="0042302F">
        <w:rPr>
          <w:rFonts w:ascii="Verdana" w:hAnsi="Verdana"/>
          <w:sz w:val="20"/>
          <w:szCs w:val="20"/>
        </w:rPr>
        <w:t xml:space="preserve"> There are no experimental data </w:t>
      </w:r>
      <w:r w:rsidR="009E4B6F" w:rsidRPr="0042302F">
        <w:rPr>
          <w:rFonts w:ascii="Verdana" w:hAnsi="Verdana"/>
          <w:sz w:val="20"/>
          <w:szCs w:val="20"/>
        </w:rPr>
        <w:t xml:space="preserve">publicly </w:t>
      </w:r>
      <w:r w:rsidR="00097146" w:rsidRPr="0042302F">
        <w:rPr>
          <w:rFonts w:ascii="Verdana" w:hAnsi="Verdana"/>
          <w:sz w:val="20"/>
          <w:szCs w:val="20"/>
        </w:rPr>
        <w:t xml:space="preserve">available for the T assessment of this substance. </w:t>
      </w:r>
      <w:r w:rsidR="00CE1B77" w:rsidRPr="0042302F">
        <w:rPr>
          <w:rFonts w:ascii="Verdana" w:hAnsi="Verdana"/>
          <w:sz w:val="20"/>
          <w:szCs w:val="20"/>
        </w:rPr>
        <w:t xml:space="preserve">Confidential data are briefly summarized in the confidential Annex to this document. </w:t>
      </w:r>
    </w:p>
    <w:p w14:paraId="58A10F23" w14:textId="6F342E3B" w:rsidR="006954F3" w:rsidRPr="0042302F" w:rsidRDefault="006954F3" w:rsidP="006954F3">
      <w:pPr>
        <w:spacing w:after="120" w:line="360" w:lineRule="auto"/>
        <w:rPr>
          <w:rFonts w:ascii="Verdana" w:hAnsi="Verdana" w:cs="Arial"/>
          <w:b/>
          <w:sz w:val="20"/>
          <w:szCs w:val="20"/>
        </w:rPr>
      </w:pPr>
      <w:r w:rsidRPr="0042302F">
        <w:rPr>
          <w:rFonts w:ascii="Verdana" w:hAnsi="Verdana" w:cs="Arial"/>
          <w:b/>
          <w:sz w:val="20"/>
          <w:szCs w:val="20"/>
        </w:rPr>
        <w:t>Carcinogenicity</w:t>
      </w:r>
    </w:p>
    <w:p w14:paraId="3D89DD30" w14:textId="4FFF21F5" w:rsidR="00923C63" w:rsidRPr="0042302F" w:rsidRDefault="00923C63" w:rsidP="006954F3">
      <w:pPr>
        <w:spacing w:after="120" w:line="360" w:lineRule="auto"/>
        <w:rPr>
          <w:rFonts w:ascii="Verdana" w:hAnsi="Verdana"/>
          <w:sz w:val="20"/>
          <w:szCs w:val="20"/>
        </w:rPr>
      </w:pPr>
      <w:r w:rsidRPr="0042302F">
        <w:rPr>
          <w:rFonts w:ascii="Verdana" w:hAnsi="Verdana"/>
          <w:sz w:val="20"/>
          <w:szCs w:val="20"/>
        </w:rPr>
        <w:t>No data available</w:t>
      </w:r>
    </w:p>
    <w:p w14:paraId="35CE8F4D" w14:textId="09C68C59" w:rsidR="006954F3" w:rsidRPr="0042302F" w:rsidRDefault="006954F3" w:rsidP="006954F3">
      <w:pPr>
        <w:spacing w:after="120" w:line="360" w:lineRule="auto"/>
        <w:rPr>
          <w:rFonts w:ascii="Verdana" w:hAnsi="Verdana" w:cs="Arial"/>
          <w:b/>
          <w:sz w:val="20"/>
          <w:szCs w:val="20"/>
        </w:rPr>
      </w:pPr>
      <w:r w:rsidRPr="0042302F">
        <w:rPr>
          <w:rFonts w:ascii="Verdana" w:hAnsi="Verdana" w:cs="Arial"/>
          <w:b/>
          <w:sz w:val="20"/>
          <w:szCs w:val="20"/>
        </w:rPr>
        <w:t>Mutagenicity</w:t>
      </w:r>
    </w:p>
    <w:p w14:paraId="2102EBBB" w14:textId="08959ECB" w:rsidR="00923C63" w:rsidRPr="0042302F" w:rsidRDefault="00942124" w:rsidP="006954F3">
      <w:pPr>
        <w:spacing w:after="120" w:line="360" w:lineRule="auto"/>
        <w:rPr>
          <w:rFonts w:ascii="Verdana" w:hAnsi="Verdana"/>
          <w:sz w:val="20"/>
          <w:szCs w:val="20"/>
        </w:rPr>
      </w:pPr>
      <w:r w:rsidRPr="0042302F">
        <w:rPr>
          <w:rFonts w:ascii="Verdana" w:hAnsi="Verdana"/>
          <w:sz w:val="20"/>
          <w:szCs w:val="20"/>
        </w:rPr>
        <w:t xml:space="preserve">No data </w:t>
      </w:r>
      <w:r w:rsidR="00CE1B77" w:rsidRPr="0042302F">
        <w:rPr>
          <w:rFonts w:ascii="Verdana" w:hAnsi="Verdana"/>
          <w:sz w:val="20"/>
          <w:szCs w:val="20"/>
        </w:rPr>
        <w:t xml:space="preserve">publicly </w:t>
      </w:r>
      <w:r w:rsidRPr="0042302F">
        <w:rPr>
          <w:rFonts w:ascii="Verdana" w:hAnsi="Verdana"/>
          <w:sz w:val="20"/>
          <w:szCs w:val="20"/>
        </w:rPr>
        <w:t>available</w:t>
      </w:r>
    </w:p>
    <w:p w14:paraId="505C51CA" w14:textId="2AFB7617" w:rsidR="006954F3" w:rsidRPr="0042302F" w:rsidRDefault="006954F3" w:rsidP="006954F3">
      <w:pPr>
        <w:spacing w:after="120" w:line="360" w:lineRule="auto"/>
        <w:rPr>
          <w:rFonts w:ascii="Verdana" w:hAnsi="Verdana" w:cs="Arial"/>
          <w:b/>
          <w:sz w:val="20"/>
          <w:szCs w:val="20"/>
        </w:rPr>
      </w:pPr>
      <w:r w:rsidRPr="0042302F">
        <w:rPr>
          <w:rFonts w:ascii="Verdana" w:hAnsi="Verdana" w:cs="Arial"/>
          <w:b/>
          <w:sz w:val="20"/>
          <w:szCs w:val="20"/>
        </w:rPr>
        <w:lastRenderedPageBreak/>
        <w:t>Reproductive toxicity</w:t>
      </w:r>
    </w:p>
    <w:p w14:paraId="0BEE0C87" w14:textId="08CB8BB2" w:rsidR="00923C63" w:rsidRPr="0042302F" w:rsidRDefault="00923C63" w:rsidP="006954F3">
      <w:pPr>
        <w:spacing w:after="120" w:line="360" w:lineRule="auto"/>
        <w:rPr>
          <w:rFonts w:ascii="Verdana" w:hAnsi="Verdana"/>
          <w:sz w:val="20"/>
          <w:szCs w:val="20"/>
        </w:rPr>
      </w:pPr>
      <w:r w:rsidRPr="0042302F">
        <w:rPr>
          <w:rFonts w:ascii="Verdana" w:hAnsi="Verdana"/>
          <w:sz w:val="20"/>
          <w:szCs w:val="20"/>
        </w:rPr>
        <w:t xml:space="preserve">No data </w:t>
      </w:r>
      <w:r w:rsidR="00CE1B77" w:rsidRPr="0042302F">
        <w:rPr>
          <w:rFonts w:ascii="Verdana" w:hAnsi="Verdana"/>
          <w:sz w:val="20"/>
          <w:szCs w:val="20"/>
        </w:rPr>
        <w:t xml:space="preserve">publicly </w:t>
      </w:r>
      <w:r w:rsidRPr="0042302F">
        <w:rPr>
          <w:rFonts w:ascii="Verdana" w:hAnsi="Verdana"/>
          <w:sz w:val="20"/>
          <w:szCs w:val="20"/>
        </w:rPr>
        <w:t>available</w:t>
      </w:r>
    </w:p>
    <w:p w14:paraId="3892BA62" w14:textId="2CFE114C" w:rsidR="006954F3" w:rsidRPr="0042302F" w:rsidDel="00923C63" w:rsidRDefault="006954F3" w:rsidP="00226549">
      <w:pPr>
        <w:spacing w:after="120" w:line="360" w:lineRule="auto"/>
        <w:rPr>
          <w:rFonts w:ascii="Verdana" w:hAnsi="Verdana"/>
          <w:sz w:val="20"/>
          <w:szCs w:val="20"/>
        </w:rPr>
      </w:pPr>
      <w:r w:rsidRPr="0042302F">
        <w:rPr>
          <w:rFonts w:ascii="Verdana" w:hAnsi="Verdana" w:cs="Arial"/>
          <w:b/>
          <w:sz w:val="20"/>
          <w:szCs w:val="20"/>
        </w:rPr>
        <w:t>Specific Target Organ Toxicity</w:t>
      </w:r>
    </w:p>
    <w:p w14:paraId="69FF3FAC" w14:textId="4E960DE3" w:rsidR="006954F3" w:rsidRPr="0042302F" w:rsidRDefault="00923C63" w:rsidP="00226549">
      <w:pPr>
        <w:spacing w:after="120" w:line="360" w:lineRule="auto"/>
        <w:rPr>
          <w:rFonts w:ascii="Verdana" w:hAnsi="Verdana"/>
          <w:sz w:val="20"/>
          <w:szCs w:val="20"/>
        </w:rPr>
      </w:pPr>
      <w:r w:rsidRPr="0042302F">
        <w:rPr>
          <w:rFonts w:ascii="Verdana" w:hAnsi="Verdana"/>
          <w:sz w:val="20"/>
          <w:szCs w:val="20"/>
        </w:rPr>
        <w:t xml:space="preserve">No data </w:t>
      </w:r>
      <w:r w:rsidR="0042302F" w:rsidRPr="0042302F">
        <w:rPr>
          <w:rFonts w:ascii="Verdana" w:hAnsi="Verdana"/>
          <w:sz w:val="20"/>
          <w:szCs w:val="20"/>
        </w:rPr>
        <w:t>p</w:t>
      </w:r>
      <w:r w:rsidR="00CE1B77" w:rsidRPr="0042302F">
        <w:rPr>
          <w:rFonts w:ascii="Verdana" w:hAnsi="Verdana"/>
          <w:sz w:val="20"/>
          <w:szCs w:val="20"/>
        </w:rPr>
        <w:t xml:space="preserve">ublicly </w:t>
      </w:r>
      <w:r w:rsidRPr="0042302F">
        <w:rPr>
          <w:rFonts w:ascii="Verdana" w:hAnsi="Verdana"/>
          <w:sz w:val="20"/>
          <w:szCs w:val="20"/>
        </w:rPr>
        <w:t>available</w:t>
      </w:r>
    </w:p>
    <w:p w14:paraId="55212A73" w14:textId="77777777" w:rsidR="00AA3385" w:rsidRDefault="004818AD" w:rsidP="00AA3385">
      <w:pPr>
        <w:pStyle w:val="Otsikko3"/>
      </w:pPr>
      <w:r>
        <w:t>Environment</w:t>
      </w:r>
    </w:p>
    <w:p w14:paraId="623E5FB5" w14:textId="3AC520F3" w:rsidR="00057F55" w:rsidRPr="00057F55" w:rsidRDefault="00057F55" w:rsidP="00057F55">
      <w:pPr>
        <w:spacing w:after="120" w:line="360" w:lineRule="auto"/>
        <w:rPr>
          <w:rFonts w:cs="Arial"/>
          <w:b/>
          <w:u w:val="single"/>
        </w:rPr>
      </w:pPr>
      <w:r w:rsidRPr="00057F55">
        <w:rPr>
          <w:rFonts w:cs="Arial"/>
          <w:b/>
          <w:u w:val="single"/>
        </w:rPr>
        <w:t xml:space="preserve">Dibenzylbenzene, </w:t>
      </w:r>
      <w:proofErr w:type="spellStart"/>
      <w:r w:rsidRPr="00057F55">
        <w:rPr>
          <w:rFonts w:cs="Arial"/>
          <w:b/>
          <w:u w:val="single"/>
        </w:rPr>
        <w:t>ar</w:t>
      </w:r>
      <w:proofErr w:type="spellEnd"/>
      <w:r w:rsidRPr="00057F55">
        <w:rPr>
          <w:rFonts w:cs="Arial"/>
          <w:b/>
          <w:u w:val="single"/>
        </w:rPr>
        <w:t>-methyl derivative</w:t>
      </w:r>
    </w:p>
    <w:p w14:paraId="3FFB346A" w14:textId="0DEA9732" w:rsidR="00AA3385" w:rsidRPr="00057F55" w:rsidRDefault="00AA3385" w:rsidP="00E944B9">
      <w:pPr>
        <w:pStyle w:val="Alaotsikko"/>
        <w:jc w:val="both"/>
        <w:rPr>
          <w:rFonts w:ascii="Verdana" w:hAnsi="Verdana"/>
          <w:b/>
          <w:color w:val="000000" w:themeColor="text1"/>
          <w:sz w:val="20"/>
          <w:szCs w:val="20"/>
        </w:rPr>
      </w:pPr>
      <w:r w:rsidRPr="00057F55">
        <w:rPr>
          <w:rFonts w:ascii="Verdana" w:hAnsi="Verdana"/>
          <w:b/>
          <w:color w:val="000000" w:themeColor="text1"/>
          <w:sz w:val="20"/>
          <w:szCs w:val="20"/>
        </w:rPr>
        <w:t>Persistence</w:t>
      </w:r>
    </w:p>
    <w:p w14:paraId="7C614A0A" w14:textId="0DC7E677" w:rsidR="00346807" w:rsidRDefault="00E5630A" w:rsidP="00D7183C">
      <w:pPr>
        <w:jc w:val="both"/>
        <w:rPr>
          <w:rFonts w:ascii="Verdana" w:hAnsi="Verdana"/>
          <w:sz w:val="20"/>
          <w:szCs w:val="20"/>
        </w:rPr>
      </w:pPr>
      <w:r>
        <w:rPr>
          <w:rFonts w:ascii="Verdana" w:hAnsi="Verdana"/>
          <w:sz w:val="20"/>
          <w:szCs w:val="20"/>
        </w:rPr>
        <w:t xml:space="preserve">Simulation testing is currently being requested under ECHA decision on a compliance check (ECHA 2018). </w:t>
      </w:r>
    </w:p>
    <w:p w14:paraId="1A80D227" w14:textId="67FD52E0" w:rsidR="00566608" w:rsidRDefault="00600713" w:rsidP="00D7183C">
      <w:pPr>
        <w:jc w:val="both"/>
        <w:rPr>
          <w:rFonts w:ascii="Verdana" w:hAnsi="Verdana" w:cs="Arial"/>
          <w:sz w:val="20"/>
          <w:szCs w:val="20"/>
        </w:rPr>
      </w:pPr>
      <w:r>
        <w:rPr>
          <w:rFonts w:ascii="Verdana" w:hAnsi="Verdana"/>
          <w:sz w:val="20"/>
          <w:szCs w:val="20"/>
        </w:rPr>
        <w:t xml:space="preserve">Three ready biodegradability studies are available for </w:t>
      </w:r>
      <w:r w:rsidR="00D7183C">
        <w:rPr>
          <w:rFonts w:ascii="Verdana" w:hAnsi="Verdana"/>
          <w:sz w:val="20"/>
          <w:szCs w:val="20"/>
        </w:rPr>
        <w:t>d</w:t>
      </w:r>
      <w:r w:rsidR="00A42FA3" w:rsidRPr="00E944B9">
        <w:rPr>
          <w:rFonts w:ascii="Verdana" w:hAnsi="Verdana"/>
          <w:sz w:val="20"/>
          <w:szCs w:val="20"/>
        </w:rPr>
        <w:t xml:space="preserve">ibenzylbenzene, </w:t>
      </w:r>
      <w:proofErr w:type="spellStart"/>
      <w:r w:rsidR="00A42FA3" w:rsidRPr="00E944B9">
        <w:rPr>
          <w:rFonts w:ascii="Verdana" w:hAnsi="Verdana"/>
          <w:sz w:val="20"/>
          <w:szCs w:val="20"/>
        </w:rPr>
        <w:t>ar</w:t>
      </w:r>
      <w:proofErr w:type="spellEnd"/>
      <w:r w:rsidR="00A42FA3" w:rsidRPr="00E944B9">
        <w:rPr>
          <w:rFonts w:ascii="Verdana" w:hAnsi="Verdana"/>
          <w:sz w:val="20"/>
          <w:szCs w:val="20"/>
        </w:rPr>
        <w:t>-methyl derivative</w:t>
      </w:r>
      <w:r w:rsidR="005A1CAC">
        <w:rPr>
          <w:rFonts w:ascii="Verdana" w:hAnsi="Verdana"/>
          <w:sz w:val="20"/>
          <w:szCs w:val="20"/>
        </w:rPr>
        <w:t xml:space="preserve"> in the registration dossier</w:t>
      </w:r>
      <w:r>
        <w:rPr>
          <w:rFonts w:ascii="Verdana" w:hAnsi="Verdana"/>
          <w:sz w:val="20"/>
          <w:szCs w:val="20"/>
        </w:rPr>
        <w:t>.</w:t>
      </w:r>
      <w:r w:rsidR="006F406A">
        <w:rPr>
          <w:rFonts w:ascii="Verdana" w:hAnsi="Verdana"/>
          <w:sz w:val="20"/>
          <w:szCs w:val="20"/>
        </w:rPr>
        <w:t xml:space="preserve"> </w:t>
      </w:r>
      <w:r w:rsidR="006F406A">
        <w:rPr>
          <w:rFonts w:ascii="Verdana" w:hAnsi="Verdana" w:cs="Arial"/>
          <w:sz w:val="20"/>
          <w:szCs w:val="20"/>
        </w:rPr>
        <w:t>I</w:t>
      </w:r>
      <w:r>
        <w:rPr>
          <w:rFonts w:ascii="Verdana" w:hAnsi="Verdana" w:cs="Arial"/>
          <w:sz w:val="20"/>
          <w:szCs w:val="20"/>
        </w:rPr>
        <w:t xml:space="preserve">n </w:t>
      </w:r>
      <w:r w:rsidR="003A4B47">
        <w:rPr>
          <w:rFonts w:ascii="Verdana" w:hAnsi="Verdana" w:cs="Arial"/>
          <w:sz w:val="20"/>
          <w:szCs w:val="20"/>
        </w:rPr>
        <w:t xml:space="preserve">a </w:t>
      </w:r>
      <w:r w:rsidR="0053708F">
        <w:rPr>
          <w:rFonts w:ascii="Verdana" w:hAnsi="Verdana" w:cs="Arial"/>
          <w:sz w:val="20"/>
          <w:szCs w:val="20"/>
        </w:rPr>
        <w:t>modified Stu</w:t>
      </w:r>
      <w:r w:rsidR="00566608">
        <w:rPr>
          <w:rFonts w:ascii="Verdana" w:hAnsi="Verdana" w:cs="Arial"/>
          <w:sz w:val="20"/>
          <w:szCs w:val="20"/>
        </w:rPr>
        <w:t>r</w:t>
      </w:r>
      <w:r w:rsidR="0053708F">
        <w:rPr>
          <w:rFonts w:ascii="Verdana" w:hAnsi="Verdana" w:cs="Arial"/>
          <w:sz w:val="20"/>
          <w:szCs w:val="20"/>
        </w:rPr>
        <w:t xml:space="preserve">m-test </w:t>
      </w:r>
      <w:r w:rsidR="00566608">
        <w:rPr>
          <w:rFonts w:ascii="Verdana" w:hAnsi="Verdana" w:cs="Arial"/>
          <w:sz w:val="20"/>
          <w:szCs w:val="20"/>
        </w:rPr>
        <w:t>(</w:t>
      </w:r>
      <w:r w:rsidR="0053708F">
        <w:rPr>
          <w:rFonts w:ascii="Verdana" w:hAnsi="Verdana" w:cs="Arial"/>
          <w:sz w:val="20"/>
          <w:szCs w:val="20"/>
        </w:rPr>
        <w:t xml:space="preserve">OECD </w:t>
      </w:r>
      <w:r w:rsidR="00EE69C9">
        <w:rPr>
          <w:rFonts w:ascii="Verdana" w:hAnsi="Verdana" w:cs="Arial"/>
          <w:sz w:val="20"/>
          <w:szCs w:val="20"/>
        </w:rPr>
        <w:t xml:space="preserve">TG </w:t>
      </w:r>
      <w:r>
        <w:rPr>
          <w:rFonts w:ascii="Verdana" w:hAnsi="Verdana" w:cs="Arial"/>
          <w:sz w:val="20"/>
          <w:szCs w:val="20"/>
        </w:rPr>
        <w:t>301B</w:t>
      </w:r>
      <w:r w:rsidR="00566608">
        <w:rPr>
          <w:rFonts w:ascii="Verdana" w:hAnsi="Verdana" w:cs="Arial"/>
          <w:sz w:val="20"/>
          <w:szCs w:val="20"/>
        </w:rPr>
        <w:t>)</w:t>
      </w:r>
      <w:r>
        <w:rPr>
          <w:rFonts w:ascii="Verdana" w:hAnsi="Verdana" w:cs="Arial"/>
          <w:sz w:val="20"/>
          <w:szCs w:val="20"/>
        </w:rPr>
        <w:t xml:space="preserve"> with</w:t>
      </w:r>
      <w:r w:rsidR="00566608">
        <w:rPr>
          <w:rFonts w:ascii="Verdana" w:hAnsi="Verdana" w:cs="Arial"/>
          <w:sz w:val="20"/>
          <w:szCs w:val="20"/>
        </w:rPr>
        <w:t xml:space="preserve"> 16.2 mg/L</w:t>
      </w:r>
      <w:r>
        <w:rPr>
          <w:rFonts w:ascii="Verdana" w:hAnsi="Verdana" w:cs="Arial"/>
          <w:sz w:val="20"/>
          <w:szCs w:val="20"/>
        </w:rPr>
        <w:t xml:space="preserve"> test substance described as Marlotherm S</w:t>
      </w:r>
      <w:r w:rsidR="00566608">
        <w:rPr>
          <w:rFonts w:ascii="Verdana" w:hAnsi="Verdana" w:cs="Arial"/>
          <w:sz w:val="20"/>
          <w:szCs w:val="20"/>
        </w:rPr>
        <w:t xml:space="preserve"> (</w:t>
      </w:r>
      <w:r w:rsidR="00566608" w:rsidRPr="00566608">
        <w:rPr>
          <w:rFonts w:ascii="Verdana" w:hAnsi="Verdana" w:cs="Arial"/>
          <w:sz w:val="20"/>
          <w:szCs w:val="20"/>
        </w:rPr>
        <w:t xml:space="preserve">97.3 % (v/v) </w:t>
      </w:r>
      <w:proofErr w:type="spellStart"/>
      <w:r w:rsidR="00566608" w:rsidRPr="00566608">
        <w:rPr>
          <w:rFonts w:ascii="Verdana" w:hAnsi="Verdana" w:cs="Arial"/>
          <w:sz w:val="20"/>
          <w:szCs w:val="20"/>
        </w:rPr>
        <w:t>Dibenzyltoluene</w:t>
      </w:r>
      <w:proofErr w:type="spellEnd"/>
      <w:r w:rsidR="00566608" w:rsidRPr="00566608">
        <w:rPr>
          <w:rFonts w:ascii="Verdana" w:hAnsi="Verdana" w:cs="Arial"/>
          <w:sz w:val="20"/>
          <w:szCs w:val="20"/>
        </w:rPr>
        <w:t xml:space="preserve">, 2.0 % (v/v) </w:t>
      </w:r>
      <w:proofErr w:type="spellStart"/>
      <w:r w:rsidR="00566608" w:rsidRPr="00566608">
        <w:rPr>
          <w:rFonts w:ascii="Verdana" w:hAnsi="Verdana" w:cs="Arial"/>
          <w:sz w:val="20"/>
          <w:szCs w:val="20"/>
        </w:rPr>
        <w:t>Tribenzyltoluene</w:t>
      </w:r>
      <w:proofErr w:type="spellEnd"/>
      <w:r w:rsidR="00566608">
        <w:rPr>
          <w:rFonts w:ascii="Verdana" w:hAnsi="Verdana" w:cs="Arial"/>
          <w:sz w:val="20"/>
          <w:szCs w:val="20"/>
        </w:rPr>
        <w:t>)</w:t>
      </w:r>
      <w:r>
        <w:rPr>
          <w:rFonts w:ascii="Verdana" w:hAnsi="Verdana" w:cs="Arial"/>
          <w:sz w:val="20"/>
          <w:szCs w:val="20"/>
        </w:rPr>
        <w:t>, 1 % degradation (CO</w:t>
      </w:r>
      <w:r>
        <w:rPr>
          <w:rFonts w:ascii="Verdana" w:hAnsi="Verdana" w:cs="Arial"/>
          <w:sz w:val="20"/>
          <w:szCs w:val="20"/>
          <w:vertAlign w:val="subscript"/>
        </w:rPr>
        <w:t>2</w:t>
      </w:r>
      <w:r>
        <w:rPr>
          <w:rFonts w:ascii="Verdana" w:hAnsi="Verdana" w:cs="Arial"/>
          <w:sz w:val="20"/>
          <w:szCs w:val="20"/>
        </w:rPr>
        <w:t xml:space="preserve"> evolution) after 29 d </w:t>
      </w:r>
      <w:r w:rsidR="00566608">
        <w:rPr>
          <w:rFonts w:ascii="Verdana" w:hAnsi="Verdana" w:cs="Arial"/>
          <w:sz w:val="20"/>
          <w:szCs w:val="20"/>
        </w:rPr>
        <w:t xml:space="preserve">was observed. Test temperature was 20.7 – 33.4 °C. </w:t>
      </w:r>
    </w:p>
    <w:p w14:paraId="628050BE" w14:textId="3F249060" w:rsidR="00600713" w:rsidRPr="006F406A" w:rsidRDefault="00566608" w:rsidP="00E944B9">
      <w:pPr>
        <w:jc w:val="both"/>
        <w:rPr>
          <w:rFonts w:ascii="Verdana" w:hAnsi="Verdana"/>
          <w:sz w:val="20"/>
          <w:szCs w:val="20"/>
        </w:rPr>
      </w:pPr>
      <w:r>
        <w:rPr>
          <w:rFonts w:ascii="Verdana" w:hAnsi="Verdana" w:cs="Arial"/>
          <w:sz w:val="20"/>
          <w:szCs w:val="20"/>
        </w:rPr>
        <w:t>I</w:t>
      </w:r>
      <w:r w:rsidR="00600713">
        <w:rPr>
          <w:rFonts w:ascii="Verdana" w:hAnsi="Verdana" w:cs="Arial"/>
          <w:sz w:val="20"/>
          <w:szCs w:val="20"/>
        </w:rPr>
        <w:t xml:space="preserve">n </w:t>
      </w:r>
      <w:r w:rsidR="003A4B47">
        <w:rPr>
          <w:rFonts w:ascii="Verdana" w:hAnsi="Verdana" w:cs="Arial"/>
          <w:sz w:val="20"/>
          <w:szCs w:val="20"/>
        </w:rPr>
        <w:t>an</w:t>
      </w:r>
      <w:r w:rsidR="00600713">
        <w:rPr>
          <w:rFonts w:ascii="Verdana" w:hAnsi="Verdana" w:cs="Arial"/>
          <w:sz w:val="20"/>
          <w:szCs w:val="20"/>
        </w:rPr>
        <w:t xml:space="preserve">other </w:t>
      </w:r>
      <w:r>
        <w:rPr>
          <w:rFonts w:ascii="Verdana" w:hAnsi="Verdana" w:cs="Arial"/>
          <w:sz w:val="20"/>
          <w:szCs w:val="20"/>
        </w:rPr>
        <w:t xml:space="preserve">OECD TG </w:t>
      </w:r>
      <w:r w:rsidR="00600713">
        <w:rPr>
          <w:rFonts w:ascii="Verdana" w:hAnsi="Verdana" w:cs="Arial"/>
          <w:sz w:val="20"/>
          <w:szCs w:val="20"/>
        </w:rPr>
        <w:t>301B study 2.3 % degradation (CO</w:t>
      </w:r>
      <w:r w:rsidR="00600713">
        <w:rPr>
          <w:rFonts w:ascii="Verdana" w:hAnsi="Verdana" w:cs="Arial"/>
          <w:sz w:val="20"/>
          <w:szCs w:val="20"/>
          <w:vertAlign w:val="subscript"/>
        </w:rPr>
        <w:t>2</w:t>
      </w:r>
      <w:r w:rsidR="00600713">
        <w:rPr>
          <w:rFonts w:ascii="Verdana" w:hAnsi="Verdana" w:cs="Arial"/>
          <w:sz w:val="20"/>
          <w:szCs w:val="20"/>
        </w:rPr>
        <w:t xml:space="preserve"> evolution) after 28 d</w:t>
      </w:r>
      <w:r>
        <w:rPr>
          <w:rFonts w:ascii="Verdana" w:hAnsi="Verdana" w:cs="Arial"/>
          <w:sz w:val="20"/>
          <w:szCs w:val="20"/>
        </w:rPr>
        <w:t xml:space="preserve"> was observed with 10 mg/L of test substance</w:t>
      </w:r>
      <w:r w:rsidR="002D6459">
        <w:rPr>
          <w:rFonts w:ascii="Verdana" w:hAnsi="Verdana" w:cs="Arial"/>
          <w:sz w:val="20"/>
          <w:szCs w:val="20"/>
        </w:rPr>
        <w:t xml:space="preserve"> (Marlotherm S)</w:t>
      </w:r>
      <w:r>
        <w:rPr>
          <w:rFonts w:ascii="Verdana" w:hAnsi="Verdana" w:cs="Arial"/>
          <w:sz w:val="20"/>
          <w:szCs w:val="20"/>
        </w:rPr>
        <w:t xml:space="preserve"> </w:t>
      </w:r>
      <w:r w:rsidR="00646293">
        <w:rPr>
          <w:rFonts w:ascii="Verdana" w:hAnsi="Verdana" w:cs="Arial"/>
          <w:sz w:val="20"/>
          <w:szCs w:val="20"/>
        </w:rPr>
        <w:t xml:space="preserve">at </w:t>
      </w:r>
      <w:r w:rsidRPr="00566608">
        <w:rPr>
          <w:rFonts w:ascii="Verdana" w:hAnsi="Verdana" w:cs="Arial"/>
          <w:sz w:val="20"/>
          <w:szCs w:val="20"/>
        </w:rPr>
        <w:t xml:space="preserve">22.9 </w:t>
      </w:r>
      <w:r w:rsidR="003A4B47">
        <w:rPr>
          <w:rFonts w:ascii="Verdana" w:hAnsi="Verdana" w:cs="Arial"/>
          <w:sz w:val="20"/>
          <w:szCs w:val="20"/>
        </w:rPr>
        <w:t xml:space="preserve">± </w:t>
      </w:r>
      <w:r w:rsidRPr="00566608">
        <w:rPr>
          <w:rFonts w:ascii="Verdana" w:hAnsi="Verdana" w:cs="Arial"/>
          <w:sz w:val="20"/>
          <w:szCs w:val="20"/>
        </w:rPr>
        <w:t>1.5 °C</w:t>
      </w:r>
      <w:r w:rsidR="0053708F">
        <w:rPr>
          <w:rFonts w:ascii="Verdana" w:hAnsi="Verdana" w:cs="Arial"/>
          <w:sz w:val="20"/>
          <w:szCs w:val="20"/>
        </w:rPr>
        <w:t xml:space="preserve">. </w:t>
      </w:r>
      <w:r w:rsidR="003A4B47">
        <w:rPr>
          <w:rFonts w:ascii="Verdana" w:hAnsi="Verdana" w:cs="Arial"/>
          <w:sz w:val="20"/>
          <w:szCs w:val="20"/>
        </w:rPr>
        <w:t>The t</w:t>
      </w:r>
      <w:r w:rsidR="002D6459">
        <w:rPr>
          <w:rFonts w:ascii="Verdana" w:hAnsi="Verdana" w:cs="Arial"/>
          <w:sz w:val="20"/>
          <w:szCs w:val="20"/>
        </w:rPr>
        <w:t xml:space="preserve">est was prolonged to 43 days with </w:t>
      </w:r>
      <w:r w:rsidR="000F40FE">
        <w:rPr>
          <w:rFonts w:ascii="Verdana" w:hAnsi="Verdana" w:cs="Arial"/>
          <w:sz w:val="20"/>
          <w:szCs w:val="20"/>
        </w:rPr>
        <w:t xml:space="preserve">the second </w:t>
      </w:r>
      <w:r w:rsidR="002D6459">
        <w:rPr>
          <w:rFonts w:ascii="Verdana" w:hAnsi="Verdana" w:cs="Arial"/>
          <w:sz w:val="20"/>
          <w:szCs w:val="20"/>
        </w:rPr>
        <w:t xml:space="preserve">test substance concentration of 20 mg/L as a plateau was not reached after 28 days. Observed degradation after </w:t>
      </w:r>
      <w:r w:rsidR="000F40FE">
        <w:rPr>
          <w:rFonts w:ascii="Verdana" w:hAnsi="Verdana" w:cs="Arial"/>
          <w:sz w:val="20"/>
          <w:szCs w:val="20"/>
        </w:rPr>
        <w:t>43 days</w:t>
      </w:r>
      <w:r w:rsidR="002D6459">
        <w:rPr>
          <w:rFonts w:ascii="Verdana" w:hAnsi="Verdana" w:cs="Arial"/>
          <w:sz w:val="20"/>
          <w:szCs w:val="20"/>
        </w:rPr>
        <w:t xml:space="preserve"> was 28.5 %. </w:t>
      </w:r>
    </w:p>
    <w:p w14:paraId="6B9AA8DF" w14:textId="02DBCA8A" w:rsidR="00600713" w:rsidRDefault="006F406A" w:rsidP="00E944B9">
      <w:pPr>
        <w:jc w:val="both"/>
        <w:rPr>
          <w:rFonts w:ascii="Verdana" w:hAnsi="Verdana" w:cs="Arial"/>
          <w:sz w:val="20"/>
          <w:szCs w:val="20"/>
        </w:rPr>
      </w:pPr>
      <w:r>
        <w:rPr>
          <w:rFonts w:ascii="Verdana" w:hAnsi="Verdana" w:cs="Arial"/>
          <w:sz w:val="20"/>
          <w:szCs w:val="20"/>
        </w:rPr>
        <w:t xml:space="preserve">In </w:t>
      </w:r>
      <w:r w:rsidR="00EE69C9">
        <w:rPr>
          <w:rFonts w:ascii="Verdana" w:hAnsi="Verdana" w:cs="Arial"/>
          <w:sz w:val="20"/>
          <w:szCs w:val="20"/>
        </w:rPr>
        <w:t xml:space="preserve">third ready biodegradability </w:t>
      </w:r>
      <w:r w:rsidR="00566608">
        <w:rPr>
          <w:rFonts w:ascii="Verdana" w:hAnsi="Verdana" w:cs="Arial"/>
          <w:sz w:val="20"/>
          <w:szCs w:val="20"/>
        </w:rPr>
        <w:t xml:space="preserve">OECD TG </w:t>
      </w:r>
      <w:r>
        <w:rPr>
          <w:rFonts w:ascii="Verdana" w:hAnsi="Verdana" w:cs="Arial"/>
          <w:sz w:val="20"/>
          <w:szCs w:val="20"/>
        </w:rPr>
        <w:t>301D</w:t>
      </w:r>
      <w:r w:rsidR="002D6459">
        <w:rPr>
          <w:rFonts w:ascii="Verdana" w:hAnsi="Verdana" w:cs="Arial"/>
          <w:sz w:val="20"/>
          <w:szCs w:val="20"/>
        </w:rPr>
        <w:t xml:space="preserve"> study</w:t>
      </w:r>
      <w:r>
        <w:rPr>
          <w:rFonts w:ascii="Verdana" w:hAnsi="Verdana" w:cs="Arial"/>
          <w:sz w:val="20"/>
          <w:szCs w:val="20"/>
        </w:rPr>
        <w:t xml:space="preserve"> with </w:t>
      </w:r>
      <w:r w:rsidR="002D6459">
        <w:rPr>
          <w:rFonts w:ascii="Verdana" w:hAnsi="Verdana" w:cs="Arial"/>
          <w:sz w:val="20"/>
          <w:szCs w:val="20"/>
        </w:rPr>
        <w:t xml:space="preserve">2 mg/L </w:t>
      </w:r>
      <w:r>
        <w:rPr>
          <w:rFonts w:ascii="Verdana" w:hAnsi="Verdana" w:cs="Arial"/>
          <w:sz w:val="20"/>
          <w:szCs w:val="20"/>
        </w:rPr>
        <w:t>Marlotherm S as test substance 0.5 % degradation</w:t>
      </w:r>
      <w:r w:rsidR="002D6459">
        <w:rPr>
          <w:rFonts w:ascii="Verdana" w:hAnsi="Verdana" w:cs="Arial"/>
          <w:sz w:val="20"/>
          <w:szCs w:val="20"/>
        </w:rPr>
        <w:t xml:space="preserve"> (O</w:t>
      </w:r>
      <w:r w:rsidR="002D6459">
        <w:rPr>
          <w:rFonts w:ascii="Verdana" w:hAnsi="Verdana" w:cs="Arial"/>
          <w:sz w:val="20"/>
          <w:szCs w:val="20"/>
          <w:vertAlign w:val="subscript"/>
        </w:rPr>
        <w:t>2</w:t>
      </w:r>
      <w:r w:rsidR="002D6459">
        <w:rPr>
          <w:rFonts w:ascii="Verdana" w:hAnsi="Verdana" w:cs="Arial"/>
          <w:sz w:val="20"/>
          <w:szCs w:val="20"/>
        </w:rPr>
        <w:t xml:space="preserve"> consumption)</w:t>
      </w:r>
      <w:r w:rsidR="007300E8">
        <w:rPr>
          <w:rFonts w:ascii="Verdana" w:hAnsi="Verdana" w:cs="Arial"/>
          <w:sz w:val="20"/>
          <w:szCs w:val="20"/>
        </w:rPr>
        <w:t xml:space="preserve"> </w:t>
      </w:r>
      <w:r w:rsidR="004A6A7F">
        <w:rPr>
          <w:rFonts w:ascii="Verdana" w:hAnsi="Verdana" w:cs="Arial"/>
          <w:sz w:val="20"/>
          <w:szCs w:val="20"/>
        </w:rPr>
        <w:t>at</w:t>
      </w:r>
      <w:r w:rsidR="00646293">
        <w:rPr>
          <w:rFonts w:ascii="Verdana" w:hAnsi="Verdana" w:cs="Arial"/>
          <w:sz w:val="20"/>
          <w:szCs w:val="20"/>
        </w:rPr>
        <w:t xml:space="preserve"> </w:t>
      </w:r>
      <w:r w:rsidR="007300E8" w:rsidRPr="007300E8">
        <w:rPr>
          <w:rFonts w:ascii="Verdana" w:hAnsi="Verdana" w:cs="Arial"/>
          <w:sz w:val="20"/>
          <w:szCs w:val="20"/>
        </w:rPr>
        <w:t xml:space="preserve">20 </w:t>
      </w:r>
      <w:r w:rsidR="003A4B47">
        <w:rPr>
          <w:rFonts w:ascii="Verdana" w:hAnsi="Verdana" w:cs="Arial"/>
          <w:sz w:val="20"/>
          <w:szCs w:val="20"/>
        </w:rPr>
        <w:t xml:space="preserve">± </w:t>
      </w:r>
      <w:r w:rsidR="007300E8" w:rsidRPr="007300E8">
        <w:rPr>
          <w:rFonts w:ascii="Verdana" w:hAnsi="Verdana" w:cs="Arial"/>
          <w:sz w:val="20"/>
          <w:szCs w:val="20"/>
        </w:rPr>
        <w:t>1 °C</w:t>
      </w:r>
      <w:r>
        <w:rPr>
          <w:rFonts w:ascii="Verdana" w:hAnsi="Verdana" w:cs="Arial"/>
          <w:sz w:val="20"/>
          <w:szCs w:val="20"/>
        </w:rPr>
        <w:t xml:space="preserve"> </w:t>
      </w:r>
      <w:r w:rsidR="002D6459">
        <w:rPr>
          <w:rFonts w:ascii="Verdana" w:hAnsi="Verdana" w:cs="Arial"/>
          <w:sz w:val="20"/>
          <w:szCs w:val="20"/>
        </w:rPr>
        <w:t xml:space="preserve">was observed </w:t>
      </w:r>
      <w:r>
        <w:rPr>
          <w:rFonts w:ascii="Verdana" w:hAnsi="Verdana" w:cs="Arial"/>
          <w:sz w:val="20"/>
          <w:szCs w:val="20"/>
        </w:rPr>
        <w:t xml:space="preserve">after </w:t>
      </w:r>
      <w:r w:rsidR="006B6292">
        <w:rPr>
          <w:rFonts w:ascii="Verdana" w:hAnsi="Verdana" w:cs="Arial"/>
          <w:sz w:val="20"/>
          <w:szCs w:val="20"/>
        </w:rPr>
        <w:t xml:space="preserve">5 </w:t>
      </w:r>
      <w:r>
        <w:rPr>
          <w:rFonts w:ascii="Verdana" w:hAnsi="Verdana" w:cs="Arial"/>
          <w:sz w:val="20"/>
          <w:szCs w:val="20"/>
        </w:rPr>
        <w:t>d</w:t>
      </w:r>
      <w:r w:rsidR="006B6292">
        <w:rPr>
          <w:rFonts w:ascii="Verdana" w:hAnsi="Verdana" w:cs="Arial"/>
          <w:sz w:val="20"/>
          <w:szCs w:val="20"/>
        </w:rPr>
        <w:t xml:space="preserve"> and </w:t>
      </w:r>
      <w:r w:rsidR="001E70A1">
        <w:rPr>
          <w:rFonts w:ascii="Verdana" w:hAnsi="Verdana" w:cs="Arial"/>
          <w:sz w:val="20"/>
          <w:szCs w:val="20"/>
        </w:rPr>
        <w:t>0 % degradation after 15 d</w:t>
      </w:r>
      <w:r>
        <w:rPr>
          <w:rFonts w:ascii="Verdana" w:hAnsi="Verdana" w:cs="Arial"/>
          <w:sz w:val="20"/>
          <w:szCs w:val="20"/>
        </w:rPr>
        <w:t xml:space="preserve">. </w:t>
      </w:r>
    </w:p>
    <w:p w14:paraId="76292558" w14:textId="1DC4C386" w:rsidR="006F406A" w:rsidRDefault="00D7183C" w:rsidP="00E944B9">
      <w:pPr>
        <w:jc w:val="both"/>
        <w:rPr>
          <w:rFonts w:ascii="Verdana" w:hAnsi="Verdana" w:cs="Arial"/>
          <w:sz w:val="20"/>
          <w:szCs w:val="20"/>
        </w:rPr>
      </w:pPr>
      <w:r>
        <w:rPr>
          <w:rFonts w:ascii="Verdana" w:hAnsi="Verdana" w:cs="Arial"/>
          <w:sz w:val="20"/>
          <w:szCs w:val="20"/>
        </w:rPr>
        <w:t>One i</w:t>
      </w:r>
      <w:r w:rsidR="006F406A">
        <w:rPr>
          <w:rFonts w:ascii="Verdana" w:hAnsi="Verdana" w:cs="Arial"/>
          <w:sz w:val="20"/>
          <w:szCs w:val="20"/>
        </w:rPr>
        <w:t>nherent biodegradability study</w:t>
      </w:r>
      <w:r w:rsidR="00E85A98">
        <w:rPr>
          <w:rFonts w:ascii="Verdana" w:hAnsi="Verdana" w:cs="Arial"/>
          <w:sz w:val="20"/>
          <w:szCs w:val="20"/>
        </w:rPr>
        <w:t xml:space="preserve"> (OECD TG 302C) with</w:t>
      </w:r>
      <w:r>
        <w:rPr>
          <w:rFonts w:ascii="Verdana" w:hAnsi="Verdana" w:cs="Arial"/>
          <w:sz w:val="20"/>
          <w:szCs w:val="20"/>
        </w:rPr>
        <w:t xml:space="preserve"> 100 mg/l</w:t>
      </w:r>
      <w:r w:rsidR="00E85A98">
        <w:rPr>
          <w:rFonts w:ascii="Verdana" w:hAnsi="Verdana" w:cs="Arial"/>
          <w:sz w:val="20"/>
          <w:szCs w:val="20"/>
        </w:rPr>
        <w:t xml:space="preserve"> test substance as Marlotherm S showed 0.2 % degradation (O</w:t>
      </w:r>
      <w:r w:rsidR="00E85A98">
        <w:rPr>
          <w:rFonts w:ascii="Verdana" w:hAnsi="Verdana" w:cs="Arial"/>
          <w:sz w:val="20"/>
          <w:szCs w:val="20"/>
          <w:vertAlign w:val="subscript"/>
        </w:rPr>
        <w:t xml:space="preserve">2 </w:t>
      </w:r>
      <w:r w:rsidR="00E85A98">
        <w:rPr>
          <w:rFonts w:ascii="Verdana" w:hAnsi="Verdana" w:cs="Arial"/>
          <w:sz w:val="20"/>
          <w:szCs w:val="20"/>
        </w:rPr>
        <w:t xml:space="preserve">consumption) after 28 d. </w:t>
      </w:r>
    </w:p>
    <w:p w14:paraId="273235D5" w14:textId="3E4B8EFC" w:rsidR="00A90140" w:rsidRDefault="00E85A98">
      <w:pPr>
        <w:jc w:val="both"/>
        <w:rPr>
          <w:rFonts w:ascii="Verdana" w:hAnsi="Verdana"/>
          <w:sz w:val="20"/>
          <w:szCs w:val="20"/>
        </w:rPr>
      </w:pPr>
      <w:r>
        <w:rPr>
          <w:rFonts w:ascii="Verdana" w:hAnsi="Verdana" w:cs="Arial"/>
          <w:sz w:val="20"/>
          <w:szCs w:val="20"/>
        </w:rPr>
        <w:t xml:space="preserve">One non-standard study with mention of conditions </w:t>
      </w:r>
      <w:proofErr w:type="gramStart"/>
      <w:r>
        <w:rPr>
          <w:rFonts w:ascii="Verdana" w:hAnsi="Verdana" w:cs="Arial"/>
          <w:sz w:val="20"/>
          <w:szCs w:val="20"/>
        </w:rPr>
        <w:t>similar to</w:t>
      </w:r>
      <w:proofErr w:type="gramEnd"/>
      <w:r>
        <w:rPr>
          <w:rFonts w:ascii="Verdana" w:hAnsi="Verdana" w:cs="Arial"/>
          <w:sz w:val="20"/>
          <w:szCs w:val="20"/>
        </w:rPr>
        <w:t xml:space="preserve"> a ready biodegradability </w:t>
      </w:r>
      <w:r w:rsidR="00A305BD">
        <w:rPr>
          <w:rFonts w:ascii="Verdana" w:hAnsi="Verdana" w:cs="Arial"/>
          <w:sz w:val="20"/>
          <w:szCs w:val="20"/>
        </w:rPr>
        <w:t>test</w:t>
      </w:r>
      <w:r>
        <w:rPr>
          <w:rFonts w:ascii="Verdana" w:hAnsi="Verdana" w:cs="Arial"/>
          <w:sz w:val="20"/>
          <w:szCs w:val="20"/>
        </w:rPr>
        <w:t xml:space="preserve"> was conducted with</w:t>
      </w:r>
      <w:r w:rsidR="005A1CAC">
        <w:rPr>
          <w:rFonts w:ascii="Verdana" w:hAnsi="Verdana" w:cs="Arial"/>
          <w:sz w:val="20"/>
          <w:szCs w:val="20"/>
        </w:rPr>
        <w:t xml:space="preserve"> 10 mg/</w:t>
      </w:r>
      <w:r w:rsidR="00791D99">
        <w:rPr>
          <w:rFonts w:ascii="Verdana" w:hAnsi="Verdana" w:cs="Arial"/>
          <w:sz w:val="20"/>
          <w:szCs w:val="20"/>
        </w:rPr>
        <w:t>L of</w:t>
      </w:r>
      <w:r>
        <w:rPr>
          <w:rFonts w:ascii="Verdana" w:hAnsi="Verdana" w:cs="Arial"/>
          <w:sz w:val="20"/>
          <w:szCs w:val="20"/>
        </w:rPr>
        <w:t xml:space="preserve"> </w:t>
      </w:r>
      <w:proofErr w:type="spellStart"/>
      <w:r>
        <w:rPr>
          <w:rFonts w:ascii="Verdana" w:hAnsi="Verdana" w:cs="Arial"/>
          <w:sz w:val="20"/>
          <w:szCs w:val="20"/>
        </w:rPr>
        <w:t>dibenzyltoluene</w:t>
      </w:r>
      <w:proofErr w:type="spellEnd"/>
      <w:r>
        <w:rPr>
          <w:rFonts w:ascii="Verdana" w:hAnsi="Verdana" w:cs="Arial"/>
          <w:sz w:val="20"/>
          <w:szCs w:val="20"/>
        </w:rPr>
        <w:t xml:space="preserve"> (EC: 248-097-0, CAS: 26898-17-9) </w:t>
      </w:r>
      <w:r w:rsidR="005A1CAC">
        <w:rPr>
          <w:rFonts w:ascii="Verdana" w:hAnsi="Verdana" w:cs="Arial"/>
          <w:sz w:val="20"/>
          <w:szCs w:val="20"/>
        </w:rPr>
        <w:t>as test substance</w:t>
      </w:r>
      <w:r w:rsidR="00791D99">
        <w:rPr>
          <w:rFonts w:ascii="Verdana" w:hAnsi="Verdana" w:cs="Arial"/>
          <w:sz w:val="20"/>
          <w:szCs w:val="20"/>
        </w:rPr>
        <w:t xml:space="preserve"> in 20 °C</w:t>
      </w:r>
      <w:r w:rsidR="005A1CAC">
        <w:rPr>
          <w:rFonts w:ascii="Verdana" w:hAnsi="Verdana" w:cs="Arial"/>
          <w:sz w:val="20"/>
          <w:szCs w:val="20"/>
        </w:rPr>
        <w:t xml:space="preserve"> </w:t>
      </w:r>
      <w:r>
        <w:rPr>
          <w:rFonts w:ascii="Verdana" w:hAnsi="Verdana" w:cs="Arial"/>
          <w:sz w:val="20"/>
          <w:szCs w:val="20"/>
        </w:rPr>
        <w:t>and showed 65 %</w:t>
      </w:r>
      <w:r w:rsidR="00791D99">
        <w:rPr>
          <w:rFonts w:ascii="Verdana" w:hAnsi="Verdana" w:cs="Arial"/>
          <w:sz w:val="20"/>
          <w:szCs w:val="20"/>
        </w:rPr>
        <w:t xml:space="preserve"> primary</w:t>
      </w:r>
      <w:r>
        <w:rPr>
          <w:rFonts w:ascii="Verdana" w:hAnsi="Verdana" w:cs="Arial"/>
          <w:sz w:val="20"/>
          <w:szCs w:val="20"/>
        </w:rPr>
        <w:t xml:space="preserve"> degradation after 62 d and 94 % after 149 d.</w:t>
      </w:r>
      <w:r w:rsidR="00791D99">
        <w:rPr>
          <w:rFonts w:ascii="Verdana" w:hAnsi="Verdana" w:cs="Arial"/>
          <w:sz w:val="20"/>
          <w:szCs w:val="20"/>
        </w:rPr>
        <w:t xml:space="preserve"> </w:t>
      </w:r>
      <w:r w:rsidR="00561F78" w:rsidRPr="00E944B9">
        <w:rPr>
          <w:rFonts w:ascii="Verdana" w:hAnsi="Verdana"/>
          <w:sz w:val="20"/>
          <w:szCs w:val="20"/>
        </w:rPr>
        <w:t xml:space="preserve">Furthermore, </w:t>
      </w:r>
      <w:r w:rsidR="00A305BD">
        <w:rPr>
          <w:rFonts w:ascii="Verdana" w:hAnsi="Verdana"/>
          <w:sz w:val="20"/>
          <w:szCs w:val="20"/>
        </w:rPr>
        <w:t>after 149 days</w:t>
      </w:r>
      <w:r w:rsidR="00561F78" w:rsidRPr="00E944B9">
        <w:rPr>
          <w:rFonts w:ascii="Verdana" w:hAnsi="Verdana"/>
          <w:sz w:val="20"/>
          <w:szCs w:val="20"/>
        </w:rPr>
        <w:t xml:space="preserve"> 67</w:t>
      </w:r>
      <w:r w:rsidR="00561F78">
        <w:rPr>
          <w:rFonts w:ascii="Verdana" w:hAnsi="Verdana"/>
          <w:sz w:val="20"/>
          <w:szCs w:val="20"/>
        </w:rPr>
        <w:t xml:space="preserve"> </w:t>
      </w:r>
      <w:r w:rsidR="00561F78" w:rsidRPr="00E944B9">
        <w:rPr>
          <w:rFonts w:ascii="Verdana" w:hAnsi="Verdana"/>
          <w:sz w:val="20"/>
          <w:szCs w:val="20"/>
        </w:rPr>
        <w:t>% of aromatic rings have been degraded.</w:t>
      </w:r>
      <w:r w:rsidR="00A90140">
        <w:rPr>
          <w:rFonts w:ascii="Verdana" w:hAnsi="Verdana"/>
          <w:sz w:val="20"/>
          <w:szCs w:val="20"/>
        </w:rPr>
        <w:t xml:space="preserve"> Based on this study</w:t>
      </w:r>
      <w:r w:rsidR="00493419">
        <w:rPr>
          <w:rFonts w:ascii="Verdana" w:hAnsi="Verdana"/>
          <w:sz w:val="20"/>
          <w:szCs w:val="20"/>
        </w:rPr>
        <w:t xml:space="preserve"> the</w:t>
      </w:r>
      <w:r w:rsidR="00A90140">
        <w:rPr>
          <w:rFonts w:ascii="Verdana" w:hAnsi="Verdana"/>
          <w:sz w:val="20"/>
          <w:szCs w:val="20"/>
        </w:rPr>
        <w:t xml:space="preserve"> ECB working group concluded in 2008 that substance </w:t>
      </w:r>
      <w:proofErr w:type="spellStart"/>
      <w:r w:rsidR="00A90140">
        <w:rPr>
          <w:rFonts w:ascii="Verdana" w:hAnsi="Verdana"/>
          <w:sz w:val="20"/>
          <w:szCs w:val="20"/>
        </w:rPr>
        <w:t>dibenzyltoluene</w:t>
      </w:r>
      <w:proofErr w:type="spellEnd"/>
      <w:r w:rsidR="00A90140">
        <w:rPr>
          <w:rFonts w:ascii="Verdana" w:hAnsi="Verdana"/>
          <w:sz w:val="20"/>
          <w:szCs w:val="20"/>
        </w:rPr>
        <w:t xml:space="preserve"> do</w:t>
      </w:r>
      <w:r w:rsidR="004A6A7F">
        <w:rPr>
          <w:rFonts w:ascii="Verdana" w:hAnsi="Verdana"/>
          <w:sz w:val="20"/>
          <w:szCs w:val="20"/>
        </w:rPr>
        <w:t>es</w:t>
      </w:r>
      <w:r w:rsidR="00A90140">
        <w:rPr>
          <w:rFonts w:ascii="Verdana" w:hAnsi="Verdana"/>
          <w:sz w:val="20"/>
          <w:szCs w:val="20"/>
        </w:rPr>
        <w:t xml:space="preserve"> not meet the P/</w:t>
      </w:r>
      <w:proofErr w:type="spellStart"/>
      <w:r w:rsidR="00A90140">
        <w:rPr>
          <w:rFonts w:ascii="Verdana" w:hAnsi="Verdana"/>
          <w:sz w:val="20"/>
          <w:szCs w:val="20"/>
        </w:rPr>
        <w:t>vP</w:t>
      </w:r>
      <w:proofErr w:type="spellEnd"/>
      <w:r w:rsidR="00A90140">
        <w:rPr>
          <w:rFonts w:ascii="Verdana" w:hAnsi="Verdana"/>
          <w:sz w:val="20"/>
          <w:szCs w:val="20"/>
        </w:rPr>
        <w:t xml:space="preserve"> criterion based on screening data. However, in the </w:t>
      </w:r>
      <w:proofErr w:type="spellStart"/>
      <w:r w:rsidR="00EE69C9">
        <w:rPr>
          <w:rFonts w:ascii="Verdana" w:hAnsi="Verdana"/>
          <w:sz w:val="20"/>
          <w:szCs w:val="20"/>
        </w:rPr>
        <w:t>the</w:t>
      </w:r>
      <w:proofErr w:type="spellEnd"/>
      <w:r w:rsidR="00EE69C9">
        <w:rPr>
          <w:rFonts w:ascii="Verdana" w:hAnsi="Verdana"/>
          <w:sz w:val="20"/>
          <w:szCs w:val="20"/>
        </w:rPr>
        <w:t xml:space="preserve"> </w:t>
      </w:r>
      <w:r w:rsidR="00A90140">
        <w:rPr>
          <w:rFonts w:ascii="Verdana" w:hAnsi="Verdana"/>
          <w:sz w:val="20"/>
          <w:szCs w:val="20"/>
        </w:rPr>
        <w:t>CCH decision for d</w:t>
      </w:r>
      <w:r w:rsidR="00A90140" w:rsidRPr="002E791D">
        <w:rPr>
          <w:rFonts w:ascii="Verdana" w:hAnsi="Verdana"/>
          <w:sz w:val="20"/>
          <w:szCs w:val="20"/>
        </w:rPr>
        <w:t xml:space="preserve">ibenzylbenzene, </w:t>
      </w:r>
      <w:proofErr w:type="spellStart"/>
      <w:r w:rsidR="00A90140" w:rsidRPr="002E791D">
        <w:rPr>
          <w:rFonts w:ascii="Verdana" w:hAnsi="Verdana"/>
          <w:sz w:val="20"/>
          <w:szCs w:val="20"/>
        </w:rPr>
        <w:t>ar</w:t>
      </w:r>
      <w:proofErr w:type="spellEnd"/>
      <w:r w:rsidR="00A90140" w:rsidRPr="002E791D">
        <w:rPr>
          <w:rFonts w:ascii="Verdana" w:hAnsi="Verdana"/>
          <w:sz w:val="20"/>
          <w:szCs w:val="20"/>
        </w:rPr>
        <w:t>-methyl derivative</w:t>
      </w:r>
      <w:r w:rsidR="00A90140">
        <w:rPr>
          <w:rFonts w:ascii="Verdana" w:hAnsi="Verdana"/>
          <w:sz w:val="20"/>
          <w:szCs w:val="20"/>
        </w:rPr>
        <w:t xml:space="preserve"> ECHA came to </w:t>
      </w:r>
      <w:r w:rsidR="00493419">
        <w:rPr>
          <w:rFonts w:ascii="Verdana" w:hAnsi="Verdana"/>
          <w:sz w:val="20"/>
          <w:szCs w:val="20"/>
        </w:rPr>
        <w:t xml:space="preserve">the following </w:t>
      </w:r>
      <w:r w:rsidR="00A90140">
        <w:rPr>
          <w:rFonts w:ascii="Verdana" w:hAnsi="Verdana"/>
          <w:sz w:val="20"/>
          <w:szCs w:val="20"/>
        </w:rPr>
        <w:t>conclusion:</w:t>
      </w:r>
    </w:p>
    <w:p w14:paraId="44A07340" w14:textId="350BF7E7" w:rsidR="00E85A98" w:rsidRPr="00600713" w:rsidRDefault="00A90140" w:rsidP="00E944B9">
      <w:pPr>
        <w:jc w:val="both"/>
        <w:rPr>
          <w:rFonts w:ascii="Verdana" w:hAnsi="Verdana" w:cs="Arial"/>
          <w:sz w:val="20"/>
          <w:szCs w:val="20"/>
        </w:rPr>
      </w:pPr>
      <w:r>
        <w:rPr>
          <w:rFonts w:ascii="Verdana" w:hAnsi="Verdana"/>
          <w:sz w:val="20"/>
          <w:szCs w:val="20"/>
        </w:rPr>
        <w:t xml:space="preserve"> </w:t>
      </w:r>
      <w:r w:rsidRPr="00E944B9">
        <w:rPr>
          <w:rFonts w:ascii="Verdana" w:hAnsi="Verdana"/>
          <w:i/>
          <w:sz w:val="20"/>
          <w:szCs w:val="20"/>
        </w:rPr>
        <w:t>“Based on the current REACH legislation and the available ECHA Guidance on information requirements and chemical safety assessment (version 3.0, June 2017), Chapters R.11., PBT/</w:t>
      </w:r>
      <w:proofErr w:type="spellStart"/>
      <w:r w:rsidRPr="00E944B9">
        <w:rPr>
          <w:rFonts w:ascii="Verdana" w:hAnsi="Verdana"/>
          <w:i/>
          <w:sz w:val="20"/>
          <w:szCs w:val="20"/>
        </w:rPr>
        <w:t>vPvB</w:t>
      </w:r>
      <w:proofErr w:type="spellEnd"/>
      <w:r w:rsidRPr="00E944B9">
        <w:rPr>
          <w:rFonts w:ascii="Verdana" w:hAnsi="Verdana"/>
          <w:i/>
          <w:sz w:val="20"/>
          <w:szCs w:val="20"/>
        </w:rPr>
        <w:t xml:space="preserve"> assessment, ECHA comes to a different conclusion than the ECB PBT working group. Especially the experimental data (as explained above) do not support a conclusion that the substance is “not P/not </w:t>
      </w:r>
      <w:proofErr w:type="spellStart"/>
      <w:r w:rsidRPr="00E944B9">
        <w:rPr>
          <w:rFonts w:ascii="Verdana" w:hAnsi="Verdana"/>
          <w:i/>
          <w:sz w:val="20"/>
          <w:szCs w:val="20"/>
        </w:rPr>
        <w:t>vP</w:t>
      </w:r>
      <w:proofErr w:type="spellEnd"/>
      <w:r w:rsidRPr="00E944B9">
        <w:rPr>
          <w:rFonts w:ascii="Verdana" w:hAnsi="Verdana"/>
          <w:i/>
          <w:sz w:val="20"/>
          <w:szCs w:val="20"/>
        </w:rPr>
        <w:t>”.”</w:t>
      </w:r>
    </w:p>
    <w:p w14:paraId="1280BFAF" w14:textId="1229E11A" w:rsidR="00362B46" w:rsidRPr="00D915ED" w:rsidRDefault="00A42FA3" w:rsidP="00E944B9">
      <w:pPr>
        <w:jc w:val="both"/>
        <w:rPr>
          <w:rFonts w:ascii="Verdana" w:hAnsi="Verdana" w:cs="Arial"/>
          <w:sz w:val="20"/>
          <w:szCs w:val="20"/>
        </w:rPr>
      </w:pPr>
      <w:r w:rsidRPr="00E944B9">
        <w:rPr>
          <w:rFonts w:ascii="Verdana" w:hAnsi="Verdana" w:cs="Arial"/>
          <w:sz w:val="20"/>
          <w:szCs w:val="20"/>
        </w:rPr>
        <w:t xml:space="preserve">The half-life for photodegradation in air </w:t>
      </w:r>
      <w:r w:rsidR="00D7183C">
        <w:rPr>
          <w:rFonts w:ascii="Verdana" w:hAnsi="Verdana" w:cs="Arial"/>
          <w:sz w:val="20"/>
          <w:szCs w:val="20"/>
        </w:rPr>
        <w:t>is</w:t>
      </w:r>
      <w:r w:rsidRPr="00E944B9">
        <w:rPr>
          <w:rFonts w:ascii="Verdana" w:hAnsi="Verdana" w:cs="Arial"/>
          <w:sz w:val="20"/>
          <w:szCs w:val="20"/>
        </w:rPr>
        <w:t xml:space="preserve"> estimated to be 4.736 h</w:t>
      </w:r>
      <w:r w:rsidRPr="00A42FA3">
        <w:rPr>
          <w:rFonts w:ascii="Verdana" w:hAnsi="Verdana" w:cs="Arial"/>
          <w:sz w:val="20"/>
          <w:szCs w:val="20"/>
        </w:rPr>
        <w:t xml:space="preserve"> </w:t>
      </w:r>
      <w:r w:rsidRPr="00E944B9">
        <w:rPr>
          <w:rFonts w:ascii="Verdana" w:hAnsi="Verdana" w:cs="Arial"/>
          <w:sz w:val="20"/>
          <w:szCs w:val="20"/>
        </w:rPr>
        <w:t>(12 h day, 1.5</w:t>
      </w:r>
      <w:r w:rsidR="00E73A7A">
        <w:rPr>
          <w:rFonts w:ascii="Verdana" w:hAnsi="Verdana" w:cs="Arial"/>
          <w:sz w:val="20"/>
          <w:szCs w:val="20"/>
        </w:rPr>
        <w:t xml:space="preserve"> x 10</w:t>
      </w:r>
      <w:r w:rsidR="00E73A7A">
        <w:rPr>
          <w:rFonts w:ascii="Verdana" w:hAnsi="Verdana" w:cs="Arial"/>
          <w:sz w:val="20"/>
          <w:szCs w:val="20"/>
          <w:vertAlign w:val="superscript"/>
        </w:rPr>
        <w:t>6</w:t>
      </w:r>
      <w:r w:rsidR="00E73A7A">
        <w:rPr>
          <w:rFonts w:ascii="Verdana" w:hAnsi="Verdana" w:cs="Arial"/>
          <w:sz w:val="20"/>
          <w:szCs w:val="20"/>
        </w:rPr>
        <w:t xml:space="preserve"> </w:t>
      </w:r>
      <w:r w:rsidRPr="00E944B9">
        <w:rPr>
          <w:rFonts w:ascii="Verdana" w:hAnsi="Verdana" w:cs="Arial"/>
          <w:sz w:val="20"/>
          <w:szCs w:val="20"/>
        </w:rPr>
        <w:t>OH</w:t>
      </w:r>
      <w:r w:rsidR="00E73A7A">
        <w:rPr>
          <w:rFonts w:ascii="Verdana" w:hAnsi="Verdana" w:cs="Arial"/>
          <w:sz w:val="20"/>
          <w:szCs w:val="20"/>
        </w:rPr>
        <w:t>/</w:t>
      </w:r>
      <w:r w:rsidRPr="00E944B9">
        <w:rPr>
          <w:rFonts w:ascii="Verdana" w:hAnsi="Verdana" w:cs="Arial"/>
          <w:sz w:val="20"/>
          <w:szCs w:val="20"/>
        </w:rPr>
        <w:t>cm³)</w:t>
      </w:r>
      <w:r w:rsidRPr="00A42FA3">
        <w:rPr>
          <w:rFonts w:ascii="Verdana" w:hAnsi="Verdana" w:cs="Arial"/>
          <w:sz w:val="20"/>
          <w:szCs w:val="20"/>
        </w:rPr>
        <w:t xml:space="preserve"> using AOPWIN v1.92</w:t>
      </w:r>
      <w:r w:rsidR="00D7183C">
        <w:rPr>
          <w:rFonts w:ascii="Verdana" w:hAnsi="Verdana" w:cs="Arial"/>
          <w:sz w:val="20"/>
          <w:szCs w:val="20"/>
        </w:rPr>
        <w:t xml:space="preserve"> for </w:t>
      </w:r>
      <w:r w:rsidR="00D7183C">
        <w:rPr>
          <w:rFonts w:ascii="Verdana" w:hAnsi="Verdana"/>
          <w:sz w:val="20"/>
          <w:szCs w:val="20"/>
        </w:rPr>
        <w:t>d</w:t>
      </w:r>
      <w:r w:rsidR="00D7183C" w:rsidRPr="00524BC8">
        <w:rPr>
          <w:rFonts w:ascii="Verdana" w:hAnsi="Verdana"/>
          <w:sz w:val="20"/>
          <w:szCs w:val="20"/>
        </w:rPr>
        <w:t xml:space="preserve">ibenzylbenzene, </w:t>
      </w:r>
      <w:proofErr w:type="spellStart"/>
      <w:r w:rsidR="00D7183C" w:rsidRPr="00524BC8">
        <w:rPr>
          <w:rFonts w:ascii="Verdana" w:hAnsi="Verdana"/>
          <w:sz w:val="20"/>
          <w:szCs w:val="20"/>
        </w:rPr>
        <w:t>ar</w:t>
      </w:r>
      <w:proofErr w:type="spellEnd"/>
      <w:r w:rsidR="00D7183C" w:rsidRPr="00524BC8">
        <w:rPr>
          <w:rFonts w:ascii="Verdana" w:hAnsi="Verdana"/>
          <w:sz w:val="20"/>
          <w:szCs w:val="20"/>
        </w:rPr>
        <w:t>-methyl derivative</w:t>
      </w:r>
      <w:r w:rsidRPr="00A42FA3">
        <w:rPr>
          <w:rFonts w:ascii="Verdana" w:hAnsi="Verdana" w:cs="Arial"/>
          <w:sz w:val="20"/>
          <w:szCs w:val="20"/>
        </w:rPr>
        <w:t xml:space="preserve">. </w:t>
      </w:r>
    </w:p>
    <w:p w14:paraId="0E00FCC6" w14:textId="6D700B21" w:rsidR="00AA3385" w:rsidRPr="00D915ED" w:rsidRDefault="00AA3385" w:rsidP="00E944B9">
      <w:pPr>
        <w:pStyle w:val="Alaotsikko"/>
        <w:jc w:val="both"/>
        <w:rPr>
          <w:rFonts w:ascii="Verdana" w:hAnsi="Verdana"/>
          <w:b/>
          <w:color w:val="000000" w:themeColor="text1"/>
          <w:sz w:val="20"/>
          <w:szCs w:val="20"/>
        </w:rPr>
      </w:pPr>
      <w:r w:rsidRPr="00D915ED">
        <w:rPr>
          <w:rFonts w:ascii="Verdana" w:hAnsi="Verdana"/>
          <w:b/>
          <w:color w:val="000000" w:themeColor="text1"/>
          <w:sz w:val="20"/>
          <w:szCs w:val="20"/>
        </w:rPr>
        <w:t>Bioaccumulation</w:t>
      </w:r>
    </w:p>
    <w:p w14:paraId="7E67D29E" w14:textId="0F31AFDC" w:rsidR="00AA3385" w:rsidRDefault="004E31DA" w:rsidP="00D7183C">
      <w:pPr>
        <w:jc w:val="both"/>
        <w:rPr>
          <w:rFonts w:ascii="Verdana" w:hAnsi="Verdana"/>
          <w:sz w:val="20"/>
          <w:szCs w:val="20"/>
        </w:rPr>
      </w:pPr>
      <w:r w:rsidRPr="00E944B9">
        <w:rPr>
          <w:rFonts w:ascii="Verdana" w:hAnsi="Verdana"/>
          <w:sz w:val="20"/>
          <w:szCs w:val="20"/>
        </w:rPr>
        <w:t xml:space="preserve">Experimental n-octanol/water partition coefficient for test substance dibenzylbenzene, </w:t>
      </w:r>
      <w:proofErr w:type="spellStart"/>
      <w:r w:rsidRPr="00E944B9">
        <w:rPr>
          <w:rFonts w:ascii="Verdana" w:hAnsi="Verdana"/>
          <w:sz w:val="20"/>
          <w:szCs w:val="20"/>
        </w:rPr>
        <w:t>ar</w:t>
      </w:r>
      <w:proofErr w:type="spellEnd"/>
      <w:r w:rsidRPr="00E944B9">
        <w:rPr>
          <w:rFonts w:ascii="Verdana" w:hAnsi="Verdana"/>
          <w:sz w:val="20"/>
          <w:szCs w:val="20"/>
        </w:rPr>
        <w:t xml:space="preserve">-methyl derivative is &gt; 6 log Pow at 22 °C </w:t>
      </w:r>
      <w:r w:rsidR="006261FD">
        <w:rPr>
          <w:rFonts w:ascii="Verdana" w:hAnsi="Verdana"/>
          <w:sz w:val="20"/>
          <w:szCs w:val="20"/>
        </w:rPr>
        <w:t>as determined</w:t>
      </w:r>
      <w:r w:rsidR="006261FD" w:rsidRPr="00E944B9">
        <w:rPr>
          <w:rFonts w:ascii="Verdana" w:hAnsi="Verdana"/>
          <w:sz w:val="20"/>
          <w:szCs w:val="20"/>
        </w:rPr>
        <w:t xml:space="preserve"> </w:t>
      </w:r>
      <w:r w:rsidRPr="00E944B9">
        <w:rPr>
          <w:rFonts w:ascii="Verdana" w:hAnsi="Verdana"/>
          <w:sz w:val="20"/>
          <w:szCs w:val="20"/>
        </w:rPr>
        <w:t xml:space="preserve">according to OECD </w:t>
      </w:r>
      <w:r w:rsidR="00EE69C9">
        <w:rPr>
          <w:rFonts w:ascii="Verdana" w:hAnsi="Verdana"/>
          <w:sz w:val="20"/>
          <w:szCs w:val="20"/>
        </w:rPr>
        <w:t>TG</w:t>
      </w:r>
      <w:r w:rsidRPr="00E944B9">
        <w:rPr>
          <w:rFonts w:ascii="Verdana" w:hAnsi="Verdana"/>
          <w:sz w:val="20"/>
          <w:szCs w:val="20"/>
        </w:rPr>
        <w:t xml:space="preserve"> 117, HPLC method. </w:t>
      </w:r>
      <w:r w:rsidR="006261FD">
        <w:rPr>
          <w:rFonts w:ascii="Verdana" w:hAnsi="Verdana"/>
          <w:sz w:val="20"/>
          <w:szCs w:val="20"/>
        </w:rPr>
        <w:t>The r</w:t>
      </w:r>
      <w:r w:rsidRPr="00E944B9">
        <w:rPr>
          <w:rFonts w:ascii="Verdana" w:hAnsi="Verdana"/>
          <w:sz w:val="20"/>
          <w:szCs w:val="20"/>
        </w:rPr>
        <w:t xml:space="preserve">etention times of all peaks of the </w:t>
      </w:r>
      <w:r w:rsidRPr="00E944B9">
        <w:rPr>
          <w:rFonts w:ascii="Verdana" w:hAnsi="Verdana"/>
          <w:sz w:val="20"/>
          <w:szCs w:val="20"/>
        </w:rPr>
        <w:lastRenderedPageBreak/>
        <w:t xml:space="preserve">test substance were </w:t>
      </w:r>
      <w:r w:rsidR="006261FD">
        <w:rPr>
          <w:rFonts w:ascii="Verdana" w:hAnsi="Verdana"/>
          <w:sz w:val="20"/>
          <w:szCs w:val="20"/>
        </w:rPr>
        <w:t xml:space="preserve">reported to be </w:t>
      </w:r>
      <w:r w:rsidRPr="00E944B9">
        <w:rPr>
          <w:rFonts w:ascii="Verdana" w:hAnsi="Verdana"/>
          <w:sz w:val="20"/>
          <w:szCs w:val="20"/>
        </w:rPr>
        <w:t>above the range of reference substance and out of range of the method</w:t>
      </w:r>
      <w:r w:rsidR="000F40FE">
        <w:rPr>
          <w:rFonts w:ascii="Verdana" w:hAnsi="Verdana"/>
          <w:sz w:val="20"/>
          <w:szCs w:val="20"/>
        </w:rPr>
        <w:t>.</w:t>
      </w:r>
      <w:r w:rsidRPr="00E944B9">
        <w:rPr>
          <w:rFonts w:ascii="Verdana" w:hAnsi="Verdana"/>
          <w:sz w:val="20"/>
          <w:szCs w:val="20"/>
        </w:rPr>
        <w:t xml:space="preserve"> </w:t>
      </w:r>
    </w:p>
    <w:p w14:paraId="5937E9BB" w14:textId="5730AD3E" w:rsidR="002713BE" w:rsidRDefault="002713BE" w:rsidP="00D7183C">
      <w:pPr>
        <w:jc w:val="both"/>
        <w:rPr>
          <w:rFonts w:ascii="Verdana" w:hAnsi="Verdana"/>
          <w:sz w:val="20"/>
          <w:szCs w:val="20"/>
        </w:rPr>
      </w:pPr>
      <w:r>
        <w:rPr>
          <w:rFonts w:ascii="Verdana" w:hAnsi="Verdana"/>
          <w:sz w:val="20"/>
          <w:szCs w:val="20"/>
        </w:rPr>
        <w:t xml:space="preserve">Based on the study above experimental log </w:t>
      </w:r>
      <w:proofErr w:type="spellStart"/>
      <w:r>
        <w:rPr>
          <w:rFonts w:ascii="Verdana" w:hAnsi="Verdana"/>
          <w:sz w:val="20"/>
          <w:szCs w:val="20"/>
        </w:rPr>
        <w:t>Kow</w:t>
      </w:r>
      <w:proofErr w:type="spellEnd"/>
      <w:r>
        <w:rPr>
          <w:rFonts w:ascii="Verdana" w:hAnsi="Verdana"/>
          <w:sz w:val="20"/>
          <w:szCs w:val="20"/>
        </w:rPr>
        <w:t xml:space="preserve"> 6.38 was used for QSAR estimation for bioaccumulation potential of </w:t>
      </w:r>
      <w:r w:rsidRPr="00524BC8">
        <w:rPr>
          <w:rFonts w:ascii="Verdana" w:hAnsi="Verdana"/>
          <w:sz w:val="20"/>
          <w:szCs w:val="20"/>
        </w:rPr>
        <w:t xml:space="preserve">dibenzylbenzene, </w:t>
      </w:r>
      <w:proofErr w:type="spellStart"/>
      <w:r w:rsidRPr="00524BC8">
        <w:rPr>
          <w:rFonts w:ascii="Verdana" w:hAnsi="Verdana"/>
          <w:sz w:val="20"/>
          <w:szCs w:val="20"/>
        </w:rPr>
        <w:t>ar</w:t>
      </w:r>
      <w:proofErr w:type="spellEnd"/>
      <w:r w:rsidRPr="00524BC8">
        <w:rPr>
          <w:rFonts w:ascii="Verdana" w:hAnsi="Verdana"/>
          <w:sz w:val="20"/>
          <w:szCs w:val="20"/>
        </w:rPr>
        <w:t>-methyl derivative</w:t>
      </w:r>
      <w:r>
        <w:rPr>
          <w:rFonts w:ascii="Verdana" w:hAnsi="Verdana"/>
          <w:sz w:val="20"/>
          <w:szCs w:val="20"/>
        </w:rPr>
        <w:t xml:space="preserve"> in the </w:t>
      </w:r>
      <w:r w:rsidR="0029232B">
        <w:rPr>
          <w:rFonts w:ascii="Verdana" w:hAnsi="Verdana"/>
          <w:sz w:val="20"/>
          <w:szCs w:val="20"/>
        </w:rPr>
        <w:t>substance factsheet</w:t>
      </w:r>
      <w:r>
        <w:rPr>
          <w:rFonts w:ascii="Verdana" w:hAnsi="Verdana"/>
          <w:sz w:val="20"/>
          <w:szCs w:val="20"/>
        </w:rPr>
        <w:t>. T</w:t>
      </w:r>
      <w:r w:rsidRPr="002713BE">
        <w:rPr>
          <w:rFonts w:ascii="Verdana" w:hAnsi="Verdana"/>
          <w:sz w:val="20"/>
          <w:szCs w:val="20"/>
        </w:rPr>
        <w:t xml:space="preserve">he estimated fish BCF (BCFBAF v3.00 from </w:t>
      </w:r>
      <w:proofErr w:type="spellStart"/>
      <w:r w:rsidRPr="002713BE">
        <w:rPr>
          <w:rFonts w:ascii="Verdana" w:hAnsi="Verdana"/>
          <w:sz w:val="20"/>
          <w:szCs w:val="20"/>
        </w:rPr>
        <w:t>EpiWin</w:t>
      </w:r>
      <w:proofErr w:type="spellEnd"/>
      <w:r w:rsidRPr="002713BE">
        <w:rPr>
          <w:rFonts w:ascii="Verdana" w:hAnsi="Verdana"/>
          <w:sz w:val="20"/>
          <w:szCs w:val="20"/>
        </w:rPr>
        <w:t xml:space="preserve"> 4.00) is 7525 L/kg wet-</w:t>
      </w:r>
      <w:proofErr w:type="spellStart"/>
      <w:r w:rsidRPr="002713BE">
        <w:rPr>
          <w:rFonts w:ascii="Verdana" w:hAnsi="Verdana"/>
          <w:sz w:val="20"/>
          <w:szCs w:val="20"/>
        </w:rPr>
        <w:t>wt</w:t>
      </w:r>
      <w:proofErr w:type="spellEnd"/>
      <w:r>
        <w:rPr>
          <w:rFonts w:ascii="Verdana" w:hAnsi="Verdana"/>
          <w:sz w:val="20"/>
          <w:szCs w:val="20"/>
        </w:rPr>
        <w:t xml:space="preserve"> with regression-based model. </w:t>
      </w:r>
    </w:p>
    <w:p w14:paraId="132ADF00" w14:textId="342F41CB" w:rsidR="002713BE" w:rsidRDefault="00BB574B">
      <w:pPr>
        <w:jc w:val="both"/>
        <w:rPr>
          <w:rFonts w:ascii="Verdana" w:hAnsi="Verdana"/>
          <w:sz w:val="20"/>
          <w:szCs w:val="20"/>
        </w:rPr>
      </w:pPr>
      <w:r>
        <w:rPr>
          <w:rFonts w:ascii="Verdana" w:hAnsi="Verdana"/>
          <w:sz w:val="20"/>
          <w:szCs w:val="20"/>
        </w:rPr>
        <w:t xml:space="preserve">One experimental OECD TG 305 bioaccumulation study for </w:t>
      </w:r>
      <w:r w:rsidR="00C1270F">
        <w:rPr>
          <w:rFonts w:ascii="Verdana" w:hAnsi="Verdana"/>
          <w:sz w:val="20"/>
          <w:szCs w:val="20"/>
        </w:rPr>
        <w:t>fish common carp (</w:t>
      </w:r>
      <w:r w:rsidR="00C1270F">
        <w:rPr>
          <w:rFonts w:ascii="Verdana" w:hAnsi="Verdana"/>
          <w:i/>
          <w:sz w:val="20"/>
          <w:szCs w:val="20"/>
        </w:rPr>
        <w:t xml:space="preserve">Cyprinus </w:t>
      </w:r>
      <w:proofErr w:type="spellStart"/>
      <w:r w:rsidR="00C1270F">
        <w:rPr>
          <w:rFonts w:ascii="Verdana" w:hAnsi="Verdana"/>
          <w:i/>
          <w:sz w:val="20"/>
          <w:szCs w:val="20"/>
        </w:rPr>
        <w:t>carpio</w:t>
      </w:r>
      <w:proofErr w:type="spellEnd"/>
      <w:r w:rsidR="00C1270F">
        <w:rPr>
          <w:rFonts w:ascii="Verdana" w:hAnsi="Verdana"/>
          <w:sz w:val="20"/>
          <w:szCs w:val="20"/>
        </w:rPr>
        <w:t>)</w:t>
      </w:r>
      <w:r>
        <w:rPr>
          <w:rFonts w:ascii="Verdana" w:hAnsi="Verdana"/>
          <w:sz w:val="20"/>
          <w:szCs w:val="20"/>
        </w:rPr>
        <w:t xml:space="preserve"> is available in the </w:t>
      </w:r>
      <w:r w:rsidR="0029232B">
        <w:rPr>
          <w:rFonts w:ascii="Verdana" w:hAnsi="Verdana"/>
          <w:sz w:val="20"/>
          <w:szCs w:val="20"/>
        </w:rPr>
        <w:t>substance factsheet</w:t>
      </w:r>
      <w:r>
        <w:rPr>
          <w:rFonts w:ascii="Verdana" w:hAnsi="Verdana"/>
          <w:sz w:val="20"/>
          <w:szCs w:val="20"/>
        </w:rPr>
        <w:t xml:space="preserve"> with Marlotherm S as test substance (</w:t>
      </w:r>
      <w:r w:rsidRPr="00BB574B">
        <w:rPr>
          <w:rFonts w:ascii="Verdana" w:hAnsi="Verdana"/>
          <w:sz w:val="20"/>
          <w:szCs w:val="20"/>
        </w:rPr>
        <w:t xml:space="preserve">70% various isomers of </w:t>
      </w:r>
      <w:proofErr w:type="spellStart"/>
      <w:r w:rsidRPr="00BB574B">
        <w:rPr>
          <w:rFonts w:ascii="Verdana" w:hAnsi="Verdana"/>
          <w:sz w:val="20"/>
          <w:szCs w:val="20"/>
        </w:rPr>
        <w:t>dibenzyltoluene</w:t>
      </w:r>
      <w:proofErr w:type="spellEnd"/>
      <w:r w:rsidRPr="00BB574B">
        <w:rPr>
          <w:rFonts w:ascii="Verdana" w:hAnsi="Verdana"/>
          <w:sz w:val="20"/>
          <w:szCs w:val="20"/>
        </w:rPr>
        <w:t xml:space="preserve"> and </w:t>
      </w:r>
      <w:proofErr w:type="spellStart"/>
      <w:r w:rsidRPr="00BB574B">
        <w:rPr>
          <w:rFonts w:ascii="Verdana" w:hAnsi="Verdana"/>
          <w:sz w:val="20"/>
          <w:szCs w:val="20"/>
        </w:rPr>
        <w:t>benzylphenylmethyltoluene</w:t>
      </w:r>
      <w:proofErr w:type="spellEnd"/>
      <w:r>
        <w:rPr>
          <w:rFonts w:ascii="Verdana" w:hAnsi="Verdana"/>
          <w:sz w:val="20"/>
          <w:szCs w:val="20"/>
        </w:rPr>
        <w:t xml:space="preserve"> with </w:t>
      </w:r>
      <w:r w:rsidRPr="00BB574B">
        <w:rPr>
          <w:rFonts w:ascii="Verdana" w:hAnsi="Verdana"/>
          <w:sz w:val="20"/>
          <w:szCs w:val="20"/>
        </w:rPr>
        <w:t xml:space="preserve">ca. 30% isomers of </w:t>
      </w:r>
      <w:proofErr w:type="spellStart"/>
      <w:r w:rsidRPr="00BB574B">
        <w:rPr>
          <w:rFonts w:ascii="Verdana" w:hAnsi="Verdana"/>
          <w:sz w:val="20"/>
          <w:szCs w:val="20"/>
        </w:rPr>
        <w:t>tetratoluene</w:t>
      </w:r>
      <w:proofErr w:type="spellEnd"/>
      <w:r>
        <w:rPr>
          <w:rFonts w:ascii="Verdana" w:hAnsi="Verdana"/>
          <w:sz w:val="20"/>
          <w:szCs w:val="20"/>
        </w:rPr>
        <w:t xml:space="preserve"> as impurities. </w:t>
      </w:r>
      <w:r w:rsidR="00C1270F">
        <w:rPr>
          <w:rFonts w:ascii="Verdana" w:hAnsi="Verdana"/>
          <w:sz w:val="20"/>
          <w:szCs w:val="20"/>
        </w:rPr>
        <w:t>Derived whole body fish BC</w:t>
      </w:r>
      <w:r w:rsidR="004A6A7F">
        <w:rPr>
          <w:rFonts w:ascii="Verdana" w:hAnsi="Verdana"/>
          <w:sz w:val="20"/>
          <w:szCs w:val="20"/>
        </w:rPr>
        <w:t>F</w:t>
      </w:r>
      <w:r w:rsidR="00C1270F">
        <w:rPr>
          <w:rFonts w:ascii="Verdana" w:hAnsi="Verdana"/>
          <w:sz w:val="20"/>
          <w:szCs w:val="20"/>
        </w:rPr>
        <w:t xml:space="preserve"> </w:t>
      </w:r>
      <w:r w:rsidR="00973EE7">
        <w:rPr>
          <w:rFonts w:ascii="Verdana" w:hAnsi="Verdana"/>
          <w:sz w:val="20"/>
          <w:szCs w:val="20"/>
        </w:rPr>
        <w:t xml:space="preserve">at steady state </w:t>
      </w:r>
      <w:r w:rsidR="00C1270F">
        <w:rPr>
          <w:rFonts w:ascii="Verdana" w:hAnsi="Verdana"/>
          <w:sz w:val="20"/>
          <w:szCs w:val="20"/>
        </w:rPr>
        <w:t xml:space="preserve">after 8 weeks was 6300 (wet weight) for test substance concentration </w:t>
      </w:r>
      <w:r w:rsidR="00973EE7">
        <w:rPr>
          <w:rFonts w:ascii="Verdana" w:hAnsi="Verdana"/>
          <w:sz w:val="20"/>
          <w:szCs w:val="20"/>
        </w:rPr>
        <w:t xml:space="preserve">of </w:t>
      </w:r>
      <w:r w:rsidR="00C1270F">
        <w:rPr>
          <w:rFonts w:ascii="Verdana" w:hAnsi="Verdana"/>
          <w:sz w:val="20"/>
          <w:szCs w:val="20"/>
        </w:rPr>
        <w:t>200 µg/L and BCF 2000</w:t>
      </w:r>
      <w:r w:rsidR="00973EE7">
        <w:rPr>
          <w:rFonts w:ascii="Verdana" w:hAnsi="Verdana"/>
          <w:sz w:val="20"/>
          <w:szCs w:val="20"/>
        </w:rPr>
        <w:t xml:space="preserve"> (wet weight)</w:t>
      </w:r>
      <w:r w:rsidR="00C1270F">
        <w:rPr>
          <w:rFonts w:ascii="Verdana" w:hAnsi="Verdana"/>
          <w:sz w:val="20"/>
          <w:szCs w:val="20"/>
        </w:rPr>
        <w:t xml:space="preserve"> </w:t>
      </w:r>
      <w:r w:rsidR="006261FD">
        <w:rPr>
          <w:rFonts w:ascii="Verdana" w:hAnsi="Verdana"/>
          <w:sz w:val="20"/>
          <w:szCs w:val="20"/>
        </w:rPr>
        <w:t xml:space="preserve">for </w:t>
      </w:r>
      <w:r w:rsidR="00C1270F">
        <w:rPr>
          <w:rFonts w:ascii="Verdana" w:hAnsi="Verdana"/>
          <w:sz w:val="20"/>
          <w:szCs w:val="20"/>
        </w:rPr>
        <w:t xml:space="preserve">the concentration of 20 µg/L. </w:t>
      </w:r>
    </w:p>
    <w:p w14:paraId="0930523D" w14:textId="13FBDA92" w:rsidR="00B838D1" w:rsidRPr="00E944B9" w:rsidRDefault="006261FD" w:rsidP="00E944B9">
      <w:pPr>
        <w:jc w:val="both"/>
        <w:rPr>
          <w:rFonts w:ascii="Verdana" w:hAnsi="Verdana"/>
          <w:sz w:val="20"/>
          <w:szCs w:val="20"/>
        </w:rPr>
      </w:pPr>
      <w:r>
        <w:rPr>
          <w:rFonts w:ascii="Verdana" w:hAnsi="Verdana"/>
          <w:sz w:val="20"/>
          <w:szCs w:val="20"/>
        </w:rPr>
        <w:t xml:space="preserve">In </w:t>
      </w:r>
      <w:r w:rsidR="00A71D7D">
        <w:rPr>
          <w:rFonts w:ascii="Verdana" w:hAnsi="Verdana"/>
          <w:sz w:val="20"/>
          <w:szCs w:val="20"/>
        </w:rPr>
        <w:t xml:space="preserve">Japanese </w:t>
      </w:r>
      <w:proofErr w:type="spellStart"/>
      <w:r w:rsidR="00A71D7D">
        <w:rPr>
          <w:rFonts w:ascii="Verdana" w:hAnsi="Verdana"/>
          <w:sz w:val="20"/>
          <w:szCs w:val="20"/>
        </w:rPr>
        <w:t>CH</w:t>
      </w:r>
      <w:r w:rsidR="0074352D">
        <w:rPr>
          <w:rFonts w:ascii="Verdana" w:hAnsi="Verdana"/>
          <w:sz w:val="20"/>
          <w:szCs w:val="20"/>
        </w:rPr>
        <w:t>E</w:t>
      </w:r>
      <w:r w:rsidR="00A71D7D">
        <w:rPr>
          <w:rFonts w:ascii="Verdana" w:hAnsi="Verdana"/>
          <w:sz w:val="20"/>
          <w:szCs w:val="20"/>
        </w:rPr>
        <w:t>micals</w:t>
      </w:r>
      <w:proofErr w:type="spellEnd"/>
      <w:r w:rsidR="00A71D7D">
        <w:rPr>
          <w:rFonts w:ascii="Verdana" w:hAnsi="Verdana"/>
          <w:sz w:val="20"/>
          <w:szCs w:val="20"/>
        </w:rPr>
        <w:t xml:space="preserve"> Collaborative Knowledge </w:t>
      </w:r>
      <w:r w:rsidR="0074352D">
        <w:rPr>
          <w:rFonts w:ascii="Verdana" w:hAnsi="Verdana"/>
          <w:sz w:val="20"/>
          <w:szCs w:val="20"/>
        </w:rPr>
        <w:t xml:space="preserve">database </w:t>
      </w:r>
      <w:r w:rsidR="00A71D7D">
        <w:rPr>
          <w:rFonts w:ascii="Verdana" w:hAnsi="Verdana"/>
          <w:sz w:val="20"/>
          <w:szCs w:val="20"/>
        </w:rPr>
        <w:t xml:space="preserve">(J-CHECK) one experimental </w:t>
      </w:r>
      <w:proofErr w:type="gramStart"/>
      <w:r w:rsidR="00A71D7D">
        <w:rPr>
          <w:rFonts w:ascii="Verdana" w:hAnsi="Verdana"/>
          <w:sz w:val="20"/>
          <w:szCs w:val="20"/>
        </w:rPr>
        <w:t>60 day</w:t>
      </w:r>
      <w:proofErr w:type="gramEnd"/>
      <w:r w:rsidR="00A71D7D">
        <w:rPr>
          <w:rFonts w:ascii="Verdana" w:hAnsi="Verdana"/>
          <w:sz w:val="20"/>
          <w:szCs w:val="20"/>
        </w:rPr>
        <w:t xml:space="preserve"> fish bioaccumulation study (OECD TG 305) is available for </w:t>
      </w:r>
      <w:proofErr w:type="spellStart"/>
      <w:r w:rsidR="00A71D7D">
        <w:rPr>
          <w:rFonts w:ascii="Verdana" w:hAnsi="Verdana"/>
          <w:sz w:val="20"/>
          <w:szCs w:val="20"/>
        </w:rPr>
        <w:t>dibenzyltoluene</w:t>
      </w:r>
      <w:proofErr w:type="spellEnd"/>
      <w:r w:rsidR="00A71D7D">
        <w:rPr>
          <w:rFonts w:ascii="Verdana" w:hAnsi="Verdana"/>
          <w:sz w:val="20"/>
          <w:szCs w:val="20"/>
        </w:rPr>
        <w:t xml:space="preserve">. Steady state BCF for </w:t>
      </w:r>
      <w:r w:rsidR="00A71D7D">
        <w:rPr>
          <w:rFonts w:ascii="Verdana" w:hAnsi="Verdana"/>
          <w:i/>
          <w:sz w:val="20"/>
          <w:szCs w:val="20"/>
        </w:rPr>
        <w:t xml:space="preserve">Cyprinus </w:t>
      </w:r>
      <w:proofErr w:type="spellStart"/>
      <w:r w:rsidR="00A71D7D">
        <w:rPr>
          <w:rFonts w:ascii="Verdana" w:hAnsi="Verdana"/>
          <w:i/>
          <w:sz w:val="20"/>
          <w:szCs w:val="20"/>
        </w:rPr>
        <w:t>carpio</w:t>
      </w:r>
      <w:proofErr w:type="spellEnd"/>
      <w:r w:rsidR="00A71D7D">
        <w:rPr>
          <w:rFonts w:ascii="Verdana" w:hAnsi="Verdana"/>
          <w:sz w:val="20"/>
          <w:szCs w:val="20"/>
        </w:rPr>
        <w:t xml:space="preserve"> was 8300 at the concentration of 10 µg/L and 5900 for 1 µg/L. </w:t>
      </w:r>
    </w:p>
    <w:p w14:paraId="7ADB35E6" w14:textId="28A2B751" w:rsidR="00AA3385" w:rsidRPr="00D915ED" w:rsidRDefault="00AA3385">
      <w:pPr>
        <w:pStyle w:val="Alaotsikko"/>
        <w:jc w:val="both"/>
        <w:rPr>
          <w:rFonts w:ascii="Verdana" w:hAnsi="Verdana"/>
          <w:b/>
          <w:color w:val="000000" w:themeColor="text1"/>
          <w:sz w:val="20"/>
          <w:szCs w:val="20"/>
        </w:rPr>
      </w:pPr>
      <w:r w:rsidRPr="00D915ED">
        <w:rPr>
          <w:rFonts w:ascii="Verdana" w:hAnsi="Verdana"/>
          <w:b/>
          <w:color w:val="000000" w:themeColor="text1"/>
          <w:sz w:val="20"/>
          <w:szCs w:val="20"/>
        </w:rPr>
        <w:t>Aquatic toxicity</w:t>
      </w:r>
    </w:p>
    <w:p w14:paraId="251401BF" w14:textId="31DEB8BE" w:rsidR="00E5630A" w:rsidRDefault="00E5630A" w:rsidP="00E944B9">
      <w:pPr>
        <w:jc w:val="both"/>
        <w:rPr>
          <w:rFonts w:ascii="Verdana" w:hAnsi="Verdana"/>
          <w:sz w:val="20"/>
          <w:szCs w:val="20"/>
        </w:rPr>
      </w:pPr>
      <w:r>
        <w:rPr>
          <w:rFonts w:ascii="Verdana" w:hAnsi="Verdana"/>
          <w:sz w:val="20"/>
          <w:szCs w:val="20"/>
        </w:rPr>
        <w:t>Further long-term aquatic toxicity studies are currently being requested under ECHA decision on a compliance check (ECHA 2018).</w:t>
      </w:r>
    </w:p>
    <w:p w14:paraId="2F00C8A5" w14:textId="7AE101EE" w:rsidR="00B838D1" w:rsidRDefault="00B838D1" w:rsidP="00E944B9">
      <w:pPr>
        <w:jc w:val="both"/>
        <w:rPr>
          <w:rFonts w:ascii="Verdana" w:hAnsi="Verdana"/>
          <w:sz w:val="20"/>
          <w:szCs w:val="20"/>
        </w:rPr>
      </w:pPr>
      <w:r>
        <w:rPr>
          <w:rFonts w:ascii="Verdana" w:hAnsi="Verdana"/>
          <w:sz w:val="20"/>
          <w:szCs w:val="20"/>
        </w:rPr>
        <w:t>From the ECHA dissemination site 7 acute toxicity studies for fish are available and cited below</w:t>
      </w:r>
      <w:r w:rsidR="00991CCB">
        <w:rPr>
          <w:rFonts w:ascii="Verdana" w:hAnsi="Verdana"/>
          <w:sz w:val="20"/>
          <w:szCs w:val="20"/>
        </w:rPr>
        <w:t>:</w:t>
      </w:r>
    </w:p>
    <w:p w14:paraId="6F589B88" w14:textId="2318E73C" w:rsidR="00B838D1" w:rsidRPr="00E944B9" w:rsidRDefault="00B838D1" w:rsidP="00E944B9">
      <w:pPr>
        <w:jc w:val="both"/>
        <w:rPr>
          <w:rFonts w:ascii="Verdana" w:hAnsi="Verdana"/>
          <w:i/>
          <w:sz w:val="20"/>
          <w:szCs w:val="20"/>
        </w:rPr>
      </w:pPr>
      <w:r w:rsidRPr="00E944B9">
        <w:rPr>
          <w:rFonts w:ascii="Verdana" w:hAnsi="Verdana"/>
          <w:i/>
          <w:sz w:val="20"/>
          <w:szCs w:val="20"/>
        </w:rPr>
        <w:t xml:space="preserve">In a semi-static study, Scholz, 1995, didn't observed mortality of Danio rerio at a reported concentration of 0.32 mg/L. Exposure concentration was estimated by TLC, solutions were WAF. Few experimental details, as well as an exposure well above water solubility leads to conclude that this study is probably unreliable, but nevertheless that Dibenzylbenzene, </w:t>
      </w:r>
      <w:proofErr w:type="spellStart"/>
      <w:r w:rsidRPr="00E944B9">
        <w:rPr>
          <w:rFonts w:ascii="Verdana" w:hAnsi="Verdana"/>
          <w:i/>
          <w:sz w:val="20"/>
          <w:szCs w:val="20"/>
        </w:rPr>
        <w:t>ar</w:t>
      </w:r>
      <w:proofErr w:type="spellEnd"/>
      <w:r w:rsidRPr="00E944B9">
        <w:rPr>
          <w:rFonts w:ascii="Verdana" w:hAnsi="Verdana"/>
          <w:i/>
          <w:sz w:val="20"/>
          <w:szCs w:val="20"/>
        </w:rPr>
        <w:t xml:space="preserve">-methyl </w:t>
      </w:r>
      <w:proofErr w:type="spellStart"/>
      <w:r w:rsidRPr="00E944B9">
        <w:rPr>
          <w:rFonts w:ascii="Verdana" w:hAnsi="Verdana"/>
          <w:i/>
          <w:sz w:val="20"/>
          <w:szCs w:val="20"/>
        </w:rPr>
        <w:t>derivativeis</w:t>
      </w:r>
      <w:proofErr w:type="spellEnd"/>
      <w:r w:rsidRPr="00E944B9">
        <w:rPr>
          <w:rFonts w:ascii="Verdana" w:hAnsi="Verdana"/>
          <w:i/>
          <w:sz w:val="20"/>
          <w:szCs w:val="20"/>
        </w:rPr>
        <w:t xml:space="preserve"> probably not acutely toxic to fish.</w:t>
      </w:r>
    </w:p>
    <w:p w14:paraId="66F8BF00" w14:textId="4F92542A" w:rsidR="00B838D1" w:rsidRPr="00E944B9" w:rsidRDefault="00B838D1" w:rsidP="00E944B9">
      <w:pPr>
        <w:jc w:val="both"/>
        <w:rPr>
          <w:rFonts w:ascii="Verdana" w:hAnsi="Verdana"/>
          <w:i/>
          <w:sz w:val="20"/>
          <w:szCs w:val="20"/>
        </w:rPr>
      </w:pPr>
      <w:r w:rsidRPr="00E944B9">
        <w:rPr>
          <w:rFonts w:ascii="Verdana" w:hAnsi="Verdana"/>
          <w:i/>
          <w:sz w:val="20"/>
          <w:szCs w:val="20"/>
        </w:rPr>
        <w:t>Another study, on rainbow trout (Knacker et al, 1990), although being a GLP one, must be disregarded as it is made use of a surfactant, in varying concentrations, that is not recommended by OECD. Concentrations as high as 1 mg/L were tested (50 times higher than water solubility limit). 20% mortality was observed in 96 hours at that concentration.</w:t>
      </w:r>
    </w:p>
    <w:p w14:paraId="58F6D7E7" w14:textId="0A429225" w:rsidR="00B838D1" w:rsidRPr="00E944B9" w:rsidRDefault="00B838D1" w:rsidP="00E944B9">
      <w:pPr>
        <w:jc w:val="both"/>
        <w:rPr>
          <w:rFonts w:ascii="Verdana" w:hAnsi="Verdana"/>
          <w:i/>
          <w:sz w:val="20"/>
          <w:szCs w:val="20"/>
        </w:rPr>
      </w:pPr>
      <w:r w:rsidRPr="00E944B9">
        <w:rPr>
          <w:rFonts w:ascii="Verdana" w:hAnsi="Verdana"/>
          <w:i/>
          <w:sz w:val="20"/>
          <w:szCs w:val="20"/>
        </w:rPr>
        <w:t xml:space="preserve">A third study (Scholz, 1990c) on Golden </w:t>
      </w:r>
      <w:proofErr w:type="spellStart"/>
      <w:r w:rsidRPr="00E944B9">
        <w:rPr>
          <w:rFonts w:ascii="Verdana" w:hAnsi="Verdana"/>
          <w:i/>
          <w:sz w:val="20"/>
          <w:szCs w:val="20"/>
        </w:rPr>
        <w:t>Orfe</w:t>
      </w:r>
      <w:proofErr w:type="spellEnd"/>
      <w:r w:rsidRPr="00E944B9">
        <w:rPr>
          <w:rFonts w:ascii="Verdana" w:hAnsi="Verdana"/>
          <w:i/>
          <w:sz w:val="20"/>
          <w:szCs w:val="20"/>
        </w:rPr>
        <w:t xml:space="preserve"> has been carried out under flow-through conditions with the help of a vehicle whose identity is not available. Concentrations as high as 3.2 mg/L were tested; no mortality was observed.</w:t>
      </w:r>
    </w:p>
    <w:p w14:paraId="079EA283" w14:textId="4C365D7B" w:rsidR="00B838D1" w:rsidRPr="00E944B9" w:rsidRDefault="00B838D1" w:rsidP="00E944B9">
      <w:pPr>
        <w:jc w:val="both"/>
        <w:rPr>
          <w:rFonts w:ascii="Verdana" w:hAnsi="Verdana"/>
          <w:i/>
          <w:sz w:val="20"/>
          <w:szCs w:val="20"/>
        </w:rPr>
      </w:pPr>
      <w:r w:rsidRPr="00E944B9">
        <w:rPr>
          <w:rFonts w:ascii="Verdana" w:hAnsi="Verdana"/>
          <w:i/>
          <w:sz w:val="20"/>
          <w:szCs w:val="20"/>
        </w:rPr>
        <w:t>Two other studies were reported (</w:t>
      </w:r>
      <w:proofErr w:type="spellStart"/>
      <w:r w:rsidRPr="00E944B9">
        <w:rPr>
          <w:rFonts w:ascii="Verdana" w:hAnsi="Verdana"/>
          <w:i/>
          <w:sz w:val="20"/>
          <w:szCs w:val="20"/>
        </w:rPr>
        <w:t>Lepailleur</w:t>
      </w:r>
      <w:proofErr w:type="spellEnd"/>
      <w:r w:rsidRPr="00E944B9">
        <w:rPr>
          <w:rFonts w:ascii="Verdana" w:hAnsi="Verdana"/>
          <w:i/>
          <w:sz w:val="20"/>
          <w:szCs w:val="20"/>
        </w:rPr>
        <w:t xml:space="preserve">, 1981, 1983) regarding the prolonged acute toxicity (14 days) of Dibenzylbenzene, </w:t>
      </w:r>
      <w:proofErr w:type="spellStart"/>
      <w:r w:rsidRPr="00E944B9">
        <w:rPr>
          <w:rFonts w:ascii="Verdana" w:hAnsi="Verdana"/>
          <w:i/>
          <w:sz w:val="20"/>
          <w:szCs w:val="20"/>
        </w:rPr>
        <w:t>ar</w:t>
      </w:r>
      <w:proofErr w:type="spellEnd"/>
      <w:r w:rsidRPr="00E944B9">
        <w:rPr>
          <w:rFonts w:ascii="Verdana" w:hAnsi="Verdana"/>
          <w:i/>
          <w:sz w:val="20"/>
          <w:szCs w:val="20"/>
        </w:rPr>
        <w:t xml:space="preserve">-methyl derivative to Danio rerio. The studies used high concentrations of acetone and the </w:t>
      </w:r>
      <w:proofErr w:type="gramStart"/>
      <w:r w:rsidRPr="00E944B9">
        <w:rPr>
          <w:rFonts w:ascii="Verdana" w:hAnsi="Verdana"/>
          <w:i/>
          <w:sz w:val="20"/>
          <w:szCs w:val="20"/>
        </w:rPr>
        <w:t>14 day</w:t>
      </w:r>
      <w:proofErr w:type="gramEnd"/>
      <w:r w:rsidRPr="00E944B9">
        <w:rPr>
          <w:rFonts w:ascii="Verdana" w:hAnsi="Verdana"/>
          <w:i/>
          <w:sz w:val="20"/>
          <w:szCs w:val="20"/>
        </w:rPr>
        <w:t xml:space="preserve"> EC50 of 2.3 mg/L is not considered reliable for the same reasons as mentioned above.</w:t>
      </w:r>
    </w:p>
    <w:p w14:paraId="3B6ADBA4" w14:textId="4D1668CD" w:rsidR="00B838D1" w:rsidRPr="00E944B9" w:rsidRDefault="00B838D1" w:rsidP="00E944B9">
      <w:pPr>
        <w:jc w:val="both"/>
        <w:rPr>
          <w:rFonts w:ascii="Verdana" w:hAnsi="Verdana"/>
          <w:i/>
          <w:sz w:val="20"/>
          <w:szCs w:val="20"/>
        </w:rPr>
      </w:pPr>
      <w:r w:rsidRPr="00E944B9">
        <w:rPr>
          <w:rFonts w:ascii="Verdana" w:hAnsi="Verdana"/>
          <w:i/>
          <w:sz w:val="20"/>
          <w:szCs w:val="20"/>
        </w:rPr>
        <w:t xml:space="preserve">An additional prolonged acute toxicity study was conducted under flow-through conditions with Golden </w:t>
      </w:r>
      <w:proofErr w:type="spellStart"/>
      <w:r w:rsidRPr="00E944B9">
        <w:rPr>
          <w:rFonts w:ascii="Verdana" w:hAnsi="Verdana"/>
          <w:i/>
          <w:sz w:val="20"/>
          <w:szCs w:val="20"/>
        </w:rPr>
        <w:t>Orfe</w:t>
      </w:r>
      <w:proofErr w:type="spellEnd"/>
      <w:r w:rsidRPr="00E944B9">
        <w:rPr>
          <w:rFonts w:ascii="Verdana" w:hAnsi="Verdana"/>
          <w:i/>
          <w:sz w:val="20"/>
          <w:szCs w:val="20"/>
        </w:rPr>
        <w:t xml:space="preserve"> (Scholz, 1990b). At none of the concentrations were there signs of toxicity or abnormal behavior that were attributable to </w:t>
      </w:r>
      <w:proofErr w:type="spellStart"/>
      <w:r w:rsidRPr="00E944B9">
        <w:rPr>
          <w:rFonts w:ascii="Verdana" w:hAnsi="Verdana"/>
          <w:i/>
          <w:sz w:val="20"/>
          <w:szCs w:val="20"/>
        </w:rPr>
        <w:t>dibenzyltoluene</w:t>
      </w:r>
      <w:proofErr w:type="spellEnd"/>
      <w:r w:rsidRPr="00E944B9">
        <w:rPr>
          <w:rFonts w:ascii="Verdana" w:hAnsi="Verdana"/>
          <w:i/>
          <w:sz w:val="20"/>
          <w:szCs w:val="20"/>
        </w:rPr>
        <w:t xml:space="preserve">. The </w:t>
      </w:r>
      <w:proofErr w:type="gramStart"/>
      <w:r w:rsidRPr="00E944B9">
        <w:rPr>
          <w:rFonts w:ascii="Verdana" w:hAnsi="Verdana"/>
          <w:i/>
          <w:sz w:val="20"/>
          <w:szCs w:val="20"/>
        </w:rPr>
        <w:t>14 day</w:t>
      </w:r>
      <w:proofErr w:type="gramEnd"/>
      <w:r w:rsidRPr="00E944B9">
        <w:rPr>
          <w:rFonts w:ascii="Verdana" w:hAnsi="Verdana"/>
          <w:i/>
          <w:sz w:val="20"/>
          <w:szCs w:val="20"/>
        </w:rPr>
        <w:t xml:space="preserve"> LC50 was &gt;0.46 mg/L (measured concentration). As a surfactant was used to solubilize the Dibenzylbenzene, </w:t>
      </w:r>
      <w:proofErr w:type="spellStart"/>
      <w:r w:rsidRPr="00E944B9">
        <w:rPr>
          <w:rFonts w:ascii="Verdana" w:hAnsi="Verdana"/>
          <w:i/>
          <w:sz w:val="20"/>
          <w:szCs w:val="20"/>
        </w:rPr>
        <w:t>ar</w:t>
      </w:r>
      <w:proofErr w:type="spellEnd"/>
      <w:r w:rsidRPr="00E944B9">
        <w:rPr>
          <w:rFonts w:ascii="Verdana" w:hAnsi="Verdana"/>
          <w:i/>
          <w:sz w:val="20"/>
          <w:szCs w:val="20"/>
        </w:rPr>
        <w:t>-methyl derivative, the resulting value is well above the level of water solubility.</w:t>
      </w:r>
    </w:p>
    <w:p w14:paraId="055F684F" w14:textId="0D78E472" w:rsidR="00B838D1" w:rsidRPr="00E944B9" w:rsidRDefault="00B838D1" w:rsidP="00E944B9">
      <w:pPr>
        <w:jc w:val="both"/>
        <w:rPr>
          <w:rFonts w:ascii="Verdana" w:hAnsi="Verdana"/>
          <w:i/>
          <w:sz w:val="20"/>
          <w:szCs w:val="20"/>
        </w:rPr>
      </w:pPr>
      <w:r w:rsidRPr="00E944B9">
        <w:rPr>
          <w:rFonts w:ascii="Verdana" w:hAnsi="Verdana"/>
          <w:i/>
          <w:sz w:val="20"/>
          <w:szCs w:val="20"/>
        </w:rPr>
        <w:t xml:space="preserve">Finally, the Companies in the consortium decided to commission a new study: using the OECD 203 protocol under semi-static conditions and under GLP conditions, it has been confirmed (Knight, 2010) that, at the highest exposure achievable with a </w:t>
      </w:r>
      <w:r w:rsidRPr="00E944B9">
        <w:rPr>
          <w:rFonts w:ascii="Verdana" w:hAnsi="Verdana"/>
          <w:i/>
          <w:sz w:val="20"/>
          <w:szCs w:val="20"/>
        </w:rPr>
        <w:lastRenderedPageBreak/>
        <w:t xml:space="preserve">Water Accommodated Fraction (yet lower than the analytical limit of quantification, 50 µg/L), there is no acute toxicity towards Danio rerio. The 96 h LC50 of </w:t>
      </w:r>
      <w:proofErr w:type="spellStart"/>
      <w:r w:rsidRPr="00E944B9">
        <w:rPr>
          <w:rFonts w:ascii="Verdana" w:hAnsi="Verdana"/>
          <w:i/>
          <w:sz w:val="20"/>
          <w:szCs w:val="20"/>
        </w:rPr>
        <w:t>dibenzyltoluene</w:t>
      </w:r>
      <w:proofErr w:type="spellEnd"/>
      <w:r w:rsidRPr="00E944B9">
        <w:rPr>
          <w:rFonts w:ascii="Verdana" w:hAnsi="Verdana"/>
          <w:i/>
          <w:sz w:val="20"/>
          <w:szCs w:val="20"/>
        </w:rPr>
        <w:t xml:space="preserve"> to zebra fish is concluded to be greater than the maximum solubility of Dibenzylbenzene, </w:t>
      </w:r>
      <w:proofErr w:type="spellStart"/>
      <w:r w:rsidRPr="00E944B9">
        <w:rPr>
          <w:rFonts w:ascii="Verdana" w:hAnsi="Verdana"/>
          <w:i/>
          <w:sz w:val="20"/>
          <w:szCs w:val="20"/>
        </w:rPr>
        <w:t>ar</w:t>
      </w:r>
      <w:proofErr w:type="spellEnd"/>
      <w:r w:rsidRPr="00E944B9">
        <w:rPr>
          <w:rFonts w:ascii="Verdana" w:hAnsi="Verdana"/>
          <w:i/>
          <w:sz w:val="20"/>
          <w:szCs w:val="20"/>
        </w:rPr>
        <w:t xml:space="preserve">-methyl derivative in water, under the conditions of the test. The no observed effect concentration (NOEC) is concluded to be the maximum solubility of Dibenzylbenzene, </w:t>
      </w:r>
      <w:proofErr w:type="spellStart"/>
      <w:r w:rsidRPr="00E944B9">
        <w:rPr>
          <w:rFonts w:ascii="Verdana" w:hAnsi="Verdana"/>
          <w:i/>
          <w:sz w:val="20"/>
          <w:szCs w:val="20"/>
        </w:rPr>
        <w:t>ar</w:t>
      </w:r>
      <w:proofErr w:type="spellEnd"/>
      <w:r w:rsidRPr="00E944B9">
        <w:rPr>
          <w:rFonts w:ascii="Verdana" w:hAnsi="Verdana"/>
          <w:i/>
          <w:sz w:val="20"/>
          <w:szCs w:val="20"/>
        </w:rPr>
        <w:t>-methyl derivative in test water.</w:t>
      </w:r>
    </w:p>
    <w:p w14:paraId="6F21ACBA" w14:textId="79EC5EB1" w:rsidR="00991CCB" w:rsidRPr="00E944B9" w:rsidRDefault="00991CCB" w:rsidP="00E944B9">
      <w:pPr>
        <w:jc w:val="both"/>
        <w:rPr>
          <w:rFonts w:ascii="Verdana" w:hAnsi="Verdana"/>
          <w:sz w:val="20"/>
          <w:szCs w:val="20"/>
        </w:rPr>
      </w:pPr>
      <w:r w:rsidRPr="00E944B9">
        <w:rPr>
          <w:rFonts w:ascii="Verdana" w:hAnsi="Verdana"/>
          <w:sz w:val="20"/>
          <w:szCs w:val="20"/>
        </w:rPr>
        <w:t>Four acute toxicity studies are available for aquatic invertebrates in fresh water and two in sea water and cited below:</w:t>
      </w:r>
    </w:p>
    <w:p w14:paraId="2B2EAD43" w14:textId="26095A1B" w:rsidR="00991CCB" w:rsidRPr="00E944B9" w:rsidRDefault="00991CCB" w:rsidP="00E944B9">
      <w:pPr>
        <w:jc w:val="both"/>
        <w:rPr>
          <w:rFonts w:ascii="Verdana" w:hAnsi="Verdana"/>
          <w:i/>
          <w:sz w:val="20"/>
          <w:szCs w:val="20"/>
        </w:rPr>
      </w:pPr>
      <w:r w:rsidRPr="00E944B9">
        <w:rPr>
          <w:rFonts w:ascii="Verdana" w:hAnsi="Verdana"/>
          <w:i/>
          <w:sz w:val="20"/>
          <w:szCs w:val="20"/>
        </w:rPr>
        <w:t xml:space="preserve">Three Daphnia magna studies (Scholz 1990 &amp; 1994, Knacker 1990) are considered as not reliable as they make use of a surfactant to expose the animals at concentrations well above solubility limit. In </w:t>
      </w:r>
      <w:proofErr w:type="gramStart"/>
      <w:r w:rsidRPr="00E944B9">
        <w:rPr>
          <w:rFonts w:ascii="Verdana" w:hAnsi="Verdana"/>
          <w:i/>
          <w:sz w:val="20"/>
          <w:szCs w:val="20"/>
        </w:rPr>
        <w:t>addition</w:t>
      </w:r>
      <w:proofErr w:type="gramEnd"/>
      <w:r w:rsidRPr="00E944B9">
        <w:rPr>
          <w:rFonts w:ascii="Verdana" w:hAnsi="Verdana"/>
          <w:i/>
          <w:sz w:val="20"/>
          <w:szCs w:val="20"/>
        </w:rPr>
        <w:t xml:space="preserve"> the surfactant concentration varies with the test substance concentration which does not allow to separate effects of the two. In the fourth Daphnia test (</w:t>
      </w:r>
      <w:proofErr w:type="spellStart"/>
      <w:r w:rsidRPr="00E944B9">
        <w:rPr>
          <w:rFonts w:ascii="Verdana" w:hAnsi="Verdana"/>
          <w:i/>
          <w:sz w:val="20"/>
          <w:szCs w:val="20"/>
        </w:rPr>
        <w:t>Thiébaud</w:t>
      </w:r>
      <w:proofErr w:type="spellEnd"/>
      <w:r w:rsidRPr="00E944B9">
        <w:rPr>
          <w:rFonts w:ascii="Verdana" w:hAnsi="Verdana"/>
          <w:i/>
          <w:sz w:val="20"/>
          <w:szCs w:val="20"/>
        </w:rPr>
        <w:t>, 1996), no immobilization was observed after 48h exposure at the highest soluble (measured) concentration, 29 µg/L.</w:t>
      </w:r>
    </w:p>
    <w:p w14:paraId="1050DD6D" w14:textId="70EA5BBD" w:rsidR="00991CCB" w:rsidRPr="00E944B9" w:rsidRDefault="00991CCB" w:rsidP="00E944B9">
      <w:pPr>
        <w:jc w:val="both"/>
        <w:rPr>
          <w:rFonts w:ascii="Verdana" w:hAnsi="Verdana"/>
          <w:i/>
          <w:sz w:val="20"/>
          <w:szCs w:val="20"/>
        </w:rPr>
      </w:pPr>
      <w:r w:rsidRPr="00E944B9">
        <w:rPr>
          <w:rFonts w:ascii="Verdana" w:hAnsi="Verdana"/>
          <w:i/>
          <w:sz w:val="20"/>
          <w:szCs w:val="20"/>
        </w:rPr>
        <w:t xml:space="preserve">In the first </w:t>
      </w:r>
      <w:proofErr w:type="spellStart"/>
      <w:r w:rsidRPr="00E944B9">
        <w:rPr>
          <w:rFonts w:ascii="Verdana" w:hAnsi="Verdana"/>
          <w:i/>
          <w:sz w:val="20"/>
          <w:szCs w:val="20"/>
        </w:rPr>
        <w:t>Acartia</w:t>
      </w:r>
      <w:proofErr w:type="spellEnd"/>
      <w:r w:rsidRPr="00E944B9">
        <w:rPr>
          <w:rFonts w:ascii="Verdana" w:hAnsi="Verdana"/>
          <w:i/>
          <w:sz w:val="20"/>
          <w:szCs w:val="20"/>
        </w:rPr>
        <w:t xml:space="preserve"> test (Rogaland 1996) a LC50 -48h has been determined as being 87 µg/L (nominal), using acetone as </w:t>
      </w:r>
      <w:proofErr w:type="spellStart"/>
      <w:proofErr w:type="gramStart"/>
      <w:r w:rsidRPr="00E944B9">
        <w:rPr>
          <w:rFonts w:ascii="Verdana" w:hAnsi="Verdana"/>
          <w:i/>
          <w:sz w:val="20"/>
          <w:szCs w:val="20"/>
        </w:rPr>
        <w:t>solvent.In</w:t>
      </w:r>
      <w:proofErr w:type="spellEnd"/>
      <w:proofErr w:type="gramEnd"/>
      <w:r w:rsidRPr="00E944B9">
        <w:rPr>
          <w:rFonts w:ascii="Verdana" w:hAnsi="Verdana"/>
          <w:i/>
          <w:sz w:val="20"/>
          <w:szCs w:val="20"/>
        </w:rPr>
        <w:t xml:space="preserve"> the second </w:t>
      </w:r>
      <w:proofErr w:type="spellStart"/>
      <w:r w:rsidRPr="00E944B9">
        <w:rPr>
          <w:rFonts w:ascii="Verdana" w:hAnsi="Verdana"/>
          <w:i/>
          <w:sz w:val="20"/>
          <w:szCs w:val="20"/>
        </w:rPr>
        <w:t>Acartia</w:t>
      </w:r>
      <w:proofErr w:type="spellEnd"/>
      <w:r w:rsidRPr="00E944B9">
        <w:rPr>
          <w:rFonts w:ascii="Verdana" w:hAnsi="Verdana"/>
          <w:i/>
          <w:sz w:val="20"/>
          <w:szCs w:val="20"/>
        </w:rPr>
        <w:t xml:space="preserve"> test (</w:t>
      </w:r>
      <w:proofErr w:type="spellStart"/>
      <w:r w:rsidRPr="00E944B9">
        <w:rPr>
          <w:rFonts w:ascii="Verdana" w:hAnsi="Verdana"/>
          <w:i/>
          <w:sz w:val="20"/>
          <w:szCs w:val="20"/>
        </w:rPr>
        <w:t>Inveresk</w:t>
      </w:r>
      <w:proofErr w:type="spellEnd"/>
      <w:r w:rsidRPr="00E944B9">
        <w:rPr>
          <w:rFonts w:ascii="Verdana" w:hAnsi="Verdana"/>
          <w:i/>
          <w:sz w:val="20"/>
          <w:szCs w:val="20"/>
        </w:rPr>
        <w:t>, 1997) LC50 was not attained at the highest soluble concentration of 20.6 µg/L.</w:t>
      </w:r>
    </w:p>
    <w:p w14:paraId="7BF9A7B4" w14:textId="094B6AA7" w:rsidR="00991CCB" w:rsidRPr="00E944B9" w:rsidRDefault="00991CCB" w:rsidP="00E944B9">
      <w:pPr>
        <w:jc w:val="both"/>
        <w:rPr>
          <w:rFonts w:ascii="Verdana" w:hAnsi="Verdana"/>
          <w:i/>
          <w:sz w:val="20"/>
          <w:szCs w:val="20"/>
        </w:rPr>
      </w:pPr>
      <w:r w:rsidRPr="00E944B9">
        <w:rPr>
          <w:rFonts w:ascii="Verdana" w:hAnsi="Verdana"/>
          <w:i/>
          <w:sz w:val="20"/>
          <w:szCs w:val="20"/>
        </w:rPr>
        <w:t>It can be concluded that in normal conditions (not trespassing water solubility limit) there is no significant acute toxicity towards fresh- or seawater invertebrates.</w:t>
      </w:r>
    </w:p>
    <w:p w14:paraId="5D4748A7" w14:textId="3EB76C91" w:rsidR="008B2DA5" w:rsidRPr="00E944B9" w:rsidRDefault="000744D5" w:rsidP="00E944B9">
      <w:pPr>
        <w:jc w:val="both"/>
        <w:rPr>
          <w:rFonts w:ascii="Verdana" w:hAnsi="Verdana"/>
          <w:sz w:val="20"/>
          <w:szCs w:val="20"/>
        </w:rPr>
      </w:pPr>
      <w:r>
        <w:rPr>
          <w:rFonts w:ascii="Verdana" w:hAnsi="Verdana"/>
          <w:sz w:val="20"/>
          <w:szCs w:val="20"/>
        </w:rPr>
        <w:t>O</w:t>
      </w:r>
      <w:r w:rsidR="003D01D1">
        <w:rPr>
          <w:rFonts w:ascii="Verdana" w:hAnsi="Verdana"/>
          <w:sz w:val="20"/>
          <w:szCs w:val="20"/>
        </w:rPr>
        <w:t>ne other</w:t>
      </w:r>
      <w:r w:rsidR="00547E60" w:rsidRPr="00E944B9">
        <w:rPr>
          <w:rFonts w:ascii="Verdana" w:hAnsi="Verdana"/>
          <w:sz w:val="20"/>
          <w:szCs w:val="20"/>
        </w:rPr>
        <w:t xml:space="preserve"> </w:t>
      </w:r>
      <w:r w:rsidR="008B2DA5" w:rsidRPr="00E944B9">
        <w:rPr>
          <w:rFonts w:ascii="Verdana" w:hAnsi="Verdana"/>
          <w:sz w:val="20"/>
          <w:szCs w:val="20"/>
        </w:rPr>
        <w:t>aquatic</w:t>
      </w:r>
      <w:r w:rsidR="00547E60" w:rsidRPr="00E944B9">
        <w:rPr>
          <w:rFonts w:ascii="Verdana" w:hAnsi="Verdana"/>
          <w:sz w:val="20"/>
          <w:szCs w:val="20"/>
        </w:rPr>
        <w:t xml:space="preserve"> toxicity </w:t>
      </w:r>
      <w:r w:rsidR="00362B46" w:rsidRPr="00E944B9">
        <w:rPr>
          <w:rFonts w:ascii="Verdana" w:hAnsi="Verdana"/>
          <w:sz w:val="20"/>
          <w:szCs w:val="20"/>
        </w:rPr>
        <w:t>study is</w:t>
      </w:r>
      <w:r w:rsidR="008B2DA5" w:rsidRPr="00E944B9">
        <w:rPr>
          <w:rFonts w:ascii="Verdana" w:hAnsi="Verdana"/>
          <w:sz w:val="20"/>
          <w:szCs w:val="20"/>
        </w:rPr>
        <w:t xml:space="preserve"> also</w:t>
      </w:r>
      <w:r w:rsidR="00362B46" w:rsidRPr="00E944B9">
        <w:rPr>
          <w:rFonts w:ascii="Verdana" w:hAnsi="Verdana"/>
          <w:sz w:val="20"/>
          <w:szCs w:val="20"/>
        </w:rPr>
        <w:t xml:space="preserve"> available</w:t>
      </w:r>
      <w:r w:rsidR="006261FD">
        <w:rPr>
          <w:rFonts w:ascii="Verdana" w:hAnsi="Verdana"/>
          <w:sz w:val="20"/>
          <w:szCs w:val="20"/>
        </w:rPr>
        <w:t xml:space="preserve">, conducted </w:t>
      </w:r>
      <w:r w:rsidR="00362B46" w:rsidRPr="00E944B9">
        <w:rPr>
          <w:rFonts w:ascii="Verdana" w:hAnsi="Verdana"/>
          <w:sz w:val="20"/>
          <w:szCs w:val="20"/>
        </w:rPr>
        <w:t>according to OECD TG 204 for fish (</w:t>
      </w:r>
      <w:proofErr w:type="spellStart"/>
      <w:r w:rsidR="00362B46" w:rsidRPr="00E944B9">
        <w:rPr>
          <w:rFonts w:ascii="Verdana" w:hAnsi="Verdana"/>
          <w:i/>
          <w:sz w:val="20"/>
          <w:szCs w:val="20"/>
        </w:rPr>
        <w:t>Leuciscus</w:t>
      </w:r>
      <w:proofErr w:type="spellEnd"/>
      <w:r w:rsidR="00362B46" w:rsidRPr="00E944B9">
        <w:rPr>
          <w:rFonts w:ascii="Verdana" w:hAnsi="Verdana"/>
          <w:i/>
          <w:sz w:val="20"/>
          <w:szCs w:val="20"/>
        </w:rPr>
        <w:t xml:space="preserve"> </w:t>
      </w:r>
      <w:proofErr w:type="spellStart"/>
      <w:r w:rsidR="00362B46" w:rsidRPr="00E944B9">
        <w:rPr>
          <w:rFonts w:ascii="Verdana" w:hAnsi="Verdana"/>
          <w:i/>
          <w:sz w:val="20"/>
          <w:szCs w:val="20"/>
        </w:rPr>
        <w:t>idus</w:t>
      </w:r>
      <w:proofErr w:type="spellEnd"/>
      <w:r w:rsidR="00362B46" w:rsidRPr="00E944B9">
        <w:rPr>
          <w:rFonts w:ascii="Verdana" w:hAnsi="Verdana"/>
          <w:i/>
          <w:sz w:val="20"/>
          <w:szCs w:val="20"/>
        </w:rPr>
        <w:t xml:space="preserve"> </w:t>
      </w:r>
      <w:proofErr w:type="spellStart"/>
      <w:r w:rsidR="00362B46" w:rsidRPr="00E944B9">
        <w:rPr>
          <w:rFonts w:ascii="Verdana" w:hAnsi="Verdana"/>
          <w:i/>
          <w:sz w:val="20"/>
          <w:szCs w:val="20"/>
        </w:rPr>
        <w:t>melanotus</w:t>
      </w:r>
      <w:proofErr w:type="spellEnd"/>
      <w:r w:rsidR="00362B46" w:rsidRPr="00E944B9">
        <w:rPr>
          <w:rFonts w:ascii="Verdana" w:hAnsi="Verdana"/>
          <w:sz w:val="20"/>
          <w:szCs w:val="20"/>
        </w:rPr>
        <w:t>)</w:t>
      </w:r>
      <w:r w:rsidR="006261FD">
        <w:rPr>
          <w:rFonts w:ascii="Verdana" w:hAnsi="Verdana"/>
          <w:sz w:val="20"/>
          <w:szCs w:val="20"/>
        </w:rPr>
        <w:t>,</w:t>
      </w:r>
      <w:r w:rsidR="00362B46" w:rsidRPr="00E944B9">
        <w:rPr>
          <w:rFonts w:ascii="Verdana" w:hAnsi="Verdana"/>
          <w:sz w:val="20"/>
          <w:szCs w:val="20"/>
        </w:rPr>
        <w:t xml:space="preserve"> with Marlotherm S. Observed 14 d NOEC was &gt;0</w:t>
      </w:r>
      <w:r w:rsidR="006261FD">
        <w:rPr>
          <w:rFonts w:ascii="Verdana" w:hAnsi="Verdana"/>
          <w:sz w:val="20"/>
          <w:szCs w:val="20"/>
        </w:rPr>
        <w:t>.</w:t>
      </w:r>
      <w:r w:rsidR="00362B46" w:rsidRPr="00E944B9">
        <w:rPr>
          <w:rFonts w:ascii="Verdana" w:hAnsi="Verdana"/>
          <w:sz w:val="20"/>
          <w:szCs w:val="20"/>
        </w:rPr>
        <w:t>46 mg/L</w:t>
      </w:r>
      <w:r w:rsidR="008B2DA5" w:rsidRPr="00E944B9">
        <w:rPr>
          <w:rFonts w:ascii="Verdana" w:hAnsi="Verdana"/>
          <w:sz w:val="20"/>
          <w:szCs w:val="20"/>
        </w:rPr>
        <w:t xml:space="preserve"> (measured concentration)</w:t>
      </w:r>
      <w:r w:rsidR="003D01D1">
        <w:rPr>
          <w:rFonts w:ascii="Verdana" w:hAnsi="Verdana"/>
          <w:sz w:val="20"/>
          <w:szCs w:val="20"/>
        </w:rPr>
        <w:t xml:space="preserve"> </w:t>
      </w:r>
      <w:r w:rsidR="006261FD">
        <w:rPr>
          <w:rFonts w:ascii="Verdana" w:hAnsi="Verdana"/>
          <w:sz w:val="20"/>
          <w:szCs w:val="20"/>
        </w:rPr>
        <w:t xml:space="preserve">according to </w:t>
      </w:r>
      <w:r w:rsidR="003D01D1">
        <w:rPr>
          <w:rFonts w:ascii="Verdana" w:hAnsi="Verdana"/>
          <w:sz w:val="20"/>
          <w:szCs w:val="20"/>
        </w:rPr>
        <w:t>the ECHA dissemination site</w:t>
      </w:r>
      <w:r w:rsidR="00362B46" w:rsidRPr="00E944B9">
        <w:rPr>
          <w:rFonts w:ascii="Verdana" w:hAnsi="Verdana"/>
          <w:sz w:val="20"/>
          <w:szCs w:val="20"/>
        </w:rPr>
        <w:t xml:space="preserve">. </w:t>
      </w:r>
      <w:r w:rsidR="00547E60" w:rsidRPr="00E944B9">
        <w:rPr>
          <w:rFonts w:ascii="Verdana" w:hAnsi="Verdana"/>
          <w:sz w:val="20"/>
          <w:szCs w:val="20"/>
        </w:rPr>
        <w:t xml:space="preserve"> </w:t>
      </w:r>
    </w:p>
    <w:p w14:paraId="6B7B8B4F" w14:textId="6BE947DD" w:rsidR="00173878" w:rsidRPr="00E944B9" w:rsidRDefault="008B2DA5" w:rsidP="00E944B9">
      <w:pPr>
        <w:jc w:val="both"/>
        <w:rPr>
          <w:rFonts w:ascii="Verdana" w:hAnsi="Verdana"/>
          <w:sz w:val="20"/>
          <w:szCs w:val="20"/>
        </w:rPr>
      </w:pPr>
      <w:r w:rsidRPr="00E944B9">
        <w:rPr>
          <w:rFonts w:ascii="Verdana" w:hAnsi="Verdana"/>
          <w:sz w:val="20"/>
          <w:szCs w:val="20"/>
        </w:rPr>
        <w:t>One long-term toxicity study (OECD TG 202) is available for aquatic invertebrates (</w:t>
      </w:r>
      <w:r w:rsidRPr="00E944B9">
        <w:rPr>
          <w:rFonts w:ascii="Verdana" w:hAnsi="Verdana"/>
          <w:i/>
          <w:sz w:val="20"/>
          <w:szCs w:val="20"/>
        </w:rPr>
        <w:t>Daphnia magna</w:t>
      </w:r>
      <w:r w:rsidRPr="00E944B9">
        <w:rPr>
          <w:rFonts w:ascii="Verdana" w:hAnsi="Verdana"/>
          <w:sz w:val="20"/>
          <w:szCs w:val="20"/>
        </w:rPr>
        <w:t>)</w:t>
      </w:r>
      <w:r w:rsidR="003F0BB1" w:rsidRPr="00E944B9">
        <w:rPr>
          <w:rFonts w:ascii="Verdana" w:hAnsi="Verdana"/>
          <w:sz w:val="20"/>
          <w:szCs w:val="20"/>
        </w:rPr>
        <w:t xml:space="preserve"> with </w:t>
      </w:r>
      <w:r w:rsidR="00307043">
        <w:rPr>
          <w:rFonts w:ascii="Verdana" w:hAnsi="Verdana"/>
          <w:sz w:val="20"/>
          <w:szCs w:val="20"/>
        </w:rPr>
        <w:t xml:space="preserve">a </w:t>
      </w:r>
      <w:r w:rsidR="003F0BB1" w:rsidRPr="00E944B9">
        <w:rPr>
          <w:rFonts w:ascii="Verdana" w:hAnsi="Verdana"/>
          <w:sz w:val="20"/>
          <w:szCs w:val="20"/>
        </w:rPr>
        <w:t xml:space="preserve">21 d NOEC value of 0.03 mg/L and </w:t>
      </w:r>
      <w:r w:rsidR="00307043">
        <w:rPr>
          <w:rFonts w:ascii="Verdana" w:hAnsi="Verdana"/>
          <w:sz w:val="20"/>
          <w:szCs w:val="20"/>
        </w:rPr>
        <w:t xml:space="preserve">a </w:t>
      </w:r>
      <w:r w:rsidR="003F0BB1" w:rsidRPr="00E944B9">
        <w:rPr>
          <w:rFonts w:ascii="Verdana" w:hAnsi="Verdana"/>
          <w:sz w:val="20"/>
          <w:szCs w:val="20"/>
        </w:rPr>
        <w:t>LOEC value of 0.1 mg/L based on nominal concentrations</w:t>
      </w:r>
      <w:r w:rsidR="003D01D1">
        <w:rPr>
          <w:rFonts w:ascii="Verdana" w:hAnsi="Verdana"/>
          <w:sz w:val="20"/>
          <w:szCs w:val="20"/>
        </w:rPr>
        <w:t xml:space="preserve"> </w:t>
      </w:r>
      <w:r w:rsidR="00307043">
        <w:rPr>
          <w:rFonts w:ascii="Verdana" w:hAnsi="Verdana"/>
          <w:sz w:val="20"/>
          <w:szCs w:val="20"/>
        </w:rPr>
        <w:t>(</w:t>
      </w:r>
      <w:r w:rsidR="003D01D1">
        <w:rPr>
          <w:rFonts w:ascii="Verdana" w:hAnsi="Verdana"/>
          <w:sz w:val="20"/>
          <w:szCs w:val="20"/>
        </w:rPr>
        <w:t>ECHA dissemination site</w:t>
      </w:r>
      <w:r w:rsidR="00307043">
        <w:rPr>
          <w:rFonts w:ascii="Verdana" w:hAnsi="Verdana"/>
          <w:sz w:val="20"/>
          <w:szCs w:val="20"/>
        </w:rPr>
        <w:t>)</w:t>
      </w:r>
      <w:r w:rsidRPr="00E944B9">
        <w:rPr>
          <w:rFonts w:ascii="Verdana" w:hAnsi="Verdana"/>
          <w:sz w:val="20"/>
          <w:szCs w:val="20"/>
        </w:rPr>
        <w:t xml:space="preserve">. </w:t>
      </w:r>
      <w:r w:rsidR="003F0BB1" w:rsidRPr="00E944B9">
        <w:rPr>
          <w:rFonts w:ascii="Verdana" w:hAnsi="Verdana"/>
          <w:sz w:val="20"/>
          <w:szCs w:val="20"/>
        </w:rPr>
        <w:t xml:space="preserve">However, </w:t>
      </w:r>
      <w:r w:rsidRPr="00E944B9">
        <w:rPr>
          <w:rFonts w:ascii="Verdana" w:hAnsi="Verdana"/>
          <w:sz w:val="20"/>
          <w:szCs w:val="20"/>
        </w:rPr>
        <w:t xml:space="preserve">test substance (Marlotherm S) concentrations were not stable </w:t>
      </w:r>
      <w:proofErr w:type="gramStart"/>
      <w:r w:rsidRPr="00E944B9">
        <w:rPr>
          <w:rFonts w:ascii="Verdana" w:hAnsi="Verdana"/>
          <w:sz w:val="20"/>
          <w:szCs w:val="20"/>
        </w:rPr>
        <w:t>during the course of</w:t>
      </w:r>
      <w:proofErr w:type="gramEnd"/>
      <w:r w:rsidRPr="00E944B9">
        <w:rPr>
          <w:rFonts w:ascii="Verdana" w:hAnsi="Verdana"/>
          <w:sz w:val="20"/>
          <w:szCs w:val="20"/>
        </w:rPr>
        <w:t xml:space="preserve"> the study. The test substance seemed to be adsorptive to surfaces (glass, algae) </w:t>
      </w:r>
      <w:r w:rsidR="003F0BB1" w:rsidRPr="00E944B9">
        <w:rPr>
          <w:rFonts w:ascii="Verdana" w:hAnsi="Verdana"/>
          <w:sz w:val="20"/>
          <w:szCs w:val="20"/>
        </w:rPr>
        <w:t xml:space="preserve">increasing the uncertainty of the test results. </w:t>
      </w:r>
    </w:p>
    <w:p w14:paraId="16FB69ED" w14:textId="7A403644" w:rsidR="00C12540" w:rsidRDefault="00173878" w:rsidP="00F72D04">
      <w:pPr>
        <w:jc w:val="both"/>
        <w:rPr>
          <w:rFonts w:ascii="Verdana" w:hAnsi="Verdana"/>
          <w:sz w:val="20"/>
          <w:szCs w:val="20"/>
        </w:rPr>
      </w:pPr>
      <w:r w:rsidRPr="00E944B9">
        <w:rPr>
          <w:rFonts w:ascii="Verdana" w:hAnsi="Verdana"/>
          <w:sz w:val="20"/>
          <w:szCs w:val="20"/>
        </w:rPr>
        <w:t xml:space="preserve">For algae toxicity 4 out of </w:t>
      </w:r>
      <w:r w:rsidR="00307043">
        <w:rPr>
          <w:rFonts w:ascii="Verdana" w:hAnsi="Verdana"/>
          <w:sz w:val="20"/>
          <w:szCs w:val="20"/>
        </w:rPr>
        <w:t xml:space="preserve">the </w:t>
      </w:r>
      <w:r w:rsidRPr="00E944B9">
        <w:rPr>
          <w:rFonts w:ascii="Verdana" w:hAnsi="Verdana"/>
          <w:sz w:val="20"/>
          <w:szCs w:val="20"/>
        </w:rPr>
        <w:t xml:space="preserve">5 studies available are considered unreliable </w:t>
      </w:r>
      <w:r w:rsidR="0029232B">
        <w:rPr>
          <w:rFonts w:ascii="Verdana" w:hAnsi="Verdana"/>
          <w:sz w:val="20"/>
          <w:szCs w:val="20"/>
        </w:rPr>
        <w:t>in the substance factsheet</w:t>
      </w:r>
      <w:r w:rsidRPr="00E944B9">
        <w:rPr>
          <w:rFonts w:ascii="Verdana" w:hAnsi="Verdana"/>
          <w:sz w:val="20"/>
          <w:szCs w:val="20"/>
        </w:rPr>
        <w:t xml:space="preserve"> based </w:t>
      </w:r>
      <w:r w:rsidR="00307043">
        <w:rPr>
          <w:rFonts w:ascii="Verdana" w:hAnsi="Verdana"/>
          <w:sz w:val="20"/>
          <w:szCs w:val="20"/>
        </w:rPr>
        <w:t xml:space="preserve">on </w:t>
      </w:r>
      <w:r w:rsidRPr="00E944B9">
        <w:rPr>
          <w:rFonts w:ascii="Verdana" w:hAnsi="Verdana"/>
          <w:sz w:val="20"/>
          <w:szCs w:val="20"/>
        </w:rPr>
        <w:t>uncertainty on exposure concentrations</w:t>
      </w:r>
      <w:r w:rsidR="000E585B">
        <w:rPr>
          <w:rFonts w:ascii="Verdana" w:hAnsi="Verdana"/>
          <w:sz w:val="20"/>
          <w:szCs w:val="20"/>
        </w:rPr>
        <w:t xml:space="preserve"> and/or use of a surfactant</w:t>
      </w:r>
      <w:r w:rsidR="00F72D04" w:rsidRPr="00E944B9">
        <w:rPr>
          <w:rFonts w:ascii="Verdana" w:hAnsi="Verdana"/>
          <w:sz w:val="20"/>
          <w:szCs w:val="20"/>
        </w:rPr>
        <w:t xml:space="preserve">. In the key study marine diatom </w:t>
      </w:r>
      <w:proofErr w:type="spellStart"/>
      <w:r w:rsidR="00F72D04" w:rsidRPr="00E944B9">
        <w:rPr>
          <w:rFonts w:ascii="Verdana" w:hAnsi="Verdana"/>
          <w:i/>
          <w:sz w:val="20"/>
          <w:szCs w:val="20"/>
        </w:rPr>
        <w:t>Skeletonema</w:t>
      </w:r>
      <w:proofErr w:type="spellEnd"/>
      <w:r w:rsidR="00F72D04" w:rsidRPr="00E944B9">
        <w:rPr>
          <w:rFonts w:ascii="Verdana" w:hAnsi="Verdana"/>
          <w:i/>
          <w:sz w:val="20"/>
          <w:szCs w:val="20"/>
        </w:rPr>
        <w:t xml:space="preserve"> </w:t>
      </w:r>
      <w:proofErr w:type="spellStart"/>
      <w:r w:rsidR="00F72D04" w:rsidRPr="00E944B9">
        <w:rPr>
          <w:rFonts w:ascii="Verdana" w:hAnsi="Verdana"/>
          <w:i/>
          <w:sz w:val="20"/>
          <w:szCs w:val="20"/>
        </w:rPr>
        <w:t>costatum</w:t>
      </w:r>
      <w:proofErr w:type="spellEnd"/>
      <w:r w:rsidR="00F72D04" w:rsidRPr="00E944B9">
        <w:rPr>
          <w:rFonts w:ascii="Verdana" w:hAnsi="Verdana"/>
          <w:sz w:val="20"/>
          <w:szCs w:val="20"/>
        </w:rPr>
        <w:t xml:space="preserve"> was tested according to </w:t>
      </w:r>
      <w:r w:rsidR="00F72D04">
        <w:rPr>
          <w:rFonts w:ascii="Verdana" w:hAnsi="Verdana"/>
          <w:sz w:val="20"/>
          <w:szCs w:val="20"/>
        </w:rPr>
        <w:t>protocol described in</w:t>
      </w:r>
      <w:r w:rsidR="00F72D04" w:rsidRPr="00E944B9">
        <w:rPr>
          <w:rFonts w:ascii="Verdana" w:hAnsi="Verdana"/>
          <w:sz w:val="20"/>
          <w:szCs w:val="20"/>
        </w:rPr>
        <w:t xml:space="preserve"> ISO 10253 </w:t>
      </w:r>
      <w:r w:rsidR="00F72D04">
        <w:rPr>
          <w:rFonts w:ascii="Verdana" w:hAnsi="Verdana"/>
          <w:sz w:val="20"/>
          <w:szCs w:val="20"/>
        </w:rPr>
        <w:t xml:space="preserve">standard </w:t>
      </w:r>
      <w:r w:rsidR="00F72D04" w:rsidRPr="00E944B9">
        <w:rPr>
          <w:rFonts w:ascii="Verdana" w:hAnsi="Verdana"/>
          <w:sz w:val="20"/>
          <w:szCs w:val="20"/>
        </w:rPr>
        <w:t xml:space="preserve">(Water quality </w:t>
      </w:r>
      <w:r w:rsidR="000E585B">
        <w:rPr>
          <w:rFonts w:ascii="Verdana" w:hAnsi="Verdana"/>
          <w:sz w:val="20"/>
          <w:szCs w:val="20"/>
        </w:rPr>
        <w:t>–</w:t>
      </w:r>
      <w:r w:rsidR="00F72D04" w:rsidRPr="00E944B9">
        <w:rPr>
          <w:rFonts w:ascii="Verdana" w:hAnsi="Verdana"/>
          <w:sz w:val="20"/>
          <w:szCs w:val="20"/>
        </w:rPr>
        <w:t xml:space="preserve"> Marine Algal Growth Inhibition Test with </w:t>
      </w:r>
      <w:proofErr w:type="spellStart"/>
      <w:r w:rsidR="00F72D04" w:rsidRPr="00E944B9">
        <w:rPr>
          <w:rFonts w:ascii="Verdana" w:hAnsi="Verdana"/>
          <w:sz w:val="20"/>
          <w:szCs w:val="20"/>
        </w:rPr>
        <w:t>Skeletonema</w:t>
      </w:r>
      <w:proofErr w:type="spellEnd"/>
      <w:r w:rsidR="00F72D04" w:rsidRPr="00E944B9">
        <w:rPr>
          <w:rFonts w:ascii="Verdana" w:hAnsi="Verdana"/>
          <w:sz w:val="20"/>
          <w:szCs w:val="20"/>
        </w:rPr>
        <w:t xml:space="preserve"> </w:t>
      </w:r>
      <w:proofErr w:type="spellStart"/>
      <w:r w:rsidR="00F72D04" w:rsidRPr="00E944B9">
        <w:rPr>
          <w:rFonts w:ascii="Verdana" w:hAnsi="Verdana"/>
          <w:sz w:val="20"/>
          <w:szCs w:val="20"/>
        </w:rPr>
        <w:t>costatum</w:t>
      </w:r>
      <w:proofErr w:type="spellEnd"/>
      <w:r w:rsidR="00F72D04" w:rsidRPr="00E944B9">
        <w:rPr>
          <w:rFonts w:ascii="Verdana" w:hAnsi="Verdana"/>
          <w:sz w:val="20"/>
          <w:szCs w:val="20"/>
        </w:rPr>
        <w:t xml:space="preserve"> and </w:t>
      </w:r>
      <w:proofErr w:type="spellStart"/>
      <w:r w:rsidR="00F72D04" w:rsidRPr="00E944B9">
        <w:rPr>
          <w:rFonts w:ascii="Verdana" w:hAnsi="Verdana"/>
          <w:sz w:val="20"/>
          <w:szCs w:val="20"/>
        </w:rPr>
        <w:t>Phaeodactylum</w:t>
      </w:r>
      <w:proofErr w:type="spellEnd"/>
      <w:r w:rsidR="00F72D04" w:rsidRPr="00E944B9">
        <w:rPr>
          <w:rFonts w:ascii="Verdana" w:hAnsi="Verdana"/>
          <w:sz w:val="20"/>
          <w:szCs w:val="20"/>
        </w:rPr>
        <w:t xml:space="preserve"> </w:t>
      </w:r>
      <w:proofErr w:type="spellStart"/>
      <w:r w:rsidR="00F72D04" w:rsidRPr="00E944B9">
        <w:rPr>
          <w:rFonts w:ascii="Verdana" w:hAnsi="Verdana"/>
          <w:sz w:val="20"/>
          <w:szCs w:val="20"/>
        </w:rPr>
        <w:t>tricornutum</w:t>
      </w:r>
      <w:proofErr w:type="spellEnd"/>
      <w:r w:rsidR="00F72D04" w:rsidRPr="00E944B9">
        <w:rPr>
          <w:rFonts w:ascii="Verdana" w:hAnsi="Verdana"/>
          <w:sz w:val="20"/>
          <w:szCs w:val="20"/>
        </w:rPr>
        <w:t>).</w:t>
      </w:r>
      <w:r w:rsidR="00F72D04">
        <w:rPr>
          <w:rFonts w:ascii="Verdana" w:hAnsi="Verdana"/>
          <w:sz w:val="20"/>
          <w:szCs w:val="20"/>
        </w:rPr>
        <w:t xml:space="preserve"> No EC50 or NOEC could be determined as no inhibition of growth was observed at the highest soluble concentration (16 µg/L). </w:t>
      </w:r>
      <w:r w:rsidR="00F627D0">
        <w:rPr>
          <w:rFonts w:ascii="Verdana" w:hAnsi="Verdana"/>
          <w:sz w:val="20"/>
          <w:szCs w:val="20"/>
        </w:rPr>
        <w:t>Robust study summaries</w:t>
      </w:r>
      <w:r w:rsidR="00A71CEB">
        <w:rPr>
          <w:rFonts w:ascii="Verdana" w:hAnsi="Verdana"/>
          <w:sz w:val="20"/>
          <w:szCs w:val="20"/>
        </w:rPr>
        <w:t xml:space="preserve"> </w:t>
      </w:r>
      <w:r w:rsidR="00F627D0">
        <w:rPr>
          <w:rFonts w:ascii="Verdana" w:hAnsi="Verdana"/>
          <w:sz w:val="20"/>
          <w:szCs w:val="20"/>
        </w:rPr>
        <w:t>are</w:t>
      </w:r>
      <w:r w:rsidR="00A71CEB">
        <w:rPr>
          <w:rFonts w:ascii="Verdana" w:hAnsi="Verdana"/>
          <w:sz w:val="20"/>
          <w:szCs w:val="20"/>
        </w:rPr>
        <w:t xml:space="preserve"> currently being asked for algae toxicity studies in </w:t>
      </w:r>
      <w:r w:rsidR="009E4B6F">
        <w:rPr>
          <w:rFonts w:ascii="Verdana" w:hAnsi="Verdana"/>
          <w:sz w:val="20"/>
          <w:szCs w:val="20"/>
        </w:rPr>
        <w:t xml:space="preserve">the </w:t>
      </w:r>
      <w:r w:rsidR="00A71CEB">
        <w:rPr>
          <w:rFonts w:ascii="Verdana" w:hAnsi="Verdana"/>
          <w:sz w:val="20"/>
          <w:szCs w:val="20"/>
        </w:rPr>
        <w:t>CCH decision by ECHA</w:t>
      </w:r>
      <w:r w:rsidR="009E4B6F">
        <w:rPr>
          <w:rFonts w:ascii="Verdana" w:hAnsi="Verdana"/>
          <w:sz w:val="20"/>
        </w:rPr>
        <w:t>.</w:t>
      </w:r>
    </w:p>
    <w:p w14:paraId="4509B70F" w14:textId="77777777" w:rsidR="0042302F" w:rsidRDefault="0042302F" w:rsidP="00F72D04">
      <w:pPr>
        <w:jc w:val="both"/>
        <w:rPr>
          <w:rFonts w:ascii="Verdana" w:hAnsi="Verdana"/>
          <w:sz w:val="20"/>
          <w:szCs w:val="20"/>
        </w:rPr>
      </w:pPr>
    </w:p>
    <w:p w14:paraId="1578FE68" w14:textId="77777777" w:rsidR="0042302F" w:rsidRDefault="0042302F" w:rsidP="00F72D04">
      <w:pPr>
        <w:jc w:val="both"/>
        <w:rPr>
          <w:rFonts w:ascii="Verdana" w:hAnsi="Verdana"/>
          <w:sz w:val="20"/>
          <w:szCs w:val="20"/>
        </w:rPr>
      </w:pPr>
    </w:p>
    <w:p w14:paraId="15237DBA" w14:textId="77777777" w:rsidR="004953A7" w:rsidRDefault="004953A7" w:rsidP="00F72D04">
      <w:pPr>
        <w:jc w:val="both"/>
        <w:rPr>
          <w:rFonts w:ascii="Verdana" w:hAnsi="Verdana"/>
          <w:sz w:val="20"/>
          <w:szCs w:val="20"/>
        </w:rPr>
      </w:pPr>
    </w:p>
    <w:p w14:paraId="0E9EA035" w14:textId="77777777" w:rsidR="004953A7" w:rsidRDefault="004953A7" w:rsidP="00F72D04">
      <w:pPr>
        <w:jc w:val="both"/>
        <w:rPr>
          <w:rFonts w:ascii="Verdana" w:hAnsi="Verdana"/>
          <w:sz w:val="20"/>
          <w:szCs w:val="20"/>
        </w:rPr>
      </w:pPr>
    </w:p>
    <w:p w14:paraId="77A9573E" w14:textId="77777777" w:rsidR="004953A7" w:rsidRDefault="004953A7" w:rsidP="00F72D04">
      <w:pPr>
        <w:jc w:val="both"/>
        <w:rPr>
          <w:rFonts w:ascii="Verdana" w:hAnsi="Verdana"/>
          <w:sz w:val="20"/>
          <w:szCs w:val="20"/>
        </w:rPr>
      </w:pPr>
    </w:p>
    <w:p w14:paraId="2173F915" w14:textId="77777777" w:rsidR="004953A7" w:rsidRDefault="004953A7" w:rsidP="00F72D04">
      <w:pPr>
        <w:jc w:val="both"/>
        <w:rPr>
          <w:rFonts w:ascii="Verdana" w:hAnsi="Verdana"/>
          <w:sz w:val="20"/>
          <w:szCs w:val="20"/>
        </w:rPr>
      </w:pPr>
    </w:p>
    <w:p w14:paraId="745C4E6F" w14:textId="77777777" w:rsidR="004953A7" w:rsidRDefault="004953A7" w:rsidP="00F72D04">
      <w:pPr>
        <w:jc w:val="both"/>
        <w:rPr>
          <w:rFonts w:ascii="Verdana" w:hAnsi="Verdana"/>
          <w:sz w:val="20"/>
          <w:szCs w:val="20"/>
        </w:rPr>
      </w:pPr>
    </w:p>
    <w:p w14:paraId="0DDAF1FC" w14:textId="77777777" w:rsidR="004953A7" w:rsidRDefault="004953A7" w:rsidP="00F72D04">
      <w:pPr>
        <w:jc w:val="both"/>
        <w:rPr>
          <w:rFonts w:ascii="Verdana" w:hAnsi="Verdana"/>
          <w:sz w:val="20"/>
          <w:szCs w:val="20"/>
        </w:rPr>
      </w:pPr>
    </w:p>
    <w:p w14:paraId="30A66925" w14:textId="1439F0E3" w:rsidR="00F916C5" w:rsidRPr="00F916C5" w:rsidDel="003F0BB1" w:rsidRDefault="00C12540" w:rsidP="00F72D04">
      <w:pPr>
        <w:jc w:val="both"/>
        <w:rPr>
          <w:rFonts w:ascii="Verdana" w:hAnsi="Verdana"/>
          <w:sz w:val="20"/>
          <w:szCs w:val="20"/>
        </w:rPr>
      </w:pPr>
      <w:r>
        <w:rPr>
          <w:rFonts w:ascii="Verdana" w:hAnsi="Verdana"/>
          <w:sz w:val="20"/>
          <w:szCs w:val="20"/>
        </w:rPr>
        <w:lastRenderedPageBreak/>
        <w:t xml:space="preserve">From studies </w:t>
      </w:r>
      <w:r w:rsidR="00307043">
        <w:rPr>
          <w:rFonts w:ascii="Verdana" w:hAnsi="Verdana"/>
          <w:sz w:val="20"/>
          <w:szCs w:val="20"/>
        </w:rPr>
        <w:t xml:space="preserve">indicated as disregarded </w:t>
      </w:r>
      <w:r w:rsidR="003D01D1">
        <w:rPr>
          <w:rFonts w:ascii="Verdana" w:hAnsi="Verdana"/>
          <w:sz w:val="20"/>
          <w:szCs w:val="20"/>
        </w:rPr>
        <w:t>in the ECHA dissemination site</w:t>
      </w:r>
      <w:r w:rsidR="00307043">
        <w:rPr>
          <w:rFonts w:ascii="Verdana" w:hAnsi="Verdana"/>
          <w:sz w:val="20"/>
          <w:szCs w:val="20"/>
        </w:rPr>
        <w:t>,</w:t>
      </w:r>
      <w:r w:rsidR="003D01D1" w:rsidDel="003D01D1">
        <w:rPr>
          <w:rFonts w:ascii="Verdana" w:hAnsi="Verdana"/>
          <w:sz w:val="20"/>
          <w:szCs w:val="20"/>
        </w:rPr>
        <w:t xml:space="preserve"> </w:t>
      </w:r>
      <w:r w:rsidR="00CB3A66">
        <w:rPr>
          <w:rFonts w:ascii="Verdana" w:hAnsi="Verdana"/>
          <w:sz w:val="20"/>
          <w:szCs w:val="20"/>
        </w:rPr>
        <w:t>following results are available:</w:t>
      </w:r>
    </w:p>
    <w:tbl>
      <w:tblPr>
        <w:tblpPr w:leftFromText="181" w:rightFromText="181" w:vertAnchor="text" w:horzAnchor="margin" w:tblpY="36"/>
        <w:tblOverlap w:val="never"/>
        <w:tblW w:w="53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70"/>
        <w:gridCol w:w="1702"/>
        <w:gridCol w:w="1843"/>
        <w:gridCol w:w="4111"/>
      </w:tblGrid>
      <w:tr w:rsidR="00F627D0" w:rsidRPr="00CB3A66" w14:paraId="0F510472" w14:textId="77777777" w:rsidTr="00E944B9">
        <w:trPr>
          <w:tblHeader/>
        </w:trPr>
        <w:tc>
          <w:tcPr>
            <w:tcW w:w="711" w:type="pct"/>
            <w:tcBorders>
              <w:top w:val="single" w:sz="4" w:space="0" w:color="auto"/>
            </w:tcBorders>
            <w:shd w:val="clear" w:color="auto" w:fill="auto"/>
          </w:tcPr>
          <w:p w14:paraId="399C685F" w14:textId="77777777" w:rsidR="000A04B8" w:rsidRPr="00E944B9" w:rsidRDefault="000A04B8" w:rsidP="000A04B8">
            <w:pPr>
              <w:keepLines/>
              <w:tabs>
                <w:tab w:val="left" w:pos="357"/>
              </w:tabs>
              <w:spacing w:after="0"/>
              <w:jc w:val="center"/>
              <w:rPr>
                <w:rFonts w:ascii="Verdana" w:hAnsi="Verdana"/>
                <w:bCs/>
                <w:sz w:val="20"/>
                <w:szCs w:val="20"/>
                <w:lang w:val="en-GB" w:eastAsia="da-DK"/>
              </w:rPr>
            </w:pPr>
            <w:r w:rsidRPr="00E944B9">
              <w:rPr>
                <w:rFonts w:ascii="Verdana" w:hAnsi="Verdana"/>
                <w:bCs/>
                <w:sz w:val="20"/>
                <w:szCs w:val="20"/>
                <w:lang w:val="en-GB" w:eastAsia="da-DK"/>
              </w:rPr>
              <w:t>Method</w:t>
            </w:r>
          </w:p>
        </w:tc>
        <w:tc>
          <w:tcPr>
            <w:tcW w:w="953" w:type="pct"/>
            <w:tcBorders>
              <w:top w:val="single" w:sz="4" w:space="0" w:color="auto"/>
            </w:tcBorders>
            <w:shd w:val="clear" w:color="auto" w:fill="auto"/>
          </w:tcPr>
          <w:p w14:paraId="405CE5EB" w14:textId="77777777" w:rsidR="000A04B8" w:rsidRPr="00E944B9" w:rsidRDefault="000A04B8" w:rsidP="000A04B8">
            <w:pPr>
              <w:keepLines/>
              <w:tabs>
                <w:tab w:val="left" w:pos="357"/>
              </w:tabs>
              <w:spacing w:after="0"/>
              <w:jc w:val="center"/>
              <w:rPr>
                <w:rFonts w:ascii="Verdana" w:hAnsi="Verdana"/>
                <w:bCs/>
                <w:sz w:val="20"/>
                <w:szCs w:val="20"/>
                <w:lang w:val="en-GB" w:eastAsia="da-DK"/>
              </w:rPr>
            </w:pPr>
            <w:r w:rsidRPr="00E944B9">
              <w:rPr>
                <w:rFonts w:ascii="Verdana" w:hAnsi="Verdana"/>
                <w:bCs/>
                <w:sz w:val="20"/>
                <w:szCs w:val="20"/>
                <w:lang w:val="en-GB" w:eastAsia="da-DK"/>
              </w:rPr>
              <w:t>Species</w:t>
            </w:r>
          </w:p>
        </w:tc>
        <w:tc>
          <w:tcPr>
            <w:tcW w:w="1032" w:type="pct"/>
            <w:tcBorders>
              <w:top w:val="single" w:sz="4" w:space="0" w:color="auto"/>
            </w:tcBorders>
            <w:shd w:val="clear" w:color="auto" w:fill="auto"/>
          </w:tcPr>
          <w:p w14:paraId="46ED474E" w14:textId="77777777" w:rsidR="000A04B8" w:rsidRPr="00E944B9" w:rsidRDefault="000A04B8" w:rsidP="000A04B8">
            <w:pPr>
              <w:keepLines/>
              <w:tabs>
                <w:tab w:val="left" w:pos="357"/>
              </w:tabs>
              <w:spacing w:after="0"/>
              <w:jc w:val="center"/>
              <w:rPr>
                <w:rFonts w:ascii="Verdana" w:hAnsi="Verdana"/>
                <w:bCs/>
                <w:sz w:val="20"/>
                <w:szCs w:val="20"/>
                <w:lang w:val="en-GB" w:eastAsia="da-DK"/>
              </w:rPr>
            </w:pPr>
            <w:r w:rsidRPr="00E944B9">
              <w:rPr>
                <w:rFonts w:ascii="Verdana" w:hAnsi="Verdana"/>
                <w:bCs/>
                <w:sz w:val="20"/>
                <w:szCs w:val="20"/>
                <w:lang w:val="en-GB" w:eastAsia="da-DK"/>
              </w:rPr>
              <w:t>Test material</w:t>
            </w:r>
          </w:p>
        </w:tc>
        <w:tc>
          <w:tcPr>
            <w:tcW w:w="2303" w:type="pct"/>
            <w:tcBorders>
              <w:top w:val="single" w:sz="4" w:space="0" w:color="auto"/>
            </w:tcBorders>
            <w:shd w:val="clear" w:color="auto" w:fill="auto"/>
          </w:tcPr>
          <w:p w14:paraId="17D55A7F" w14:textId="7D805966" w:rsidR="000A04B8" w:rsidRPr="00E944B9" w:rsidRDefault="000A04B8" w:rsidP="000A04B8">
            <w:pPr>
              <w:keepLines/>
              <w:tabs>
                <w:tab w:val="left" w:pos="357"/>
              </w:tabs>
              <w:spacing w:after="0"/>
              <w:jc w:val="center"/>
              <w:rPr>
                <w:rFonts w:ascii="Verdana" w:hAnsi="Verdana"/>
                <w:bCs/>
                <w:sz w:val="20"/>
                <w:szCs w:val="20"/>
                <w:lang w:val="en-GB" w:eastAsia="da-DK"/>
              </w:rPr>
            </w:pPr>
            <w:r w:rsidRPr="00E944B9">
              <w:rPr>
                <w:rFonts w:ascii="Verdana" w:hAnsi="Verdana"/>
                <w:bCs/>
                <w:sz w:val="20"/>
                <w:szCs w:val="20"/>
                <w:lang w:val="en-GB" w:eastAsia="da-DK"/>
              </w:rPr>
              <w:t>Results</w:t>
            </w:r>
          </w:p>
        </w:tc>
      </w:tr>
      <w:tr w:rsidR="00F627D0" w:rsidRPr="00050A37" w14:paraId="3C7C095F" w14:textId="77777777" w:rsidTr="00E944B9">
        <w:trPr>
          <w:tblHeader/>
        </w:trPr>
        <w:tc>
          <w:tcPr>
            <w:tcW w:w="711" w:type="pct"/>
            <w:tcBorders>
              <w:top w:val="single" w:sz="4" w:space="0" w:color="auto"/>
              <w:bottom w:val="single" w:sz="4" w:space="0" w:color="auto"/>
            </w:tcBorders>
            <w:shd w:val="clear" w:color="auto" w:fill="auto"/>
          </w:tcPr>
          <w:p w14:paraId="32244BE0" w14:textId="0EBBB3AA" w:rsidR="000A04B8" w:rsidRPr="00E944B9" w:rsidRDefault="000A04B8" w:rsidP="00E944B9">
            <w:pPr>
              <w:keepLines/>
              <w:tabs>
                <w:tab w:val="left" w:pos="357"/>
              </w:tabs>
              <w:spacing w:after="0"/>
              <w:rPr>
                <w:rFonts w:ascii="Verdana" w:hAnsi="Verdana"/>
                <w:bCs/>
                <w:sz w:val="20"/>
                <w:szCs w:val="20"/>
                <w:lang w:val="en-GB" w:eastAsia="da-DK"/>
              </w:rPr>
            </w:pPr>
            <w:r w:rsidRPr="00F627D0">
              <w:rPr>
                <w:rFonts w:ascii="Verdana" w:hAnsi="Verdana"/>
                <w:bCs/>
                <w:sz w:val="20"/>
                <w:szCs w:val="20"/>
                <w:lang w:val="en-GB" w:eastAsia="da-DK"/>
              </w:rPr>
              <w:t xml:space="preserve">OECD </w:t>
            </w:r>
            <w:r w:rsidR="00EE69C9">
              <w:rPr>
                <w:rFonts w:ascii="Verdana" w:hAnsi="Verdana"/>
                <w:bCs/>
                <w:sz w:val="20"/>
                <w:szCs w:val="20"/>
                <w:lang w:val="en-GB" w:eastAsia="da-DK"/>
              </w:rPr>
              <w:t xml:space="preserve">TG </w:t>
            </w:r>
            <w:r w:rsidRPr="00F627D0">
              <w:rPr>
                <w:rFonts w:ascii="Verdana" w:hAnsi="Verdana"/>
                <w:bCs/>
                <w:sz w:val="20"/>
                <w:szCs w:val="20"/>
                <w:lang w:val="en-GB" w:eastAsia="da-DK"/>
              </w:rPr>
              <w:t>201</w:t>
            </w:r>
          </w:p>
        </w:tc>
        <w:tc>
          <w:tcPr>
            <w:tcW w:w="953" w:type="pct"/>
            <w:tcBorders>
              <w:top w:val="single" w:sz="4" w:space="0" w:color="auto"/>
              <w:bottom w:val="single" w:sz="4" w:space="0" w:color="auto"/>
            </w:tcBorders>
            <w:shd w:val="clear" w:color="auto" w:fill="auto"/>
          </w:tcPr>
          <w:p w14:paraId="357FAEA3" w14:textId="0F05E2D4" w:rsidR="000A04B8" w:rsidRPr="00E944B9" w:rsidRDefault="000A04B8" w:rsidP="00E944B9">
            <w:pPr>
              <w:keepLines/>
              <w:tabs>
                <w:tab w:val="left" w:pos="357"/>
              </w:tabs>
              <w:spacing w:after="0"/>
              <w:rPr>
                <w:rFonts w:ascii="Verdana" w:hAnsi="Verdana"/>
                <w:bCs/>
                <w:sz w:val="20"/>
                <w:szCs w:val="20"/>
                <w:lang w:val="en-GB" w:eastAsia="da-DK"/>
              </w:rPr>
            </w:pPr>
            <w:proofErr w:type="spellStart"/>
            <w:r w:rsidRPr="00F627D0">
              <w:rPr>
                <w:rFonts w:ascii="Verdana" w:hAnsi="Verdana"/>
                <w:bCs/>
                <w:sz w:val="20"/>
                <w:szCs w:val="20"/>
                <w:lang w:val="en-GB" w:eastAsia="da-DK"/>
              </w:rPr>
              <w:t>Desmodesmus</w:t>
            </w:r>
            <w:proofErr w:type="spellEnd"/>
            <w:r w:rsidRPr="00F627D0">
              <w:rPr>
                <w:rFonts w:ascii="Verdana" w:hAnsi="Verdana"/>
                <w:bCs/>
                <w:sz w:val="20"/>
                <w:szCs w:val="20"/>
                <w:lang w:val="en-GB" w:eastAsia="da-DK"/>
              </w:rPr>
              <w:t xml:space="preserve"> </w:t>
            </w:r>
            <w:proofErr w:type="spellStart"/>
            <w:r w:rsidRPr="00F627D0">
              <w:rPr>
                <w:rFonts w:ascii="Verdana" w:hAnsi="Verdana"/>
                <w:bCs/>
                <w:sz w:val="20"/>
                <w:szCs w:val="20"/>
                <w:lang w:val="en-GB" w:eastAsia="da-DK"/>
              </w:rPr>
              <w:t>subspicatus</w:t>
            </w:r>
            <w:proofErr w:type="spellEnd"/>
          </w:p>
        </w:tc>
        <w:tc>
          <w:tcPr>
            <w:tcW w:w="1032" w:type="pct"/>
            <w:tcBorders>
              <w:top w:val="single" w:sz="4" w:space="0" w:color="auto"/>
              <w:bottom w:val="single" w:sz="4" w:space="0" w:color="auto"/>
            </w:tcBorders>
            <w:shd w:val="clear" w:color="auto" w:fill="auto"/>
          </w:tcPr>
          <w:p w14:paraId="7E5B6A05" w14:textId="3F183583" w:rsidR="000A04B8" w:rsidRPr="00E944B9" w:rsidRDefault="000A04B8" w:rsidP="00E944B9">
            <w:pPr>
              <w:keepLines/>
              <w:tabs>
                <w:tab w:val="left" w:pos="357"/>
              </w:tabs>
              <w:spacing w:after="0"/>
              <w:rPr>
                <w:rFonts w:ascii="Verdana" w:hAnsi="Verdana"/>
                <w:bCs/>
                <w:sz w:val="20"/>
                <w:szCs w:val="20"/>
                <w:lang w:val="en-GB" w:eastAsia="da-DK"/>
              </w:rPr>
            </w:pPr>
            <w:proofErr w:type="spellStart"/>
            <w:r w:rsidRPr="00E944B9">
              <w:rPr>
                <w:rFonts w:ascii="Verdana" w:hAnsi="Verdana"/>
                <w:sz w:val="20"/>
                <w:szCs w:val="20"/>
              </w:rPr>
              <w:t>dibenzyltoluene</w:t>
            </w:r>
            <w:proofErr w:type="spellEnd"/>
          </w:p>
        </w:tc>
        <w:tc>
          <w:tcPr>
            <w:tcW w:w="2303" w:type="pct"/>
            <w:tcBorders>
              <w:top w:val="single" w:sz="4" w:space="0" w:color="auto"/>
              <w:bottom w:val="single" w:sz="4" w:space="0" w:color="auto"/>
            </w:tcBorders>
            <w:shd w:val="clear" w:color="auto" w:fill="auto"/>
          </w:tcPr>
          <w:p w14:paraId="27FED0E8" w14:textId="55B18223" w:rsidR="006A0F21" w:rsidRPr="00E944B9" w:rsidRDefault="006A0F21" w:rsidP="000A04B8">
            <w:pPr>
              <w:keepLines/>
              <w:tabs>
                <w:tab w:val="left" w:pos="357"/>
              </w:tabs>
              <w:spacing w:after="0"/>
              <w:rPr>
                <w:rFonts w:ascii="Verdana" w:hAnsi="Verdana"/>
                <w:sz w:val="20"/>
                <w:szCs w:val="20"/>
              </w:rPr>
            </w:pPr>
            <w:r w:rsidRPr="00E944B9">
              <w:rPr>
                <w:rFonts w:ascii="Verdana" w:hAnsi="Verdana"/>
                <w:sz w:val="20"/>
                <w:szCs w:val="20"/>
              </w:rPr>
              <w:t>biomass inhibition (nominal conc.):</w:t>
            </w:r>
            <w:r w:rsidR="000A04B8" w:rsidRPr="00E944B9">
              <w:rPr>
                <w:rFonts w:ascii="Verdana" w:hAnsi="Verdana"/>
                <w:sz w:val="20"/>
                <w:szCs w:val="20"/>
              </w:rPr>
              <w:t xml:space="preserve"> </w:t>
            </w:r>
            <w:r w:rsidR="000A04B8" w:rsidRPr="00E944B9">
              <w:rPr>
                <w:rFonts w:ascii="Verdana" w:hAnsi="Verdana"/>
                <w:sz w:val="20"/>
                <w:szCs w:val="20"/>
              </w:rPr>
              <w:br/>
              <w:t xml:space="preserve">EC10 = 0.02 mg/L </w:t>
            </w:r>
            <w:r w:rsidRPr="00E944B9">
              <w:rPr>
                <w:rFonts w:ascii="Verdana" w:hAnsi="Verdana"/>
                <w:sz w:val="20"/>
                <w:szCs w:val="20"/>
              </w:rPr>
              <w:t>(1</w:t>
            </w:r>
            <w:r w:rsidRPr="00E944B9">
              <w:rPr>
                <w:rFonts w:ascii="Verdana" w:hAnsi="Verdana"/>
                <w:sz w:val="20"/>
                <w:szCs w:val="20"/>
                <w:vertAlign w:val="superscript"/>
              </w:rPr>
              <w:t>st</w:t>
            </w:r>
            <w:r w:rsidRPr="00E944B9">
              <w:rPr>
                <w:rFonts w:ascii="Verdana" w:hAnsi="Verdana"/>
                <w:sz w:val="20"/>
                <w:szCs w:val="20"/>
              </w:rPr>
              <w:t xml:space="preserve"> test)</w:t>
            </w:r>
          </w:p>
          <w:p w14:paraId="544CE8BC" w14:textId="20FDA802" w:rsidR="006A0F21" w:rsidRPr="00E944B9" w:rsidRDefault="000A04B8" w:rsidP="000A04B8">
            <w:pPr>
              <w:keepLines/>
              <w:tabs>
                <w:tab w:val="left" w:pos="357"/>
              </w:tabs>
              <w:spacing w:after="0"/>
              <w:rPr>
                <w:rFonts w:ascii="Verdana" w:hAnsi="Verdana"/>
                <w:sz w:val="20"/>
                <w:szCs w:val="20"/>
              </w:rPr>
            </w:pPr>
            <w:r w:rsidRPr="00E944B9">
              <w:rPr>
                <w:rFonts w:ascii="Verdana" w:hAnsi="Verdana"/>
                <w:sz w:val="20"/>
                <w:szCs w:val="20"/>
              </w:rPr>
              <w:t xml:space="preserve">EC50 = 0.21 mg/L </w:t>
            </w:r>
            <w:r w:rsidR="006A0F21" w:rsidRPr="00E944B9">
              <w:rPr>
                <w:rFonts w:ascii="Verdana" w:hAnsi="Verdana"/>
                <w:sz w:val="20"/>
                <w:szCs w:val="20"/>
              </w:rPr>
              <w:t>(1</w:t>
            </w:r>
            <w:r w:rsidR="006A0F21" w:rsidRPr="00E944B9">
              <w:rPr>
                <w:rFonts w:ascii="Verdana" w:hAnsi="Verdana"/>
                <w:sz w:val="20"/>
                <w:szCs w:val="20"/>
                <w:vertAlign w:val="superscript"/>
              </w:rPr>
              <w:t>st</w:t>
            </w:r>
            <w:r w:rsidR="006A0F21" w:rsidRPr="00E944B9">
              <w:rPr>
                <w:rFonts w:ascii="Verdana" w:hAnsi="Verdana"/>
                <w:sz w:val="20"/>
                <w:szCs w:val="20"/>
              </w:rPr>
              <w:t xml:space="preserve"> test)</w:t>
            </w:r>
            <w:r w:rsidRPr="00E944B9">
              <w:rPr>
                <w:rFonts w:ascii="Verdana" w:hAnsi="Verdana"/>
                <w:sz w:val="20"/>
                <w:szCs w:val="20"/>
              </w:rPr>
              <w:br/>
              <w:t xml:space="preserve">NOEC = 0.003 mg/L </w:t>
            </w:r>
            <w:r w:rsidR="006A0F21" w:rsidRPr="00E944B9">
              <w:rPr>
                <w:rFonts w:ascii="Verdana" w:hAnsi="Verdana"/>
                <w:sz w:val="20"/>
                <w:szCs w:val="20"/>
              </w:rPr>
              <w:t>(1</w:t>
            </w:r>
            <w:r w:rsidR="006A0F21" w:rsidRPr="00E944B9">
              <w:rPr>
                <w:rFonts w:ascii="Verdana" w:hAnsi="Verdana"/>
                <w:sz w:val="20"/>
                <w:szCs w:val="20"/>
                <w:vertAlign w:val="superscript"/>
              </w:rPr>
              <w:t>st</w:t>
            </w:r>
            <w:r w:rsidR="006A0F21" w:rsidRPr="00E944B9">
              <w:rPr>
                <w:rFonts w:ascii="Verdana" w:hAnsi="Verdana"/>
                <w:sz w:val="20"/>
                <w:szCs w:val="20"/>
              </w:rPr>
              <w:t xml:space="preserve"> test)</w:t>
            </w:r>
          </w:p>
          <w:p w14:paraId="6F10B2B4" w14:textId="77777777" w:rsidR="006A0F21" w:rsidRPr="00E944B9" w:rsidRDefault="006A0F21" w:rsidP="000A04B8">
            <w:pPr>
              <w:keepLines/>
              <w:tabs>
                <w:tab w:val="left" w:pos="357"/>
              </w:tabs>
              <w:spacing w:after="0"/>
              <w:rPr>
                <w:rFonts w:ascii="Verdana" w:hAnsi="Verdana"/>
                <w:sz w:val="20"/>
                <w:szCs w:val="20"/>
              </w:rPr>
            </w:pPr>
          </w:p>
          <w:p w14:paraId="3F27B0FB" w14:textId="5CC6B064" w:rsidR="006A0F21" w:rsidRPr="00E944B9" w:rsidRDefault="006A0F21" w:rsidP="000A04B8">
            <w:pPr>
              <w:keepLines/>
              <w:tabs>
                <w:tab w:val="left" w:pos="357"/>
              </w:tabs>
              <w:spacing w:after="0"/>
              <w:rPr>
                <w:rFonts w:ascii="Verdana" w:hAnsi="Verdana"/>
                <w:sz w:val="20"/>
                <w:szCs w:val="20"/>
              </w:rPr>
            </w:pPr>
            <w:r w:rsidRPr="00E944B9">
              <w:rPr>
                <w:rFonts w:ascii="Verdana" w:hAnsi="Verdana"/>
                <w:sz w:val="20"/>
                <w:szCs w:val="20"/>
              </w:rPr>
              <w:t>EC10 = 0.10 mg/L (2</w:t>
            </w:r>
            <w:r w:rsidRPr="00E944B9">
              <w:rPr>
                <w:rFonts w:ascii="Verdana" w:hAnsi="Verdana"/>
                <w:sz w:val="20"/>
                <w:szCs w:val="20"/>
                <w:vertAlign w:val="superscript"/>
              </w:rPr>
              <w:t>nd</w:t>
            </w:r>
            <w:r w:rsidRPr="00E944B9">
              <w:rPr>
                <w:rFonts w:ascii="Verdana" w:hAnsi="Verdana"/>
                <w:sz w:val="20"/>
                <w:szCs w:val="20"/>
              </w:rPr>
              <w:t xml:space="preserve"> test)</w:t>
            </w:r>
            <w:r w:rsidRPr="00E944B9">
              <w:rPr>
                <w:rFonts w:ascii="Verdana" w:hAnsi="Verdana"/>
                <w:sz w:val="20"/>
                <w:szCs w:val="20"/>
              </w:rPr>
              <w:br/>
              <w:t>EC50 = 0.53 mg/ (2</w:t>
            </w:r>
            <w:r w:rsidRPr="00E944B9">
              <w:rPr>
                <w:rFonts w:ascii="Verdana" w:hAnsi="Verdana"/>
                <w:sz w:val="20"/>
                <w:szCs w:val="20"/>
                <w:vertAlign w:val="superscript"/>
              </w:rPr>
              <w:t>nd</w:t>
            </w:r>
            <w:r w:rsidRPr="00E944B9">
              <w:rPr>
                <w:rFonts w:ascii="Verdana" w:hAnsi="Verdana"/>
                <w:sz w:val="20"/>
                <w:szCs w:val="20"/>
              </w:rPr>
              <w:t xml:space="preserve"> test)</w:t>
            </w:r>
            <w:r w:rsidRPr="00E944B9">
              <w:rPr>
                <w:rFonts w:ascii="Verdana" w:hAnsi="Verdana"/>
                <w:sz w:val="20"/>
                <w:szCs w:val="20"/>
              </w:rPr>
              <w:br/>
              <w:t xml:space="preserve">NOEC = 0.07 </w:t>
            </w:r>
            <w:proofErr w:type="gramStart"/>
            <w:r w:rsidRPr="00E944B9">
              <w:rPr>
                <w:rFonts w:ascii="Verdana" w:hAnsi="Verdana"/>
                <w:sz w:val="20"/>
                <w:szCs w:val="20"/>
              </w:rPr>
              <w:t>mg(</w:t>
            </w:r>
            <w:proofErr w:type="gramEnd"/>
            <w:r w:rsidRPr="00E944B9">
              <w:rPr>
                <w:rFonts w:ascii="Verdana" w:hAnsi="Verdana"/>
                <w:sz w:val="20"/>
                <w:szCs w:val="20"/>
              </w:rPr>
              <w:t>2</w:t>
            </w:r>
            <w:r w:rsidRPr="00E944B9">
              <w:rPr>
                <w:rFonts w:ascii="Verdana" w:hAnsi="Verdana"/>
                <w:sz w:val="20"/>
                <w:szCs w:val="20"/>
                <w:vertAlign w:val="superscript"/>
              </w:rPr>
              <w:t>nd</w:t>
            </w:r>
            <w:r w:rsidRPr="00E944B9">
              <w:rPr>
                <w:rFonts w:ascii="Verdana" w:hAnsi="Verdana"/>
                <w:sz w:val="20"/>
                <w:szCs w:val="20"/>
              </w:rPr>
              <w:t xml:space="preserve"> test)</w:t>
            </w:r>
            <w:r w:rsidR="000A04B8" w:rsidRPr="00E944B9">
              <w:rPr>
                <w:rFonts w:ascii="Verdana" w:hAnsi="Verdana"/>
                <w:sz w:val="20"/>
                <w:szCs w:val="20"/>
              </w:rPr>
              <w:br/>
            </w:r>
            <w:r w:rsidRPr="00E944B9">
              <w:rPr>
                <w:rFonts w:ascii="Verdana" w:hAnsi="Verdana"/>
                <w:sz w:val="20"/>
                <w:szCs w:val="20"/>
              </w:rPr>
              <w:t>growth rate inhibition</w:t>
            </w:r>
            <w:r w:rsidR="000A04B8" w:rsidRPr="00E944B9">
              <w:rPr>
                <w:rFonts w:ascii="Verdana" w:hAnsi="Verdana"/>
                <w:sz w:val="20"/>
                <w:szCs w:val="20"/>
              </w:rPr>
              <w:t xml:space="preserve"> </w:t>
            </w:r>
            <w:r w:rsidRPr="00E944B9">
              <w:rPr>
                <w:rFonts w:ascii="Verdana" w:hAnsi="Verdana"/>
                <w:sz w:val="20"/>
                <w:szCs w:val="20"/>
              </w:rPr>
              <w:t>(nominal conc.)</w:t>
            </w:r>
            <w:r w:rsidR="000A04B8" w:rsidRPr="00E944B9">
              <w:rPr>
                <w:rFonts w:ascii="Verdana" w:hAnsi="Verdana"/>
                <w:sz w:val="20"/>
                <w:szCs w:val="20"/>
              </w:rPr>
              <w:br/>
              <w:t>EC10 = 0.36 mg/</w:t>
            </w:r>
            <w:r w:rsidRPr="00E944B9">
              <w:rPr>
                <w:rFonts w:ascii="Verdana" w:hAnsi="Verdana"/>
                <w:sz w:val="20"/>
                <w:szCs w:val="20"/>
              </w:rPr>
              <w:t xml:space="preserve"> (1</w:t>
            </w:r>
            <w:r w:rsidRPr="00E944B9">
              <w:rPr>
                <w:rFonts w:ascii="Verdana" w:hAnsi="Verdana"/>
                <w:sz w:val="20"/>
                <w:szCs w:val="20"/>
                <w:vertAlign w:val="superscript"/>
              </w:rPr>
              <w:t>st</w:t>
            </w:r>
            <w:r w:rsidRPr="00E944B9">
              <w:rPr>
                <w:rFonts w:ascii="Verdana" w:hAnsi="Verdana"/>
                <w:sz w:val="20"/>
                <w:szCs w:val="20"/>
              </w:rPr>
              <w:t xml:space="preserve"> test)</w:t>
            </w:r>
            <w:r w:rsidR="000A04B8" w:rsidRPr="00E944B9">
              <w:rPr>
                <w:rFonts w:ascii="Verdana" w:hAnsi="Verdana"/>
                <w:sz w:val="20"/>
                <w:szCs w:val="20"/>
              </w:rPr>
              <w:br/>
              <w:t xml:space="preserve">EC50 = 2.7 mg/L </w:t>
            </w:r>
            <w:r w:rsidRPr="00E944B9">
              <w:rPr>
                <w:rFonts w:ascii="Verdana" w:hAnsi="Verdana"/>
                <w:sz w:val="20"/>
                <w:szCs w:val="20"/>
              </w:rPr>
              <w:t>(1</w:t>
            </w:r>
            <w:r w:rsidRPr="00E944B9">
              <w:rPr>
                <w:rFonts w:ascii="Verdana" w:hAnsi="Verdana"/>
                <w:sz w:val="20"/>
                <w:szCs w:val="20"/>
                <w:vertAlign w:val="superscript"/>
              </w:rPr>
              <w:t>st</w:t>
            </w:r>
            <w:r w:rsidRPr="00E944B9">
              <w:rPr>
                <w:rFonts w:ascii="Verdana" w:hAnsi="Verdana"/>
                <w:sz w:val="20"/>
                <w:szCs w:val="20"/>
              </w:rPr>
              <w:t xml:space="preserve"> test)</w:t>
            </w:r>
          </w:p>
          <w:p w14:paraId="115FC409" w14:textId="18D4AD10" w:rsidR="006A0F21" w:rsidRPr="00E944B9" w:rsidRDefault="000A04B8" w:rsidP="000A04B8">
            <w:pPr>
              <w:keepLines/>
              <w:tabs>
                <w:tab w:val="left" w:pos="357"/>
              </w:tabs>
              <w:spacing w:after="0"/>
              <w:rPr>
                <w:rFonts w:ascii="Verdana" w:hAnsi="Verdana"/>
                <w:sz w:val="20"/>
                <w:szCs w:val="20"/>
              </w:rPr>
            </w:pPr>
            <w:r w:rsidRPr="00E944B9">
              <w:rPr>
                <w:rFonts w:ascii="Verdana" w:hAnsi="Verdana"/>
                <w:sz w:val="20"/>
                <w:szCs w:val="20"/>
              </w:rPr>
              <w:t>NOEC = 0.22 mg/</w:t>
            </w:r>
            <w:r w:rsidR="006A0F21" w:rsidRPr="00E944B9">
              <w:rPr>
                <w:rFonts w:ascii="Verdana" w:hAnsi="Verdana"/>
                <w:sz w:val="20"/>
                <w:szCs w:val="20"/>
              </w:rPr>
              <w:t>L (1</w:t>
            </w:r>
            <w:r w:rsidR="006A0F21" w:rsidRPr="00E944B9">
              <w:rPr>
                <w:rFonts w:ascii="Verdana" w:hAnsi="Verdana"/>
                <w:sz w:val="20"/>
                <w:szCs w:val="20"/>
                <w:vertAlign w:val="superscript"/>
              </w:rPr>
              <w:t>st</w:t>
            </w:r>
            <w:r w:rsidR="006A0F21" w:rsidRPr="00E944B9">
              <w:rPr>
                <w:rFonts w:ascii="Verdana" w:hAnsi="Verdana"/>
                <w:sz w:val="20"/>
                <w:szCs w:val="20"/>
              </w:rPr>
              <w:t xml:space="preserve"> test)</w:t>
            </w:r>
            <w:r w:rsidRPr="00E944B9">
              <w:rPr>
                <w:rFonts w:ascii="Verdana" w:hAnsi="Verdana"/>
                <w:sz w:val="20"/>
                <w:szCs w:val="20"/>
              </w:rPr>
              <w:br/>
            </w:r>
            <w:r w:rsidRPr="00E944B9">
              <w:rPr>
                <w:rFonts w:ascii="Verdana" w:hAnsi="Verdana"/>
                <w:sz w:val="20"/>
                <w:szCs w:val="20"/>
              </w:rPr>
              <w:br/>
              <w:t xml:space="preserve">EC10 = 0.28 mg/L </w:t>
            </w:r>
            <w:r w:rsidR="006A0F21" w:rsidRPr="00E944B9">
              <w:rPr>
                <w:rFonts w:ascii="Verdana" w:hAnsi="Verdana"/>
                <w:sz w:val="20"/>
                <w:szCs w:val="20"/>
              </w:rPr>
              <w:t>(2</w:t>
            </w:r>
            <w:r w:rsidR="006A0F21" w:rsidRPr="00E944B9">
              <w:rPr>
                <w:rFonts w:ascii="Verdana" w:hAnsi="Verdana"/>
                <w:sz w:val="20"/>
                <w:szCs w:val="20"/>
                <w:vertAlign w:val="superscript"/>
              </w:rPr>
              <w:t>nd</w:t>
            </w:r>
            <w:r w:rsidR="006A0F21" w:rsidRPr="00E944B9">
              <w:rPr>
                <w:rFonts w:ascii="Verdana" w:hAnsi="Verdana"/>
                <w:sz w:val="20"/>
                <w:szCs w:val="20"/>
              </w:rPr>
              <w:t xml:space="preserve"> test)</w:t>
            </w:r>
          </w:p>
          <w:p w14:paraId="13FF349C" w14:textId="44BF3E61" w:rsidR="006A0F21" w:rsidRPr="00E944B9" w:rsidRDefault="000A04B8" w:rsidP="00E944B9">
            <w:pPr>
              <w:keepLines/>
              <w:tabs>
                <w:tab w:val="left" w:pos="357"/>
              </w:tabs>
              <w:spacing w:after="0"/>
              <w:rPr>
                <w:rFonts w:ascii="Verdana" w:hAnsi="Verdana"/>
                <w:sz w:val="20"/>
                <w:szCs w:val="20"/>
              </w:rPr>
            </w:pPr>
            <w:r w:rsidRPr="00E944B9">
              <w:rPr>
                <w:rFonts w:ascii="Verdana" w:hAnsi="Verdana"/>
                <w:sz w:val="20"/>
                <w:szCs w:val="20"/>
              </w:rPr>
              <w:t xml:space="preserve">EC50 = 1.2 mg/L </w:t>
            </w:r>
            <w:r w:rsidR="006A0F21" w:rsidRPr="00E944B9">
              <w:rPr>
                <w:rFonts w:ascii="Verdana" w:hAnsi="Verdana"/>
                <w:sz w:val="20"/>
                <w:szCs w:val="20"/>
              </w:rPr>
              <w:t>(2</w:t>
            </w:r>
            <w:r w:rsidR="006A0F21" w:rsidRPr="00E944B9">
              <w:rPr>
                <w:rFonts w:ascii="Verdana" w:hAnsi="Verdana"/>
                <w:sz w:val="20"/>
                <w:szCs w:val="20"/>
                <w:vertAlign w:val="superscript"/>
              </w:rPr>
              <w:t>nd</w:t>
            </w:r>
            <w:r w:rsidR="006A0F21" w:rsidRPr="00E944B9">
              <w:rPr>
                <w:rFonts w:ascii="Verdana" w:hAnsi="Verdana"/>
                <w:sz w:val="20"/>
                <w:szCs w:val="20"/>
              </w:rPr>
              <w:t xml:space="preserve"> test)</w:t>
            </w:r>
            <w:r w:rsidRPr="00E944B9">
              <w:rPr>
                <w:rFonts w:ascii="Verdana" w:hAnsi="Verdana"/>
                <w:sz w:val="20"/>
                <w:szCs w:val="20"/>
              </w:rPr>
              <w:br/>
              <w:t>NOEC = 0.20 mg</w:t>
            </w:r>
            <w:proofErr w:type="gramStart"/>
            <w:r w:rsidRPr="00E944B9">
              <w:rPr>
                <w:rFonts w:ascii="Verdana" w:hAnsi="Verdana"/>
                <w:sz w:val="20"/>
                <w:szCs w:val="20"/>
              </w:rPr>
              <w:t>/</w:t>
            </w:r>
            <w:r w:rsidR="006A0F21" w:rsidRPr="00E944B9">
              <w:rPr>
                <w:rFonts w:ascii="Verdana" w:hAnsi="Verdana"/>
                <w:sz w:val="20"/>
                <w:szCs w:val="20"/>
              </w:rPr>
              <w:t>(</w:t>
            </w:r>
            <w:proofErr w:type="gramEnd"/>
            <w:r w:rsidR="006A0F21" w:rsidRPr="00E944B9">
              <w:rPr>
                <w:rFonts w:ascii="Verdana" w:hAnsi="Verdana"/>
                <w:sz w:val="20"/>
                <w:szCs w:val="20"/>
              </w:rPr>
              <w:t>2</w:t>
            </w:r>
            <w:r w:rsidR="006A0F21" w:rsidRPr="00E944B9">
              <w:rPr>
                <w:rFonts w:ascii="Verdana" w:hAnsi="Verdana"/>
                <w:sz w:val="20"/>
                <w:szCs w:val="20"/>
                <w:vertAlign w:val="superscript"/>
              </w:rPr>
              <w:t>nd</w:t>
            </w:r>
            <w:r w:rsidR="006A0F21" w:rsidRPr="00E944B9">
              <w:rPr>
                <w:rFonts w:ascii="Verdana" w:hAnsi="Verdana"/>
                <w:sz w:val="20"/>
                <w:szCs w:val="20"/>
              </w:rPr>
              <w:t xml:space="preserve"> test)</w:t>
            </w:r>
          </w:p>
        </w:tc>
      </w:tr>
      <w:tr w:rsidR="006A0F21" w:rsidRPr="00050A37" w14:paraId="69959FCD" w14:textId="77777777" w:rsidTr="00E944B9">
        <w:trPr>
          <w:tblHeader/>
        </w:trPr>
        <w:tc>
          <w:tcPr>
            <w:tcW w:w="711" w:type="pct"/>
            <w:tcBorders>
              <w:top w:val="single" w:sz="4" w:space="0" w:color="auto"/>
              <w:bottom w:val="single" w:sz="4" w:space="0" w:color="auto"/>
            </w:tcBorders>
            <w:shd w:val="clear" w:color="auto" w:fill="auto"/>
          </w:tcPr>
          <w:p w14:paraId="01B64D35" w14:textId="29048143" w:rsidR="006A0F21" w:rsidRPr="00F627D0" w:rsidRDefault="006A0F21" w:rsidP="000A04B8">
            <w:pPr>
              <w:keepLines/>
              <w:tabs>
                <w:tab w:val="left" w:pos="357"/>
              </w:tabs>
              <w:spacing w:after="0"/>
              <w:rPr>
                <w:rFonts w:ascii="Verdana" w:hAnsi="Verdana"/>
                <w:bCs/>
                <w:sz w:val="20"/>
                <w:szCs w:val="20"/>
                <w:lang w:val="en-GB" w:eastAsia="da-DK"/>
              </w:rPr>
            </w:pPr>
            <w:r w:rsidRPr="00E944B9">
              <w:rPr>
                <w:rFonts w:ascii="Verdana" w:hAnsi="Verdana"/>
                <w:sz w:val="20"/>
                <w:szCs w:val="20"/>
              </w:rPr>
              <w:t xml:space="preserve">OECD </w:t>
            </w:r>
            <w:r w:rsidR="00EE69C9">
              <w:rPr>
                <w:rFonts w:ascii="Verdana" w:hAnsi="Verdana"/>
                <w:sz w:val="20"/>
                <w:szCs w:val="20"/>
              </w:rPr>
              <w:t xml:space="preserve">TG </w:t>
            </w:r>
            <w:r w:rsidRPr="00E944B9">
              <w:rPr>
                <w:rFonts w:ascii="Verdana" w:hAnsi="Verdana"/>
                <w:sz w:val="20"/>
                <w:szCs w:val="20"/>
              </w:rPr>
              <w:t>201</w:t>
            </w:r>
          </w:p>
        </w:tc>
        <w:tc>
          <w:tcPr>
            <w:tcW w:w="953" w:type="pct"/>
            <w:tcBorders>
              <w:top w:val="single" w:sz="4" w:space="0" w:color="auto"/>
              <w:bottom w:val="single" w:sz="4" w:space="0" w:color="auto"/>
            </w:tcBorders>
            <w:shd w:val="clear" w:color="auto" w:fill="auto"/>
          </w:tcPr>
          <w:p w14:paraId="49BCABBE" w14:textId="61662956" w:rsidR="006A0F21" w:rsidRPr="00F627D0" w:rsidRDefault="006A0F21" w:rsidP="000A04B8">
            <w:pPr>
              <w:keepLines/>
              <w:tabs>
                <w:tab w:val="left" w:pos="357"/>
              </w:tabs>
              <w:spacing w:after="0"/>
              <w:rPr>
                <w:rFonts w:ascii="Verdana" w:hAnsi="Verdana"/>
                <w:bCs/>
                <w:sz w:val="20"/>
                <w:szCs w:val="20"/>
                <w:lang w:val="en-GB" w:eastAsia="da-DK"/>
              </w:rPr>
            </w:pPr>
            <w:proofErr w:type="spellStart"/>
            <w:r w:rsidRPr="00F627D0">
              <w:rPr>
                <w:rFonts w:ascii="Verdana" w:hAnsi="Verdana"/>
                <w:bCs/>
                <w:sz w:val="20"/>
                <w:szCs w:val="20"/>
                <w:lang w:val="en-GB" w:eastAsia="da-DK"/>
              </w:rPr>
              <w:t>Desmodesmus</w:t>
            </w:r>
            <w:proofErr w:type="spellEnd"/>
            <w:r w:rsidRPr="00F627D0">
              <w:rPr>
                <w:rFonts w:ascii="Verdana" w:hAnsi="Verdana"/>
                <w:bCs/>
                <w:sz w:val="20"/>
                <w:szCs w:val="20"/>
                <w:lang w:val="en-GB" w:eastAsia="da-DK"/>
              </w:rPr>
              <w:t xml:space="preserve"> </w:t>
            </w:r>
            <w:proofErr w:type="spellStart"/>
            <w:r w:rsidRPr="00F627D0">
              <w:rPr>
                <w:rFonts w:ascii="Verdana" w:hAnsi="Verdana"/>
                <w:bCs/>
                <w:sz w:val="20"/>
                <w:szCs w:val="20"/>
                <w:lang w:val="en-GB" w:eastAsia="da-DK"/>
              </w:rPr>
              <w:t>subspicatus</w:t>
            </w:r>
            <w:proofErr w:type="spellEnd"/>
          </w:p>
        </w:tc>
        <w:tc>
          <w:tcPr>
            <w:tcW w:w="1032" w:type="pct"/>
            <w:tcBorders>
              <w:top w:val="single" w:sz="4" w:space="0" w:color="auto"/>
              <w:bottom w:val="single" w:sz="4" w:space="0" w:color="auto"/>
            </w:tcBorders>
            <w:shd w:val="clear" w:color="auto" w:fill="auto"/>
          </w:tcPr>
          <w:p w14:paraId="6615686C" w14:textId="3A261954" w:rsidR="006A0F21" w:rsidRPr="00F627D0" w:rsidRDefault="006A0F21" w:rsidP="000A04B8">
            <w:pPr>
              <w:keepLines/>
              <w:tabs>
                <w:tab w:val="left" w:pos="357"/>
              </w:tabs>
              <w:spacing w:after="0"/>
              <w:rPr>
                <w:rFonts w:ascii="Verdana" w:hAnsi="Verdana"/>
                <w:sz w:val="20"/>
                <w:szCs w:val="20"/>
              </w:rPr>
            </w:pPr>
            <w:proofErr w:type="spellStart"/>
            <w:r w:rsidRPr="00E944B9">
              <w:rPr>
                <w:rFonts w:ascii="Verdana" w:hAnsi="Verdana"/>
                <w:sz w:val="20"/>
                <w:szCs w:val="20"/>
              </w:rPr>
              <w:t>dibenzyltoluene</w:t>
            </w:r>
            <w:proofErr w:type="spellEnd"/>
          </w:p>
        </w:tc>
        <w:tc>
          <w:tcPr>
            <w:tcW w:w="2303" w:type="pct"/>
            <w:tcBorders>
              <w:top w:val="single" w:sz="4" w:space="0" w:color="auto"/>
              <w:bottom w:val="single" w:sz="4" w:space="0" w:color="auto"/>
            </w:tcBorders>
            <w:shd w:val="clear" w:color="auto" w:fill="auto"/>
          </w:tcPr>
          <w:p w14:paraId="5E53E441" w14:textId="7D9B45D4" w:rsidR="006A0F21" w:rsidRPr="00F627D0" w:rsidRDefault="006A0F21" w:rsidP="000A04B8">
            <w:pPr>
              <w:keepLines/>
              <w:tabs>
                <w:tab w:val="left" w:pos="357"/>
              </w:tabs>
              <w:spacing w:after="0"/>
              <w:rPr>
                <w:rFonts w:ascii="Verdana" w:hAnsi="Verdana"/>
                <w:bCs/>
                <w:sz w:val="20"/>
                <w:szCs w:val="20"/>
                <w:lang w:eastAsia="da-DK"/>
              </w:rPr>
            </w:pPr>
            <w:r w:rsidRPr="00E944B9">
              <w:rPr>
                <w:rFonts w:ascii="Verdana" w:hAnsi="Verdana"/>
                <w:sz w:val="20"/>
                <w:szCs w:val="20"/>
              </w:rPr>
              <w:t>biomass inhibition</w:t>
            </w:r>
            <w:r w:rsidR="00A71CEB" w:rsidRPr="00E944B9">
              <w:rPr>
                <w:rFonts w:ascii="Verdana" w:hAnsi="Verdana"/>
                <w:sz w:val="20"/>
                <w:szCs w:val="20"/>
              </w:rPr>
              <w:t xml:space="preserve"> (geom. mean)</w:t>
            </w:r>
            <w:r w:rsidRPr="00E944B9">
              <w:rPr>
                <w:rFonts w:ascii="Verdana" w:hAnsi="Verdana"/>
                <w:sz w:val="20"/>
                <w:szCs w:val="20"/>
              </w:rPr>
              <w:t xml:space="preserve">: </w:t>
            </w:r>
            <w:r w:rsidRPr="00E944B9">
              <w:rPr>
                <w:rFonts w:ascii="Verdana" w:hAnsi="Verdana"/>
                <w:sz w:val="20"/>
                <w:szCs w:val="20"/>
              </w:rPr>
              <w:br/>
              <w:t>EC50 = 0.019 mg/L</w:t>
            </w:r>
            <w:r w:rsidRPr="00E944B9">
              <w:rPr>
                <w:rFonts w:ascii="Verdana" w:hAnsi="Verdana"/>
                <w:sz w:val="20"/>
                <w:szCs w:val="20"/>
              </w:rPr>
              <w:br/>
              <w:t>EC10</w:t>
            </w:r>
            <w:r w:rsidR="00A71CEB" w:rsidRPr="00E944B9">
              <w:rPr>
                <w:rFonts w:ascii="Verdana" w:hAnsi="Verdana"/>
                <w:sz w:val="20"/>
                <w:szCs w:val="20"/>
              </w:rPr>
              <w:t xml:space="preserve"> </w:t>
            </w:r>
            <w:r w:rsidRPr="00E944B9">
              <w:rPr>
                <w:rFonts w:ascii="Verdana" w:hAnsi="Verdana"/>
                <w:sz w:val="20"/>
                <w:szCs w:val="20"/>
              </w:rPr>
              <w:t>= 0.035 mg/L</w:t>
            </w:r>
            <w:r w:rsidRPr="00E944B9">
              <w:rPr>
                <w:rFonts w:ascii="Verdana" w:hAnsi="Verdana"/>
                <w:sz w:val="20"/>
                <w:szCs w:val="20"/>
              </w:rPr>
              <w:br/>
            </w:r>
            <w:r w:rsidRPr="00E944B9">
              <w:rPr>
                <w:rFonts w:ascii="Verdana" w:hAnsi="Verdana"/>
                <w:sz w:val="20"/>
                <w:szCs w:val="20"/>
              </w:rPr>
              <w:br/>
              <w:t>growth rate inhibition</w:t>
            </w:r>
            <w:r w:rsidR="00A71CEB" w:rsidRPr="00E944B9">
              <w:rPr>
                <w:rFonts w:ascii="Verdana" w:hAnsi="Verdana"/>
                <w:sz w:val="20"/>
                <w:szCs w:val="20"/>
              </w:rPr>
              <w:t xml:space="preserve"> (geom. mean)</w:t>
            </w:r>
            <w:r w:rsidRPr="00E944B9">
              <w:rPr>
                <w:rFonts w:ascii="Verdana" w:hAnsi="Verdana"/>
                <w:sz w:val="20"/>
                <w:szCs w:val="20"/>
              </w:rPr>
              <w:t xml:space="preserve">: </w:t>
            </w:r>
            <w:r w:rsidRPr="00E944B9">
              <w:rPr>
                <w:rFonts w:ascii="Verdana" w:hAnsi="Verdana"/>
                <w:sz w:val="20"/>
                <w:szCs w:val="20"/>
              </w:rPr>
              <w:br/>
              <w:t>EC50 = 0.046 mg/L</w:t>
            </w:r>
            <w:r w:rsidRPr="00E944B9">
              <w:rPr>
                <w:rFonts w:ascii="Verdana" w:hAnsi="Verdana"/>
                <w:sz w:val="20"/>
                <w:szCs w:val="20"/>
              </w:rPr>
              <w:br/>
              <w:t>EC10 = 0.0079 mg/L</w:t>
            </w:r>
          </w:p>
        </w:tc>
      </w:tr>
      <w:tr w:rsidR="000E585B" w:rsidRPr="00050A37" w14:paraId="3C2D27BE" w14:textId="77777777" w:rsidTr="00E944B9">
        <w:trPr>
          <w:tblHeader/>
        </w:trPr>
        <w:tc>
          <w:tcPr>
            <w:tcW w:w="711" w:type="pct"/>
            <w:tcBorders>
              <w:top w:val="single" w:sz="4" w:space="0" w:color="auto"/>
              <w:bottom w:val="single" w:sz="4" w:space="0" w:color="auto"/>
            </w:tcBorders>
            <w:shd w:val="clear" w:color="auto" w:fill="auto"/>
          </w:tcPr>
          <w:p w14:paraId="5001E53D" w14:textId="455B1555" w:rsidR="000E585B" w:rsidRPr="00E944B9" w:rsidRDefault="000E585B" w:rsidP="000A04B8">
            <w:pPr>
              <w:keepLines/>
              <w:tabs>
                <w:tab w:val="left" w:pos="357"/>
              </w:tabs>
              <w:spacing w:after="0"/>
              <w:rPr>
                <w:rFonts w:ascii="Verdana" w:hAnsi="Verdana"/>
                <w:sz w:val="20"/>
                <w:szCs w:val="20"/>
              </w:rPr>
            </w:pPr>
            <w:r w:rsidRPr="00E944B9">
              <w:rPr>
                <w:rFonts w:ascii="Verdana" w:hAnsi="Verdana"/>
                <w:sz w:val="20"/>
                <w:szCs w:val="20"/>
              </w:rPr>
              <w:t xml:space="preserve">OECD </w:t>
            </w:r>
            <w:r w:rsidR="00EE69C9">
              <w:rPr>
                <w:rFonts w:ascii="Verdana" w:hAnsi="Verdana"/>
                <w:sz w:val="20"/>
                <w:szCs w:val="20"/>
              </w:rPr>
              <w:t xml:space="preserve">TG </w:t>
            </w:r>
            <w:r w:rsidRPr="00E944B9">
              <w:rPr>
                <w:rFonts w:ascii="Verdana" w:hAnsi="Verdana"/>
                <w:sz w:val="20"/>
                <w:szCs w:val="20"/>
              </w:rPr>
              <w:t>201</w:t>
            </w:r>
          </w:p>
        </w:tc>
        <w:tc>
          <w:tcPr>
            <w:tcW w:w="953" w:type="pct"/>
            <w:tcBorders>
              <w:top w:val="single" w:sz="4" w:space="0" w:color="auto"/>
              <w:bottom w:val="single" w:sz="4" w:space="0" w:color="auto"/>
            </w:tcBorders>
            <w:shd w:val="clear" w:color="auto" w:fill="auto"/>
          </w:tcPr>
          <w:p w14:paraId="73C44134" w14:textId="4D0262B1" w:rsidR="000E585B" w:rsidRPr="00F627D0" w:rsidRDefault="000E585B" w:rsidP="000A04B8">
            <w:pPr>
              <w:keepLines/>
              <w:tabs>
                <w:tab w:val="left" w:pos="357"/>
              </w:tabs>
              <w:spacing w:after="0"/>
              <w:rPr>
                <w:rFonts w:ascii="Verdana" w:hAnsi="Verdana"/>
                <w:bCs/>
                <w:sz w:val="20"/>
                <w:szCs w:val="20"/>
                <w:lang w:val="en-GB" w:eastAsia="da-DK"/>
              </w:rPr>
            </w:pPr>
            <w:proofErr w:type="spellStart"/>
            <w:r w:rsidRPr="00F627D0">
              <w:rPr>
                <w:rFonts w:ascii="Verdana" w:hAnsi="Verdana"/>
                <w:bCs/>
                <w:sz w:val="20"/>
                <w:szCs w:val="20"/>
                <w:lang w:val="en-GB" w:eastAsia="da-DK"/>
              </w:rPr>
              <w:t>Desmodesmus</w:t>
            </w:r>
            <w:proofErr w:type="spellEnd"/>
            <w:r w:rsidRPr="00F627D0">
              <w:rPr>
                <w:rFonts w:ascii="Verdana" w:hAnsi="Verdana"/>
                <w:bCs/>
                <w:sz w:val="20"/>
                <w:szCs w:val="20"/>
                <w:lang w:val="en-GB" w:eastAsia="da-DK"/>
              </w:rPr>
              <w:t xml:space="preserve"> </w:t>
            </w:r>
            <w:proofErr w:type="spellStart"/>
            <w:r w:rsidRPr="00F627D0">
              <w:rPr>
                <w:rFonts w:ascii="Verdana" w:hAnsi="Verdana"/>
                <w:bCs/>
                <w:sz w:val="20"/>
                <w:szCs w:val="20"/>
                <w:lang w:val="en-GB" w:eastAsia="da-DK"/>
              </w:rPr>
              <w:t>subspicatus</w:t>
            </w:r>
            <w:proofErr w:type="spellEnd"/>
          </w:p>
        </w:tc>
        <w:tc>
          <w:tcPr>
            <w:tcW w:w="1032" w:type="pct"/>
            <w:tcBorders>
              <w:top w:val="single" w:sz="4" w:space="0" w:color="auto"/>
              <w:bottom w:val="single" w:sz="4" w:space="0" w:color="auto"/>
            </w:tcBorders>
            <w:shd w:val="clear" w:color="auto" w:fill="auto"/>
          </w:tcPr>
          <w:p w14:paraId="4B06653F" w14:textId="3A13D992" w:rsidR="000E585B" w:rsidRPr="00E944B9" w:rsidRDefault="000E585B" w:rsidP="000A04B8">
            <w:pPr>
              <w:keepLines/>
              <w:tabs>
                <w:tab w:val="left" w:pos="357"/>
              </w:tabs>
              <w:spacing w:after="0"/>
              <w:rPr>
                <w:rFonts w:ascii="Verdana" w:hAnsi="Verdana"/>
                <w:sz w:val="20"/>
                <w:szCs w:val="20"/>
              </w:rPr>
            </w:pPr>
            <w:r w:rsidRPr="00E944B9">
              <w:rPr>
                <w:rFonts w:ascii="Verdana" w:hAnsi="Verdana"/>
                <w:sz w:val="20"/>
                <w:szCs w:val="20"/>
              </w:rPr>
              <w:t>Marlotherm S</w:t>
            </w:r>
          </w:p>
        </w:tc>
        <w:tc>
          <w:tcPr>
            <w:tcW w:w="2303" w:type="pct"/>
            <w:tcBorders>
              <w:top w:val="single" w:sz="4" w:space="0" w:color="auto"/>
              <w:bottom w:val="single" w:sz="4" w:space="0" w:color="auto"/>
            </w:tcBorders>
            <w:shd w:val="clear" w:color="auto" w:fill="auto"/>
          </w:tcPr>
          <w:p w14:paraId="4F66F761" w14:textId="178E82EC" w:rsidR="000E585B" w:rsidRPr="00E944B9" w:rsidRDefault="00F627D0" w:rsidP="00F627D0">
            <w:pPr>
              <w:keepLines/>
              <w:tabs>
                <w:tab w:val="left" w:pos="357"/>
              </w:tabs>
              <w:spacing w:after="0"/>
              <w:rPr>
                <w:rFonts w:ascii="Verdana" w:hAnsi="Verdana"/>
                <w:sz w:val="20"/>
                <w:szCs w:val="20"/>
              </w:rPr>
            </w:pPr>
            <w:r w:rsidRPr="00E944B9">
              <w:rPr>
                <w:rFonts w:ascii="Verdana" w:hAnsi="Verdana"/>
                <w:sz w:val="20"/>
                <w:szCs w:val="20"/>
              </w:rPr>
              <w:t>biomass inhibition</w:t>
            </w:r>
            <w:r w:rsidR="000E585B" w:rsidRPr="00E944B9">
              <w:rPr>
                <w:rFonts w:ascii="Verdana" w:hAnsi="Verdana"/>
                <w:sz w:val="20"/>
                <w:szCs w:val="20"/>
              </w:rPr>
              <w:t xml:space="preserve">: </w:t>
            </w:r>
            <w:r w:rsidR="000E585B" w:rsidRPr="00E944B9">
              <w:rPr>
                <w:rFonts w:ascii="Verdana" w:hAnsi="Verdana"/>
                <w:sz w:val="20"/>
                <w:szCs w:val="20"/>
              </w:rPr>
              <w:br/>
              <w:t>EC50 = 0.015 mg/L</w:t>
            </w:r>
            <w:r w:rsidR="000E585B" w:rsidRPr="00E944B9">
              <w:rPr>
                <w:rFonts w:ascii="Verdana" w:hAnsi="Verdana"/>
                <w:sz w:val="20"/>
                <w:szCs w:val="20"/>
              </w:rPr>
              <w:br/>
              <w:t>EC10 = 0.003 mg/L</w:t>
            </w:r>
            <w:r w:rsidR="000E585B" w:rsidRPr="00E944B9">
              <w:rPr>
                <w:rFonts w:ascii="Verdana" w:hAnsi="Verdana"/>
                <w:sz w:val="20"/>
                <w:szCs w:val="20"/>
              </w:rPr>
              <w:br/>
            </w:r>
            <w:r w:rsidR="000E585B" w:rsidRPr="00E944B9">
              <w:rPr>
                <w:rFonts w:ascii="Verdana" w:hAnsi="Verdana"/>
                <w:sz w:val="20"/>
                <w:szCs w:val="20"/>
              </w:rPr>
              <w:br/>
            </w:r>
            <w:r w:rsidRPr="00E944B9">
              <w:rPr>
                <w:rFonts w:ascii="Verdana" w:hAnsi="Verdana"/>
                <w:sz w:val="20"/>
                <w:szCs w:val="20"/>
              </w:rPr>
              <w:t xml:space="preserve">growth rate </w:t>
            </w:r>
            <w:proofErr w:type="gramStart"/>
            <w:r w:rsidRPr="00E944B9">
              <w:rPr>
                <w:rFonts w:ascii="Verdana" w:hAnsi="Verdana"/>
                <w:sz w:val="20"/>
                <w:szCs w:val="20"/>
              </w:rPr>
              <w:t xml:space="preserve">inhibition </w:t>
            </w:r>
            <w:r w:rsidR="000E585B" w:rsidRPr="00E944B9">
              <w:rPr>
                <w:rFonts w:ascii="Verdana" w:hAnsi="Verdana"/>
                <w:sz w:val="20"/>
                <w:szCs w:val="20"/>
              </w:rPr>
              <w:t>:</w:t>
            </w:r>
            <w:proofErr w:type="gramEnd"/>
            <w:r w:rsidR="000E585B" w:rsidRPr="00E944B9">
              <w:rPr>
                <w:rFonts w:ascii="Verdana" w:hAnsi="Verdana"/>
                <w:sz w:val="20"/>
                <w:szCs w:val="20"/>
              </w:rPr>
              <w:t xml:space="preserve"> </w:t>
            </w:r>
            <w:r w:rsidR="000E585B" w:rsidRPr="00E944B9">
              <w:rPr>
                <w:rFonts w:ascii="Verdana" w:hAnsi="Verdana"/>
                <w:sz w:val="20"/>
                <w:szCs w:val="20"/>
              </w:rPr>
              <w:br/>
              <w:t>EC50 = 0.019 mg/L</w:t>
            </w:r>
            <w:r w:rsidR="000E585B" w:rsidRPr="00E944B9">
              <w:rPr>
                <w:rFonts w:ascii="Verdana" w:hAnsi="Verdana"/>
                <w:sz w:val="20"/>
                <w:szCs w:val="20"/>
              </w:rPr>
              <w:br/>
              <w:t>EC10 = 0.006 mg/L</w:t>
            </w:r>
            <w:r w:rsidR="000E585B" w:rsidRPr="00E944B9">
              <w:rPr>
                <w:rFonts w:ascii="Verdana" w:hAnsi="Verdana"/>
                <w:sz w:val="20"/>
                <w:szCs w:val="20"/>
              </w:rPr>
              <w:br/>
              <w:t>NOEC &lt; 0.004 mg/L</w:t>
            </w:r>
          </w:p>
        </w:tc>
      </w:tr>
      <w:tr w:rsidR="00F627D0" w:rsidRPr="00050A37" w14:paraId="6EA66E31" w14:textId="77777777" w:rsidTr="00E944B9">
        <w:trPr>
          <w:tblHeader/>
        </w:trPr>
        <w:tc>
          <w:tcPr>
            <w:tcW w:w="711" w:type="pct"/>
            <w:tcBorders>
              <w:top w:val="single" w:sz="4" w:space="0" w:color="auto"/>
            </w:tcBorders>
            <w:shd w:val="clear" w:color="auto" w:fill="auto"/>
          </w:tcPr>
          <w:p w14:paraId="21BAE669" w14:textId="341F2B09" w:rsidR="00F627D0" w:rsidRPr="00E944B9" w:rsidRDefault="00F627D0" w:rsidP="000A04B8">
            <w:pPr>
              <w:keepLines/>
              <w:tabs>
                <w:tab w:val="left" w:pos="357"/>
              </w:tabs>
              <w:spacing w:after="0"/>
              <w:rPr>
                <w:rFonts w:ascii="Verdana" w:hAnsi="Verdana"/>
                <w:sz w:val="20"/>
                <w:szCs w:val="20"/>
              </w:rPr>
            </w:pPr>
            <w:proofErr w:type="gramStart"/>
            <w:r w:rsidRPr="00E944B9">
              <w:rPr>
                <w:rFonts w:ascii="Verdana" w:hAnsi="Verdana"/>
                <w:sz w:val="20"/>
                <w:szCs w:val="20"/>
              </w:rPr>
              <w:t>Draft  ISO</w:t>
            </w:r>
            <w:proofErr w:type="gramEnd"/>
            <w:r w:rsidRPr="00E944B9">
              <w:rPr>
                <w:rFonts w:ascii="Verdana" w:hAnsi="Verdana"/>
                <w:sz w:val="20"/>
                <w:szCs w:val="20"/>
              </w:rPr>
              <w:t xml:space="preserve"> 10253 standard</w:t>
            </w:r>
          </w:p>
        </w:tc>
        <w:tc>
          <w:tcPr>
            <w:tcW w:w="953" w:type="pct"/>
            <w:tcBorders>
              <w:top w:val="single" w:sz="4" w:space="0" w:color="auto"/>
            </w:tcBorders>
            <w:shd w:val="clear" w:color="auto" w:fill="auto"/>
          </w:tcPr>
          <w:p w14:paraId="1A260005" w14:textId="6FEEA692" w:rsidR="00F627D0" w:rsidRPr="00F627D0" w:rsidRDefault="00F627D0" w:rsidP="000A04B8">
            <w:pPr>
              <w:keepLines/>
              <w:tabs>
                <w:tab w:val="left" w:pos="357"/>
              </w:tabs>
              <w:spacing w:after="0"/>
              <w:rPr>
                <w:rFonts w:ascii="Verdana" w:hAnsi="Verdana"/>
                <w:bCs/>
                <w:sz w:val="20"/>
                <w:szCs w:val="20"/>
                <w:lang w:val="en-GB" w:eastAsia="da-DK"/>
              </w:rPr>
            </w:pPr>
            <w:proofErr w:type="spellStart"/>
            <w:r w:rsidRPr="00E944B9">
              <w:rPr>
                <w:rFonts w:ascii="Verdana" w:hAnsi="Verdana"/>
                <w:sz w:val="20"/>
                <w:szCs w:val="20"/>
              </w:rPr>
              <w:t>Skeletonema</w:t>
            </w:r>
            <w:proofErr w:type="spellEnd"/>
            <w:r w:rsidRPr="00E944B9">
              <w:rPr>
                <w:rFonts w:ascii="Verdana" w:hAnsi="Verdana"/>
                <w:sz w:val="20"/>
                <w:szCs w:val="20"/>
              </w:rPr>
              <w:t xml:space="preserve"> </w:t>
            </w:r>
            <w:proofErr w:type="spellStart"/>
            <w:r w:rsidRPr="00E944B9">
              <w:rPr>
                <w:rFonts w:ascii="Verdana" w:hAnsi="Verdana"/>
                <w:sz w:val="20"/>
                <w:szCs w:val="20"/>
              </w:rPr>
              <w:t>costatum</w:t>
            </w:r>
            <w:proofErr w:type="spellEnd"/>
          </w:p>
        </w:tc>
        <w:tc>
          <w:tcPr>
            <w:tcW w:w="1032" w:type="pct"/>
            <w:tcBorders>
              <w:top w:val="single" w:sz="4" w:space="0" w:color="auto"/>
            </w:tcBorders>
            <w:shd w:val="clear" w:color="auto" w:fill="auto"/>
          </w:tcPr>
          <w:p w14:paraId="3EDB8A4C" w14:textId="69861A51" w:rsidR="00F627D0" w:rsidRPr="00E944B9" w:rsidRDefault="00F627D0" w:rsidP="000A04B8">
            <w:pPr>
              <w:keepLines/>
              <w:tabs>
                <w:tab w:val="left" w:pos="357"/>
              </w:tabs>
              <w:spacing w:after="0"/>
              <w:rPr>
                <w:rFonts w:ascii="Verdana" w:hAnsi="Verdana"/>
                <w:sz w:val="20"/>
                <w:szCs w:val="20"/>
              </w:rPr>
            </w:pPr>
            <w:proofErr w:type="spellStart"/>
            <w:r w:rsidRPr="00E944B9">
              <w:rPr>
                <w:rFonts w:ascii="Verdana" w:hAnsi="Verdana"/>
                <w:sz w:val="20"/>
                <w:szCs w:val="20"/>
              </w:rPr>
              <w:t>dibenzyltoluene</w:t>
            </w:r>
            <w:proofErr w:type="spellEnd"/>
          </w:p>
        </w:tc>
        <w:tc>
          <w:tcPr>
            <w:tcW w:w="2303" w:type="pct"/>
            <w:tcBorders>
              <w:top w:val="single" w:sz="4" w:space="0" w:color="auto"/>
            </w:tcBorders>
            <w:shd w:val="clear" w:color="auto" w:fill="auto"/>
          </w:tcPr>
          <w:p w14:paraId="615FF2A9" w14:textId="7AF486B7" w:rsidR="00F627D0" w:rsidRPr="00E944B9" w:rsidRDefault="00F627D0" w:rsidP="00F627D0">
            <w:pPr>
              <w:keepLines/>
              <w:tabs>
                <w:tab w:val="left" w:pos="357"/>
              </w:tabs>
              <w:spacing w:after="0"/>
              <w:rPr>
                <w:rFonts w:ascii="Verdana" w:hAnsi="Verdana"/>
                <w:sz w:val="20"/>
                <w:szCs w:val="20"/>
              </w:rPr>
            </w:pPr>
            <w:r w:rsidRPr="00E944B9">
              <w:rPr>
                <w:rFonts w:ascii="Verdana" w:hAnsi="Verdana"/>
                <w:sz w:val="20"/>
                <w:szCs w:val="20"/>
              </w:rPr>
              <w:t>growth rate inhibition:</w:t>
            </w:r>
          </w:p>
          <w:p w14:paraId="00B7CB23" w14:textId="77777777" w:rsidR="00F627D0" w:rsidRPr="00E944B9" w:rsidRDefault="00F627D0" w:rsidP="00F627D0">
            <w:pPr>
              <w:keepLines/>
              <w:tabs>
                <w:tab w:val="left" w:pos="357"/>
              </w:tabs>
              <w:spacing w:after="0"/>
              <w:rPr>
                <w:rFonts w:ascii="Verdana" w:hAnsi="Verdana"/>
                <w:sz w:val="20"/>
                <w:szCs w:val="20"/>
              </w:rPr>
            </w:pPr>
            <w:r w:rsidRPr="00E944B9">
              <w:rPr>
                <w:rFonts w:ascii="Verdana" w:hAnsi="Verdana"/>
                <w:sz w:val="20"/>
                <w:szCs w:val="20"/>
              </w:rPr>
              <w:t xml:space="preserve">EC50 = 0.007 mg/L </w:t>
            </w:r>
          </w:p>
          <w:p w14:paraId="0F8A4545" w14:textId="77777777" w:rsidR="00F627D0" w:rsidRPr="00E944B9" w:rsidRDefault="00F627D0" w:rsidP="00F627D0">
            <w:pPr>
              <w:keepLines/>
              <w:tabs>
                <w:tab w:val="left" w:pos="357"/>
              </w:tabs>
              <w:spacing w:after="0"/>
              <w:rPr>
                <w:rFonts w:ascii="Verdana" w:hAnsi="Verdana"/>
                <w:sz w:val="20"/>
                <w:szCs w:val="20"/>
              </w:rPr>
            </w:pPr>
            <w:r w:rsidRPr="00E944B9">
              <w:rPr>
                <w:rFonts w:ascii="Verdana" w:hAnsi="Verdana"/>
                <w:sz w:val="20"/>
                <w:szCs w:val="20"/>
              </w:rPr>
              <w:t>EC10 = 0.001 mg/L</w:t>
            </w:r>
          </w:p>
          <w:p w14:paraId="07554E38" w14:textId="2D842EB6" w:rsidR="00F627D0" w:rsidRPr="00E944B9" w:rsidRDefault="00F627D0" w:rsidP="00F627D0">
            <w:pPr>
              <w:keepLines/>
              <w:tabs>
                <w:tab w:val="left" w:pos="357"/>
              </w:tabs>
              <w:spacing w:after="0"/>
              <w:rPr>
                <w:rFonts w:ascii="Verdana" w:hAnsi="Verdana"/>
                <w:sz w:val="20"/>
                <w:szCs w:val="20"/>
              </w:rPr>
            </w:pPr>
            <w:r w:rsidRPr="00E944B9">
              <w:rPr>
                <w:rFonts w:ascii="Verdana" w:hAnsi="Verdana"/>
                <w:sz w:val="20"/>
                <w:szCs w:val="20"/>
              </w:rPr>
              <w:t>NOEC = 0.002 mg/L</w:t>
            </w:r>
          </w:p>
        </w:tc>
      </w:tr>
    </w:tbl>
    <w:p w14:paraId="18DE793B" w14:textId="77777777" w:rsidR="00F916C5" w:rsidRDefault="00F916C5" w:rsidP="00E944B9">
      <w:pPr>
        <w:jc w:val="both"/>
      </w:pPr>
      <w:bookmarkStart w:id="30" w:name="_Toc285710608"/>
      <w:bookmarkStart w:id="31" w:name="_Toc308015320"/>
      <w:bookmarkStart w:id="32" w:name="_Toc387770109"/>
      <w:bookmarkStart w:id="33" w:name="_Toc285710605"/>
      <w:bookmarkStart w:id="34" w:name="_Toc308015317"/>
    </w:p>
    <w:p w14:paraId="5205A2E2" w14:textId="43C20CBC" w:rsidR="00D915ED" w:rsidRDefault="00D915ED" w:rsidP="00E944B9">
      <w:pPr>
        <w:jc w:val="both"/>
        <w:rPr>
          <w:rFonts w:ascii="Verdana" w:hAnsi="Verdana" w:cstheme="minorHAnsi"/>
          <w:b/>
          <w:sz w:val="20"/>
          <w:szCs w:val="20"/>
          <w:u w:val="single"/>
        </w:rPr>
      </w:pPr>
      <w:r w:rsidRPr="00D915ED">
        <w:rPr>
          <w:rFonts w:ascii="Verdana" w:hAnsi="Verdana" w:cstheme="minorHAnsi"/>
          <w:b/>
          <w:sz w:val="20"/>
          <w:szCs w:val="20"/>
          <w:u w:val="single"/>
        </w:rPr>
        <w:t>6-(1-phenylethyl)-1,2,3,4-tetrahydronaphthalene</w:t>
      </w:r>
    </w:p>
    <w:p w14:paraId="4F3EC3E8" w14:textId="490FA4C9" w:rsidR="00D915ED" w:rsidRPr="00D915ED" w:rsidRDefault="00D915ED" w:rsidP="00D915ED">
      <w:pPr>
        <w:pStyle w:val="Leipteksti"/>
        <w:rPr>
          <w:rFonts w:ascii="Verdana" w:hAnsi="Verdana"/>
          <w:b/>
          <w:sz w:val="20"/>
        </w:rPr>
      </w:pPr>
      <w:r w:rsidRPr="00D915ED">
        <w:rPr>
          <w:rFonts w:ascii="Verdana" w:hAnsi="Verdana"/>
          <w:b/>
          <w:sz w:val="20"/>
        </w:rPr>
        <w:t xml:space="preserve">Persistence </w:t>
      </w:r>
    </w:p>
    <w:p w14:paraId="22B8C5C8" w14:textId="67954BAC" w:rsidR="00322D9C" w:rsidRDefault="00322D9C" w:rsidP="00D915ED">
      <w:pPr>
        <w:pStyle w:val="Leipteksti"/>
        <w:rPr>
          <w:rFonts w:ascii="Verdana" w:hAnsi="Verdana"/>
          <w:sz w:val="20"/>
        </w:rPr>
      </w:pPr>
      <w:r>
        <w:rPr>
          <w:rFonts w:ascii="Verdana" w:hAnsi="Verdana"/>
          <w:sz w:val="20"/>
        </w:rPr>
        <w:t xml:space="preserve">Information from the registration dossier is discussed in the confidential Annex I. </w:t>
      </w:r>
    </w:p>
    <w:p w14:paraId="69AC15FA" w14:textId="78319F4A" w:rsidR="00D915ED" w:rsidRDefault="00D915ED" w:rsidP="00D915ED">
      <w:pPr>
        <w:pStyle w:val="Leipteksti"/>
        <w:rPr>
          <w:rFonts w:ascii="Verdana" w:hAnsi="Verdana"/>
          <w:sz w:val="20"/>
        </w:rPr>
      </w:pPr>
      <w:r>
        <w:rPr>
          <w:rFonts w:ascii="Verdana" w:hAnsi="Verdana"/>
          <w:sz w:val="20"/>
        </w:rPr>
        <w:t xml:space="preserve">Biodegradability QSAR estimations for the public name of the substance on ECHA dissemination </w:t>
      </w:r>
      <w:proofErr w:type="gramStart"/>
      <w:r>
        <w:rPr>
          <w:rFonts w:ascii="Verdana" w:hAnsi="Verdana"/>
          <w:sz w:val="20"/>
        </w:rPr>
        <w:t xml:space="preserve">site  </w:t>
      </w:r>
      <w:r w:rsidRPr="006C79F1">
        <w:rPr>
          <w:rFonts w:ascii="Verdana" w:hAnsi="Verdana"/>
          <w:sz w:val="20"/>
        </w:rPr>
        <w:t>6</w:t>
      </w:r>
      <w:proofErr w:type="gramEnd"/>
      <w:r w:rsidRPr="006C79F1">
        <w:rPr>
          <w:rFonts w:ascii="Verdana" w:hAnsi="Verdana"/>
          <w:sz w:val="20"/>
        </w:rPr>
        <w:t xml:space="preserve">-(1-phenylethyl)-1,2,3,4-tetrahydronaphthalene </w:t>
      </w:r>
      <w:r>
        <w:rPr>
          <w:rFonts w:ascii="Verdana" w:hAnsi="Verdana"/>
          <w:sz w:val="20"/>
        </w:rPr>
        <w:t xml:space="preserve">(SMILES: </w:t>
      </w:r>
      <w:r w:rsidRPr="006C79F1">
        <w:rPr>
          <w:rFonts w:ascii="Verdana" w:hAnsi="Verdana"/>
          <w:sz w:val="20"/>
        </w:rPr>
        <w:t>CC(c1cc2c(cc1)CCCC2)c3ccccc3</w:t>
      </w:r>
      <w:r>
        <w:rPr>
          <w:rFonts w:ascii="Verdana" w:hAnsi="Verdana"/>
          <w:sz w:val="20"/>
        </w:rPr>
        <w:t xml:space="preserve">) using BIOWIN v4.10 and </w:t>
      </w:r>
      <w:proofErr w:type="spellStart"/>
      <w:r>
        <w:rPr>
          <w:rFonts w:ascii="Verdana" w:hAnsi="Verdana"/>
          <w:sz w:val="20"/>
        </w:rPr>
        <w:t>BioHCwin</w:t>
      </w:r>
      <w:proofErr w:type="spellEnd"/>
      <w:r>
        <w:rPr>
          <w:rFonts w:ascii="Verdana" w:hAnsi="Verdana"/>
          <w:sz w:val="20"/>
        </w:rPr>
        <w:t xml:space="preserve"> v1.01 are presented in Table </w:t>
      </w:r>
      <w:r w:rsidR="00E669C1">
        <w:rPr>
          <w:rFonts w:ascii="Verdana" w:hAnsi="Verdana"/>
          <w:sz w:val="20"/>
        </w:rPr>
        <w:t>7</w:t>
      </w:r>
      <w:r>
        <w:rPr>
          <w:rFonts w:ascii="Verdana" w:hAnsi="Verdana"/>
          <w:sz w:val="20"/>
        </w:rPr>
        <w:t xml:space="preserve">. </w:t>
      </w:r>
      <w:r w:rsidR="00033CFD">
        <w:rPr>
          <w:rFonts w:ascii="Verdana" w:hAnsi="Verdana"/>
          <w:sz w:val="20"/>
        </w:rPr>
        <w:t>The r</w:t>
      </w:r>
      <w:r>
        <w:rPr>
          <w:rFonts w:ascii="Verdana" w:hAnsi="Verdana"/>
          <w:sz w:val="20"/>
        </w:rPr>
        <w:t xml:space="preserve">egistered substance is a multi-constituent substance and further information on the composition is confidential. Thus, all QSAR estimations for this substance are based on the potential constituent under public name </w:t>
      </w:r>
      <w:r w:rsidRPr="006C79F1">
        <w:rPr>
          <w:rFonts w:ascii="Verdana" w:hAnsi="Verdana"/>
          <w:sz w:val="20"/>
        </w:rPr>
        <w:t>6-(1-phenylethyl)-1,2,3,4-tetrahydronaphthalene</w:t>
      </w:r>
      <w:r>
        <w:rPr>
          <w:rFonts w:ascii="Verdana" w:hAnsi="Verdana"/>
          <w:sz w:val="20"/>
        </w:rPr>
        <w:t xml:space="preserve"> (CAS: 6196-98-1). For </w:t>
      </w:r>
      <w:proofErr w:type="spellStart"/>
      <w:r>
        <w:rPr>
          <w:rFonts w:ascii="Verdana" w:hAnsi="Verdana"/>
          <w:sz w:val="20"/>
        </w:rPr>
        <w:t>Biowin</w:t>
      </w:r>
      <w:proofErr w:type="spellEnd"/>
      <w:r>
        <w:rPr>
          <w:rFonts w:ascii="Verdana" w:hAnsi="Verdana"/>
          <w:sz w:val="20"/>
        </w:rPr>
        <w:t xml:space="preserve"> 3 </w:t>
      </w:r>
      <w:r w:rsidR="0060494A">
        <w:rPr>
          <w:rFonts w:ascii="Verdana" w:hAnsi="Verdana"/>
          <w:sz w:val="20"/>
        </w:rPr>
        <w:t>the number of the fragment ‘</w:t>
      </w:r>
      <w:r>
        <w:rPr>
          <w:rFonts w:ascii="Verdana" w:hAnsi="Verdana"/>
          <w:sz w:val="20"/>
        </w:rPr>
        <w:t>alkyl substituent on aromatic ring</w:t>
      </w:r>
      <w:r w:rsidR="0060494A">
        <w:rPr>
          <w:rFonts w:ascii="Verdana" w:hAnsi="Verdana"/>
          <w:sz w:val="20"/>
        </w:rPr>
        <w:t>’</w:t>
      </w:r>
      <w:r>
        <w:rPr>
          <w:rFonts w:ascii="Verdana" w:hAnsi="Verdana"/>
          <w:sz w:val="20"/>
        </w:rPr>
        <w:t xml:space="preserve"> </w:t>
      </w:r>
      <w:r w:rsidR="0060494A">
        <w:rPr>
          <w:rFonts w:ascii="Verdana" w:hAnsi="Verdana"/>
          <w:sz w:val="20"/>
        </w:rPr>
        <w:t xml:space="preserve">(3) exceeds </w:t>
      </w:r>
      <w:r>
        <w:rPr>
          <w:rFonts w:ascii="Verdana" w:hAnsi="Verdana"/>
          <w:sz w:val="20"/>
        </w:rPr>
        <w:t xml:space="preserve">the maximum number of </w:t>
      </w:r>
      <w:proofErr w:type="gramStart"/>
      <w:r>
        <w:rPr>
          <w:rFonts w:ascii="Verdana" w:hAnsi="Verdana"/>
          <w:sz w:val="20"/>
        </w:rPr>
        <w:t>fragment</w:t>
      </w:r>
      <w:proofErr w:type="gramEnd"/>
      <w:r>
        <w:rPr>
          <w:rFonts w:ascii="Verdana" w:hAnsi="Verdana"/>
          <w:sz w:val="20"/>
        </w:rPr>
        <w:t xml:space="preserve"> count</w:t>
      </w:r>
      <w:r w:rsidR="00E209A5">
        <w:rPr>
          <w:rFonts w:ascii="Verdana" w:hAnsi="Verdana"/>
          <w:sz w:val="20"/>
        </w:rPr>
        <w:t>s</w:t>
      </w:r>
      <w:r>
        <w:rPr>
          <w:rFonts w:ascii="Verdana" w:hAnsi="Verdana"/>
          <w:sz w:val="20"/>
        </w:rPr>
        <w:t xml:space="preserve"> in the training set (max 2 for this fragment). No further analysis of the applicability of the model is done at this stage of the PBT assessment by the </w:t>
      </w:r>
      <w:proofErr w:type="spellStart"/>
      <w:r>
        <w:rPr>
          <w:rFonts w:ascii="Verdana" w:hAnsi="Verdana"/>
          <w:sz w:val="20"/>
        </w:rPr>
        <w:t>eMSCA</w:t>
      </w:r>
      <w:proofErr w:type="spellEnd"/>
      <w:r>
        <w:rPr>
          <w:rFonts w:ascii="Verdana" w:hAnsi="Verdana"/>
          <w:sz w:val="20"/>
        </w:rPr>
        <w:t xml:space="preserve">. </w:t>
      </w:r>
    </w:p>
    <w:p w14:paraId="09D4000D" w14:textId="2F9BC06D" w:rsidR="00D915ED" w:rsidRDefault="00D915ED" w:rsidP="00D915ED">
      <w:pPr>
        <w:pStyle w:val="Leipteksti"/>
        <w:spacing w:after="0"/>
        <w:rPr>
          <w:rFonts w:ascii="Verdana" w:hAnsi="Verdana"/>
          <w:sz w:val="20"/>
        </w:rPr>
      </w:pPr>
      <w:r w:rsidRPr="00E669C1">
        <w:rPr>
          <w:rFonts w:ascii="Verdana" w:hAnsi="Verdana"/>
          <w:b/>
          <w:sz w:val="20"/>
        </w:rPr>
        <w:lastRenderedPageBreak/>
        <w:t xml:space="preserve">Table </w:t>
      </w:r>
      <w:r w:rsidR="00E669C1" w:rsidRPr="00E669C1">
        <w:rPr>
          <w:rFonts w:ascii="Verdana" w:hAnsi="Verdana"/>
          <w:b/>
          <w:sz w:val="20"/>
        </w:rPr>
        <w:t>7</w:t>
      </w:r>
      <w:r w:rsidRPr="00E669C1">
        <w:rPr>
          <w:rFonts w:ascii="Verdana" w:hAnsi="Verdana"/>
          <w:b/>
          <w:sz w:val="20"/>
        </w:rPr>
        <w:t xml:space="preserve">: QSAR estimation done by </w:t>
      </w:r>
      <w:proofErr w:type="spellStart"/>
      <w:r w:rsidRPr="00E669C1">
        <w:rPr>
          <w:rFonts w:ascii="Verdana" w:hAnsi="Verdana"/>
          <w:b/>
          <w:sz w:val="20"/>
        </w:rPr>
        <w:t>eMSCA</w:t>
      </w:r>
      <w:proofErr w:type="spellEnd"/>
      <w:r w:rsidRPr="00E669C1">
        <w:rPr>
          <w:rFonts w:ascii="Verdana" w:hAnsi="Verdana"/>
          <w:b/>
          <w:sz w:val="20"/>
        </w:rPr>
        <w:t xml:space="preserve"> for constituent 6-(1-phenylethyl)-1,2,3,4-tetrahydronaphthalene</w:t>
      </w:r>
      <w:r>
        <w:rPr>
          <w:rFonts w:ascii="Verdana" w:hAnsi="Verdana"/>
          <w:sz w:val="20"/>
        </w:rPr>
        <w:t>.</w:t>
      </w:r>
    </w:p>
    <w:tbl>
      <w:tblPr>
        <w:tblStyle w:val="TaulukkoRuudukko"/>
        <w:tblW w:w="0" w:type="auto"/>
        <w:tblLook w:val="04A0" w:firstRow="1" w:lastRow="0" w:firstColumn="1" w:lastColumn="0" w:noHBand="0" w:noVBand="1"/>
      </w:tblPr>
      <w:tblGrid>
        <w:gridCol w:w="2769"/>
        <w:gridCol w:w="2758"/>
        <w:gridCol w:w="2775"/>
      </w:tblGrid>
      <w:tr w:rsidR="00D915ED" w14:paraId="46D91F84" w14:textId="77777777" w:rsidTr="009B2B06">
        <w:tc>
          <w:tcPr>
            <w:tcW w:w="2817" w:type="dxa"/>
            <w:shd w:val="clear" w:color="auto" w:fill="FFFFFF" w:themeFill="background1"/>
          </w:tcPr>
          <w:p w14:paraId="2512993D" w14:textId="77777777" w:rsidR="00D915ED" w:rsidRDefault="00D915ED" w:rsidP="009B2B06">
            <w:pPr>
              <w:pStyle w:val="Leipteksti"/>
              <w:rPr>
                <w:rFonts w:ascii="Verdana" w:hAnsi="Verdana"/>
                <w:sz w:val="20"/>
              </w:rPr>
            </w:pPr>
            <w:r>
              <w:rPr>
                <w:rFonts w:ascii="Verdana" w:hAnsi="Verdana"/>
                <w:sz w:val="20"/>
              </w:rPr>
              <w:t>Model</w:t>
            </w:r>
          </w:p>
        </w:tc>
        <w:tc>
          <w:tcPr>
            <w:tcW w:w="2817" w:type="dxa"/>
            <w:shd w:val="clear" w:color="auto" w:fill="FFFFFF" w:themeFill="background1"/>
          </w:tcPr>
          <w:p w14:paraId="558D7A92" w14:textId="77777777" w:rsidR="00D915ED" w:rsidRDefault="00D915ED" w:rsidP="009B2B06">
            <w:pPr>
              <w:pStyle w:val="Leipteksti"/>
              <w:rPr>
                <w:rFonts w:ascii="Verdana" w:hAnsi="Verdana"/>
                <w:sz w:val="20"/>
              </w:rPr>
            </w:pPr>
            <w:r>
              <w:rPr>
                <w:rFonts w:ascii="Verdana" w:hAnsi="Verdana"/>
                <w:sz w:val="20"/>
              </w:rPr>
              <w:t>Results</w:t>
            </w:r>
          </w:p>
        </w:tc>
        <w:tc>
          <w:tcPr>
            <w:tcW w:w="2818" w:type="dxa"/>
            <w:shd w:val="clear" w:color="auto" w:fill="FFFFFF" w:themeFill="background1"/>
          </w:tcPr>
          <w:p w14:paraId="2FA422D5" w14:textId="77777777" w:rsidR="00D915ED" w:rsidRDefault="00D915ED" w:rsidP="009B2B06">
            <w:pPr>
              <w:pStyle w:val="Leipteksti"/>
              <w:rPr>
                <w:rFonts w:ascii="Verdana" w:hAnsi="Verdana"/>
                <w:sz w:val="20"/>
              </w:rPr>
            </w:pPr>
            <w:r>
              <w:rPr>
                <w:rFonts w:ascii="Verdana" w:hAnsi="Verdana"/>
                <w:sz w:val="20"/>
              </w:rPr>
              <w:t>Prediction</w:t>
            </w:r>
          </w:p>
        </w:tc>
      </w:tr>
      <w:tr w:rsidR="00D915ED" w14:paraId="30A9B0E5" w14:textId="77777777" w:rsidTr="009B2B06">
        <w:tc>
          <w:tcPr>
            <w:tcW w:w="2817" w:type="dxa"/>
            <w:shd w:val="clear" w:color="auto" w:fill="FFFFFF" w:themeFill="background1"/>
          </w:tcPr>
          <w:p w14:paraId="129AF880" w14:textId="77777777" w:rsidR="00D915ED" w:rsidRDefault="00D915ED" w:rsidP="009B2B06">
            <w:pPr>
              <w:pStyle w:val="Leipteksti"/>
              <w:jc w:val="left"/>
              <w:rPr>
                <w:rFonts w:ascii="Verdana" w:hAnsi="Verdana"/>
                <w:sz w:val="20"/>
              </w:rPr>
            </w:pPr>
            <w:proofErr w:type="spellStart"/>
            <w:r>
              <w:rPr>
                <w:rFonts w:ascii="Verdana" w:hAnsi="Verdana"/>
                <w:sz w:val="20"/>
              </w:rPr>
              <w:t>Biowin</w:t>
            </w:r>
            <w:proofErr w:type="spellEnd"/>
            <w:r>
              <w:rPr>
                <w:rFonts w:ascii="Verdana" w:hAnsi="Verdana"/>
                <w:sz w:val="20"/>
              </w:rPr>
              <w:t xml:space="preserve"> 1 (Linear)</w:t>
            </w:r>
          </w:p>
        </w:tc>
        <w:tc>
          <w:tcPr>
            <w:tcW w:w="2817" w:type="dxa"/>
            <w:shd w:val="clear" w:color="auto" w:fill="FFFFFF" w:themeFill="background1"/>
          </w:tcPr>
          <w:p w14:paraId="5E3C0F67" w14:textId="77777777" w:rsidR="00D915ED" w:rsidRDefault="00D915ED" w:rsidP="009B2B06">
            <w:pPr>
              <w:pStyle w:val="Leipteksti"/>
              <w:rPr>
                <w:rFonts w:ascii="Verdana" w:hAnsi="Verdana"/>
                <w:sz w:val="20"/>
              </w:rPr>
            </w:pPr>
            <w:r>
              <w:rPr>
                <w:rFonts w:ascii="Verdana" w:hAnsi="Verdana"/>
                <w:sz w:val="20"/>
              </w:rPr>
              <w:t>0.9271</w:t>
            </w:r>
          </w:p>
        </w:tc>
        <w:tc>
          <w:tcPr>
            <w:tcW w:w="2818" w:type="dxa"/>
            <w:shd w:val="clear" w:color="auto" w:fill="FFFFFF" w:themeFill="background1"/>
          </w:tcPr>
          <w:p w14:paraId="4127D881" w14:textId="77777777" w:rsidR="00D915ED" w:rsidRDefault="00D915ED" w:rsidP="009B2B06">
            <w:pPr>
              <w:pStyle w:val="Leipteksti"/>
              <w:rPr>
                <w:rFonts w:ascii="Verdana" w:hAnsi="Verdana"/>
                <w:sz w:val="20"/>
              </w:rPr>
            </w:pPr>
            <w:r>
              <w:rPr>
                <w:rFonts w:ascii="Verdana" w:hAnsi="Verdana"/>
                <w:sz w:val="20"/>
              </w:rPr>
              <w:t>biodegrades fast</w:t>
            </w:r>
          </w:p>
        </w:tc>
      </w:tr>
      <w:tr w:rsidR="00D915ED" w14:paraId="32DD1DB5" w14:textId="77777777" w:rsidTr="009B2B06">
        <w:tc>
          <w:tcPr>
            <w:tcW w:w="2817" w:type="dxa"/>
            <w:shd w:val="clear" w:color="auto" w:fill="FFFFFF" w:themeFill="background1"/>
          </w:tcPr>
          <w:p w14:paraId="78F40779" w14:textId="77777777" w:rsidR="00D915ED" w:rsidRDefault="00D915ED" w:rsidP="009B2B06">
            <w:pPr>
              <w:pStyle w:val="Leipteksti"/>
              <w:jc w:val="left"/>
              <w:rPr>
                <w:rFonts w:ascii="Verdana" w:hAnsi="Verdana"/>
                <w:sz w:val="20"/>
              </w:rPr>
            </w:pPr>
            <w:proofErr w:type="spellStart"/>
            <w:r>
              <w:rPr>
                <w:rFonts w:ascii="Verdana" w:hAnsi="Verdana"/>
                <w:sz w:val="20"/>
              </w:rPr>
              <w:t>Biowin</w:t>
            </w:r>
            <w:proofErr w:type="spellEnd"/>
            <w:r>
              <w:rPr>
                <w:rFonts w:ascii="Verdana" w:hAnsi="Verdana"/>
                <w:sz w:val="20"/>
              </w:rPr>
              <w:t xml:space="preserve"> 2 (Non-Linear)</w:t>
            </w:r>
          </w:p>
        </w:tc>
        <w:tc>
          <w:tcPr>
            <w:tcW w:w="2817" w:type="dxa"/>
            <w:shd w:val="clear" w:color="auto" w:fill="FFFFFF" w:themeFill="background1"/>
          </w:tcPr>
          <w:p w14:paraId="44CF9555" w14:textId="77777777" w:rsidR="00D915ED" w:rsidRDefault="00D915ED" w:rsidP="009B2B06">
            <w:pPr>
              <w:pStyle w:val="Leipteksti"/>
              <w:rPr>
                <w:rFonts w:ascii="Verdana" w:hAnsi="Verdana"/>
                <w:sz w:val="20"/>
              </w:rPr>
            </w:pPr>
            <w:r>
              <w:rPr>
                <w:rFonts w:ascii="Verdana" w:hAnsi="Verdana"/>
                <w:sz w:val="20"/>
              </w:rPr>
              <w:t>0.9602</w:t>
            </w:r>
          </w:p>
        </w:tc>
        <w:tc>
          <w:tcPr>
            <w:tcW w:w="2818" w:type="dxa"/>
            <w:shd w:val="clear" w:color="auto" w:fill="FFFFFF" w:themeFill="background1"/>
          </w:tcPr>
          <w:p w14:paraId="6AA0B8C4" w14:textId="77777777" w:rsidR="00D915ED" w:rsidRDefault="00D915ED" w:rsidP="009B2B06">
            <w:pPr>
              <w:pStyle w:val="Leipteksti"/>
              <w:rPr>
                <w:rFonts w:ascii="Verdana" w:hAnsi="Verdana"/>
                <w:sz w:val="20"/>
              </w:rPr>
            </w:pPr>
            <w:r>
              <w:rPr>
                <w:rFonts w:ascii="Verdana" w:hAnsi="Verdana"/>
                <w:sz w:val="20"/>
              </w:rPr>
              <w:t>biodegrades fast</w:t>
            </w:r>
          </w:p>
        </w:tc>
      </w:tr>
      <w:tr w:rsidR="00D915ED" w14:paraId="27B8D30A" w14:textId="77777777" w:rsidTr="009B2B06">
        <w:tc>
          <w:tcPr>
            <w:tcW w:w="2817" w:type="dxa"/>
            <w:shd w:val="clear" w:color="auto" w:fill="FFFFFF" w:themeFill="background1"/>
          </w:tcPr>
          <w:p w14:paraId="67C96ECF" w14:textId="77777777" w:rsidR="00D915ED" w:rsidRDefault="00D915ED" w:rsidP="009B2B06">
            <w:pPr>
              <w:pStyle w:val="Leipteksti"/>
              <w:jc w:val="left"/>
              <w:rPr>
                <w:rFonts w:ascii="Verdana" w:hAnsi="Verdana"/>
                <w:sz w:val="20"/>
              </w:rPr>
            </w:pPr>
            <w:proofErr w:type="spellStart"/>
            <w:r>
              <w:rPr>
                <w:rFonts w:ascii="Verdana" w:hAnsi="Verdana"/>
                <w:sz w:val="20"/>
              </w:rPr>
              <w:t>Biowin</w:t>
            </w:r>
            <w:proofErr w:type="spellEnd"/>
            <w:r>
              <w:rPr>
                <w:rFonts w:ascii="Verdana" w:hAnsi="Verdana"/>
                <w:sz w:val="20"/>
              </w:rPr>
              <w:t xml:space="preserve"> 3 (Ultimate)</w:t>
            </w:r>
          </w:p>
        </w:tc>
        <w:tc>
          <w:tcPr>
            <w:tcW w:w="2817" w:type="dxa"/>
            <w:shd w:val="clear" w:color="auto" w:fill="FFFFFF" w:themeFill="background1"/>
          </w:tcPr>
          <w:p w14:paraId="35ACF509" w14:textId="77777777" w:rsidR="00D915ED" w:rsidRDefault="00D915ED" w:rsidP="009B2B06">
            <w:pPr>
              <w:pStyle w:val="Leipteksti"/>
              <w:rPr>
                <w:rFonts w:ascii="Verdana" w:hAnsi="Verdana"/>
                <w:sz w:val="20"/>
              </w:rPr>
            </w:pPr>
            <w:r>
              <w:rPr>
                <w:rFonts w:ascii="Verdana" w:hAnsi="Verdana"/>
                <w:sz w:val="20"/>
              </w:rPr>
              <w:t>2.4743</w:t>
            </w:r>
          </w:p>
        </w:tc>
        <w:tc>
          <w:tcPr>
            <w:tcW w:w="2818" w:type="dxa"/>
            <w:shd w:val="clear" w:color="auto" w:fill="FFFFFF" w:themeFill="background1"/>
          </w:tcPr>
          <w:p w14:paraId="47411B15" w14:textId="77777777" w:rsidR="00D915ED" w:rsidRDefault="00D915ED" w:rsidP="009B2B06">
            <w:pPr>
              <w:pStyle w:val="Leipteksti"/>
              <w:rPr>
                <w:rFonts w:ascii="Verdana" w:hAnsi="Verdana"/>
                <w:sz w:val="20"/>
              </w:rPr>
            </w:pPr>
            <w:r>
              <w:rPr>
                <w:rFonts w:ascii="Verdana" w:hAnsi="Verdana"/>
                <w:sz w:val="20"/>
              </w:rPr>
              <w:t>weeks-months</w:t>
            </w:r>
          </w:p>
        </w:tc>
      </w:tr>
      <w:tr w:rsidR="00D915ED" w14:paraId="48A037EB" w14:textId="77777777" w:rsidTr="009B2B06">
        <w:tc>
          <w:tcPr>
            <w:tcW w:w="2817" w:type="dxa"/>
            <w:shd w:val="clear" w:color="auto" w:fill="FFFFFF" w:themeFill="background1"/>
          </w:tcPr>
          <w:p w14:paraId="7884FB60" w14:textId="77777777" w:rsidR="00D915ED" w:rsidRDefault="00D915ED" w:rsidP="009B2B06">
            <w:pPr>
              <w:pStyle w:val="Leipteksti"/>
              <w:jc w:val="left"/>
              <w:rPr>
                <w:rFonts w:ascii="Verdana" w:hAnsi="Verdana"/>
                <w:sz w:val="20"/>
              </w:rPr>
            </w:pPr>
            <w:proofErr w:type="spellStart"/>
            <w:r>
              <w:rPr>
                <w:rFonts w:ascii="Verdana" w:hAnsi="Verdana"/>
                <w:sz w:val="20"/>
              </w:rPr>
              <w:t>Biowin</w:t>
            </w:r>
            <w:proofErr w:type="spellEnd"/>
            <w:r>
              <w:rPr>
                <w:rFonts w:ascii="Verdana" w:hAnsi="Verdana"/>
                <w:sz w:val="20"/>
              </w:rPr>
              <w:t xml:space="preserve"> 4 (Primary)</w:t>
            </w:r>
          </w:p>
        </w:tc>
        <w:tc>
          <w:tcPr>
            <w:tcW w:w="2817" w:type="dxa"/>
            <w:shd w:val="clear" w:color="auto" w:fill="FFFFFF" w:themeFill="background1"/>
          </w:tcPr>
          <w:p w14:paraId="20AC7C6D" w14:textId="77777777" w:rsidR="00D915ED" w:rsidRDefault="00D915ED" w:rsidP="009B2B06">
            <w:pPr>
              <w:pStyle w:val="Leipteksti"/>
              <w:rPr>
                <w:rFonts w:ascii="Verdana" w:hAnsi="Verdana"/>
                <w:sz w:val="20"/>
              </w:rPr>
            </w:pPr>
            <w:r>
              <w:rPr>
                <w:rFonts w:ascii="Verdana" w:hAnsi="Verdana"/>
                <w:sz w:val="20"/>
              </w:rPr>
              <w:t>3.3060</w:t>
            </w:r>
          </w:p>
        </w:tc>
        <w:tc>
          <w:tcPr>
            <w:tcW w:w="2818" w:type="dxa"/>
            <w:shd w:val="clear" w:color="auto" w:fill="FFFFFF" w:themeFill="background1"/>
          </w:tcPr>
          <w:p w14:paraId="142E2077" w14:textId="77777777" w:rsidR="00D915ED" w:rsidRDefault="00D915ED" w:rsidP="009B2B06">
            <w:pPr>
              <w:pStyle w:val="Leipteksti"/>
              <w:rPr>
                <w:rFonts w:ascii="Verdana" w:hAnsi="Verdana"/>
                <w:sz w:val="20"/>
              </w:rPr>
            </w:pPr>
            <w:r>
              <w:rPr>
                <w:rFonts w:ascii="Verdana" w:hAnsi="Verdana"/>
                <w:sz w:val="20"/>
              </w:rPr>
              <w:t>days-weeks</w:t>
            </w:r>
          </w:p>
        </w:tc>
      </w:tr>
      <w:tr w:rsidR="00D915ED" w14:paraId="06212574" w14:textId="77777777" w:rsidTr="009B2B06">
        <w:tc>
          <w:tcPr>
            <w:tcW w:w="2817" w:type="dxa"/>
            <w:shd w:val="clear" w:color="auto" w:fill="FFFFFF" w:themeFill="background1"/>
          </w:tcPr>
          <w:p w14:paraId="458DFF2C" w14:textId="77777777" w:rsidR="00D915ED" w:rsidRDefault="00D915ED" w:rsidP="009B2B06">
            <w:pPr>
              <w:pStyle w:val="Leipteksti"/>
              <w:jc w:val="left"/>
              <w:rPr>
                <w:rFonts w:ascii="Verdana" w:hAnsi="Verdana"/>
                <w:sz w:val="20"/>
              </w:rPr>
            </w:pPr>
            <w:proofErr w:type="spellStart"/>
            <w:r>
              <w:rPr>
                <w:rFonts w:ascii="Verdana" w:hAnsi="Verdana"/>
                <w:sz w:val="20"/>
              </w:rPr>
              <w:t>Biowin</w:t>
            </w:r>
            <w:proofErr w:type="spellEnd"/>
            <w:r>
              <w:rPr>
                <w:rFonts w:ascii="Verdana" w:hAnsi="Verdana"/>
                <w:sz w:val="20"/>
              </w:rPr>
              <w:t xml:space="preserve"> 5 (MITI Linear)</w:t>
            </w:r>
          </w:p>
        </w:tc>
        <w:tc>
          <w:tcPr>
            <w:tcW w:w="2817" w:type="dxa"/>
            <w:shd w:val="clear" w:color="auto" w:fill="FFFFFF" w:themeFill="background1"/>
          </w:tcPr>
          <w:p w14:paraId="73831BCA" w14:textId="77777777" w:rsidR="00D915ED" w:rsidRDefault="00D915ED" w:rsidP="009B2B06">
            <w:pPr>
              <w:pStyle w:val="Leipteksti"/>
              <w:rPr>
                <w:rFonts w:ascii="Verdana" w:hAnsi="Verdana"/>
                <w:sz w:val="20"/>
              </w:rPr>
            </w:pPr>
            <w:r>
              <w:rPr>
                <w:rFonts w:ascii="Verdana" w:hAnsi="Verdana"/>
                <w:sz w:val="20"/>
              </w:rPr>
              <w:t>-0.0066</w:t>
            </w:r>
          </w:p>
        </w:tc>
        <w:tc>
          <w:tcPr>
            <w:tcW w:w="2818" w:type="dxa"/>
            <w:shd w:val="clear" w:color="auto" w:fill="FFFFFF" w:themeFill="background1"/>
          </w:tcPr>
          <w:p w14:paraId="07CE084D" w14:textId="77777777" w:rsidR="00D915ED" w:rsidRDefault="00D915ED" w:rsidP="009B2B06">
            <w:pPr>
              <w:pStyle w:val="Leipteksti"/>
              <w:rPr>
                <w:rFonts w:ascii="Verdana" w:hAnsi="Verdana"/>
                <w:sz w:val="20"/>
              </w:rPr>
            </w:pPr>
            <w:r>
              <w:rPr>
                <w:rFonts w:ascii="Verdana" w:hAnsi="Verdana"/>
                <w:sz w:val="20"/>
              </w:rPr>
              <w:t>not readily degradable</w:t>
            </w:r>
          </w:p>
        </w:tc>
      </w:tr>
      <w:tr w:rsidR="00D915ED" w14:paraId="27552696" w14:textId="77777777" w:rsidTr="009B2B06">
        <w:tc>
          <w:tcPr>
            <w:tcW w:w="2817" w:type="dxa"/>
            <w:shd w:val="clear" w:color="auto" w:fill="FFFFFF" w:themeFill="background1"/>
          </w:tcPr>
          <w:p w14:paraId="40A67E73" w14:textId="77777777" w:rsidR="00D915ED" w:rsidRDefault="00D915ED" w:rsidP="009B2B06">
            <w:pPr>
              <w:pStyle w:val="Leipteksti"/>
              <w:jc w:val="left"/>
              <w:rPr>
                <w:rFonts w:ascii="Verdana" w:hAnsi="Verdana"/>
                <w:sz w:val="20"/>
              </w:rPr>
            </w:pPr>
            <w:proofErr w:type="spellStart"/>
            <w:r>
              <w:rPr>
                <w:rFonts w:ascii="Verdana" w:hAnsi="Verdana"/>
                <w:sz w:val="20"/>
              </w:rPr>
              <w:t>Biowin</w:t>
            </w:r>
            <w:proofErr w:type="spellEnd"/>
            <w:r>
              <w:rPr>
                <w:rFonts w:ascii="Verdana" w:hAnsi="Verdana"/>
                <w:sz w:val="20"/>
              </w:rPr>
              <w:t xml:space="preserve"> 6 (MITI Non-Linear)</w:t>
            </w:r>
          </w:p>
        </w:tc>
        <w:tc>
          <w:tcPr>
            <w:tcW w:w="2817" w:type="dxa"/>
            <w:shd w:val="clear" w:color="auto" w:fill="FFFFFF" w:themeFill="background1"/>
          </w:tcPr>
          <w:p w14:paraId="4E4DDB2B" w14:textId="77777777" w:rsidR="00D915ED" w:rsidRDefault="00D915ED" w:rsidP="009B2B06">
            <w:pPr>
              <w:pStyle w:val="Leipteksti"/>
              <w:rPr>
                <w:rFonts w:ascii="Verdana" w:hAnsi="Verdana"/>
                <w:sz w:val="20"/>
              </w:rPr>
            </w:pPr>
            <w:r>
              <w:rPr>
                <w:rFonts w:ascii="Verdana" w:hAnsi="Verdana"/>
                <w:sz w:val="20"/>
              </w:rPr>
              <w:t>0.0557</w:t>
            </w:r>
          </w:p>
        </w:tc>
        <w:tc>
          <w:tcPr>
            <w:tcW w:w="2818" w:type="dxa"/>
            <w:shd w:val="clear" w:color="auto" w:fill="FFFFFF" w:themeFill="background1"/>
          </w:tcPr>
          <w:p w14:paraId="1BDDCED9" w14:textId="77777777" w:rsidR="00D915ED" w:rsidRDefault="00D915ED" w:rsidP="009B2B06">
            <w:pPr>
              <w:pStyle w:val="Leipteksti"/>
              <w:rPr>
                <w:rFonts w:ascii="Verdana" w:hAnsi="Verdana"/>
                <w:sz w:val="20"/>
              </w:rPr>
            </w:pPr>
            <w:r>
              <w:rPr>
                <w:rFonts w:ascii="Verdana" w:hAnsi="Verdana"/>
                <w:sz w:val="20"/>
              </w:rPr>
              <w:t>not readily degradable</w:t>
            </w:r>
          </w:p>
        </w:tc>
      </w:tr>
      <w:tr w:rsidR="00D915ED" w14:paraId="327759C0" w14:textId="77777777" w:rsidTr="009B2B06">
        <w:tc>
          <w:tcPr>
            <w:tcW w:w="2817" w:type="dxa"/>
            <w:shd w:val="clear" w:color="auto" w:fill="FFFFFF" w:themeFill="background1"/>
          </w:tcPr>
          <w:p w14:paraId="08B61479" w14:textId="77777777" w:rsidR="00D915ED" w:rsidRDefault="00D915ED" w:rsidP="009B2B06">
            <w:pPr>
              <w:pStyle w:val="Leipteksti"/>
              <w:jc w:val="left"/>
              <w:rPr>
                <w:rFonts w:ascii="Verdana" w:hAnsi="Verdana"/>
                <w:sz w:val="20"/>
              </w:rPr>
            </w:pPr>
            <w:proofErr w:type="spellStart"/>
            <w:r>
              <w:rPr>
                <w:rFonts w:ascii="Verdana" w:hAnsi="Verdana"/>
                <w:sz w:val="20"/>
              </w:rPr>
              <w:t>Biowin</w:t>
            </w:r>
            <w:proofErr w:type="spellEnd"/>
            <w:r>
              <w:rPr>
                <w:rFonts w:ascii="Verdana" w:hAnsi="Verdana"/>
                <w:sz w:val="20"/>
              </w:rPr>
              <w:t xml:space="preserve"> 7 (Anaerobic Linear) </w:t>
            </w:r>
          </w:p>
        </w:tc>
        <w:tc>
          <w:tcPr>
            <w:tcW w:w="2817" w:type="dxa"/>
            <w:shd w:val="clear" w:color="auto" w:fill="FFFFFF" w:themeFill="background1"/>
          </w:tcPr>
          <w:p w14:paraId="4C3C207A" w14:textId="77777777" w:rsidR="00D915ED" w:rsidRDefault="00D915ED" w:rsidP="009B2B06">
            <w:pPr>
              <w:pStyle w:val="Leipteksti"/>
              <w:rPr>
                <w:rFonts w:ascii="Verdana" w:hAnsi="Verdana"/>
                <w:sz w:val="20"/>
              </w:rPr>
            </w:pPr>
            <w:r>
              <w:rPr>
                <w:rFonts w:ascii="Verdana" w:hAnsi="Verdana"/>
                <w:sz w:val="20"/>
              </w:rPr>
              <w:t>-0.3537</w:t>
            </w:r>
          </w:p>
        </w:tc>
        <w:tc>
          <w:tcPr>
            <w:tcW w:w="2818" w:type="dxa"/>
            <w:shd w:val="clear" w:color="auto" w:fill="FFFFFF" w:themeFill="background1"/>
          </w:tcPr>
          <w:p w14:paraId="39B6BCD7" w14:textId="77777777" w:rsidR="00D915ED" w:rsidRDefault="00D915ED" w:rsidP="009B2B06">
            <w:pPr>
              <w:pStyle w:val="Leipteksti"/>
              <w:rPr>
                <w:rFonts w:ascii="Verdana" w:hAnsi="Verdana"/>
                <w:sz w:val="20"/>
              </w:rPr>
            </w:pPr>
            <w:r>
              <w:rPr>
                <w:rFonts w:ascii="Verdana" w:hAnsi="Verdana"/>
                <w:sz w:val="20"/>
              </w:rPr>
              <w:t>does not biodegrade fast</w:t>
            </w:r>
          </w:p>
        </w:tc>
      </w:tr>
      <w:tr w:rsidR="00D915ED" w14:paraId="4EA5429B" w14:textId="77777777" w:rsidTr="009B2B06">
        <w:tc>
          <w:tcPr>
            <w:tcW w:w="2817" w:type="dxa"/>
            <w:shd w:val="clear" w:color="auto" w:fill="FFFFFF" w:themeFill="background1"/>
          </w:tcPr>
          <w:p w14:paraId="27BAE5D4" w14:textId="77777777" w:rsidR="00D915ED" w:rsidRDefault="00D915ED" w:rsidP="009B2B06">
            <w:pPr>
              <w:pStyle w:val="Leipteksti"/>
              <w:jc w:val="left"/>
              <w:rPr>
                <w:rFonts w:ascii="Verdana" w:hAnsi="Verdana"/>
                <w:sz w:val="20"/>
              </w:rPr>
            </w:pPr>
            <w:proofErr w:type="spellStart"/>
            <w:r>
              <w:rPr>
                <w:rFonts w:ascii="Verdana" w:hAnsi="Verdana"/>
                <w:sz w:val="20"/>
              </w:rPr>
              <w:t>BioHCwin</w:t>
            </w:r>
            <w:proofErr w:type="spellEnd"/>
            <w:r>
              <w:rPr>
                <w:rFonts w:ascii="Verdana" w:hAnsi="Verdana"/>
                <w:sz w:val="20"/>
              </w:rPr>
              <w:t xml:space="preserve"> (v1.01)</w:t>
            </w:r>
          </w:p>
        </w:tc>
        <w:tc>
          <w:tcPr>
            <w:tcW w:w="2817" w:type="dxa"/>
            <w:shd w:val="clear" w:color="auto" w:fill="FFFFFF" w:themeFill="background1"/>
          </w:tcPr>
          <w:p w14:paraId="480FD001" w14:textId="77777777" w:rsidR="00D915ED" w:rsidRDefault="00D915ED" w:rsidP="009B2B06">
            <w:pPr>
              <w:pStyle w:val="Leipteksti"/>
              <w:rPr>
                <w:rFonts w:ascii="Verdana" w:hAnsi="Verdana"/>
                <w:sz w:val="20"/>
              </w:rPr>
            </w:pPr>
            <w:r>
              <w:rPr>
                <w:rFonts w:ascii="Verdana" w:hAnsi="Verdana"/>
                <w:sz w:val="20"/>
              </w:rPr>
              <w:t>5.7254</w:t>
            </w:r>
          </w:p>
        </w:tc>
        <w:tc>
          <w:tcPr>
            <w:tcW w:w="2818" w:type="dxa"/>
            <w:shd w:val="clear" w:color="auto" w:fill="FFFFFF" w:themeFill="background1"/>
          </w:tcPr>
          <w:p w14:paraId="21AB95F9" w14:textId="77777777" w:rsidR="00D915ED" w:rsidRDefault="00D915ED" w:rsidP="009B2B06">
            <w:pPr>
              <w:pStyle w:val="Leipteksti"/>
              <w:rPr>
                <w:rFonts w:ascii="Verdana" w:hAnsi="Verdana"/>
                <w:sz w:val="20"/>
              </w:rPr>
            </w:pPr>
            <w:r>
              <w:rPr>
                <w:rFonts w:ascii="Verdana" w:hAnsi="Verdana"/>
                <w:sz w:val="20"/>
              </w:rPr>
              <w:t>half-life (days)</w:t>
            </w:r>
          </w:p>
        </w:tc>
      </w:tr>
    </w:tbl>
    <w:p w14:paraId="34F90349" w14:textId="77777777" w:rsidR="00D915ED" w:rsidRDefault="00D915ED" w:rsidP="00D915ED">
      <w:pPr>
        <w:pStyle w:val="Leipteksti"/>
        <w:rPr>
          <w:rFonts w:ascii="Verdana" w:hAnsi="Verdana"/>
          <w:sz w:val="20"/>
        </w:rPr>
      </w:pPr>
    </w:p>
    <w:p w14:paraId="4FFFCC3A" w14:textId="01A5FB16" w:rsidR="00D915ED" w:rsidRDefault="00D915ED" w:rsidP="00D915ED">
      <w:pPr>
        <w:pStyle w:val="Leipteksti"/>
        <w:rPr>
          <w:rFonts w:ascii="Verdana" w:hAnsi="Verdana"/>
          <w:sz w:val="20"/>
        </w:rPr>
      </w:pPr>
      <w:r>
        <w:rPr>
          <w:rFonts w:ascii="Verdana" w:hAnsi="Verdana"/>
          <w:sz w:val="20"/>
        </w:rPr>
        <w:t xml:space="preserve">According to Guidance on Information Requirements and Chemical Safety Assessment (Chapter R.11, version 3.0), based on the combination of </w:t>
      </w:r>
      <w:proofErr w:type="spellStart"/>
      <w:r>
        <w:rPr>
          <w:rFonts w:ascii="Verdana" w:hAnsi="Verdana"/>
          <w:sz w:val="20"/>
        </w:rPr>
        <w:t>Biowin</w:t>
      </w:r>
      <w:proofErr w:type="spellEnd"/>
      <w:r>
        <w:rPr>
          <w:rFonts w:ascii="Verdana" w:hAnsi="Verdana"/>
          <w:sz w:val="20"/>
        </w:rPr>
        <w:t xml:space="preserve"> 2 and </w:t>
      </w:r>
      <w:proofErr w:type="spellStart"/>
      <w:r>
        <w:rPr>
          <w:rFonts w:ascii="Verdana" w:hAnsi="Verdana"/>
          <w:sz w:val="20"/>
        </w:rPr>
        <w:t>Biowin</w:t>
      </w:r>
      <w:proofErr w:type="spellEnd"/>
      <w:r>
        <w:rPr>
          <w:rFonts w:ascii="Verdana" w:hAnsi="Verdana"/>
          <w:sz w:val="20"/>
        </w:rPr>
        <w:t xml:space="preserve"> 3, the substance does not screen as P or </w:t>
      </w:r>
      <w:proofErr w:type="spellStart"/>
      <w:r>
        <w:rPr>
          <w:rFonts w:ascii="Verdana" w:hAnsi="Verdana"/>
          <w:sz w:val="20"/>
        </w:rPr>
        <w:t>vP</w:t>
      </w:r>
      <w:proofErr w:type="spellEnd"/>
      <w:r>
        <w:rPr>
          <w:rFonts w:ascii="Verdana" w:hAnsi="Verdana"/>
          <w:sz w:val="20"/>
        </w:rPr>
        <w:t xml:space="preserve">. On the contrary, based on </w:t>
      </w:r>
      <w:proofErr w:type="gramStart"/>
      <w:r>
        <w:rPr>
          <w:rFonts w:ascii="Verdana" w:hAnsi="Verdana"/>
          <w:sz w:val="20"/>
        </w:rPr>
        <w:t>the  combination</w:t>
      </w:r>
      <w:proofErr w:type="gramEnd"/>
      <w:r>
        <w:rPr>
          <w:rFonts w:ascii="Verdana" w:hAnsi="Verdana"/>
          <w:sz w:val="20"/>
        </w:rPr>
        <w:t xml:space="preserve"> of </w:t>
      </w:r>
      <w:proofErr w:type="spellStart"/>
      <w:r>
        <w:rPr>
          <w:rFonts w:ascii="Verdana" w:hAnsi="Verdana"/>
          <w:sz w:val="20"/>
        </w:rPr>
        <w:t>Biowin</w:t>
      </w:r>
      <w:proofErr w:type="spellEnd"/>
      <w:r>
        <w:rPr>
          <w:rFonts w:ascii="Verdana" w:hAnsi="Verdana"/>
          <w:sz w:val="20"/>
        </w:rPr>
        <w:t xml:space="preserve"> 3 and </w:t>
      </w:r>
      <w:proofErr w:type="spellStart"/>
      <w:r>
        <w:rPr>
          <w:rFonts w:ascii="Verdana" w:hAnsi="Verdana"/>
          <w:sz w:val="20"/>
        </w:rPr>
        <w:t>Biowin</w:t>
      </w:r>
      <w:proofErr w:type="spellEnd"/>
      <w:r>
        <w:rPr>
          <w:rFonts w:ascii="Verdana" w:hAnsi="Verdana"/>
          <w:sz w:val="20"/>
        </w:rPr>
        <w:t xml:space="preserve"> 6 the substance screens as potentially P or </w:t>
      </w:r>
      <w:proofErr w:type="spellStart"/>
      <w:r>
        <w:rPr>
          <w:rFonts w:ascii="Verdana" w:hAnsi="Verdana"/>
          <w:sz w:val="20"/>
        </w:rPr>
        <w:t>vP</w:t>
      </w:r>
      <w:proofErr w:type="spellEnd"/>
      <w:r>
        <w:rPr>
          <w:rFonts w:ascii="Verdana" w:hAnsi="Verdana"/>
          <w:sz w:val="20"/>
        </w:rPr>
        <w:t xml:space="preserve">. However, substances </w:t>
      </w:r>
      <w:r w:rsidR="00EE69C9">
        <w:rPr>
          <w:rFonts w:ascii="Verdana" w:hAnsi="Verdana"/>
          <w:sz w:val="20"/>
        </w:rPr>
        <w:t xml:space="preserve">screened as potentially P or </w:t>
      </w:r>
      <w:proofErr w:type="spellStart"/>
      <w:r w:rsidR="00EE69C9">
        <w:rPr>
          <w:rFonts w:ascii="Verdana" w:hAnsi="Verdana"/>
          <w:sz w:val="20"/>
        </w:rPr>
        <w:t>vP</w:t>
      </w:r>
      <w:proofErr w:type="spellEnd"/>
      <w:r w:rsidR="00EE69C9">
        <w:rPr>
          <w:rFonts w:ascii="Verdana" w:hAnsi="Verdana"/>
          <w:sz w:val="20"/>
        </w:rPr>
        <w:t xml:space="preserve"> based on the combination of </w:t>
      </w:r>
      <w:proofErr w:type="spellStart"/>
      <w:r w:rsidR="00EE69C9">
        <w:rPr>
          <w:rFonts w:ascii="Verdana" w:hAnsi="Verdana"/>
          <w:sz w:val="20"/>
        </w:rPr>
        <w:t>Biowin</w:t>
      </w:r>
      <w:proofErr w:type="spellEnd"/>
      <w:r w:rsidR="00EE69C9">
        <w:rPr>
          <w:rFonts w:ascii="Verdana" w:hAnsi="Verdana"/>
          <w:sz w:val="20"/>
        </w:rPr>
        <w:t xml:space="preserve"> 3 and </w:t>
      </w:r>
      <w:proofErr w:type="spellStart"/>
      <w:r w:rsidR="00EE69C9">
        <w:rPr>
          <w:rFonts w:ascii="Verdana" w:hAnsi="Verdana"/>
          <w:sz w:val="20"/>
        </w:rPr>
        <w:t>Biowin</w:t>
      </w:r>
      <w:proofErr w:type="spellEnd"/>
      <w:r w:rsidR="00EE69C9">
        <w:rPr>
          <w:rFonts w:ascii="Verdana" w:hAnsi="Verdana"/>
          <w:sz w:val="20"/>
        </w:rPr>
        <w:t xml:space="preserve"> 6</w:t>
      </w:r>
      <w:r>
        <w:rPr>
          <w:rFonts w:ascii="Verdana" w:hAnsi="Verdana"/>
          <w:sz w:val="20"/>
        </w:rPr>
        <w:t xml:space="preserve"> but for which </w:t>
      </w:r>
      <w:proofErr w:type="spellStart"/>
      <w:r>
        <w:rPr>
          <w:rFonts w:ascii="Verdana" w:hAnsi="Verdana"/>
          <w:sz w:val="20"/>
        </w:rPr>
        <w:t>Biowin</w:t>
      </w:r>
      <w:proofErr w:type="spellEnd"/>
      <w:r>
        <w:rPr>
          <w:rFonts w:ascii="Verdana" w:hAnsi="Verdana"/>
          <w:sz w:val="20"/>
        </w:rPr>
        <w:t xml:space="preserve"> 3 indicates a value between 2.25 and 2.75 (2.4743), more degradation relevant information is generally warranted according to the guidance. </w:t>
      </w:r>
    </w:p>
    <w:p w14:paraId="234ABC91" w14:textId="6C2D78B6" w:rsidR="00D915ED" w:rsidRDefault="0060494A" w:rsidP="00D915ED">
      <w:pPr>
        <w:pStyle w:val="Leipteksti"/>
        <w:rPr>
          <w:rFonts w:ascii="Verdana" w:hAnsi="Verdana"/>
          <w:sz w:val="20"/>
        </w:rPr>
      </w:pPr>
      <w:r>
        <w:rPr>
          <w:rFonts w:ascii="Verdana" w:hAnsi="Verdana"/>
          <w:sz w:val="20"/>
        </w:rPr>
        <w:t>The p</w:t>
      </w:r>
      <w:r w:rsidR="00D915ED">
        <w:rPr>
          <w:rFonts w:ascii="Verdana" w:hAnsi="Verdana"/>
          <w:sz w:val="20"/>
        </w:rPr>
        <w:t xml:space="preserve">rimary degradation half-life estimated by </w:t>
      </w:r>
      <w:proofErr w:type="spellStart"/>
      <w:r w:rsidR="00D915ED">
        <w:rPr>
          <w:rFonts w:ascii="Verdana" w:hAnsi="Verdana"/>
          <w:sz w:val="20"/>
        </w:rPr>
        <w:t>BioHCwin</w:t>
      </w:r>
      <w:proofErr w:type="spellEnd"/>
      <w:r w:rsidR="00D915ED">
        <w:rPr>
          <w:rFonts w:ascii="Verdana" w:hAnsi="Verdana"/>
          <w:sz w:val="20"/>
        </w:rPr>
        <w:t xml:space="preserve"> was 5.7 days. It is noted that </w:t>
      </w:r>
      <w:r w:rsidR="00E209A5">
        <w:rPr>
          <w:rFonts w:ascii="Verdana" w:hAnsi="Verdana"/>
          <w:sz w:val="20"/>
        </w:rPr>
        <w:t>beca</w:t>
      </w:r>
      <w:r w:rsidR="00295D4B">
        <w:rPr>
          <w:rFonts w:ascii="Verdana" w:hAnsi="Verdana"/>
          <w:sz w:val="20"/>
        </w:rPr>
        <w:t>use</w:t>
      </w:r>
      <w:r w:rsidR="00D915ED">
        <w:rPr>
          <w:rFonts w:ascii="Verdana" w:hAnsi="Verdana"/>
          <w:sz w:val="20"/>
        </w:rPr>
        <w:t xml:space="preserve"> the model is partly based on data from experiments where several hydrocarbons have been available in the test system, it is considered that </w:t>
      </w:r>
      <w:r w:rsidR="00D915ED" w:rsidRPr="00E7296B">
        <w:rPr>
          <w:rFonts w:ascii="Verdana" w:hAnsi="Verdana" w:cs="Verdana"/>
          <w:color w:val="000000"/>
          <w:sz w:val="20"/>
          <w:lang w:val="en-US" w:eastAsia="en-GB"/>
        </w:rPr>
        <w:t xml:space="preserve">the </w:t>
      </w:r>
      <w:proofErr w:type="spellStart"/>
      <w:r w:rsidR="00D915ED">
        <w:rPr>
          <w:rFonts w:ascii="Verdana" w:hAnsi="Verdana" w:cs="Verdana"/>
          <w:color w:val="000000"/>
          <w:sz w:val="20"/>
          <w:lang w:val="en-US" w:eastAsia="en-GB"/>
        </w:rPr>
        <w:t>BioHCwin</w:t>
      </w:r>
      <w:proofErr w:type="spellEnd"/>
      <w:r w:rsidR="00D915ED">
        <w:rPr>
          <w:rFonts w:ascii="Verdana" w:hAnsi="Verdana" w:cs="Verdana"/>
          <w:color w:val="000000"/>
          <w:sz w:val="20"/>
          <w:lang w:val="en-US" w:eastAsia="en-GB"/>
        </w:rPr>
        <w:t xml:space="preserve"> </w:t>
      </w:r>
      <w:r w:rsidR="00D915ED" w:rsidRPr="00E7296B">
        <w:rPr>
          <w:rFonts w:ascii="Verdana" w:hAnsi="Verdana" w:cs="Verdana"/>
          <w:color w:val="000000"/>
          <w:sz w:val="20"/>
          <w:lang w:val="en-US" w:eastAsia="en-GB"/>
        </w:rPr>
        <w:t xml:space="preserve">half-lives may overestimate the rate of degradation </w:t>
      </w:r>
      <w:r w:rsidR="00D915ED">
        <w:rPr>
          <w:rFonts w:ascii="Verdana" w:hAnsi="Verdana" w:cs="Verdana"/>
          <w:color w:val="000000"/>
          <w:sz w:val="20"/>
          <w:lang w:val="en-US" w:eastAsia="en-GB"/>
        </w:rPr>
        <w:t>(ECHA guidance R.7b, ECHA 2017</w:t>
      </w:r>
      <w:r w:rsidR="007C2ACD">
        <w:rPr>
          <w:rFonts w:ascii="Verdana" w:hAnsi="Verdana" w:cs="Verdana"/>
          <w:color w:val="000000"/>
          <w:sz w:val="20"/>
          <w:lang w:val="en-US" w:eastAsia="en-GB"/>
        </w:rPr>
        <w:t>a</w:t>
      </w:r>
      <w:r w:rsidR="00D915ED">
        <w:rPr>
          <w:rFonts w:ascii="Verdana" w:hAnsi="Verdana" w:cs="Verdana"/>
          <w:color w:val="000000"/>
          <w:sz w:val="20"/>
          <w:lang w:val="en-US" w:eastAsia="en-GB"/>
        </w:rPr>
        <w:t>)</w:t>
      </w:r>
      <w:r w:rsidR="00D915ED" w:rsidRPr="00E7296B">
        <w:rPr>
          <w:rFonts w:ascii="Verdana" w:hAnsi="Verdana" w:cs="Verdana"/>
          <w:color w:val="000000"/>
          <w:sz w:val="20"/>
          <w:lang w:val="en-US" w:eastAsia="en-GB"/>
        </w:rPr>
        <w:t xml:space="preserve">. </w:t>
      </w:r>
      <w:r w:rsidR="00D915ED">
        <w:rPr>
          <w:rFonts w:ascii="Verdana" w:hAnsi="Verdana" w:cs="Verdana"/>
          <w:color w:val="000000"/>
          <w:sz w:val="20"/>
          <w:lang w:val="en-US" w:eastAsia="en-GB"/>
        </w:rPr>
        <w:t xml:space="preserve">Therefore, the results of </w:t>
      </w:r>
      <w:proofErr w:type="spellStart"/>
      <w:r w:rsidR="00D915ED">
        <w:rPr>
          <w:rFonts w:ascii="Verdana" w:hAnsi="Verdana" w:cs="Verdana"/>
          <w:color w:val="000000"/>
          <w:sz w:val="20"/>
          <w:lang w:val="en-US" w:eastAsia="en-GB"/>
        </w:rPr>
        <w:t>BioHCwin</w:t>
      </w:r>
      <w:proofErr w:type="spellEnd"/>
      <w:r w:rsidR="00D915ED">
        <w:rPr>
          <w:rFonts w:ascii="Verdana" w:hAnsi="Verdana" w:cs="Verdana"/>
          <w:color w:val="000000"/>
          <w:sz w:val="20"/>
          <w:lang w:val="en-US" w:eastAsia="en-GB"/>
        </w:rPr>
        <w:t xml:space="preserve"> should not be used to indicate that the substance is </w:t>
      </w:r>
      <w:r w:rsidR="00D915ED" w:rsidRPr="00E7296B">
        <w:rPr>
          <w:rFonts w:ascii="Verdana" w:hAnsi="Verdana" w:cs="Verdana"/>
          <w:color w:val="000000"/>
          <w:sz w:val="20"/>
          <w:lang w:val="en-US" w:eastAsia="en-GB"/>
        </w:rPr>
        <w:t>not P/</w:t>
      </w:r>
      <w:proofErr w:type="spellStart"/>
      <w:r w:rsidR="00D915ED" w:rsidRPr="00E7296B">
        <w:rPr>
          <w:rFonts w:ascii="Verdana" w:hAnsi="Verdana" w:cs="Verdana"/>
          <w:color w:val="000000"/>
          <w:sz w:val="20"/>
          <w:lang w:val="en-US" w:eastAsia="en-GB"/>
        </w:rPr>
        <w:t>vP</w:t>
      </w:r>
      <w:proofErr w:type="spellEnd"/>
      <w:r w:rsidR="00D915ED" w:rsidRPr="00E7296B">
        <w:rPr>
          <w:rFonts w:ascii="Verdana" w:hAnsi="Verdana" w:cs="Verdana"/>
          <w:color w:val="000000"/>
          <w:sz w:val="20"/>
          <w:lang w:val="en-US" w:eastAsia="en-GB"/>
        </w:rPr>
        <w:t xml:space="preserve">. </w:t>
      </w:r>
      <w:r w:rsidR="00D915ED">
        <w:rPr>
          <w:rFonts w:ascii="Verdana" w:hAnsi="Verdana"/>
          <w:sz w:val="20"/>
        </w:rPr>
        <w:t>It should also be noted, however, that care must</w:t>
      </w:r>
      <w:r w:rsidR="00295D4B">
        <w:rPr>
          <w:rFonts w:ascii="Verdana" w:hAnsi="Verdana"/>
          <w:sz w:val="20"/>
        </w:rPr>
        <w:t xml:space="preserve"> be</w:t>
      </w:r>
      <w:r w:rsidR="00D915ED">
        <w:rPr>
          <w:rFonts w:ascii="Verdana" w:hAnsi="Verdana"/>
          <w:sz w:val="20"/>
        </w:rPr>
        <w:t xml:space="preserve"> taken for branched compounds as their environmental half-lives may be overestimated by </w:t>
      </w:r>
      <w:proofErr w:type="spellStart"/>
      <w:r w:rsidR="00D915ED">
        <w:rPr>
          <w:rFonts w:ascii="Verdana" w:hAnsi="Verdana"/>
          <w:sz w:val="20"/>
        </w:rPr>
        <w:t>BioHCwin</w:t>
      </w:r>
      <w:proofErr w:type="spellEnd"/>
      <w:r w:rsidR="00D915ED">
        <w:rPr>
          <w:rFonts w:ascii="Verdana" w:hAnsi="Verdana"/>
          <w:sz w:val="20"/>
        </w:rPr>
        <w:t xml:space="preserve"> (</w:t>
      </w:r>
      <w:proofErr w:type="spellStart"/>
      <w:r w:rsidR="00D915ED">
        <w:rPr>
          <w:rFonts w:ascii="Verdana" w:hAnsi="Verdana"/>
          <w:sz w:val="20"/>
        </w:rPr>
        <w:t>Rorije</w:t>
      </w:r>
      <w:proofErr w:type="spellEnd"/>
      <w:r w:rsidR="00D915ED">
        <w:rPr>
          <w:rFonts w:ascii="Verdana" w:hAnsi="Verdana"/>
          <w:sz w:val="20"/>
        </w:rPr>
        <w:t xml:space="preserve"> et al. 2012) </w:t>
      </w:r>
      <w:r w:rsidR="00D915ED">
        <w:rPr>
          <w:rFonts w:ascii="Verdana" w:hAnsi="Verdana" w:cs="Verdana"/>
          <w:color w:val="000000"/>
          <w:sz w:val="20"/>
          <w:lang w:val="en-US" w:eastAsia="en-GB"/>
        </w:rPr>
        <w:t>(ECHA guidance R.7b, ECHA 2017</w:t>
      </w:r>
      <w:r w:rsidR="007C2ACD">
        <w:rPr>
          <w:rFonts w:ascii="Verdana" w:hAnsi="Verdana" w:cs="Verdana"/>
          <w:color w:val="000000"/>
          <w:sz w:val="20"/>
          <w:lang w:val="en-US" w:eastAsia="en-GB"/>
        </w:rPr>
        <w:t>a</w:t>
      </w:r>
      <w:r w:rsidR="00D915ED">
        <w:rPr>
          <w:rFonts w:ascii="Verdana" w:hAnsi="Verdana" w:cs="Verdana"/>
          <w:color w:val="000000"/>
          <w:sz w:val="20"/>
          <w:lang w:val="en-US" w:eastAsia="en-GB"/>
        </w:rPr>
        <w:t>)</w:t>
      </w:r>
      <w:r w:rsidR="00D915ED">
        <w:rPr>
          <w:rFonts w:ascii="Verdana" w:hAnsi="Verdana"/>
          <w:sz w:val="20"/>
        </w:rPr>
        <w:t xml:space="preserve">. </w:t>
      </w:r>
    </w:p>
    <w:p w14:paraId="0530C4F2" w14:textId="77777777" w:rsidR="00D915ED" w:rsidRDefault="00D915ED" w:rsidP="00D915ED">
      <w:pPr>
        <w:pStyle w:val="Leipteksti"/>
        <w:rPr>
          <w:rFonts w:ascii="Verdana" w:hAnsi="Verdana"/>
          <w:sz w:val="20"/>
        </w:rPr>
      </w:pPr>
      <w:r>
        <w:rPr>
          <w:rFonts w:ascii="Verdana" w:hAnsi="Verdana"/>
          <w:sz w:val="20"/>
        </w:rPr>
        <w:t xml:space="preserve">PBT </w:t>
      </w:r>
      <w:proofErr w:type="spellStart"/>
      <w:r>
        <w:rPr>
          <w:rFonts w:ascii="Verdana" w:hAnsi="Verdana"/>
          <w:sz w:val="20"/>
        </w:rPr>
        <w:t>prioritisazation</w:t>
      </w:r>
      <w:proofErr w:type="spellEnd"/>
      <w:r>
        <w:rPr>
          <w:rFonts w:ascii="Verdana" w:hAnsi="Verdana"/>
          <w:sz w:val="20"/>
        </w:rPr>
        <w:t xml:space="preserve"> scheme in OECD QSAR toolbox v4.0 predicts </w:t>
      </w:r>
      <w:r w:rsidRPr="006C79F1">
        <w:rPr>
          <w:rFonts w:ascii="Verdana" w:hAnsi="Verdana"/>
          <w:sz w:val="20"/>
        </w:rPr>
        <w:t>6-(1-phenylethyl)-1,2,3,4-tetrahydronaphthalene</w:t>
      </w:r>
      <w:r>
        <w:rPr>
          <w:rFonts w:ascii="Verdana" w:hAnsi="Verdana"/>
          <w:sz w:val="20"/>
        </w:rPr>
        <w:t xml:space="preserve"> to be persistent (P).   </w:t>
      </w:r>
    </w:p>
    <w:p w14:paraId="3B002938" w14:textId="72A85F77" w:rsidR="00D915ED" w:rsidRDefault="00D915ED" w:rsidP="00D915ED">
      <w:pPr>
        <w:pStyle w:val="Leipteksti"/>
        <w:rPr>
          <w:rFonts w:ascii="Verdana" w:hAnsi="Verdana"/>
          <w:sz w:val="20"/>
        </w:rPr>
      </w:pPr>
      <w:r>
        <w:rPr>
          <w:rFonts w:ascii="Verdana" w:hAnsi="Verdana"/>
          <w:sz w:val="20"/>
        </w:rPr>
        <w:t xml:space="preserve">No experimental data is available for abiotic degradation for </w:t>
      </w:r>
      <w:r w:rsidRPr="006C79F1">
        <w:rPr>
          <w:rFonts w:ascii="Verdana" w:hAnsi="Verdana"/>
          <w:sz w:val="20"/>
        </w:rPr>
        <w:t>6-(1-phenylethyl)-1,2,3,4-tetrahydronaphthalene</w:t>
      </w:r>
      <w:r>
        <w:rPr>
          <w:rFonts w:ascii="Verdana" w:hAnsi="Verdana"/>
          <w:sz w:val="20"/>
        </w:rPr>
        <w:t xml:space="preserve">. However, hydrolysis is not expected to be a relevant degradation pathway for the substance based on </w:t>
      </w:r>
      <w:r w:rsidR="00295D4B">
        <w:rPr>
          <w:rFonts w:ascii="Verdana" w:hAnsi="Verdana"/>
          <w:sz w:val="20"/>
        </w:rPr>
        <w:t xml:space="preserve">the </w:t>
      </w:r>
      <w:r>
        <w:rPr>
          <w:rFonts w:ascii="Verdana" w:hAnsi="Verdana"/>
          <w:sz w:val="20"/>
        </w:rPr>
        <w:t>lack of hydrolysable functional groups. Indirect photochemical degradation in the atmosphere was estimated using AOPWIN v1.92 (12 h day, 1.5 x 10</w:t>
      </w:r>
      <w:r>
        <w:rPr>
          <w:rFonts w:ascii="Verdana" w:hAnsi="Verdana"/>
          <w:sz w:val="20"/>
          <w:vertAlign w:val="superscript"/>
        </w:rPr>
        <w:t xml:space="preserve">6 </w:t>
      </w:r>
      <w:r>
        <w:rPr>
          <w:rFonts w:ascii="Verdana" w:hAnsi="Verdana"/>
          <w:sz w:val="20"/>
        </w:rPr>
        <w:t>OH/cm</w:t>
      </w:r>
      <w:r>
        <w:rPr>
          <w:rFonts w:ascii="Verdana" w:hAnsi="Verdana"/>
          <w:sz w:val="20"/>
          <w:vertAlign w:val="superscript"/>
        </w:rPr>
        <w:t>3</w:t>
      </w:r>
      <w:r>
        <w:rPr>
          <w:rFonts w:ascii="Verdana" w:hAnsi="Verdana"/>
          <w:sz w:val="20"/>
        </w:rPr>
        <w:t>). Half-life was estimated to be 4.963 h with overall OH rate constant of 25.8612 E-12 cm</w:t>
      </w:r>
      <w:r w:rsidRPr="00591535">
        <w:rPr>
          <w:rFonts w:ascii="Verdana" w:hAnsi="Verdana"/>
          <w:sz w:val="20"/>
          <w:vertAlign w:val="superscript"/>
        </w:rPr>
        <w:t>3</w:t>
      </w:r>
      <w:r>
        <w:rPr>
          <w:rFonts w:ascii="Verdana" w:hAnsi="Verdana"/>
          <w:sz w:val="20"/>
        </w:rPr>
        <w:t xml:space="preserve">/molecule-sec. </w:t>
      </w:r>
    </w:p>
    <w:p w14:paraId="103A10C1" w14:textId="19F32DF6" w:rsidR="00D915ED" w:rsidRDefault="00D915ED" w:rsidP="00D915ED">
      <w:pPr>
        <w:pStyle w:val="Leipteksti"/>
        <w:rPr>
          <w:rFonts w:ascii="Verdana" w:hAnsi="Verdana"/>
          <w:sz w:val="20"/>
        </w:rPr>
      </w:pPr>
      <w:r>
        <w:rPr>
          <w:rFonts w:ascii="Verdana" w:hAnsi="Verdana"/>
          <w:sz w:val="20"/>
        </w:rPr>
        <w:t xml:space="preserve">The environmental distribution of </w:t>
      </w:r>
      <w:r w:rsidRPr="006C79F1">
        <w:rPr>
          <w:rFonts w:ascii="Verdana" w:hAnsi="Verdana"/>
          <w:sz w:val="20"/>
        </w:rPr>
        <w:t>6-(1-phenylethyl)-1,2,3,4-tetrahydronaphthalene</w:t>
      </w:r>
      <w:r>
        <w:rPr>
          <w:rFonts w:ascii="Verdana" w:hAnsi="Verdana"/>
          <w:sz w:val="20"/>
        </w:rPr>
        <w:t xml:space="preserve"> was estimated using Level III Fugacity Model in </w:t>
      </w:r>
      <w:proofErr w:type="spellStart"/>
      <w:r>
        <w:rPr>
          <w:rFonts w:ascii="Verdana" w:hAnsi="Verdana"/>
          <w:sz w:val="20"/>
        </w:rPr>
        <w:t>EPISuite</w:t>
      </w:r>
      <w:proofErr w:type="spellEnd"/>
      <w:r>
        <w:rPr>
          <w:rFonts w:ascii="Verdana" w:hAnsi="Verdana"/>
          <w:sz w:val="20"/>
        </w:rPr>
        <w:t xml:space="preserve"> v4.11 under default </w:t>
      </w:r>
      <w:r w:rsidR="006D344C">
        <w:rPr>
          <w:rFonts w:ascii="Verdana" w:hAnsi="Verdana"/>
          <w:sz w:val="20"/>
        </w:rPr>
        <w:t>emission scenarios</w:t>
      </w:r>
      <w:r>
        <w:rPr>
          <w:rFonts w:ascii="Verdana" w:hAnsi="Verdana"/>
          <w:sz w:val="20"/>
        </w:rPr>
        <w:t>. Under these conditions</w:t>
      </w:r>
      <w:r w:rsidR="00295D4B">
        <w:rPr>
          <w:rFonts w:ascii="Verdana" w:hAnsi="Verdana"/>
          <w:sz w:val="20"/>
        </w:rPr>
        <w:t>,</w:t>
      </w:r>
      <w:r>
        <w:rPr>
          <w:rFonts w:ascii="Verdana" w:hAnsi="Verdana"/>
          <w:sz w:val="20"/>
        </w:rPr>
        <w:t xml:space="preserve"> the environmental distribution between different compartments was 0.354 % to air, 5.38 % to water, 54.5 % to soil and 39.8 % to sediment. This indicates that </w:t>
      </w:r>
      <w:r w:rsidRPr="006C79F1">
        <w:rPr>
          <w:rFonts w:ascii="Verdana" w:hAnsi="Verdana"/>
          <w:sz w:val="20"/>
        </w:rPr>
        <w:t>6-(1-phenylethyl)-1,2,3,4-tetrahydronaphthalene</w:t>
      </w:r>
      <w:r>
        <w:rPr>
          <w:rFonts w:ascii="Verdana" w:hAnsi="Verdana"/>
          <w:sz w:val="20"/>
        </w:rPr>
        <w:t xml:space="preserve"> is mainly distributed to soil and sediment </w:t>
      </w:r>
      <w:r>
        <w:rPr>
          <w:rFonts w:ascii="Verdana" w:hAnsi="Verdana"/>
          <w:sz w:val="20"/>
        </w:rPr>
        <w:lastRenderedPageBreak/>
        <w:t xml:space="preserve">compartment in the environment. </w:t>
      </w:r>
      <w:r w:rsidR="006D344C">
        <w:rPr>
          <w:rFonts w:ascii="Verdana" w:hAnsi="Verdana"/>
          <w:sz w:val="20"/>
        </w:rPr>
        <w:t>Additional emission scenarios corresponding to 100 % emission to air, water or soil are represented below:</w:t>
      </w:r>
    </w:p>
    <w:tbl>
      <w:tblPr>
        <w:tblStyle w:val="TaulukkoRuudukko"/>
        <w:tblW w:w="0" w:type="auto"/>
        <w:tblLook w:val="04A0" w:firstRow="1" w:lastRow="0" w:firstColumn="1" w:lastColumn="0" w:noHBand="0" w:noVBand="1"/>
      </w:tblPr>
      <w:tblGrid>
        <w:gridCol w:w="1980"/>
        <w:gridCol w:w="1340"/>
        <w:gridCol w:w="1660"/>
        <w:gridCol w:w="1661"/>
        <w:gridCol w:w="1661"/>
      </w:tblGrid>
      <w:tr w:rsidR="006D344C" w14:paraId="73363B7D" w14:textId="77777777" w:rsidTr="006D344C">
        <w:tc>
          <w:tcPr>
            <w:tcW w:w="1980" w:type="dxa"/>
          </w:tcPr>
          <w:p w14:paraId="3A539E25" w14:textId="77777777" w:rsidR="006D344C" w:rsidRDefault="006D344C" w:rsidP="00D915ED">
            <w:pPr>
              <w:pStyle w:val="Leipteksti"/>
              <w:rPr>
                <w:rFonts w:ascii="Verdana" w:hAnsi="Verdana"/>
                <w:sz w:val="20"/>
              </w:rPr>
            </w:pPr>
          </w:p>
        </w:tc>
        <w:tc>
          <w:tcPr>
            <w:tcW w:w="6322" w:type="dxa"/>
            <w:gridSpan w:val="4"/>
          </w:tcPr>
          <w:p w14:paraId="5AB880E8" w14:textId="5B90217D" w:rsidR="006D344C" w:rsidRDefault="006D344C" w:rsidP="006D344C">
            <w:pPr>
              <w:pStyle w:val="Leipteksti"/>
              <w:jc w:val="center"/>
              <w:rPr>
                <w:rFonts w:ascii="Verdana" w:hAnsi="Verdana"/>
                <w:sz w:val="20"/>
              </w:rPr>
            </w:pPr>
            <w:r>
              <w:rPr>
                <w:rFonts w:ascii="Verdana" w:hAnsi="Verdana"/>
                <w:sz w:val="20"/>
              </w:rPr>
              <w:t>Mass Distribution (Percent %)</w:t>
            </w:r>
          </w:p>
        </w:tc>
      </w:tr>
      <w:tr w:rsidR="006D344C" w14:paraId="022910FF" w14:textId="77777777" w:rsidTr="006D344C">
        <w:tc>
          <w:tcPr>
            <w:tcW w:w="1980" w:type="dxa"/>
          </w:tcPr>
          <w:p w14:paraId="02952A3E" w14:textId="274B054A" w:rsidR="006D344C" w:rsidRDefault="006D344C" w:rsidP="00D915ED">
            <w:pPr>
              <w:pStyle w:val="Leipteksti"/>
              <w:rPr>
                <w:rFonts w:ascii="Verdana" w:hAnsi="Verdana"/>
                <w:sz w:val="20"/>
              </w:rPr>
            </w:pPr>
            <w:r>
              <w:rPr>
                <w:rFonts w:ascii="Verdana" w:hAnsi="Verdana"/>
                <w:sz w:val="20"/>
              </w:rPr>
              <w:t>Emission pattern</w:t>
            </w:r>
          </w:p>
        </w:tc>
        <w:tc>
          <w:tcPr>
            <w:tcW w:w="1340" w:type="dxa"/>
          </w:tcPr>
          <w:p w14:paraId="2F823B81" w14:textId="7967E741" w:rsidR="006D344C" w:rsidRDefault="006D344C" w:rsidP="006D344C">
            <w:pPr>
              <w:pStyle w:val="Leipteksti"/>
              <w:jc w:val="center"/>
              <w:rPr>
                <w:rFonts w:ascii="Verdana" w:hAnsi="Verdana"/>
                <w:sz w:val="20"/>
              </w:rPr>
            </w:pPr>
            <w:r>
              <w:rPr>
                <w:rFonts w:ascii="Verdana" w:hAnsi="Verdana"/>
                <w:sz w:val="20"/>
              </w:rPr>
              <w:t>Air</w:t>
            </w:r>
          </w:p>
        </w:tc>
        <w:tc>
          <w:tcPr>
            <w:tcW w:w="1660" w:type="dxa"/>
          </w:tcPr>
          <w:p w14:paraId="3231996F" w14:textId="6C167BD2" w:rsidR="006D344C" w:rsidRDefault="006D344C" w:rsidP="006D344C">
            <w:pPr>
              <w:pStyle w:val="Leipteksti"/>
              <w:jc w:val="center"/>
              <w:rPr>
                <w:rFonts w:ascii="Verdana" w:hAnsi="Verdana"/>
                <w:sz w:val="20"/>
              </w:rPr>
            </w:pPr>
            <w:r>
              <w:rPr>
                <w:rFonts w:ascii="Verdana" w:hAnsi="Verdana"/>
                <w:sz w:val="20"/>
              </w:rPr>
              <w:t>Water</w:t>
            </w:r>
          </w:p>
        </w:tc>
        <w:tc>
          <w:tcPr>
            <w:tcW w:w="1661" w:type="dxa"/>
          </w:tcPr>
          <w:p w14:paraId="33D81270" w14:textId="437CE15E" w:rsidR="006D344C" w:rsidRDefault="006D344C" w:rsidP="006D344C">
            <w:pPr>
              <w:pStyle w:val="Leipteksti"/>
              <w:jc w:val="center"/>
              <w:rPr>
                <w:rFonts w:ascii="Verdana" w:hAnsi="Verdana"/>
                <w:sz w:val="20"/>
              </w:rPr>
            </w:pPr>
            <w:r>
              <w:rPr>
                <w:rFonts w:ascii="Verdana" w:hAnsi="Verdana"/>
                <w:sz w:val="20"/>
              </w:rPr>
              <w:t>Soil</w:t>
            </w:r>
          </w:p>
        </w:tc>
        <w:tc>
          <w:tcPr>
            <w:tcW w:w="1661" w:type="dxa"/>
          </w:tcPr>
          <w:p w14:paraId="034827BC" w14:textId="20C8D0A3" w:rsidR="006D344C" w:rsidRDefault="006D344C" w:rsidP="006D344C">
            <w:pPr>
              <w:pStyle w:val="Leipteksti"/>
              <w:jc w:val="center"/>
              <w:rPr>
                <w:rFonts w:ascii="Verdana" w:hAnsi="Verdana"/>
                <w:sz w:val="20"/>
              </w:rPr>
            </w:pPr>
            <w:r>
              <w:rPr>
                <w:rFonts w:ascii="Verdana" w:hAnsi="Verdana"/>
                <w:sz w:val="20"/>
              </w:rPr>
              <w:t>Sediment</w:t>
            </w:r>
          </w:p>
        </w:tc>
      </w:tr>
      <w:tr w:rsidR="006D344C" w14:paraId="7E9AE646" w14:textId="77777777" w:rsidTr="006D344C">
        <w:tc>
          <w:tcPr>
            <w:tcW w:w="1980" w:type="dxa"/>
          </w:tcPr>
          <w:p w14:paraId="7C7DB4DE" w14:textId="7FCF5846" w:rsidR="006D344C" w:rsidRDefault="006D344C" w:rsidP="00D915ED">
            <w:pPr>
              <w:pStyle w:val="Leipteksti"/>
              <w:rPr>
                <w:rFonts w:ascii="Verdana" w:hAnsi="Verdana"/>
                <w:sz w:val="20"/>
              </w:rPr>
            </w:pPr>
            <w:r>
              <w:rPr>
                <w:rFonts w:ascii="Verdana" w:hAnsi="Verdana"/>
                <w:sz w:val="20"/>
              </w:rPr>
              <w:t>Equal emission</w:t>
            </w:r>
          </w:p>
        </w:tc>
        <w:tc>
          <w:tcPr>
            <w:tcW w:w="1340" w:type="dxa"/>
          </w:tcPr>
          <w:p w14:paraId="7D909C41" w14:textId="4E15BA72" w:rsidR="006D344C" w:rsidRDefault="006D344C" w:rsidP="006D344C">
            <w:pPr>
              <w:pStyle w:val="Leipteksti"/>
              <w:jc w:val="center"/>
              <w:rPr>
                <w:rFonts w:ascii="Verdana" w:hAnsi="Verdana"/>
                <w:sz w:val="20"/>
              </w:rPr>
            </w:pPr>
            <w:r>
              <w:rPr>
                <w:rFonts w:ascii="Verdana" w:hAnsi="Verdana"/>
                <w:sz w:val="20"/>
              </w:rPr>
              <w:t>0.4</w:t>
            </w:r>
          </w:p>
        </w:tc>
        <w:tc>
          <w:tcPr>
            <w:tcW w:w="1660" w:type="dxa"/>
          </w:tcPr>
          <w:p w14:paraId="2FC76CAA" w14:textId="12B705DC" w:rsidR="006D344C" w:rsidRDefault="006D344C" w:rsidP="006D344C">
            <w:pPr>
              <w:pStyle w:val="Leipteksti"/>
              <w:jc w:val="center"/>
              <w:rPr>
                <w:rFonts w:ascii="Verdana" w:hAnsi="Verdana"/>
                <w:sz w:val="20"/>
              </w:rPr>
            </w:pPr>
            <w:r>
              <w:rPr>
                <w:rFonts w:ascii="Verdana" w:hAnsi="Verdana"/>
                <w:sz w:val="20"/>
              </w:rPr>
              <w:t>5.4</w:t>
            </w:r>
          </w:p>
        </w:tc>
        <w:tc>
          <w:tcPr>
            <w:tcW w:w="1661" w:type="dxa"/>
          </w:tcPr>
          <w:p w14:paraId="10A083C3" w14:textId="1EEC9993" w:rsidR="006D344C" w:rsidRDefault="006D344C" w:rsidP="006D344C">
            <w:pPr>
              <w:pStyle w:val="Leipteksti"/>
              <w:jc w:val="center"/>
              <w:rPr>
                <w:rFonts w:ascii="Verdana" w:hAnsi="Verdana"/>
                <w:sz w:val="20"/>
              </w:rPr>
            </w:pPr>
            <w:r>
              <w:rPr>
                <w:rFonts w:ascii="Verdana" w:hAnsi="Verdana"/>
                <w:sz w:val="20"/>
              </w:rPr>
              <w:t>54.5</w:t>
            </w:r>
          </w:p>
        </w:tc>
        <w:tc>
          <w:tcPr>
            <w:tcW w:w="1661" w:type="dxa"/>
          </w:tcPr>
          <w:p w14:paraId="78EB86AF" w14:textId="7A125EB7" w:rsidR="006D344C" w:rsidRDefault="006D344C" w:rsidP="006D344C">
            <w:pPr>
              <w:pStyle w:val="Leipteksti"/>
              <w:jc w:val="center"/>
              <w:rPr>
                <w:rFonts w:ascii="Verdana" w:hAnsi="Verdana"/>
                <w:sz w:val="20"/>
              </w:rPr>
            </w:pPr>
            <w:r>
              <w:rPr>
                <w:rFonts w:ascii="Verdana" w:hAnsi="Verdana"/>
                <w:sz w:val="20"/>
              </w:rPr>
              <w:t>39.8</w:t>
            </w:r>
          </w:p>
        </w:tc>
      </w:tr>
      <w:tr w:rsidR="006D344C" w14:paraId="151071DE" w14:textId="77777777" w:rsidTr="006D344C">
        <w:tc>
          <w:tcPr>
            <w:tcW w:w="1980" w:type="dxa"/>
          </w:tcPr>
          <w:p w14:paraId="178111A1" w14:textId="7605922B" w:rsidR="006D344C" w:rsidRDefault="006D344C" w:rsidP="00D915ED">
            <w:pPr>
              <w:pStyle w:val="Leipteksti"/>
              <w:rPr>
                <w:rFonts w:ascii="Verdana" w:hAnsi="Verdana"/>
                <w:sz w:val="20"/>
              </w:rPr>
            </w:pPr>
            <w:r>
              <w:rPr>
                <w:rFonts w:ascii="Verdana" w:hAnsi="Verdana"/>
                <w:sz w:val="20"/>
              </w:rPr>
              <w:t>100% to air</w:t>
            </w:r>
          </w:p>
        </w:tc>
        <w:tc>
          <w:tcPr>
            <w:tcW w:w="1340" w:type="dxa"/>
          </w:tcPr>
          <w:p w14:paraId="4D8E0D40" w14:textId="1342D4D5" w:rsidR="006D344C" w:rsidRDefault="006D344C" w:rsidP="006D344C">
            <w:pPr>
              <w:pStyle w:val="Leipteksti"/>
              <w:jc w:val="center"/>
              <w:rPr>
                <w:rFonts w:ascii="Verdana" w:hAnsi="Verdana"/>
                <w:sz w:val="20"/>
              </w:rPr>
            </w:pPr>
            <w:r>
              <w:rPr>
                <w:rFonts w:ascii="Verdana" w:hAnsi="Verdana"/>
                <w:sz w:val="20"/>
              </w:rPr>
              <w:t>60.6</w:t>
            </w:r>
          </w:p>
        </w:tc>
        <w:tc>
          <w:tcPr>
            <w:tcW w:w="1660" w:type="dxa"/>
          </w:tcPr>
          <w:p w14:paraId="5D9F4031" w14:textId="5EEB460A" w:rsidR="006D344C" w:rsidRDefault="006D344C" w:rsidP="006D344C">
            <w:pPr>
              <w:pStyle w:val="Leipteksti"/>
              <w:jc w:val="center"/>
              <w:rPr>
                <w:rFonts w:ascii="Verdana" w:hAnsi="Verdana"/>
                <w:sz w:val="20"/>
              </w:rPr>
            </w:pPr>
            <w:r>
              <w:rPr>
                <w:rFonts w:ascii="Verdana" w:hAnsi="Verdana"/>
                <w:sz w:val="20"/>
              </w:rPr>
              <w:t>2.4</w:t>
            </w:r>
          </w:p>
        </w:tc>
        <w:tc>
          <w:tcPr>
            <w:tcW w:w="1661" w:type="dxa"/>
          </w:tcPr>
          <w:p w14:paraId="416E7FE0" w14:textId="5DC57651" w:rsidR="006D344C" w:rsidRDefault="006D344C" w:rsidP="006D344C">
            <w:pPr>
              <w:pStyle w:val="Leipteksti"/>
              <w:jc w:val="center"/>
              <w:rPr>
                <w:rFonts w:ascii="Verdana" w:hAnsi="Verdana"/>
                <w:sz w:val="20"/>
              </w:rPr>
            </w:pPr>
            <w:r>
              <w:rPr>
                <w:rFonts w:ascii="Verdana" w:hAnsi="Verdana"/>
                <w:sz w:val="20"/>
              </w:rPr>
              <w:t>19.2</w:t>
            </w:r>
          </w:p>
        </w:tc>
        <w:tc>
          <w:tcPr>
            <w:tcW w:w="1661" w:type="dxa"/>
          </w:tcPr>
          <w:p w14:paraId="472C99AE" w14:textId="11DA85D5" w:rsidR="006D344C" w:rsidRDefault="006D344C" w:rsidP="006D344C">
            <w:pPr>
              <w:pStyle w:val="Leipteksti"/>
              <w:jc w:val="center"/>
              <w:rPr>
                <w:rFonts w:ascii="Verdana" w:hAnsi="Verdana"/>
                <w:sz w:val="20"/>
              </w:rPr>
            </w:pPr>
            <w:r>
              <w:rPr>
                <w:rFonts w:ascii="Verdana" w:hAnsi="Verdana"/>
                <w:sz w:val="20"/>
              </w:rPr>
              <w:t>17.8</w:t>
            </w:r>
          </w:p>
        </w:tc>
      </w:tr>
      <w:tr w:rsidR="006D344C" w14:paraId="37592A27" w14:textId="77777777" w:rsidTr="006D344C">
        <w:tc>
          <w:tcPr>
            <w:tcW w:w="1980" w:type="dxa"/>
          </w:tcPr>
          <w:p w14:paraId="32ED1A54" w14:textId="6B7D6ADC" w:rsidR="006D344C" w:rsidRDefault="006D344C" w:rsidP="00D915ED">
            <w:pPr>
              <w:pStyle w:val="Leipteksti"/>
              <w:rPr>
                <w:rFonts w:ascii="Verdana" w:hAnsi="Verdana"/>
                <w:sz w:val="20"/>
              </w:rPr>
            </w:pPr>
            <w:r>
              <w:rPr>
                <w:rFonts w:ascii="Verdana" w:hAnsi="Verdana"/>
                <w:sz w:val="20"/>
              </w:rPr>
              <w:t>100% to water</w:t>
            </w:r>
          </w:p>
        </w:tc>
        <w:tc>
          <w:tcPr>
            <w:tcW w:w="1340" w:type="dxa"/>
          </w:tcPr>
          <w:p w14:paraId="4D17E9B2" w14:textId="3E942AAE" w:rsidR="006D344C" w:rsidRDefault="006D344C" w:rsidP="006D344C">
            <w:pPr>
              <w:pStyle w:val="Leipteksti"/>
              <w:jc w:val="center"/>
              <w:rPr>
                <w:rFonts w:ascii="Verdana" w:hAnsi="Verdana"/>
                <w:sz w:val="20"/>
              </w:rPr>
            </w:pPr>
            <w:r>
              <w:rPr>
                <w:rFonts w:ascii="Verdana" w:hAnsi="Verdana"/>
                <w:sz w:val="20"/>
              </w:rPr>
              <w:t>0.2</w:t>
            </w:r>
          </w:p>
        </w:tc>
        <w:tc>
          <w:tcPr>
            <w:tcW w:w="1660" w:type="dxa"/>
          </w:tcPr>
          <w:p w14:paraId="296D420F" w14:textId="5FD4120B" w:rsidR="006D344C" w:rsidRDefault="006D344C" w:rsidP="006D344C">
            <w:pPr>
              <w:pStyle w:val="Leipteksti"/>
              <w:jc w:val="center"/>
              <w:rPr>
                <w:rFonts w:ascii="Verdana" w:hAnsi="Verdana"/>
                <w:sz w:val="20"/>
              </w:rPr>
            </w:pPr>
            <w:r>
              <w:rPr>
                <w:rFonts w:ascii="Verdana" w:hAnsi="Verdana"/>
                <w:sz w:val="20"/>
              </w:rPr>
              <w:t>11.9</w:t>
            </w:r>
          </w:p>
        </w:tc>
        <w:tc>
          <w:tcPr>
            <w:tcW w:w="1661" w:type="dxa"/>
          </w:tcPr>
          <w:p w14:paraId="5F8BFE9B" w14:textId="112F4E62" w:rsidR="006D344C" w:rsidRDefault="006D344C" w:rsidP="006D344C">
            <w:pPr>
              <w:pStyle w:val="Leipteksti"/>
              <w:jc w:val="center"/>
              <w:rPr>
                <w:rFonts w:ascii="Verdana" w:hAnsi="Verdana"/>
                <w:sz w:val="20"/>
              </w:rPr>
            </w:pPr>
            <w:r>
              <w:rPr>
                <w:rFonts w:ascii="Verdana" w:hAnsi="Verdana"/>
                <w:sz w:val="20"/>
              </w:rPr>
              <w:t>0.1</w:t>
            </w:r>
          </w:p>
        </w:tc>
        <w:tc>
          <w:tcPr>
            <w:tcW w:w="1661" w:type="dxa"/>
          </w:tcPr>
          <w:p w14:paraId="18B37340" w14:textId="21EA17D0" w:rsidR="006D344C" w:rsidRDefault="006D344C" w:rsidP="006D344C">
            <w:pPr>
              <w:pStyle w:val="Leipteksti"/>
              <w:jc w:val="center"/>
              <w:rPr>
                <w:rFonts w:ascii="Verdana" w:hAnsi="Verdana"/>
                <w:sz w:val="20"/>
              </w:rPr>
            </w:pPr>
            <w:r>
              <w:rPr>
                <w:rFonts w:ascii="Verdana" w:hAnsi="Verdana"/>
                <w:sz w:val="20"/>
              </w:rPr>
              <w:t>87.9</w:t>
            </w:r>
          </w:p>
        </w:tc>
      </w:tr>
      <w:tr w:rsidR="006D344C" w14:paraId="1F47E5F8" w14:textId="77777777" w:rsidTr="006D344C">
        <w:tc>
          <w:tcPr>
            <w:tcW w:w="1980" w:type="dxa"/>
          </w:tcPr>
          <w:p w14:paraId="72B2F414" w14:textId="6CFE7DBA" w:rsidR="006D344C" w:rsidRDefault="006D344C" w:rsidP="00D915ED">
            <w:pPr>
              <w:pStyle w:val="Leipteksti"/>
              <w:rPr>
                <w:rFonts w:ascii="Verdana" w:hAnsi="Verdana"/>
                <w:sz w:val="20"/>
              </w:rPr>
            </w:pPr>
            <w:r>
              <w:rPr>
                <w:rFonts w:ascii="Verdana" w:hAnsi="Verdana"/>
                <w:sz w:val="20"/>
              </w:rPr>
              <w:t>100% to soil</w:t>
            </w:r>
          </w:p>
        </w:tc>
        <w:tc>
          <w:tcPr>
            <w:tcW w:w="1340" w:type="dxa"/>
          </w:tcPr>
          <w:p w14:paraId="564AA245" w14:textId="2CA1345C" w:rsidR="006D344C" w:rsidRDefault="006D344C" w:rsidP="006D344C">
            <w:pPr>
              <w:pStyle w:val="Leipteksti"/>
              <w:jc w:val="center"/>
              <w:rPr>
                <w:rFonts w:ascii="Verdana" w:hAnsi="Verdana"/>
                <w:sz w:val="20"/>
              </w:rPr>
            </w:pPr>
            <w:r>
              <w:rPr>
                <w:rFonts w:ascii="Verdana" w:hAnsi="Verdana"/>
                <w:sz w:val="20"/>
              </w:rPr>
              <w:t>&lt;0.1</w:t>
            </w:r>
          </w:p>
        </w:tc>
        <w:tc>
          <w:tcPr>
            <w:tcW w:w="1660" w:type="dxa"/>
          </w:tcPr>
          <w:p w14:paraId="0840066A" w14:textId="1D4D1778" w:rsidR="006D344C" w:rsidRDefault="006D344C" w:rsidP="006D344C">
            <w:pPr>
              <w:pStyle w:val="Leipteksti"/>
              <w:jc w:val="center"/>
              <w:rPr>
                <w:rFonts w:ascii="Verdana" w:hAnsi="Verdana"/>
                <w:sz w:val="20"/>
              </w:rPr>
            </w:pPr>
            <w:r>
              <w:rPr>
                <w:rFonts w:ascii="Verdana" w:hAnsi="Verdana"/>
                <w:sz w:val="20"/>
              </w:rPr>
              <w:t>&lt;0.1</w:t>
            </w:r>
          </w:p>
        </w:tc>
        <w:tc>
          <w:tcPr>
            <w:tcW w:w="1661" w:type="dxa"/>
          </w:tcPr>
          <w:p w14:paraId="1B42BFB7" w14:textId="272F9514" w:rsidR="006D344C" w:rsidRDefault="006D344C" w:rsidP="006D344C">
            <w:pPr>
              <w:pStyle w:val="Leipteksti"/>
              <w:jc w:val="center"/>
              <w:rPr>
                <w:rFonts w:ascii="Verdana" w:hAnsi="Verdana"/>
                <w:sz w:val="20"/>
              </w:rPr>
            </w:pPr>
            <w:r>
              <w:rPr>
                <w:rFonts w:ascii="Verdana" w:hAnsi="Verdana"/>
                <w:sz w:val="20"/>
              </w:rPr>
              <w:t>100</w:t>
            </w:r>
          </w:p>
        </w:tc>
        <w:tc>
          <w:tcPr>
            <w:tcW w:w="1661" w:type="dxa"/>
          </w:tcPr>
          <w:p w14:paraId="6AC19397" w14:textId="1721BD56" w:rsidR="006D344C" w:rsidRDefault="006D344C" w:rsidP="006D344C">
            <w:pPr>
              <w:pStyle w:val="Leipteksti"/>
              <w:jc w:val="center"/>
              <w:rPr>
                <w:rFonts w:ascii="Verdana" w:hAnsi="Verdana"/>
                <w:sz w:val="20"/>
              </w:rPr>
            </w:pPr>
            <w:r>
              <w:rPr>
                <w:rFonts w:ascii="Verdana" w:hAnsi="Verdana"/>
                <w:sz w:val="20"/>
              </w:rPr>
              <w:t>&lt;0.1</w:t>
            </w:r>
          </w:p>
        </w:tc>
      </w:tr>
    </w:tbl>
    <w:p w14:paraId="2136F576" w14:textId="77777777" w:rsidR="006D344C" w:rsidRDefault="006D344C" w:rsidP="00D915ED">
      <w:pPr>
        <w:pStyle w:val="Leipteksti"/>
        <w:rPr>
          <w:rFonts w:ascii="Verdana" w:hAnsi="Verdana"/>
          <w:sz w:val="20"/>
        </w:rPr>
      </w:pPr>
    </w:p>
    <w:p w14:paraId="1EA17390" w14:textId="77777777" w:rsidR="00D915ED" w:rsidRPr="00D915ED" w:rsidRDefault="00D915ED" w:rsidP="00D915ED">
      <w:pPr>
        <w:pStyle w:val="Leipteksti"/>
        <w:rPr>
          <w:rFonts w:ascii="Verdana" w:hAnsi="Verdana"/>
          <w:b/>
          <w:sz w:val="20"/>
        </w:rPr>
      </w:pPr>
      <w:r w:rsidRPr="00D915ED">
        <w:rPr>
          <w:rFonts w:ascii="Verdana" w:hAnsi="Verdana"/>
          <w:b/>
          <w:sz w:val="20"/>
        </w:rPr>
        <w:t>Bioaccumulation</w:t>
      </w:r>
    </w:p>
    <w:p w14:paraId="32DB1EAD" w14:textId="7C4FE2C5" w:rsidR="00D915ED" w:rsidRDefault="00D915ED" w:rsidP="00D915ED">
      <w:pPr>
        <w:pStyle w:val="Leipteksti"/>
        <w:rPr>
          <w:rFonts w:ascii="Verdana" w:hAnsi="Verdana"/>
          <w:sz w:val="20"/>
        </w:rPr>
      </w:pPr>
      <w:r>
        <w:rPr>
          <w:rFonts w:ascii="Verdana" w:hAnsi="Verdana"/>
          <w:sz w:val="20"/>
        </w:rPr>
        <w:t xml:space="preserve">No experimental bioaccumulation data is available for </w:t>
      </w:r>
      <w:r w:rsidRPr="006C79F1">
        <w:rPr>
          <w:rFonts w:ascii="Verdana" w:hAnsi="Verdana"/>
          <w:sz w:val="20"/>
        </w:rPr>
        <w:t>6-(1-phenylethyl)-1,2,3,4-tetrahydronaphthalene</w:t>
      </w:r>
      <w:r>
        <w:rPr>
          <w:rFonts w:ascii="Verdana" w:hAnsi="Verdana"/>
          <w:sz w:val="20"/>
        </w:rPr>
        <w:t xml:space="preserve">. Octanol-water partition coefficient (log Pow) provided in the </w:t>
      </w:r>
      <w:r w:rsidR="00B9182E">
        <w:rPr>
          <w:rFonts w:ascii="Verdana" w:hAnsi="Verdana"/>
          <w:sz w:val="20"/>
        </w:rPr>
        <w:t>substance factsheet</w:t>
      </w:r>
      <w:r>
        <w:rPr>
          <w:rFonts w:ascii="Verdana" w:hAnsi="Verdana"/>
          <w:sz w:val="20"/>
        </w:rPr>
        <w:t xml:space="preserve"> is 3.94. However, QSAR estimated log </w:t>
      </w:r>
      <w:proofErr w:type="spellStart"/>
      <w:r>
        <w:rPr>
          <w:rFonts w:ascii="Verdana" w:hAnsi="Verdana"/>
          <w:sz w:val="20"/>
        </w:rPr>
        <w:t>Kow</w:t>
      </w:r>
      <w:proofErr w:type="spellEnd"/>
      <w:r>
        <w:rPr>
          <w:rFonts w:ascii="Verdana" w:hAnsi="Verdana"/>
          <w:sz w:val="20"/>
        </w:rPr>
        <w:t xml:space="preserve"> is 6.11 (KOWWIN v1.68). Estimated bioaccumulation with BCFBAF v3.01 using the log </w:t>
      </w:r>
      <w:proofErr w:type="spellStart"/>
      <w:r>
        <w:rPr>
          <w:rFonts w:ascii="Verdana" w:hAnsi="Verdana"/>
          <w:sz w:val="20"/>
        </w:rPr>
        <w:t>Kow</w:t>
      </w:r>
      <w:proofErr w:type="spellEnd"/>
      <w:r>
        <w:rPr>
          <w:rFonts w:ascii="Verdana" w:hAnsi="Verdana"/>
          <w:sz w:val="20"/>
        </w:rPr>
        <w:t xml:space="preserve"> of 6.11 is BCF 5026 L/kg from regression-based method and BCF 1697 L/Kg from Arnot-</w:t>
      </w:r>
      <w:proofErr w:type="spellStart"/>
      <w:r>
        <w:rPr>
          <w:rFonts w:ascii="Verdana" w:hAnsi="Verdana"/>
          <w:sz w:val="20"/>
        </w:rPr>
        <w:t>Gobas</w:t>
      </w:r>
      <w:proofErr w:type="spellEnd"/>
      <w:r>
        <w:rPr>
          <w:rFonts w:ascii="Verdana" w:hAnsi="Verdana"/>
          <w:sz w:val="20"/>
        </w:rPr>
        <w:t xml:space="preserve"> method (upper trophic) including biotransformation estimates.  From Arnot-</w:t>
      </w:r>
      <w:proofErr w:type="spellStart"/>
      <w:r>
        <w:rPr>
          <w:rFonts w:ascii="Verdana" w:hAnsi="Verdana"/>
          <w:sz w:val="20"/>
        </w:rPr>
        <w:t>Gobas</w:t>
      </w:r>
      <w:proofErr w:type="spellEnd"/>
      <w:r>
        <w:rPr>
          <w:rFonts w:ascii="Verdana" w:hAnsi="Verdana"/>
          <w:sz w:val="20"/>
        </w:rPr>
        <w:t xml:space="preserve"> method (upper trophic) also BAF value of 4618 can be estimated. If </w:t>
      </w:r>
      <w:r w:rsidR="0060494A">
        <w:rPr>
          <w:rFonts w:ascii="Verdana" w:hAnsi="Verdana"/>
          <w:sz w:val="20"/>
        </w:rPr>
        <w:t xml:space="preserve">the </w:t>
      </w:r>
      <w:r>
        <w:rPr>
          <w:rFonts w:ascii="Verdana" w:hAnsi="Verdana"/>
          <w:sz w:val="20"/>
        </w:rPr>
        <w:t xml:space="preserve">log Pow of 3.94 from </w:t>
      </w:r>
      <w:r w:rsidR="001947AD">
        <w:rPr>
          <w:rFonts w:ascii="Verdana" w:hAnsi="Verdana"/>
          <w:sz w:val="20"/>
        </w:rPr>
        <w:t>the substance factsheet</w:t>
      </w:r>
      <w:r>
        <w:rPr>
          <w:rFonts w:ascii="Verdana" w:hAnsi="Verdana"/>
          <w:sz w:val="20"/>
        </w:rPr>
        <w:t xml:space="preserve"> is used, the estimated BCF is 184.8 L/kg from </w:t>
      </w:r>
      <w:proofErr w:type="gramStart"/>
      <w:r>
        <w:rPr>
          <w:rFonts w:ascii="Verdana" w:hAnsi="Verdana"/>
          <w:sz w:val="20"/>
        </w:rPr>
        <w:t>regression based</w:t>
      </w:r>
      <w:proofErr w:type="gramEnd"/>
      <w:r>
        <w:rPr>
          <w:rFonts w:ascii="Verdana" w:hAnsi="Verdana"/>
          <w:sz w:val="20"/>
        </w:rPr>
        <w:t xml:space="preserve"> model and 322.9 using Arnot-</w:t>
      </w:r>
      <w:proofErr w:type="spellStart"/>
      <w:r>
        <w:rPr>
          <w:rFonts w:ascii="Verdana" w:hAnsi="Verdana"/>
          <w:sz w:val="20"/>
        </w:rPr>
        <w:t>Gobas</w:t>
      </w:r>
      <w:proofErr w:type="spellEnd"/>
      <w:r>
        <w:rPr>
          <w:rFonts w:ascii="Verdana" w:hAnsi="Verdana"/>
          <w:sz w:val="20"/>
        </w:rPr>
        <w:t xml:space="preserve"> method (upper trophic) including biotransformation rate estimates.</w:t>
      </w:r>
    </w:p>
    <w:p w14:paraId="4AC3FC4C" w14:textId="7DC1A54E" w:rsidR="00D915ED" w:rsidRPr="00591535" w:rsidRDefault="00D915ED" w:rsidP="00D915ED">
      <w:pPr>
        <w:pStyle w:val="Leipteksti"/>
        <w:rPr>
          <w:rFonts w:ascii="Verdana" w:hAnsi="Verdana"/>
          <w:sz w:val="20"/>
        </w:rPr>
      </w:pPr>
      <w:r>
        <w:rPr>
          <w:rFonts w:ascii="Verdana" w:hAnsi="Verdana"/>
          <w:sz w:val="20"/>
        </w:rPr>
        <w:t xml:space="preserve">PBT </w:t>
      </w:r>
      <w:proofErr w:type="spellStart"/>
      <w:r>
        <w:rPr>
          <w:rFonts w:ascii="Verdana" w:hAnsi="Verdana"/>
          <w:sz w:val="20"/>
        </w:rPr>
        <w:t>prioritisazation</w:t>
      </w:r>
      <w:proofErr w:type="spellEnd"/>
      <w:r>
        <w:rPr>
          <w:rFonts w:ascii="Verdana" w:hAnsi="Verdana"/>
          <w:sz w:val="20"/>
        </w:rPr>
        <w:t xml:space="preserve"> scheme in OECD QSAR toolbox v4.0 predicts </w:t>
      </w:r>
      <w:r w:rsidRPr="006C79F1">
        <w:rPr>
          <w:rFonts w:ascii="Verdana" w:hAnsi="Verdana"/>
          <w:sz w:val="20"/>
        </w:rPr>
        <w:t>6-(1-phenylethyl)-1,2,3,4-tetrahydronaphthalene</w:t>
      </w:r>
      <w:r>
        <w:rPr>
          <w:rFonts w:ascii="Verdana" w:hAnsi="Verdana"/>
          <w:sz w:val="20"/>
        </w:rPr>
        <w:t xml:space="preserve"> to be very bioaccumulative (</w:t>
      </w:r>
      <w:proofErr w:type="spellStart"/>
      <w:r>
        <w:rPr>
          <w:rFonts w:ascii="Verdana" w:hAnsi="Verdana"/>
          <w:sz w:val="20"/>
        </w:rPr>
        <w:t>vB</w:t>
      </w:r>
      <w:proofErr w:type="spellEnd"/>
      <w:r>
        <w:rPr>
          <w:rFonts w:ascii="Verdana" w:hAnsi="Verdana"/>
          <w:sz w:val="20"/>
        </w:rPr>
        <w:t>).</w:t>
      </w:r>
      <w:r w:rsidR="001947AD">
        <w:rPr>
          <w:rFonts w:ascii="Verdana" w:hAnsi="Verdana"/>
          <w:sz w:val="20"/>
        </w:rPr>
        <w:t xml:space="preserve"> </w:t>
      </w:r>
      <w:r>
        <w:rPr>
          <w:rFonts w:ascii="Verdana" w:hAnsi="Verdana"/>
          <w:sz w:val="20"/>
        </w:rPr>
        <w:t xml:space="preserve">Log Pow of 3.94 from the </w:t>
      </w:r>
      <w:r w:rsidR="001947AD">
        <w:rPr>
          <w:rFonts w:ascii="Verdana" w:hAnsi="Verdana"/>
          <w:sz w:val="20"/>
        </w:rPr>
        <w:t>substance factsheet</w:t>
      </w:r>
      <w:r>
        <w:rPr>
          <w:rFonts w:ascii="Verdana" w:hAnsi="Verdana"/>
          <w:sz w:val="20"/>
        </w:rPr>
        <w:t xml:space="preserve"> does not fulfil the screening criteria of &gt; 4.5 for bioaccumulation assessment. However, no information is available</w:t>
      </w:r>
      <w:r w:rsidR="00295D4B">
        <w:rPr>
          <w:rFonts w:ascii="Verdana" w:hAnsi="Verdana"/>
          <w:sz w:val="20"/>
        </w:rPr>
        <w:t xml:space="preserve"> on</w:t>
      </w:r>
      <w:r>
        <w:rPr>
          <w:rFonts w:ascii="Verdana" w:hAnsi="Verdana"/>
          <w:sz w:val="20"/>
        </w:rPr>
        <w:t xml:space="preserve"> how the Log Pow value is derived in the </w:t>
      </w:r>
      <w:r w:rsidR="001947AD">
        <w:rPr>
          <w:rFonts w:ascii="Verdana" w:hAnsi="Verdana"/>
          <w:sz w:val="20"/>
        </w:rPr>
        <w:t>substance factsheet</w:t>
      </w:r>
      <w:r>
        <w:rPr>
          <w:rFonts w:ascii="Verdana" w:hAnsi="Verdana"/>
          <w:sz w:val="20"/>
        </w:rPr>
        <w:t xml:space="preserve">. The estimated Log </w:t>
      </w:r>
      <w:proofErr w:type="spellStart"/>
      <w:r>
        <w:rPr>
          <w:rFonts w:ascii="Verdana" w:hAnsi="Verdana"/>
          <w:sz w:val="20"/>
        </w:rPr>
        <w:t>Kow</w:t>
      </w:r>
      <w:proofErr w:type="spellEnd"/>
      <w:r>
        <w:rPr>
          <w:rFonts w:ascii="Verdana" w:hAnsi="Verdana"/>
          <w:sz w:val="20"/>
        </w:rPr>
        <w:t xml:space="preserve"> value of 6.11 clearly indicates </w:t>
      </w:r>
      <w:r w:rsidR="00295D4B">
        <w:rPr>
          <w:rFonts w:ascii="Verdana" w:hAnsi="Verdana"/>
          <w:sz w:val="20"/>
        </w:rPr>
        <w:t xml:space="preserve">a </w:t>
      </w:r>
      <w:r>
        <w:rPr>
          <w:rFonts w:ascii="Verdana" w:hAnsi="Verdana"/>
          <w:sz w:val="20"/>
        </w:rPr>
        <w:t xml:space="preserve">potential for bioaccumulation and thus the screening criterion for bioaccumulation is fulfilled. </w:t>
      </w:r>
    </w:p>
    <w:p w14:paraId="5BB2C088" w14:textId="3B8896C0" w:rsidR="00D915ED" w:rsidRPr="00D915ED" w:rsidRDefault="00D915ED" w:rsidP="00D915ED">
      <w:pPr>
        <w:pStyle w:val="Leipteksti"/>
        <w:rPr>
          <w:rFonts w:ascii="Verdana" w:hAnsi="Verdana"/>
          <w:b/>
          <w:sz w:val="20"/>
        </w:rPr>
      </w:pPr>
      <w:r w:rsidRPr="00D915ED">
        <w:rPr>
          <w:rFonts w:ascii="Verdana" w:hAnsi="Verdana"/>
          <w:b/>
          <w:sz w:val="20"/>
        </w:rPr>
        <w:t xml:space="preserve">Aquatic toxicity </w:t>
      </w:r>
    </w:p>
    <w:p w14:paraId="0779AD6B" w14:textId="457765E0" w:rsidR="00D915ED" w:rsidRPr="006D366B" w:rsidRDefault="00322D9C" w:rsidP="00D915ED">
      <w:pPr>
        <w:pStyle w:val="Leipteksti"/>
        <w:rPr>
          <w:rFonts w:ascii="Verdana" w:hAnsi="Verdana"/>
          <w:sz w:val="20"/>
        </w:rPr>
      </w:pPr>
      <w:r>
        <w:rPr>
          <w:rFonts w:ascii="Verdana" w:hAnsi="Verdana"/>
          <w:sz w:val="20"/>
        </w:rPr>
        <w:t xml:space="preserve">Information from the registration dossier is discussed in the confidential Annex I. </w:t>
      </w:r>
    </w:p>
    <w:p w14:paraId="61FEA262" w14:textId="29EFF19F" w:rsidR="00D915ED" w:rsidRDefault="00D915ED" w:rsidP="00D915ED">
      <w:pPr>
        <w:pStyle w:val="Leipteksti"/>
        <w:rPr>
          <w:rFonts w:ascii="Verdana" w:hAnsi="Verdana"/>
          <w:sz w:val="20"/>
        </w:rPr>
      </w:pPr>
      <w:r w:rsidRPr="00591535">
        <w:rPr>
          <w:rFonts w:ascii="Verdana" w:hAnsi="Verdana"/>
          <w:sz w:val="20"/>
        </w:rPr>
        <w:t xml:space="preserve">QSAR </w:t>
      </w:r>
      <w:r>
        <w:rPr>
          <w:rFonts w:ascii="Verdana" w:hAnsi="Verdana"/>
          <w:sz w:val="20"/>
        </w:rPr>
        <w:t xml:space="preserve">estimations using </w:t>
      </w:r>
      <w:proofErr w:type="spellStart"/>
      <w:r>
        <w:rPr>
          <w:rFonts w:ascii="Verdana" w:hAnsi="Verdana"/>
          <w:sz w:val="20"/>
        </w:rPr>
        <w:t>Ecosar</w:t>
      </w:r>
      <w:proofErr w:type="spellEnd"/>
      <w:r>
        <w:rPr>
          <w:rFonts w:ascii="Verdana" w:hAnsi="Verdana"/>
          <w:sz w:val="20"/>
        </w:rPr>
        <w:t xml:space="preserve"> v1.11 with estimated water solubility of 0.1688 mg/l (</w:t>
      </w:r>
      <w:proofErr w:type="spellStart"/>
      <w:r>
        <w:rPr>
          <w:rFonts w:ascii="Verdana" w:hAnsi="Verdana"/>
          <w:sz w:val="20"/>
        </w:rPr>
        <w:t>WSKowwin</w:t>
      </w:r>
      <w:proofErr w:type="spellEnd"/>
      <w:r>
        <w:rPr>
          <w:rFonts w:ascii="Verdana" w:hAnsi="Verdana"/>
          <w:sz w:val="20"/>
        </w:rPr>
        <w:t xml:space="preserve"> v1.43) and estimated log </w:t>
      </w:r>
      <w:proofErr w:type="spellStart"/>
      <w:r>
        <w:rPr>
          <w:rFonts w:ascii="Verdana" w:hAnsi="Verdana"/>
          <w:sz w:val="20"/>
        </w:rPr>
        <w:t>Kow</w:t>
      </w:r>
      <w:proofErr w:type="spellEnd"/>
      <w:r>
        <w:rPr>
          <w:rFonts w:ascii="Verdana" w:hAnsi="Verdana"/>
          <w:sz w:val="20"/>
        </w:rPr>
        <w:t xml:space="preserve"> of 6.114 for aquatic toxicity predict chronic toxicity values of 0.006 mg/L for fish, 0.009 for daphnid and 0.071 for green algae </w:t>
      </w:r>
      <w:r w:rsidR="009927CF">
        <w:rPr>
          <w:rFonts w:ascii="Verdana" w:hAnsi="Verdana"/>
          <w:sz w:val="20"/>
        </w:rPr>
        <w:t xml:space="preserve">suggesting </w:t>
      </w:r>
      <w:r>
        <w:rPr>
          <w:rFonts w:ascii="Verdana" w:hAnsi="Verdana"/>
          <w:sz w:val="20"/>
        </w:rPr>
        <w:t xml:space="preserve">high chronic toxicity for </w:t>
      </w:r>
      <w:r w:rsidRPr="006C79F1">
        <w:rPr>
          <w:rFonts w:ascii="Verdana" w:hAnsi="Verdana"/>
          <w:sz w:val="20"/>
        </w:rPr>
        <w:t>6-(1-phenylethyl)-1,2,3,4-tetrahydronaphthalene</w:t>
      </w:r>
      <w:r>
        <w:rPr>
          <w:rFonts w:ascii="Verdana" w:hAnsi="Verdana"/>
          <w:sz w:val="20"/>
        </w:rPr>
        <w:t xml:space="preserve">. Estimated Acute toxicity values with same parameters are 96 h LC50 0.039 mg/L for fish, 48 h LC50 0.033 mg/L for daphnid and 96 h EC50 0.177 mg/L for green algae. </w:t>
      </w:r>
    </w:p>
    <w:p w14:paraId="00A87281" w14:textId="6AF09D30" w:rsidR="00D915ED" w:rsidRPr="00591535" w:rsidRDefault="00D915ED" w:rsidP="00D915ED">
      <w:pPr>
        <w:pStyle w:val="Leipteksti"/>
        <w:rPr>
          <w:sz w:val="20"/>
        </w:rPr>
      </w:pPr>
      <w:r>
        <w:rPr>
          <w:rFonts w:ascii="Verdana" w:hAnsi="Verdana"/>
          <w:sz w:val="20"/>
        </w:rPr>
        <w:t xml:space="preserve">QSAR estimations indicate that </w:t>
      </w:r>
      <w:r w:rsidR="009927CF">
        <w:rPr>
          <w:rFonts w:ascii="Verdana" w:hAnsi="Verdana"/>
          <w:sz w:val="20"/>
        </w:rPr>
        <w:t>the T criterion might be fulfilled</w:t>
      </w:r>
      <w:r w:rsidR="00FF5FE7">
        <w:rPr>
          <w:rFonts w:ascii="Verdana" w:hAnsi="Verdana"/>
          <w:sz w:val="20"/>
        </w:rPr>
        <w:t xml:space="preserve"> </w:t>
      </w:r>
      <w:r>
        <w:rPr>
          <w:rFonts w:ascii="Verdana" w:hAnsi="Verdana"/>
          <w:sz w:val="20"/>
        </w:rPr>
        <w:t xml:space="preserve">for </w:t>
      </w:r>
      <w:r w:rsidR="00EE69C9">
        <w:rPr>
          <w:rFonts w:ascii="Verdana" w:hAnsi="Verdana"/>
          <w:sz w:val="20"/>
        </w:rPr>
        <w:t xml:space="preserve">a </w:t>
      </w:r>
      <w:r>
        <w:rPr>
          <w:rFonts w:ascii="Verdana" w:hAnsi="Verdana"/>
          <w:sz w:val="20"/>
        </w:rPr>
        <w:t xml:space="preserve">potential constituent </w:t>
      </w:r>
      <w:r w:rsidRPr="006C79F1">
        <w:rPr>
          <w:rFonts w:ascii="Verdana" w:hAnsi="Verdana"/>
          <w:sz w:val="20"/>
        </w:rPr>
        <w:t>6-(1-phenylethyl)-1,2,3,4-tetrahydronaphthalene</w:t>
      </w:r>
      <w:r w:rsidR="009927CF">
        <w:rPr>
          <w:rFonts w:ascii="Verdana" w:hAnsi="Verdana"/>
          <w:sz w:val="20"/>
        </w:rPr>
        <w:t xml:space="preserve"> based on ecotoxicity</w:t>
      </w:r>
      <w:r>
        <w:rPr>
          <w:rFonts w:ascii="Verdana" w:hAnsi="Verdana"/>
          <w:sz w:val="20"/>
        </w:rPr>
        <w:t xml:space="preserve">. </w:t>
      </w:r>
    </w:p>
    <w:p w14:paraId="066F7373" w14:textId="77777777" w:rsidR="00D915ED" w:rsidRPr="00D915ED" w:rsidRDefault="00D915ED" w:rsidP="00E944B9">
      <w:pPr>
        <w:jc w:val="both"/>
        <w:rPr>
          <w:rFonts w:ascii="Verdana" w:hAnsi="Verdana" w:cstheme="minorHAnsi"/>
          <w:b/>
          <w:sz w:val="20"/>
          <w:szCs w:val="20"/>
          <w:u w:val="single"/>
          <w:lang w:val="en-GB"/>
        </w:rPr>
      </w:pPr>
    </w:p>
    <w:p w14:paraId="39B96A97" w14:textId="77777777" w:rsidR="001F1420" w:rsidRPr="00336750" w:rsidRDefault="001F1420" w:rsidP="00EF327E">
      <w:pPr>
        <w:pStyle w:val="Otsikko1"/>
        <w:tabs>
          <w:tab w:val="clear" w:pos="839"/>
          <w:tab w:val="num" w:pos="360"/>
        </w:tabs>
        <w:spacing w:before="240"/>
        <w:ind w:left="360" w:hanging="360"/>
        <w:rPr>
          <w:rFonts w:ascii="Verdana" w:hAnsi="Verdana"/>
        </w:rPr>
      </w:pPr>
      <w:r w:rsidRPr="00336750">
        <w:rPr>
          <w:rFonts w:ascii="Verdana" w:hAnsi="Verdana"/>
        </w:rPr>
        <w:lastRenderedPageBreak/>
        <w:t xml:space="preserve">Information </w:t>
      </w:r>
      <w:bookmarkEnd w:id="30"/>
      <w:bookmarkEnd w:id="31"/>
      <w:r w:rsidR="00336750" w:rsidRPr="00336750">
        <w:rPr>
          <w:rFonts w:ascii="Verdana" w:hAnsi="Verdana"/>
        </w:rPr>
        <w:t>on (aggregated) Tonnage and uses</w:t>
      </w:r>
      <w:bookmarkEnd w:id="32"/>
      <w:r w:rsidR="00942E3F" w:rsidRPr="003B3067">
        <w:rPr>
          <w:rStyle w:val="Alaviitteenviite"/>
          <w:rFonts w:ascii="Verdana" w:hAnsi="Verdana"/>
          <w:b w:val="0"/>
          <w:szCs w:val="24"/>
        </w:rPr>
        <w:footnoteReference w:id="7"/>
      </w:r>
    </w:p>
    <w:p w14:paraId="641FBCBF" w14:textId="77777777" w:rsidR="00D915ED" w:rsidRDefault="00D915ED" w:rsidP="00D915ED">
      <w:pPr>
        <w:spacing w:after="120" w:line="360" w:lineRule="auto"/>
        <w:rPr>
          <w:rFonts w:cs="Arial"/>
        </w:rPr>
      </w:pPr>
      <w:bookmarkStart w:id="35" w:name="_Toc387770110"/>
      <w:r w:rsidRPr="00D915ED">
        <w:rPr>
          <w:rFonts w:cs="Arial"/>
          <w:b/>
        </w:rPr>
        <w:t xml:space="preserve">Dibenzylbenzene, </w:t>
      </w:r>
      <w:proofErr w:type="spellStart"/>
      <w:r w:rsidRPr="00D915ED">
        <w:rPr>
          <w:rFonts w:cs="Arial"/>
          <w:b/>
        </w:rPr>
        <w:t>ar</w:t>
      </w:r>
      <w:proofErr w:type="spellEnd"/>
      <w:r w:rsidRPr="00D915ED">
        <w:rPr>
          <w:rFonts w:cs="Arial"/>
          <w:b/>
        </w:rPr>
        <w:t>-methyl derivative</w:t>
      </w:r>
      <w:r>
        <w:rPr>
          <w:rFonts w:cs="Arial"/>
        </w:rPr>
        <w:t xml:space="preserve">: </w:t>
      </w:r>
    </w:p>
    <w:p w14:paraId="4F036279" w14:textId="3DB50223" w:rsidR="00D915ED" w:rsidRPr="00D915ED" w:rsidRDefault="00D915ED" w:rsidP="00D915ED">
      <w:pPr>
        <w:spacing w:after="120" w:line="360" w:lineRule="auto"/>
        <w:rPr>
          <w:rFonts w:cs="Arial"/>
        </w:rPr>
      </w:pPr>
      <w:r w:rsidRPr="00D915ED">
        <w:rPr>
          <w:rFonts w:ascii="Verdana" w:hAnsi="Verdana"/>
          <w:bCs/>
          <w:sz w:val="20"/>
          <w:szCs w:val="20"/>
        </w:rPr>
        <w:t>2 registrants (ARKEMA FRANCE and Eastman Chemical HTF GmbH)</w:t>
      </w:r>
    </w:p>
    <w:p w14:paraId="752B562E" w14:textId="77777777" w:rsidR="00D915ED" w:rsidRDefault="00D915ED" w:rsidP="00D915ED">
      <w:pPr>
        <w:spacing w:after="120" w:line="360" w:lineRule="auto"/>
        <w:rPr>
          <w:rFonts w:cs="Arial"/>
        </w:rPr>
      </w:pPr>
      <w:bookmarkStart w:id="36" w:name="_Hlk20821228"/>
      <w:r w:rsidRPr="00D915ED">
        <w:rPr>
          <w:rFonts w:cs="Arial"/>
          <w:b/>
        </w:rPr>
        <w:t>6-(1-phenylethyl)-1,2,3,4-tetrahydronaphthalene</w:t>
      </w:r>
      <w:bookmarkEnd w:id="36"/>
      <w:r>
        <w:rPr>
          <w:rFonts w:cs="Arial"/>
        </w:rPr>
        <w:t xml:space="preserve">: </w:t>
      </w:r>
    </w:p>
    <w:p w14:paraId="39B96A99" w14:textId="3098E8E5" w:rsidR="00AC0E4E" w:rsidRPr="00D915ED" w:rsidRDefault="00D915ED" w:rsidP="00D915ED">
      <w:pPr>
        <w:spacing w:after="120" w:line="360" w:lineRule="auto"/>
        <w:rPr>
          <w:rFonts w:cs="Arial"/>
        </w:rPr>
      </w:pPr>
      <w:r w:rsidRPr="00D915ED">
        <w:rPr>
          <w:rFonts w:ascii="Verdana" w:hAnsi="Verdana"/>
          <w:sz w:val="20"/>
          <w:szCs w:val="20"/>
        </w:rPr>
        <w:t>1 registrant (DOW BENELUX B.V)</w:t>
      </w:r>
    </w:p>
    <w:p w14:paraId="39B96A9A" w14:textId="795117E2" w:rsidR="00336750" w:rsidRDefault="00336750" w:rsidP="00336750">
      <w:pPr>
        <w:pStyle w:val="Otsikko2"/>
        <w:tabs>
          <w:tab w:val="clear" w:pos="839"/>
          <w:tab w:val="num" w:pos="540"/>
        </w:tabs>
        <w:spacing w:before="240"/>
        <w:ind w:left="540" w:hanging="540"/>
        <w:rPr>
          <w:szCs w:val="24"/>
        </w:rPr>
      </w:pPr>
      <w:r>
        <w:rPr>
          <w:szCs w:val="24"/>
        </w:rPr>
        <w:t>Tonnage and registration status</w:t>
      </w:r>
      <w:bookmarkEnd w:id="35"/>
    </w:p>
    <w:p w14:paraId="39B96AB5" w14:textId="4B86CDF7" w:rsidR="00384C3C" w:rsidRPr="00C92F23" w:rsidRDefault="00A23EF3" w:rsidP="00C92F23">
      <w:pPr>
        <w:spacing w:after="0"/>
        <w:rPr>
          <w:rFonts w:ascii="Verdana" w:hAnsi="Verdana" w:cs="Arial"/>
          <w:sz w:val="20"/>
          <w:szCs w:val="20"/>
        </w:rPr>
      </w:pPr>
      <w:r>
        <w:rPr>
          <w:rFonts w:ascii="Verdana" w:hAnsi="Verdana"/>
          <w:b/>
          <w:sz w:val="20"/>
        </w:rPr>
        <w:t>Table</w:t>
      </w:r>
      <w:r w:rsidR="00E669C1">
        <w:rPr>
          <w:rFonts w:ascii="Verdana" w:hAnsi="Verdana"/>
          <w:b/>
          <w:sz w:val="20"/>
        </w:rPr>
        <w:t xml:space="preserve"> 8</w:t>
      </w:r>
      <w:r>
        <w:rPr>
          <w:rFonts w:ascii="Verdana" w:hAnsi="Verdana"/>
          <w:b/>
          <w:sz w:val="20"/>
        </w:rPr>
        <w:t>:</w:t>
      </w:r>
      <w:r w:rsidRPr="00FB095A">
        <w:rPr>
          <w:rFonts w:ascii="Verdana" w:hAnsi="Verdana"/>
          <w:b/>
          <w:sz w:val="20"/>
        </w:rPr>
        <w:t xml:space="preserve"> </w:t>
      </w:r>
      <w:r w:rsidRPr="00C92F23">
        <w:rPr>
          <w:rFonts w:ascii="Verdana" w:hAnsi="Verdana"/>
          <w:b/>
          <w:sz w:val="20"/>
          <w:szCs w:val="20"/>
        </w:rPr>
        <w:t>Tonnage and registration status</w:t>
      </w:r>
      <w:r w:rsidR="00C92F23" w:rsidRPr="00C92F23">
        <w:rPr>
          <w:rFonts w:ascii="Verdana" w:hAnsi="Verdana"/>
          <w:b/>
          <w:sz w:val="20"/>
          <w:szCs w:val="20"/>
        </w:rPr>
        <w:t xml:space="preserve"> of </w:t>
      </w:r>
      <w:r w:rsidR="00C92F23" w:rsidRPr="00C92F23">
        <w:rPr>
          <w:rFonts w:ascii="Verdana" w:hAnsi="Verdana" w:cs="Arial"/>
          <w:b/>
          <w:sz w:val="20"/>
          <w:szCs w:val="20"/>
        </w:rPr>
        <w:t>Di</w:t>
      </w:r>
      <w:bookmarkStart w:id="37" w:name="_Hlk20827406"/>
      <w:r w:rsidR="00C92F23" w:rsidRPr="00C92F23">
        <w:rPr>
          <w:rFonts w:ascii="Verdana" w:hAnsi="Verdana" w:cs="Arial"/>
          <w:b/>
          <w:sz w:val="20"/>
          <w:szCs w:val="20"/>
        </w:rPr>
        <w:t xml:space="preserve">benzylbenzene, </w:t>
      </w:r>
      <w:proofErr w:type="spellStart"/>
      <w:r w:rsidR="00C92F23" w:rsidRPr="00C92F23">
        <w:rPr>
          <w:rFonts w:ascii="Verdana" w:hAnsi="Verdana" w:cs="Arial"/>
          <w:b/>
          <w:sz w:val="20"/>
          <w:szCs w:val="20"/>
        </w:rPr>
        <w:t>ar</w:t>
      </w:r>
      <w:proofErr w:type="spellEnd"/>
      <w:r w:rsidR="00C92F23" w:rsidRPr="00C92F23">
        <w:rPr>
          <w:rFonts w:ascii="Verdana" w:hAnsi="Verdana" w:cs="Arial"/>
          <w:b/>
          <w:sz w:val="20"/>
          <w:szCs w:val="20"/>
        </w:rPr>
        <w:t>-methyl derivative</w:t>
      </w:r>
      <w:bookmarkEnd w:id="37"/>
    </w:p>
    <w:tbl>
      <w:tblPr>
        <w:tblW w:w="8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4825"/>
      </w:tblGrid>
      <w:tr w:rsidR="004D225E" w:rsidRPr="00336750" w14:paraId="39B96AB7" w14:textId="77777777" w:rsidTr="00744765">
        <w:trPr>
          <w:trHeight w:val="375"/>
          <w:jc w:val="center"/>
        </w:trPr>
        <w:tc>
          <w:tcPr>
            <w:tcW w:w="8270" w:type="dxa"/>
            <w:gridSpan w:val="2"/>
            <w:shd w:val="clear" w:color="auto" w:fill="auto"/>
            <w:vAlign w:val="center"/>
          </w:tcPr>
          <w:p w14:paraId="39B96AB6" w14:textId="76CA85C3" w:rsidR="004D225E" w:rsidRPr="00C92F23" w:rsidRDefault="004D225E" w:rsidP="00744765">
            <w:pPr>
              <w:pStyle w:val="Kuvaotsikko"/>
              <w:rPr>
                <w:rFonts w:ascii="Verdana" w:hAnsi="Verdana"/>
                <w:b/>
                <w:sz w:val="20"/>
                <w:lang w:val="en-US"/>
              </w:rPr>
            </w:pPr>
            <w:bookmarkStart w:id="38" w:name="_Toc387770111"/>
            <w:r w:rsidRPr="00973C04">
              <w:rPr>
                <w:rFonts w:ascii="Verdana" w:hAnsi="Verdana"/>
                <w:b/>
                <w:sz w:val="20"/>
              </w:rPr>
              <w:t>From ECHA dissemination site</w:t>
            </w:r>
            <w:r w:rsidR="00C92F23">
              <w:rPr>
                <w:rFonts w:ascii="Verdana" w:hAnsi="Verdana"/>
                <w:b/>
                <w:sz w:val="20"/>
              </w:rPr>
              <w:t xml:space="preserve"> </w:t>
            </w:r>
          </w:p>
        </w:tc>
      </w:tr>
      <w:tr w:rsidR="004D225E" w:rsidRPr="00336750" w14:paraId="39B96ABD" w14:textId="77777777" w:rsidTr="00744765">
        <w:trPr>
          <w:trHeight w:val="1846"/>
          <w:jc w:val="center"/>
        </w:trPr>
        <w:tc>
          <w:tcPr>
            <w:tcW w:w="3445" w:type="dxa"/>
            <w:shd w:val="clear" w:color="auto" w:fill="auto"/>
            <w:vAlign w:val="center"/>
          </w:tcPr>
          <w:p w14:paraId="39B96AB8" w14:textId="77777777" w:rsidR="004D225E" w:rsidRPr="00336750" w:rsidRDefault="004D225E" w:rsidP="00744765">
            <w:pPr>
              <w:pStyle w:val="Kuvaotsikko"/>
              <w:spacing w:before="0"/>
              <w:rPr>
                <w:rFonts w:ascii="Verdana" w:hAnsi="Verdana"/>
                <w:sz w:val="20"/>
              </w:rPr>
            </w:pPr>
            <w:r>
              <w:rPr>
                <w:rFonts w:ascii="Verdana" w:hAnsi="Verdana"/>
                <w:sz w:val="20"/>
              </w:rPr>
              <w:t>Registrations</w:t>
            </w:r>
          </w:p>
        </w:tc>
        <w:tc>
          <w:tcPr>
            <w:tcW w:w="4825" w:type="dxa"/>
            <w:shd w:val="clear" w:color="auto" w:fill="auto"/>
            <w:vAlign w:val="center"/>
          </w:tcPr>
          <w:p w14:paraId="39B96AB9" w14:textId="6FBB9C15" w:rsidR="004D225E" w:rsidRDefault="004953A7" w:rsidP="00744765">
            <w:pPr>
              <w:pStyle w:val="Kuvaotsikko"/>
              <w:spacing w:after="0"/>
              <w:ind w:left="1122"/>
              <w:rPr>
                <w:rFonts w:ascii="Verdana" w:hAnsi="Verdana"/>
                <w:sz w:val="20"/>
              </w:rPr>
            </w:pPr>
            <w:sdt>
              <w:sdtPr>
                <w:rPr>
                  <w:rFonts w:ascii="Verdana" w:hAnsi="Verdana"/>
                  <w:szCs w:val="24"/>
                </w:rPr>
                <w:id w:val="-680281471"/>
                <w14:checkbox>
                  <w14:checked w14:val="1"/>
                  <w14:checkedState w14:val="2612" w14:font="MS Gothic"/>
                  <w14:uncheckedState w14:val="2610" w14:font="MS Gothic"/>
                </w14:checkbox>
              </w:sdtPr>
              <w:sdtEndPr/>
              <w:sdtContent>
                <w:r w:rsidR="006B3B5A">
                  <w:rPr>
                    <w:rFonts w:ascii="MS Gothic" w:eastAsia="MS Gothic" w:hAnsi="MS Gothic" w:hint="eastAsia"/>
                    <w:szCs w:val="24"/>
                  </w:rPr>
                  <w:t>☒</w:t>
                </w:r>
              </w:sdtContent>
            </w:sdt>
            <w:r w:rsidR="004D225E" w:rsidRPr="00336750">
              <w:rPr>
                <w:rFonts w:ascii="Verdana" w:hAnsi="Verdana"/>
                <w:sz w:val="20"/>
              </w:rPr>
              <w:t xml:space="preserve"> Full registration(s)</w:t>
            </w:r>
          </w:p>
          <w:p w14:paraId="39B96ABA" w14:textId="77777777" w:rsidR="004D225E" w:rsidRPr="00336750" w:rsidRDefault="004D225E" w:rsidP="00744765">
            <w:pPr>
              <w:pStyle w:val="Kuvaotsikko"/>
              <w:spacing w:before="0"/>
              <w:ind w:left="1524"/>
              <w:rPr>
                <w:rFonts w:ascii="Verdana" w:hAnsi="Verdana"/>
                <w:sz w:val="20"/>
              </w:rPr>
            </w:pPr>
            <w:r>
              <w:rPr>
                <w:rFonts w:ascii="Verdana" w:hAnsi="Verdana"/>
                <w:sz w:val="20"/>
              </w:rPr>
              <w:t>(Art. 10)</w:t>
            </w:r>
          </w:p>
          <w:p w14:paraId="39B96ABB" w14:textId="77777777" w:rsidR="004D225E" w:rsidRDefault="004953A7" w:rsidP="00744765">
            <w:pPr>
              <w:pStyle w:val="Kuvaotsikko"/>
              <w:spacing w:after="0"/>
              <w:ind w:left="1122"/>
              <w:rPr>
                <w:rFonts w:ascii="Verdana" w:hAnsi="Verdana"/>
                <w:sz w:val="20"/>
              </w:rPr>
            </w:pPr>
            <w:sdt>
              <w:sdtPr>
                <w:rPr>
                  <w:rFonts w:ascii="Verdana" w:hAnsi="Verdana"/>
                  <w:szCs w:val="24"/>
                </w:rPr>
                <w:id w:val="-2012682110"/>
                <w14:checkbox>
                  <w14:checked w14:val="0"/>
                  <w14:checkedState w14:val="2612" w14:font="MS Gothic"/>
                  <w14:uncheckedState w14:val="2610" w14:font="MS Gothic"/>
                </w14:checkbox>
              </w:sdtPr>
              <w:sdtEndPr/>
              <w:sdtContent>
                <w:r w:rsidR="004D225E">
                  <w:rPr>
                    <w:rFonts w:ascii="MS Gothic" w:eastAsia="MS Gothic" w:hAnsi="MS Gothic" w:hint="eastAsia"/>
                    <w:szCs w:val="24"/>
                  </w:rPr>
                  <w:t>☐</w:t>
                </w:r>
              </w:sdtContent>
            </w:sdt>
            <w:r w:rsidR="004D225E" w:rsidRPr="00336750">
              <w:rPr>
                <w:rFonts w:ascii="Verdana" w:hAnsi="Verdana"/>
                <w:sz w:val="20"/>
              </w:rPr>
              <w:t xml:space="preserve"> </w:t>
            </w:r>
            <w:r w:rsidR="004D225E">
              <w:rPr>
                <w:rFonts w:ascii="Verdana" w:hAnsi="Verdana"/>
                <w:sz w:val="20"/>
              </w:rPr>
              <w:t>Intermediate</w:t>
            </w:r>
            <w:r w:rsidR="004D225E" w:rsidRPr="00336750">
              <w:rPr>
                <w:rFonts w:ascii="Verdana" w:hAnsi="Verdana"/>
                <w:sz w:val="20"/>
              </w:rPr>
              <w:t xml:space="preserve"> registration(s)</w:t>
            </w:r>
          </w:p>
          <w:p w14:paraId="39B96ABC" w14:textId="77777777" w:rsidR="004D225E" w:rsidRPr="00336750" w:rsidRDefault="004D225E" w:rsidP="004D225E">
            <w:pPr>
              <w:pStyle w:val="Kuvaotsikko"/>
              <w:spacing w:after="0"/>
              <w:ind w:left="1529"/>
              <w:rPr>
                <w:rFonts w:ascii="Verdana" w:hAnsi="Verdana"/>
                <w:sz w:val="20"/>
              </w:rPr>
            </w:pPr>
            <w:r>
              <w:rPr>
                <w:rFonts w:ascii="Verdana" w:hAnsi="Verdana"/>
                <w:sz w:val="20"/>
              </w:rPr>
              <w:t>(Art. 17 and/or 18)</w:t>
            </w:r>
          </w:p>
        </w:tc>
      </w:tr>
      <w:tr w:rsidR="004D225E" w:rsidRPr="00336750" w14:paraId="39B96AC3" w14:textId="77777777" w:rsidTr="00744765">
        <w:trPr>
          <w:trHeight w:val="375"/>
          <w:jc w:val="center"/>
        </w:trPr>
        <w:tc>
          <w:tcPr>
            <w:tcW w:w="3445" w:type="dxa"/>
            <w:tcBorders>
              <w:bottom w:val="single" w:sz="4" w:space="0" w:color="auto"/>
            </w:tcBorders>
            <w:shd w:val="clear" w:color="auto" w:fill="auto"/>
            <w:vAlign w:val="center"/>
          </w:tcPr>
          <w:p w14:paraId="39B96ABE" w14:textId="77777777" w:rsidR="004D225E" w:rsidRDefault="004D225E" w:rsidP="00744765">
            <w:pPr>
              <w:pStyle w:val="Kuvaotsikko"/>
              <w:spacing w:after="0"/>
              <w:rPr>
                <w:rFonts w:ascii="Verdana" w:hAnsi="Verdana"/>
                <w:sz w:val="20"/>
              </w:rPr>
            </w:pPr>
            <w:r w:rsidRPr="00336750">
              <w:rPr>
                <w:rFonts w:ascii="Verdana" w:hAnsi="Verdana"/>
                <w:sz w:val="20"/>
              </w:rPr>
              <w:t>T</w:t>
            </w:r>
            <w:r>
              <w:rPr>
                <w:rFonts w:ascii="Verdana" w:hAnsi="Verdana"/>
                <w:sz w:val="20"/>
              </w:rPr>
              <w:t>otal t</w:t>
            </w:r>
            <w:r w:rsidRPr="00336750">
              <w:rPr>
                <w:rFonts w:ascii="Verdana" w:hAnsi="Verdana"/>
                <w:sz w:val="20"/>
              </w:rPr>
              <w:t>onnage band</w:t>
            </w:r>
            <w:r>
              <w:rPr>
                <w:rFonts w:ascii="Verdana" w:hAnsi="Verdana"/>
                <w:sz w:val="20"/>
              </w:rPr>
              <w:t xml:space="preserve"> for substance (excluding volume registered under Art 17 or Art 18, or directly exported) </w:t>
            </w:r>
          </w:p>
          <w:p w14:paraId="39B96ABF" w14:textId="77777777" w:rsidR="004D225E" w:rsidRDefault="004D225E" w:rsidP="00744765">
            <w:pPr>
              <w:pStyle w:val="Kuvaotsikko"/>
              <w:spacing w:after="0"/>
              <w:rPr>
                <w:rFonts w:ascii="Verdana" w:hAnsi="Verdana"/>
                <w:szCs w:val="24"/>
              </w:rPr>
            </w:pPr>
          </w:p>
        </w:tc>
        <w:tc>
          <w:tcPr>
            <w:tcW w:w="4825" w:type="dxa"/>
            <w:tcBorders>
              <w:bottom w:val="single" w:sz="4" w:space="0" w:color="auto"/>
            </w:tcBorders>
            <w:shd w:val="clear" w:color="auto" w:fill="auto"/>
            <w:vAlign w:val="center"/>
          </w:tcPr>
          <w:p w14:paraId="39B96AC0" w14:textId="77777777" w:rsidR="004D225E" w:rsidRDefault="004D225E" w:rsidP="00744765">
            <w:pPr>
              <w:pStyle w:val="Kuvaotsikko"/>
              <w:rPr>
                <w:rFonts w:ascii="Verdana" w:hAnsi="Verdana"/>
                <w:sz w:val="20"/>
              </w:rPr>
            </w:pPr>
          </w:p>
          <w:p w14:paraId="39B96AC1" w14:textId="0B5FB9B5" w:rsidR="004D225E" w:rsidRDefault="004953A7" w:rsidP="00744765">
            <w:pPr>
              <w:pStyle w:val="Leipteksti"/>
              <w:jc w:val="center"/>
            </w:pPr>
            <w:sdt>
              <w:sdtPr>
                <w:rPr>
                  <w:rFonts w:ascii="Verdana" w:hAnsi="Verdana"/>
                  <w:sz w:val="20"/>
                </w:rPr>
                <w:alias w:val="Choose the appropriate option below."/>
                <w:tag w:val="Choose the appropriate option below."/>
                <w:id w:val="-870384082"/>
                <w:dropDownList>
                  <w:listItem w:displayText="Choose the appropriate option from this dropdown menu." w:value="Choose the appropriate option from this dropdown menu."/>
                  <w:listItem w:displayText="1-10 tpa" w:value="1-10 tpa"/>
                  <w:listItem w:displayText="10-100 tpa" w:value="10-100 tpa"/>
                  <w:listItem w:displayText="100-1,000 tpa" w:value="100-1,000 tpa"/>
                  <w:listItem w:displayText="1,000-10,000 tpa" w:value="1,000-10,000 tpa"/>
                  <w:listItem w:displayText="10,000-100,000 tpa" w:value="10,000-100,000 tpa"/>
                  <w:listItem w:displayText="100,000-1,000,000 tpa" w:value="100,000-1,000,000 tpa"/>
                  <w:listItem w:displayText="1,000,000-10,000,000 tpa" w:value="1,000,000-10,000,000 tpa"/>
                  <w:listItem w:displayText="10,000,000-100,000,000 tpa" w:value="10,000,000-100,000,000 tpa"/>
                  <w:listItem w:displayText="&gt; 100,000,000 tpa" w:value="&gt; 100,000,000 tpa"/>
                  <w:listItem w:displayText="&lt;1 . . . . . . . . . . . . &gt;+ tpa  (e.g. 10+ ; 100+ ; 10,000+  tpa)" w:value="&lt;1 . . . . . . . . . . . . &gt;+ tpa  (e.g. 10+ ; 100+ ; 10,000+  tpa)"/>
                  <w:listItem w:displayText="Confidential" w:value="Confidential"/>
                </w:dropDownList>
              </w:sdtPr>
              <w:sdtEndPr/>
              <w:sdtContent>
                <w:r w:rsidR="006B3B5A">
                  <w:rPr>
                    <w:rFonts w:ascii="Verdana" w:hAnsi="Verdana"/>
                    <w:sz w:val="20"/>
                  </w:rPr>
                  <w:t>1,000-10,000 tpa</w:t>
                </w:r>
              </w:sdtContent>
            </w:sdt>
          </w:p>
          <w:p w14:paraId="39B96AC2" w14:textId="77777777" w:rsidR="004D225E" w:rsidRDefault="004D225E" w:rsidP="00744765">
            <w:pPr>
              <w:pStyle w:val="Kuvaotsikko"/>
              <w:spacing w:after="0"/>
              <w:rPr>
                <w:rFonts w:ascii="Verdana" w:hAnsi="Verdana"/>
                <w:szCs w:val="24"/>
              </w:rPr>
            </w:pPr>
          </w:p>
        </w:tc>
      </w:tr>
    </w:tbl>
    <w:p w14:paraId="5270C1E8" w14:textId="77777777" w:rsidR="005759C0" w:rsidRDefault="005759C0" w:rsidP="00C92F23">
      <w:pPr>
        <w:pStyle w:val="Leipteksti"/>
        <w:rPr>
          <w:rFonts w:ascii="Verdana" w:hAnsi="Verdana"/>
          <w:b/>
          <w:sz w:val="20"/>
        </w:rPr>
      </w:pPr>
    </w:p>
    <w:p w14:paraId="74ADC5E9" w14:textId="13ECAD12" w:rsidR="00C92F23" w:rsidRPr="006A6BF2" w:rsidRDefault="00C92F23" w:rsidP="006A6BF2">
      <w:pPr>
        <w:spacing w:after="0"/>
        <w:rPr>
          <w:rFonts w:ascii="Verdana" w:hAnsi="Verdana" w:cs="Arial"/>
          <w:sz w:val="20"/>
          <w:szCs w:val="20"/>
        </w:rPr>
      </w:pPr>
      <w:r>
        <w:rPr>
          <w:rFonts w:ascii="Verdana" w:hAnsi="Verdana"/>
          <w:b/>
          <w:sz w:val="20"/>
        </w:rPr>
        <w:t>Table</w:t>
      </w:r>
      <w:r w:rsidR="00E669C1">
        <w:rPr>
          <w:rFonts w:ascii="Verdana" w:hAnsi="Verdana"/>
          <w:b/>
          <w:sz w:val="20"/>
        </w:rPr>
        <w:t xml:space="preserve"> 9</w:t>
      </w:r>
      <w:r>
        <w:rPr>
          <w:rFonts w:ascii="Verdana" w:hAnsi="Verdana"/>
          <w:b/>
          <w:sz w:val="20"/>
        </w:rPr>
        <w:t>:</w:t>
      </w:r>
      <w:r w:rsidRPr="00FB095A">
        <w:rPr>
          <w:rFonts w:ascii="Verdana" w:hAnsi="Verdana"/>
          <w:b/>
          <w:sz w:val="20"/>
        </w:rPr>
        <w:t xml:space="preserve"> Tonnage and registration status</w:t>
      </w:r>
      <w:r>
        <w:rPr>
          <w:rFonts w:ascii="Verdana" w:hAnsi="Verdana"/>
          <w:b/>
          <w:sz w:val="20"/>
        </w:rPr>
        <w:t xml:space="preserve"> of </w:t>
      </w:r>
      <w:r w:rsidRPr="00C92F23">
        <w:rPr>
          <w:rFonts w:ascii="Verdana" w:hAnsi="Verdana" w:cs="Arial"/>
          <w:b/>
          <w:sz w:val="20"/>
          <w:szCs w:val="20"/>
        </w:rPr>
        <w:t>6-(1-phenylethyl)-1,2,3,4-tetrahydronaphthalene</w:t>
      </w:r>
    </w:p>
    <w:tbl>
      <w:tblPr>
        <w:tblW w:w="8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4825"/>
      </w:tblGrid>
      <w:tr w:rsidR="00C92F23" w:rsidRPr="00336750" w14:paraId="7909F2D2" w14:textId="77777777" w:rsidTr="009B2B06">
        <w:trPr>
          <w:trHeight w:val="375"/>
          <w:jc w:val="center"/>
        </w:trPr>
        <w:tc>
          <w:tcPr>
            <w:tcW w:w="8270" w:type="dxa"/>
            <w:gridSpan w:val="2"/>
            <w:shd w:val="clear" w:color="auto" w:fill="auto"/>
            <w:vAlign w:val="center"/>
          </w:tcPr>
          <w:p w14:paraId="498E7421" w14:textId="77777777" w:rsidR="00C92F23" w:rsidRPr="00973C04" w:rsidRDefault="00C92F23" w:rsidP="009B2B06">
            <w:pPr>
              <w:pStyle w:val="Kuvaotsikko"/>
              <w:rPr>
                <w:rFonts w:ascii="Verdana" w:hAnsi="Verdana"/>
                <w:b/>
                <w:sz w:val="20"/>
              </w:rPr>
            </w:pPr>
            <w:r w:rsidRPr="00973C04">
              <w:rPr>
                <w:rFonts w:ascii="Verdana" w:hAnsi="Verdana"/>
                <w:b/>
                <w:sz w:val="20"/>
              </w:rPr>
              <w:t>From ECHA dissemination site</w:t>
            </w:r>
          </w:p>
        </w:tc>
      </w:tr>
      <w:tr w:rsidR="00C92F23" w:rsidRPr="00336750" w14:paraId="358B0F3A" w14:textId="77777777" w:rsidTr="009B2B06">
        <w:trPr>
          <w:trHeight w:val="1846"/>
          <w:jc w:val="center"/>
        </w:trPr>
        <w:tc>
          <w:tcPr>
            <w:tcW w:w="3445" w:type="dxa"/>
            <w:shd w:val="clear" w:color="auto" w:fill="auto"/>
            <w:vAlign w:val="center"/>
          </w:tcPr>
          <w:p w14:paraId="0DB56485" w14:textId="77777777" w:rsidR="00C92F23" w:rsidRPr="00336750" w:rsidRDefault="00C92F23" w:rsidP="009B2B06">
            <w:pPr>
              <w:pStyle w:val="Kuvaotsikko"/>
              <w:spacing w:before="0"/>
              <w:rPr>
                <w:rFonts w:ascii="Verdana" w:hAnsi="Verdana"/>
                <w:sz w:val="20"/>
              </w:rPr>
            </w:pPr>
            <w:r>
              <w:rPr>
                <w:rFonts w:ascii="Verdana" w:hAnsi="Verdana"/>
                <w:sz w:val="20"/>
              </w:rPr>
              <w:t>Registrations</w:t>
            </w:r>
          </w:p>
        </w:tc>
        <w:tc>
          <w:tcPr>
            <w:tcW w:w="4825" w:type="dxa"/>
            <w:shd w:val="clear" w:color="auto" w:fill="auto"/>
            <w:vAlign w:val="center"/>
          </w:tcPr>
          <w:p w14:paraId="02DDEA1B" w14:textId="77777777" w:rsidR="00C92F23" w:rsidRDefault="004953A7" w:rsidP="009B2B06">
            <w:pPr>
              <w:pStyle w:val="Kuvaotsikko"/>
              <w:spacing w:after="0"/>
              <w:ind w:left="1122"/>
              <w:rPr>
                <w:rFonts w:ascii="Verdana" w:hAnsi="Verdana"/>
                <w:sz w:val="20"/>
              </w:rPr>
            </w:pPr>
            <w:sdt>
              <w:sdtPr>
                <w:rPr>
                  <w:rFonts w:ascii="Verdana" w:hAnsi="Verdana"/>
                  <w:szCs w:val="24"/>
                </w:rPr>
                <w:id w:val="807201498"/>
                <w14:checkbox>
                  <w14:checked w14:val="0"/>
                  <w14:checkedState w14:val="2612" w14:font="MS Gothic"/>
                  <w14:uncheckedState w14:val="2610" w14:font="MS Gothic"/>
                </w14:checkbox>
              </w:sdtPr>
              <w:sdtEndPr/>
              <w:sdtContent>
                <w:r w:rsidR="00C92F23">
                  <w:rPr>
                    <w:rFonts w:ascii="MS Gothic" w:eastAsia="MS Gothic" w:hAnsi="MS Gothic" w:hint="eastAsia"/>
                    <w:szCs w:val="24"/>
                  </w:rPr>
                  <w:t>☐</w:t>
                </w:r>
              </w:sdtContent>
            </w:sdt>
            <w:r w:rsidR="00C92F23" w:rsidRPr="00336750">
              <w:rPr>
                <w:rFonts w:ascii="Verdana" w:hAnsi="Verdana"/>
                <w:sz w:val="20"/>
              </w:rPr>
              <w:t xml:space="preserve"> Full registration(s)</w:t>
            </w:r>
          </w:p>
          <w:p w14:paraId="166AD298" w14:textId="77777777" w:rsidR="00C92F23" w:rsidRPr="00336750" w:rsidRDefault="00C92F23" w:rsidP="009B2B06">
            <w:pPr>
              <w:pStyle w:val="Kuvaotsikko"/>
              <w:spacing w:before="0"/>
              <w:ind w:left="1524"/>
              <w:rPr>
                <w:rFonts w:ascii="Verdana" w:hAnsi="Verdana"/>
                <w:sz w:val="20"/>
              </w:rPr>
            </w:pPr>
            <w:r>
              <w:rPr>
                <w:rFonts w:ascii="Verdana" w:hAnsi="Verdana"/>
                <w:sz w:val="20"/>
              </w:rPr>
              <w:t>(Art. 10)</w:t>
            </w:r>
          </w:p>
          <w:p w14:paraId="1B1DE152" w14:textId="77777777" w:rsidR="00C92F23" w:rsidRDefault="004953A7" w:rsidP="009B2B06">
            <w:pPr>
              <w:pStyle w:val="Kuvaotsikko"/>
              <w:spacing w:after="0"/>
              <w:ind w:left="1122"/>
              <w:rPr>
                <w:rFonts w:ascii="Verdana" w:hAnsi="Verdana"/>
                <w:sz w:val="20"/>
              </w:rPr>
            </w:pPr>
            <w:sdt>
              <w:sdtPr>
                <w:rPr>
                  <w:rFonts w:ascii="Verdana" w:hAnsi="Verdana"/>
                  <w:szCs w:val="24"/>
                </w:rPr>
                <w:id w:val="376742732"/>
                <w14:checkbox>
                  <w14:checked w14:val="0"/>
                  <w14:checkedState w14:val="2612" w14:font="MS Gothic"/>
                  <w14:uncheckedState w14:val="2610" w14:font="MS Gothic"/>
                </w14:checkbox>
              </w:sdtPr>
              <w:sdtEndPr/>
              <w:sdtContent>
                <w:r w:rsidR="00C92F23">
                  <w:rPr>
                    <w:rFonts w:ascii="MS Gothic" w:eastAsia="MS Gothic" w:hAnsi="MS Gothic" w:hint="eastAsia"/>
                    <w:szCs w:val="24"/>
                  </w:rPr>
                  <w:t>☐</w:t>
                </w:r>
              </w:sdtContent>
            </w:sdt>
            <w:r w:rsidR="00C92F23" w:rsidRPr="00336750">
              <w:rPr>
                <w:rFonts w:ascii="Verdana" w:hAnsi="Verdana"/>
                <w:sz w:val="20"/>
              </w:rPr>
              <w:t xml:space="preserve"> </w:t>
            </w:r>
            <w:r w:rsidR="00C92F23">
              <w:rPr>
                <w:rFonts w:ascii="Verdana" w:hAnsi="Verdana"/>
                <w:sz w:val="20"/>
              </w:rPr>
              <w:t>Intermediate</w:t>
            </w:r>
            <w:r w:rsidR="00C92F23" w:rsidRPr="00336750">
              <w:rPr>
                <w:rFonts w:ascii="Verdana" w:hAnsi="Verdana"/>
                <w:sz w:val="20"/>
              </w:rPr>
              <w:t xml:space="preserve"> registration(s)</w:t>
            </w:r>
          </w:p>
          <w:p w14:paraId="6459D7EF" w14:textId="77777777" w:rsidR="00C92F23" w:rsidRDefault="00C92F23" w:rsidP="009B2B06">
            <w:pPr>
              <w:pStyle w:val="Kuvaotsikko"/>
              <w:spacing w:after="0"/>
              <w:ind w:left="1529"/>
              <w:rPr>
                <w:rFonts w:ascii="Verdana" w:hAnsi="Verdana"/>
                <w:sz w:val="20"/>
              </w:rPr>
            </w:pPr>
            <w:r>
              <w:rPr>
                <w:rFonts w:ascii="Verdana" w:hAnsi="Verdana"/>
                <w:sz w:val="20"/>
              </w:rPr>
              <w:t>(Art. 17 and/or 18)</w:t>
            </w:r>
          </w:p>
          <w:p w14:paraId="65BDE129" w14:textId="77777777" w:rsidR="00C92F23" w:rsidRDefault="004953A7" w:rsidP="009B2B06">
            <w:pPr>
              <w:pStyle w:val="Leipteksti"/>
              <w:spacing w:before="120" w:after="0"/>
              <w:ind w:left="1108"/>
              <w:jc w:val="left"/>
              <w:rPr>
                <w:rFonts w:ascii="Verdana" w:hAnsi="Verdana"/>
                <w:sz w:val="20"/>
                <w:lang w:val="fr-FR"/>
              </w:rPr>
            </w:pPr>
            <w:sdt>
              <w:sdtPr>
                <w:rPr>
                  <w:rFonts w:ascii="Verdana" w:hAnsi="Verdana"/>
                  <w:szCs w:val="24"/>
                  <w:lang w:val="fr-BE"/>
                </w:rPr>
                <w:id w:val="-1741395307"/>
                <w14:checkbox>
                  <w14:checked w14:val="1"/>
                  <w14:checkedState w14:val="2612" w14:font="MS Gothic"/>
                  <w14:uncheckedState w14:val="2610" w14:font="MS Gothic"/>
                </w14:checkbox>
              </w:sdtPr>
              <w:sdtEndPr/>
              <w:sdtContent>
                <w:r w:rsidR="00C92F23">
                  <w:rPr>
                    <w:rFonts w:ascii="MS Gothic" w:eastAsia="MS Gothic" w:hAnsi="MS Gothic" w:hint="eastAsia"/>
                    <w:szCs w:val="24"/>
                    <w:lang w:val="fr-BE"/>
                  </w:rPr>
                  <w:t>☒</w:t>
                </w:r>
              </w:sdtContent>
            </w:sdt>
            <w:r w:rsidR="00C92F23" w:rsidRPr="0048058C">
              <w:rPr>
                <w:rFonts w:ascii="Verdana" w:hAnsi="Verdana"/>
                <w:sz w:val="20"/>
                <w:lang w:val="fr-BE"/>
              </w:rPr>
              <w:t xml:space="preserve"> </w:t>
            </w:r>
            <w:r w:rsidR="00C92F23">
              <w:rPr>
                <w:rFonts w:ascii="Verdana" w:hAnsi="Verdana"/>
                <w:sz w:val="20"/>
                <w:lang w:val="fr-FR"/>
              </w:rPr>
              <w:t>NONS</w:t>
            </w:r>
          </w:p>
          <w:p w14:paraId="4073CCF8" w14:textId="77777777" w:rsidR="00C92F23" w:rsidRPr="00591535" w:rsidRDefault="00C92F23" w:rsidP="009B2B06">
            <w:pPr>
              <w:pStyle w:val="Leipteksti"/>
              <w:ind w:left="1675" w:hanging="283"/>
            </w:pPr>
            <w:r>
              <w:rPr>
                <w:rFonts w:ascii="Verdana" w:hAnsi="Verdana"/>
                <w:sz w:val="20"/>
                <w:lang w:val="fr-FR"/>
              </w:rPr>
              <w:t xml:space="preserve"> (Directive</w:t>
            </w:r>
            <w:r w:rsidRPr="006C0A2C">
              <w:rPr>
                <w:rFonts w:ascii="Verdana" w:hAnsi="Verdana"/>
                <w:sz w:val="20"/>
                <w:lang w:val="fr-FR"/>
              </w:rPr>
              <w:t xml:space="preserve"> 67/548/EEC)</w:t>
            </w:r>
          </w:p>
        </w:tc>
      </w:tr>
      <w:tr w:rsidR="00C92F23" w:rsidRPr="00336750" w14:paraId="4472F424" w14:textId="77777777" w:rsidTr="009B2B06">
        <w:trPr>
          <w:trHeight w:val="375"/>
          <w:jc w:val="center"/>
        </w:trPr>
        <w:tc>
          <w:tcPr>
            <w:tcW w:w="3445" w:type="dxa"/>
            <w:tcBorders>
              <w:bottom w:val="single" w:sz="4" w:space="0" w:color="auto"/>
            </w:tcBorders>
            <w:shd w:val="clear" w:color="auto" w:fill="auto"/>
            <w:vAlign w:val="center"/>
          </w:tcPr>
          <w:p w14:paraId="32D3E256" w14:textId="77777777" w:rsidR="00C92F23" w:rsidRDefault="00C92F23" w:rsidP="009B2B06">
            <w:pPr>
              <w:pStyle w:val="Kuvaotsikko"/>
              <w:spacing w:after="0"/>
              <w:rPr>
                <w:rFonts w:ascii="Verdana" w:hAnsi="Verdana"/>
                <w:sz w:val="20"/>
              </w:rPr>
            </w:pPr>
            <w:r w:rsidRPr="00336750">
              <w:rPr>
                <w:rFonts w:ascii="Verdana" w:hAnsi="Verdana"/>
                <w:sz w:val="20"/>
              </w:rPr>
              <w:t>T</w:t>
            </w:r>
            <w:r>
              <w:rPr>
                <w:rFonts w:ascii="Verdana" w:hAnsi="Verdana"/>
                <w:sz w:val="20"/>
              </w:rPr>
              <w:t>otal t</w:t>
            </w:r>
            <w:r w:rsidRPr="00336750">
              <w:rPr>
                <w:rFonts w:ascii="Verdana" w:hAnsi="Verdana"/>
                <w:sz w:val="20"/>
              </w:rPr>
              <w:t>onnage band</w:t>
            </w:r>
            <w:r>
              <w:rPr>
                <w:rFonts w:ascii="Verdana" w:hAnsi="Verdana"/>
                <w:sz w:val="20"/>
              </w:rPr>
              <w:t xml:space="preserve"> for substance (excluding volume registered under Art 17 or Art 18, or directly exported) </w:t>
            </w:r>
          </w:p>
          <w:p w14:paraId="059ED4EA" w14:textId="77777777" w:rsidR="00C92F23" w:rsidRDefault="00C92F23" w:rsidP="009B2B06">
            <w:pPr>
              <w:pStyle w:val="Kuvaotsikko"/>
              <w:spacing w:after="0"/>
              <w:rPr>
                <w:rFonts w:ascii="Verdana" w:hAnsi="Verdana"/>
                <w:szCs w:val="24"/>
              </w:rPr>
            </w:pPr>
          </w:p>
        </w:tc>
        <w:tc>
          <w:tcPr>
            <w:tcW w:w="4825" w:type="dxa"/>
            <w:tcBorders>
              <w:bottom w:val="single" w:sz="4" w:space="0" w:color="auto"/>
            </w:tcBorders>
            <w:shd w:val="clear" w:color="auto" w:fill="auto"/>
            <w:vAlign w:val="center"/>
          </w:tcPr>
          <w:p w14:paraId="395AB60D" w14:textId="77777777" w:rsidR="00C92F23" w:rsidRDefault="00C92F23" w:rsidP="009B2B06">
            <w:pPr>
              <w:pStyle w:val="Kuvaotsikko"/>
              <w:rPr>
                <w:rFonts w:ascii="Verdana" w:hAnsi="Verdana"/>
                <w:sz w:val="20"/>
              </w:rPr>
            </w:pPr>
          </w:p>
          <w:p w14:paraId="6806EE88" w14:textId="77777777" w:rsidR="00C92F23" w:rsidRDefault="004953A7" w:rsidP="009B2B06">
            <w:pPr>
              <w:pStyle w:val="Leipteksti"/>
              <w:jc w:val="center"/>
            </w:pPr>
            <w:sdt>
              <w:sdtPr>
                <w:rPr>
                  <w:rFonts w:ascii="Verdana" w:hAnsi="Verdana"/>
                  <w:sz w:val="20"/>
                </w:rPr>
                <w:alias w:val="Choose the appropriate option below."/>
                <w:tag w:val="Choose the appropriate option below."/>
                <w:id w:val="174699771"/>
                <w:dropDownList>
                  <w:listItem w:displayText="Choose the appropriate option from this dropdown menu." w:value="Choose the appropriate option from this dropdown menu."/>
                  <w:listItem w:displayText="1-10 tpa" w:value="1-10 tpa"/>
                  <w:listItem w:displayText="10-100 tpa" w:value="10-100 tpa"/>
                  <w:listItem w:displayText="100-1,000 tpa" w:value="100-1,000 tpa"/>
                  <w:listItem w:displayText="1,000-10,000 tpa" w:value="1,000-10,000 tpa"/>
                  <w:listItem w:displayText="10,000-100,000 tpa" w:value="10,000-100,000 tpa"/>
                  <w:listItem w:displayText="100,000-1,000,000 tpa" w:value="100,000-1,000,000 tpa"/>
                  <w:listItem w:displayText="1,000,000-10,000,000 tpa" w:value="1,000,000-10,000,000 tpa"/>
                  <w:listItem w:displayText="10,000,000-100,000,000 tpa" w:value="10,000,000-100,000,000 tpa"/>
                  <w:listItem w:displayText="&gt; 100,000,000 tpa" w:value="&gt; 100,000,000 tpa"/>
                  <w:listItem w:displayText="&lt;1 . . . . . . . . . . . . &gt;+ tpa  (e.g. 10+ ; 100+ ; 10,000+  tpa)" w:value="&lt;1 . . . . . . . . . . . . &gt;+ tpa  (e.g. 10+ ; 100+ ; 10,000+  tpa)"/>
                  <w:listItem w:displayText="Confidential" w:value="Confidential"/>
                </w:dropDownList>
              </w:sdtPr>
              <w:sdtEndPr/>
              <w:sdtContent>
                <w:r w:rsidR="00C92F23">
                  <w:rPr>
                    <w:rFonts w:ascii="Verdana" w:hAnsi="Verdana"/>
                    <w:sz w:val="20"/>
                  </w:rPr>
                  <w:t>Confidential</w:t>
                </w:r>
              </w:sdtContent>
            </w:sdt>
          </w:p>
          <w:p w14:paraId="6CF9C121" w14:textId="77777777" w:rsidR="00C92F23" w:rsidRDefault="00C92F23" w:rsidP="009B2B06">
            <w:pPr>
              <w:pStyle w:val="Kuvaotsikko"/>
              <w:spacing w:after="0"/>
              <w:rPr>
                <w:rFonts w:ascii="Verdana" w:hAnsi="Verdana"/>
                <w:szCs w:val="24"/>
              </w:rPr>
            </w:pPr>
          </w:p>
        </w:tc>
      </w:tr>
    </w:tbl>
    <w:p w14:paraId="39B96AC4" w14:textId="77777777" w:rsidR="00A23EF3" w:rsidRDefault="00A23EF3">
      <w:pPr>
        <w:spacing w:after="0"/>
        <w:rPr>
          <w:rFonts w:ascii="Verdana" w:hAnsi="Verdana"/>
          <w:b/>
          <w:lang w:val="en-GB"/>
        </w:rPr>
      </w:pPr>
      <w:r>
        <w:br w:type="page"/>
      </w:r>
    </w:p>
    <w:p w14:paraId="39B96AC5" w14:textId="77777777" w:rsidR="00336750" w:rsidRPr="00336750" w:rsidRDefault="00336750" w:rsidP="00336750">
      <w:pPr>
        <w:pStyle w:val="Otsikko2"/>
        <w:tabs>
          <w:tab w:val="clear" w:pos="839"/>
          <w:tab w:val="num" w:pos="540"/>
        </w:tabs>
        <w:spacing w:before="240"/>
        <w:ind w:left="540" w:hanging="540"/>
        <w:rPr>
          <w:szCs w:val="24"/>
        </w:rPr>
      </w:pPr>
      <w:r>
        <w:rPr>
          <w:szCs w:val="24"/>
        </w:rPr>
        <w:lastRenderedPageBreak/>
        <w:t xml:space="preserve">Overview of uses </w:t>
      </w:r>
      <w:bookmarkEnd w:id="38"/>
    </w:p>
    <w:p w14:paraId="6C075C71" w14:textId="77777777" w:rsidR="00C92F23" w:rsidRDefault="00C92F23" w:rsidP="00C92F23">
      <w:pPr>
        <w:spacing w:after="0"/>
        <w:rPr>
          <w:rFonts w:ascii="Verdana" w:hAnsi="Verdana"/>
          <w:sz w:val="20"/>
          <w:szCs w:val="20"/>
        </w:rPr>
      </w:pPr>
    </w:p>
    <w:p w14:paraId="2231887D" w14:textId="3F864553" w:rsidR="00C92F23" w:rsidRPr="00C00B53" w:rsidRDefault="00C92F23" w:rsidP="00C92F23">
      <w:pPr>
        <w:spacing w:after="0"/>
        <w:jc w:val="both"/>
        <w:rPr>
          <w:rFonts w:ascii="Verdana" w:hAnsi="Verdana" w:cs="Arial"/>
          <w:sz w:val="20"/>
          <w:szCs w:val="20"/>
        </w:rPr>
      </w:pPr>
      <w:r w:rsidRPr="00C92F23">
        <w:rPr>
          <w:rFonts w:ascii="Verdana" w:hAnsi="Verdana"/>
          <w:sz w:val="20"/>
          <w:szCs w:val="20"/>
        </w:rPr>
        <w:t xml:space="preserve">Overview </w:t>
      </w:r>
      <w:r>
        <w:rPr>
          <w:rFonts w:ascii="Verdana" w:hAnsi="Verdana"/>
          <w:sz w:val="20"/>
        </w:rPr>
        <w:t xml:space="preserve">of registered uses of </w:t>
      </w:r>
      <w:r w:rsidRPr="00C92F23">
        <w:rPr>
          <w:rFonts w:ascii="Verdana" w:hAnsi="Verdana" w:cs="Arial"/>
          <w:sz w:val="20"/>
          <w:szCs w:val="20"/>
        </w:rPr>
        <w:t xml:space="preserve">Dibenzylbenzene, </w:t>
      </w:r>
      <w:proofErr w:type="spellStart"/>
      <w:r w:rsidRPr="00C92F23">
        <w:rPr>
          <w:rFonts w:ascii="Verdana" w:hAnsi="Verdana" w:cs="Arial"/>
          <w:sz w:val="20"/>
          <w:szCs w:val="20"/>
        </w:rPr>
        <w:t>ar</w:t>
      </w:r>
      <w:proofErr w:type="spellEnd"/>
      <w:r w:rsidRPr="00C92F23">
        <w:rPr>
          <w:rFonts w:ascii="Verdana" w:hAnsi="Verdana" w:cs="Arial"/>
          <w:sz w:val="20"/>
          <w:szCs w:val="20"/>
        </w:rPr>
        <w:t>-methyl derivative</w:t>
      </w:r>
      <w:r>
        <w:rPr>
          <w:rFonts w:ascii="Verdana" w:hAnsi="Verdana" w:cs="Arial"/>
          <w:sz w:val="20"/>
          <w:szCs w:val="20"/>
        </w:rPr>
        <w:t xml:space="preserve"> from the substance factsheet in the ECHA website </w:t>
      </w:r>
      <w:r w:rsidR="006A6BF2">
        <w:rPr>
          <w:rFonts w:ascii="Verdana" w:hAnsi="Verdana" w:cs="Arial"/>
          <w:sz w:val="20"/>
          <w:szCs w:val="20"/>
        </w:rPr>
        <w:t>are</w:t>
      </w:r>
      <w:r>
        <w:rPr>
          <w:rFonts w:ascii="Verdana" w:hAnsi="Verdana" w:cs="Arial"/>
          <w:sz w:val="20"/>
          <w:szCs w:val="20"/>
        </w:rPr>
        <w:t xml:space="preserve"> presented below. </w:t>
      </w:r>
      <w:r w:rsidRPr="00DF5684">
        <w:rPr>
          <w:rFonts w:ascii="Verdana" w:hAnsi="Verdana"/>
          <w:sz w:val="20"/>
        </w:rPr>
        <w:t xml:space="preserve">There is no publicly available information of the REACH registered uses of the </w:t>
      </w:r>
      <w:r>
        <w:rPr>
          <w:rFonts w:ascii="Verdana" w:hAnsi="Verdana"/>
          <w:sz w:val="20"/>
        </w:rPr>
        <w:t xml:space="preserve">NONS registered </w:t>
      </w:r>
      <w:r w:rsidRPr="00DF5684">
        <w:rPr>
          <w:rFonts w:ascii="Verdana" w:hAnsi="Verdana"/>
          <w:sz w:val="20"/>
        </w:rPr>
        <w:t>substance</w:t>
      </w:r>
      <w:r>
        <w:rPr>
          <w:rFonts w:ascii="Verdana" w:hAnsi="Verdana"/>
          <w:sz w:val="20"/>
        </w:rPr>
        <w:t xml:space="preserve"> </w:t>
      </w:r>
      <w:r w:rsidRPr="00C92F23">
        <w:rPr>
          <w:rFonts w:ascii="Verdana" w:hAnsi="Verdana"/>
          <w:sz w:val="20"/>
        </w:rPr>
        <w:t>6-(1-phenylethyl)-1,2,3,4-tetrahydronaphthalene</w:t>
      </w:r>
      <w:r>
        <w:rPr>
          <w:rFonts w:ascii="Verdana" w:hAnsi="Verdana"/>
          <w:i/>
          <w:sz w:val="20"/>
        </w:rPr>
        <w:t xml:space="preserve">. </w:t>
      </w:r>
      <w:r>
        <w:rPr>
          <w:rFonts w:ascii="Verdana" w:hAnsi="Verdana"/>
          <w:sz w:val="20"/>
        </w:rPr>
        <w:t>This substance has been registered under the tradename DOWTHERM RP Heat Transfer Fluid. DOWTHERM RP Heat transfer fluid is used as industrial closed system heat transfer fluid.</w:t>
      </w:r>
      <w:r w:rsidR="00926286">
        <w:rPr>
          <w:rFonts w:ascii="Verdana" w:hAnsi="Verdana"/>
          <w:sz w:val="20"/>
        </w:rPr>
        <w:t xml:space="preserve"> </w:t>
      </w:r>
      <w:bookmarkStart w:id="39" w:name="_Hlk30766048"/>
      <w:r w:rsidR="00926286">
        <w:rPr>
          <w:rFonts w:ascii="Verdana" w:hAnsi="Verdana"/>
          <w:sz w:val="20"/>
        </w:rPr>
        <w:t xml:space="preserve">Also, </w:t>
      </w:r>
      <w:r w:rsidR="00926286">
        <w:rPr>
          <w:rFonts w:ascii="Verdana" w:hAnsi="Verdana"/>
          <w:sz w:val="20"/>
          <w:lang w:val="fr-FR"/>
        </w:rPr>
        <w:t xml:space="preserve">in the ECHA </w:t>
      </w:r>
      <w:proofErr w:type="spellStart"/>
      <w:r w:rsidR="00926286">
        <w:rPr>
          <w:rFonts w:ascii="Verdana" w:hAnsi="Verdana"/>
          <w:sz w:val="20"/>
          <w:lang w:val="fr-FR"/>
        </w:rPr>
        <w:t>infocard</w:t>
      </w:r>
      <w:proofErr w:type="spellEnd"/>
      <w:r w:rsidR="00926286">
        <w:rPr>
          <w:rFonts w:ascii="Verdana" w:hAnsi="Verdana"/>
          <w:sz w:val="20"/>
          <w:lang w:val="fr-FR"/>
        </w:rPr>
        <w:t xml:space="preserve"> of </w:t>
      </w:r>
      <w:r w:rsidR="00926286" w:rsidRPr="00C92F23">
        <w:rPr>
          <w:rFonts w:ascii="Verdana" w:hAnsi="Verdana"/>
          <w:sz w:val="20"/>
        </w:rPr>
        <w:t>6-(1-phenylethyl)-1,2,3,4-tetrahydronaphthalene</w:t>
      </w:r>
      <w:r w:rsidR="00926286">
        <w:rPr>
          <w:rFonts w:ascii="Verdana" w:hAnsi="Verdana"/>
          <w:sz w:val="20"/>
        </w:rPr>
        <w:t xml:space="preserve">, there is a mention </w:t>
      </w:r>
      <w:r w:rsidR="00926286">
        <w:rPr>
          <w:rFonts w:ascii="Verdana" w:hAnsi="Verdana"/>
          <w:sz w:val="20"/>
          <w:lang w:val="fr-FR"/>
        </w:rPr>
        <w:t xml:space="preserve">of </w:t>
      </w:r>
      <w:proofErr w:type="spellStart"/>
      <w:r w:rsidR="00926286">
        <w:rPr>
          <w:rFonts w:ascii="Verdana" w:hAnsi="Verdana"/>
          <w:sz w:val="20"/>
          <w:lang w:val="fr-FR"/>
        </w:rPr>
        <w:t>pre</w:t>
      </w:r>
      <w:proofErr w:type="spellEnd"/>
      <w:r w:rsidR="00926286">
        <w:rPr>
          <w:rFonts w:ascii="Verdana" w:hAnsi="Verdana"/>
          <w:sz w:val="20"/>
          <w:lang w:val="fr-FR"/>
        </w:rPr>
        <w:t xml:space="preserve">-registration as </w:t>
      </w:r>
      <w:proofErr w:type="spellStart"/>
      <w:r w:rsidR="00926286">
        <w:rPr>
          <w:rFonts w:ascii="Verdana" w:hAnsi="Verdana"/>
          <w:sz w:val="20"/>
          <w:lang w:val="fr-FR"/>
        </w:rPr>
        <w:t>plasticizer</w:t>
      </w:r>
      <w:proofErr w:type="spellEnd"/>
      <w:r w:rsidR="00926286">
        <w:rPr>
          <w:rFonts w:ascii="Verdana" w:hAnsi="Verdana"/>
          <w:sz w:val="20"/>
          <w:lang w:val="fr-FR"/>
        </w:rPr>
        <w:t xml:space="preserve"> </w:t>
      </w:r>
      <w:proofErr w:type="spellStart"/>
      <w:r w:rsidR="00926286">
        <w:rPr>
          <w:rFonts w:ascii="Verdana" w:hAnsi="Verdana"/>
          <w:sz w:val="20"/>
          <w:lang w:val="fr-FR"/>
        </w:rPr>
        <w:t>under</w:t>
      </w:r>
      <w:proofErr w:type="spellEnd"/>
      <w:r w:rsidR="00926286">
        <w:rPr>
          <w:rFonts w:ascii="Verdana" w:hAnsi="Verdana"/>
          <w:sz w:val="20"/>
          <w:lang w:val="fr-FR"/>
        </w:rPr>
        <w:t xml:space="preserve"> the </w:t>
      </w:r>
      <w:proofErr w:type="spellStart"/>
      <w:r w:rsidR="000744D5">
        <w:rPr>
          <w:rFonts w:ascii="Verdana" w:hAnsi="Verdana"/>
          <w:sz w:val="20"/>
          <w:lang w:val="fr-FR"/>
        </w:rPr>
        <w:t>trade</w:t>
      </w:r>
      <w:r w:rsidR="00926286">
        <w:rPr>
          <w:rFonts w:ascii="Verdana" w:hAnsi="Verdana"/>
          <w:sz w:val="20"/>
          <w:lang w:val="fr-FR"/>
        </w:rPr>
        <w:t>name</w:t>
      </w:r>
      <w:proofErr w:type="spellEnd"/>
      <w:r w:rsidR="00926286">
        <w:rPr>
          <w:rFonts w:ascii="Verdana" w:hAnsi="Verdana"/>
          <w:sz w:val="20"/>
          <w:lang w:val="fr-FR"/>
        </w:rPr>
        <w:t xml:space="preserve"> </w:t>
      </w:r>
      <w:proofErr w:type="spellStart"/>
      <w:r w:rsidR="00926286">
        <w:rPr>
          <w:rFonts w:ascii="Verdana" w:hAnsi="Verdana"/>
          <w:sz w:val="20"/>
          <w:lang w:val="fr-FR"/>
        </w:rPr>
        <w:t>Actrel</w:t>
      </w:r>
      <w:proofErr w:type="spellEnd"/>
      <w:r w:rsidR="00926286">
        <w:rPr>
          <w:rFonts w:ascii="Verdana" w:hAnsi="Verdana"/>
          <w:sz w:val="20"/>
          <w:lang w:val="fr-FR"/>
        </w:rPr>
        <w:t xml:space="preserve"> 400.</w:t>
      </w:r>
      <w:bookmarkEnd w:id="39"/>
    </w:p>
    <w:p w14:paraId="39B96AC9" w14:textId="0ADA9F91" w:rsidR="00D74ADF" w:rsidRPr="00C92F23" w:rsidRDefault="00D74ADF" w:rsidP="00D74ADF">
      <w:pPr>
        <w:pStyle w:val="Leipteksti"/>
        <w:rPr>
          <w:rFonts w:ascii="Verdana" w:hAnsi="Verdana"/>
          <w:sz w:val="20"/>
          <w:lang w:val="en-US"/>
        </w:rPr>
      </w:pPr>
    </w:p>
    <w:p w14:paraId="39B96ACB" w14:textId="502F9F46" w:rsidR="00AC0E4E" w:rsidRPr="006A6BF2" w:rsidRDefault="00F22A10" w:rsidP="006A6BF2">
      <w:pPr>
        <w:spacing w:after="120" w:line="360" w:lineRule="auto"/>
        <w:rPr>
          <w:rFonts w:ascii="Verdana" w:hAnsi="Verdana" w:cs="Arial"/>
          <w:sz w:val="20"/>
          <w:szCs w:val="20"/>
        </w:rPr>
      </w:pPr>
      <w:r>
        <w:rPr>
          <w:rFonts w:ascii="Verdana" w:hAnsi="Verdana"/>
          <w:b/>
          <w:sz w:val="20"/>
          <w:szCs w:val="20"/>
        </w:rPr>
        <w:t>Table</w:t>
      </w:r>
      <w:r w:rsidR="00E669C1">
        <w:rPr>
          <w:rFonts w:ascii="Verdana" w:hAnsi="Verdana"/>
          <w:b/>
          <w:sz w:val="20"/>
          <w:szCs w:val="20"/>
        </w:rPr>
        <w:t xml:space="preserve"> 10</w:t>
      </w:r>
      <w:r w:rsidRPr="00B10B51">
        <w:rPr>
          <w:rFonts w:ascii="Verdana" w:hAnsi="Verdana"/>
          <w:b/>
          <w:sz w:val="20"/>
          <w:szCs w:val="20"/>
        </w:rPr>
        <w:t>: Uses</w:t>
      </w:r>
      <w:r w:rsidR="00C92F23">
        <w:rPr>
          <w:rFonts w:ascii="Verdana" w:hAnsi="Verdana"/>
          <w:b/>
          <w:sz w:val="20"/>
          <w:szCs w:val="20"/>
        </w:rPr>
        <w:t xml:space="preserve"> of </w:t>
      </w:r>
      <w:r w:rsidR="00C92F23" w:rsidRPr="00C92F23">
        <w:rPr>
          <w:rFonts w:ascii="Verdana" w:hAnsi="Verdana" w:cs="Arial"/>
          <w:b/>
          <w:sz w:val="20"/>
          <w:szCs w:val="20"/>
        </w:rPr>
        <w:t xml:space="preserve">Dibenzylbenzene, </w:t>
      </w:r>
      <w:proofErr w:type="spellStart"/>
      <w:r w:rsidR="00C92F23" w:rsidRPr="00C92F23">
        <w:rPr>
          <w:rFonts w:ascii="Verdana" w:hAnsi="Verdana" w:cs="Arial"/>
          <w:b/>
          <w:sz w:val="20"/>
          <w:szCs w:val="20"/>
        </w:rPr>
        <w:t>ar</w:t>
      </w:r>
      <w:proofErr w:type="spellEnd"/>
      <w:r w:rsidR="00C92F23" w:rsidRPr="00C92F23">
        <w:rPr>
          <w:rFonts w:ascii="Verdana" w:hAnsi="Verdana" w:cs="Arial"/>
          <w:b/>
          <w:sz w:val="20"/>
          <w:szCs w:val="20"/>
        </w:rPr>
        <w:t>-methyl derivative</w:t>
      </w:r>
    </w:p>
    <w:tbl>
      <w:tblPr>
        <w:tblStyle w:val="TaulukkoRuudukko"/>
        <w:tblW w:w="8506" w:type="dxa"/>
        <w:tblInd w:w="-176" w:type="dxa"/>
        <w:tblLook w:val="04A0" w:firstRow="1" w:lastRow="0" w:firstColumn="1" w:lastColumn="0" w:noHBand="0" w:noVBand="1"/>
      </w:tblPr>
      <w:tblGrid>
        <w:gridCol w:w="1702"/>
        <w:gridCol w:w="6804"/>
      </w:tblGrid>
      <w:tr w:rsidR="00BD45E8" w:rsidRPr="00035135" w14:paraId="39B96ACE" w14:textId="77777777" w:rsidTr="00744765">
        <w:tc>
          <w:tcPr>
            <w:tcW w:w="1702" w:type="dxa"/>
            <w:tcBorders>
              <w:top w:val="nil"/>
              <w:left w:val="nil"/>
            </w:tcBorders>
            <w:vAlign w:val="center"/>
          </w:tcPr>
          <w:p w14:paraId="39B96ACC" w14:textId="77777777" w:rsidR="00BD45E8" w:rsidRPr="00035135" w:rsidRDefault="00BD45E8" w:rsidP="00744765">
            <w:pPr>
              <w:pStyle w:val="Leipteksti"/>
              <w:rPr>
                <w:rFonts w:ascii="Verdana" w:hAnsi="Verdana"/>
                <w:sz w:val="20"/>
              </w:rPr>
            </w:pPr>
          </w:p>
        </w:tc>
        <w:tc>
          <w:tcPr>
            <w:tcW w:w="6804" w:type="dxa"/>
          </w:tcPr>
          <w:p w14:paraId="39B96ACD" w14:textId="77777777" w:rsidR="00BD45E8" w:rsidRPr="00B10B51" w:rsidRDefault="00BD45E8" w:rsidP="00744765">
            <w:pPr>
              <w:pStyle w:val="Kuvaotsikko"/>
              <w:jc w:val="center"/>
              <w:rPr>
                <w:rFonts w:ascii="Verdana" w:hAnsi="Verdana"/>
                <w:b/>
                <w:sz w:val="20"/>
                <w:lang w:val="en-IE"/>
              </w:rPr>
            </w:pPr>
            <w:r>
              <w:rPr>
                <w:rFonts w:ascii="Verdana" w:hAnsi="Verdana"/>
                <w:b/>
                <w:sz w:val="20"/>
                <w:lang w:val="en-IE"/>
              </w:rPr>
              <w:t>Use(s)</w:t>
            </w:r>
          </w:p>
        </w:tc>
      </w:tr>
      <w:tr w:rsidR="00BD45E8" w:rsidRPr="00035135" w14:paraId="39B96AD1" w14:textId="77777777" w:rsidTr="00BD45E8">
        <w:tc>
          <w:tcPr>
            <w:tcW w:w="1702" w:type="dxa"/>
            <w:vAlign w:val="center"/>
          </w:tcPr>
          <w:p w14:paraId="39B96ACF" w14:textId="77777777" w:rsidR="00BD45E8" w:rsidRPr="00437844" w:rsidRDefault="00BD45E8" w:rsidP="00744765">
            <w:pPr>
              <w:pStyle w:val="Leipteksti"/>
              <w:jc w:val="left"/>
              <w:rPr>
                <w:rFonts w:ascii="Verdana" w:hAnsi="Verdana"/>
                <w:b/>
                <w:sz w:val="20"/>
              </w:rPr>
            </w:pPr>
            <w:r w:rsidRPr="00437844">
              <w:rPr>
                <w:rFonts w:ascii="Verdana" w:hAnsi="Verdana"/>
                <w:b/>
                <w:sz w:val="20"/>
              </w:rPr>
              <w:t>Uses as intermediate</w:t>
            </w:r>
          </w:p>
        </w:tc>
        <w:tc>
          <w:tcPr>
            <w:tcW w:w="6804" w:type="dxa"/>
          </w:tcPr>
          <w:p w14:paraId="39B96AD0" w14:textId="77777777" w:rsidR="00BD45E8" w:rsidRPr="00437844" w:rsidRDefault="00BD45E8" w:rsidP="00BD45E8">
            <w:pPr>
              <w:pStyle w:val="Leipteksti"/>
              <w:jc w:val="left"/>
              <w:rPr>
                <w:rFonts w:ascii="Verdana" w:hAnsi="Verdana"/>
                <w:sz w:val="20"/>
                <w:lang w:val="en"/>
              </w:rPr>
            </w:pPr>
          </w:p>
        </w:tc>
      </w:tr>
      <w:tr w:rsidR="00BD45E8" w:rsidRPr="00035135" w14:paraId="39B96AD4" w14:textId="77777777" w:rsidTr="00BD45E8">
        <w:tc>
          <w:tcPr>
            <w:tcW w:w="1702" w:type="dxa"/>
            <w:vAlign w:val="center"/>
          </w:tcPr>
          <w:p w14:paraId="39B96AD2" w14:textId="77777777" w:rsidR="00BD45E8" w:rsidRPr="00437844" w:rsidRDefault="00BD45E8" w:rsidP="00744765">
            <w:pPr>
              <w:pStyle w:val="Leipteksti"/>
              <w:jc w:val="left"/>
              <w:rPr>
                <w:rFonts w:ascii="Verdana" w:hAnsi="Verdana"/>
                <w:b/>
                <w:sz w:val="20"/>
              </w:rPr>
            </w:pPr>
            <w:r w:rsidRPr="00437844">
              <w:rPr>
                <w:rFonts w:ascii="Verdana" w:hAnsi="Verdana"/>
                <w:b/>
                <w:sz w:val="20"/>
              </w:rPr>
              <w:t>Formulation</w:t>
            </w:r>
          </w:p>
        </w:tc>
        <w:tc>
          <w:tcPr>
            <w:tcW w:w="6804" w:type="dxa"/>
          </w:tcPr>
          <w:p w14:paraId="1F5012B2" w14:textId="48FE7685" w:rsidR="00BD45E8" w:rsidRPr="00446D2F" w:rsidRDefault="00D23348" w:rsidP="00446D2F">
            <w:pPr>
              <w:pStyle w:val="Leipteksti"/>
              <w:spacing w:after="120"/>
              <w:jc w:val="left"/>
              <w:rPr>
                <w:rFonts w:ascii="Verdana" w:hAnsi="Verdana"/>
                <w:sz w:val="20"/>
              </w:rPr>
            </w:pPr>
            <w:r w:rsidRPr="00446D2F">
              <w:rPr>
                <w:rFonts w:ascii="Verdana" w:hAnsi="Verdana"/>
                <w:sz w:val="20"/>
              </w:rPr>
              <w:t>Use of plasti</w:t>
            </w:r>
            <w:r w:rsidR="00464B4B">
              <w:rPr>
                <w:rFonts w:ascii="Verdana" w:hAnsi="Verdana"/>
                <w:sz w:val="20"/>
              </w:rPr>
              <w:t>c</w:t>
            </w:r>
            <w:r w:rsidR="00D32C2F" w:rsidRPr="00446D2F">
              <w:rPr>
                <w:rFonts w:ascii="Verdana" w:hAnsi="Verdana"/>
                <w:sz w:val="20"/>
              </w:rPr>
              <w:t>iser in the production of rubber products: ERC 3, PROC 5, 8b, 9, 10, 13, 14, 21.</w:t>
            </w:r>
          </w:p>
          <w:p w14:paraId="39B96AD3" w14:textId="40D8B659" w:rsidR="00D32C2F" w:rsidRPr="00446D2F" w:rsidRDefault="00D32C2F" w:rsidP="00446D2F">
            <w:pPr>
              <w:pStyle w:val="Leipteksti"/>
              <w:spacing w:after="120"/>
              <w:jc w:val="left"/>
              <w:rPr>
                <w:rFonts w:ascii="Verdana" w:hAnsi="Verdana"/>
                <w:sz w:val="20"/>
              </w:rPr>
            </w:pPr>
            <w:r w:rsidRPr="00446D2F">
              <w:rPr>
                <w:rFonts w:ascii="Verdana" w:hAnsi="Verdana"/>
                <w:sz w:val="20"/>
              </w:rPr>
              <w:t>Formulation of plasti</w:t>
            </w:r>
            <w:r w:rsidR="00701E52">
              <w:rPr>
                <w:rFonts w:ascii="Verdana" w:hAnsi="Verdana"/>
                <w:sz w:val="20"/>
              </w:rPr>
              <w:t>c</w:t>
            </w:r>
            <w:r w:rsidRPr="00446D2F">
              <w:rPr>
                <w:rFonts w:ascii="Verdana" w:hAnsi="Verdana"/>
                <w:sz w:val="20"/>
              </w:rPr>
              <w:t>iser: ERC 2, PROC 2, 3, 4, 8a, 8b, 9, 15.</w:t>
            </w:r>
          </w:p>
        </w:tc>
      </w:tr>
      <w:tr w:rsidR="00BD45E8" w:rsidRPr="00035135" w14:paraId="39B96AD7" w14:textId="77777777" w:rsidTr="00BD45E8">
        <w:tc>
          <w:tcPr>
            <w:tcW w:w="1702" w:type="dxa"/>
            <w:vAlign w:val="center"/>
          </w:tcPr>
          <w:p w14:paraId="39B96AD5" w14:textId="77777777" w:rsidR="00BD45E8" w:rsidRPr="00437844" w:rsidRDefault="00BD45E8" w:rsidP="00744765">
            <w:pPr>
              <w:pStyle w:val="Leipteksti"/>
              <w:jc w:val="left"/>
              <w:rPr>
                <w:rFonts w:ascii="Verdana" w:hAnsi="Verdana"/>
                <w:b/>
                <w:sz w:val="20"/>
              </w:rPr>
            </w:pPr>
            <w:r w:rsidRPr="00437844">
              <w:rPr>
                <w:rFonts w:ascii="Verdana" w:hAnsi="Verdana"/>
                <w:b/>
                <w:sz w:val="20"/>
              </w:rPr>
              <w:t>Uses at industrial sites</w:t>
            </w:r>
          </w:p>
        </w:tc>
        <w:tc>
          <w:tcPr>
            <w:tcW w:w="6804" w:type="dxa"/>
          </w:tcPr>
          <w:p w14:paraId="2A1F0F59" w14:textId="77777777" w:rsidR="00BD45E8" w:rsidRPr="00446D2F" w:rsidRDefault="00D32C2F" w:rsidP="00446D2F">
            <w:pPr>
              <w:pStyle w:val="Leipteksti"/>
              <w:spacing w:after="120"/>
              <w:jc w:val="left"/>
              <w:rPr>
                <w:rFonts w:ascii="Verdana" w:hAnsi="Verdana"/>
                <w:sz w:val="20"/>
              </w:rPr>
            </w:pPr>
            <w:r w:rsidRPr="00446D2F">
              <w:rPr>
                <w:rFonts w:ascii="Verdana" w:hAnsi="Verdana"/>
                <w:sz w:val="20"/>
              </w:rPr>
              <w:t>Manufacture: ERC 1, PROC 1, 2, 4, 8b, 9.</w:t>
            </w:r>
          </w:p>
          <w:p w14:paraId="4DA745B8" w14:textId="77777777" w:rsidR="00D32C2F" w:rsidRDefault="00452959" w:rsidP="00446D2F">
            <w:pPr>
              <w:pStyle w:val="Leipteksti"/>
              <w:spacing w:after="120"/>
              <w:jc w:val="left"/>
              <w:rPr>
                <w:rFonts w:ascii="Verdana" w:hAnsi="Verdana"/>
                <w:sz w:val="20"/>
              </w:rPr>
            </w:pPr>
            <w:r w:rsidRPr="00446D2F">
              <w:rPr>
                <w:rFonts w:ascii="Verdana" w:hAnsi="Verdana"/>
                <w:sz w:val="20"/>
              </w:rPr>
              <w:t>U</w:t>
            </w:r>
            <w:r w:rsidR="00D32C2F" w:rsidRPr="00446D2F">
              <w:rPr>
                <w:rFonts w:ascii="Verdana" w:hAnsi="Verdana"/>
                <w:sz w:val="20"/>
              </w:rPr>
              <w:t>se of heat transfer fluids: ERC 7, PROC 2, 4, 8a, 8b, 9</w:t>
            </w:r>
            <w:r w:rsidR="00B11DDF">
              <w:rPr>
                <w:rFonts w:ascii="Verdana" w:hAnsi="Verdana"/>
                <w:sz w:val="20"/>
              </w:rPr>
              <w:t xml:space="preserve">, </w:t>
            </w:r>
            <w:r w:rsidRPr="00446D2F">
              <w:rPr>
                <w:rFonts w:ascii="Verdana" w:hAnsi="Verdana"/>
                <w:sz w:val="20"/>
              </w:rPr>
              <w:t xml:space="preserve">Industrial Use of dielectric fluids: ERC 7, PROC 2, 3, 4, 8b, 9, 13, 19, Use in the production of cables: ERC 5, PROC 5, 14, Recycling of heat transfer fluids: ERC 7, PROC 3, 4.  </w:t>
            </w:r>
          </w:p>
          <w:p w14:paraId="39B96AD6" w14:textId="647947FC" w:rsidR="00B11DDF" w:rsidRPr="00446D2F" w:rsidRDefault="00B11DDF" w:rsidP="00446D2F">
            <w:pPr>
              <w:pStyle w:val="Leipteksti"/>
              <w:spacing w:after="120"/>
              <w:jc w:val="left"/>
              <w:rPr>
                <w:rFonts w:ascii="Verdana" w:hAnsi="Verdana"/>
                <w:sz w:val="20"/>
              </w:rPr>
            </w:pPr>
            <w:r>
              <w:rPr>
                <w:rFonts w:ascii="Verdana" w:hAnsi="Verdana"/>
                <w:sz w:val="20"/>
              </w:rPr>
              <w:t xml:space="preserve">For all industrial </w:t>
            </w:r>
            <w:proofErr w:type="gramStart"/>
            <w:r>
              <w:rPr>
                <w:rFonts w:ascii="Verdana" w:hAnsi="Verdana"/>
                <w:sz w:val="20"/>
              </w:rPr>
              <w:t>uses</w:t>
            </w:r>
            <w:proofErr w:type="gramEnd"/>
            <w:r>
              <w:rPr>
                <w:rFonts w:ascii="Verdana" w:hAnsi="Verdana"/>
                <w:sz w:val="20"/>
              </w:rPr>
              <w:t xml:space="preserve"> total tonnage &gt;= 10 tonnes/year per registrant.</w:t>
            </w:r>
          </w:p>
        </w:tc>
      </w:tr>
      <w:tr w:rsidR="00BD45E8" w:rsidRPr="00035135" w14:paraId="39B96ADA" w14:textId="77777777" w:rsidTr="00BD45E8">
        <w:tc>
          <w:tcPr>
            <w:tcW w:w="1702" w:type="dxa"/>
            <w:vAlign w:val="center"/>
          </w:tcPr>
          <w:p w14:paraId="39B96AD8" w14:textId="77777777" w:rsidR="00BD45E8" w:rsidRPr="00437844" w:rsidRDefault="00BD45E8" w:rsidP="00744765">
            <w:pPr>
              <w:pStyle w:val="Leipteksti"/>
              <w:jc w:val="left"/>
              <w:rPr>
                <w:rFonts w:ascii="Verdana" w:hAnsi="Verdana"/>
                <w:b/>
                <w:sz w:val="20"/>
              </w:rPr>
            </w:pPr>
            <w:r w:rsidRPr="00437844">
              <w:rPr>
                <w:rFonts w:ascii="Verdana" w:hAnsi="Verdana"/>
                <w:b/>
                <w:sz w:val="20"/>
                <w:lang w:val="en-IE"/>
              </w:rPr>
              <w:t>Uses by professional workers</w:t>
            </w:r>
          </w:p>
        </w:tc>
        <w:tc>
          <w:tcPr>
            <w:tcW w:w="6804" w:type="dxa"/>
          </w:tcPr>
          <w:p w14:paraId="39B96AD9" w14:textId="7C797DCD" w:rsidR="00BD45E8" w:rsidRPr="00420638" w:rsidRDefault="00452959" w:rsidP="00446D2F">
            <w:pPr>
              <w:pStyle w:val="Leipteksti"/>
              <w:spacing w:after="120"/>
              <w:jc w:val="left"/>
              <w:rPr>
                <w:rFonts w:ascii="Verdana" w:hAnsi="Verdana"/>
                <w:sz w:val="20"/>
              </w:rPr>
            </w:pPr>
            <w:r w:rsidRPr="00452959">
              <w:rPr>
                <w:rFonts w:ascii="Verdana" w:hAnsi="Verdana"/>
                <w:sz w:val="20"/>
              </w:rPr>
              <w:t>Use of heat transfer fluids</w:t>
            </w:r>
            <w:r w:rsidRPr="00B11DDF">
              <w:rPr>
                <w:rFonts w:ascii="Verdana" w:hAnsi="Verdana"/>
                <w:sz w:val="20"/>
              </w:rPr>
              <w:t>: ERC 7, PROC 20, Use of dielectric fluids: ERC 7, PROC 5, 19</w:t>
            </w:r>
            <w:r w:rsidRPr="00420638">
              <w:rPr>
                <w:rFonts w:ascii="Verdana" w:hAnsi="Verdana"/>
                <w:sz w:val="20"/>
              </w:rPr>
              <w:t>.</w:t>
            </w:r>
          </w:p>
        </w:tc>
      </w:tr>
      <w:tr w:rsidR="00BD45E8" w:rsidRPr="00035135" w14:paraId="39B96ADD" w14:textId="77777777" w:rsidTr="00BD45E8">
        <w:tc>
          <w:tcPr>
            <w:tcW w:w="1702" w:type="dxa"/>
            <w:vAlign w:val="center"/>
          </w:tcPr>
          <w:p w14:paraId="39B96ADB" w14:textId="77777777" w:rsidR="00BD45E8" w:rsidRPr="00437844" w:rsidRDefault="00BD45E8" w:rsidP="00744765">
            <w:pPr>
              <w:pStyle w:val="Leipteksti"/>
              <w:jc w:val="left"/>
              <w:rPr>
                <w:rFonts w:ascii="Verdana" w:hAnsi="Verdana"/>
                <w:b/>
                <w:sz w:val="20"/>
              </w:rPr>
            </w:pPr>
            <w:r w:rsidRPr="00437844">
              <w:rPr>
                <w:rFonts w:ascii="Verdana" w:hAnsi="Verdana"/>
                <w:b/>
                <w:sz w:val="20"/>
              </w:rPr>
              <w:t>Consumer Uses</w:t>
            </w:r>
          </w:p>
        </w:tc>
        <w:tc>
          <w:tcPr>
            <w:tcW w:w="6804" w:type="dxa"/>
          </w:tcPr>
          <w:p w14:paraId="39B96ADC" w14:textId="33800713" w:rsidR="00BD45E8" w:rsidRPr="00035135" w:rsidRDefault="00B11DDF" w:rsidP="00446D2F">
            <w:pPr>
              <w:pStyle w:val="Kuvaotsikko"/>
              <w:spacing w:after="120"/>
              <w:rPr>
                <w:rFonts w:ascii="Verdana" w:hAnsi="Verdana"/>
                <w:sz w:val="20"/>
                <w:lang w:val="en-IE"/>
              </w:rPr>
            </w:pPr>
            <w:r>
              <w:rPr>
                <w:rFonts w:ascii="Verdana" w:hAnsi="Verdana"/>
                <w:sz w:val="20"/>
                <w:lang w:val="en-IE"/>
              </w:rPr>
              <w:t xml:space="preserve">ERC 8c, PC 0: Other: dental paste. </w:t>
            </w:r>
          </w:p>
        </w:tc>
      </w:tr>
      <w:tr w:rsidR="00BD45E8" w:rsidRPr="00035135" w14:paraId="39B96AE0" w14:textId="77777777" w:rsidTr="00BD45E8">
        <w:tc>
          <w:tcPr>
            <w:tcW w:w="1702" w:type="dxa"/>
            <w:vAlign w:val="center"/>
          </w:tcPr>
          <w:p w14:paraId="39B96ADE" w14:textId="77777777" w:rsidR="00BD45E8" w:rsidRPr="00437844" w:rsidRDefault="00BD45E8" w:rsidP="00744765">
            <w:pPr>
              <w:pStyle w:val="Leipteksti"/>
              <w:jc w:val="left"/>
              <w:rPr>
                <w:rFonts w:ascii="Verdana" w:hAnsi="Verdana"/>
                <w:b/>
                <w:sz w:val="20"/>
              </w:rPr>
            </w:pPr>
            <w:r w:rsidRPr="00437844">
              <w:rPr>
                <w:rFonts w:ascii="Verdana" w:hAnsi="Verdana"/>
                <w:b/>
                <w:sz w:val="20"/>
                <w:lang w:val="en-IE"/>
              </w:rPr>
              <w:t>Article service life</w:t>
            </w:r>
          </w:p>
        </w:tc>
        <w:tc>
          <w:tcPr>
            <w:tcW w:w="6804" w:type="dxa"/>
          </w:tcPr>
          <w:p w14:paraId="39B96ADF" w14:textId="07A951C4" w:rsidR="00BD45E8" w:rsidRPr="00035135" w:rsidRDefault="00B11DDF" w:rsidP="00446D2F">
            <w:pPr>
              <w:pStyle w:val="Kuvaotsikko"/>
              <w:spacing w:after="120"/>
              <w:rPr>
                <w:rFonts w:ascii="Verdana" w:hAnsi="Verdana"/>
                <w:sz w:val="20"/>
                <w:lang w:val="en-IE"/>
              </w:rPr>
            </w:pPr>
            <w:r>
              <w:rPr>
                <w:rFonts w:ascii="Verdana" w:hAnsi="Verdana"/>
                <w:sz w:val="20"/>
                <w:lang w:val="en-IE"/>
              </w:rPr>
              <w:t>Use of plasti</w:t>
            </w:r>
            <w:r w:rsidR="00701E52">
              <w:rPr>
                <w:rFonts w:ascii="Verdana" w:hAnsi="Verdana"/>
                <w:sz w:val="20"/>
                <w:lang w:val="en-IE"/>
              </w:rPr>
              <w:t>c</w:t>
            </w:r>
            <w:r>
              <w:rPr>
                <w:rFonts w:ascii="Verdana" w:hAnsi="Verdana"/>
                <w:sz w:val="20"/>
                <w:lang w:val="en-IE"/>
              </w:rPr>
              <w:t>iser in production of rubber products: AC 10, ERC 3, PROC 14, 21, Use of rubber articles: AC 1, 10, ERC 10a, 11a.</w:t>
            </w:r>
          </w:p>
        </w:tc>
      </w:tr>
    </w:tbl>
    <w:p w14:paraId="312AC148" w14:textId="6009AFD2" w:rsidR="008F0550" w:rsidRPr="00446D2F" w:rsidRDefault="008F0550" w:rsidP="008F0550">
      <w:pPr>
        <w:pStyle w:val="Leipteksti"/>
        <w:rPr>
          <w:rFonts w:ascii="Verdana" w:hAnsi="Verdana"/>
          <w:sz w:val="16"/>
          <w:szCs w:val="16"/>
        </w:rPr>
      </w:pPr>
      <w:r w:rsidRPr="00446D2F">
        <w:rPr>
          <w:rFonts w:ascii="Verdana" w:hAnsi="Verdana"/>
          <w:sz w:val="16"/>
          <w:szCs w:val="16"/>
        </w:rPr>
        <w:t>Product categories</w:t>
      </w:r>
      <w:r w:rsidR="00420638" w:rsidRPr="00446D2F">
        <w:rPr>
          <w:rFonts w:ascii="Verdana" w:hAnsi="Verdana"/>
          <w:sz w:val="16"/>
          <w:szCs w:val="16"/>
        </w:rPr>
        <w:t xml:space="preserve"> (PROC)</w:t>
      </w:r>
      <w:r w:rsidRPr="00446D2F">
        <w:rPr>
          <w:rFonts w:ascii="Verdana" w:hAnsi="Verdana"/>
          <w:sz w:val="16"/>
          <w:szCs w:val="16"/>
        </w:rPr>
        <w:t xml:space="preserve"> as reported in Guidance on Information Requirements and Chemical Safety Assessment, Chapter R.12, Version 3.0, December 2015: </w:t>
      </w:r>
    </w:p>
    <w:p w14:paraId="6C03AEF2" w14:textId="04D0296F" w:rsidR="008F0550" w:rsidRPr="00446D2F" w:rsidRDefault="008F0550" w:rsidP="00CF1B60">
      <w:pPr>
        <w:pStyle w:val="Leipteksti"/>
        <w:numPr>
          <w:ilvl w:val="0"/>
          <w:numId w:val="38"/>
        </w:numPr>
        <w:spacing w:after="0"/>
        <w:rPr>
          <w:rFonts w:ascii="Verdana" w:hAnsi="Verdana"/>
          <w:sz w:val="16"/>
          <w:szCs w:val="16"/>
        </w:rPr>
      </w:pPr>
      <w:r w:rsidRPr="00446D2F">
        <w:rPr>
          <w:rFonts w:ascii="Verdana" w:hAnsi="Verdana"/>
          <w:sz w:val="16"/>
          <w:szCs w:val="16"/>
        </w:rPr>
        <w:t>PROC 1: Chemical production or refinery in closed process without likelihood of exposure or processes with equivalent containment conditions.</w:t>
      </w:r>
    </w:p>
    <w:p w14:paraId="40D2279E" w14:textId="5C9C1B6F" w:rsidR="008F0550" w:rsidRPr="00446D2F" w:rsidRDefault="008F0550" w:rsidP="00CF1B60">
      <w:pPr>
        <w:pStyle w:val="Leipteksti"/>
        <w:numPr>
          <w:ilvl w:val="0"/>
          <w:numId w:val="38"/>
        </w:numPr>
        <w:spacing w:after="0"/>
        <w:rPr>
          <w:rFonts w:ascii="Verdana" w:hAnsi="Verdana"/>
          <w:sz w:val="16"/>
          <w:szCs w:val="16"/>
        </w:rPr>
      </w:pPr>
      <w:r w:rsidRPr="00446D2F">
        <w:rPr>
          <w:rFonts w:ascii="Verdana" w:hAnsi="Verdana"/>
          <w:sz w:val="16"/>
          <w:szCs w:val="16"/>
        </w:rPr>
        <w:t>PROC 2: Chemical production or refinery in closed continuous process with occasional controlled exposure or processes with equivalent containment conditions.</w:t>
      </w:r>
    </w:p>
    <w:p w14:paraId="6BD56024" w14:textId="6DC7B4BE" w:rsidR="008F0550" w:rsidRPr="00446D2F" w:rsidRDefault="008F0550" w:rsidP="00CF1B60">
      <w:pPr>
        <w:pStyle w:val="Leipteksti"/>
        <w:numPr>
          <w:ilvl w:val="0"/>
          <w:numId w:val="38"/>
        </w:numPr>
        <w:spacing w:after="0"/>
        <w:rPr>
          <w:rFonts w:ascii="Verdana" w:hAnsi="Verdana"/>
          <w:sz w:val="16"/>
          <w:szCs w:val="16"/>
        </w:rPr>
      </w:pPr>
      <w:r w:rsidRPr="00446D2F">
        <w:rPr>
          <w:rFonts w:ascii="Verdana" w:hAnsi="Verdana"/>
          <w:sz w:val="16"/>
          <w:szCs w:val="16"/>
        </w:rPr>
        <w:t>PROC 3: Manufacture or formulation in the chemical industry in closed batch processes with occasional controlled exposure or processes with equivalent containment condition.</w:t>
      </w:r>
    </w:p>
    <w:p w14:paraId="216DDBA8" w14:textId="39B6A670" w:rsidR="008F0550" w:rsidRPr="00446D2F" w:rsidRDefault="008F0550" w:rsidP="00CF1B60">
      <w:pPr>
        <w:pStyle w:val="Leipteksti"/>
        <w:numPr>
          <w:ilvl w:val="0"/>
          <w:numId w:val="38"/>
        </w:numPr>
        <w:spacing w:after="0"/>
        <w:rPr>
          <w:rFonts w:ascii="Verdana" w:hAnsi="Verdana"/>
          <w:sz w:val="16"/>
          <w:szCs w:val="16"/>
        </w:rPr>
      </w:pPr>
      <w:r w:rsidRPr="00446D2F">
        <w:rPr>
          <w:rFonts w:ascii="Verdana" w:hAnsi="Verdana"/>
          <w:sz w:val="16"/>
          <w:szCs w:val="16"/>
        </w:rPr>
        <w:t>PROC 4: Chemical production where opportunity for exposure arises.</w:t>
      </w:r>
    </w:p>
    <w:p w14:paraId="2F1BDD0C" w14:textId="63D2E4E0" w:rsidR="008F0550" w:rsidRPr="00446D2F" w:rsidRDefault="008F0550" w:rsidP="00CF1B60">
      <w:pPr>
        <w:pStyle w:val="Leipteksti"/>
        <w:numPr>
          <w:ilvl w:val="0"/>
          <w:numId w:val="38"/>
        </w:numPr>
        <w:spacing w:after="0"/>
        <w:rPr>
          <w:rFonts w:ascii="Verdana" w:hAnsi="Verdana"/>
          <w:sz w:val="16"/>
          <w:szCs w:val="16"/>
        </w:rPr>
      </w:pPr>
      <w:r w:rsidRPr="00446D2F">
        <w:rPr>
          <w:rFonts w:ascii="Verdana" w:hAnsi="Verdana"/>
          <w:sz w:val="16"/>
          <w:szCs w:val="16"/>
        </w:rPr>
        <w:t>PROC 5: Mixing or blending in batch processes.</w:t>
      </w:r>
    </w:p>
    <w:p w14:paraId="2CA3534C" w14:textId="6D2F510B" w:rsidR="008F0550" w:rsidRPr="00446D2F" w:rsidRDefault="008F0550" w:rsidP="00CF1B60">
      <w:pPr>
        <w:pStyle w:val="Leipteksti"/>
        <w:numPr>
          <w:ilvl w:val="0"/>
          <w:numId w:val="38"/>
        </w:numPr>
        <w:spacing w:after="0"/>
        <w:rPr>
          <w:rFonts w:ascii="Verdana" w:hAnsi="Verdana"/>
          <w:sz w:val="16"/>
          <w:szCs w:val="16"/>
        </w:rPr>
      </w:pPr>
      <w:r w:rsidRPr="00446D2F">
        <w:rPr>
          <w:rFonts w:ascii="Verdana" w:hAnsi="Verdana"/>
          <w:sz w:val="16"/>
          <w:szCs w:val="16"/>
        </w:rPr>
        <w:t>PROC 8a: Transfer of substance or mixture (charging and discharging) at non-dedicated facilities.</w:t>
      </w:r>
    </w:p>
    <w:p w14:paraId="4B45106D" w14:textId="7082F08B" w:rsidR="008F0550" w:rsidRPr="00446D2F" w:rsidRDefault="008F0550" w:rsidP="00CF1B60">
      <w:pPr>
        <w:pStyle w:val="Leipteksti"/>
        <w:numPr>
          <w:ilvl w:val="0"/>
          <w:numId w:val="38"/>
        </w:numPr>
        <w:spacing w:after="0"/>
        <w:rPr>
          <w:rFonts w:ascii="Verdana" w:hAnsi="Verdana"/>
          <w:sz w:val="16"/>
          <w:szCs w:val="16"/>
        </w:rPr>
      </w:pPr>
      <w:r w:rsidRPr="00446D2F">
        <w:rPr>
          <w:rFonts w:ascii="Verdana" w:hAnsi="Verdana"/>
          <w:sz w:val="16"/>
          <w:szCs w:val="16"/>
        </w:rPr>
        <w:t>PROC 8b: Transfer of substance or mixture (charging and discharging) at dedicated facilities.</w:t>
      </w:r>
    </w:p>
    <w:p w14:paraId="6A52F5DC" w14:textId="1F8EAD87" w:rsidR="008F0550" w:rsidRPr="00446D2F" w:rsidRDefault="008F0550" w:rsidP="00CF1B60">
      <w:pPr>
        <w:pStyle w:val="Leipteksti"/>
        <w:numPr>
          <w:ilvl w:val="0"/>
          <w:numId w:val="38"/>
        </w:numPr>
        <w:spacing w:after="0"/>
        <w:rPr>
          <w:rFonts w:ascii="Verdana" w:hAnsi="Verdana"/>
          <w:sz w:val="16"/>
          <w:szCs w:val="16"/>
        </w:rPr>
      </w:pPr>
      <w:r w:rsidRPr="00446D2F">
        <w:rPr>
          <w:rFonts w:ascii="Verdana" w:hAnsi="Verdana"/>
          <w:sz w:val="16"/>
          <w:szCs w:val="16"/>
        </w:rPr>
        <w:t>PROC 9: Transfer of substance or mixture into small containers (dedicated filling line, including weighing).</w:t>
      </w:r>
    </w:p>
    <w:p w14:paraId="3FA3DA67" w14:textId="7FCF30E6" w:rsidR="008F0550" w:rsidRPr="00446D2F" w:rsidRDefault="008F0550" w:rsidP="00CF1B60">
      <w:pPr>
        <w:pStyle w:val="Leipteksti"/>
        <w:numPr>
          <w:ilvl w:val="0"/>
          <w:numId w:val="38"/>
        </w:numPr>
        <w:spacing w:after="0"/>
        <w:rPr>
          <w:rFonts w:ascii="Verdana" w:hAnsi="Verdana"/>
          <w:sz w:val="16"/>
          <w:szCs w:val="16"/>
        </w:rPr>
      </w:pPr>
      <w:r w:rsidRPr="00446D2F">
        <w:rPr>
          <w:rFonts w:ascii="Verdana" w:hAnsi="Verdana"/>
          <w:sz w:val="16"/>
          <w:szCs w:val="16"/>
        </w:rPr>
        <w:t>PROC 10: Roller application or brushing.</w:t>
      </w:r>
    </w:p>
    <w:p w14:paraId="4A93E07D" w14:textId="6E3CEBDE" w:rsidR="008F0550" w:rsidRPr="00446D2F" w:rsidRDefault="00420638" w:rsidP="00CF1B60">
      <w:pPr>
        <w:pStyle w:val="Leipteksti"/>
        <w:numPr>
          <w:ilvl w:val="0"/>
          <w:numId w:val="38"/>
        </w:numPr>
        <w:spacing w:after="0"/>
        <w:rPr>
          <w:rFonts w:ascii="Verdana" w:hAnsi="Verdana"/>
          <w:sz w:val="16"/>
          <w:szCs w:val="16"/>
        </w:rPr>
      </w:pPr>
      <w:r w:rsidRPr="00446D2F">
        <w:rPr>
          <w:rFonts w:ascii="Verdana" w:hAnsi="Verdana"/>
          <w:sz w:val="16"/>
          <w:szCs w:val="16"/>
        </w:rPr>
        <w:t>PROC 13: Treatment of articles by dipping and pouring.</w:t>
      </w:r>
    </w:p>
    <w:p w14:paraId="3231A474" w14:textId="0901E171" w:rsidR="00420638" w:rsidRPr="00446D2F" w:rsidRDefault="00420638" w:rsidP="00CF1B60">
      <w:pPr>
        <w:pStyle w:val="Leipteksti"/>
        <w:numPr>
          <w:ilvl w:val="0"/>
          <w:numId w:val="38"/>
        </w:numPr>
        <w:spacing w:after="0"/>
        <w:rPr>
          <w:rFonts w:ascii="Verdana" w:hAnsi="Verdana"/>
          <w:sz w:val="16"/>
          <w:szCs w:val="16"/>
        </w:rPr>
      </w:pPr>
      <w:r w:rsidRPr="00446D2F">
        <w:rPr>
          <w:rFonts w:ascii="Verdana" w:hAnsi="Verdana"/>
          <w:sz w:val="16"/>
          <w:szCs w:val="16"/>
        </w:rPr>
        <w:t xml:space="preserve">PROC 14: Tabletting, compression, extrusion, </w:t>
      </w:r>
      <w:proofErr w:type="spellStart"/>
      <w:r w:rsidRPr="00446D2F">
        <w:rPr>
          <w:rFonts w:ascii="Verdana" w:hAnsi="Verdana"/>
          <w:sz w:val="16"/>
          <w:szCs w:val="16"/>
        </w:rPr>
        <w:t>pelletisation</w:t>
      </w:r>
      <w:proofErr w:type="spellEnd"/>
      <w:r w:rsidRPr="00446D2F">
        <w:rPr>
          <w:rFonts w:ascii="Verdana" w:hAnsi="Verdana"/>
          <w:sz w:val="16"/>
          <w:szCs w:val="16"/>
        </w:rPr>
        <w:t>, granulation.</w:t>
      </w:r>
    </w:p>
    <w:p w14:paraId="2832587C" w14:textId="3DF65C25" w:rsidR="00420638" w:rsidRPr="00446D2F" w:rsidRDefault="00420638" w:rsidP="00CF1B60">
      <w:pPr>
        <w:pStyle w:val="Leipteksti"/>
        <w:numPr>
          <w:ilvl w:val="0"/>
          <w:numId w:val="38"/>
        </w:numPr>
        <w:spacing w:after="0"/>
        <w:rPr>
          <w:rFonts w:ascii="Verdana" w:hAnsi="Verdana"/>
          <w:sz w:val="16"/>
          <w:szCs w:val="16"/>
        </w:rPr>
      </w:pPr>
      <w:r w:rsidRPr="00446D2F">
        <w:rPr>
          <w:rFonts w:ascii="Verdana" w:hAnsi="Verdana"/>
          <w:sz w:val="16"/>
          <w:szCs w:val="16"/>
        </w:rPr>
        <w:lastRenderedPageBreak/>
        <w:t>PROC 15: Use as laboratory reagent.</w:t>
      </w:r>
    </w:p>
    <w:p w14:paraId="2F39C36C" w14:textId="11732354" w:rsidR="00420638" w:rsidRPr="00446D2F" w:rsidRDefault="00420638" w:rsidP="00CF1B60">
      <w:pPr>
        <w:pStyle w:val="Leipteksti"/>
        <w:numPr>
          <w:ilvl w:val="0"/>
          <w:numId w:val="38"/>
        </w:numPr>
        <w:spacing w:after="0"/>
        <w:rPr>
          <w:rFonts w:ascii="Verdana" w:hAnsi="Verdana"/>
          <w:sz w:val="16"/>
          <w:szCs w:val="16"/>
        </w:rPr>
      </w:pPr>
      <w:r w:rsidRPr="00446D2F">
        <w:rPr>
          <w:rFonts w:ascii="Verdana" w:hAnsi="Verdana"/>
          <w:sz w:val="16"/>
          <w:szCs w:val="16"/>
        </w:rPr>
        <w:t>PROC 19: Manual activities involving hand contact.</w:t>
      </w:r>
    </w:p>
    <w:p w14:paraId="091F0E8F" w14:textId="0FEF9833" w:rsidR="00420638" w:rsidRPr="00446D2F" w:rsidRDefault="00420638" w:rsidP="00CF1B60">
      <w:pPr>
        <w:pStyle w:val="Leipteksti"/>
        <w:numPr>
          <w:ilvl w:val="0"/>
          <w:numId w:val="38"/>
        </w:numPr>
        <w:spacing w:after="0"/>
        <w:rPr>
          <w:rFonts w:ascii="Verdana" w:hAnsi="Verdana"/>
          <w:sz w:val="16"/>
          <w:szCs w:val="16"/>
        </w:rPr>
      </w:pPr>
      <w:r w:rsidRPr="00446D2F">
        <w:rPr>
          <w:rFonts w:ascii="Verdana" w:hAnsi="Verdana"/>
          <w:sz w:val="16"/>
          <w:szCs w:val="16"/>
        </w:rPr>
        <w:t>PROC 20: Use of functional fluids in small devices</w:t>
      </w:r>
    </w:p>
    <w:p w14:paraId="1C3AADE5" w14:textId="5D2D9F5E" w:rsidR="00420638" w:rsidRPr="00446D2F" w:rsidRDefault="00420638" w:rsidP="00CF1B60">
      <w:pPr>
        <w:pStyle w:val="Leipteksti"/>
        <w:numPr>
          <w:ilvl w:val="0"/>
          <w:numId w:val="38"/>
        </w:numPr>
        <w:spacing w:after="0"/>
        <w:rPr>
          <w:rFonts w:ascii="Verdana" w:hAnsi="Verdana"/>
          <w:sz w:val="16"/>
          <w:szCs w:val="16"/>
        </w:rPr>
      </w:pPr>
      <w:r w:rsidRPr="00446D2F">
        <w:rPr>
          <w:rFonts w:ascii="Verdana" w:hAnsi="Verdana"/>
          <w:sz w:val="16"/>
          <w:szCs w:val="16"/>
        </w:rPr>
        <w:t>PROC 21: Low energy manipulation and handling of substances bound in/on materials or articles.</w:t>
      </w:r>
    </w:p>
    <w:p w14:paraId="1D68217E" w14:textId="5DF39442" w:rsidR="00420638" w:rsidRPr="00446D2F" w:rsidRDefault="00420638" w:rsidP="00CF1B60">
      <w:pPr>
        <w:pStyle w:val="Leipteksti"/>
        <w:spacing w:after="0"/>
        <w:rPr>
          <w:rFonts w:ascii="Verdana" w:hAnsi="Verdana"/>
          <w:sz w:val="16"/>
          <w:szCs w:val="16"/>
        </w:rPr>
      </w:pPr>
      <w:r w:rsidRPr="00446D2F">
        <w:rPr>
          <w:rFonts w:ascii="Verdana" w:hAnsi="Verdana"/>
          <w:sz w:val="16"/>
          <w:szCs w:val="16"/>
        </w:rPr>
        <w:t>Environmental release categories (ERC):</w:t>
      </w:r>
    </w:p>
    <w:p w14:paraId="648B97D8" w14:textId="0667029F" w:rsidR="00420638" w:rsidRPr="00446D2F" w:rsidRDefault="00420638" w:rsidP="00CF1B60">
      <w:pPr>
        <w:pStyle w:val="Leipteksti"/>
        <w:numPr>
          <w:ilvl w:val="0"/>
          <w:numId w:val="40"/>
        </w:numPr>
        <w:spacing w:after="0"/>
        <w:rPr>
          <w:rFonts w:ascii="Verdana" w:hAnsi="Verdana"/>
          <w:sz w:val="16"/>
          <w:szCs w:val="16"/>
        </w:rPr>
      </w:pPr>
      <w:r w:rsidRPr="00446D2F">
        <w:rPr>
          <w:rFonts w:ascii="Verdana" w:hAnsi="Verdana"/>
          <w:sz w:val="16"/>
          <w:szCs w:val="16"/>
        </w:rPr>
        <w:t>ERC 1: Manufacture of the substance.</w:t>
      </w:r>
    </w:p>
    <w:p w14:paraId="234AA834" w14:textId="38DC4E6D" w:rsidR="00420638" w:rsidRPr="00446D2F" w:rsidRDefault="00420638" w:rsidP="00CF1B60">
      <w:pPr>
        <w:pStyle w:val="Leipteksti"/>
        <w:numPr>
          <w:ilvl w:val="0"/>
          <w:numId w:val="40"/>
        </w:numPr>
        <w:spacing w:after="0"/>
        <w:rPr>
          <w:rFonts w:ascii="Verdana" w:hAnsi="Verdana"/>
          <w:sz w:val="16"/>
          <w:szCs w:val="16"/>
        </w:rPr>
      </w:pPr>
      <w:r w:rsidRPr="00446D2F">
        <w:rPr>
          <w:rFonts w:ascii="Verdana" w:hAnsi="Verdana"/>
          <w:sz w:val="16"/>
          <w:szCs w:val="16"/>
        </w:rPr>
        <w:t>ERC 2: Formulation into mixture.</w:t>
      </w:r>
    </w:p>
    <w:p w14:paraId="7515E7E1" w14:textId="44D99B86" w:rsidR="00420638" w:rsidRPr="00446D2F" w:rsidRDefault="00420638" w:rsidP="00CF1B60">
      <w:pPr>
        <w:pStyle w:val="Leipteksti"/>
        <w:numPr>
          <w:ilvl w:val="0"/>
          <w:numId w:val="40"/>
        </w:numPr>
        <w:spacing w:after="0"/>
        <w:rPr>
          <w:rFonts w:ascii="Verdana" w:hAnsi="Verdana"/>
          <w:sz w:val="16"/>
          <w:szCs w:val="16"/>
        </w:rPr>
      </w:pPr>
      <w:r w:rsidRPr="00446D2F">
        <w:rPr>
          <w:rFonts w:ascii="Verdana" w:hAnsi="Verdana"/>
          <w:sz w:val="16"/>
          <w:szCs w:val="16"/>
        </w:rPr>
        <w:t>ERC 3: Formulation into solid matrix.</w:t>
      </w:r>
    </w:p>
    <w:p w14:paraId="6B304D8D" w14:textId="686CE95B" w:rsidR="00420638" w:rsidRPr="00446D2F" w:rsidRDefault="00420638" w:rsidP="00CF1B60">
      <w:pPr>
        <w:pStyle w:val="Leipteksti"/>
        <w:numPr>
          <w:ilvl w:val="0"/>
          <w:numId w:val="40"/>
        </w:numPr>
        <w:spacing w:after="0"/>
        <w:rPr>
          <w:rFonts w:ascii="Verdana" w:hAnsi="Verdana"/>
          <w:sz w:val="16"/>
          <w:szCs w:val="16"/>
        </w:rPr>
      </w:pPr>
      <w:r w:rsidRPr="00446D2F">
        <w:rPr>
          <w:rFonts w:ascii="Verdana" w:hAnsi="Verdana"/>
          <w:sz w:val="16"/>
          <w:szCs w:val="16"/>
        </w:rPr>
        <w:t>ERC 5: Use of reactive processing aid at industrial site (no inclusion into or onto article).</w:t>
      </w:r>
    </w:p>
    <w:p w14:paraId="35414005" w14:textId="68D878A0" w:rsidR="00420638" w:rsidRPr="00446D2F" w:rsidRDefault="00420638" w:rsidP="00CF1B60">
      <w:pPr>
        <w:pStyle w:val="Leipteksti"/>
        <w:numPr>
          <w:ilvl w:val="0"/>
          <w:numId w:val="40"/>
        </w:numPr>
        <w:spacing w:after="0"/>
        <w:rPr>
          <w:rFonts w:ascii="Verdana" w:hAnsi="Verdana"/>
          <w:sz w:val="16"/>
          <w:szCs w:val="16"/>
        </w:rPr>
      </w:pPr>
      <w:r w:rsidRPr="00446D2F">
        <w:rPr>
          <w:rFonts w:ascii="Verdana" w:hAnsi="Verdana"/>
          <w:sz w:val="16"/>
          <w:szCs w:val="16"/>
        </w:rPr>
        <w:t>ERC 7: Use of functional fluid at industrial site.</w:t>
      </w:r>
    </w:p>
    <w:p w14:paraId="539888CF" w14:textId="3586CF46" w:rsidR="00420638" w:rsidRPr="00446D2F" w:rsidRDefault="00420638" w:rsidP="00CF1B60">
      <w:pPr>
        <w:pStyle w:val="Leipteksti"/>
        <w:numPr>
          <w:ilvl w:val="0"/>
          <w:numId w:val="40"/>
        </w:numPr>
        <w:spacing w:after="0"/>
        <w:rPr>
          <w:rFonts w:ascii="Verdana" w:hAnsi="Verdana"/>
          <w:sz w:val="16"/>
          <w:szCs w:val="16"/>
        </w:rPr>
      </w:pPr>
      <w:r w:rsidRPr="00446D2F">
        <w:rPr>
          <w:rFonts w:ascii="Verdana" w:hAnsi="Verdana"/>
          <w:sz w:val="16"/>
          <w:szCs w:val="16"/>
        </w:rPr>
        <w:t>ERC 8c: Widespread use leading to inclusion into/onto article (indoor).</w:t>
      </w:r>
    </w:p>
    <w:p w14:paraId="0FCA918A" w14:textId="630BA5FE" w:rsidR="00420638" w:rsidRPr="00446D2F" w:rsidRDefault="00420638" w:rsidP="00CF1B60">
      <w:pPr>
        <w:pStyle w:val="Leipteksti"/>
        <w:numPr>
          <w:ilvl w:val="0"/>
          <w:numId w:val="40"/>
        </w:numPr>
        <w:spacing w:after="0"/>
        <w:rPr>
          <w:rFonts w:ascii="Verdana" w:hAnsi="Verdana"/>
          <w:sz w:val="16"/>
          <w:szCs w:val="16"/>
        </w:rPr>
      </w:pPr>
      <w:r w:rsidRPr="00446D2F">
        <w:rPr>
          <w:rFonts w:ascii="Verdana" w:hAnsi="Verdana"/>
          <w:sz w:val="16"/>
          <w:szCs w:val="16"/>
        </w:rPr>
        <w:t>ERC 10a: Widespread use of articles with low release (outdoor).</w:t>
      </w:r>
    </w:p>
    <w:p w14:paraId="50EBED18" w14:textId="6419795A" w:rsidR="00420638" w:rsidRPr="00446D2F" w:rsidRDefault="00420638" w:rsidP="00CF1B60">
      <w:pPr>
        <w:pStyle w:val="Leipteksti"/>
        <w:numPr>
          <w:ilvl w:val="0"/>
          <w:numId w:val="40"/>
        </w:numPr>
        <w:spacing w:after="0"/>
        <w:rPr>
          <w:rFonts w:ascii="Verdana" w:hAnsi="Verdana"/>
          <w:sz w:val="16"/>
          <w:szCs w:val="16"/>
        </w:rPr>
      </w:pPr>
      <w:r w:rsidRPr="00446D2F">
        <w:rPr>
          <w:rFonts w:ascii="Verdana" w:hAnsi="Verdana"/>
          <w:sz w:val="16"/>
          <w:szCs w:val="16"/>
        </w:rPr>
        <w:t>ERC 11a: Widespread use of articles with low release (indoor)</w:t>
      </w:r>
    </w:p>
    <w:p w14:paraId="40514BE9" w14:textId="75D9043A" w:rsidR="00420638" w:rsidRPr="00446D2F" w:rsidRDefault="00420638" w:rsidP="00CF1B60">
      <w:pPr>
        <w:pStyle w:val="Leipteksti"/>
        <w:spacing w:after="0"/>
        <w:rPr>
          <w:rFonts w:ascii="Verdana" w:hAnsi="Verdana"/>
          <w:sz w:val="16"/>
          <w:szCs w:val="16"/>
        </w:rPr>
      </w:pPr>
      <w:r w:rsidRPr="00446D2F">
        <w:rPr>
          <w:rFonts w:ascii="Verdana" w:hAnsi="Verdana"/>
          <w:sz w:val="16"/>
          <w:szCs w:val="16"/>
        </w:rPr>
        <w:t>Article categories (AC):</w:t>
      </w:r>
    </w:p>
    <w:p w14:paraId="2184231A" w14:textId="0C16A83B" w:rsidR="00420638" w:rsidRPr="00446D2F" w:rsidRDefault="00420638" w:rsidP="00CF1B60">
      <w:pPr>
        <w:pStyle w:val="Leipteksti"/>
        <w:numPr>
          <w:ilvl w:val="0"/>
          <w:numId w:val="41"/>
        </w:numPr>
        <w:spacing w:after="0"/>
        <w:rPr>
          <w:rFonts w:ascii="Verdana" w:hAnsi="Verdana"/>
          <w:sz w:val="16"/>
          <w:szCs w:val="16"/>
        </w:rPr>
      </w:pPr>
      <w:r w:rsidRPr="00446D2F">
        <w:rPr>
          <w:rFonts w:ascii="Verdana" w:hAnsi="Verdana"/>
          <w:sz w:val="16"/>
          <w:szCs w:val="16"/>
        </w:rPr>
        <w:t>AC 1: Vehicles.</w:t>
      </w:r>
    </w:p>
    <w:p w14:paraId="5C4086B2" w14:textId="253CAC26" w:rsidR="00420638" w:rsidRDefault="00420638" w:rsidP="00CF1B60">
      <w:pPr>
        <w:pStyle w:val="Leipteksti"/>
        <w:numPr>
          <w:ilvl w:val="0"/>
          <w:numId w:val="41"/>
        </w:numPr>
        <w:spacing w:after="0"/>
        <w:rPr>
          <w:rFonts w:ascii="Verdana" w:hAnsi="Verdana"/>
          <w:sz w:val="16"/>
          <w:szCs w:val="16"/>
        </w:rPr>
      </w:pPr>
      <w:r w:rsidRPr="00446D2F">
        <w:rPr>
          <w:rFonts w:ascii="Verdana" w:hAnsi="Verdana"/>
          <w:sz w:val="16"/>
          <w:szCs w:val="16"/>
        </w:rPr>
        <w:t>AC 10: Rubber articles.</w:t>
      </w:r>
    </w:p>
    <w:p w14:paraId="55B060D2" w14:textId="77777777" w:rsidR="00C92F23" w:rsidRPr="00446D2F" w:rsidRDefault="00C92F23" w:rsidP="00C92F23">
      <w:pPr>
        <w:pStyle w:val="Leipteksti"/>
        <w:spacing w:after="120"/>
        <w:rPr>
          <w:rFonts w:ascii="Verdana" w:hAnsi="Verdana"/>
          <w:sz w:val="16"/>
          <w:szCs w:val="16"/>
        </w:rPr>
      </w:pPr>
    </w:p>
    <w:p w14:paraId="39B96AE3" w14:textId="77777777" w:rsidR="001A4BCD" w:rsidRDefault="001A4BCD" w:rsidP="001A4BCD">
      <w:pPr>
        <w:pStyle w:val="Otsikko2"/>
        <w:tabs>
          <w:tab w:val="clear" w:pos="839"/>
          <w:tab w:val="num" w:pos="540"/>
        </w:tabs>
        <w:spacing w:before="240"/>
        <w:ind w:left="540" w:hanging="540"/>
        <w:rPr>
          <w:szCs w:val="24"/>
        </w:rPr>
      </w:pPr>
      <w:r w:rsidRPr="00F23911">
        <w:rPr>
          <w:szCs w:val="24"/>
        </w:rPr>
        <w:t>Additional information</w:t>
      </w:r>
    </w:p>
    <w:p w14:paraId="75B29F85" w14:textId="77777777" w:rsidR="004E1A39" w:rsidRDefault="004E1A39">
      <w:pPr>
        <w:spacing w:after="0"/>
        <w:rPr>
          <w:rFonts w:ascii="Verdana" w:hAnsi="Verdana"/>
          <w:b/>
          <w:sz w:val="20"/>
          <w:szCs w:val="20"/>
        </w:rPr>
      </w:pPr>
    </w:p>
    <w:p w14:paraId="29A91BA4" w14:textId="774788C9" w:rsidR="00015CD5" w:rsidRDefault="00015CD5">
      <w:pPr>
        <w:spacing w:after="0"/>
        <w:rPr>
          <w:rFonts w:ascii="Verdana" w:hAnsi="Verdana"/>
        </w:rPr>
      </w:pPr>
      <w:r w:rsidRPr="00101024">
        <w:rPr>
          <w:rFonts w:ascii="Verdana" w:hAnsi="Verdana"/>
          <w:b/>
          <w:sz w:val="20"/>
          <w:szCs w:val="20"/>
        </w:rPr>
        <w:t>Finnish Chemical Product Register</w:t>
      </w:r>
      <w:r>
        <w:rPr>
          <w:rFonts w:ascii="Verdana" w:hAnsi="Verdana"/>
        </w:rPr>
        <w:t xml:space="preserve"> </w:t>
      </w:r>
    </w:p>
    <w:p w14:paraId="36936955" w14:textId="0E577F35" w:rsidR="00015CD5" w:rsidRDefault="00015CD5">
      <w:pPr>
        <w:spacing w:after="0"/>
        <w:rPr>
          <w:rFonts w:ascii="Verdana" w:hAnsi="Verdana"/>
        </w:rPr>
      </w:pPr>
    </w:p>
    <w:p w14:paraId="0F7FB261" w14:textId="7E1342CC" w:rsidR="00696F86" w:rsidRDefault="009927CF" w:rsidP="005920F0">
      <w:pPr>
        <w:spacing w:after="0"/>
        <w:jc w:val="both"/>
        <w:rPr>
          <w:rFonts w:ascii="Verdana" w:hAnsi="Verdana"/>
          <w:sz w:val="20"/>
          <w:szCs w:val="20"/>
        </w:rPr>
      </w:pPr>
      <w:r>
        <w:rPr>
          <w:rFonts w:ascii="Verdana" w:hAnsi="Verdana"/>
          <w:sz w:val="20"/>
          <w:szCs w:val="20"/>
        </w:rPr>
        <w:t>M</w:t>
      </w:r>
      <w:r w:rsidR="006350C1">
        <w:rPr>
          <w:rFonts w:ascii="Verdana" w:hAnsi="Verdana"/>
          <w:sz w:val="20"/>
          <w:szCs w:val="20"/>
        </w:rPr>
        <w:t xml:space="preserve">ore information about notifications </w:t>
      </w:r>
      <w:r w:rsidR="00EE69C9">
        <w:rPr>
          <w:rFonts w:ascii="Verdana" w:hAnsi="Verdana"/>
          <w:sz w:val="20"/>
          <w:szCs w:val="20"/>
        </w:rPr>
        <w:t>to the Finnish Chemical Product register of</w:t>
      </w:r>
      <w:r w:rsidR="006350C1">
        <w:rPr>
          <w:rFonts w:ascii="Verdana" w:hAnsi="Verdana"/>
          <w:sz w:val="20"/>
          <w:szCs w:val="20"/>
        </w:rPr>
        <w:t xml:space="preserve"> dibenzylbenzene</w:t>
      </w:r>
      <w:r w:rsidR="00C92F23">
        <w:rPr>
          <w:rFonts w:ascii="Verdana" w:hAnsi="Verdana"/>
          <w:sz w:val="20"/>
          <w:szCs w:val="20"/>
        </w:rPr>
        <w:t xml:space="preserve"> (previous substance identity of d</w:t>
      </w:r>
      <w:r w:rsidR="00C92F23" w:rsidRPr="00C92F23">
        <w:rPr>
          <w:rFonts w:ascii="Verdana" w:hAnsi="Verdana"/>
          <w:sz w:val="20"/>
          <w:szCs w:val="20"/>
        </w:rPr>
        <w:t xml:space="preserve">ibenzylbenzene, </w:t>
      </w:r>
      <w:proofErr w:type="spellStart"/>
      <w:r w:rsidR="00C92F23" w:rsidRPr="00C92F23">
        <w:rPr>
          <w:rFonts w:ascii="Verdana" w:hAnsi="Verdana"/>
          <w:sz w:val="20"/>
          <w:szCs w:val="20"/>
        </w:rPr>
        <w:t>ar</w:t>
      </w:r>
      <w:proofErr w:type="spellEnd"/>
      <w:r w:rsidR="00C92F23" w:rsidRPr="00C92F23">
        <w:rPr>
          <w:rFonts w:ascii="Verdana" w:hAnsi="Verdana"/>
          <w:sz w:val="20"/>
          <w:szCs w:val="20"/>
        </w:rPr>
        <w:t>-methyl derivative</w:t>
      </w:r>
      <w:r w:rsidR="00C92F23">
        <w:rPr>
          <w:rFonts w:ascii="Verdana" w:hAnsi="Verdana"/>
          <w:sz w:val="20"/>
          <w:szCs w:val="20"/>
        </w:rPr>
        <w:t xml:space="preserve">) and </w:t>
      </w:r>
      <w:r w:rsidR="00CF4B97" w:rsidRPr="00CF4B97">
        <w:rPr>
          <w:rFonts w:ascii="Verdana" w:hAnsi="Verdana"/>
          <w:sz w:val="20"/>
          <w:szCs w:val="20"/>
        </w:rPr>
        <w:t>1,2,3,</w:t>
      </w:r>
      <w:proofErr w:type="gramStart"/>
      <w:r w:rsidR="00CF4B97" w:rsidRPr="00CF4B97">
        <w:rPr>
          <w:rFonts w:ascii="Verdana" w:hAnsi="Verdana"/>
          <w:sz w:val="20"/>
          <w:szCs w:val="20"/>
        </w:rPr>
        <w:t>4,-</w:t>
      </w:r>
      <w:proofErr w:type="gramEnd"/>
      <w:r w:rsidR="00CF4B97" w:rsidRPr="00CF4B97">
        <w:rPr>
          <w:rFonts w:ascii="Verdana" w:hAnsi="Verdana"/>
          <w:sz w:val="20"/>
          <w:szCs w:val="20"/>
        </w:rPr>
        <w:t>tetrahydro-(1-phenylethyl)-naphthalene</w:t>
      </w:r>
      <w:r w:rsidR="006350C1">
        <w:rPr>
          <w:rFonts w:ascii="Verdana" w:hAnsi="Verdana"/>
          <w:sz w:val="20"/>
          <w:szCs w:val="20"/>
        </w:rPr>
        <w:t xml:space="preserve"> is provided in the confidential Annex. </w:t>
      </w:r>
      <w:r w:rsidR="00696F86">
        <w:rPr>
          <w:rFonts w:ascii="Verdana" w:hAnsi="Verdana"/>
          <w:sz w:val="20"/>
          <w:szCs w:val="20"/>
        </w:rPr>
        <w:t xml:space="preserve"> </w:t>
      </w:r>
    </w:p>
    <w:p w14:paraId="3F84E1F0" w14:textId="77777777" w:rsidR="00696F86" w:rsidRDefault="00696F86">
      <w:pPr>
        <w:spacing w:after="0"/>
        <w:rPr>
          <w:rFonts w:ascii="Verdana" w:hAnsi="Verdana"/>
          <w:sz w:val="20"/>
          <w:szCs w:val="20"/>
        </w:rPr>
      </w:pPr>
    </w:p>
    <w:p w14:paraId="1501484D" w14:textId="77777777" w:rsidR="00696F86" w:rsidRPr="00E944B9" w:rsidRDefault="00696F86" w:rsidP="00696F86">
      <w:pPr>
        <w:spacing w:after="0"/>
        <w:rPr>
          <w:rFonts w:ascii="Verdana" w:hAnsi="Verdana"/>
          <w:b/>
          <w:sz w:val="20"/>
          <w:szCs w:val="20"/>
        </w:rPr>
      </w:pPr>
      <w:r w:rsidRPr="00E944B9">
        <w:rPr>
          <w:rFonts w:ascii="Verdana" w:hAnsi="Verdana"/>
          <w:b/>
          <w:sz w:val="20"/>
          <w:szCs w:val="20"/>
        </w:rPr>
        <w:t>Nordic Product Register (SPIN register)</w:t>
      </w:r>
    </w:p>
    <w:p w14:paraId="6D3F5C61" w14:textId="77777777" w:rsidR="00696F86" w:rsidRPr="00696F86" w:rsidRDefault="00696F86" w:rsidP="00696F86">
      <w:pPr>
        <w:spacing w:after="0"/>
        <w:rPr>
          <w:rFonts w:ascii="Verdana" w:hAnsi="Verdana"/>
          <w:sz w:val="20"/>
          <w:szCs w:val="20"/>
        </w:rPr>
      </w:pPr>
    </w:p>
    <w:p w14:paraId="39646C07" w14:textId="03FB4D36" w:rsidR="00696F86" w:rsidRDefault="00696F86" w:rsidP="005920F0">
      <w:pPr>
        <w:spacing w:after="0"/>
        <w:jc w:val="both"/>
        <w:rPr>
          <w:rFonts w:ascii="Verdana" w:hAnsi="Verdana"/>
          <w:sz w:val="20"/>
          <w:szCs w:val="20"/>
        </w:rPr>
      </w:pPr>
      <w:r w:rsidRPr="00696F86">
        <w:rPr>
          <w:rFonts w:ascii="Verdana" w:hAnsi="Verdana"/>
          <w:sz w:val="20"/>
          <w:szCs w:val="20"/>
        </w:rPr>
        <w:t xml:space="preserve">Substances in preparations in Nordic countries database </w:t>
      </w:r>
      <w:r w:rsidR="009927CF" w:rsidRPr="00696F86">
        <w:rPr>
          <w:rFonts w:ascii="Verdana" w:hAnsi="Verdana"/>
          <w:sz w:val="20"/>
          <w:szCs w:val="20"/>
        </w:rPr>
        <w:t xml:space="preserve">(SPIN) </w:t>
      </w:r>
      <w:r w:rsidRPr="00696F86">
        <w:rPr>
          <w:rFonts w:ascii="Verdana" w:hAnsi="Verdana"/>
          <w:sz w:val="20"/>
          <w:szCs w:val="20"/>
        </w:rPr>
        <w:t xml:space="preserve">is based on data from the Product Registries of Norway, Sweden, Denmark and Finland. The total tonnage and number of preparations of </w:t>
      </w:r>
      <w:proofErr w:type="spellStart"/>
      <w:r>
        <w:rPr>
          <w:rFonts w:ascii="Verdana" w:hAnsi="Verdana"/>
          <w:sz w:val="20"/>
          <w:szCs w:val="20"/>
        </w:rPr>
        <w:t>dibenzyltoluene</w:t>
      </w:r>
      <w:proofErr w:type="spellEnd"/>
      <w:r w:rsidRPr="00696F86">
        <w:rPr>
          <w:rFonts w:ascii="Verdana" w:hAnsi="Verdana"/>
          <w:sz w:val="20"/>
          <w:szCs w:val="20"/>
        </w:rPr>
        <w:t xml:space="preserve"> is shown in Figure 1. </w:t>
      </w:r>
    </w:p>
    <w:p w14:paraId="1D4A044D" w14:textId="3B93B173" w:rsidR="00696F86" w:rsidRDefault="00696F86" w:rsidP="00696F86">
      <w:pPr>
        <w:spacing w:after="0"/>
        <w:rPr>
          <w:rFonts w:ascii="Verdana" w:hAnsi="Verdana"/>
          <w:sz w:val="20"/>
          <w:szCs w:val="20"/>
        </w:rPr>
      </w:pPr>
    </w:p>
    <w:p w14:paraId="2C0B5A73" w14:textId="5405141B" w:rsidR="00696F86" w:rsidRDefault="004E1A39" w:rsidP="00696F86">
      <w:pPr>
        <w:spacing w:after="0"/>
        <w:rPr>
          <w:rFonts w:ascii="Verdana" w:hAnsi="Verdana"/>
          <w:sz w:val="20"/>
          <w:szCs w:val="20"/>
        </w:rPr>
      </w:pPr>
      <w:r>
        <w:rPr>
          <w:rFonts w:ascii="Verdana" w:hAnsi="Verdana"/>
          <w:noProof/>
          <w:sz w:val="20"/>
          <w:szCs w:val="20"/>
        </w:rPr>
        <w:drawing>
          <wp:inline distT="0" distB="0" distL="0" distR="0" wp14:anchorId="61E139C1" wp14:editId="3F34F8CB">
            <wp:extent cx="6045958" cy="2465808"/>
            <wp:effectExtent l="0" t="0" r="0" b="0"/>
            <wp:docPr id="4" name="Kuva 4" descr="Kuva, joka sisältää kohteen kartta, teksti&#10;&#10;Kuvaus luotu, erittäin korkea luotettav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in screensho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050166" cy="2467524"/>
                    </a:xfrm>
                    <a:prstGeom prst="rect">
                      <a:avLst/>
                    </a:prstGeom>
                  </pic:spPr>
                </pic:pic>
              </a:graphicData>
            </a:graphic>
          </wp:inline>
        </w:drawing>
      </w:r>
    </w:p>
    <w:p w14:paraId="459EE9C2" w14:textId="77777777" w:rsidR="00696F86" w:rsidRDefault="00696F86" w:rsidP="00696F86">
      <w:pPr>
        <w:spacing w:after="0"/>
        <w:rPr>
          <w:rFonts w:ascii="Verdana" w:hAnsi="Verdana"/>
          <w:sz w:val="20"/>
          <w:szCs w:val="20"/>
        </w:rPr>
      </w:pPr>
    </w:p>
    <w:p w14:paraId="39B96AEB" w14:textId="073C8C65" w:rsidR="0024332C" w:rsidRPr="00E944B9" w:rsidRDefault="00696F86" w:rsidP="00696F86">
      <w:pPr>
        <w:spacing w:after="0"/>
        <w:rPr>
          <w:rFonts w:ascii="Verdana" w:hAnsi="Verdana"/>
          <w:b/>
          <w:caps/>
          <w:sz w:val="20"/>
          <w:szCs w:val="20"/>
          <w:lang w:val="en-GB"/>
        </w:rPr>
      </w:pPr>
      <w:bookmarkStart w:id="40" w:name="_Ref488760801"/>
      <w:r w:rsidRPr="00E944B9">
        <w:rPr>
          <w:rFonts w:ascii="Verdana" w:hAnsi="Verdana"/>
          <w:sz w:val="20"/>
          <w:szCs w:val="20"/>
        </w:rPr>
        <w:t xml:space="preserve">Figure </w:t>
      </w:r>
      <w:r w:rsidRPr="00E944B9">
        <w:rPr>
          <w:rFonts w:ascii="Verdana" w:hAnsi="Verdana"/>
          <w:sz w:val="20"/>
          <w:szCs w:val="20"/>
        </w:rPr>
        <w:fldChar w:fldCharType="begin"/>
      </w:r>
      <w:r w:rsidRPr="00E944B9">
        <w:rPr>
          <w:rFonts w:ascii="Verdana" w:hAnsi="Verdana"/>
          <w:sz w:val="20"/>
          <w:szCs w:val="20"/>
        </w:rPr>
        <w:instrText xml:space="preserve"> SEQ Figure \* ARABIC </w:instrText>
      </w:r>
      <w:r w:rsidRPr="00E944B9">
        <w:rPr>
          <w:rFonts w:ascii="Verdana" w:hAnsi="Verdana"/>
          <w:sz w:val="20"/>
          <w:szCs w:val="20"/>
        </w:rPr>
        <w:fldChar w:fldCharType="separate"/>
      </w:r>
      <w:r w:rsidRPr="00E944B9">
        <w:rPr>
          <w:rFonts w:ascii="Verdana" w:hAnsi="Verdana"/>
          <w:noProof/>
          <w:sz w:val="20"/>
          <w:szCs w:val="20"/>
        </w:rPr>
        <w:t>1</w:t>
      </w:r>
      <w:r w:rsidRPr="00E944B9">
        <w:rPr>
          <w:rFonts w:ascii="Verdana" w:hAnsi="Verdana"/>
          <w:noProof/>
          <w:sz w:val="20"/>
          <w:szCs w:val="20"/>
        </w:rPr>
        <w:fldChar w:fldCharType="end"/>
      </w:r>
      <w:bookmarkEnd w:id="40"/>
      <w:r w:rsidRPr="00E944B9">
        <w:rPr>
          <w:rFonts w:ascii="Verdana" w:hAnsi="Verdana"/>
          <w:sz w:val="20"/>
          <w:szCs w:val="20"/>
        </w:rPr>
        <w:t xml:space="preserve">. Total amount of </w:t>
      </w:r>
      <w:proofErr w:type="spellStart"/>
      <w:r w:rsidR="004E1A39">
        <w:rPr>
          <w:rFonts w:ascii="Verdana" w:hAnsi="Verdana"/>
          <w:sz w:val="20"/>
          <w:szCs w:val="20"/>
        </w:rPr>
        <w:t>dibenzyltoluene</w:t>
      </w:r>
      <w:proofErr w:type="spellEnd"/>
      <w:r w:rsidRPr="00E944B9">
        <w:rPr>
          <w:rFonts w:ascii="Verdana" w:hAnsi="Verdana"/>
          <w:sz w:val="20"/>
          <w:szCs w:val="20"/>
        </w:rPr>
        <w:t xml:space="preserve"> in preparations and total number of preparations in the Nordic countries</w:t>
      </w:r>
      <w:r w:rsidR="004E1A39">
        <w:rPr>
          <w:rFonts w:ascii="Verdana" w:hAnsi="Verdana"/>
          <w:sz w:val="20"/>
          <w:szCs w:val="20"/>
        </w:rPr>
        <w:t>.</w:t>
      </w:r>
      <w:r w:rsidRPr="00696F86">
        <w:rPr>
          <w:rFonts w:ascii="Verdana" w:hAnsi="Verdana"/>
          <w:sz w:val="20"/>
          <w:szCs w:val="20"/>
        </w:rPr>
        <w:t xml:space="preserve"> </w:t>
      </w:r>
      <w:r w:rsidR="0024332C" w:rsidRPr="00E944B9">
        <w:rPr>
          <w:rFonts w:ascii="Verdana" w:hAnsi="Verdana"/>
          <w:sz w:val="20"/>
          <w:szCs w:val="20"/>
        </w:rPr>
        <w:br w:type="page"/>
      </w:r>
    </w:p>
    <w:p w14:paraId="39B96AEC" w14:textId="77777777" w:rsidR="00080134" w:rsidRDefault="009972DE" w:rsidP="00080134">
      <w:pPr>
        <w:pStyle w:val="Otsikko1"/>
        <w:tabs>
          <w:tab w:val="clear" w:pos="839"/>
          <w:tab w:val="num" w:pos="360"/>
        </w:tabs>
        <w:spacing w:before="240"/>
        <w:ind w:left="360" w:hanging="360"/>
        <w:rPr>
          <w:rFonts w:ascii="Verdana" w:hAnsi="Verdana"/>
        </w:rPr>
      </w:pPr>
      <w:r>
        <w:rPr>
          <w:rFonts w:ascii="Verdana" w:hAnsi="Verdana"/>
        </w:rPr>
        <w:lastRenderedPageBreak/>
        <w:t>Justification for the risk management option</w:t>
      </w:r>
    </w:p>
    <w:p w14:paraId="39B96AED" w14:textId="77777777" w:rsidR="00080134" w:rsidRDefault="00080134" w:rsidP="00080134">
      <w:pPr>
        <w:pStyle w:val="Otsikko2"/>
        <w:tabs>
          <w:tab w:val="clear" w:pos="839"/>
          <w:tab w:val="num" w:pos="540"/>
        </w:tabs>
        <w:spacing w:before="240"/>
        <w:ind w:left="540" w:hanging="540"/>
        <w:rPr>
          <w:szCs w:val="24"/>
        </w:rPr>
      </w:pPr>
      <w:r>
        <w:rPr>
          <w:szCs w:val="24"/>
        </w:rPr>
        <w:t>Need for (further) risk management</w:t>
      </w:r>
    </w:p>
    <w:p w14:paraId="39B96AF0" w14:textId="77777777" w:rsidR="001A4BCD" w:rsidRPr="00376715" w:rsidRDefault="001A4BCD" w:rsidP="001A4BCD">
      <w:pPr>
        <w:spacing w:after="0"/>
        <w:jc w:val="both"/>
        <w:rPr>
          <w:rFonts w:ascii="Verdana" w:hAnsi="Verdana"/>
          <w:i/>
          <w:sz w:val="20"/>
          <w:szCs w:val="20"/>
        </w:rPr>
      </w:pPr>
    </w:p>
    <w:p w14:paraId="39B96AF1" w14:textId="194E98BF" w:rsidR="001A4BCD" w:rsidRPr="007D2EEF" w:rsidRDefault="001A4BCD" w:rsidP="00E944B9">
      <w:pPr>
        <w:pStyle w:val="Kuvaotsikko"/>
        <w:rPr>
          <w:rFonts w:ascii="Verdana" w:hAnsi="Verdana"/>
          <w:b/>
          <w:sz w:val="20"/>
        </w:rPr>
      </w:pPr>
      <w:r w:rsidRPr="007D2EEF">
        <w:rPr>
          <w:rFonts w:ascii="Verdana" w:hAnsi="Verdana"/>
          <w:b/>
          <w:sz w:val="20"/>
        </w:rPr>
        <w:t>Table</w:t>
      </w:r>
      <w:r w:rsidR="00E669C1">
        <w:rPr>
          <w:rFonts w:ascii="Verdana" w:hAnsi="Verdana"/>
          <w:b/>
          <w:sz w:val="20"/>
        </w:rPr>
        <w:t xml:space="preserve"> 11</w:t>
      </w:r>
      <w:r w:rsidRPr="007D2EEF">
        <w:rPr>
          <w:rFonts w:ascii="Verdana" w:hAnsi="Verdana"/>
          <w:b/>
          <w:sz w:val="20"/>
        </w:rPr>
        <w:t>: SVHC Roadmap 2020 criteria</w:t>
      </w:r>
      <w:r w:rsidR="00D718E4">
        <w:rPr>
          <w:rFonts w:ascii="Verdana" w:hAnsi="Verdana"/>
          <w:b/>
          <w:sz w:val="20"/>
        </w:rPr>
        <w:t xml:space="preserve"> for </w:t>
      </w:r>
      <w:r w:rsidR="002E4BCF" w:rsidRPr="002E4BCF">
        <w:rPr>
          <w:rFonts w:ascii="Verdana" w:hAnsi="Verdana"/>
          <w:b/>
          <w:sz w:val="20"/>
        </w:rPr>
        <w:t xml:space="preserve">Dibenzylbenzene, </w:t>
      </w:r>
      <w:proofErr w:type="spellStart"/>
      <w:r w:rsidR="002E4BCF" w:rsidRPr="002E4BCF">
        <w:rPr>
          <w:rFonts w:ascii="Verdana" w:hAnsi="Verdana"/>
          <w:b/>
          <w:sz w:val="20"/>
        </w:rPr>
        <w:t>ar</w:t>
      </w:r>
      <w:proofErr w:type="spellEnd"/>
      <w:r w:rsidR="002E4BCF" w:rsidRPr="002E4BCF">
        <w:rPr>
          <w:rFonts w:ascii="Verdana" w:hAnsi="Verdana"/>
          <w:b/>
          <w:sz w:val="20"/>
        </w:rPr>
        <w:t xml:space="preserve">-methyl </w:t>
      </w:r>
      <w:r w:rsidR="00B57F3A">
        <w:rPr>
          <w:rFonts w:ascii="Verdana" w:hAnsi="Verdana"/>
          <w:b/>
          <w:sz w:val="20"/>
        </w:rPr>
        <w:t>derivative</w:t>
      </w:r>
      <w:r w:rsidR="002E4BCF">
        <w:rPr>
          <w:rFonts w:ascii="Verdana" w:hAnsi="Verdana"/>
          <w:b/>
          <w:sz w:val="20"/>
        </w:rPr>
        <w:t xml:space="preserve"> and </w:t>
      </w:r>
      <w:r w:rsidR="002E4BCF" w:rsidRPr="002E4BCF">
        <w:rPr>
          <w:rFonts w:ascii="Verdana" w:hAnsi="Verdana"/>
          <w:b/>
          <w:sz w:val="20"/>
        </w:rPr>
        <w:t>1,2,3,</w:t>
      </w:r>
      <w:proofErr w:type="gramStart"/>
      <w:r w:rsidR="002E4BCF" w:rsidRPr="002E4BCF">
        <w:rPr>
          <w:rFonts w:ascii="Verdana" w:hAnsi="Verdana"/>
          <w:b/>
          <w:sz w:val="20"/>
        </w:rPr>
        <w:t>4,-</w:t>
      </w:r>
      <w:proofErr w:type="gramEnd"/>
      <w:r w:rsidR="002E4BCF" w:rsidRPr="002E4BCF">
        <w:rPr>
          <w:rFonts w:ascii="Verdana" w:hAnsi="Verdana"/>
          <w:b/>
          <w:sz w:val="20"/>
        </w:rPr>
        <w:t>tetrahydro-(1-phenylethyl)-naphthalene</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1537"/>
        <w:gridCol w:w="1259"/>
      </w:tblGrid>
      <w:tr w:rsidR="001A4BCD" w:rsidRPr="00376715" w14:paraId="39B96AF5" w14:textId="77777777" w:rsidTr="00E31D69">
        <w:tc>
          <w:tcPr>
            <w:tcW w:w="5313" w:type="dxa"/>
            <w:shd w:val="clear" w:color="auto" w:fill="auto"/>
          </w:tcPr>
          <w:p w14:paraId="39B96AF2" w14:textId="77777777" w:rsidR="001A4BCD" w:rsidRPr="00376715" w:rsidRDefault="001A4BCD" w:rsidP="00E31D69">
            <w:pPr>
              <w:pStyle w:val="Luettelokappale"/>
              <w:ind w:left="360"/>
              <w:rPr>
                <w:rFonts w:ascii="Verdana" w:hAnsi="Verdana"/>
                <w:sz w:val="20"/>
                <w:szCs w:val="20"/>
              </w:rPr>
            </w:pPr>
          </w:p>
        </w:tc>
        <w:tc>
          <w:tcPr>
            <w:tcW w:w="1537" w:type="dxa"/>
            <w:shd w:val="clear" w:color="auto" w:fill="auto"/>
          </w:tcPr>
          <w:p w14:paraId="39B96AF3" w14:textId="77777777" w:rsidR="001A4BCD" w:rsidRPr="00376715" w:rsidRDefault="001A4BCD" w:rsidP="00E31D69">
            <w:pPr>
              <w:jc w:val="center"/>
              <w:rPr>
                <w:rFonts w:ascii="Verdana" w:hAnsi="Verdana"/>
                <w:sz w:val="20"/>
                <w:szCs w:val="20"/>
              </w:rPr>
            </w:pPr>
            <w:r w:rsidRPr="00376715">
              <w:rPr>
                <w:rFonts w:ascii="Verdana" w:hAnsi="Verdana"/>
                <w:sz w:val="20"/>
                <w:szCs w:val="20"/>
              </w:rPr>
              <w:t>Yes</w:t>
            </w:r>
          </w:p>
        </w:tc>
        <w:tc>
          <w:tcPr>
            <w:tcW w:w="1259" w:type="dxa"/>
            <w:shd w:val="clear" w:color="auto" w:fill="auto"/>
          </w:tcPr>
          <w:p w14:paraId="39B96AF4" w14:textId="77777777" w:rsidR="001A4BCD" w:rsidRPr="00376715" w:rsidRDefault="001A4BCD" w:rsidP="00E31D69">
            <w:pPr>
              <w:jc w:val="center"/>
              <w:rPr>
                <w:rFonts w:ascii="Verdana" w:hAnsi="Verdana"/>
                <w:sz w:val="20"/>
                <w:szCs w:val="20"/>
              </w:rPr>
            </w:pPr>
            <w:r w:rsidRPr="00376715">
              <w:rPr>
                <w:rFonts w:ascii="Verdana" w:hAnsi="Verdana"/>
                <w:sz w:val="20"/>
                <w:szCs w:val="20"/>
              </w:rPr>
              <w:t>No</w:t>
            </w:r>
          </w:p>
        </w:tc>
      </w:tr>
      <w:tr w:rsidR="00900660" w:rsidRPr="00376715" w14:paraId="39B96AF9" w14:textId="77777777" w:rsidTr="00E31D69">
        <w:tc>
          <w:tcPr>
            <w:tcW w:w="5313" w:type="dxa"/>
            <w:shd w:val="clear" w:color="auto" w:fill="auto"/>
          </w:tcPr>
          <w:p w14:paraId="39B96AF6" w14:textId="77777777" w:rsidR="00900660" w:rsidRPr="00376715" w:rsidRDefault="00900660" w:rsidP="00E31D69">
            <w:pPr>
              <w:rPr>
                <w:rFonts w:ascii="Verdana" w:hAnsi="Verdana"/>
                <w:sz w:val="20"/>
                <w:szCs w:val="20"/>
              </w:rPr>
            </w:pPr>
            <w:r w:rsidRPr="00376715">
              <w:rPr>
                <w:rFonts w:ascii="Verdana" w:hAnsi="Verdana"/>
                <w:sz w:val="20"/>
                <w:szCs w:val="20"/>
              </w:rPr>
              <w:t>a) Art 57 criteria fulfilled?</w:t>
            </w:r>
          </w:p>
        </w:tc>
        <w:tc>
          <w:tcPr>
            <w:tcW w:w="1537" w:type="dxa"/>
            <w:shd w:val="clear" w:color="auto" w:fill="auto"/>
          </w:tcPr>
          <w:p w14:paraId="39B96AF7" w14:textId="1648A75E" w:rsidR="00900660" w:rsidRPr="00376715" w:rsidRDefault="002E4BCF" w:rsidP="00744765">
            <w:pPr>
              <w:jc w:val="center"/>
              <w:rPr>
                <w:rFonts w:ascii="Verdana" w:hAnsi="Verdana"/>
                <w:sz w:val="20"/>
                <w:szCs w:val="20"/>
              </w:rPr>
            </w:pPr>
            <w:r>
              <w:rPr>
                <w:rFonts w:ascii="Verdana" w:hAnsi="Verdana"/>
                <w:sz w:val="20"/>
                <w:szCs w:val="20"/>
              </w:rPr>
              <w:t>x*</w:t>
            </w:r>
          </w:p>
        </w:tc>
        <w:tc>
          <w:tcPr>
            <w:tcW w:w="1259" w:type="dxa"/>
            <w:shd w:val="clear" w:color="auto" w:fill="auto"/>
          </w:tcPr>
          <w:p w14:paraId="39B96AF8" w14:textId="77777777" w:rsidR="00900660" w:rsidRPr="00376715" w:rsidRDefault="00900660" w:rsidP="00E31D69">
            <w:pPr>
              <w:rPr>
                <w:rFonts w:ascii="Verdana" w:hAnsi="Verdana"/>
                <w:sz w:val="20"/>
                <w:szCs w:val="20"/>
              </w:rPr>
            </w:pPr>
          </w:p>
        </w:tc>
      </w:tr>
      <w:tr w:rsidR="00900660" w:rsidRPr="00376715" w14:paraId="39B96AFD" w14:textId="77777777" w:rsidTr="00E31D69">
        <w:tc>
          <w:tcPr>
            <w:tcW w:w="5313" w:type="dxa"/>
            <w:shd w:val="clear" w:color="auto" w:fill="auto"/>
          </w:tcPr>
          <w:p w14:paraId="39B96AFA" w14:textId="77777777" w:rsidR="00900660" w:rsidRPr="00376715" w:rsidRDefault="00900660" w:rsidP="00E31D69">
            <w:pPr>
              <w:rPr>
                <w:rFonts w:ascii="Verdana" w:hAnsi="Verdana"/>
                <w:sz w:val="20"/>
                <w:szCs w:val="20"/>
              </w:rPr>
            </w:pPr>
            <w:r w:rsidRPr="00376715">
              <w:rPr>
                <w:rFonts w:ascii="Verdana" w:hAnsi="Verdana"/>
                <w:sz w:val="20"/>
                <w:szCs w:val="20"/>
              </w:rPr>
              <w:t>b) Registrations in accordance with Article 10?</w:t>
            </w:r>
          </w:p>
        </w:tc>
        <w:tc>
          <w:tcPr>
            <w:tcW w:w="1537" w:type="dxa"/>
            <w:shd w:val="clear" w:color="auto" w:fill="auto"/>
          </w:tcPr>
          <w:p w14:paraId="39B96AFB" w14:textId="4718AE0E" w:rsidR="00900660" w:rsidRPr="00376715" w:rsidRDefault="002E4BCF" w:rsidP="00744765">
            <w:pPr>
              <w:jc w:val="center"/>
              <w:rPr>
                <w:rFonts w:ascii="Verdana" w:hAnsi="Verdana"/>
                <w:sz w:val="20"/>
                <w:szCs w:val="20"/>
              </w:rPr>
            </w:pPr>
            <w:r>
              <w:rPr>
                <w:rFonts w:ascii="Verdana" w:hAnsi="Verdana"/>
                <w:sz w:val="20"/>
                <w:szCs w:val="20"/>
              </w:rPr>
              <w:t>x</w:t>
            </w:r>
          </w:p>
        </w:tc>
        <w:tc>
          <w:tcPr>
            <w:tcW w:w="1259" w:type="dxa"/>
            <w:shd w:val="clear" w:color="auto" w:fill="auto"/>
          </w:tcPr>
          <w:p w14:paraId="39B96AFC" w14:textId="77777777" w:rsidR="00900660" w:rsidRPr="00376715" w:rsidRDefault="00900660" w:rsidP="00E31D69">
            <w:pPr>
              <w:rPr>
                <w:rFonts w:ascii="Verdana" w:hAnsi="Verdana"/>
                <w:sz w:val="20"/>
                <w:szCs w:val="20"/>
              </w:rPr>
            </w:pPr>
          </w:p>
        </w:tc>
      </w:tr>
      <w:tr w:rsidR="00900660" w:rsidRPr="00376715" w14:paraId="39B96B01" w14:textId="77777777" w:rsidTr="00E31D69">
        <w:tc>
          <w:tcPr>
            <w:tcW w:w="5313" w:type="dxa"/>
            <w:shd w:val="clear" w:color="auto" w:fill="auto"/>
          </w:tcPr>
          <w:p w14:paraId="39B96AFE" w14:textId="77777777" w:rsidR="00900660" w:rsidRPr="00376715" w:rsidRDefault="00900660" w:rsidP="00E31D69">
            <w:pPr>
              <w:rPr>
                <w:rFonts w:ascii="Verdana" w:hAnsi="Verdana"/>
                <w:sz w:val="20"/>
                <w:szCs w:val="20"/>
              </w:rPr>
            </w:pPr>
            <w:r w:rsidRPr="00376715">
              <w:rPr>
                <w:rFonts w:ascii="Verdana" w:hAnsi="Verdana"/>
                <w:sz w:val="20"/>
                <w:szCs w:val="20"/>
              </w:rPr>
              <w:t>c) Registrations include uses within scope of authorisation?</w:t>
            </w:r>
          </w:p>
        </w:tc>
        <w:tc>
          <w:tcPr>
            <w:tcW w:w="1537" w:type="dxa"/>
            <w:shd w:val="clear" w:color="auto" w:fill="auto"/>
          </w:tcPr>
          <w:p w14:paraId="39B96AFF" w14:textId="02565BC0" w:rsidR="00900660" w:rsidRPr="00376715" w:rsidRDefault="002E4BCF" w:rsidP="00744765">
            <w:pPr>
              <w:jc w:val="center"/>
              <w:rPr>
                <w:rFonts w:ascii="Verdana" w:hAnsi="Verdana"/>
                <w:sz w:val="20"/>
                <w:szCs w:val="20"/>
              </w:rPr>
            </w:pPr>
            <w:r>
              <w:rPr>
                <w:rFonts w:ascii="Verdana" w:hAnsi="Verdana"/>
                <w:sz w:val="20"/>
                <w:szCs w:val="20"/>
              </w:rPr>
              <w:t>x</w:t>
            </w:r>
          </w:p>
        </w:tc>
        <w:tc>
          <w:tcPr>
            <w:tcW w:w="1259" w:type="dxa"/>
            <w:shd w:val="clear" w:color="auto" w:fill="auto"/>
          </w:tcPr>
          <w:p w14:paraId="39B96B00" w14:textId="77777777" w:rsidR="00900660" w:rsidRPr="00376715" w:rsidRDefault="00900660" w:rsidP="00E31D69">
            <w:pPr>
              <w:rPr>
                <w:rFonts w:ascii="Verdana" w:hAnsi="Verdana"/>
                <w:sz w:val="20"/>
                <w:szCs w:val="20"/>
              </w:rPr>
            </w:pPr>
          </w:p>
        </w:tc>
      </w:tr>
      <w:tr w:rsidR="00900660" w:rsidRPr="00376715" w14:paraId="39B96B05" w14:textId="77777777" w:rsidTr="00E31D69">
        <w:tc>
          <w:tcPr>
            <w:tcW w:w="5313" w:type="dxa"/>
            <w:shd w:val="clear" w:color="auto" w:fill="auto"/>
          </w:tcPr>
          <w:p w14:paraId="39B96B02" w14:textId="77777777" w:rsidR="00900660" w:rsidRPr="00376715" w:rsidRDefault="00900660" w:rsidP="00E31D69">
            <w:pPr>
              <w:rPr>
                <w:rFonts w:ascii="Verdana" w:hAnsi="Verdana"/>
                <w:sz w:val="20"/>
                <w:szCs w:val="20"/>
              </w:rPr>
            </w:pPr>
            <w:r w:rsidRPr="00376715">
              <w:rPr>
                <w:rFonts w:ascii="Verdana" w:hAnsi="Verdana"/>
                <w:sz w:val="20"/>
                <w:szCs w:val="20"/>
              </w:rPr>
              <w:t xml:space="preserve">d) Known uses </w:t>
            </w:r>
            <w:r w:rsidRPr="00376715">
              <w:rPr>
                <w:rFonts w:ascii="Verdana" w:hAnsi="Verdana"/>
                <w:sz w:val="20"/>
                <w:szCs w:val="20"/>
                <w:u w:val="single"/>
              </w:rPr>
              <w:t>not</w:t>
            </w:r>
            <w:r w:rsidRPr="00376715">
              <w:rPr>
                <w:rFonts w:ascii="Verdana" w:hAnsi="Verdana"/>
                <w:sz w:val="20"/>
                <w:szCs w:val="20"/>
              </w:rPr>
              <w:t xml:space="preserve"> already regulated by specific EU legislation that provides a pressure for substitution?</w:t>
            </w:r>
          </w:p>
        </w:tc>
        <w:tc>
          <w:tcPr>
            <w:tcW w:w="1537" w:type="dxa"/>
            <w:shd w:val="clear" w:color="auto" w:fill="auto"/>
          </w:tcPr>
          <w:p w14:paraId="39B96B03" w14:textId="460A8155" w:rsidR="00900660" w:rsidRPr="00376715" w:rsidRDefault="002E4BCF" w:rsidP="00744765">
            <w:pPr>
              <w:jc w:val="center"/>
              <w:rPr>
                <w:rFonts w:ascii="Verdana" w:hAnsi="Verdana"/>
                <w:sz w:val="20"/>
                <w:szCs w:val="20"/>
              </w:rPr>
            </w:pPr>
            <w:r>
              <w:rPr>
                <w:rFonts w:ascii="Verdana" w:hAnsi="Verdana"/>
                <w:sz w:val="20"/>
                <w:szCs w:val="20"/>
              </w:rPr>
              <w:t>x</w:t>
            </w:r>
          </w:p>
        </w:tc>
        <w:tc>
          <w:tcPr>
            <w:tcW w:w="1259" w:type="dxa"/>
            <w:shd w:val="clear" w:color="auto" w:fill="auto"/>
          </w:tcPr>
          <w:p w14:paraId="39B96B04" w14:textId="77777777" w:rsidR="00900660" w:rsidRPr="00376715" w:rsidRDefault="00900660" w:rsidP="00E31D69">
            <w:pPr>
              <w:rPr>
                <w:rFonts w:ascii="Verdana" w:hAnsi="Verdana"/>
                <w:sz w:val="20"/>
                <w:szCs w:val="20"/>
              </w:rPr>
            </w:pPr>
          </w:p>
        </w:tc>
      </w:tr>
    </w:tbl>
    <w:p w14:paraId="39B96B06" w14:textId="0A43B8E0" w:rsidR="001A4BCD" w:rsidRDefault="002E4BCF" w:rsidP="001A4BCD">
      <w:pPr>
        <w:spacing w:after="0"/>
        <w:jc w:val="both"/>
        <w:rPr>
          <w:rFonts w:ascii="Verdana" w:hAnsi="Verdana"/>
          <w:sz w:val="20"/>
          <w:szCs w:val="20"/>
        </w:rPr>
      </w:pPr>
      <w:r>
        <w:rPr>
          <w:rFonts w:ascii="Verdana" w:hAnsi="Verdana"/>
          <w:sz w:val="20"/>
          <w:szCs w:val="20"/>
        </w:rPr>
        <w:t xml:space="preserve">* </w:t>
      </w:r>
      <w:r w:rsidR="00F2755C">
        <w:rPr>
          <w:rFonts w:ascii="Verdana" w:hAnsi="Verdana"/>
          <w:sz w:val="20"/>
          <w:szCs w:val="20"/>
        </w:rPr>
        <w:t xml:space="preserve">Based on </w:t>
      </w:r>
      <w:r>
        <w:rPr>
          <w:rFonts w:ascii="Verdana" w:hAnsi="Verdana"/>
          <w:sz w:val="20"/>
          <w:szCs w:val="20"/>
        </w:rPr>
        <w:t>PBT/</w:t>
      </w:r>
      <w:proofErr w:type="spellStart"/>
      <w:r>
        <w:rPr>
          <w:rFonts w:ascii="Verdana" w:hAnsi="Verdana"/>
          <w:sz w:val="20"/>
          <w:szCs w:val="20"/>
        </w:rPr>
        <w:t>vPvB</w:t>
      </w:r>
      <w:proofErr w:type="spellEnd"/>
      <w:r>
        <w:rPr>
          <w:rFonts w:ascii="Verdana" w:hAnsi="Verdana"/>
          <w:sz w:val="20"/>
          <w:szCs w:val="20"/>
        </w:rPr>
        <w:t xml:space="preserve"> screening criteria</w:t>
      </w:r>
      <w:r w:rsidR="00F2755C">
        <w:rPr>
          <w:rFonts w:ascii="Verdana" w:hAnsi="Verdana"/>
          <w:sz w:val="20"/>
          <w:szCs w:val="20"/>
        </w:rPr>
        <w:t xml:space="preserve"> only</w:t>
      </w:r>
      <w:r>
        <w:rPr>
          <w:rFonts w:ascii="Verdana" w:hAnsi="Verdana"/>
          <w:sz w:val="20"/>
          <w:szCs w:val="20"/>
        </w:rPr>
        <w:t xml:space="preserve">. </w:t>
      </w:r>
    </w:p>
    <w:p w14:paraId="39B96B07" w14:textId="77777777" w:rsidR="00900660" w:rsidRPr="00900660" w:rsidRDefault="00900660" w:rsidP="001A4BCD">
      <w:pPr>
        <w:spacing w:after="0"/>
        <w:jc w:val="both"/>
        <w:rPr>
          <w:rFonts w:ascii="Verdana" w:hAnsi="Verdana"/>
          <w:sz w:val="20"/>
          <w:szCs w:val="20"/>
        </w:rPr>
      </w:pPr>
    </w:p>
    <w:p w14:paraId="179C2924" w14:textId="57576438" w:rsidR="00EC6233" w:rsidRDefault="003B5EE7" w:rsidP="001A4BCD">
      <w:pPr>
        <w:pStyle w:val="Leipteksti"/>
        <w:rPr>
          <w:rFonts w:ascii="Verdana" w:hAnsi="Verdana"/>
          <w:sz w:val="20"/>
        </w:rPr>
      </w:pPr>
      <w:r>
        <w:rPr>
          <w:rFonts w:ascii="Verdana" w:hAnsi="Verdana"/>
          <w:sz w:val="20"/>
          <w:lang w:val="en-US"/>
        </w:rPr>
        <w:t>D</w:t>
      </w:r>
      <w:proofErr w:type="spellStart"/>
      <w:r w:rsidR="00250854" w:rsidRPr="00E944B9">
        <w:rPr>
          <w:rFonts w:ascii="Verdana" w:hAnsi="Verdana"/>
          <w:sz w:val="20"/>
        </w:rPr>
        <w:t>ibenzylbenzene</w:t>
      </w:r>
      <w:proofErr w:type="spellEnd"/>
      <w:r w:rsidR="00250854" w:rsidRPr="00E944B9">
        <w:rPr>
          <w:rFonts w:ascii="Verdana" w:hAnsi="Verdana"/>
          <w:sz w:val="20"/>
        </w:rPr>
        <w:t xml:space="preserve">, </w:t>
      </w:r>
      <w:proofErr w:type="spellStart"/>
      <w:r w:rsidR="00250854" w:rsidRPr="00E944B9">
        <w:rPr>
          <w:rFonts w:ascii="Verdana" w:hAnsi="Verdana"/>
          <w:sz w:val="20"/>
        </w:rPr>
        <w:t>ar</w:t>
      </w:r>
      <w:proofErr w:type="spellEnd"/>
      <w:r w:rsidR="00250854" w:rsidRPr="00E944B9">
        <w:rPr>
          <w:rFonts w:ascii="Verdana" w:hAnsi="Verdana"/>
          <w:sz w:val="20"/>
        </w:rPr>
        <w:t xml:space="preserve">-methyl </w:t>
      </w:r>
      <w:r w:rsidR="00250854">
        <w:rPr>
          <w:rFonts w:ascii="Verdana" w:hAnsi="Verdana"/>
          <w:sz w:val="20"/>
        </w:rPr>
        <w:t>derivative</w:t>
      </w:r>
      <w:r w:rsidR="00250854" w:rsidRPr="00E944B9">
        <w:rPr>
          <w:rFonts w:ascii="Verdana" w:hAnsi="Verdana"/>
          <w:sz w:val="20"/>
        </w:rPr>
        <w:t xml:space="preserve"> and </w:t>
      </w:r>
      <w:r w:rsidR="006D0213" w:rsidRPr="006D0213">
        <w:rPr>
          <w:rFonts w:ascii="Verdana" w:hAnsi="Verdana"/>
          <w:sz w:val="20"/>
        </w:rPr>
        <w:t>6-(1-phenylethyl)-1,2,3,4-tetrahydronaphthalene</w:t>
      </w:r>
      <w:r w:rsidR="00250854">
        <w:rPr>
          <w:rFonts w:ascii="Verdana" w:hAnsi="Verdana"/>
          <w:sz w:val="20"/>
        </w:rPr>
        <w:t xml:space="preserve"> share similar use as heat transfer fluids as terphenyl, hydrogenated</w:t>
      </w:r>
      <w:r w:rsidR="006A6BF2">
        <w:rPr>
          <w:rFonts w:ascii="Verdana" w:hAnsi="Verdana"/>
          <w:sz w:val="20"/>
        </w:rPr>
        <w:t>. T</w:t>
      </w:r>
      <w:r w:rsidR="002C4EF7">
        <w:rPr>
          <w:rFonts w:ascii="Verdana" w:hAnsi="Verdana"/>
          <w:sz w:val="20"/>
        </w:rPr>
        <w:t>he</w:t>
      </w:r>
      <w:r w:rsidR="006A6BF2">
        <w:rPr>
          <w:rFonts w:ascii="Verdana" w:hAnsi="Verdana"/>
          <w:sz w:val="20"/>
        </w:rPr>
        <w:t>se substances</w:t>
      </w:r>
      <w:r w:rsidR="002C4EF7">
        <w:rPr>
          <w:rFonts w:ascii="Verdana" w:hAnsi="Verdana"/>
          <w:sz w:val="20"/>
        </w:rPr>
        <w:t xml:space="preserve"> </w:t>
      </w:r>
      <w:r w:rsidR="00250854">
        <w:rPr>
          <w:rFonts w:ascii="Verdana" w:hAnsi="Verdana"/>
          <w:sz w:val="20"/>
        </w:rPr>
        <w:t xml:space="preserve">could be direct substitutes </w:t>
      </w:r>
      <w:r w:rsidR="00250854" w:rsidRPr="009B2B06">
        <w:rPr>
          <w:rFonts w:ascii="Verdana" w:hAnsi="Verdana"/>
          <w:sz w:val="20"/>
        </w:rPr>
        <w:t>for terphenyl</w:t>
      </w:r>
      <w:r w:rsidR="00DE073D">
        <w:rPr>
          <w:rFonts w:ascii="Verdana" w:hAnsi="Verdana"/>
          <w:sz w:val="20"/>
        </w:rPr>
        <w:t>,</w:t>
      </w:r>
      <w:r w:rsidR="00250854" w:rsidRPr="009B2B06">
        <w:rPr>
          <w:rFonts w:ascii="Verdana" w:hAnsi="Verdana"/>
          <w:sz w:val="20"/>
        </w:rPr>
        <w:t xml:space="preserve"> hydrogenated</w:t>
      </w:r>
      <w:r w:rsidR="00250854">
        <w:rPr>
          <w:rFonts w:ascii="Verdana" w:hAnsi="Verdana"/>
          <w:b/>
          <w:sz w:val="20"/>
        </w:rPr>
        <w:t xml:space="preserve"> </w:t>
      </w:r>
      <w:r w:rsidR="00E66140">
        <w:rPr>
          <w:rFonts w:ascii="Verdana" w:hAnsi="Verdana"/>
          <w:sz w:val="20"/>
        </w:rPr>
        <w:t xml:space="preserve">at </w:t>
      </w:r>
      <w:r w:rsidR="00250854">
        <w:rPr>
          <w:rFonts w:ascii="Verdana" w:hAnsi="Verdana"/>
          <w:sz w:val="20"/>
        </w:rPr>
        <w:t xml:space="preserve">specific high temperature, non-pressurised heat transfer systems. </w:t>
      </w:r>
      <w:r w:rsidR="002E4BCF">
        <w:rPr>
          <w:rFonts w:ascii="Verdana" w:hAnsi="Verdana"/>
          <w:sz w:val="20"/>
        </w:rPr>
        <w:t xml:space="preserve">Based on </w:t>
      </w:r>
      <w:r w:rsidR="006A6BF2">
        <w:rPr>
          <w:rFonts w:ascii="Verdana" w:hAnsi="Verdana"/>
          <w:sz w:val="20"/>
        </w:rPr>
        <w:t xml:space="preserve">the </w:t>
      </w:r>
      <w:r w:rsidR="002E4BCF">
        <w:rPr>
          <w:rFonts w:ascii="Verdana" w:hAnsi="Verdana"/>
          <w:sz w:val="20"/>
        </w:rPr>
        <w:t>screening level information</w:t>
      </w:r>
      <w:r w:rsidR="00EC6233">
        <w:rPr>
          <w:rFonts w:ascii="Verdana" w:hAnsi="Verdana"/>
          <w:sz w:val="20"/>
        </w:rPr>
        <w:t xml:space="preserve"> </w:t>
      </w:r>
      <w:r w:rsidR="00250854">
        <w:rPr>
          <w:rFonts w:ascii="Verdana" w:hAnsi="Verdana"/>
          <w:sz w:val="20"/>
        </w:rPr>
        <w:t xml:space="preserve">these alternative substances </w:t>
      </w:r>
      <w:r w:rsidR="00EC6233">
        <w:rPr>
          <w:rFonts w:ascii="Verdana" w:hAnsi="Verdana"/>
          <w:sz w:val="20"/>
        </w:rPr>
        <w:t>might have similar PBT/</w:t>
      </w:r>
      <w:proofErr w:type="spellStart"/>
      <w:r w:rsidR="00EC6233">
        <w:rPr>
          <w:rFonts w:ascii="Verdana" w:hAnsi="Verdana"/>
          <w:sz w:val="20"/>
        </w:rPr>
        <w:t>vPvB</w:t>
      </w:r>
      <w:proofErr w:type="spellEnd"/>
      <w:r w:rsidR="00EC6233">
        <w:rPr>
          <w:rFonts w:ascii="Verdana" w:hAnsi="Verdana"/>
          <w:sz w:val="20"/>
        </w:rPr>
        <w:t xml:space="preserve"> properties as terphenyl</w:t>
      </w:r>
      <w:r w:rsidR="009927CF">
        <w:rPr>
          <w:rFonts w:ascii="Verdana" w:hAnsi="Verdana"/>
          <w:sz w:val="20"/>
        </w:rPr>
        <w:t>,</w:t>
      </w:r>
      <w:r w:rsidR="00EC6233">
        <w:rPr>
          <w:rFonts w:ascii="Verdana" w:hAnsi="Verdana"/>
          <w:sz w:val="20"/>
        </w:rPr>
        <w:t xml:space="preserve"> hydrogenated, which is already </w:t>
      </w:r>
      <w:r w:rsidR="009F6947">
        <w:rPr>
          <w:rFonts w:ascii="Verdana" w:hAnsi="Verdana"/>
          <w:sz w:val="20"/>
        </w:rPr>
        <w:t xml:space="preserve">on </w:t>
      </w:r>
      <w:r w:rsidR="00EC6233">
        <w:rPr>
          <w:rFonts w:ascii="Verdana" w:hAnsi="Verdana"/>
          <w:sz w:val="20"/>
        </w:rPr>
        <w:t>the Candidate List</w:t>
      </w:r>
      <w:r w:rsidR="00EF502E">
        <w:rPr>
          <w:rFonts w:ascii="Verdana" w:hAnsi="Verdana"/>
          <w:sz w:val="20"/>
        </w:rPr>
        <w:t xml:space="preserve"> of SVHC </w:t>
      </w:r>
      <w:r w:rsidR="00927245">
        <w:rPr>
          <w:rFonts w:ascii="Verdana" w:hAnsi="Verdana"/>
          <w:sz w:val="20"/>
        </w:rPr>
        <w:t>according to the procedure set in REACH Article 59</w:t>
      </w:r>
      <w:r w:rsidR="00EC6233">
        <w:rPr>
          <w:rFonts w:ascii="Verdana" w:hAnsi="Verdana"/>
          <w:sz w:val="20"/>
        </w:rPr>
        <w:t>. To avoid regrettable substitution</w:t>
      </w:r>
      <w:r w:rsidR="00250854">
        <w:rPr>
          <w:rFonts w:ascii="Verdana" w:hAnsi="Verdana"/>
          <w:sz w:val="20"/>
        </w:rPr>
        <w:t xml:space="preserve"> of terphenyl</w:t>
      </w:r>
      <w:r w:rsidR="00DE073D">
        <w:rPr>
          <w:rFonts w:ascii="Verdana" w:hAnsi="Verdana"/>
          <w:sz w:val="20"/>
        </w:rPr>
        <w:t>,</w:t>
      </w:r>
      <w:r w:rsidR="00250854">
        <w:rPr>
          <w:rFonts w:ascii="Verdana" w:hAnsi="Verdana"/>
          <w:sz w:val="20"/>
        </w:rPr>
        <w:t xml:space="preserve"> hydrogenated</w:t>
      </w:r>
      <w:r w:rsidR="00EC6233">
        <w:rPr>
          <w:rFonts w:ascii="Verdana" w:hAnsi="Verdana"/>
          <w:sz w:val="20"/>
        </w:rPr>
        <w:t>,</w:t>
      </w:r>
      <w:r w:rsidR="00927245">
        <w:rPr>
          <w:rFonts w:ascii="Verdana" w:hAnsi="Verdana"/>
          <w:sz w:val="20"/>
        </w:rPr>
        <w:t xml:space="preserve"> </w:t>
      </w:r>
      <w:r w:rsidR="00EC6233">
        <w:rPr>
          <w:rFonts w:ascii="Verdana" w:hAnsi="Verdana"/>
          <w:sz w:val="20"/>
        </w:rPr>
        <w:t>PBT</w:t>
      </w:r>
      <w:r w:rsidR="00250854">
        <w:rPr>
          <w:rFonts w:ascii="Verdana" w:hAnsi="Verdana"/>
          <w:sz w:val="20"/>
        </w:rPr>
        <w:t>/</w:t>
      </w:r>
      <w:proofErr w:type="spellStart"/>
      <w:r w:rsidR="00250854">
        <w:rPr>
          <w:rFonts w:ascii="Verdana" w:hAnsi="Verdana"/>
          <w:sz w:val="20"/>
        </w:rPr>
        <w:t>vPvB</w:t>
      </w:r>
      <w:proofErr w:type="spellEnd"/>
      <w:r w:rsidR="00EC6233">
        <w:rPr>
          <w:rFonts w:ascii="Verdana" w:hAnsi="Verdana"/>
          <w:sz w:val="20"/>
        </w:rPr>
        <w:t xml:space="preserve"> properties of </w:t>
      </w:r>
      <w:r w:rsidR="00250854">
        <w:rPr>
          <w:rFonts w:ascii="Verdana" w:hAnsi="Verdana"/>
          <w:sz w:val="20"/>
        </w:rPr>
        <w:t xml:space="preserve">the </w:t>
      </w:r>
      <w:r w:rsidR="00EC6233">
        <w:rPr>
          <w:rFonts w:ascii="Verdana" w:hAnsi="Verdana"/>
          <w:sz w:val="20"/>
        </w:rPr>
        <w:t xml:space="preserve">alternative substances </w:t>
      </w:r>
      <w:r w:rsidR="00927245">
        <w:rPr>
          <w:rFonts w:ascii="Verdana" w:hAnsi="Verdana"/>
          <w:sz w:val="20"/>
        </w:rPr>
        <w:t>should</w:t>
      </w:r>
      <w:r w:rsidR="00EC6233">
        <w:rPr>
          <w:rFonts w:ascii="Verdana" w:hAnsi="Verdana"/>
          <w:sz w:val="20"/>
        </w:rPr>
        <w:t xml:space="preserve"> be assessed. </w:t>
      </w:r>
    </w:p>
    <w:p w14:paraId="5EF0D931" w14:textId="1F730335" w:rsidR="00616E0B" w:rsidRDefault="00102C9D" w:rsidP="001A4BCD">
      <w:pPr>
        <w:pStyle w:val="Leipteksti"/>
        <w:rPr>
          <w:rFonts w:ascii="Verdana" w:hAnsi="Verdana"/>
          <w:sz w:val="20"/>
        </w:rPr>
      </w:pPr>
      <w:r>
        <w:rPr>
          <w:rFonts w:ascii="Verdana" w:hAnsi="Verdana"/>
          <w:sz w:val="20"/>
        </w:rPr>
        <w:t>D</w:t>
      </w:r>
      <w:r w:rsidR="00250854" w:rsidRPr="00E944B9">
        <w:rPr>
          <w:rFonts w:ascii="Verdana" w:hAnsi="Verdana"/>
          <w:sz w:val="20"/>
        </w:rPr>
        <w:t xml:space="preserve">ibenzylbenzene, </w:t>
      </w:r>
      <w:proofErr w:type="spellStart"/>
      <w:r w:rsidR="00250854" w:rsidRPr="00E944B9">
        <w:rPr>
          <w:rFonts w:ascii="Verdana" w:hAnsi="Verdana"/>
          <w:sz w:val="20"/>
        </w:rPr>
        <w:t>ar</w:t>
      </w:r>
      <w:proofErr w:type="spellEnd"/>
      <w:r w:rsidR="00250854" w:rsidRPr="00E944B9">
        <w:rPr>
          <w:rFonts w:ascii="Verdana" w:hAnsi="Verdana"/>
          <w:sz w:val="20"/>
        </w:rPr>
        <w:t xml:space="preserve">-methyl </w:t>
      </w:r>
      <w:r w:rsidR="00250854">
        <w:rPr>
          <w:rFonts w:ascii="Verdana" w:hAnsi="Verdana"/>
          <w:sz w:val="20"/>
        </w:rPr>
        <w:t>derivative</w:t>
      </w:r>
      <w:r w:rsidR="00250854" w:rsidRPr="00E944B9">
        <w:rPr>
          <w:rFonts w:ascii="Verdana" w:hAnsi="Verdana"/>
          <w:sz w:val="20"/>
        </w:rPr>
        <w:t xml:space="preserve"> </w:t>
      </w:r>
      <w:r>
        <w:rPr>
          <w:rFonts w:ascii="Verdana" w:hAnsi="Verdana"/>
          <w:sz w:val="20"/>
        </w:rPr>
        <w:t>is</w:t>
      </w:r>
      <w:r w:rsidR="002E4BCF">
        <w:rPr>
          <w:rFonts w:ascii="Verdana" w:hAnsi="Verdana"/>
          <w:sz w:val="20"/>
        </w:rPr>
        <w:t xml:space="preserve"> currently</w:t>
      </w:r>
      <w:r w:rsidR="00616E0B">
        <w:rPr>
          <w:rFonts w:ascii="Verdana" w:hAnsi="Verdana"/>
          <w:sz w:val="20"/>
        </w:rPr>
        <w:t xml:space="preserve"> not</w:t>
      </w:r>
      <w:r w:rsidR="002E4BCF">
        <w:rPr>
          <w:rFonts w:ascii="Verdana" w:hAnsi="Verdana"/>
          <w:sz w:val="20"/>
        </w:rPr>
        <w:t xml:space="preserve"> treated as PBT/</w:t>
      </w:r>
      <w:proofErr w:type="spellStart"/>
      <w:r w:rsidR="002E4BCF">
        <w:rPr>
          <w:rFonts w:ascii="Verdana" w:hAnsi="Verdana"/>
          <w:sz w:val="20"/>
        </w:rPr>
        <w:t>vPvB</w:t>
      </w:r>
      <w:proofErr w:type="spellEnd"/>
      <w:r w:rsidR="002E4BCF">
        <w:rPr>
          <w:rFonts w:ascii="Verdana" w:hAnsi="Verdana"/>
          <w:sz w:val="20"/>
        </w:rPr>
        <w:t xml:space="preserve"> substance</w:t>
      </w:r>
      <w:r w:rsidR="00616E0B">
        <w:rPr>
          <w:rFonts w:ascii="Verdana" w:hAnsi="Verdana"/>
          <w:sz w:val="20"/>
        </w:rPr>
        <w:t>s</w:t>
      </w:r>
      <w:r w:rsidR="00EF502E">
        <w:rPr>
          <w:rFonts w:ascii="Verdana" w:hAnsi="Verdana"/>
          <w:sz w:val="20"/>
        </w:rPr>
        <w:t xml:space="preserve"> in their registration</w:t>
      </w:r>
      <w:r w:rsidR="00883F6A">
        <w:rPr>
          <w:rFonts w:ascii="Verdana" w:hAnsi="Verdana"/>
          <w:sz w:val="20"/>
        </w:rPr>
        <w:t xml:space="preserve"> dossier</w:t>
      </w:r>
      <w:r w:rsidR="006A6BF2">
        <w:rPr>
          <w:rFonts w:ascii="Verdana" w:hAnsi="Verdana"/>
          <w:sz w:val="20"/>
        </w:rPr>
        <w:t>s</w:t>
      </w:r>
      <w:r w:rsidR="00616E0B">
        <w:rPr>
          <w:rFonts w:ascii="Verdana" w:hAnsi="Verdana"/>
          <w:sz w:val="20"/>
        </w:rPr>
        <w:t>.</w:t>
      </w:r>
      <w:r w:rsidR="002E4BCF">
        <w:rPr>
          <w:rFonts w:ascii="Verdana" w:hAnsi="Verdana"/>
          <w:sz w:val="20"/>
        </w:rPr>
        <w:t xml:space="preserve"> </w:t>
      </w:r>
      <w:r w:rsidR="00883F6A">
        <w:rPr>
          <w:rFonts w:ascii="Verdana" w:hAnsi="Verdana"/>
          <w:sz w:val="20"/>
        </w:rPr>
        <w:t>T</w:t>
      </w:r>
      <w:r w:rsidR="00641DB0">
        <w:rPr>
          <w:rFonts w:ascii="Verdana" w:hAnsi="Verdana"/>
          <w:sz w:val="20"/>
        </w:rPr>
        <w:t xml:space="preserve">he available information does not allow to conclude </w:t>
      </w:r>
      <w:r w:rsidR="002E6775">
        <w:rPr>
          <w:rFonts w:ascii="Verdana" w:hAnsi="Verdana"/>
          <w:sz w:val="20"/>
        </w:rPr>
        <w:t xml:space="preserve">whether </w:t>
      </w:r>
      <w:r w:rsidR="00616E0B">
        <w:rPr>
          <w:rFonts w:ascii="Verdana" w:hAnsi="Verdana"/>
          <w:sz w:val="20"/>
        </w:rPr>
        <w:t xml:space="preserve">the </w:t>
      </w:r>
      <w:r w:rsidR="002E6775">
        <w:rPr>
          <w:rFonts w:ascii="Verdana" w:hAnsi="Verdana"/>
          <w:sz w:val="20"/>
        </w:rPr>
        <w:t xml:space="preserve">Annex XIII criteria </w:t>
      </w:r>
      <w:r w:rsidR="00295D4B">
        <w:rPr>
          <w:rFonts w:ascii="Verdana" w:hAnsi="Verdana"/>
          <w:sz w:val="20"/>
        </w:rPr>
        <w:t>are</w:t>
      </w:r>
      <w:r w:rsidR="002E6775">
        <w:rPr>
          <w:rFonts w:ascii="Verdana" w:hAnsi="Verdana"/>
          <w:sz w:val="20"/>
        </w:rPr>
        <w:t xml:space="preserve"> fulfilled or not</w:t>
      </w:r>
      <w:r w:rsidR="00641DB0">
        <w:rPr>
          <w:rFonts w:ascii="Verdana" w:hAnsi="Verdana"/>
          <w:sz w:val="20"/>
        </w:rPr>
        <w:t>. Further information for the PBT/</w:t>
      </w:r>
      <w:proofErr w:type="spellStart"/>
      <w:r w:rsidR="00641DB0">
        <w:rPr>
          <w:rFonts w:ascii="Verdana" w:hAnsi="Verdana"/>
          <w:sz w:val="20"/>
        </w:rPr>
        <w:t>vPvB</w:t>
      </w:r>
      <w:proofErr w:type="spellEnd"/>
      <w:r w:rsidR="00641DB0">
        <w:rPr>
          <w:rFonts w:ascii="Verdana" w:hAnsi="Verdana"/>
          <w:sz w:val="20"/>
        </w:rPr>
        <w:t xml:space="preserve"> assessment is needed </w:t>
      </w:r>
      <w:r w:rsidR="00BC18AD">
        <w:rPr>
          <w:rFonts w:ascii="Verdana" w:hAnsi="Verdana"/>
          <w:sz w:val="20"/>
        </w:rPr>
        <w:t xml:space="preserve">to be able to make a </w:t>
      </w:r>
      <w:proofErr w:type="gramStart"/>
      <w:r w:rsidR="00BC18AD">
        <w:rPr>
          <w:rFonts w:ascii="Verdana" w:hAnsi="Verdana"/>
          <w:sz w:val="20"/>
        </w:rPr>
        <w:t>well informed</w:t>
      </w:r>
      <w:proofErr w:type="gramEnd"/>
      <w:r w:rsidR="00BC18AD">
        <w:rPr>
          <w:rFonts w:ascii="Verdana" w:hAnsi="Verdana"/>
          <w:sz w:val="20"/>
        </w:rPr>
        <w:t xml:space="preserve"> analysis of appropriate RMMs</w:t>
      </w:r>
      <w:r w:rsidR="00641DB0">
        <w:rPr>
          <w:rFonts w:ascii="Verdana" w:hAnsi="Verdana"/>
          <w:sz w:val="20"/>
        </w:rPr>
        <w:t xml:space="preserve">. </w:t>
      </w:r>
    </w:p>
    <w:p w14:paraId="226698AC" w14:textId="73C7CB52" w:rsidR="00616E0B" w:rsidRDefault="00616E0B" w:rsidP="00316705">
      <w:pPr>
        <w:pStyle w:val="Leipteksti"/>
        <w:spacing w:after="0"/>
        <w:rPr>
          <w:rFonts w:ascii="Verdana" w:hAnsi="Verdana"/>
          <w:sz w:val="20"/>
        </w:rPr>
      </w:pPr>
      <w:r>
        <w:rPr>
          <w:rFonts w:ascii="Verdana" w:hAnsi="Verdana"/>
          <w:sz w:val="20"/>
        </w:rPr>
        <w:t>Currently, more information for human health and environment are being requested for d</w:t>
      </w:r>
      <w:r w:rsidRPr="00E944B9">
        <w:rPr>
          <w:rFonts w:ascii="Verdana" w:hAnsi="Verdana"/>
          <w:sz w:val="20"/>
        </w:rPr>
        <w:t xml:space="preserve">ibenzylbenzene, </w:t>
      </w:r>
      <w:proofErr w:type="spellStart"/>
      <w:r w:rsidRPr="00E944B9">
        <w:rPr>
          <w:rFonts w:ascii="Verdana" w:hAnsi="Verdana"/>
          <w:sz w:val="20"/>
        </w:rPr>
        <w:t>ar</w:t>
      </w:r>
      <w:proofErr w:type="spellEnd"/>
      <w:r w:rsidRPr="00E944B9">
        <w:rPr>
          <w:rFonts w:ascii="Verdana" w:hAnsi="Verdana"/>
          <w:sz w:val="20"/>
        </w:rPr>
        <w:t xml:space="preserve">-methyl </w:t>
      </w:r>
      <w:r>
        <w:rPr>
          <w:rFonts w:ascii="Verdana" w:hAnsi="Verdana"/>
          <w:sz w:val="20"/>
        </w:rPr>
        <w:t>derivative under ECHA decision on a compliance check</w:t>
      </w:r>
      <w:r w:rsidR="006A6BF2">
        <w:rPr>
          <w:rFonts w:ascii="Verdana" w:hAnsi="Verdana"/>
          <w:sz w:val="20"/>
        </w:rPr>
        <w:t xml:space="preserve"> (CCH)</w:t>
      </w:r>
      <w:r>
        <w:rPr>
          <w:rFonts w:ascii="Verdana" w:hAnsi="Verdana"/>
          <w:sz w:val="20"/>
        </w:rPr>
        <w:t xml:space="preserve"> based on Article 41 of REACH Regulation (</w:t>
      </w:r>
      <w:r w:rsidR="0075364F">
        <w:rPr>
          <w:rFonts w:ascii="Verdana" w:hAnsi="Verdana"/>
          <w:sz w:val="20"/>
        </w:rPr>
        <w:t>ECHA 2018</w:t>
      </w:r>
      <w:r>
        <w:rPr>
          <w:rFonts w:ascii="Verdana" w:hAnsi="Verdana"/>
          <w:sz w:val="20"/>
        </w:rPr>
        <w:t xml:space="preserve">). </w:t>
      </w:r>
      <w:r w:rsidR="00266063">
        <w:rPr>
          <w:rFonts w:ascii="Verdana" w:hAnsi="Verdana"/>
          <w:sz w:val="20"/>
        </w:rPr>
        <w:t xml:space="preserve">The requested information is relevant for </w:t>
      </w:r>
      <w:r>
        <w:rPr>
          <w:rFonts w:ascii="Verdana" w:hAnsi="Verdana"/>
          <w:sz w:val="20"/>
        </w:rPr>
        <w:t>PBT</w:t>
      </w:r>
      <w:r w:rsidR="00266063">
        <w:rPr>
          <w:rFonts w:ascii="Verdana" w:hAnsi="Verdana"/>
          <w:sz w:val="20"/>
        </w:rPr>
        <w:t>/</w:t>
      </w:r>
      <w:proofErr w:type="spellStart"/>
      <w:r w:rsidR="00266063">
        <w:rPr>
          <w:rFonts w:ascii="Verdana" w:hAnsi="Verdana"/>
          <w:sz w:val="20"/>
        </w:rPr>
        <w:t>vPvB</w:t>
      </w:r>
      <w:proofErr w:type="spellEnd"/>
      <w:r w:rsidR="00266063">
        <w:rPr>
          <w:rFonts w:ascii="Verdana" w:hAnsi="Verdana"/>
          <w:sz w:val="20"/>
        </w:rPr>
        <w:t xml:space="preserve"> assessment. The need for further information </w:t>
      </w:r>
      <w:r>
        <w:rPr>
          <w:rFonts w:ascii="Verdana" w:hAnsi="Verdana"/>
          <w:sz w:val="20"/>
        </w:rPr>
        <w:t>e</w:t>
      </w:r>
      <w:r w:rsidR="009927CF">
        <w:rPr>
          <w:rFonts w:ascii="Verdana" w:hAnsi="Verdana"/>
          <w:sz w:val="20"/>
        </w:rPr>
        <w:t>.</w:t>
      </w:r>
      <w:r>
        <w:rPr>
          <w:rFonts w:ascii="Verdana" w:hAnsi="Verdana"/>
          <w:sz w:val="20"/>
        </w:rPr>
        <w:t>g. under the Substance Evaluation (</w:t>
      </w:r>
      <w:proofErr w:type="spellStart"/>
      <w:r>
        <w:rPr>
          <w:rFonts w:ascii="Verdana" w:hAnsi="Verdana"/>
          <w:sz w:val="20"/>
        </w:rPr>
        <w:t>SEv</w:t>
      </w:r>
      <w:proofErr w:type="spellEnd"/>
      <w:r>
        <w:rPr>
          <w:rFonts w:ascii="Verdana" w:hAnsi="Verdana"/>
          <w:sz w:val="20"/>
        </w:rPr>
        <w:t>)</w:t>
      </w:r>
      <w:r w:rsidR="00266063">
        <w:rPr>
          <w:rFonts w:ascii="Verdana" w:hAnsi="Verdana"/>
          <w:sz w:val="20"/>
        </w:rPr>
        <w:t xml:space="preserve"> will be assessed when </w:t>
      </w:r>
      <w:r w:rsidR="00295D4B">
        <w:rPr>
          <w:rFonts w:ascii="Verdana" w:hAnsi="Verdana"/>
          <w:sz w:val="20"/>
        </w:rPr>
        <w:t xml:space="preserve">the </w:t>
      </w:r>
      <w:r w:rsidR="00266063">
        <w:rPr>
          <w:rFonts w:ascii="Verdana" w:hAnsi="Verdana"/>
          <w:sz w:val="20"/>
        </w:rPr>
        <w:t>information requested under CCH is available</w:t>
      </w:r>
      <w:r>
        <w:rPr>
          <w:rFonts w:ascii="Verdana" w:hAnsi="Verdana"/>
          <w:sz w:val="20"/>
        </w:rPr>
        <w:t>.</w:t>
      </w:r>
      <w:r w:rsidR="00DE073D">
        <w:rPr>
          <w:rFonts w:ascii="Verdana" w:hAnsi="Verdana"/>
          <w:sz w:val="20"/>
        </w:rPr>
        <w:t xml:space="preserve"> </w:t>
      </w:r>
      <w:r w:rsidR="00266063">
        <w:rPr>
          <w:rFonts w:ascii="Verdana" w:hAnsi="Verdana"/>
          <w:sz w:val="20"/>
        </w:rPr>
        <w:t>The d</w:t>
      </w:r>
      <w:r>
        <w:rPr>
          <w:rFonts w:ascii="Verdana" w:hAnsi="Verdana"/>
          <w:sz w:val="20"/>
        </w:rPr>
        <w:t xml:space="preserve">eadline for Registrant(s) to submit </w:t>
      </w:r>
      <w:r w:rsidR="00266063">
        <w:rPr>
          <w:rFonts w:ascii="Verdana" w:hAnsi="Verdana"/>
          <w:sz w:val="20"/>
        </w:rPr>
        <w:t xml:space="preserve">the </w:t>
      </w:r>
      <w:r>
        <w:rPr>
          <w:rFonts w:ascii="Verdana" w:hAnsi="Verdana"/>
          <w:sz w:val="20"/>
        </w:rPr>
        <w:t xml:space="preserve">information </w:t>
      </w:r>
      <w:r w:rsidR="00266063">
        <w:rPr>
          <w:rFonts w:ascii="Verdana" w:hAnsi="Verdana"/>
          <w:sz w:val="20"/>
        </w:rPr>
        <w:t xml:space="preserve">requested under CCH </w:t>
      </w:r>
      <w:r>
        <w:rPr>
          <w:rFonts w:ascii="Verdana" w:hAnsi="Verdana"/>
          <w:sz w:val="20"/>
        </w:rPr>
        <w:t>in an updated registration dossier is 17</w:t>
      </w:r>
      <w:r w:rsidR="00775653">
        <w:rPr>
          <w:rFonts w:ascii="Verdana" w:hAnsi="Verdana"/>
          <w:sz w:val="20"/>
        </w:rPr>
        <w:t>th</w:t>
      </w:r>
      <w:r>
        <w:rPr>
          <w:rFonts w:ascii="Verdana" w:hAnsi="Verdana"/>
          <w:sz w:val="20"/>
        </w:rPr>
        <w:t xml:space="preserve"> January 2022. </w:t>
      </w:r>
    </w:p>
    <w:p w14:paraId="10A01AE9" w14:textId="77777777" w:rsidR="00316705" w:rsidRDefault="00316705" w:rsidP="00316705">
      <w:pPr>
        <w:pStyle w:val="Leipteksti"/>
        <w:spacing w:after="0"/>
        <w:rPr>
          <w:rFonts w:ascii="Verdana" w:hAnsi="Verdana"/>
          <w:sz w:val="20"/>
        </w:rPr>
      </w:pPr>
    </w:p>
    <w:p w14:paraId="3286B55B" w14:textId="6DA054AE" w:rsidR="00616E0B" w:rsidRPr="006D0213" w:rsidRDefault="00616E0B" w:rsidP="001A4BCD">
      <w:pPr>
        <w:pStyle w:val="Leipteksti"/>
        <w:rPr>
          <w:rFonts w:ascii="Verdana" w:hAnsi="Verdana"/>
          <w:color w:val="000000" w:themeColor="text1"/>
          <w:sz w:val="20"/>
        </w:rPr>
      </w:pPr>
      <w:r>
        <w:rPr>
          <w:rFonts w:ascii="Verdana" w:hAnsi="Verdana"/>
          <w:sz w:val="20"/>
        </w:rPr>
        <w:t xml:space="preserve">For </w:t>
      </w:r>
      <w:r w:rsidR="006D0213" w:rsidRPr="006D0213">
        <w:rPr>
          <w:rFonts w:ascii="Verdana" w:hAnsi="Verdana"/>
          <w:sz w:val="20"/>
        </w:rPr>
        <w:t>6-(1-phenylethyl)-1,2,3,4-tetrahydronaphthalene</w:t>
      </w:r>
      <w:r w:rsidR="009927CF">
        <w:rPr>
          <w:rFonts w:ascii="Verdana" w:hAnsi="Verdana"/>
          <w:sz w:val="20"/>
        </w:rPr>
        <w:t xml:space="preserve"> </w:t>
      </w:r>
      <w:r>
        <w:rPr>
          <w:rFonts w:ascii="Verdana" w:hAnsi="Verdana"/>
          <w:sz w:val="20"/>
        </w:rPr>
        <w:t xml:space="preserve">more information </w:t>
      </w:r>
      <w:r w:rsidR="00775653">
        <w:rPr>
          <w:rFonts w:ascii="Verdana" w:hAnsi="Verdana"/>
          <w:sz w:val="20"/>
        </w:rPr>
        <w:t>on</w:t>
      </w:r>
      <w:r>
        <w:rPr>
          <w:rFonts w:ascii="Verdana" w:hAnsi="Verdana"/>
          <w:sz w:val="20"/>
        </w:rPr>
        <w:t xml:space="preserve"> environmental hazard properties are needed</w:t>
      </w:r>
      <w:r w:rsidR="00102C9D">
        <w:rPr>
          <w:rFonts w:ascii="Verdana" w:hAnsi="Verdana"/>
          <w:sz w:val="20"/>
        </w:rPr>
        <w:t xml:space="preserve"> to conclude the fulfilment of Annex XIII criteria</w:t>
      </w:r>
      <w:r>
        <w:rPr>
          <w:rFonts w:ascii="Verdana" w:hAnsi="Verdana"/>
          <w:sz w:val="20"/>
        </w:rPr>
        <w:t xml:space="preserve">. </w:t>
      </w:r>
      <w:r w:rsidR="00352561">
        <w:rPr>
          <w:rFonts w:ascii="Verdana" w:hAnsi="Verdana"/>
          <w:sz w:val="20"/>
        </w:rPr>
        <w:t xml:space="preserve">Compliance check under dossier evaluation for </w:t>
      </w:r>
      <w:r w:rsidR="009155C0">
        <w:rPr>
          <w:rFonts w:ascii="Verdana" w:hAnsi="Verdana"/>
          <w:sz w:val="20"/>
        </w:rPr>
        <w:t>previously notified</w:t>
      </w:r>
      <w:r w:rsidR="00352561">
        <w:rPr>
          <w:rFonts w:ascii="Verdana" w:hAnsi="Verdana"/>
          <w:sz w:val="20"/>
        </w:rPr>
        <w:t xml:space="preserve"> substance</w:t>
      </w:r>
      <w:r w:rsidR="009155C0">
        <w:rPr>
          <w:rFonts w:ascii="Verdana" w:hAnsi="Verdana"/>
          <w:sz w:val="20"/>
        </w:rPr>
        <w:t xml:space="preserve"> (NONS)</w:t>
      </w:r>
      <w:r w:rsidR="00352561">
        <w:rPr>
          <w:rFonts w:ascii="Verdana" w:hAnsi="Verdana"/>
          <w:sz w:val="20"/>
        </w:rPr>
        <w:t xml:space="preserve"> is not applicable</w:t>
      </w:r>
      <w:r w:rsidR="00102C9D">
        <w:rPr>
          <w:rFonts w:ascii="Verdana" w:hAnsi="Verdana"/>
          <w:sz w:val="20"/>
        </w:rPr>
        <w:t>,</w:t>
      </w:r>
      <w:r w:rsidR="00352561">
        <w:rPr>
          <w:rFonts w:ascii="Verdana" w:hAnsi="Verdana"/>
          <w:sz w:val="20"/>
        </w:rPr>
        <w:t xml:space="preserve"> </w:t>
      </w:r>
      <w:r w:rsidR="00B86D80">
        <w:rPr>
          <w:rFonts w:ascii="Verdana" w:hAnsi="Verdana"/>
          <w:sz w:val="20"/>
        </w:rPr>
        <w:t xml:space="preserve">if </w:t>
      </w:r>
      <w:r w:rsidR="00BC18AD">
        <w:rPr>
          <w:rFonts w:ascii="Verdana" w:hAnsi="Verdana"/>
          <w:sz w:val="20"/>
        </w:rPr>
        <w:t>no relevant new information has been submitted in a registration dossier under REACH on top of information required</w:t>
      </w:r>
      <w:r w:rsidR="00352561">
        <w:rPr>
          <w:rFonts w:ascii="Verdana" w:hAnsi="Verdana"/>
          <w:sz w:val="20"/>
        </w:rPr>
        <w:t xml:space="preserve"> under the Dangerous Substances Directive 67/548/EC. </w:t>
      </w:r>
      <w:r>
        <w:rPr>
          <w:rFonts w:ascii="Verdana" w:hAnsi="Verdana"/>
          <w:sz w:val="20"/>
        </w:rPr>
        <w:t xml:space="preserve">Thus, it is proposed to add this substance to </w:t>
      </w:r>
      <w:proofErr w:type="spellStart"/>
      <w:r>
        <w:rPr>
          <w:rFonts w:ascii="Verdana" w:hAnsi="Verdana"/>
          <w:sz w:val="20"/>
        </w:rPr>
        <w:t>C</w:t>
      </w:r>
      <w:r w:rsidR="00316705">
        <w:rPr>
          <w:rFonts w:ascii="Verdana" w:hAnsi="Verdana"/>
          <w:sz w:val="20"/>
        </w:rPr>
        <w:t>o</w:t>
      </w:r>
      <w:r>
        <w:rPr>
          <w:rFonts w:ascii="Verdana" w:hAnsi="Verdana"/>
          <w:sz w:val="20"/>
        </w:rPr>
        <w:t>RAP</w:t>
      </w:r>
      <w:proofErr w:type="spellEnd"/>
      <w:r>
        <w:rPr>
          <w:rFonts w:ascii="Verdana" w:hAnsi="Verdana"/>
          <w:sz w:val="20"/>
        </w:rPr>
        <w:t xml:space="preserve"> 2020-2022 </w:t>
      </w:r>
      <w:r w:rsidR="00316705">
        <w:rPr>
          <w:rFonts w:ascii="Verdana" w:hAnsi="Verdana"/>
          <w:sz w:val="20"/>
        </w:rPr>
        <w:t>by Finland</w:t>
      </w:r>
      <w:r w:rsidR="00B86D80">
        <w:rPr>
          <w:rFonts w:ascii="Verdana" w:hAnsi="Verdana"/>
          <w:sz w:val="20"/>
        </w:rPr>
        <w:t xml:space="preserve"> and the applicability of CCH </w:t>
      </w:r>
      <w:r w:rsidR="009055F6">
        <w:rPr>
          <w:rFonts w:ascii="Verdana" w:hAnsi="Verdana"/>
          <w:sz w:val="20"/>
        </w:rPr>
        <w:t>could</w:t>
      </w:r>
      <w:r w:rsidR="00B86D80">
        <w:rPr>
          <w:rFonts w:ascii="Verdana" w:hAnsi="Verdana"/>
          <w:sz w:val="20"/>
        </w:rPr>
        <w:t xml:space="preserve"> be reviewed during </w:t>
      </w:r>
      <w:r w:rsidR="00F96AAB">
        <w:rPr>
          <w:rFonts w:ascii="Verdana" w:hAnsi="Verdana"/>
          <w:sz w:val="20"/>
        </w:rPr>
        <w:t>the substance evaluation</w:t>
      </w:r>
      <w:r w:rsidR="009927CF">
        <w:rPr>
          <w:rFonts w:ascii="Verdana" w:hAnsi="Verdana"/>
          <w:sz w:val="20"/>
        </w:rPr>
        <w:t xml:space="preserve">. The main concerns for the </w:t>
      </w:r>
      <w:proofErr w:type="spellStart"/>
      <w:r w:rsidR="009927CF">
        <w:rPr>
          <w:rFonts w:ascii="Verdana" w:hAnsi="Verdana"/>
          <w:sz w:val="20"/>
        </w:rPr>
        <w:t>CoRAP</w:t>
      </w:r>
      <w:proofErr w:type="spellEnd"/>
      <w:r w:rsidR="009927CF">
        <w:rPr>
          <w:rFonts w:ascii="Verdana" w:hAnsi="Verdana"/>
          <w:sz w:val="20"/>
        </w:rPr>
        <w:t xml:space="preserve"> listing are </w:t>
      </w:r>
      <w:r w:rsidR="00295D4B">
        <w:rPr>
          <w:rFonts w:ascii="Verdana" w:hAnsi="Verdana"/>
          <w:sz w:val="20"/>
        </w:rPr>
        <w:t xml:space="preserve">the </w:t>
      </w:r>
      <w:r w:rsidR="00316705">
        <w:rPr>
          <w:rFonts w:ascii="Verdana" w:hAnsi="Verdana"/>
          <w:sz w:val="20"/>
        </w:rPr>
        <w:t>potential for PBT/</w:t>
      </w:r>
      <w:proofErr w:type="spellStart"/>
      <w:r w:rsidR="00316705">
        <w:rPr>
          <w:rFonts w:ascii="Verdana" w:hAnsi="Verdana"/>
          <w:sz w:val="20"/>
        </w:rPr>
        <w:t>vPvB</w:t>
      </w:r>
      <w:proofErr w:type="spellEnd"/>
      <w:r w:rsidR="00316705">
        <w:rPr>
          <w:rFonts w:ascii="Verdana" w:hAnsi="Verdana"/>
          <w:sz w:val="20"/>
        </w:rPr>
        <w:t xml:space="preserve"> properties</w:t>
      </w:r>
      <w:r w:rsidR="00EF502E">
        <w:rPr>
          <w:rFonts w:ascii="Verdana" w:hAnsi="Verdana"/>
          <w:sz w:val="20"/>
        </w:rPr>
        <w:t xml:space="preserve">, </w:t>
      </w:r>
      <w:r w:rsidR="00295D4B">
        <w:rPr>
          <w:rFonts w:ascii="Verdana" w:hAnsi="Verdana"/>
          <w:sz w:val="20"/>
        </w:rPr>
        <w:t xml:space="preserve">the </w:t>
      </w:r>
      <w:r w:rsidR="00EF502E">
        <w:rPr>
          <w:rFonts w:ascii="Verdana" w:hAnsi="Verdana"/>
          <w:sz w:val="20"/>
        </w:rPr>
        <w:t>potential for environmental exposure</w:t>
      </w:r>
      <w:r w:rsidR="00316705">
        <w:rPr>
          <w:rFonts w:ascii="Verdana" w:hAnsi="Verdana"/>
          <w:sz w:val="20"/>
        </w:rPr>
        <w:t xml:space="preserve"> and </w:t>
      </w:r>
      <w:r w:rsidR="00295D4B">
        <w:rPr>
          <w:rFonts w:ascii="Verdana" w:hAnsi="Verdana"/>
          <w:sz w:val="20"/>
        </w:rPr>
        <w:t xml:space="preserve">the </w:t>
      </w:r>
      <w:r w:rsidR="00316705">
        <w:rPr>
          <w:rFonts w:ascii="Verdana" w:hAnsi="Verdana"/>
          <w:sz w:val="20"/>
        </w:rPr>
        <w:t xml:space="preserve">potential to be a substitution candidate for </w:t>
      </w:r>
      <w:r w:rsidR="00266063">
        <w:rPr>
          <w:rFonts w:ascii="Verdana" w:hAnsi="Verdana"/>
          <w:sz w:val="20"/>
        </w:rPr>
        <w:t xml:space="preserve">the </w:t>
      </w:r>
      <w:r w:rsidR="00316705">
        <w:rPr>
          <w:rFonts w:ascii="Verdana" w:hAnsi="Verdana"/>
          <w:sz w:val="20"/>
        </w:rPr>
        <w:t>already identified SVHC substance terphenyl, hydrogenated (</w:t>
      </w:r>
      <w:proofErr w:type="spellStart"/>
      <w:r w:rsidR="00316705">
        <w:rPr>
          <w:rFonts w:ascii="Verdana" w:hAnsi="Verdana"/>
          <w:sz w:val="20"/>
        </w:rPr>
        <w:t>vPvB</w:t>
      </w:r>
      <w:proofErr w:type="spellEnd"/>
      <w:r w:rsidR="00316705">
        <w:rPr>
          <w:rFonts w:ascii="Verdana" w:hAnsi="Verdana"/>
          <w:sz w:val="20"/>
        </w:rPr>
        <w:t xml:space="preserve">). </w:t>
      </w:r>
      <w:r w:rsidR="002C51F4" w:rsidRPr="00CF1B60">
        <w:rPr>
          <w:rFonts w:ascii="Verdana" w:hAnsi="Verdana"/>
          <w:sz w:val="20"/>
        </w:rPr>
        <w:t xml:space="preserve">Evaluation </w:t>
      </w:r>
      <w:r w:rsidR="00EF502E" w:rsidRPr="00CF1B60">
        <w:rPr>
          <w:rFonts w:ascii="Verdana" w:hAnsi="Verdana"/>
          <w:sz w:val="20"/>
        </w:rPr>
        <w:t xml:space="preserve">by Finland </w:t>
      </w:r>
      <w:r w:rsidR="002C51F4" w:rsidRPr="00CF1B60">
        <w:rPr>
          <w:rFonts w:ascii="Verdana" w:hAnsi="Verdana"/>
          <w:sz w:val="20"/>
        </w:rPr>
        <w:t xml:space="preserve">under </w:t>
      </w:r>
      <w:proofErr w:type="spellStart"/>
      <w:r w:rsidR="002C51F4" w:rsidRPr="00CF1B60">
        <w:rPr>
          <w:rFonts w:ascii="Verdana" w:hAnsi="Verdana"/>
          <w:sz w:val="20"/>
        </w:rPr>
        <w:lastRenderedPageBreak/>
        <w:t>CoRAP</w:t>
      </w:r>
      <w:proofErr w:type="spellEnd"/>
      <w:r w:rsidR="00316705" w:rsidRPr="00CF1B60">
        <w:rPr>
          <w:rFonts w:ascii="Verdana" w:hAnsi="Verdana"/>
          <w:sz w:val="20"/>
        </w:rPr>
        <w:t xml:space="preserve"> is </w:t>
      </w:r>
      <w:r w:rsidR="006C0DB3" w:rsidRPr="00CF1B60">
        <w:rPr>
          <w:rFonts w:ascii="Verdana" w:hAnsi="Verdana"/>
          <w:sz w:val="20"/>
        </w:rPr>
        <w:t>proposed</w:t>
      </w:r>
      <w:r w:rsidR="00316705" w:rsidRPr="00CF1B60">
        <w:rPr>
          <w:rFonts w:ascii="Verdana" w:hAnsi="Verdana"/>
          <w:sz w:val="20"/>
        </w:rPr>
        <w:t xml:space="preserve"> to take place in 2021</w:t>
      </w:r>
      <w:r w:rsidR="006D0213" w:rsidRPr="00CF1B60">
        <w:rPr>
          <w:rFonts w:ascii="Verdana" w:hAnsi="Verdana"/>
          <w:color w:val="FF0000"/>
          <w:sz w:val="20"/>
        </w:rPr>
        <w:t xml:space="preserve"> </w:t>
      </w:r>
      <w:r w:rsidR="006D0213" w:rsidRPr="00CF1B60">
        <w:rPr>
          <w:rFonts w:ascii="Verdana" w:hAnsi="Verdana"/>
          <w:color w:val="000000" w:themeColor="text1"/>
          <w:sz w:val="20"/>
        </w:rPr>
        <w:t>for 6-(1-phenyl</w:t>
      </w:r>
      <w:r w:rsidR="006D0213" w:rsidRPr="006D0213">
        <w:rPr>
          <w:rFonts w:ascii="Verdana" w:hAnsi="Verdana"/>
          <w:color w:val="000000" w:themeColor="text1"/>
          <w:sz w:val="20"/>
        </w:rPr>
        <w:t>ethyl)-1,2,3,4-tetrahydronaphthalene</w:t>
      </w:r>
      <w:r w:rsidR="00316705" w:rsidRPr="006D0213">
        <w:rPr>
          <w:rFonts w:ascii="Verdana" w:hAnsi="Verdana"/>
          <w:color w:val="000000" w:themeColor="text1"/>
          <w:sz w:val="20"/>
        </w:rPr>
        <w:t xml:space="preserve">. </w:t>
      </w:r>
    </w:p>
    <w:p w14:paraId="391D447F" w14:textId="0279CB2D" w:rsidR="002E6775" w:rsidRPr="005920F0" w:rsidRDefault="005834DE" w:rsidP="001A4BCD">
      <w:pPr>
        <w:pStyle w:val="Leipteksti"/>
        <w:rPr>
          <w:rFonts w:ascii="Verdana" w:hAnsi="Verdana"/>
          <w:sz w:val="20"/>
        </w:rPr>
      </w:pPr>
      <w:r>
        <w:rPr>
          <w:rFonts w:ascii="Verdana" w:hAnsi="Verdana"/>
          <w:sz w:val="20"/>
        </w:rPr>
        <w:t>For regulatory consistency reasons, if these alternative heat transfer fluids in this RMOA are considered as PBT/</w:t>
      </w:r>
      <w:proofErr w:type="spellStart"/>
      <w:r>
        <w:rPr>
          <w:rFonts w:ascii="Verdana" w:hAnsi="Verdana"/>
          <w:sz w:val="20"/>
        </w:rPr>
        <w:t>vPvB</w:t>
      </w:r>
      <w:proofErr w:type="spellEnd"/>
      <w:r>
        <w:rPr>
          <w:rFonts w:ascii="Verdana" w:hAnsi="Verdana"/>
          <w:sz w:val="20"/>
        </w:rPr>
        <w:t xml:space="preserve"> substances, SVHC identification would be the first RRM option to be considered</w:t>
      </w:r>
      <w:r w:rsidR="00336F7B">
        <w:rPr>
          <w:rFonts w:ascii="Verdana" w:hAnsi="Verdana"/>
          <w:sz w:val="20"/>
        </w:rPr>
        <w:t>, with authorisation or restriction as a potential follow-up measure</w:t>
      </w:r>
      <w:r>
        <w:rPr>
          <w:rFonts w:ascii="Verdana" w:hAnsi="Verdana"/>
          <w:sz w:val="20"/>
        </w:rPr>
        <w:t>.</w:t>
      </w:r>
      <w:r w:rsidR="005E3D8F">
        <w:rPr>
          <w:rFonts w:ascii="Verdana" w:hAnsi="Verdana"/>
          <w:sz w:val="20"/>
        </w:rPr>
        <w:t xml:space="preserve"> In order to prevent regrettable substitution, future risk management should, as far as possible, be carried out jointly for the functional </w:t>
      </w:r>
      <w:proofErr w:type="gramStart"/>
      <w:r w:rsidR="005E3D8F">
        <w:rPr>
          <w:rFonts w:ascii="Verdana" w:hAnsi="Verdana"/>
          <w:sz w:val="20"/>
        </w:rPr>
        <w:t>group as a whole</w:t>
      </w:r>
      <w:proofErr w:type="gramEnd"/>
      <w:r w:rsidR="005E3D8F">
        <w:rPr>
          <w:rFonts w:ascii="Verdana" w:hAnsi="Verdana"/>
          <w:sz w:val="20"/>
        </w:rPr>
        <w:t>.</w:t>
      </w:r>
      <w:r>
        <w:rPr>
          <w:rFonts w:ascii="Verdana" w:hAnsi="Verdana"/>
          <w:sz w:val="20"/>
        </w:rPr>
        <w:t xml:space="preserve"> </w:t>
      </w:r>
      <w:r w:rsidR="00005B81" w:rsidRPr="00005B81">
        <w:rPr>
          <w:rFonts w:ascii="Verdana" w:hAnsi="Verdana"/>
          <w:sz w:val="20"/>
          <w:lang w:val="en-US"/>
        </w:rPr>
        <w:t>This RMOA</w:t>
      </w:r>
      <w:r w:rsidR="00005B81">
        <w:rPr>
          <w:rFonts w:ascii="Verdana" w:hAnsi="Verdana"/>
          <w:sz w:val="20"/>
          <w:lang w:val="en-US"/>
        </w:rPr>
        <w:t xml:space="preserve"> document</w:t>
      </w:r>
      <w:r w:rsidR="00005B81" w:rsidRPr="00005B81">
        <w:rPr>
          <w:rFonts w:ascii="Verdana" w:hAnsi="Verdana"/>
          <w:sz w:val="20"/>
          <w:lang w:val="en-US"/>
        </w:rPr>
        <w:t xml:space="preserve"> will be up</w:t>
      </w:r>
      <w:r w:rsidR="00005B81">
        <w:rPr>
          <w:rFonts w:ascii="Verdana" w:hAnsi="Verdana"/>
          <w:sz w:val="20"/>
          <w:lang w:val="en-US"/>
        </w:rPr>
        <w:t>dated when the PBT/</w:t>
      </w:r>
      <w:proofErr w:type="spellStart"/>
      <w:r w:rsidR="00005B81">
        <w:rPr>
          <w:rFonts w:ascii="Verdana" w:hAnsi="Verdana"/>
          <w:sz w:val="20"/>
          <w:lang w:val="en-US"/>
        </w:rPr>
        <w:t>vPvB</w:t>
      </w:r>
      <w:proofErr w:type="spellEnd"/>
      <w:r w:rsidR="00005B81">
        <w:rPr>
          <w:rFonts w:ascii="Verdana" w:hAnsi="Verdana"/>
          <w:sz w:val="20"/>
          <w:lang w:val="en-US"/>
        </w:rPr>
        <w:t xml:space="preserve"> properties of these substances are further clarified. </w:t>
      </w:r>
      <w:r w:rsidR="009927CF">
        <w:rPr>
          <w:rFonts w:ascii="Verdana" w:hAnsi="Verdana"/>
          <w:sz w:val="20"/>
          <w:lang w:val="en-US"/>
        </w:rPr>
        <w:t>A p</w:t>
      </w:r>
      <w:r w:rsidR="00005B81">
        <w:rPr>
          <w:rFonts w:ascii="Verdana" w:hAnsi="Verdana"/>
          <w:sz w:val="20"/>
          <w:lang w:val="en-US"/>
        </w:rPr>
        <w:t xml:space="preserve">reliminary identification and assessment of </w:t>
      </w:r>
      <w:r>
        <w:rPr>
          <w:rFonts w:ascii="Verdana" w:hAnsi="Verdana"/>
          <w:sz w:val="20"/>
          <w:lang w:val="en-US"/>
        </w:rPr>
        <w:t xml:space="preserve">all </w:t>
      </w:r>
      <w:r w:rsidR="00005B81">
        <w:rPr>
          <w:rFonts w:ascii="Verdana" w:hAnsi="Verdana"/>
          <w:sz w:val="20"/>
          <w:lang w:val="en-US"/>
        </w:rPr>
        <w:t>risk management options are presented in the following section 5.2.</w:t>
      </w:r>
    </w:p>
    <w:p w14:paraId="39B96B13" w14:textId="77777777" w:rsidR="00080134" w:rsidRDefault="00080134" w:rsidP="00080134">
      <w:pPr>
        <w:pStyle w:val="Otsikko2"/>
        <w:tabs>
          <w:tab w:val="clear" w:pos="839"/>
          <w:tab w:val="num" w:pos="540"/>
        </w:tabs>
        <w:spacing w:before="240"/>
        <w:ind w:left="540" w:hanging="540"/>
        <w:rPr>
          <w:szCs w:val="24"/>
        </w:rPr>
      </w:pPr>
      <w:r>
        <w:rPr>
          <w:szCs w:val="24"/>
        </w:rPr>
        <w:t>Identification and assessment of risk management options</w:t>
      </w:r>
    </w:p>
    <w:p w14:paraId="0BF5C152" w14:textId="3FA5A2A8" w:rsidR="00F46457" w:rsidRDefault="004201CD" w:rsidP="005920F0">
      <w:pPr>
        <w:pStyle w:val="Luettelokappale"/>
        <w:spacing w:after="0"/>
        <w:ind w:left="0"/>
        <w:jc w:val="both"/>
        <w:rPr>
          <w:rFonts w:ascii="Verdana" w:hAnsi="Verdana"/>
          <w:sz w:val="20"/>
          <w:szCs w:val="20"/>
        </w:rPr>
      </w:pPr>
      <w:r>
        <w:rPr>
          <w:rFonts w:ascii="Verdana" w:hAnsi="Verdana"/>
          <w:sz w:val="20"/>
          <w:szCs w:val="20"/>
        </w:rPr>
        <w:t>The following legislative instruments and other initiatives have the potential to influence emissions to the environment</w:t>
      </w:r>
      <w:r w:rsidR="00F46457">
        <w:rPr>
          <w:rFonts w:ascii="Verdana" w:hAnsi="Verdana"/>
          <w:sz w:val="20"/>
          <w:szCs w:val="20"/>
        </w:rPr>
        <w:t xml:space="preserve">. </w:t>
      </w:r>
    </w:p>
    <w:p w14:paraId="1469A2BB" w14:textId="77777777" w:rsidR="001F61F2" w:rsidRDefault="001F61F2" w:rsidP="001F61F2">
      <w:pPr>
        <w:pStyle w:val="Luettelokappale"/>
        <w:spacing w:after="0"/>
        <w:rPr>
          <w:rFonts w:ascii="Verdana" w:hAnsi="Verdana"/>
          <w:sz w:val="20"/>
          <w:szCs w:val="20"/>
        </w:rPr>
      </w:pPr>
    </w:p>
    <w:p w14:paraId="4355D468" w14:textId="7A207D9C" w:rsidR="004201CD" w:rsidRPr="002B6C86" w:rsidRDefault="001F61F2" w:rsidP="00E944B9">
      <w:pPr>
        <w:pStyle w:val="Luettelokappale"/>
        <w:numPr>
          <w:ilvl w:val="0"/>
          <w:numId w:val="46"/>
        </w:numPr>
        <w:spacing w:after="0"/>
        <w:ind w:left="284" w:hanging="284"/>
        <w:rPr>
          <w:rFonts w:ascii="Verdana" w:hAnsi="Verdana"/>
          <w:b/>
          <w:sz w:val="20"/>
          <w:szCs w:val="20"/>
        </w:rPr>
      </w:pPr>
      <w:r w:rsidRPr="002B6C86">
        <w:rPr>
          <w:rFonts w:ascii="Verdana" w:hAnsi="Verdana"/>
          <w:b/>
          <w:sz w:val="20"/>
          <w:szCs w:val="20"/>
        </w:rPr>
        <w:t>REACH</w:t>
      </w:r>
    </w:p>
    <w:p w14:paraId="57BC4EA9" w14:textId="6DC251FE" w:rsidR="001F61F2" w:rsidRPr="002B6C86" w:rsidRDefault="001F61F2" w:rsidP="001F61F2">
      <w:pPr>
        <w:spacing w:after="0"/>
        <w:rPr>
          <w:rFonts w:ascii="Verdana" w:hAnsi="Verdana"/>
          <w:b/>
          <w:sz w:val="20"/>
          <w:szCs w:val="20"/>
        </w:rPr>
      </w:pPr>
    </w:p>
    <w:p w14:paraId="52D0657F" w14:textId="1827144E" w:rsidR="001F61F2" w:rsidRPr="002B6C86" w:rsidRDefault="001F61F2" w:rsidP="001F61F2">
      <w:pPr>
        <w:spacing w:after="0"/>
        <w:rPr>
          <w:rFonts w:ascii="Verdana" w:hAnsi="Verdana"/>
          <w:b/>
          <w:sz w:val="20"/>
          <w:szCs w:val="20"/>
        </w:rPr>
      </w:pPr>
      <w:r w:rsidRPr="002B6C86">
        <w:rPr>
          <w:rFonts w:ascii="Verdana" w:hAnsi="Verdana"/>
          <w:b/>
          <w:sz w:val="20"/>
          <w:szCs w:val="20"/>
        </w:rPr>
        <w:t>Registration</w:t>
      </w:r>
    </w:p>
    <w:p w14:paraId="2E42C15D" w14:textId="5200DC22" w:rsidR="001F61F2" w:rsidRDefault="001F61F2" w:rsidP="001F61F2">
      <w:pPr>
        <w:spacing w:after="0"/>
        <w:rPr>
          <w:rFonts w:ascii="Verdana" w:hAnsi="Verdana"/>
          <w:sz w:val="20"/>
          <w:szCs w:val="20"/>
        </w:rPr>
      </w:pPr>
    </w:p>
    <w:p w14:paraId="1826679A" w14:textId="388FACA9" w:rsidR="00D4382A" w:rsidRPr="005920F0" w:rsidRDefault="000603A0" w:rsidP="001C3F80">
      <w:pPr>
        <w:spacing w:after="0"/>
        <w:jc w:val="both"/>
        <w:rPr>
          <w:rFonts w:ascii="Verdana" w:hAnsi="Verdana"/>
          <w:b/>
          <w:sz w:val="20"/>
        </w:rPr>
      </w:pPr>
      <w:r>
        <w:rPr>
          <w:rFonts w:ascii="Verdana" w:hAnsi="Verdana"/>
          <w:sz w:val="20"/>
        </w:rPr>
        <w:t>D</w:t>
      </w:r>
      <w:r w:rsidRPr="002A44A6">
        <w:rPr>
          <w:rFonts w:ascii="Verdana" w:hAnsi="Verdana"/>
          <w:sz w:val="20"/>
        </w:rPr>
        <w:t xml:space="preserve">ibenzylbenzene, </w:t>
      </w:r>
      <w:proofErr w:type="spellStart"/>
      <w:r w:rsidRPr="002A44A6">
        <w:rPr>
          <w:rFonts w:ascii="Verdana" w:hAnsi="Verdana"/>
          <w:sz w:val="20"/>
        </w:rPr>
        <w:t>ar</w:t>
      </w:r>
      <w:proofErr w:type="spellEnd"/>
      <w:r w:rsidRPr="002A44A6">
        <w:rPr>
          <w:rFonts w:ascii="Verdana" w:hAnsi="Verdana"/>
          <w:sz w:val="20"/>
        </w:rPr>
        <w:t xml:space="preserve">-methyl </w:t>
      </w:r>
      <w:r w:rsidR="00B57F3A">
        <w:rPr>
          <w:rFonts w:ascii="Verdana" w:hAnsi="Verdana"/>
          <w:sz w:val="20"/>
        </w:rPr>
        <w:t>derivative</w:t>
      </w:r>
      <w:r>
        <w:rPr>
          <w:rFonts w:ascii="Verdana" w:hAnsi="Verdana"/>
          <w:sz w:val="20"/>
        </w:rPr>
        <w:t xml:space="preserve"> is currently </w:t>
      </w:r>
      <w:r w:rsidR="00D4382A">
        <w:rPr>
          <w:rFonts w:ascii="Verdana" w:hAnsi="Verdana"/>
          <w:sz w:val="20"/>
        </w:rPr>
        <w:t xml:space="preserve">not </w:t>
      </w:r>
      <w:r>
        <w:rPr>
          <w:rFonts w:ascii="Verdana" w:hAnsi="Verdana"/>
          <w:sz w:val="20"/>
        </w:rPr>
        <w:t>identified as a PBT/</w:t>
      </w:r>
      <w:proofErr w:type="spellStart"/>
      <w:r>
        <w:rPr>
          <w:rFonts w:ascii="Verdana" w:hAnsi="Verdana"/>
          <w:sz w:val="20"/>
        </w:rPr>
        <w:t>vPvB</w:t>
      </w:r>
      <w:proofErr w:type="spellEnd"/>
      <w:r>
        <w:rPr>
          <w:rFonts w:ascii="Verdana" w:hAnsi="Verdana"/>
          <w:sz w:val="20"/>
        </w:rPr>
        <w:t xml:space="preserve"> in the </w:t>
      </w:r>
      <w:r w:rsidR="008C406F">
        <w:rPr>
          <w:rFonts w:ascii="Verdana" w:hAnsi="Verdana"/>
          <w:sz w:val="20"/>
        </w:rPr>
        <w:t>substance factsheet</w:t>
      </w:r>
      <w:r w:rsidR="00EA169E">
        <w:rPr>
          <w:rFonts w:ascii="Verdana" w:hAnsi="Verdana"/>
          <w:sz w:val="20"/>
        </w:rPr>
        <w:t>.</w:t>
      </w:r>
      <w:r>
        <w:rPr>
          <w:rFonts w:ascii="Verdana" w:hAnsi="Verdana"/>
          <w:sz w:val="20"/>
        </w:rPr>
        <w:t xml:space="preserve"> </w:t>
      </w:r>
      <w:r w:rsidR="000317A7" w:rsidRPr="000317A7">
        <w:rPr>
          <w:rFonts w:ascii="Verdana" w:hAnsi="Verdana"/>
          <w:sz w:val="20"/>
        </w:rPr>
        <w:t>6-(1-phenylethyl)-1,2,3,4-tetrahydronaphthalene</w:t>
      </w:r>
      <w:r>
        <w:rPr>
          <w:rFonts w:ascii="Verdana" w:hAnsi="Verdana"/>
          <w:sz w:val="20"/>
        </w:rPr>
        <w:t xml:space="preserve"> is considered as PBT substance</w:t>
      </w:r>
      <w:r w:rsidR="00EA169E">
        <w:rPr>
          <w:rFonts w:ascii="Verdana" w:hAnsi="Verdana"/>
          <w:sz w:val="20"/>
        </w:rPr>
        <w:t xml:space="preserve"> according to the ECHA </w:t>
      </w:r>
      <w:proofErr w:type="spellStart"/>
      <w:r w:rsidR="00EA169E">
        <w:rPr>
          <w:rFonts w:ascii="Verdana" w:hAnsi="Verdana"/>
          <w:sz w:val="20"/>
        </w:rPr>
        <w:t>infocard</w:t>
      </w:r>
      <w:proofErr w:type="spellEnd"/>
      <w:r w:rsidR="00EA169E">
        <w:rPr>
          <w:rFonts w:ascii="Verdana" w:hAnsi="Verdana"/>
          <w:sz w:val="20"/>
        </w:rPr>
        <w:t xml:space="preserve"> of the substance.</w:t>
      </w:r>
    </w:p>
    <w:p w14:paraId="730B660C" w14:textId="77777777" w:rsidR="00D4382A" w:rsidRDefault="00D4382A" w:rsidP="001C3F80">
      <w:pPr>
        <w:spacing w:after="0"/>
        <w:jc w:val="both"/>
        <w:rPr>
          <w:rFonts w:ascii="Verdana" w:hAnsi="Verdana"/>
          <w:sz w:val="20"/>
        </w:rPr>
      </w:pPr>
    </w:p>
    <w:p w14:paraId="06FD6020" w14:textId="0F14DB66" w:rsidR="00323E24" w:rsidRPr="00106D5A" w:rsidRDefault="006D1761" w:rsidP="00323E24">
      <w:pPr>
        <w:spacing w:after="0"/>
        <w:jc w:val="both"/>
        <w:rPr>
          <w:rFonts w:ascii="Verdana" w:hAnsi="Verdana"/>
          <w:sz w:val="20"/>
        </w:rPr>
      </w:pPr>
      <w:r>
        <w:rPr>
          <w:rFonts w:ascii="Verdana" w:hAnsi="Verdana"/>
          <w:sz w:val="20"/>
        </w:rPr>
        <w:t>Based on the preliminary assessment</w:t>
      </w:r>
      <w:r w:rsidR="00342B5C">
        <w:rPr>
          <w:rFonts w:ascii="Verdana" w:hAnsi="Verdana"/>
          <w:sz w:val="20"/>
        </w:rPr>
        <w:t xml:space="preserve"> by </w:t>
      </w:r>
      <w:proofErr w:type="spellStart"/>
      <w:r w:rsidR="00342B5C">
        <w:rPr>
          <w:rFonts w:ascii="Verdana" w:hAnsi="Verdana"/>
          <w:sz w:val="20"/>
        </w:rPr>
        <w:t>eMSCA</w:t>
      </w:r>
      <w:proofErr w:type="spellEnd"/>
      <w:r>
        <w:rPr>
          <w:rFonts w:ascii="Verdana" w:hAnsi="Verdana"/>
          <w:sz w:val="20"/>
        </w:rPr>
        <w:t xml:space="preserve"> </w:t>
      </w:r>
      <w:r w:rsidR="00D4382A">
        <w:rPr>
          <w:rFonts w:ascii="Verdana" w:hAnsi="Verdana"/>
          <w:sz w:val="20"/>
        </w:rPr>
        <w:t>D</w:t>
      </w:r>
      <w:r w:rsidR="00D4382A" w:rsidRPr="002A44A6">
        <w:rPr>
          <w:rFonts w:ascii="Verdana" w:hAnsi="Verdana"/>
          <w:sz w:val="20"/>
        </w:rPr>
        <w:t xml:space="preserve">ibenzylbenzene, </w:t>
      </w:r>
      <w:proofErr w:type="spellStart"/>
      <w:r w:rsidR="00D4382A" w:rsidRPr="002A44A6">
        <w:rPr>
          <w:rFonts w:ascii="Verdana" w:hAnsi="Verdana"/>
          <w:sz w:val="20"/>
        </w:rPr>
        <w:t>ar</w:t>
      </w:r>
      <w:proofErr w:type="spellEnd"/>
      <w:r w:rsidR="00D4382A" w:rsidRPr="002A44A6">
        <w:rPr>
          <w:rFonts w:ascii="Verdana" w:hAnsi="Verdana"/>
          <w:sz w:val="20"/>
        </w:rPr>
        <w:t xml:space="preserve">-methyl </w:t>
      </w:r>
      <w:r w:rsidR="00B57F3A">
        <w:rPr>
          <w:rFonts w:ascii="Verdana" w:hAnsi="Verdana"/>
          <w:sz w:val="20"/>
        </w:rPr>
        <w:t>derivative</w:t>
      </w:r>
      <w:r w:rsidR="00E944B9">
        <w:rPr>
          <w:rFonts w:ascii="Verdana" w:hAnsi="Verdana"/>
          <w:sz w:val="20"/>
        </w:rPr>
        <w:t xml:space="preserve"> might potentially fulfil </w:t>
      </w:r>
      <w:r w:rsidR="00266063">
        <w:rPr>
          <w:rFonts w:ascii="Verdana" w:hAnsi="Verdana"/>
          <w:sz w:val="20"/>
        </w:rPr>
        <w:t xml:space="preserve">the </w:t>
      </w:r>
      <w:r w:rsidR="00E944B9">
        <w:rPr>
          <w:rFonts w:ascii="Verdana" w:hAnsi="Verdana"/>
          <w:sz w:val="20"/>
        </w:rPr>
        <w:t>Annex XIII criteria</w:t>
      </w:r>
      <w:r>
        <w:rPr>
          <w:rFonts w:ascii="Verdana" w:hAnsi="Verdana"/>
          <w:sz w:val="20"/>
        </w:rPr>
        <w:t>. As</w:t>
      </w:r>
      <w:r w:rsidDel="006D1761">
        <w:rPr>
          <w:rFonts w:ascii="Verdana" w:hAnsi="Verdana"/>
          <w:sz w:val="20"/>
        </w:rPr>
        <w:t xml:space="preserve"> </w:t>
      </w:r>
      <w:r w:rsidR="00E944B9">
        <w:rPr>
          <w:rFonts w:ascii="Verdana" w:hAnsi="Verdana"/>
          <w:sz w:val="20"/>
        </w:rPr>
        <w:t>it is currently not treated as a PBT/</w:t>
      </w:r>
      <w:proofErr w:type="spellStart"/>
      <w:r w:rsidR="00E944B9">
        <w:rPr>
          <w:rFonts w:ascii="Verdana" w:hAnsi="Verdana"/>
          <w:sz w:val="20"/>
        </w:rPr>
        <w:t>vPvB</w:t>
      </w:r>
      <w:proofErr w:type="spellEnd"/>
      <w:r w:rsidR="00E944B9">
        <w:rPr>
          <w:rFonts w:ascii="Verdana" w:hAnsi="Verdana"/>
          <w:sz w:val="20"/>
        </w:rPr>
        <w:t xml:space="preserve"> substance, </w:t>
      </w:r>
      <w:r w:rsidR="00342B5C">
        <w:rPr>
          <w:rFonts w:ascii="Verdana" w:hAnsi="Verdana"/>
          <w:sz w:val="20"/>
        </w:rPr>
        <w:t xml:space="preserve">the </w:t>
      </w:r>
      <w:r w:rsidR="00E944B9">
        <w:rPr>
          <w:rFonts w:ascii="Verdana" w:hAnsi="Verdana"/>
          <w:sz w:val="20"/>
        </w:rPr>
        <w:t xml:space="preserve">recommended RMM in the </w:t>
      </w:r>
      <w:r w:rsidR="001C3F80">
        <w:rPr>
          <w:rFonts w:ascii="Verdana" w:hAnsi="Verdana"/>
          <w:sz w:val="20"/>
        </w:rPr>
        <w:t>Chemical Safety Report (CSR)</w:t>
      </w:r>
      <w:r w:rsidR="00E944B9">
        <w:rPr>
          <w:rFonts w:ascii="Verdana" w:hAnsi="Verdana"/>
          <w:sz w:val="20"/>
        </w:rPr>
        <w:t xml:space="preserve"> do not actively seek to </w:t>
      </w:r>
      <w:proofErr w:type="spellStart"/>
      <w:r w:rsidR="00E944B9">
        <w:rPr>
          <w:rFonts w:ascii="Verdana" w:hAnsi="Verdana"/>
          <w:sz w:val="20"/>
        </w:rPr>
        <w:t>minimise</w:t>
      </w:r>
      <w:proofErr w:type="spellEnd"/>
      <w:r w:rsidR="00E944B9">
        <w:rPr>
          <w:rFonts w:ascii="Verdana" w:hAnsi="Verdana"/>
          <w:sz w:val="20"/>
        </w:rPr>
        <w:t xml:space="preserve"> emissions. Thus, it is unclear if the recommen</w:t>
      </w:r>
      <w:r w:rsidR="00295D4B">
        <w:rPr>
          <w:rFonts w:ascii="Verdana" w:hAnsi="Verdana"/>
          <w:sz w:val="20"/>
        </w:rPr>
        <w:t>d</w:t>
      </w:r>
      <w:r w:rsidR="00E944B9">
        <w:rPr>
          <w:rFonts w:ascii="Verdana" w:hAnsi="Verdana"/>
          <w:sz w:val="20"/>
        </w:rPr>
        <w:t>ed RMMs are adequate</w:t>
      </w:r>
      <w:r w:rsidR="001C3F80">
        <w:rPr>
          <w:rFonts w:ascii="Verdana" w:hAnsi="Verdana"/>
          <w:sz w:val="20"/>
        </w:rPr>
        <w:t xml:space="preserve"> for the substance</w:t>
      </w:r>
      <w:r w:rsidR="00E944B9">
        <w:rPr>
          <w:rFonts w:ascii="Verdana" w:hAnsi="Verdana"/>
          <w:sz w:val="20"/>
        </w:rPr>
        <w:t xml:space="preserve">. </w:t>
      </w:r>
      <w:r w:rsidR="00323E24">
        <w:rPr>
          <w:rFonts w:ascii="Verdana" w:hAnsi="Verdana"/>
          <w:sz w:val="20"/>
        </w:rPr>
        <w:t xml:space="preserve">If </w:t>
      </w:r>
      <w:r w:rsidR="00266063">
        <w:rPr>
          <w:rFonts w:ascii="Verdana" w:hAnsi="Verdana"/>
          <w:sz w:val="20"/>
        </w:rPr>
        <w:t xml:space="preserve">the </w:t>
      </w:r>
      <w:r w:rsidR="00323E24">
        <w:rPr>
          <w:rFonts w:ascii="Verdana" w:hAnsi="Verdana"/>
          <w:sz w:val="20"/>
        </w:rPr>
        <w:t xml:space="preserve">Annex XIII criteria </w:t>
      </w:r>
      <w:r w:rsidR="00266063">
        <w:rPr>
          <w:rFonts w:ascii="Verdana" w:hAnsi="Verdana"/>
          <w:sz w:val="20"/>
        </w:rPr>
        <w:t xml:space="preserve">are </w:t>
      </w:r>
      <w:r w:rsidR="00323E24">
        <w:rPr>
          <w:rFonts w:ascii="Verdana" w:hAnsi="Verdana"/>
          <w:sz w:val="20"/>
        </w:rPr>
        <w:t xml:space="preserve">fulfilled for </w:t>
      </w:r>
      <w:r>
        <w:rPr>
          <w:rFonts w:ascii="Verdana" w:hAnsi="Verdana"/>
          <w:sz w:val="20"/>
        </w:rPr>
        <w:t>the substance, its</w:t>
      </w:r>
      <w:r w:rsidR="00323E24">
        <w:rPr>
          <w:rFonts w:ascii="Verdana" w:hAnsi="Verdana"/>
          <w:sz w:val="20"/>
        </w:rPr>
        <w:t xml:space="preserve"> emission to </w:t>
      </w:r>
      <w:r w:rsidR="00295D4B">
        <w:rPr>
          <w:rFonts w:ascii="Verdana" w:hAnsi="Verdana"/>
          <w:sz w:val="20"/>
        </w:rPr>
        <w:t xml:space="preserve">the </w:t>
      </w:r>
      <w:r w:rsidR="00323E24">
        <w:rPr>
          <w:rFonts w:ascii="Verdana" w:hAnsi="Verdana"/>
          <w:sz w:val="20"/>
        </w:rPr>
        <w:t xml:space="preserve">environment should be reduced to </w:t>
      </w:r>
      <w:r w:rsidR="00295D4B">
        <w:rPr>
          <w:rFonts w:ascii="Verdana" w:hAnsi="Verdana"/>
          <w:sz w:val="20"/>
        </w:rPr>
        <w:t xml:space="preserve">a </w:t>
      </w:r>
      <w:r w:rsidR="00323E24">
        <w:rPr>
          <w:rFonts w:ascii="Verdana" w:hAnsi="Verdana"/>
          <w:sz w:val="20"/>
        </w:rPr>
        <w:t xml:space="preserve">minimum. </w:t>
      </w:r>
    </w:p>
    <w:p w14:paraId="390B2655" w14:textId="7BCA6683" w:rsidR="00D4382A" w:rsidRDefault="00D4382A" w:rsidP="001C3F80">
      <w:pPr>
        <w:spacing w:after="0"/>
        <w:jc w:val="both"/>
        <w:rPr>
          <w:rFonts w:ascii="Verdana" w:hAnsi="Verdana"/>
          <w:sz w:val="20"/>
          <w:szCs w:val="20"/>
        </w:rPr>
      </w:pPr>
    </w:p>
    <w:p w14:paraId="3F8E3701" w14:textId="78623CB2" w:rsidR="0042302F" w:rsidRDefault="00E944B9" w:rsidP="001C3F80">
      <w:pPr>
        <w:spacing w:after="0"/>
        <w:jc w:val="both"/>
        <w:rPr>
          <w:rFonts w:ascii="Verdana" w:hAnsi="Verdana"/>
          <w:sz w:val="20"/>
          <w:lang w:val="fr-FR"/>
        </w:rPr>
      </w:pPr>
      <w:r>
        <w:rPr>
          <w:rFonts w:ascii="Verdana" w:hAnsi="Verdana"/>
          <w:sz w:val="20"/>
          <w:szCs w:val="20"/>
        </w:rPr>
        <w:t xml:space="preserve">For </w:t>
      </w:r>
      <w:r w:rsidR="000317A7" w:rsidRPr="000317A7">
        <w:rPr>
          <w:rFonts w:ascii="Verdana" w:hAnsi="Verdana"/>
          <w:sz w:val="20"/>
        </w:rPr>
        <w:t>6-(1-phenylethyl)-1,2,3,4-tetrahydronaphthalene</w:t>
      </w:r>
      <w:r>
        <w:rPr>
          <w:rFonts w:ascii="Verdana" w:hAnsi="Verdana"/>
          <w:sz w:val="20"/>
        </w:rPr>
        <w:t xml:space="preserve"> there is no C</w:t>
      </w:r>
      <w:r w:rsidR="001C3F80">
        <w:rPr>
          <w:rFonts w:ascii="Verdana" w:hAnsi="Verdana"/>
          <w:sz w:val="20"/>
        </w:rPr>
        <w:t>SR available in the registration doss</w:t>
      </w:r>
      <w:r w:rsidR="00266063">
        <w:rPr>
          <w:rFonts w:ascii="Verdana" w:hAnsi="Verdana"/>
          <w:sz w:val="20"/>
        </w:rPr>
        <w:t>i</w:t>
      </w:r>
      <w:r w:rsidR="001C3F80">
        <w:rPr>
          <w:rFonts w:ascii="Verdana" w:hAnsi="Verdana"/>
          <w:sz w:val="20"/>
        </w:rPr>
        <w:t>er</w:t>
      </w:r>
      <w:r w:rsidR="00F96AAB">
        <w:rPr>
          <w:rFonts w:ascii="Verdana" w:hAnsi="Verdana"/>
          <w:sz w:val="20"/>
        </w:rPr>
        <w:t>. CSR is</w:t>
      </w:r>
      <w:r w:rsidR="001C3F80">
        <w:rPr>
          <w:rFonts w:ascii="Verdana" w:hAnsi="Verdana"/>
          <w:sz w:val="20"/>
        </w:rPr>
        <w:t xml:space="preserve"> not required</w:t>
      </w:r>
      <w:r w:rsidR="002E5DFB">
        <w:rPr>
          <w:rFonts w:ascii="Verdana" w:hAnsi="Verdana"/>
          <w:sz w:val="20"/>
        </w:rPr>
        <w:t>,</w:t>
      </w:r>
      <w:r w:rsidR="004E7FFA">
        <w:rPr>
          <w:rFonts w:ascii="Verdana" w:hAnsi="Verdana"/>
          <w:sz w:val="20"/>
        </w:rPr>
        <w:t xml:space="preserve"> </w:t>
      </w:r>
      <w:r w:rsidR="002E5DFB">
        <w:rPr>
          <w:rFonts w:ascii="Verdana" w:hAnsi="Verdana"/>
          <w:sz w:val="20"/>
        </w:rPr>
        <w:t xml:space="preserve">for example, </w:t>
      </w:r>
      <w:r w:rsidR="00F96AAB">
        <w:rPr>
          <w:rFonts w:ascii="Verdana" w:hAnsi="Verdana"/>
          <w:sz w:val="20"/>
        </w:rPr>
        <w:t xml:space="preserve">if there are </w:t>
      </w:r>
      <w:r w:rsidR="00BF7F52">
        <w:rPr>
          <w:rFonts w:ascii="Verdana" w:hAnsi="Verdana"/>
          <w:sz w:val="20"/>
        </w:rPr>
        <w:t>no changes in tonnage band</w:t>
      </w:r>
      <w:r w:rsidR="001C3F80">
        <w:rPr>
          <w:rFonts w:ascii="Verdana" w:hAnsi="Verdana"/>
          <w:sz w:val="20"/>
        </w:rPr>
        <w:t xml:space="preserve"> for the notified substance under previous legislation (Directi</w:t>
      </w:r>
      <w:r w:rsidR="002E5DFB">
        <w:rPr>
          <w:rFonts w:ascii="Verdana" w:hAnsi="Verdana"/>
          <w:sz w:val="20"/>
        </w:rPr>
        <w:t>v</w:t>
      </w:r>
      <w:r w:rsidR="001C3F80">
        <w:rPr>
          <w:rFonts w:ascii="Verdana" w:hAnsi="Verdana"/>
          <w:sz w:val="20"/>
        </w:rPr>
        <w:t xml:space="preserve">e </w:t>
      </w:r>
      <w:r w:rsidR="001C3F80" w:rsidRPr="006C0A2C">
        <w:rPr>
          <w:rFonts w:ascii="Verdana" w:hAnsi="Verdana"/>
          <w:sz w:val="20"/>
          <w:lang w:val="fr-FR"/>
        </w:rPr>
        <w:t>67/548/EEC</w:t>
      </w:r>
      <w:r w:rsidR="001C3F80">
        <w:rPr>
          <w:rFonts w:ascii="Verdana" w:hAnsi="Verdana"/>
          <w:sz w:val="20"/>
          <w:lang w:val="fr-FR"/>
        </w:rPr>
        <w:t xml:space="preserve">). </w:t>
      </w:r>
      <w:proofErr w:type="spellStart"/>
      <w:r w:rsidR="001C3F80">
        <w:rPr>
          <w:rFonts w:ascii="Verdana" w:hAnsi="Verdana"/>
          <w:sz w:val="20"/>
          <w:lang w:val="fr-FR"/>
        </w:rPr>
        <w:t>Therefore</w:t>
      </w:r>
      <w:proofErr w:type="spellEnd"/>
      <w:r w:rsidR="001C3F80">
        <w:rPr>
          <w:rFonts w:ascii="Verdana" w:hAnsi="Verdana"/>
          <w:sz w:val="20"/>
          <w:lang w:val="fr-FR"/>
        </w:rPr>
        <w:t xml:space="preserve">, </w:t>
      </w:r>
      <w:proofErr w:type="spellStart"/>
      <w:r w:rsidR="001C3F80">
        <w:rPr>
          <w:rFonts w:ascii="Verdana" w:hAnsi="Verdana"/>
          <w:sz w:val="20"/>
          <w:lang w:val="fr-FR"/>
        </w:rPr>
        <w:t>safe</w:t>
      </w:r>
      <w:proofErr w:type="spellEnd"/>
      <w:r w:rsidR="001C3F80">
        <w:rPr>
          <w:rFonts w:ascii="Verdana" w:hAnsi="Verdana"/>
          <w:sz w:val="20"/>
          <w:lang w:val="fr-FR"/>
        </w:rPr>
        <w:t xml:space="preserve"> use and </w:t>
      </w:r>
      <w:proofErr w:type="spellStart"/>
      <w:r w:rsidR="001C3F80">
        <w:rPr>
          <w:rFonts w:ascii="Verdana" w:hAnsi="Verdana"/>
          <w:sz w:val="20"/>
          <w:lang w:val="fr-FR"/>
        </w:rPr>
        <w:t>emissions</w:t>
      </w:r>
      <w:proofErr w:type="spellEnd"/>
      <w:r w:rsidR="001C3F80">
        <w:rPr>
          <w:rFonts w:ascii="Verdana" w:hAnsi="Verdana"/>
          <w:sz w:val="20"/>
          <w:lang w:val="fr-FR"/>
        </w:rPr>
        <w:t xml:space="preserve"> of the substance can</w:t>
      </w:r>
      <w:r w:rsidR="006D1761">
        <w:rPr>
          <w:rFonts w:ascii="Verdana" w:hAnsi="Verdana"/>
          <w:sz w:val="20"/>
          <w:lang w:val="fr-FR"/>
        </w:rPr>
        <w:t xml:space="preserve"> not</w:t>
      </w:r>
      <w:r w:rsidR="001C3F80">
        <w:rPr>
          <w:rFonts w:ascii="Verdana" w:hAnsi="Verdana"/>
          <w:sz w:val="20"/>
          <w:lang w:val="fr-FR"/>
        </w:rPr>
        <w:t xml:space="preserve"> </w:t>
      </w:r>
      <w:proofErr w:type="spellStart"/>
      <w:r w:rsidR="001C3F80">
        <w:rPr>
          <w:rFonts w:ascii="Verdana" w:hAnsi="Verdana"/>
          <w:sz w:val="20"/>
          <w:lang w:val="fr-FR"/>
        </w:rPr>
        <w:t>be</w:t>
      </w:r>
      <w:proofErr w:type="spellEnd"/>
      <w:r w:rsidR="001C3F80">
        <w:rPr>
          <w:rFonts w:ascii="Verdana" w:hAnsi="Verdana"/>
          <w:sz w:val="20"/>
          <w:lang w:val="fr-FR"/>
        </w:rPr>
        <w:t xml:space="preserve"> </w:t>
      </w:r>
      <w:proofErr w:type="spellStart"/>
      <w:r w:rsidR="004E7FFA">
        <w:rPr>
          <w:rFonts w:ascii="Verdana" w:hAnsi="Verdana"/>
          <w:sz w:val="20"/>
          <w:lang w:val="fr-FR"/>
        </w:rPr>
        <w:t>currently</w:t>
      </w:r>
      <w:proofErr w:type="spellEnd"/>
      <w:r w:rsidR="004E7FFA">
        <w:rPr>
          <w:rFonts w:ascii="Verdana" w:hAnsi="Verdana"/>
          <w:sz w:val="20"/>
          <w:lang w:val="fr-FR"/>
        </w:rPr>
        <w:t xml:space="preserve"> </w:t>
      </w:r>
      <w:proofErr w:type="spellStart"/>
      <w:r w:rsidR="001C3F80">
        <w:rPr>
          <w:rFonts w:ascii="Verdana" w:hAnsi="Verdana"/>
          <w:sz w:val="20"/>
          <w:lang w:val="fr-FR"/>
        </w:rPr>
        <w:t>assessed</w:t>
      </w:r>
      <w:proofErr w:type="spellEnd"/>
      <w:r w:rsidR="001C3F80">
        <w:rPr>
          <w:rFonts w:ascii="Verdana" w:hAnsi="Verdana"/>
          <w:sz w:val="20"/>
          <w:lang w:val="fr-FR"/>
        </w:rPr>
        <w:t xml:space="preserve"> </w:t>
      </w:r>
      <w:proofErr w:type="spellStart"/>
      <w:r w:rsidR="001C3F80">
        <w:rPr>
          <w:rFonts w:ascii="Verdana" w:hAnsi="Verdana"/>
          <w:sz w:val="20"/>
          <w:lang w:val="fr-FR"/>
        </w:rPr>
        <w:t>adequately</w:t>
      </w:r>
      <w:proofErr w:type="spellEnd"/>
      <w:r w:rsidR="001C3F80">
        <w:rPr>
          <w:rFonts w:ascii="Verdana" w:hAnsi="Verdana"/>
          <w:sz w:val="20"/>
          <w:lang w:val="fr-FR"/>
        </w:rPr>
        <w:t xml:space="preserve">. In </w:t>
      </w:r>
      <w:proofErr w:type="spellStart"/>
      <w:r w:rsidR="001C3F80">
        <w:rPr>
          <w:rFonts w:ascii="Verdana" w:hAnsi="Verdana"/>
          <w:sz w:val="20"/>
          <w:lang w:val="fr-FR"/>
        </w:rPr>
        <w:t>this</w:t>
      </w:r>
      <w:proofErr w:type="spellEnd"/>
      <w:r w:rsidR="001C3F80">
        <w:rPr>
          <w:rFonts w:ascii="Verdana" w:hAnsi="Verdana"/>
          <w:sz w:val="20"/>
          <w:lang w:val="fr-FR"/>
        </w:rPr>
        <w:t xml:space="preserve"> case</w:t>
      </w:r>
      <w:r w:rsidR="006D1761">
        <w:rPr>
          <w:rFonts w:ascii="Verdana" w:hAnsi="Verdana"/>
          <w:sz w:val="20"/>
          <w:lang w:val="fr-FR"/>
        </w:rPr>
        <w:t>,</w:t>
      </w:r>
      <w:r w:rsidR="001C3F80">
        <w:rPr>
          <w:rFonts w:ascii="Verdana" w:hAnsi="Verdana"/>
          <w:sz w:val="20"/>
          <w:lang w:val="fr-FR"/>
        </w:rPr>
        <w:t xml:space="preserve"> </w:t>
      </w:r>
      <w:proofErr w:type="spellStart"/>
      <w:r w:rsidR="00342B5C">
        <w:rPr>
          <w:rFonts w:ascii="Verdana" w:hAnsi="Verdana"/>
          <w:sz w:val="20"/>
          <w:lang w:val="fr-FR"/>
        </w:rPr>
        <w:t>without</w:t>
      </w:r>
      <w:proofErr w:type="spellEnd"/>
      <w:r w:rsidR="00342B5C">
        <w:rPr>
          <w:rFonts w:ascii="Verdana" w:hAnsi="Verdana"/>
          <w:sz w:val="20"/>
          <w:lang w:val="fr-FR"/>
        </w:rPr>
        <w:t xml:space="preserve"> the </w:t>
      </w:r>
      <w:proofErr w:type="spellStart"/>
      <w:r w:rsidR="00342B5C">
        <w:rPr>
          <w:rFonts w:ascii="Verdana" w:hAnsi="Verdana"/>
          <w:sz w:val="20"/>
          <w:lang w:val="fr-FR"/>
        </w:rPr>
        <w:t>adequate</w:t>
      </w:r>
      <w:proofErr w:type="spellEnd"/>
      <w:r w:rsidR="00342B5C">
        <w:rPr>
          <w:rFonts w:ascii="Verdana" w:hAnsi="Verdana"/>
          <w:sz w:val="20"/>
          <w:lang w:val="fr-FR"/>
        </w:rPr>
        <w:t xml:space="preserve"> </w:t>
      </w:r>
      <w:proofErr w:type="spellStart"/>
      <w:r w:rsidR="00342B5C">
        <w:rPr>
          <w:rFonts w:ascii="Verdana" w:hAnsi="Verdana"/>
          <w:sz w:val="20"/>
          <w:lang w:val="fr-FR"/>
        </w:rPr>
        <w:t>chemical</w:t>
      </w:r>
      <w:proofErr w:type="spellEnd"/>
      <w:r w:rsidR="00342B5C">
        <w:rPr>
          <w:rFonts w:ascii="Verdana" w:hAnsi="Verdana"/>
          <w:sz w:val="20"/>
          <w:lang w:val="fr-FR"/>
        </w:rPr>
        <w:t xml:space="preserve"> </w:t>
      </w:r>
      <w:proofErr w:type="spellStart"/>
      <w:r w:rsidR="00342B5C">
        <w:rPr>
          <w:rFonts w:ascii="Verdana" w:hAnsi="Verdana"/>
          <w:sz w:val="20"/>
          <w:lang w:val="fr-FR"/>
        </w:rPr>
        <w:t>safety</w:t>
      </w:r>
      <w:proofErr w:type="spellEnd"/>
      <w:r w:rsidR="00342B5C">
        <w:rPr>
          <w:rFonts w:ascii="Verdana" w:hAnsi="Verdana"/>
          <w:sz w:val="20"/>
          <w:lang w:val="fr-FR"/>
        </w:rPr>
        <w:t xml:space="preserve"> </w:t>
      </w:r>
      <w:proofErr w:type="spellStart"/>
      <w:r w:rsidR="00342B5C">
        <w:rPr>
          <w:rFonts w:ascii="Verdana" w:hAnsi="Verdana"/>
          <w:sz w:val="20"/>
          <w:lang w:val="fr-FR"/>
        </w:rPr>
        <w:t>assessment</w:t>
      </w:r>
      <w:proofErr w:type="spellEnd"/>
      <w:r w:rsidR="00102C9D">
        <w:rPr>
          <w:rFonts w:ascii="Verdana" w:hAnsi="Verdana"/>
          <w:sz w:val="20"/>
          <w:lang w:val="fr-FR"/>
        </w:rPr>
        <w:t xml:space="preserve"> in the registration dossier</w:t>
      </w:r>
      <w:r w:rsidR="00342B5C">
        <w:rPr>
          <w:rFonts w:ascii="Verdana" w:hAnsi="Verdana"/>
          <w:sz w:val="20"/>
          <w:lang w:val="fr-FR"/>
        </w:rPr>
        <w:t xml:space="preserve">, </w:t>
      </w:r>
      <w:r w:rsidR="006D1761">
        <w:rPr>
          <w:rFonts w:ascii="Verdana" w:hAnsi="Verdana"/>
          <w:sz w:val="20"/>
          <w:lang w:val="fr-FR"/>
        </w:rPr>
        <w:t xml:space="preserve">the </w:t>
      </w:r>
      <w:proofErr w:type="spellStart"/>
      <w:r w:rsidR="006D1761">
        <w:rPr>
          <w:rFonts w:ascii="Verdana" w:hAnsi="Verdana"/>
          <w:sz w:val="20"/>
          <w:lang w:val="fr-FR"/>
        </w:rPr>
        <w:t>environmental</w:t>
      </w:r>
      <w:proofErr w:type="spellEnd"/>
      <w:r w:rsidR="006D1761">
        <w:rPr>
          <w:rFonts w:ascii="Verdana" w:hAnsi="Verdana"/>
          <w:sz w:val="20"/>
          <w:lang w:val="fr-FR"/>
        </w:rPr>
        <w:t xml:space="preserve"> </w:t>
      </w:r>
      <w:proofErr w:type="spellStart"/>
      <w:r w:rsidR="006D1761">
        <w:rPr>
          <w:rFonts w:ascii="Verdana" w:hAnsi="Verdana"/>
          <w:sz w:val="20"/>
          <w:lang w:val="fr-FR"/>
        </w:rPr>
        <w:t>exposure</w:t>
      </w:r>
      <w:proofErr w:type="spellEnd"/>
      <w:r w:rsidR="006D1761">
        <w:rPr>
          <w:rFonts w:ascii="Verdana" w:hAnsi="Verdana"/>
          <w:sz w:val="20"/>
          <w:lang w:val="fr-FR"/>
        </w:rPr>
        <w:t xml:space="preserve"> </w:t>
      </w:r>
      <w:proofErr w:type="spellStart"/>
      <w:r w:rsidR="006D1761">
        <w:rPr>
          <w:rFonts w:ascii="Verdana" w:hAnsi="Verdana"/>
          <w:sz w:val="20"/>
          <w:lang w:val="fr-FR"/>
        </w:rPr>
        <w:t>cannot</w:t>
      </w:r>
      <w:proofErr w:type="spellEnd"/>
      <w:r w:rsidR="006D1761">
        <w:rPr>
          <w:rFonts w:ascii="Verdana" w:hAnsi="Verdana"/>
          <w:sz w:val="20"/>
          <w:lang w:val="fr-FR"/>
        </w:rPr>
        <w:t xml:space="preserve"> </w:t>
      </w:r>
      <w:proofErr w:type="spellStart"/>
      <w:r w:rsidR="006D1761">
        <w:rPr>
          <w:rFonts w:ascii="Verdana" w:hAnsi="Verdana"/>
          <w:sz w:val="20"/>
          <w:lang w:val="fr-FR"/>
        </w:rPr>
        <w:t>be</w:t>
      </w:r>
      <w:proofErr w:type="spellEnd"/>
      <w:r w:rsidR="006D1761">
        <w:rPr>
          <w:rFonts w:ascii="Verdana" w:hAnsi="Verdana"/>
          <w:sz w:val="20"/>
          <w:lang w:val="fr-FR"/>
        </w:rPr>
        <w:t xml:space="preserve"> </w:t>
      </w:r>
      <w:proofErr w:type="spellStart"/>
      <w:r w:rsidR="006D1761">
        <w:rPr>
          <w:rFonts w:ascii="Verdana" w:hAnsi="Verdana"/>
          <w:sz w:val="20"/>
          <w:lang w:val="fr-FR"/>
        </w:rPr>
        <w:t>excluded</w:t>
      </w:r>
      <w:proofErr w:type="spellEnd"/>
      <w:r w:rsidR="001C3F80">
        <w:rPr>
          <w:rFonts w:ascii="Verdana" w:hAnsi="Verdana"/>
          <w:sz w:val="20"/>
          <w:lang w:val="fr-FR"/>
        </w:rPr>
        <w:t xml:space="preserve"> </w:t>
      </w:r>
      <w:proofErr w:type="spellStart"/>
      <w:r w:rsidR="001C3F80">
        <w:rPr>
          <w:rFonts w:ascii="Verdana" w:hAnsi="Verdana"/>
          <w:sz w:val="20"/>
          <w:lang w:val="fr-FR"/>
        </w:rPr>
        <w:t>even</w:t>
      </w:r>
      <w:proofErr w:type="spellEnd"/>
      <w:r w:rsidR="001C3F80">
        <w:rPr>
          <w:rFonts w:ascii="Verdana" w:hAnsi="Verdana"/>
          <w:sz w:val="20"/>
          <w:lang w:val="fr-FR"/>
        </w:rPr>
        <w:t xml:space="preserve"> </w:t>
      </w:r>
      <w:proofErr w:type="spellStart"/>
      <w:r w:rsidR="001C3F80">
        <w:rPr>
          <w:rFonts w:ascii="Verdana" w:hAnsi="Verdana"/>
          <w:sz w:val="20"/>
          <w:lang w:val="fr-FR"/>
        </w:rPr>
        <w:t>though</w:t>
      </w:r>
      <w:proofErr w:type="spellEnd"/>
      <w:r w:rsidR="001C3F80">
        <w:rPr>
          <w:rFonts w:ascii="Verdana" w:hAnsi="Verdana"/>
          <w:sz w:val="20"/>
          <w:lang w:val="fr-FR"/>
        </w:rPr>
        <w:t xml:space="preserve"> </w:t>
      </w:r>
      <w:proofErr w:type="spellStart"/>
      <w:r w:rsidR="001C3F80">
        <w:rPr>
          <w:rFonts w:ascii="Verdana" w:hAnsi="Verdana"/>
          <w:sz w:val="20"/>
          <w:lang w:val="fr-FR"/>
        </w:rPr>
        <w:t>there</w:t>
      </w:r>
      <w:proofErr w:type="spellEnd"/>
      <w:r w:rsidR="001C3F80">
        <w:rPr>
          <w:rFonts w:ascii="Verdana" w:hAnsi="Verdana"/>
          <w:sz w:val="20"/>
          <w:lang w:val="fr-FR"/>
        </w:rPr>
        <w:t xml:space="preserve"> are no </w:t>
      </w:r>
      <w:proofErr w:type="spellStart"/>
      <w:r w:rsidR="001C3F80">
        <w:rPr>
          <w:rFonts w:ascii="Verdana" w:hAnsi="Verdana"/>
          <w:sz w:val="20"/>
          <w:lang w:val="fr-FR"/>
        </w:rPr>
        <w:t>other</w:t>
      </w:r>
      <w:proofErr w:type="spellEnd"/>
      <w:r w:rsidR="001C3F80">
        <w:rPr>
          <w:rFonts w:ascii="Verdana" w:hAnsi="Verdana"/>
          <w:sz w:val="20"/>
          <w:lang w:val="fr-FR"/>
        </w:rPr>
        <w:t xml:space="preserve"> </w:t>
      </w:r>
      <w:proofErr w:type="spellStart"/>
      <w:r w:rsidR="001C3F80">
        <w:rPr>
          <w:rFonts w:ascii="Verdana" w:hAnsi="Verdana"/>
          <w:sz w:val="20"/>
          <w:lang w:val="fr-FR"/>
        </w:rPr>
        <w:t>registered</w:t>
      </w:r>
      <w:proofErr w:type="spellEnd"/>
      <w:r w:rsidR="001C3F80">
        <w:rPr>
          <w:rFonts w:ascii="Verdana" w:hAnsi="Verdana"/>
          <w:sz w:val="20"/>
          <w:lang w:val="fr-FR"/>
        </w:rPr>
        <w:t xml:space="preserve"> uses for the substance </w:t>
      </w:r>
      <w:proofErr w:type="spellStart"/>
      <w:r w:rsidR="001C3F80">
        <w:rPr>
          <w:rFonts w:ascii="Verdana" w:hAnsi="Verdana"/>
          <w:sz w:val="20"/>
          <w:lang w:val="fr-FR"/>
        </w:rPr>
        <w:t>than</w:t>
      </w:r>
      <w:proofErr w:type="spellEnd"/>
      <w:r w:rsidR="001C3F80">
        <w:rPr>
          <w:rFonts w:ascii="Verdana" w:hAnsi="Verdana"/>
          <w:sz w:val="20"/>
          <w:lang w:val="fr-FR"/>
        </w:rPr>
        <w:t xml:space="preserve"> </w:t>
      </w:r>
      <w:proofErr w:type="spellStart"/>
      <w:r w:rsidR="001C3F80">
        <w:rPr>
          <w:rFonts w:ascii="Verdana" w:hAnsi="Verdana"/>
          <w:sz w:val="20"/>
          <w:lang w:val="fr-FR"/>
        </w:rPr>
        <w:t>industrial</w:t>
      </w:r>
      <w:proofErr w:type="spellEnd"/>
      <w:r w:rsidR="001C3F80">
        <w:rPr>
          <w:rFonts w:ascii="Verdana" w:hAnsi="Verdana"/>
          <w:sz w:val="20"/>
          <w:lang w:val="fr-FR"/>
        </w:rPr>
        <w:t xml:space="preserve"> </w:t>
      </w:r>
      <w:proofErr w:type="spellStart"/>
      <w:r w:rsidR="001C3F80">
        <w:rPr>
          <w:rFonts w:ascii="Verdana" w:hAnsi="Verdana"/>
          <w:sz w:val="20"/>
          <w:lang w:val="fr-FR"/>
        </w:rPr>
        <w:t>closed</w:t>
      </w:r>
      <w:proofErr w:type="spellEnd"/>
      <w:r w:rsidR="001C3F80">
        <w:rPr>
          <w:rFonts w:ascii="Verdana" w:hAnsi="Verdana"/>
          <w:sz w:val="20"/>
          <w:lang w:val="fr-FR"/>
        </w:rPr>
        <w:t xml:space="preserve"> system use as a </w:t>
      </w:r>
      <w:proofErr w:type="spellStart"/>
      <w:r w:rsidR="001C3F80">
        <w:rPr>
          <w:rFonts w:ascii="Verdana" w:hAnsi="Verdana"/>
          <w:sz w:val="20"/>
          <w:lang w:val="fr-FR"/>
        </w:rPr>
        <w:t>heat</w:t>
      </w:r>
      <w:proofErr w:type="spellEnd"/>
      <w:r w:rsidR="001C3F80">
        <w:rPr>
          <w:rFonts w:ascii="Verdana" w:hAnsi="Verdana"/>
          <w:sz w:val="20"/>
          <w:lang w:val="fr-FR"/>
        </w:rPr>
        <w:t xml:space="preserve"> </w:t>
      </w:r>
      <w:proofErr w:type="spellStart"/>
      <w:r w:rsidR="001C3F80">
        <w:rPr>
          <w:rFonts w:ascii="Verdana" w:hAnsi="Verdana"/>
          <w:sz w:val="20"/>
          <w:lang w:val="fr-FR"/>
        </w:rPr>
        <w:t>transfer</w:t>
      </w:r>
      <w:proofErr w:type="spellEnd"/>
      <w:r w:rsidR="001C3F80">
        <w:rPr>
          <w:rFonts w:ascii="Verdana" w:hAnsi="Verdana"/>
          <w:sz w:val="20"/>
          <w:lang w:val="fr-FR"/>
        </w:rPr>
        <w:t xml:space="preserve"> </w:t>
      </w:r>
      <w:proofErr w:type="spellStart"/>
      <w:r w:rsidR="001C3F80">
        <w:rPr>
          <w:rFonts w:ascii="Verdana" w:hAnsi="Verdana"/>
          <w:sz w:val="20"/>
          <w:lang w:val="fr-FR"/>
        </w:rPr>
        <w:t>fluid</w:t>
      </w:r>
      <w:proofErr w:type="spellEnd"/>
      <w:r w:rsidR="001C3F80">
        <w:rPr>
          <w:rFonts w:ascii="Verdana" w:hAnsi="Verdana"/>
          <w:sz w:val="20"/>
          <w:lang w:val="fr-FR"/>
        </w:rPr>
        <w:t xml:space="preserve">. </w:t>
      </w:r>
      <w:proofErr w:type="spellStart"/>
      <w:r w:rsidR="00BF7F52">
        <w:rPr>
          <w:rFonts w:ascii="Verdana" w:hAnsi="Verdana"/>
          <w:sz w:val="20"/>
          <w:lang w:val="fr-FR"/>
        </w:rPr>
        <w:t>However</w:t>
      </w:r>
      <w:proofErr w:type="spellEnd"/>
      <w:r w:rsidR="00BF7F52">
        <w:rPr>
          <w:rFonts w:ascii="Verdana" w:hAnsi="Verdana"/>
          <w:sz w:val="20"/>
          <w:lang w:val="fr-FR"/>
        </w:rPr>
        <w:t xml:space="preserve">, a CSR has to </w:t>
      </w:r>
      <w:proofErr w:type="spellStart"/>
      <w:r w:rsidR="00BF7F52">
        <w:rPr>
          <w:rFonts w:ascii="Verdana" w:hAnsi="Verdana"/>
          <w:sz w:val="20"/>
          <w:lang w:val="fr-FR"/>
        </w:rPr>
        <w:t>be</w:t>
      </w:r>
      <w:proofErr w:type="spellEnd"/>
      <w:r w:rsidR="00BF7F52">
        <w:rPr>
          <w:rFonts w:ascii="Verdana" w:hAnsi="Verdana"/>
          <w:sz w:val="20"/>
          <w:lang w:val="fr-FR"/>
        </w:rPr>
        <w:t xml:space="preserve"> </w:t>
      </w:r>
      <w:proofErr w:type="spellStart"/>
      <w:r w:rsidR="00BF7F52">
        <w:rPr>
          <w:rFonts w:ascii="Verdana" w:hAnsi="Verdana"/>
          <w:sz w:val="20"/>
          <w:lang w:val="fr-FR"/>
        </w:rPr>
        <w:t>provided</w:t>
      </w:r>
      <w:proofErr w:type="spellEnd"/>
      <w:r w:rsidR="00BF7F52">
        <w:rPr>
          <w:rFonts w:ascii="Verdana" w:hAnsi="Verdana"/>
          <w:sz w:val="20"/>
          <w:lang w:val="fr-FR"/>
        </w:rPr>
        <w:t xml:space="preserve"> if the </w:t>
      </w:r>
      <w:proofErr w:type="spellStart"/>
      <w:r w:rsidR="00BF7F52">
        <w:rPr>
          <w:rFonts w:ascii="Verdana" w:hAnsi="Verdana"/>
          <w:sz w:val="20"/>
          <w:lang w:val="fr-FR"/>
        </w:rPr>
        <w:t>updated</w:t>
      </w:r>
      <w:proofErr w:type="spellEnd"/>
      <w:r w:rsidR="00BF7F52">
        <w:rPr>
          <w:rFonts w:ascii="Verdana" w:hAnsi="Verdana"/>
          <w:sz w:val="20"/>
          <w:lang w:val="fr-FR"/>
        </w:rPr>
        <w:t xml:space="preserve"> notification </w:t>
      </w:r>
      <w:proofErr w:type="spellStart"/>
      <w:r w:rsidR="00BF7F52">
        <w:rPr>
          <w:rFonts w:ascii="Verdana" w:hAnsi="Verdana"/>
          <w:sz w:val="20"/>
          <w:lang w:val="fr-FR"/>
        </w:rPr>
        <w:t>is</w:t>
      </w:r>
      <w:proofErr w:type="spellEnd"/>
      <w:r w:rsidR="00BF7F52">
        <w:rPr>
          <w:rFonts w:ascii="Verdana" w:hAnsi="Verdana"/>
          <w:sz w:val="20"/>
          <w:lang w:val="fr-FR"/>
        </w:rPr>
        <w:t xml:space="preserve"> </w:t>
      </w:r>
      <w:proofErr w:type="spellStart"/>
      <w:r w:rsidR="00BF7F52">
        <w:rPr>
          <w:rFonts w:ascii="Verdana" w:hAnsi="Verdana"/>
          <w:sz w:val="20"/>
          <w:lang w:val="fr-FR"/>
        </w:rPr>
        <w:t>above</w:t>
      </w:r>
      <w:proofErr w:type="spellEnd"/>
      <w:r w:rsidR="00BF7F52">
        <w:rPr>
          <w:rFonts w:ascii="Verdana" w:hAnsi="Verdana"/>
          <w:sz w:val="20"/>
          <w:lang w:val="fr-FR"/>
        </w:rPr>
        <w:t xml:space="preserve"> 10 t/a and</w:t>
      </w:r>
      <w:r w:rsidR="008C406F">
        <w:rPr>
          <w:rFonts w:ascii="Verdana" w:hAnsi="Verdana"/>
          <w:sz w:val="20"/>
          <w:lang w:val="fr-FR"/>
        </w:rPr>
        <w:t xml:space="preserve"> </w:t>
      </w:r>
      <w:proofErr w:type="spellStart"/>
      <w:r w:rsidR="008C406F">
        <w:rPr>
          <w:rFonts w:ascii="Verdana" w:hAnsi="Verdana"/>
          <w:sz w:val="20"/>
          <w:lang w:val="fr-FR"/>
        </w:rPr>
        <w:t>covers</w:t>
      </w:r>
      <w:proofErr w:type="spellEnd"/>
      <w:r w:rsidR="008C406F">
        <w:rPr>
          <w:rFonts w:ascii="Verdana" w:hAnsi="Verdana"/>
          <w:sz w:val="20"/>
          <w:lang w:val="fr-FR"/>
        </w:rPr>
        <w:t xml:space="preserve"> new </w:t>
      </w:r>
      <w:proofErr w:type="spellStart"/>
      <w:r w:rsidR="008C406F">
        <w:rPr>
          <w:rFonts w:ascii="Verdana" w:hAnsi="Verdana"/>
          <w:sz w:val="20"/>
          <w:lang w:val="fr-FR"/>
        </w:rPr>
        <w:t>identified</w:t>
      </w:r>
      <w:proofErr w:type="spellEnd"/>
      <w:r w:rsidR="008C406F">
        <w:rPr>
          <w:rFonts w:ascii="Verdana" w:hAnsi="Verdana"/>
          <w:sz w:val="20"/>
          <w:lang w:val="fr-FR"/>
        </w:rPr>
        <w:t xml:space="preserve"> uses, or</w:t>
      </w:r>
      <w:r w:rsidR="001C3092">
        <w:rPr>
          <w:rFonts w:ascii="Verdana" w:hAnsi="Verdana"/>
          <w:sz w:val="20"/>
          <w:lang w:val="fr-FR"/>
        </w:rPr>
        <w:t xml:space="preserve"> </w:t>
      </w:r>
      <w:r w:rsidR="00BF7F52">
        <w:rPr>
          <w:rFonts w:ascii="Verdana" w:hAnsi="Verdana"/>
          <w:sz w:val="20"/>
          <w:lang w:val="fr-FR"/>
        </w:rPr>
        <w:t xml:space="preserve">new </w:t>
      </w:r>
      <w:proofErr w:type="spellStart"/>
      <w:r w:rsidR="00BF7F52">
        <w:rPr>
          <w:rFonts w:ascii="Verdana" w:hAnsi="Verdana"/>
          <w:sz w:val="20"/>
          <w:lang w:val="fr-FR"/>
        </w:rPr>
        <w:t>knowledge</w:t>
      </w:r>
      <w:proofErr w:type="spellEnd"/>
      <w:r w:rsidR="00BF7F52">
        <w:rPr>
          <w:rFonts w:ascii="Verdana" w:hAnsi="Verdana"/>
          <w:sz w:val="20"/>
          <w:lang w:val="fr-FR"/>
        </w:rPr>
        <w:t xml:space="preserve"> arises </w:t>
      </w:r>
      <w:proofErr w:type="spellStart"/>
      <w:r w:rsidR="00BF7F52">
        <w:rPr>
          <w:rFonts w:ascii="Verdana" w:hAnsi="Verdana"/>
          <w:sz w:val="20"/>
          <w:lang w:val="fr-FR"/>
        </w:rPr>
        <w:t>with</w:t>
      </w:r>
      <w:proofErr w:type="spellEnd"/>
      <w:r w:rsidR="00BF7F52">
        <w:rPr>
          <w:rFonts w:ascii="Verdana" w:hAnsi="Verdana"/>
          <w:sz w:val="20"/>
          <w:lang w:val="fr-FR"/>
        </w:rPr>
        <w:t xml:space="preserve"> regard to the </w:t>
      </w:r>
      <w:proofErr w:type="spellStart"/>
      <w:r w:rsidR="00BF7F52">
        <w:rPr>
          <w:rFonts w:ascii="Verdana" w:hAnsi="Verdana"/>
          <w:sz w:val="20"/>
          <w:lang w:val="fr-FR"/>
        </w:rPr>
        <w:t>risks</w:t>
      </w:r>
      <w:proofErr w:type="spellEnd"/>
      <w:r w:rsidR="00BF7F52">
        <w:rPr>
          <w:rFonts w:ascii="Verdana" w:hAnsi="Verdana"/>
          <w:sz w:val="20"/>
          <w:lang w:val="fr-FR"/>
        </w:rPr>
        <w:t xml:space="preserve"> of the substance to </w:t>
      </w:r>
      <w:proofErr w:type="spellStart"/>
      <w:r w:rsidR="00BF7F52">
        <w:rPr>
          <w:rFonts w:ascii="Verdana" w:hAnsi="Verdana"/>
          <w:sz w:val="20"/>
          <w:lang w:val="fr-FR"/>
        </w:rPr>
        <w:t>human</w:t>
      </w:r>
      <w:proofErr w:type="spellEnd"/>
      <w:r w:rsidR="00BF7F52">
        <w:rPr>
          <w:rFonts w:ascii="Verdana" w:hAnsi="Verdana"/>
          <w:sz w:val="20"/>
          <w:lang w:val="fr-FR"/>
        </w:rPr>
        <w:t xml:space="preserve"> </w:t>
      </w:r>
      <w:proofErr w:type="spellStart"/>
      <w:r w:rsidR="00BF7F52">
        <w:rPr>
          <w:rFonts w:ascii="Verdana" w:hAnsi="Verdana"/>
          <w:sz w:val="20"/>
          <w:lang w:val="fr-FR"/>
        </w:rPr>
        <w:t>health</w:t>
      </w:r>
      <w:proofErr w:type="spellEnd"/>
      <w:r w:rsidR="00BF7F52">
        <w:rPr>
          <w:rFonts w:ascii="Verdana" w:hAnsi="Verdana"/>
          <w:sz w:val="20"/>
          <w:lang w:val="fr-FR"/>
        </w:rPr>
        <w:t xml:space="preserve"> and/or the </w:t>
      </w:r>
      <w:proofErr w:type="spellStart"/>
      <w:r w:rsidR="00BF7F52">
        <w:rPr>
          <w:rFonts w:ascii="Verdana" w:hAnsi="Verdana"/>
          <w:sz w:val="20"/>
          <w:lang w:val="fr-FR"/>
        </w:rPr>
        <w:t>environment</w:t>
      </w:r>
      <w:proofErr w:type="spellEnd"/>
      <w:r w:rsidR="00BF7F52">
        <w:rPr>
          <w:rFonts w:ascii="Verdana" w:hAnsi="Verdana"/>
          <w:sz w:val="20"/>
          <w:lang w:val="fr-FR"/>
        </w:rPr>
        <w:t xml:space="preserve"> </w:t>
      </w:r>
      <w:proofErr w:type="spellStart"/>
      <w:r w:rsidR="00BF7F52">
        <w:rPr>
          <w:rFonts w:ascii="Verdana" w:hAnsi="Verdana"/>
          <w:sz w:val="20"/>
          <w:lang w:val="fr-FR"/>
        </w:rPr>
        <w:t>which</w:t>
      </w:r>
      <w:proofErr w:type="spellEnd"/>
      <w:r w:rsidR="00BF7F52">
        <w:rPr>
          <w:rFonts w:ascii="Verdana" w:hAnsi="Verdana"/>
          <w:sz w:val="20"/>
          <w:lang w:val="fr-FR"/>
        </w:rPr>
        <w:t xml:space="preserve"> </w:t>
      </w:r>
      <w:proofErr w:type="spellStart"/>
      <w:r w:rsidR="00BF7F52">
        <w:rPr>
          <w:rFonts w:ascii="Verdana" w:hAnsi="Verdana"/>
          <w:sz w:val="20"/>
          <w:lang w:val="fr-FR"/>
        </w:rPr>
        <w:t>would</w:t>
      </w:r>
      <w:proofErr w:type="spellEnd"/>
      <w:r w:rsidR="00BF7F52">
        <w:rPr>
          <w:rFonts w:ascii="Verdana" w:hAnsi="Verdana"/>
          <w:sz w:val="20"/>
          <w:lang w:val="fr-FR"/>
        </w:rPr>
        <w:t xml:space="preserve"> lead to changes in the SDS (ECHA </w:t>
      </w:r>
      <w:proofErr w:type="gramStart"/>
      <w:r w:rsidR="00BF7F52">
        <w:rPr>
          <w:rFonts w:ascii="Verdana" w:hAnsi="Verdana"/>
          <w:sz w:val="20"/>
          <w:lang w:val="fr-FR"/>
        </w:rPr>
        <w:t>2018:</w:t>
      </w:r>
      <w:proofErr w:type="gramEnd"/>
      <w:r w:rsidR="00BF7F52">
        <w:rPr>
          <w:rFonts w:ascii="Verdana" w:hAnsi="Verdana"/>
          <w:sz w:val="20"/>
          <w:lang w:val="fr-FR"/>
        </w:rPr>
        <w:t xml:space="preserve"> </w:t>
      </w:r>
      <w:r w:rsidR="00BF7F52" w:rsidRPr="00BF7F52">
        <w:rPr>
          <w:rFonts w:ascii="Verdana" w:hAnsi="Verdana"/>
          <w:sz w:val="20"/>
          <w:lang w:val="fr-FR"/>
        </w:rPr>
        <w:t xml:space="preserve">How to </w:t>
      </w:r>
      <w:proofErr w:type="spellStart"/>
      <w:r w:rsidR="00BF7F52" w:rsidRPr="00BF7F52">
        <w:rPr>
          <w:rFonts w:ascii="Verdana" w:hAnsi="Verdana"/>
          <w:sz w:val="20"/>
          <w:lang w:val="fr-FR"/>
        </w:rPr>
        <w:t>prepare</w:t>
      </w:r>
      <w:proofErr w:type="spellEnd"/>
      <w:r w:rsidR="00BF7F52" w:rsidRPr="00BF7F52">
        <w:rPr>
          <w:rFonts w:ascii="Verdana" w:hAnsi="Verdana"/>
          <w:sz w:val="20"/>
          <w:lang w:val="fr-FR"/>
        </w:rPr>
        <w:t xml:space="preserve"> registration and PPORD dossiers</w:t>
      </w:r>
      <w:r w:rsidR="00BF7F52">
        <w:rPr>
          <w:rFonts w:ascii="Verdana" w:hAnsi="Verdana"/>
          <w:sz w:val="20"/>
          <w:lang w:val="fr-FR"/>
        </w:rPr>
        <w:t xml:space="preserve"> version 6.0)</w:t>
      </w:r>
      <w:r w:rsidR="006D1761">
        <w:rPr>
          <w:rFonts w:ascii="Verdana" w:hAnsi="Verdana"/>
          <w:sz w:val="20"/>
          <w:lang w:val="fr-FR"/>
        </w:rPr>
        <w:t xml:space="preserve">. </w:t>
      </w:r>
    </w:p>
    <w:p w14:paraId="4BD542C5" w14:textId="77777777" w:rsidR="0042302F" w:rsidRDefault="0042302F" w:rsidP="001C3F80">
      <w:pPr>
        <w:spacing w:after="0"/>
        <w:jc w:val="both"/>
        <w:rPr>
          <w:rFonts w:ascii="Verdana" w:hAnsi="Verdana"/>
          <w:sz w:val="20"/>
          <w:lang w:val="fr-FR"/>
        </w:rPr>
      </w:pPr>
    </w:p>
    <w:p w14:paraId="4FCDB320" w14:textId="39D1D8CB" w:rsidR="002B6C86" w:rsidRDefault="002B6C86" w:rsidP="001C3F80">
      <w:pPr>
        <w:spacing w:after="0"/>
        <w:jc w:val="both"/>
        <w:rPr>
          <w:rFonts w:ascii="Verdana" w:hAnsi="Verdana"/>
          <w:b/>
          <w:sz w:val="20"/>
          <w:lang w:val="fr-FR"/>
        </w:rPr>
      </w:pPr>
      <w:proofErr w:type="spellStart"/>
      <w:r>
        <w:rPr>
          <w:rFonts w:ascii="Verdana" w:hAnsi="Verdana"/>
          <w:b/>
          <w:sz w:val="20"/>
          <w:lang w:val="fr-FR"/>
        </w:rPr>
        <w:t>Safety</w:t>
      </w:r>
      <w:proofErr w:type="spellEnd"/>
      <w:r>
        <w:rPr>
          <w:rFonts w:ascii="Verdana" w:hAnsi="Verdana"/>
          <w:b/>
          <w:sz w:val="20"/>
          <w:lang w:val="fr-FR"/>
        </w:rPr>
        <w:t xml:space="preserve"> data </w:t>
      </w:r>
      <w:proofErr w:type="spellStart"/>
      <w:r>
        <w:rPr>
          <w:rFonts w:ascii="Verdana" w:hAnsi="Verdana"/>
          <w:b/>
          <w:sz w:val="20"/>
          <w:lang w:val="fr-FR"/>
        </w:rPr>
        <w:t>sheets</w:t>
      </w:r>
      <w:proofErr w:type="spellEnd"/>
      <w:r>
        <w:rPr>
          <w:rFonts w:ascii="Verdana" w:hAnsi="Verdana"/>
          <w:b/>
          <w:sz w:val="20"/>
          <w:lang w:val="fr-FR"/>
        </w:rPr>
        <w:t xml:space="preserve"> (</w:t>
      </w:r>
      <w:proofErr w:type="spellStart"/>
      <w:r>
        <w:rPr>
          <w:rFonts w:ascii="Verdana" w:hAnsi="Verdana"/>
          <w:b/>
          <w:sz w:val="20"/>
          <w:lang w:val="fr-FR"/>
        </w:rPr>
        <w:t>SDSs</w:t>
      </w:r>
      <w:proofErr w:type="spellEnd"/>
      <w:r>
        <w:rPr>
          <w:rFonts w:ascii="Verdana" w:hAnsi="Verdana"/>
          <w:b/>
          <w:sz w:val="20"/>
          <w:lang w:val="fr-FR"/>
        </w:rPr>
        <w:t>)</w:t>
      </w:r>
    </w:p>
    <w:p w14:paraId="4276AD8D" w14:textId="5DECD0D7" w:rsidR="002B6C86" w:rsidRDefault="002B6C86" w:rsidP="001C3F80">
      <w:pPr>
        <w:spacing w:after="0"/>
        <w:jc w:val="both"/>
        <w:rPr>
          <w:rFonts w:ascii="Verdana" w:hAnsi="Verdana"/>
          <w:b/>
          <w:sz w:val="20"/>
          <w:lang w:val="fr-FR"/>
        </w:rPr>
      </w:pPr>
    </w:p>
    <w:p w14:paraId="220D2498" w14:textId="46F73335" w:rsidR="004201CD" w:rsidRDefault="007F23DB" w:rsidP="00AA701C">
      <w:pPr>
        <w:spacing w:after="0"/>
        <w:jc w:val="both"/>
        <w:rPr>
          <w:rFonts w:ascii="Verdana" w:hAnsi="Verdana"/>
          <w:sz w:val="20"/>
        </w:rPr>
      </w:pPr>
      <w:r>
        <w:rPr>
          <w:rFonts w:ascii="Verdana" w:hAnsi="Verdana"/>
          <w:sz w:val="20"/>
          <w:lang w:val="fr-FR"/>
        </w:rPr>
        <w:t xml:space="preserve">There are </w:t>
      </w:r>
      <w:proofErr w:type="spellStart"/>
      <w:r>
        <w:rPr>
          <w:rFonts w:ascii="Verdana" w:hAnsi="Verdana"/>
          <w:sz w:val="20"/>
          <w:lang w:val="fr-FR"/>
        </w:rPr>
        <w:t>publicly</w:t>
      </w:r>
      <w:proofErr w:type="spellEnd"/>
      <w:r>
        <w:rPr>
          <w:rFonts w:ascii="Verdana" w:hAnsi="Verdana"/>
          <w:sz w:val="20"/>
          <w:lang w:val="fr-FR"/>
        </w:rPr>
        <w:t xml:space="preserve"> </w:t>
      </w:r>
      <w:proofErr w:type="spellStart"/>
      <w:r>
        <w:rPr>
          <w:rFonts w:ascii="Verdana" w:hAnsi="Verdana"/>
          <w:sz w:val="20"/>
          <w:lang w:val="fr-FR"/>
        </w:rPr>
        <w:t>availab</w:t>
      </w:r>
      <w:r w:rsidR="001F67A0">
        <w:rPr>
          <w:rFonts w:ascii="Verdana" w:hAnsi="Verdana"/>
          <w:sz w:val="20"/>
          <w:lang w:val="fr-FR"/>
        </w:rPr>
        <w:t>l</w:t>
      </w:r>
      <w:r>
        <w:rPr>
          <w:rFonts w:ascii="Verdana" w:hAnsi="Verdana"/>
          <w:sz w:val="20"/>
          <w:lang w:val="fr-FR"/>
        </w:rPr>
        <w:t>e</w:t>
      </w:r>
      <w:proofErr w:type="spellEnd"/>
      <w:r>
        <w:rPr>
          <w:rFonts w:ascii="Verdana" w:hAnsi="Verdana"/>
          <w:sz w:val="20"/>
          <w:lang w:val="fr-FR"/>
        </w:rPr>
        <w:t xml:space="preserve"> </w:t>
      </w:r>
      <w:proofErr w:type="spellStart"/>
      <w:r w:rsidR="00341556">
        <w:rPr>
          <w:rFonts w:ascii="Verdana" w:hAnsi="Verdana"/>
          <w:sz w:val="20"/>
          <w:lang w:val="fr-FR"/>
        </w:rPr>
        <w:t>Safety</w:t>
      </w:r>
      <w:proofErr w:type="spellEnd"/>
      <w:r w:rsidR="00341556">
        <w:rPr>
          <w:rFonts w:ascii="Verdana" w:hAnsi="Verdana"/>
          <w:sz w:val="20"/>
          <w:lang w:val="fr-FR"/>
        </w:rPr>
        <w:t xml:space="preserve"> Data Sheets for </w:t>
      </w:r>
      <w:proofErr w:type="spellStart"/>
      <w:r w:rsidR="00341556">
        <w:rPr>
          <w:rFonts w:ascii="Verdana" w:hAnsi="Verdana"/>
          <w:sz w:val="20"/>
          <w:lang w:val="fr-FR"/>
        </w:rPr>
        <w:t>heat</w:t>
      </w:r>
      <w:proofErr w:type="spellEnd"/>
      <w:r w:rsidR="00341556">
        <w:rPr>
          <w:rFonts w:ascii="Verdana" w:hAnsi="Verdana"/>
          <w:sz w:val="20"/>
          <w:lang w:val="fr-FR"/>
        </w:rPr>
        <w:t xml:space="preserve"> </w:t>
      </w:r>
      <w:proofErr w:type="spellStart"/>
      <w:r w:rsidR="00341556">
        <w:rPr>
          <w:rFonts w:ascii="Verdana" w:hAnsi="Verdana"/>
          <w:sz w:val="20"/>
          <w:lang w:val="fr-FR"/>
        </w:rPr>
        <w:t>transfer</w:t>
      </w:r>
      <w:proofErr w:type="spellEnd"/>
      <w:r w:rsidR="00341556">
        <w:rPr>
          <w:rFonts w:ascii="Verdana" w:hAnsi="Verdana"/>
          <w:sz w:val="20"/>
          <w:lang w:val="fr-FR"/>
        </w:rPr>
        <w:t xml:space="preserve"> </w:t>
      </w:r>
      <w:proofErr w:type="spellStart"/>
      <w:r w:rsidR="00341556">
        <w:rPr>
          <w:rFonts w:ascii="Verdana" w:hAnsi="Verdana"/>
          <w:sz w:val="20"/>
          <w:lang w:val="fr-FR"/>
        </w:rPr>
        <w:t>fluids</w:t>
      </w:r>
      <w:proofErr w:type="spellEnd"/>
      <w:r w:rsidR="00341556">
        <w:rPr>
          <w:rFonts w:ascii="Verdana" w:hAnsi="Verdana"/>
          <w:sz w:val="20"/>
          <w:lang w:val="fr-FR"/>
        </w:rPr>
        <w:t xml:space="preserve"> Dowtherm RP and Marlotherm SH</w:t>
      </w:r>
      <w:r w:rsidR="00341556">
        <w:rPr>
          <w:rStyle w:val="Alaviitteenviite"/>
          <w:rFonts w:ascii="Verdana" w:hAnsi="Verdana"/>
          <w:sz w:val="20"/>
          <w:lang w:val="fr-FR"/>
        </w:rPr>
        <w:footnoteReference w:id="8"/>
      </w:r>
      <w:r w:rsidR="00561872">
        <w:rPr>
          <w:rFonts w:ascii="Verdana" w:hAnsi="Verdana"/>
          <w:sz w:val="20"/>
          <w:lang w:val="fr-FR"/>
        </w:rPr>
        <w:t>. In SDS for Marlotherm SH</w:t>
      </w:r>
      <w:r w:rsidR="00C80835">
        <w:rPr>
          <w:rFonts w:ascii="Verdana" w:hAnsi="Verdana"/>
          <w:sz w:val="20"/>
          <w:lang w:val="fr-FR"/>
        </w:rPr>
        <w:t>,</w:t>
      </w:r>
      <w:r w:rsidR="00561872">
        <w:rPr>
          <w:rFonts w:ascii="Verdana" w:hAnsi="Verdana"/>
          <w:sz w:val="20"/>
          <w:lang w:val="fr-FR"/>
        </w:rPr>
        <w:t xml:space="preserve"> </w:t>
      </w:r>
      <w:proofErr w:type="spellStart"/>
      <w:r w:rsidR="00561872">
        <w:rPr>
          <w:rFonts w:ascii="Verdana" w:hAnsi="Verdana"/>
          <w:sz w:val="20"/>
          <w:lang w:val="fr-FR"/>
        </w:rPr>
        <w:t>it</w:t>
      </w:r>
      <w:proofErr w:type="spellEnd"/>
      <w:r w:rsidR="00561872">
        <w:rPr>
          <w:rFonts w:ascii="Verdana" w:hAnsi="Verdana"/>
          <w:sz w:val="20"/>
          <w:lang w:val="fr-FR"/>
        </w:rPr>
        <w:t xml:space="preserve"> </w:t>
      </w:r>
      <w:proofErr w:type="spellStart"/>
      <w:r w:rsidR="00561872">
        <w:rPr>
          <w:rFonts w:ascii="Verdana" w:hAnsi="Verdana"/>
          <w:sz w:val="20"/>
          <w:lang w:val="fr-FR"/>
        </w:rPr>
        <w:t>is</w:t>
      </w:r>
      <w:proofErr w:type="spellEnd"/>
      <w:r w:rsidR="00561872">
        <w:rPr>
          <w:rFonts w:ascii="Verdana" w:hAnsi="Verdana"/>
          <w:sz w:val="20"/>
          <w:lang w:val="fr-FR"/>
        </w:rPr>
        <w:t xml:space="preserve"> </w:t>
      </w:r>
      <w:proofErr w:type="spellStart"/>
      <w:r w:rsidR="00561872">
        <w:rPr>
          <w:rFonts w:ascii="Verdana" w:hAnsi="Verdana"/>
          <w:sz w:val="20"/>
          <w:lang w:val="fr-FR"/>
        </w:rPr>
        <w:t>concluded</w:t>
      </w:r>
      <w:proofErr w:type="spellEnd"/>
      <w:r w:rsidR="00561872">
        <w:rPr>
          <w:rFonts w:ascii="Verdana" w:hAnsi="Verdana"/>
          <w:sz w:val="20"/>
          <w:lang w:val="fr-FR"/>
        </w:rPr>
        <w:t xml:space="preserve"> </w:t>
      </w:r>
      <w:proofErr w:type="spellStart"/>
      <w:r w:rsidR="00561872">
        <w:rPr>
          <w:rFonts w:ascii="Verdana" w:hAnsi="Verdana"/>
          <w:sz w:val="20"/>
          <w:lang w:val="fr-FR"/>
        </w:rPr>
        <w:t>that</w:t>
      </w:r>
      <w:proofErr w:type="spellEnd"/>
      <w:r w:rsidR="00561872">
        <w:rPr>
          <w:rFonts w:ascii="Verdana" w:hAnsi="Verdana"/>
          <w:sz w:val="20"/>
          <w:lang w:val="fr-FR"/>
        </w:rPr>
        <w:t xml:space="preserve"> the </w:t>
      </w:r>
      <w:r w:rsidR="00561872">
        <w:rPr>
          <w:rFonts w:ascii="Verdana" w:hAnsi="Verdana"/>
          <w:sz w:val="20"/>
          <w:lang w:val="fr-FR"/>
        </w:rPr>
        <w:lastRenderedPageBreak/>
        <w:t>substance (</w:t>
      </w:r>
      <w:r w:rsidR="00354E55">
        <w:rPr>
          <w:rFonts w:ascii="Verdana" w:hAnsi="Verdana"/>
          <w:sz w:val="20"/>
        </w:rPr>
        <w:t>d</w:t>
      </w:r>
      <w:r w:rsidR="00561872" w:rsidRPr="002A44A6">
        <w:rPr>
          <w:rFonts w:ascii="Verdana" w:hAnsi="Verdana"/>
          <w:sz w:val="20"/>
        </w:rPr>
        <w:t xml:space="preserve">ibenzylbenzene, </w:t>
      </w:r>
      <w:proofErr w:type="spellStart"/>
      <w:r w:rsidR="00561872" w:rsidRPr="002A44A6">
        <w:rPr>
          <w:rFonts w:ascii="Verdana" w:hAnsi="Verdana"/>
          <w:sz w:val="20"/>
        </w:rPr>
        <w:t>ar</w:t>
      </w:r>
      <w:proofErr w:type="spellEnd"/>
      <w:r w:rsidR="00561872" w:rsidRPr="002A44A6">
        <w:rPr>
          <w:rFonts w:ascii="Verdana" w:hAnsi="Verdana"/>
          <w:sz w:val="20"/>
        </w:rPr>
        <w:t xml:space="preserve">-methyl </w:t>
      </w:r>
      <w:r w:rsidR="00B57F3A">
        <w:rPr>
          <w:rFonts w:ascii="Verdana" w:hAnsi="Verdana"/>
          <w:sz w:val="20"/>
        </w:rPr>
        <w:t>derivative</w:t>
      </w:r>
      <w:r w:rsidR="00561872">
        <w:rPr>
          <w:rFonts w:ascii="Verdana" w:hAnsi="Verdana"/>
          <w:sz w:val="20"/>
        </w:rPr>
        <w:t>) is not considered as PBT/</w:t>
      </w:r>
      <w:proofErr w:type="spellStart"/>
      <w:r w:rsidR="00561872">
        <w:rPr>
          <w:rFonts w:ascii="Verdana" w:hAnsi="Verdana"/>
          <w:sz w:val="20"/>
        </w:rPr>
        <w:t>vPvB</w:t>
      </w:r>
      <w:proofErr w:type="spellEnd"/>
      <w:r w:rsidR="00561872">
        <w:rPr>
          <w:rFonts w:ascii="Verdana" w:hAnsi="Verdana"/>
          <w:sz w:val="20"/>
        </w:rPr>
        <w:t xml:space="preserve"> and for Dowtherm RP it is stated that the substance (</w:t>
      </w:r>
      <w:r w:rsidR="00342B5C" w:rsidRPr="000317A7">
        <w:rPr>
          <w:rFonts w:ascii="Verdana" w:hAnsi="Verdana"/>
          <w:sz w:val="20"/>
        </w:rPr>
        <w:t>6-(1-</w:t>
      </w:r>
      <w:proofErr w:type="gramStart"/>
      <w:r w:rsidR="00342B5C" w:rsidRPr="000317A7">
        <w:rPr>
          <w:rFonts w:ascii="Verdana" w:hAnsi="Verdana"/>
          <w:sz w:val="20"/>
        </w:rPr>
        <w:t>phenylethyl)-</w:t>
      </w:r>
      <w:proofErr w:type="gramEnd"/>
      <w:r w:rsidR="00342B5C" w:rsidRPr="000317A7">
        <w:rPr>
          <w:rFonts w:ascii="Verdana" w:hAnsi="Verdana"/>
          <w:sz w:val="20"/>
        </w:rPr>
        <w:t>1,2,3,4-tetrahydronaphthalene</w:t>
      </w:r>
      <w:r w:rsidR="00561872">
        <w:rPr>
          <w:rFonts w:ascii="Verdana" w:hAnsi="Verdana"/>
          <w:sz w:val="20"/>
        </w:rPr>
        <w:t xml:space="preserve">) has not been assessed for persistence, bioaccumulation and toxicity (PBT). This is a contradiction to the ECHA dissemination site where </w:t>
      </w:r>
      <w:proofErr w:type="gramStart"/>
      <w:r w:rsidR="00342B5C">
        <w:rPr>
          <w:rFonts w:ascii="Verdana" w:hAnsi="Verdana"/>
          <w:sz w:val="20"/>
        </w:rPr>
        <w:t xml:space="preserve">the </w:t>
      </w:r>
      <w:r w:rsidR="00561872">
        <w:rPr>
          <w:rFonts w:ascii="Verdana" w:hAnsi="Verdana"/>
          <w:sz w:val="20"/>
        </w:rPr>
        <w:t>majority of</w:t>
      </w:r>
      <w:proofErr w:type="gramEnd"/>
      <w:r w:rsidR="00561872">
        <w:rPr>
          <w:rFonts w:ascii="Verdana" w:hAnsi="Verdana"/>
          <w:sz w:val="20"/>
        </w:rPr>
        <w:t xml:space="preserve"> data submitters have considered </w:t>
      </w:r>
      <w:r w:rsidR="00342B5C" w:rsidRPr="000317A7">
        <w:rPr>
          <w:rFonts w:ascii="Verdana" w:hAnsi="Verdana"/>
          <w:sz w:val="20"/>
        </w:rPr>
        <w:t>6-(1-phenylethyl)-1,2,3,4-tetrahydronaphthalene</w:t>
      </w:r>
      <w:r w:rsidR="00342B5C">
        <w:rPr>
          <w:rFonts w:ascii="Verdana" w:hAnsi="Verdana"/>
          <w:sz w:val="20"/>
        </w:rPr>
        <w:t xml:space="preserve"> </w:t>
      </w:r>
      <w:r w:rsidR="00561872">
        <w:rPr>
          <w:rFonts w:ascii="Verdana" w:hAnsi="Verdana"/>
          <w:sz w:val="20"/>
        </w:rPr>
        <w:t>PBT. If these substances would be identified as PBT/</w:t>
      </w:r>
      <w:proofErr w:type="spellStart"/>
      <w:r w:rsidR="00561872">
        <w:rPr>
          <w:rFonts w:ascii="Verdana" w:hAnsi="Verdana"/>
          <w:sz w:val="20"/>
        </w:rPr>
        <w:t>vPvB</w:t>
      </w:r>
      <w:proofErr w:type="spellEnd"/>
      <w:r w:rsidR="00561872">
        <w:rPr>
          <w:rFonts w:ascii="Verdana" w:hAnsi="Verdana"/>
          <w:sz w:val="20"/>
        </w:rPr>
        <w:t xml:space="preserve"> substances in the registration</w:t>
      </w:r>
      <w:r w:rsidR="00EA4EA6">
        <w:rPr>
          <w:rFonts w:ascii="Verdana" w:hAnsi="Verdana"/>
          <w:sz w:val="20"/>
        </w:rPr>
        <w:t xml:space="preserve"> dossier</w:t>
      </w:r>
      <w:r w:rsidR="00AC71FA">
        <w:rPr>
          <w:rFonts w:ascii="Verdana" w:hAnsi="Verdana"/>
          <w:sz w:val="20"/>
        </w:rPr>
        <w:t>,</w:t>
      </w:r>
      <w:r w:rsidR="006D1761">
        <w:rPr>
          <w:rFonts w:ascii="Verdana" w:hAnsi="Verdana"/>
          <w:sz w:val="20"/>
        </w:rPr>
        <w:t xml:space="preserve"> there would be an obligation to reflect this in the SDSs according to REACH.</w:t>
      </w:r>
      <w:r w:rsidR="00561872">
        <w:rPr>
          <w:rFonts w:ascii="Verdana" w:hAnsi="Verdana"/>
          <w:sz w:val="20"/>
        </w:rPr>
        <w:t xml:space="preserve"> This could improve the risk management of these substances.  </w:t>
      </w:r>
      <w:r w:rsidR="00D04F5F">
        <w:rPr>
          <w:rFonts w:ascii="Verdana" w:hAnsi="Verdana"/>
          <w:sz w:val="20"/>
        </w:rPr>
        <w:t>Currently the information available is inconclusive with respect to PBT/</w:t>
      </w:r>
      <w:proofErr w:type="spellStart"/>
      <w:r w:rsidR="00D04F5F">
        <w:rPr>
          <w:rFonts w:ascii="Verdana" w:hAnsi="Verdana"/>
          <w:sz w:val="20"/>
        </w:rPr>
        <w:t>vPvB</w:t>
      </w:r>
      <w:proofErr w:type="spellEnd"/>
      <w:r w:rsidR="00D04F5F">
        <w:rPr>
          <w:rFonts w:ascii="Verdana" w:hAnsi="Verdana"/>
          <w:sz w:val="20"/>
        </w:rPr>
        <w:t xml:space="preserve"> properties of </w:t>
      </w:r>
      <w:r w:rsidR="00D04F5F" w:rsidRPr="000317A7">
        <w:rPr>
          <w:rFonts w:ascii="Verdana" w:hAnsi="Verdana"/>
          <w:sz w:val="20"/>
        </w:rPr>
        <w:t>6-(1-phenylethyl)-1,2,3,4-tetrahydronaphthalene</w:t>
      </w:r>
      <w:r w:rsidR="00D04F5F">
        <w:rPr>
          <w:rFonts w:ascii="Verdana" w:hAnsi="Verdana"/>
          <w:sz w:val="20"/>
        </w:rPr>
        <w:t>.</w:t>
      </w:r>
    </w:p>
    <w:p w14:paraId="3DB57775" w14:textId="6720C837" w:rsidR="00AA701C" w:rsidRDefault="00AA701C" w:rsidP="00AA701C">
      <w:pPr>
        <w:spacing w:after="0"/>
        <w:jc w:val="both"/>
        <w:rPr>
          <w:rFonts w:ascii="Verdana" w:hAnsi="Verdana"/>
          <w:sz w:val="20"/>
        </w:rPr>
      </w:pPr>
    </w:p>
    <w:p w14:paraId="6FADD625" w14:textId="221D0CD4" w:rsidR="00CB5B2B" w:rsidRDefault="00CB5B2B" w:rsidP="00AA701C">
      <w:pPr>
        <w:spacing w:after="0"/>
        <w:jc w:val="both"/>
        <w:rPr>
          <w:rFonts w:ascii="Verdana" w:hAnsi="Verdana"/>
          <w:b/>
          <w:sz w:val="20"/>
        </w:rPr>
      </w:pPr>
      <w:r>
        <w:rPr>
          <w:rFonts w:ascii="Verdana" w:hAnsi="Verdana"/>
          <w:b/>
          <w:sz w:val="20"/>
        </w:rPr>
        <w:t>Candidate listing</w:t>
      </w:r>
    </w:p>
    <w:p w14:paraId="4F81ECFE" w14:textId="466DAD28" w:rsidR="0002256E" w:rsidRDefault="0002256E" w:rsidP="00AA701C">
      <w:pPr>
        <w:spacing w:after="0"/>
        <w:jc w:val="both"/>
        <w:rPr>
          <w:rFonts w:ascii="Verdana" w:hAnsi="Verdana"/>
          <w:b/>
          <w:sz w:val="20"/>
        </w:rPr>
      </w:pPr>
    </w:p>
    <w:p w14:paraId="7898AC0C" w14:textId="4771F8B6" w:rsidR="0002256E" w:rsidRDefault="0002256E" w:rsidP="00AA701C">
      <w:pPr>
        <w:spacing w:after="0"/>
        <w:jc w:val="both"/>
        <w:rPr>
          <w:rFonts w:ascii="Verdana" w:hAnsi="Verdana"/>
          <w:sz w:val="20"/>
        </w:rPr>
      </w:pPr>
      <w:r>
        <w:rPr>
          <w:rFonts w:ascii="Verdana" w:hAnsi="Verdana"/>
          <w:sz w:val="20"/>
        </w:rPr>
        <w:t xml:space="preserve">Based on </w:t>
      </w:r>
      <w:r w:rsidR="00295D4B">
        <w:rPr>
          <w:rFonts w:ascii="Verdana" w:hAnsi="Verdana"/>
          <w:sz w:val="20"/>
        </w:rPr>
        <w:t xml:space="preserve">the </w:t>
      </w:r>
      <w:r>
        <w:rPr>
          <w:rFonts w:ascii="Verdana" w:hAnsi="Verdana"/>
          <w:sz w:val="20"/>
        </w:rPr>
        <w:t>screening of PBT/</w:t>
      </w:r>
      <w:proofErr w:type="spellStart"/>
      <w:r>
        <w:rPr>
          <w:rFonts w:ascii="Verdana" w:hAnsi="Verdana"/>
          <w:sz w:val="20"/>
        </w:rPr>
        <w:t>vPvB</w:t>
      </w:r>
      <w:proofErr w:type="spellEnd"/>
      <w:r>
        <w:rPr>
          <w:rFonts w:ascii="Verdana" w:hAnsi="Verdana"/>
          <w:sz w:val="20"/>
        </w:rPr>
        <w:t xml:space="preserve"> properties for substances in this RMOA, they might both fulfil the Annex XIII criteria similarly to terphenyl, hydrogenated. An inclusion </w:t>
      </w:r>
      <w:r w:rsidR="00487352">
        <w:rPr>
          <w:rFonts w:ascii="Verdana" w:hAnsi="Verdana"/>
          <w:sz w:val="20"/>
        </w:rPr>
        <w:t>in</w:t>
      </w:r>
      <w:r>
        <w:rPr>
          <w:rFonts w:ascii="Verdana" w:hAnsi="Verdana"/>
          <w:sz w:val="20"/>
        </w:rPr>
        <w:t xml:space="preserve"> Candidate </w:t>
      </w:r>
      <w:r w:rsidR="00487352">
        <w:rPr>
          <w:rFonts w:ascii="Verdana" w:hAnsi="Verdana"/>
          <w:sz w:val="20"/>
        </w:rPr>
        <w:t>L</w:t>
      </w:r>
      <w:r>
        <w:rPr>
          <w:rFonts w:ascii="Verdana" w:hAnsi="Verdana"/>
          <w:sz w:val="20"/>
        </w:rPr>
        <w:t>ist would clearly establish that these alternative heat transfer fluids have similar PBT</w:t>
      </w:r>
      <w:r w:rsidR="001B165F">
        <w:rPr>
          <w:rFonts w:ascii="Verdana" w:hAnsi="Verdana"/>
          <w:sz w:val="20"/>
        </w:rPr>
        <w:t>/</w:t>
      </w:r>
      <w:proofErr w:type="spellStart"/>
      <w:r w:rsidR="001B165F">
        <w:rPr>
          <w:rFonts w:ascii="Verdana" w:hAnsi="Verdana"/>
          <w:sz w:val="20"/>
        </w:rPr>
        <w:t>vPvB</w:t>
      </w:r>
      <w:proofErr w:type="spellEnd"/>
      <w:r>
        <w:rPr>
          <w:rFonts w:ascii="Verdana" w:hAnsi="Verdana"/>
          <w:sz w:val="20"/>
        </w:rPr>
        <w:t xml:space="preserve"> properties and thus regrettable substitution</w:t>
      </w:r>
      <w:r w:rsidR="00AD1E14">
        <w:rPr>
          <w:rFonts w:ascii="Verdana" w:hAnsi="Verdana"/>
          <w:sz w:val="20"/>
        </w:rPr>
        <w:t xml:space="preserve"> </w:t>
      </w:r>
      <w:r w:rsidR="001B165F">
        <w:rPr>
          <w:rFonts w:ascii="Verdana" w:hAnsi="Verdana"/>
          <w:sz w:val="20"/>
        </w:rPr>
        <w:t xml:space="preserve">of </w:t>
      </w:r>
      <w:r w:rsidR="00AD1E14">
        <w:rPr>
          <w:rFonts w:ascii="Verdana" w:hAnsi="Verdana"/>
          <w:sz w:val="20"/>
        </w:rPr>
        <w:t>terphenyl, hydrogenated</w:t>
      </w:r>
      <w:r>
        <w:rPr>
          <w:rFonts w:ascii="Verdana" w:hAnsi="Verdana"/>
          <w:sz w:val="20"/>
        </w:rPr>
        <w:t xml:space="preserve"> </w:t>
      </w:r>
      <w:r w:rsidR="001B165F">
        <w:rPr>
          <w:rFonts w:ascii="Verdana" w:hAnsi="Verdana"/>
          <w:sz w:val="20"/>
        </w:rPr>
        <w:t xml:space="preserve">by </w:t>
      </w:r>
      <w:r>
        <w:rPr>
          <w:rFonts w:ascii="Verdana" w:hAnsi="Verdana"/>
          <w:sz w:val="20"/>
        </w:rPr>
        <w:t>other substances</w:t>
      </w:r>
      <w:r w:rsidR="00AD1E14">
        <w:rPr>
          <w:rFonts w:ascii="Verdana" w:hAnsi="Verdana"/>
          <w:sz w:val="20"/>
        </w:rPr>
        <w:t xml:space="preserve"> with similar properties</w:t>
      </w:r>
      <w:r>
        <w:rPr>
          <w:rFonts w:ascii="Verdana" w:hAnsi="Verdana"/>
          <w:sz w:val="20"/>
        </w:rPr>
        <w:t xml:space="preserve"> might be avoided.</w:t>
      </w:r>
      <w:r w:rsidR="00BA26CF">
        <w:rPr>
          <w:rFonts w:ascii="Verdana" w:hAnsi="Verdana"/>
          <w:sz w:val="20"/>
        </w:rPr>
        <w:t xml:space="preserve"> </w:t>
      </w:r>
      <w:r w:rsidR="00926286">
        <w:rPr>
          <w:rFonts w:ascii="Verdana" w:hAnsi="Verdana"/>
          <w:sz w:val="20"/>
        </w:rPr>
        <w:t xml:space="preserve">Candidate listing would also, in and of itself, carry additional risk management benefits. </w:t>
      </w:r>
      <w:r w:rsidR="00926286">
        <w:rPr>
          <w:rFonts w:ascii="Verdana" w:hAnsi="Verdana"/>
          <w:sz w:val="20"/>
          <w:szCs w:val="20"/>
        </w:rPr>
        <w:t>IT</w:t>
      </w:r>
      <w:r w:rsidR="00BA26CF">
        <w:rPr>
          <w:rFonts w:ascii="Verdana" w:hAnsi="Verdana"/>
          <w:sz w:val="20"/>
          <w:szCs w:val="20"/>
        </w:rPr>
        <w:t xml:space="preserve"> </w:t>
      </w:r>
      <w:r w:rsidR="00354E55">
        <w:rPr>
          <w:rFonts w:ascii="Verdana" w:hAnsi="Verdana"/>
          <w:sz w:val="20"/>
          <w:szCs w:val="20"/>
        </w:rPr>
        <w:t xml:space="preserve">would </w:t>
      </w:r>
      <w:r w:rsidR="00926286">
        <w:rPr>
          <w:rFonts w:ascii="Verdana" w:hAnsi="Verdana"/>
          <w:sz w:val="20"/>
          <w:szCs w:val="20"/>
        </w:rPr>
        <w:t xml:space="preserve">e.g. </w:t>
      </w:r>
      <w:r w:rsidR="00354E55">
        <w:rPr>
          <w:rFonts w:ascii="Verdana" w:hAnsi="Verdana"/>
          <w:sz w:val="20"/>
          <w:szCs w:val="20"/>
        </w:rPr>
        <w:t>trigger notification and communication obligations in accordance with REACH Articles 7 and 33, respectively. In addition, the confirmation of their PBT/</w:t>
      </w:r>
      <w:proofErr w:type="spellStart"/>
      <w:r w:rsidR="00354E55">
        <w:rPr>
          <w:rFonts w:ascii="Verdana" w:hAnsi="Verdana"/>
          <w:sz w:val="20"/>
          <w:szCs w:val="20"/>
        </w:rPr>
        <w:t>vPvB</w:t>
      </w:r>
      <w:proofErr w:type="spellEnd"/>
      <w:r w:rsidR="00354E55">
        <w:rPr>
          <w:rFonts w:ascii="Verdana" w:hAnsi="Verdana"/>
          <w:sz w:val="20"/>
          <w:szCs w:val="20"/>
        </w:rPr>
        <w:t xml:space="preserve"> status could potentially improve risk management due to acknowledg</w:t>
      </w:r>
      <w:r w:rsidR="00295D4B">
        <w:rPr>
          <w:rFonts w:ascii="Verdana" w:hAnsi="Verdana"/>
          <w:sz w:val="20"/>
          <w:szCs w:val="20"/>
        </w:rPr>
        <w:t>e</w:t>
      </w:r>
      <w:r w:rsidR="00354E55">
        <w:rPr>
          <w:rFonts w:ascii="Verdana" w:hAnsi="Verdana"/>
          <w:sz w:val="20"/>
          <w:szCs w:val="20"/>
        </w:rPr>
        <w:t>ment of their PBT/</w:t>
      </w:r>
      <w:proofErr w:type="spellStart"/>
      <w:r w:rsidR="00354E55">
        <w:rPr>
          <w:rFonts w:ascii="Verdana" w:hAnsi="Verdana"/>
          <w:sz w:val="20"/>
          <w:szCs w:val="20"/>
        </w:rPr>
        <w:t>vPvB</w:t>
      </w:r>
      <w:proofErr w:type="spellEnd"/>
      <w:r w:rsidR="00EA4EA6">
        <w:rPr>
          <w:rFonts w:ascii="Verdana" w:hAnsi="Verdana"/>
          <w:sz w:val="20"/>
          <w:szCs w:val="20"/>
        </w:rPr>
        <w:t xml:space="preserve"> properties</w:t>
      </w:r>
      <w:r w:rsidR="00354E55">
        <w:rPr>
          <w:rFonts w:ascii="Verdana" w:hAnsi="Verdana"/>
          <w:sz w:val="20"/>
          <w:szCs w:val="20"/>
        </w:rPr>
        <w:t>.</w:t>
      </w:r>
      <w:r w:rsidR="00AD1E14">
        <w:rPr>
          <w:rFonts w:ascii="Verdana" w:hAnsi="Verdana"/>
          <w:sz w:val="20"/>
          <w:szCs w:val="20"/>
        </w:rPr>
        <w:t xml:space="preserve"> </w:t>
      </w:r>
      <w:r w:rsidR="00F457B3">
        <w:rPr>
          <w:rFonts w:ascii="Verdana" w:hAnsi="Verdana"/>
          <w:sz w:val="20"/>
          <w:szCs w:val="20"/>
        </w:rPr>
        <w:t>I</w:t>
      </w:r>
      <w:r w:rsidR="00AD1E14">
        <w:rPr>
          <w:rFonts w:ascii="Verdana" w:hAnsi="Verdana"/>
          <w:sz w:val="20"/>
          <w:szCs w:val="20"/>
        </w:rPr>
        <w:t>t is also worth noting that</w:t>
      </w:r>
      <w:r w:rsidR="00F457B3">
        <w:rPr>
          <w:rFonts w:ascii="Verdana" w:hAnsi="Verdana"/>
          <w:sz w:val="20"/>
          <w:szCs w:val="20"/>
        </w:rPr>
        <w:t xml:space="preserve"> Candidate listing </w:t>
      </w:r>
      <w:r w:rsidR="00487352">
        <w:rPr>
          <w:rFonts w:ascii="Verdana" w:hAnsi="Verdana"/>
          <w:sz w:val="20"/>
          <w:szCs w:val="20"/>
        </w:rPr>
        <w:t xml:space="preserve">of </w:t>
      </w:r>
      <w:r w:rsidR="00F457B3">
        <w:rPr>
          <w:rFonts w:ascii="Verdana" w:hAnsi="Verdana"/>
          <w:sz w:val="20"/>
          <w:szCs w:val="20"/>
        </w:rPr>
        <w:t xml:space="preserve">these alternative HTFs is the only way to </w:t>
      </w:r>
      <w:r w:rsidR="00487352">
        <w:rPr>
          <w:rFonts w:ascii="Verdana" w:hAnsi="Verdana"/>
          <w:sz w:val="20"/>
          <w:szCs w:val="20"/>
        </w:rPr>
        <w:t>confirm</w:t>
      </w:r>
      <w:r w:rsidR="00F457B3">
        <w:rPr>
          <w:rFonts w:ascii="Verdana" w:hAnsi="Verdana"/>
          <w:sz w:val="20"/>
          <w:szCs w:val="20"/>
        </w:rPr>
        <w:t xml:space="preserve"> PBT</w:t>
      </w:r>
      <w:r w:rsidR="001B165F">
        <w:rPr>
          <w:rFonts w:ascii="Verdana" w:hAnsi="Verdana"/>
          <w:sz w:val="20"/>
          <w:szCs w:val="20"/>
        </w:rPr>
        <w:t>/</w:t>
      </w:r>
      <w:proofErr w:type="spellStart"/>
      <w:r w:rsidR="001B165F">
        <w:rPr>
          <w:rFonts w:ascii="Verdana" w:hAnsi="Verdana"/>
          <w:sz w:val="20"/>
          <w:szCs w:val="20"/>
        </w:rPr>
        <w:t>vPvB</w:t>
      </w:r>
      <w:proofErr w:type="spellEnd"/>
      <w:r w:rsidR="00F457B3">
        <w:rPr>
          <w:rFonts w:ascii="Verdana" w:hAnsi="Verdana"/>
          <w:sz w:val="20"/>
          <w:szCs w:val="20"/>
        </w:rPr>
        <w:t xml:space="preserve"> properties</w:t>
      </w:r>
      <w:r w:rsidR="00487352">
        <w:rPr>
          <w:rFonts w:ascii="Verdana" w:hAnsi="Verdana"/>
          <w:sz w:val="20"/>
          <w:szCs w:val="20"/>
        </w:rPr>
        <w:t xml:space="preserve"> of these substances</w:t>
      </w:r>
      <w:r w:rsidR="00F457B3">
        <w:rPr>
          <w:rFonts w:ascii="Verdana" w:hAnsi="Verdana"/>
          <w:sz w:val="20"/>
          <w:szCs w:val="20"/>
        </w:rPr>
        <w:t xml:space="preserve"> and by that ensure that the users are aware of these hazard</w:t>
      </w:r>
      <w:r w:rsidR="00487352">
        <w:rPr>
          <w:rFonts w:ascii="Verdana" w:hAnsi="Verdana"/>
          <w:sz w:val="20"/>
          <w:szCs w:val="20"/>
        </w:rPr>
        <w:t>ous</w:t>
      </w:r>
      <w:r w:rsidR="00F457B3">
        <w:rPr>
          <w:rFonts w:ascii="Verdana" w:hAnsi="Verdana"/>
          <w:sz w:val="20"/>
          <w:szCs w:val="20"/>
        </w:rPr>
        <w:t xml:space="preserve"> properties.</w:t>
      </w:r>
      <w:r w:rsidR="00FA600E">
        <w:rPr>
          <w:rFonts w:ascii="Verdana" w:hAnsi="Verdana"/>
          <w:sz w:val="20"/>
          <w:szCs w:val="20"/>
        </w:rPr>
        <w:t xml:space="preserve"> </w:t>
      </w:r>
    </w:p>
    <w:p w14:paraId="6484ADCC" w14:textId="510C57D4" w:rsidR="0002256E" w:rsidRDefault="0002256E" w:rsidP="00AA701C">
      <w:pPr>
        <w:spacing w:after="0"/>
        <w:jc w:val="both"/>
        <w:rPr>
          <w:rFonts w:ascii="Verdana" w:hAnsi="Verdana"/>
          <w:sz w:val="20"/>
        </w:rPr>
      </w:pPr>
    </w:p>
    <w:p w14:paraId="61924F5B" w14:textId="51AF5A10" w:rsidR="0002256E" w:rsidRDefault="00354E55" w:rsidP="00AA701C">
      <w:pPr>
        <w:spacing w:after="0"/>
        <w:jc w:val="both"/>
        <w:rPr>
          <w:rFonts w:ascii="Verdana" w:hAnsi="Verdana"/>
          <w:sz w:val="20"/>
        </w:rPr>
      </w:pPr>
      <w:r>
        <w:rPr>
          <w:rFonts w:ascii="Verdana" w:hAnsi="Verdana"/>
          <w:sz w:val="20"/>
        </w:rPr>
        <w:t>For d</w:t>
      </w:r>
      <w:r w:rsidRPr="002A44A6">
        <w:rPr>
          <w:rFonts w:ascii="Verdana" w:hAnsi="Verdana"/>
          <w:sz w:val="20"/>
        </w:rPr>
        <w:t xml:space="preserve">ibenzylbenzene, </w:t>
      </w:r>
      <w:proofErr w:type="spellStart"/>
      <w:r w:rsidRPr="002A44A6">
        <w:rPr>
          <w:rFonts w:ascii="Verdana" w:hAnsi="Verdana"/>
          <w:sz w:val="20"/>
        </w:rPr>
        <w:t>ar</w:t>
      </w:r>
      <w:proofErr w:type="spellEnd"/>
      <w:r w:rsidRPr="002A44A6">
        <w:rPr>
          <w:rFonts w:ascii="Verdana" w:hAnsi="Verdana"/>
          <w:sz w:val="20"/>
        </w:rPr>
        <w:t xml:space="preserve">-methyl </w:t>
      </w:r>
      <w:r w:rsidR="00B57F3A">
        <w:rPr>
          <w:rFonts w:ascii="Verdana" w:hAnsi="Verdana"/>
          <w:sz w:val="20"/>
        </w:rPr>
        <w:t>derivative</w:t>
      </w:r>
      <w:r>
        <w:rPr>
          <w:rFonts w:ascii="Verdana" w:hAnsi="Verdana"/>
          <w:sz w:val="20"/>
        </w:rPr>
        <w:t xml:space="preserve">, there are also other registered uses than heat transfer. For these uses adding the substance to Candidate </w:t>
      </w:r>
      <w:r w:rsidR="00487352">
        <w:rPr>
          <w:rFonts w:ascii="Verdana" w:hAnsi="Verdana"/>
          <w:sz w:val="20"/>
        </w:rPr>
        <w:t>L</w:t>
      </w:r>
      <w:r>
        <w:rPr>
          <w:rFonts w:ascii="Verdana" w:hAnsi="Verdana"/>
          <w:sz w:val="20"/>
        </w:rPr>
        <w:t xml:space="preserve">ist could promote substitution </w:t>
      </w:r>
      <w:r w:rsidR="001B165F">
        <w:rPr>
          <w:rFonts w:ascii="Verdana" w:hAnsi="Verdana"/>
          <w:sz w:val="20"/>
        </w:rPr>
        <w:t xml:space="preserve">by </w:t>
      </w:r>
      <w:r>
        <w:rPr>
          <w:rFonts w:ascii="Verdana" w:hAnsi="Verdana"/>
          <w:sz w:val="20"/>
        </w:rPr>
        <w:t xml:space="preserve">less hazardous substances where possible. </w:t>
      </w:r>
    </w:p>
    <w:p w14:paraId="40323EAD" w14:textId="629B3887" w:rsidR="00106D5A" w:rsidRDefault="00106D5A" w:rsidP="00AA701C">
      <w:pPr>
        <w:spacing w:after="0"/>
        <w:jc w:val="both"/>
        <w:rPr>
          <w:rFonts w:ascii="Verdana" w:hAnsi="Verdana"/>
          <w:sz w:val="20"/>
        </w:rPr>
      </w:pPr>
    </w:p>
    <w:p w14:paraId="77D49065" w14:textId="3F7632D0" w:rsidR="00106D5A" w:rsidRDefault="00106D5A" w:rsidP="00AA701C">
      <w:pPr>
        <w:spacing w:after="0"/>
        <w:jc w:val="both"/>
        <w:rPr>
          <w:rFonts w:ascii="Verdana" w:hAnsi="Verdana"/>
          <w:b/>
          <w:sz w:val="20"/>
        </w:rPr>
      </w:pPr>
      <w:r>
        <w:rPr>
          <w:rFonts w:ascii="Verdana" w:hAnsi="Verdana"/>
          <w:b/>
          <w:sz w:val="20"/>
        </w:rPr>
        <w:t>Authorisation</w:t>
      </w:r>
    </w:p>
    <w:p w14:paraId="348818ED" w14:textId="6430FAE3" w:rsidR="00106D5A" w:rsidRDefault="00106D5A" w:rsidP="00AA701C">
      <w:pPr>
        <w:spacing w:after="0"/>
        <w:jc w:val="both"/>
        <w:rPr>
          <w:rFonts w:ascii="Verdana" w:hAnsi="Verdana"/>
          <w:b/>
          <w:sz w:val="20"/>
        </w:rPr>
      </w:pPr>
    </w:p>
    <w:p w14:paraId="1A09AE85" w14:textId="21CF7E4F" w:rsidR="008850D6" w:rsidRDefault="00A35334" w:rsidP="00AA701C">
      <w:pPr>
        <w:spacing w:after="0"/>
        <w:jc w:val="both"/>
        <w:rPr>
          <w:rFonts w:ascii="Verdana" w:hAnsi="Verdana"/>
          <w:sz w:val="20"/>
        </w:rPr>
      </w:pPr>
      <w:proofErr w:type="gramStart"/>
      <w:r>
        <w:rPr>
          <w:rFonts w:ascii="Verdana" w:hAnsi="Verdana"/>
          <w:sz w:val="20"/>
        </w:rPr>
        <w:t>Both of these</w:t>
      </w:r>
      <w:proofErr w:type="gramEnd"/>
      <w:r>
        <w:rPr>
          <w:rFonts w:ascii="Verdana" w:hAnsi="Verdana"/>
          <w:sz w:val="20"/>
        </w:rPr>
        <w:t xml:space="preserve"> alternative heat transfer fluids to terphenyl, hydrogenated in this RMOA</w:t>
      </w:r>
      <w:r w:rsidR="008850D6">
        <w:rPr>
          <w:rFonts w:ascii="Verdana" w:hAnsi="Verdana"/>
          <w:sz w:val="20"/>
        </w:rPr>
        <w:t xml:space="preserve"> </w:t>
      </w:r>
      <w:r w:rsidR="00605238">
        <w:rPr>
          <w:rFonts w:ascii="Verdana" w:hAnsi="Verdana"/>
          <w:sz w:val="20"/>
        </w:rPr>
        <w:t>seems</w:t>
      </w:r>
      <w:r w:rsidR="008850D6">
        <w:rPr>
          <w:rFonts w:ascii="Verdana" w:hAnsi="Verdana"/>
          <w:sz w:val="20"/>
        </w:rPr>
        <w:t xml:space="preserve"> to </w:t>
      </w:r>
      <w:r>
        <w:rPr>
          <w:rFonts w:ascii="Verdana" w:hAnsi="Verdana"/>
          <w:sz w:val="20"/>
        </w:rPr>
        <w:t xml:space="preserve">fulfil the SVHC roadmap 2020 criteria (Table </w:t>
      </w:r>
      <w:r w:rsidR="00E669C1">
        <w:rPr>
          <w:rFonts w:ascii="Verdana" w:hAnsi="Verdana"/>
          <w:sz w:val="20"/>
        </w:rPr>
        <w:t>11</w:t>
      </w:r>
      <w:r>
        <w:rPr>
          <w:rFonts w:ascii="Verdana" w:hAnsi="Verdana"/>
          <w:sz w:val="20"/>
        </w:rPr>
        <w:t xml:space="preserve">) for being a relevant </w:t>
      </w:r>
      <w:r w:rsidR="008850D6">
        <w:rPr>
          <w:rFonts w:ascii="Verdana" w:hAnsi="Verdana"/>
          <w:sz w:val="20"/>
        </w:rPr>
        <w:t>SVHC candidate for inclusion in</w:t>
      </w:r>
      <w:r w:rsidR="004B0B4F">
        <w:rPr>
          <w:rFonts w:ascii="Verdana" w:hAnsi="Verdana"/>
          <w:sz w:val="20"/>
        </w:rPr>
        <w:t xml:space="preserve"> </w:t>
      </w:r>
      <w:r w:rsidR="008850D6">
        <w:rPr>
          <w:rFonts w:ascii="Verdana" w:hAnsi="Verdana"/>
          <w:sz w:val="20"/>
        </w:rPr>
        <w:t xml:space="preserve">Annex XIV. </w:t>
      </w:r>
      <w:r w:rsidR="00106D5A" w:rsidRPr="00106D5A">
        <w:rPr>
          <w:rFonts w:ascii="Verdana" w:hAnsi="Verdana"/>
          <w:sz w:val="20"/>
        </w:rPr>
        <w:t xml:space="preserve">Dibenzylbenzene, </w:t>
      </w:r>
      <w:proofErr w:type="spellStart"/>
      <w:r w:rsidR="00106D5A" w:rsidRPr="00106D5A">
        <w:rPr>
          <w:rFonts w:ascii="Verdana" w:hAnsi="Verdana"/>
          <w:sz w:val="20"/>
        </w:rPr>
        <w:t>ar</w:t>
      </w:r>
      <w:proofErr w:type="spellEnd"/>
      <w:r w:rsidR="00106D5A" w:rsidRPr="00106D5A">
        <w:rPr>
          <w:rFonts w:ascii="Verdana" w:hAnsi="Verdana"/>
          <w:sz w:val="20"/>
        </w:rPr>
        <w:t xml:space="preserve">-methyl </w:t>
      </w:r>
      <w:r w:rsidR="00B57F3A">
        <w:rPr>
          <w:rFonts w:ascii="Verdana" w:hAnsi="Verdana"/>
          <w:sz w:val="20"/>
        </w:rPr>
        <w:t>derivative</w:t>
      </w:r>
      <w:r w:rsidR="00106D5A" w:rsidRPr="00106D5A">
        <w:rPr>
          <w:rFonts w:ascii="Verdana" w:hAnsi="Verdana"/>
          <w:sz w:val="20"/>
        </w:rPr>
        <w:t xml:space="preserve"> </w:t>
      </w:r>
      <w:r w:rsidR="00452775">
        <w:rPr>
          <w:rFonts w:ascii="Verdana" w:hAnsi="Verdana"/>
          <w:sz w:val="20"/>
        </w:rPr>
        <w:t>is</w:t>
      </w:r>
      <w:r w:rsidR="00106D5A">
        <w:rPr>
          <w:rFonts w:ascii="Verdana" w:hAnsi="Verdana"/>
          <w:sz w:val="20"/>
        </w:rPr>
        <w:t xml:space="preserve"> manufactured in high tonnages</w:t>
      </w:r>
      <w:r w:rsidR="00605238">
        <w:rPr>
          <w:rFonts w:ascii="Verdana" w:hAnsi="Verdana"/>
          <w:sz w:val="20"/>
        </w:rPr>
        <w:t xml:space="preserve"> (1000 – 10 000 </w:t>
      </w:r>
      <w:proofErr w:type="spellStart"/>
      <w:r w:rsidR="00605238">
        <w:rPr>
          <w:rFonts w:ascii="Verdana" w:hAnsi="Verdana"/>
          <w:sz w:val="20"/>
        </w:rPr>
        <w:t>tpa</w:t>
      </w:r>
      <w:proofErr w:type="spellEnd"/>
      <w:r w:rsidR="00605238">
        <w:rPr>
          <w:rFonts w:ascii="Verdana" w:hAnsi="Verdana"/>
          <w:sz w:val="20"/>
        </w:rPr>
        <w:t>)</w:t>
      </w:r>
      <w:r w:rsidR="00106D5A">
        <w:rPr>
          <w:rFonts w:ascii="Verdana" w:hAnsi="Verdana"/>
          <w:sz w:val="20"/>
        </w:rPr>
        <w:t xml:space="preserve">. </w:t>
      </w:r>
      <w:r w:rsidR="00605238">
        <w:rPr>
          <w:rFonts w:ascii="Verdana" w:hAnsi="Verdana"/>
          <w:sz w:val="20"/>
        </w:rPr>
        <w:t>The t</w:t>
      </w:r>
      <w:r w:rsidR="00452775">
        <w:rPr>
          <w:rFonts w:ascii="Verdana" w:hAnsi="Verdana"/>
          <w:sz w:val="20"/>
        </w:rPr>
        <w:t xml:space="preserve">otal tonnage band for </w:t>
      </w:r>
      <w:r w:rsidR="000317A7" w:rsidRPr="000317A7">
        <w:rPr>
          <w:rFonts w:ascii="Verdana" w:hAnsi="Verdana"/>
          <w:sz w:val="20"/>
        </w:rPr>
        <w:t>6-(1-phenylethyl)-1,2,3,4-tetrahydronaphthalene</w:t>
      </w:r>
      <w:r w:rsidR="00452775">
        <w:rPr>
          <w:rFonts w:ascii="Verdana" w:hAnsi="Verdana"/>
          <w:sz w:val="20"/>
        </w:rPr>
        <w:t xml:space="preserve"> is </w:t>
      </w:r>
      <w:r w:rsidR="00856D56">
        <w:rPr>
          <w:rFonts w:ascii="Verdana" w:hAnsi="Verdana"/>
          <w:sz w:val="20"/>
        </w:rPr>
        <w:t>presented in the confidential Annex I</w:t>
      </w:r>
      <w:r w:rsidR="00452775">
        <w:rPr>
          <w:rFonts w:ascii="Verdana" w:hAnsi="Verdana"/>
          <w:sz w:val="20"/>
        </w:rPr>
        <w:t xml:space="preserve">. </w:t>
      </w:r>
      <w:r w:rsidR="00106D5A">
        <w:rPr>
          <w:rFonts w:ascii="Verdana" w:hAnsi="Verdana"/>
          <w:sz w:val="20"/>
        </w:rPr>
        <w:t xml:space="preserve">The known uses in </w:t>
      </w:r>
      <w:r w:rsidR="00856D56">
        <w:rPr>
          <w:rFonts w:ascii="Verdana" w:hAnsi="Verdana"/>
          <w:sz w:val="20"/>
        </w:rPr>
        <w:t xml:space="preserve">the </w:t>
      </w:r>
      <w:r w:rsidR="00106D5A">
        <w:rPr>
          <w:rFonts w:ascii="Verdana" w:hAnsi="Verdana"/>
          <w:sz w:val="20"/>
        </w:rPr>
        <w:t>registrations are within the scope of authorisation</w:t>
      </w:r>
      <w:r w:rsidR="00F57F7B">
        <w:rPr>
          <w:rFonts w:ascii="Verdana" w:hAnsi="Verdana"/>
          <w:sz w:val="20"/>
        </w:rPr>
        <w:t xml:space="preserve"> in REACH</w:t>
      </w:r>
      <w:r w:rsidR="00106D5A">
        <w:rPr>
          <w:rFonts w:ascii="Verdana" w:hAnsi="Verdana"/>
          <w:sz w:val="20"/>
        </w:rPr>
        <w:t>.</w:t>
      </w:r>
      <w:r w:rsidR="008850D6">
        <w:rPr>
          <w:rFonts w:ascii="Verdana" w:hAnsi="Verdana"/>
          <w:sz w:val="20"/>
        </w:rPr>
        <w:t xml:space="preserve"> Both substances are expected to score high based on General Approach for </w:t>
      </w:r>
      <w:proofErr w:type="spellStart"/>
      <w:r w:rsidR="008850D6">
        <w:rPr>
          <w:rFonts w:ascii="Verdana" w:hAnsi="Verdana"/>
          <w:sz w:val="20"/>
        </w:rPr>
        <w:t>prioritisation</w:t>
      </w:r>
      <w:proofErr w:type="spellEnd"/>
      <w:r w:rsidR="008850D6">
        <w:rPr>
          <w:rFonts w:ascii="Verdana" w:hAnsi="Verdana"/>
          <w:sz w:val="20"/>
        </w:rPr>
        <w:t xml:space="preserve"> </w:t>
      </w:r>
      <w:proofErr w:type="gramStart"/>
      <w:r w:rsidR="008850D6">
        <w:rPr>
          <w:rFonts w:ascii="Verdana" w:hAnsi="Verdana"/>
          <w:sz w:val="20"/>
        </w:rPr>
        <w:t>similar to</w:t>
      </w:r>
      <w:proofErr w:type="gramEnd"/>
      <w:r w:rsidR="008850D6">
        <w:rPr>
          <w:rFonts w:ascii="Verdana" w:hAnsi="Verdana"/>
          <w:sz w:val="20"/>
        </w:rPr>
        <w:t xml:space="preserve"> terphenyl, hydrogenated (</w:t>
      </w:r>
      <w:r w:rsidR="00452775">
        <w:rPr>
          <w:rFonts w:ascii="Verdana" w:hAnsi="Verdana"/>
          <w:sz w:val="20"/>
        </w:rPr>
        <w:t xml:space="preserve">13-15 if identified as PBT and/or </w:t>
      </w:r>
      <w:proofErr w:type="spellStart"/>
      <w:r w:rsidR="00452775">
        <w:rPr>
          <w:rFonts w:ascii="Verdana" w:hAnsi="Verdana"/>
          <w:sz w:val="20"/>
        </w:rPr>
        <w:t>vPvB</w:t>
      </w:r>
      <w:proofErr w:type="spellEnd"/>
      <w:r w:rsidR="00452775">
        <w:rPr>
          <w:rFonts w:ascii="Verdana" w:hAnsi="Verdana"/>
          <w:sz w:val="20"/>
        </w:rPr>
        <w:t>, 3-12 for volume, 5-15 for WDU</w:t>
      </w:r>
      <w:r w:rsidR="008850D6">
        <w:rPr>
          <w:rFonts w:ascii="Verdana" w:hAnsi="Verdana"/>
          <w:sz w:val="20"/>
        </w:rPr>
        <w:t>)</w:t>
      </w:r>
      <w:r w:rsidR="00452775">
        <w:rPr>
          <w:rFonts w:ascii="Verdana" w:hAnsi="Verdana"/>
          <w:sz w:val="20"/>
        </w:rPr>
        <w:t>.</w:t>
      </w:r>
      <w:r w:rsidR="008850D6">
        <w:rPr>
          <w:rStyle w:val="Alaviitteenviite"/>
          <w:rFonts w:ascii="Verdana" w:hAnsi="Verdana"/>
          <w:sz w:val="20"/>
        </w:rPr>
        <w:footnoteReference w:id="9"/>
      </w:r>
      <w:r w:rsidR="00452775">
        <w:rPr>
          <w:rFonts w:ascii="Verdana" w:hAnsi="Verdana"/>
          <w:sz w:val="20"/>
        </w:rPr>
        <w:t xml:space="preserve"> </w:t>
      </w:r>
    </w:p>
    <w:p w14:paraId="374BD4CC" w14:textId="77777777" w:rsidR="008850D6" w:rsidRDefault="008850D6" w:rsidP="00AA701C">
      <w:pPr>
        <w:spacing w:after="0"/>
        <w:jc w:val="both"/>
        <w:rPr>
          <w:rFonts w:ascii="Verdana" w:hAnsi="Verdana"/>
          <w:sz w:val="20"/>
          <w:szCs w:val="20"/>
        </w:rPr>
      </w:pPr>
    </w:p>
    <w:p w14:paraId="1CE7FE42" w14:textId="3883B1B5" w:rsidR="00605238" w:rsidRDefault="00106D5A" w:rsidP="00AA701C">
      <w:pPr>
        <w:spacing w:after="0"/>
        <w:jc w:val="both"/>
        <w:rPr>
          <w:rFonts w:ascii="Verdana" w:hAnsi="Verdana"/>
          <w:sz w:val="20"/>
        </w:rPr>
      </w:pPr>
      <w:r w:rsidRPr="00960784">
        <w:rPr>
          <w:rFonts w:ascii="Verdana" w:hAnsi="Verdana"/>
          <w:sz w:val="20"/>
          <w:szCs w:val="20"/>
        </w:rPr>
        <w:t xml:space="preserve">Although </w:t>
      </w:r>
      <w:r>
        <w:rPr>
          <w:rFonts w:ascii="Verdana" w:hAnsi="Verdana"/>
          <w:sz w:val="20"/>
          <w:szCs w:val="20"/>
        </w:rPr>
        <w:t xml:space="preserve">the </w:t>
      </w:r>
      <w:r w:rsidRPr="00960784">
        <w:rPr>
          <w:rFonts w:ascii="Verdana" w:hAnsi="Verdana"/>
          <w:sz w:val="20"/>
          <w:szCs w:val="20"/>
        </w:rPr>
        <w:t>main use as a heat transfer fluid</w:t>
      </w:r>
      <w:r w:rsidR="002E1C21">
        <w:rPr>
          <w:rFonts w:ascii="Verdana" w:hAnsi="Verdana"/>
          <w:sz w:val="20"/>
          <w:szCs w:val="20"/>
        </w:rPr>
        <w:t xml:space="preserve"> takes place</w:t>
      </w:r>
      <w:r w:rsidRPr="00960784">
        <w:rPr>
          <w:rFonts w:ascii="Verdana" w:hAnsi="Verdana"/>
          <w:sz w:val="20"/>
          <w:szCs w:val="20"/>
        </w:rPr>
        <w:t xml:space="preserve"> </w:t>
      </w:r>
      <w:r w:rsidR="002E1C21">
        <w:rPr>
          <w:rFonts w:ascii="Verdana" w:hAnsi="Verdana"/>
          <w:sz w:val="20"/>
          <w:szCs w:val="20"/>
        </w:rPr>
        <w:t>in closed</w:t>
      </w:r>
      <w:r w:rsidR="00B65B74">
        <w:rPr>
          <w:rFonts w:ascii="Verdana" w:hAnsi="Verdana"/>
          <w:sz w:val="20"/>
          <w:szCs w:val="20"/>
        </w:rPr>
        <w:t xml:space="preserve"> loop manufacturing</w:t>
      </w:r>
      <w:r w:rsidR="002E1C21">
        <w:rPr>
          <w:rFonts w:ascii="Verdana" w:hAnsi="Verdana"/>
          <w:sz w:val="20"/>
          <w:szCs w:val="20"/>
        </w:rPr>
        <w:t xml:space="preserve"> system</w:t>
      </w:r>
      <w:r w:rsidRPr="00960784">
        <w:rPr>
          <w:rFonts w:ascii="Verdana" w:hAnsi="Verdana"/>
          <w:sz w:val="20"/>
          <w:szCs w:val="20"/>
        </w:rPr>
        <w:t xml:space="preserve"> with </w:t>
      </w:r>
      <w:r>
        <w:rPr>
          <w:rFonts w:ascii="Verdana" w:hAnsi="Verdana"/>
          <w:sz w:val="20"/>
          <w:szCs w:val="20"/>
        </w:rPr>
        <w:t xml:space="preserve">limited </w:t>
      </w:r>
      <w:r w:rsidRPr="00960784">
        <w:rPr>
          <w:rFonts w:ascii="Verdana" w:hAnsi="Verdana"/>
          <w:sz w:val="20"/>
          <w:szCs w:val="20"/>
        </w:rPr>
        <w:t xml:space="preserve">discharges, exposure </w:t>
      </w:r>
      <w:r w:rsidR="002E1C21">
        <w:rPr>
          <w:rFonts w:ascii="Verdana" w:hAnsi="Verdana"/>
          <w:sz w:val="20"/>
          <w:szCs w:val="20"/>
        </w:rPr>
        <w:t xml:space="preserve">to the environment </w:t>
      </w:r>
      <w:r w:rsidRPr="00960784">
        <w:rPr>
          <w:rFonts w:ascii="Verdana" w:hAnsi="Verdana"/>
          <w:sz w:val="20"/>
          <w:szCs w:val="20"/>
        </w:rPr>
        <w:t>cannot be overruled</w:t>
      </w:r>
      <w:r>
        <w:rPr>
          <w:rFonts w:ascii="Verdana" w:hAnsi="Verdana"/>
          <w:sz w:val="20"/>
          <w:szCs w:val="20"/>
        </w:rPr>
        <w:t>.</w:t>
      </w:r>
      <w:r w:rsidR="002E1C21">
        <w:rPr>
          <w:rFonts w:ascii="Verdana" w:hAnsi="Verdana"/>
          <w:sz w:val="20"/>
          <w:szCs w:val="20"/>
        </w:rPr>
        <w:t xml:space="preserve"> </w:t>
      </w:r>
      <w:r w:rsidR="00F862F7">
        <w:rPr>
          <w:rFonts w:ascii="Verdana" w:hAnsi="Verdana"/>
          <w:sz w:val="20"/>
          <w:szCs w:val="20"/>
        </w:rPr>
        <w:t xml:space="preserve">For any </w:t>
      </w:r>
      <w:r w:rsidR="00B65B74">
        <w:rPr>
          <w:rFonts w:ascii="Verdana" w:hAnsi="Verdana"/>
          <w:sz w:val="20"/>
          <w:szCs w:val="20"/>
        </w:rPr>
        <w:t>substance</w:t>
      </w:r>
      <w:r w:rsidR="00F862F7">
        <w:rPr>
          <w:rFonts w:ascii="Verdana" w:hAnsi="Verdana"/>
          <w:sz w:val="20"/>
          <w:szCs w:val="20"/>
        </w:rPr>
        <w:t xml:space="preserve">, </w:t>
      </w:r>
      <w:r w:rsidR="00DD55EC">
        <w:rPr>
          <w:rFonts w:ascii="Verdana" w:hAnsi="Verdana"/>
          <w:sz w:val="20"/>
          <w:szCs w:val="20"/>
        </w:rPr>
        <w:t xml:space="preserve">for </w:t>
      </w:r>
      <w:r w:rsidR="00F862F7">
        <w:rPr>
          <w:rFonts w:ascii="Verdana" w:hAnsi="Verdana"/>
          <w:sz w:val="20"/>
          <w:szCs w:val="20"/>
        </w:rPr>
        <w:t>which it is not possible to establish a safe level of exposure, especially PBT/</w:t>
      </w:r>
      <w:proofErr w:type="spellStart"/>
      <w:r w:rsidR="00F862F7">
        <w:rPr>
          <w:rFonts w:ascii="Verdana" w:hAnsi="Verdana"/>
          <w:sz w:val="20"/>
          <w:szCs w:val="20"/>
        </w:rPr>
        <w:t>vPvB</w:t>
      </w:r>
      <w:proofErr w:type="spellEnd"/>
      <w:r w:rsidR="00F862F7">
        <w:rPr>
          <w:rFonts w:ascii="Verdana" w:hAnsi="Verdana"/>
          <w:sz w:val="20"/>
          <w:szCs w:val="20"/>
        </w:rPr>
        <w:t xml:space="preserve"> substances in this case, </w:t>
      </w:r>
      <w:r w:rsidR="0097014D">
        <w:rPr>
          <w:rFonts w:ascii="Verdana" w:hAnsi="Verdana"/>
          <w:sz w:val="20"/>
          <w:szCs w:val="20"/>
        </w:rPr>
        <w:t xml:space="preserve">risk management </w:t>
      </w:r>
      <w:r w:rsidR="00F862F7">
        <w:rPr>
          <w:rFonts w:ascii="Verdana" w:hAnsi="Verdana"/>
          <w:sz w:val="20"/>
          <w:szCs w:val="20"/>
        </w:rPr>
        <w:t xml:space="preserve">measures should always be taken to </w:t>
      </w:r>
      <w:proofErr w:type="spellStart"/>
      <w:r w:rsidR="00F862F7">
        <w:rPr>
          <w:rFonts w:ascii="Verdana" w:hAnsi="Verdana"/>
          <w:sz w:val="20"/>
          <w:szCs w:val="20"/>
        </w:rPr>
        <w:t>minimise</w:t>
      </w:r>
      <w:proofErr w:type="spellEnd"/>
      <w:r w:rsidR="00F862F7">
        <w:rPr>
          <w:rFonts w:ascii="Verdana" w:hAnsi="Verdana"/>
          <w:sz w:val="20"/>
          <w:szCs w:val="20"/>
        </w:rPr>
        <w:t xml:space="preserve"> exposure and emissions, as far as technically and practically possible (REACH recital 70). </w:t>
      </w:r>
      <w:r w:rsidR="002E1C21">
        <w:rPr>
          <w:rFonts w:ascii="Verdana" w:hAnsi="Verdana"/>
          <w:sz w:val="20"/>
          <w:szCs w:val="20"/>
        </w:rPr>
        <w:t>Exposure and emission</w:t>
      </w:r>
      <w:r w:rsidR="00B65B74">
        <w:rPr>
          <w:rFonts w:ascii="Verdana" w:hAnsi="Verdana"/>
          <w:sz w:val="20"/>
          <w:szCs w:val="20"/>
        </w:rPr>
        <w:t>s</w:t>
      </w:r>
      <w:r w:rsidR="002E1C21">
        <w:rPr>
          <w:rFonts w:ascii="Verdana" w:hAnsi="Verdana"/>
          <w:sz w:val="20"/>
          <w:szCs w:val="20"/>
        </w:rPr>
        <w:t xml:space="preserve"> are possible during loading operations, renewal and disposal </w:t>
      </w:r>
      <w:r w:rsidR="00DE3738">
        <w:rPr>
          <w:rFonts w:ascii="Verdana" w:hAnsi="Verdana"/>
          <w:sz w:val="20"/>
          <w:szCs w:val="20"/>
        </w:rPr>
        <w:t xml:space="preserve">phase </w:t>
      </w:r>
      <w:r w:rsidR="002E1C21">
        <w:rPr>
          <w:rFonts w:ascii="Verdana" w:hAnsi="Verdana"/>
          <w:sz w:val="20"/>
          <w:szCs w:val="20"/>
        </w:rPr>
        <w:t xml:space="preserve">of heat transfer fluids. </w:t>
      </w:r>
      <w:r w:rsidR="00CF20E8">
        <w:rPr>
          <w:rFonts w:ascii="Verdana" w:hAnsi="Verdana"/>
          <w:sz w:val="20"/>
          <w:szCs w:val="20"/>
        </w:rPr>
        <w:t>In addition</w:t>
      </w:r>
      <w:r w:rsidR="00B57F3A">
        <w:rPr>
          <w:rFonts w:ascii="Verdana" w:hAnsi="Verdana"/>
          <w:sz w:val="20"/>
          <w:szCs w:val="20"/>
        </w:rPr>
        <w:t xml:space="preserve">, </w:t>
      </w:r>
      <w:r w:rsidR="00B57F3A">
        <w:rPr>
          <w:rFonts w:ascii="Verdana" w:hAnsi="Verdana"/>
          <w:sz w:val="20"/>
        </w:rPr>
        <w:t>d</w:t>
      </w:r>
      <w:r w:rsidR="00B57F3A" w:rsidRPr="00106D5A">
        <w:rPr>
          <w:rFonts w:ascii="Verdana" w:hAnsi="Verdana"/>
          <w:sz w:val="20"/>
        </w:rPr>
        <w:t xml:space="preserve">ibenzylbenzene, </w:t>
      </w:r>
      <w:proofErr w:type="spellStart"/>
      <w:r w:rsidR="00B57F3A" w:rsidRPr="00106D5A">
        <w:rPr>
          <w:rFonts w:ascii="Verdana" w:hAnsi="Verdana"/>
          <w:sz w:val="20"/>
        </w:rPr>
        <w:t>ar</w:t>
      </w:r>
      <w:proofErr w:type="spellEnd"/>
      <w:r w:rsidR="00B57F3A" w:rsidRPr="00106D5A">
        <w:rPr>
          <w:rFonts w:ascii="Verdana" w:hAnsi="Verdana"/>
          <w:sz w:val="20"/>
        </w:rPr>
        <w:t>-methyl derivat</w:t>
      </w:r>
      <w:r w:rsidR="00B57F3A">
        <w:rPr>
          <w:rFonts w:ascii="Verdana" w:hAnsi="Verdana"/>
          <w:sz w:val="20"/>
        </w:rPr>
        <w:t>iv</w:t>
      </w:r>
      <w:r w:rsidR="00B57F3A" w:rsidRPr="00106D5A">
        <w:rPr>
          <w:rFonts w:ascii="Verdana" w:hAnsi="Verdana"/>
          <w:sz w:val="20"/>
        </w:rPr>
        <w:t>e</w:t>
      </w:r>
      <w:r w:rsidR="00B57F3A">
        <w:rPr>
          <w:rFonts w:ascii="Verdana" w:hAnsi="Verdana"/>
          <w:sz w:val="20"/>
        </w:rPr>
        <w:t xml:space="preserve"> has also other industrial, professional and consumer uses (Table </w:t>
      </w:r>
      <w:r w:rsidR="00E669C1">
        <w:rPr>
          <w:rFonts w:ascii="Verdana" w:hAnsi="Verdana"/>
          <w:sz w:val="20"/>
        </w:rPr>
        <w:t>10</w:t>
      </w:r>
      <w:r w:rsidR="00B57F3A">
        <w:rPr>
          <w:rFonts w:ascii="Verdana" w:hAnsi="Verdana"/>
          <w:sz w:val="20"/>
        </w:rPr>
        <w:t>).</w:t>
      </w:r>
      <w:r w:rsidR="00323E24">
        <w:rPr>
          <w:rFonts w:ascii="Verdana" w:hAnsi="Verdana"/>
          <w:sz w:val="20"/>
        </w:rPr>
        <w:t xml:space="preserve"> </w:t>
      </w:r>
    </w:p>
    <w:p w14:paraId="4AD3557F" w14:textId="77777777" w:rsidR="00605238" w:rsidRDefault="00605238" w:rsidP="00AA701C">
      <w:pPr>
        <w:spacing w:after="0"/>
        <w:jc w:val="both"/>
        <w:rPr>
          <w:rFonts w:ascii="Verdana" w:hAnsi="Verdana"/>
          <w:sz w:val="20"/>
        </w:rPr>
      </w:pPr>
    </w:p>
    <w:p w14:paraId="33B8AF7F" w14:textId="7A5F315C" w:rsidR="00926286" w:rsidRDefault="00452775" w:rsidP="00AA701C">
      <w:pPr>
        <w:spacing w:after="0"/>
        <w:jc w:val="both"/>
        <w:rPr>
          <w:rFonts w:ascii="Verdana" w:hAnsi="Verdana"/>
          <w:sz w:val="20"/>
        </w:rPr>
      </w:pPr>
      <w:r>
        <w:rPr>
          <w:rFonts w:ascii="Verdana" w:hAnsi="Verdana"/>
          <w:sz w:val="20"/>
        </w:rPr>
        <w:lastRenderedPageBreak/>
        <w:t xml:space="preserve">Inclusion </w:t>
      </w:r>
      <w:r w:rsidR="004B0B4F">
        <w:rPr>
          <w:rFonts w:ascii="Verdana" w:hAnsi="Verdana"/>
          <w:sz w:val="20"/>
        </w:rPr>
        <w:t>in</w:t>
      </w:r>
      <w:r>
        <w:rPr>
          <w:rFonts w:ascii="Verdana" w:hAnsi="Verdana"/>
          <w:sz w:val="20"/>
        </w:rPr>
        <w:t xml:space="preserve"> </w:t>
      </w:r>
      <w:r w:rsidR="004B0B4F">
        <w:rPr>
          <w:rFonts w:ascii="Verdana" w:hAnsi="Verdana"/>
          <w:sz w:val="20"/>
        </w:rPr>
        <w:t>Annex XIV</w:t>
      </w:r>
      <w:r>
        <w:rPr>
          <w:rFonts w:ascii="Verdana" w:hAnsi="Verdana"/>
          <w:sz w:val="20"/>
        </w:rPr>
        <w:t xml:space="preserve"> would </w:t>
      </w:r>
      <w:r w:rsidR="004B0B4F">
        <w:rPr>
          <w:rFonts w:ascii="Verdana" w:hAnsi="Verdana"/>
          <w:sz w:val="20"/>
        </w:rPr>
        <w:t>indicate to registrant(s) a need</w:t>
      </w:r>
      <w:r>
        <w:rPr>
          <w:rFonts w:ascii="Verdana" w:hAnsi="Verdana"/>
          <w:sz w:val="20"/>
        </w:rPr>
        <w:t xml:space="preserve"> to substitute </w:t>
      </w:r>
      <w:r w:rsidR="003772F1">
        <w:rPr>
          <w:rFonts w:ascii="Verdana" w:hAnsi="Verdana"/>
          <w:sz w:val="20"/>
        </w:rPr>
        <w:t xml:space="preserve">the </w:t>
      </w:r>
      <w:r>
        <w:rPr>
          <w:rFonts w:ascii="Verdana" w:hAnsi="Verdana"/>
          <w:sz w:val="20"/>
        </w:rPr>
        <w:t>sub</w:t>
      </w:r>
      <w:r w:rsidR="00DD55EC">
        <w:rPr>
          <w:rFonts w:ascii="Verdana" w:hAnsi="Verdana"/>
          <w:sz w:val="20"/>
        </w:rPr>
        <w:t>s</w:t>
      </w:r>
      <w:r>
        <w:rPr>
          <w:rFonts w:ascii="Verdana" w:hAnsi="Verdana"/>
          <w:sz w:val="20"/>
        </w:rPr>
        <w:t>tances in uses where safer alternatives are available</w:t>
      </w:r>
      <w:r w:rsidR="003664D5">
        <w:rPr>
          <w:rFonts w:ascii="Verdana" w:hAnsi="Verdana"/>
          <w:sz w:val="20"/>
        </w:rPr>
        <w:t>,</w:t>
      </w:r>
      <w:r w:rsidR="00605238">
        <w:rPr>
          <w:rFonts w:ascii="Verdana" w:hAnsi="Verdana"/>
          <w:sz w:val="20"/>
        </w:rPr>
        <w:t xml:space="preserve"> and</w:t>
      </w:r>
      <w:r w:rsidR="003664D5">
        <w:rPr>
          <w:rFonts w:ascii="Verdana" w:hAnsi="Verdana"/>
          <w:sz w:val="20"/>
        </w:rPr>
        <w:t>/or</w:t>
      </w:r>
      <w:r w:rsidR="00605238">
        <w:rPr>
          <w:rFonts w:ascii="Verdana" w:hAnsi="Verdana"/>
          <w:sz w:val="20"/>
        </w:rPr>
        <w:t xml:space="preserve"> to demonstrate that </w:t>
      </w:r>
      <w:r w:rsidR="003664D5">
        <w:rPr>
          <w:rFonts w:ascii="Verdana" w:hAnsi="Verdana"/>
          <w:sz w:val="20"/>
        </w:rPr>
        <w:t xml:space="preserve">there </w:t>
      </w:r>
      <w:proofErr w:type="gramStart"/>
      <w:r w:rsidR="003664D5">
        <w:rPr>
          <w:rFonts w:ascii="Verdana" w:hAnsi="Verdana"/>
          <w:sz w:val="20"/>
        </w:rPr>
        <w:t>are</w:t>
      </w:r>
      <w:proofErr w:type="gramEnd"/>
      <w:r w:rsidR="003664D5">
        <w:rPr>
          <w:rFonts w:ascii="Verdana" w:hAnsi="Verdana"/>
          <w:sz w:val="20"/>
        </w:rPr>
        <w:t xml:space="preserve"> no risk from their uses</w:t>
      </w:r>
      <w:r>
        <w:rPr>
          <w:rFonts w:ascii="Verdana" w:hAnsi="Verdana"/>
          <w:sz w:val="20"/>
        </w:rPr>
        <w:t xml:space="preserve">. For </w:t>
      </w:r>
      <w:r w:rsidR="008B5460">
        <w:rPr>
          <w:rFonts w:ascii="Verdana" w:hAnsi="Verdana"/>
          <w:sz w:val="20"/>
        </w:rPr>
        <w:t>the s</w:t>
      </w:r>
      <w:r>
        <w:rPr>
          <w:rFonts w:ascii="Verdana" w:hAnsi="Verdana"/>
          <w:sz w:val="20"/>
        </w:rPr>
        <w:t>pecific use as</w:t>
      </w:r>
      <w:r w:rsidR="00B65B74">
        <w:rPr>
          <w:rFonts w:ascii="Verdana" w:hAnsi="Verdana"/>
          <w:sz w:val="20"/>
        </w:rPr>
        <w:t xml:space="preserve"> a</w:t>
      </w:r>
      <w:r>
        <w:rPr>
          <w:rFonts w:ascii="Verdana" w:hAnsi="Verdana"/>
          <w:sz w:val="20"/>
        </w:rPr>
        <w:t xml:space="preserve"> high temperature, non-pressurised heat </w:t>
      </w:r>
      <w:r w:rsidRPr="00B65B74">
        <w:rPr>
          <w:rFonts w:ascii="Verdana" w:hAnsi="Verdana"/>
          <w:sz w:val="20"/>
          <w:szCs w:val="20"/>
        </w:rPr>
        <w:t>transfer fluid, the registrant(s) of these substance</w:t>
      </w:r>
      <w:r w:rsidR="00DB4575" w:rsidRPr="00B65B74">
        <w:rPr>
          <w:rFonts w:ascii="Verdana" w:hAnsi="Verdana"/>
          <w:sz w:val="20"/>
          <w:szCs w:val="20"/>
        </w:rPr>
        <w:t>s</w:t>
      </w:r>
      <w:r w:rsidRPr="00B65B74">
        <w:rPr>
          <w:rFonts w:ascii="Verdana" w:hAnsi="Verdana"/>
          <w:sz w:val="20"/>
          <w:szCs w:val="20"/>
        </w:rPr>
        <w:t xml:space="preserve"> </w:t>
      </w:r>
      <w:r w:rsidR="008B11CB" w:rsidRPr="00B65B74">
        <w:rPr>
          <w:rFonts w:ascii="Verdana" w:hAnsi="Verdana"/>
          <w:sz w:val="20"/>
          <w:szCs w:val="20"/>
        </w:rPr>
        <w:t>can</w:t>
      </w:r>
      <w:r w:rsidRPr="00B65B74">
        <w:rPr>
          <w:rFonts w:ascii="Verdana" w:hAnsi="Verdana"/>
          <w:sz w:val="20"/>
          <w:szCs w:val="20"/>
        </w:rPr>
        <w:t xml:space="preserve"> apply for </w:t>
      </w:r>
      <w:r w:rsidR="00672BA6">
        <w:rPr>
          <w:rFonts w:ascii="Verdana" w:hAnsi="Verdana"/>
          <w:sz w:val="20"/>
          <w:szCs w:val="20"/>
        </w:rPr>
        <w:t>authorisation to continue HTF use</w:t>
      </w:r>
      <w:r w:rsidR="00B65B74" w:rsidRPr="00B65B74">
        <w:rPr>
          <w:rFonts w:ascii="Verdana" w:hAnsi="Verdana"/>
          <w:sz w:val="20"/>
          <w:szCs w:val="20"/>
        </w:rPr>
        <w:t>.</w:t>
      </w:r>
      <w:r w:rsidR="00B65B74" w:rsidRPr="006D0213">
        <w:rPr>
          <w:rFonts w:ascii="Verdana" w:hAnsi="Verdana"/>
          <w:sz w:val="20"/>
          <w:szCs w:val="20"/>
          <w:lang w:val="en-GB"/>
        </w:rPr>
        <w:t xml:space="preserve"> Authorisation </w:t>
      </w:r>
      <w:r w:rsidR="00926286">
        <w:rPr>
          <w:rFonts w:ascii="Verdana" w:hAnsi="Verdana"/>
          <w:sz w:val="20"/>
          <w:szCs w:val="20"/>
          <w:lang w:val="en-GB"/>
        </w:rPr>
        <w:t>is typically</w:t>
      </w:r>
      <w:r w:rsidR="00B65B74" w:rsidRPr="006D0213">
        <w:rPr>
          <w:rFonts w:ascii="Verdana" w:hAnsi="Verdana"/>
          <w:sz w:val="20"/>
          <w:szCs w:val="20"/>
          <w:lang w:val="en-GB"/>
        </w:rPr>
        <w:t xml:space="preserve"> granted </w:t>
      </w:r>
      <w:r w:rsidR="008B11CB" w:rsidRPr="00B65B74">
        <w:rPr>
          <w:rFonts w:ascii="Verdana" w:hAnsi="Verdana"/>
          <w:sz w:val="20"/>
          <w:szCs w:val="20"/>
        </w:rPr>
        <w:t>i</w:t>
      </w:r>
      <w:r w:rsidRPr="00B65B74">
        <w:rPr>
          <w:rFonts w:ascii="Verdana" w:hAnsi="Verdana"/>
          <w:sz w:val="20"/>
          <w:szCs w:val="20"/>
        </w:rPr>
        <w:t xml:space="preserve">f </w:t>
      </w:r>
      <w:r w:rsidR="009835D5" w:rsidRPr="00B65B74">
        <w:rPr>
          <w:rFonts w:ascii="Verdana" w:hAnsi="Verdana"/>
          <w:sz w:val="20"/>
          <w:szCs w:val="20"/>
        </w:rPr>
        <w:t>the risks from use</w:t>
      </w:r>
      <w:r w:rsidR="00B65B74">
        <w:rPr>
          <w:rFonts w:ascii="Verdana" w:hAnsi="Verdana"/>
          <w:sz w:val="20"/>
          <w:szCs w:val="20"/>
        </w:rPr>
        <w:t>s</w:t>
      </w:r>
      <w:r w:rsidR="009835D5" w:rsidRPr="00B65B74">
        <w:rPr>
          <w:rFonts w:ascii="Verdana" w:hAnsi="Verdana"/>
          <w:sz w:val="20"/>
          <w:szCs w:val="20"/>
        </w:rPr>
        <w:t xml:space="preserve"> are adequately controlled, or it</w:t>
      </w:r>
      <w:r w:rsidR="009835D5">
        <w:rPr>
          <w:rFonts w:ascii="Verdana" w:hAnsi="Verdana"/>
          <w:sz w:val="20"/>
        </w:rPr>
        <w:t xml:space="preserve"> is shown that </w:t>
      </w:r>
      <w:r w:rsidR="00926286">
        <w:rPr>
          <w:rFonts w:ascii="Verdana" w:hAnsi="Verdana"/>
          <w:sz w:val="20"/>
        </w:rPr>
        <w:t>socio</w:t>
      </w:r>
      <w:r w:rsidR="009835D5">
        <w:rPr>
          <w:rFonts w:ascii="Verdana" w:hAnsi="Verdana"/>
          <w:sz w:val="20"/>
        </w:rPr>
        <w:t xml:space="preserve">-economic benefits outweigh the risks and </w:t>
      </w:r>
      <w:r>
        <w:rPr>
          <w:rFonts w:ascii="Verdana" w:hAnsi="Verdana"/>
          <w:sz w:val="20"/>
        </w:rPr>
        <w:t xml:space="preserve">no </w:t>
      </w:r>
      <w:r w:rsidR="009835D5">
        <w:rPr>
          <w:rFonts w:ascii="Verdana" w:hAnsi="Verdana"/>
          <w:sz w:val="20"/>
        </w:rPr>
        <w:t xml:space="preserve">suitable </w:t>
      </w:r>
      <w:r>
        <w:rPr>
          <w:rFonts w:ascii="Verdana" w:hAnsi="Verdana"/>
          <w:sz w:val="20"/>
        </w:rPr>
        <w:t>alternatives are available (</w:t>
      </w:r>
      <w:r w:rsidR="009835D5">
        <w:rPr>
          <w:rFonts w:ascii="Verdana" w:hAnsi="Verdana"/>
          <w:sz w:val="20"/>
        </w:rPr>
        <w:t>e</w:t>
      </w:r>
      <w:r w:rsidR="003772F1">
        <w:rPr>
          <w:rFonts w:ascii="Verdana" w:hAnsi="Verdana"/>
          <w:sz w:val="20"/>
        </w:rPr>
        <w:t>.</w:t>
      </w:r>
      <w:r w:rsidR="009835D5">
        <w:rPr>
          <w:rFonts w:ascii="Verdana" w:hAnsi="Verdana"/>
          <w:sz w:val="20"/>
        </w:rPr>
        <w:t>g.</w:t>
      </w:r>
      <w:r w:rsidR="003772F1">
        <w:rPr>
          <w:rFonts w:ascii="Verdana" w:hAnsi="Verdana"/>
          <w:sz w:val="20"/>
        </w:rPr>
        <w:t xml:space="preserve">, if the potential </w:t>
      </w:r>
      <w:r w:rsidR="009835D5">
        <w:rPr>
          <w:rFonts w:ascii="Verdana" w:hAnsi="Verdana"/>
          <w:sz w:val="20"/>
        </w:rPr>
        <w:t xml:space="preserve">alternatives </w:t>
      </w:r>
      <w:r w:rsidR="003772F1">
        <w:rPr>
          <w:rFonts w:ascii="Verdana" w:hAnsi="Verdana"/>
          <w:sz w:val="20"/>
        </w:rPr>
        <w:t xml:space="preserve">would </w:t>
      </w:r>
      <w:r>
        <w:rPr>
          <w:rFonts w:ascii="Verdana" w:hAnsi="Verdana"/>
          <w:sz w:val="20"/>
        </w:rPr>
        <w:t>also fulfil</w:t>
      </w:r>
      <w:r w:rsidR="009835D5">
        <w:rPr>
          <w:rFonts w:ascii="Verdana" w:hAnsi="Verdana"/>
          <w:sz w:val="20"/>
        </w:rPr>
        <w:t xml:space="preserve"> the </w:t>
      </w:r>
      <w:r>
        <w:rPr>
          <w:rFonts w:ascii="Verdana" w:hAnsi="Verdana"/>
          <w:sz w:val="20"/>
        </w:rPr>
        <w:t>Annex XIII criteria).</w:t>
      </w:r>
      <w:r w:rsidR="00926286">
        <w:rPr>
          <w:rFonts w:ascii="Verdana" w:hAnsi="Verdana"/>
          <w:sz w:val="20"/>
        </w:rPr>
        <w:t xml:space="preserve"> It is understood however that the investment cycles for heat transfer fluids on industrial sites may extend beyond the typical authorisation review periods granted under REACH. </w:t>
      </w:r>
    </w:p>
    <w:p w14:paraId="4DA7CE83" w14:textId="77777777" w:rsidR="00926286" w:rsidRDefault="00926286" w:rsidP="00AA701C">
      <w:pPr>
        <w:spacing w:after="0"/>
        <w:jc w:val="both"/>
        <w:rPr>
          <w:rFonts w:ascii="Verdana" w:hAnsi="Verdana"/>
          <w:sz w:val="20"/>
        </w:rPr>
      </w:pPr>
    </w:p>
    <w:p w14:paraId="4C50B96D" w14:textId="485145D4" w:rsidR="00787968" w:rsidRDefault="00DC6454" w:rsidP="00AA701C">
      <w:pPr>
        <w:spacing w:after="0"/>
        <w:jc w:val="both"/>
        <w:rPr>
          <w:rFonts w:ascii="Verdana" w:hAnsi="Verdana"/>
          <w:sz w:val="20"/>
        </w:rPr>
      </w:pPr>
      <w:r>
        <w:rPr>
          <w:rFonts w:ascii="Verdana" w:hAnsi="Verdana"/>
          <w:sz w:val="20"/>
        </w:rPr>
        <w:t>I</w:t>
      </w:r>
      <w:r w:rsidR="000C6A83">
        <w:rPr>
          <w:rFonts w:ascii="Verdana" w:hAnsi="Verdana"/>
          <w:sz w:val="20"/>
        </w:rPr>
        <w:t>t is</w:t>
      </w:r>
      <w:r>
        <w:rPr>
          <w:rFonts w:ascii="Verdana" w:hAnsi="Verdana"/>
          <w:sz w:val="20"/>
        </w:rPr>
        <w:t xml:space="preserve"> </w:t>
      </w:r>
      <w:r w:rsidR="000C6A83">
        <w:rPr>
          <w:rFonts w:ascii="Verdana" w:hAnsi="Verdana"/>
          <w:sz w:val="20"/>
        </w:rPr>
        <w:t>worth noting that according to REACH Article 59, all substances in the candidate list are eventually to be included in Annex XIV. Only substances for which all uses have been prohibited shall not be included in Annex XIV or shall be removed from it according to Article 58(7).</w:t>
      </w:r>
      <w:r>
        <w:rPr>
          <w:rFonts w:ascii="Verdana" w:hAnsi="Verdana"/>
          <w:sz w:val="20"/>
        </w:rPr>
        <w:t xml:space="preserve"> In the case of high-temperature non-pressurised HTFs used in closed systems for periods that often extend beyond 20 years, however, it is important to note that, according to feedback received from the registrants, typical authorisation review periods may be challenging to implement in practice. </w:t>
      </w:r>
    </w:p>
    <w:p w14:paraId="4A4697EC" w14:textId="113F047D" w:rsidR="00A35334" w:rsidRDefault="00A35334" w:rsidP="00AA701C">
      <w:pPr>
        <w:spacing w:after="0"/>
        <w:jc w:val="both"/>
        <w:rPr>
          <w:rFonts w:ascii="Verdana" w:hAnsi="Verdana"/>
          <w:sz w:val="20"/>
        </w:rPr>
      </w:pPr>
    </w:p>
    <w:p w14:paraId="399BFB63" w14:textId="1DE878E2" w:rsidR="00A35334" w:rsidRDefault="00DB4575" w:rsidP="00AA701C">
      <w:pPr>
        <w:spacing w:after="0"/>
        <w:jc w:val="both"/>
        <w:rPr>
          <w:rFonts w:ascii="Verdana" w:hAnsi="Verdana"/>
          <w:b/>
          <w:sz w:val="20"/>
        </w:rPr>
      </w:pPr>
      <w:r>
        <w:rPr>
          <w:rFonts w:ascii="Verdana" w:hAnsi="Verdana"/>
          <w:b/>
          <w:sz w:val="20"/>
        </w:rPr>
        <w:t>Restriction</w:t>
      </w:r>
    </w:p>
    <w:p w14:paraId="7A7237A9" w14:textId="0ACE4C21" w:rsidR="00DB4575" w:rsidRDefault="00DB4575" w:rsidP="00AA701C">
      <w:pPr>
        <w:spacing w:after="0"/>
        <w:jc w:val="both"/>
        <w:rPr>
          <w:rFonts w:ascii="Verdana" w:hAnsi="Verdana"/>
          <w:b/>
          <w:sz w:val="20"/>
        </w:rPr>
      </w:pPr>
    </w:p>
    <w:p w14:paraId="4A2DE2EB" w14:textId="1C9BC756" w:rsidR="00C4429A" w:rsidRDefault="00DB4575" w:rsidP="00AA701C">
      <w:pPr>
        <w:spacing w:after="0"/>
        <w:jc w:val="both"/>
        <w:rPr>
          <w:rFonts w:ascii="Verdana" w:hAnsi="Verdana"/>
          <w:sz w:val="20"/>
        </w:rPr>
      </w:pPr>
      <w:r>
        <w:rPr>
          <w:rFonts w:ascii="Verdana" w:hAnsi="Verdana"/>
          <w:sz w:val="20"/>
        </w:rPr>
        <w:t xml:space="preserve">Restriction can be introduced when there </w:t>
      </w:r>
      <w:r w:rsidR="00367272">
        <w:rPr>
          <w:rFonts w:ascii="Verdana" w:hAnsi="Verdana"/>
          <w:sz w:val="20"/>
        </w:rPr>
        <w:t>is an</w:t>
      </w:r>
      <w:r>
        <w:rPr>
          <w:rFonts w:ascii="Verdana" w:hAnsi="Verdana"/>
          <w:sz w:val="20"/>
        </w:rPr>
        <w:t xml:space="preserve"> unacceptable risk to human health and/or the environment</w:t>
      </w:r>
      <w:r w:rsidR="00367272">
        <w:rPr>
          <w:rFonts w:ascii="Verdana" w:hAnsi="Verdana"/>
          <w:sz w:val="20"/>
        </w:rPr>
        <w:t>, arising</w:t>
      </w:r>
      <w:r>
        <w:rPr>
          <w:rFonts w:ascii="Verdana" w:hAnsi="Verdana"/>
          <w:sz w:val="20"/>
        </w:rPr>
        <w:t xml:space="preserve"> from the manufacture, placing on the market (including imports) or use of the substance</w:t>
      </w:r>
      <w:r w:rsidR="00367272">
        <w:rPr>
          <w:rFonts w:ascii="Verdana" w:hAnsi="Verdana"/>
          <w:sz w:val="20"/>
        </w:rPr>
        <w:t>s</w:t>
      </w:r>
      <w:r>
        <w:rPr>
          <w:rFonts w:ascii="Verdana" w:hAnsi="Verdana"/>
          <w:sz w:val="20"/>
        </w:rPr>
        <w:t xml:space="preserve">, which needs to be addressed on a Community-wide basis. </w:t>
      </w:r>
      <w:r w:rsidR="00367272">
        <w:rPr>
          <w:rFonts w:ascii="Verdana" w:hAnsi="Verdana"/>
          <w:sz w:val="20"/>
        </w:rPr>
        <w:t xml:space="preserve">A restriction may apply to any substance on its own, in a mixture or in an article. Restriction procedure also </w:t>
      </w:r>
      <w:proofErr w:type="gramStart"/>
      <w:r w:rsidR="00367272">
        <w:rPr>
          <w:rFonts w:ascii="Verdana" w:hAnsi="Verdana"/>
          <w:sz w:val="20"/>
        </w:rPr>
        <w:t xml:space="preserve">takes </w:t>
      </w:r>
      <w:r w:rsidR="003664D5">
        <w:rPr>
          <w:rFonts w:ascii="Verdana" w:hAnsi="Verdana"/>
          <w:sz w:val="20"/>
        </w:rPr>
        <w:t xml:space="preserve">into </w:t>
      </w:r>
      <w:r w:rsidR="00367272">
        <w:rPr>
          <w:rFonts w:ascii="Verdana" w:hAnsi="Verdana"/>
          <w:sz w:val="20"/>
        </w:rPr>
        <w:t>account</w:t>
      </w:r>
      <w:proofErr w:type="gramEnd"/>
      <w:r w:rsidR="00367272">
        <w:rPr>
          <w:rFonts w:ascii="Verdana" w:hAnsi="Verdana"/>
          <w:sz w:val="20"/>
        </w:rPr>
        <w:t xml:space="preserve"> the socioeconomic impact of the restriction, including the availability of alternatives. If </w:t>
      </w:r>
      <w:r w:rsidR="00CB3D22">
        <w:rPr>
          <w:rFonts w:ascii="Verdana" w:hAnsi="Verdana"/>
          <w:sz w:val="20"/>
        </w:rPr>
        <w:t>it can be</w:t>
      </w:r>
      <w:r w:rsidR="00367272">
        <w:rPr>
          <w:rFonts w:ascii="Verdana" w:hAnsi="Verdana"/>
          <w:sz w:val="20"/>
        </w:rPr>
        <w:t xml:space="preserve"> demonstrated </w:t>
      </w:r>
      <w:r w:rsidR="00CB3D22">
        <w:rPr>
          <w:rFonts w:ascii="Verdana" w:hAnsi="Verdana"/>
          <w:sz w:val="20"/>
        </w:rPr>
        <w:t>that there is a</w:t>
      </w:r>
      <w:r w:rsidR="00367272">
        <w:rPr>
          <w:rFonts w:ascii="Verdana" w:hAnsi="Verdana"/>
          <w:sz w:val="20"/>
        </w:rPr>
        <w:t xml:space="preserve"> Community-wide risk, which is not adequately controlled for certain uses of substance</w:t>
      </w:r>
      <w:r w:rsidR="009555C9">
        <w:rPr>
          <w:rFonts w:ascii="Verdana" w:hAnsi="Verdana"/>
          <w:sz w:val="20"/>
        </w:rPr>
        <w:t>s</w:t>
      </w:r>
      <w:r w:rsidR="00CB3D22">
        <w:rPr>
          <w:rFonts w:ascii="Verdana" w:hAnsi="Verdana"/>
          <w:sz w:val="20"/>
        </w:rPr>
        <w:t xml:space="preserve">, a restriction process according to </w:t>
      </w:r>
      <w:r w:rsidR="008B5460">
        <w:rPr>
          <w:rFonts w:ascii="Verdana" w:hAnsi="Verdana"/>
          <w:sz w:val="20"/>
        </w:rPr>
        <w:t xml:space="preserve">REACH </w:t>
      </w:r>
      <w:r w:rsidR="00CB3D22">
        <w:rPr>
          <w:rFonts w:ascii="Verdana" w:hAnsi="Verdana"/>
          <w:sz w:val="20"/>
        </w:rPr>
        <w:t xml:space="preserve">Articles 69(1) and 69(4) should be started. </w:t>
      </w:r>
    </w:p>
    <w:p w14:paraId="58DD94B4" w14:textId="77777777" w:rsidR="00C4429A" w:rsidRDefault="00C4429A" w:rsidP="00AA701C">
      <w:pPr>
        <w:spacing w:after="0"/>
        <w:jc w:val="both"/>
        <w:rPr>
          <w:rFonts w:ascii="Verdana" w:hAnsi="Verdana"/>
          <w:sz w:val="20"/>
        </w:rPr>
      </w:pPr>
    </w:p>
    <w:p w14:paraId="2A77A4EC" w14:textId="1679E949" w:rsidR="00503694" w:rsidRDefault="00FF6940" w:rsidP="00AA701C">
      <w:pPr>
        <w:spacing w:after="0"/>
        <w:jc w:val="both"/>
        <w:rPr>
          <w:rFonts w:ascii="Verdana" w:hAnsi="Verdana"/>
          <w:sz w:val="20"/>
        </w:rPr>
      </w:pPr>
      <w:r>
        <w:rPr>
          <w:rFonts w:ascii="Verdana" w:hAnsi="Verdana"/>
          <w:sz w:val="20"/>
        </w:rPr>
        <w:t xml:space="preserve">Heat transfer use in closed system would probably not warrant a restriction </w:t>
      </w:r>
      <w:r w:rsidR="00301BC8">
        <w:rPr>
          <w:rFonts w:ascii="Verdana" w:hAnsi="Verdana"/>
          <w:sz w:val="20"/>
        </w:rPr>
        <w:t>as such</w:t>
      </w:r>
      <w:r>
        <w:rPr>
          <w:rFonts w:ascii="Verdana" w:hAnsi="Verdana"/>
          <w:sz w:val="20"/>
        </w:rPr>
        <w:t>.</w:t>
      </w:r>
      <w:r w:rsidR="00301BC8">
        <w:rPr>
          <w:rFonts w:ascii="Verdana" w:hAnsi="Verdana"/>
          <w:sz w:val="20"/>
        </w:rPr>
        <w:t xml:space="preserve"> However, exposure and emissions to the environment may still be possible, for example, during transport, refilling and disposal of HTFs. A potential restriction could </w:t>
      </w:r>
      <w:r w:rsidR="000D4FFE">
        <w:rPr>
          <w:rFonts w:ascii="Verdana" w:hAnsi="Verdana"/>
          <w:sz w:val="20"/>
        </w:rPr>
        <w:t xml:space="preserve">e.g. </w:t>
      </w:r>
      <w:r w:rsidR="00301BC8">
        <w:rPr>
          <w:rFonts w:ascii="Verdana" w:hAnsi="Verdana"/>
          <w:sz w:val="20"/>
        </w:rPr>
        <w:t>define mandatory containment measures that industrial sites should implement to prevent environmental emissions from HTF systems.</w:t>
      </w:r>
      <w:r>
        <w:rPr>
          <w:rFonts w:ascii="Verdana" w:hAnsi="Verdana"/>
          <w:sz w:val="20"/>
        </w:rPr>
        <w:t xml:space="preserve"> For other </w:t>
      </w:r>
      <w:r w:rsidR="00BA54E7">
        <w:rPr>
          <w:rFonts w:ascii="Verdana" w:hAnsi="Verdana"/>
          <w:sz w:val="20"/>
        </w:rPr>
        <w:t xml:space="preserve">current or </w:t>
      </w:r>
      <w:r>
        <w:rPr>
          <w:rFonts w:ascii="Verdana" w:hAnsi="Verdana"/>
          <w:sz w:val="20"/>
        </w:rPr>
        <w:t>potential industrial, professional or consumer uses</w:t>
      </w:r>
      <w:r w:rsidR="006B048F">
        <w:rPr>
          <w:rFonts w:ascii="Verdana" w:hAnsi="Verdana"/>
          <w:sz w:val="20"/>
        </w:rPr>
        <w:t xml:space="preserve"> </w:t>
      </w:r>
      <w:r>
        <w:rPr>
          <w:rFonts w:ascii="Verdana" w:hAnsi="Verdana"/>
          <w:sz w:val="20"/>
        </w:rPr>
        <w:t>of these alternative heat trans</w:t>
      </w:r>
      <w:r w:rsidR="00295D4B">
        <w:rPr>
          <w:rFonts w:ascii="Verdana" w:hAnsi="Verdana"/>
          <w:sz w:val="20"/>
        </w:rPr>
        <w:t>f</w:t>
      </w:r>
      <w:r>
        <w:rPr>
          <w:rFonts w:ascii="Verdana" w:hAnsi="Verdana"/>
          <w:sz w:val="20"/>
        </w:rPr>
        <w:t>er fluids as well as for terphenyl, hydrogenated</w:t>
      </w:r>
      <w:r w:rsidR="006B048F">
        <w:rPr>
          <w:rFonts w:ascii="Verdana" w:hAnsi="Verdana"/>
          <w:sz w:val="20"/>
        </w:rPr>
        <w:t xml:space="preserve"> itself</w:t>
      </w:r>
      <w:r>
        <w:rPr>
          <w:rFonts w:ascii="Verdana" w:hAnsi="Verdana"/>
          <w:sz w:val="20"/>
        </w:rPr>
        <w:t xml:space="preserve">, </w:t>
      </w:r>
      <w:r w:rsidR="009D06F7">
        <w:rPr>
          <w:rFonts w:ascii="Verdana" w:hAnsi="Verdana"/>
          <w:sz w:val="20"/>
        </w:rPr>
        <w:t xml:space="preserve">further </w:t>
      </w:r>
      <w:r w:rsidR="009F6947">
        <w:rPr>
          <w:rFonts w:ascii="Verdana" w:hAnsi="Verdana"/>
          <w:sz w:val="20"/>
        </w:rPr>
        <w:t>work would be necessary in order</w:t>
      </w:r>
      <w:r>
        <w:rPr>
          <w:rFonts w:ascii="Verdana" w:hAnsi="Verdana"/>
          <w:sz w:val="20"/>
        </w:rPr>
        <w:t xml:space="preserve"> to demonstrate</w:t>
      </w:r>
      <w:r w:rsidR="00A63A54">
        <w:rPr>
          <w:rFonts w:ascii="Verdana" w:hAnsi="Verdana"/>
          <w:sz w:val="20"/>
        </w:rPr>
        <w:t xml:space="preserve"> whether there is a</w:t>
      </w:r>
      <w:r>
        <w:rPr>
          <w:rFonts w:ascii="Verdana" w:hAnsi="Verdana"/>
          <w:sz w:val="20"/>
        </w:rPr>
        <w:t xml:space="preserve"> Community-wide risk as no measured data on discharges or monitoring data for environmental concentrations </w:t>
      </w:r>
      <w:r w:rsidR="00672BA6">
        <w:rPr>
          <w:rFonts w:ascii="Verdana" w:hAnsi="Verdana"/>
          <w:sz w:val="20"/>
        </w:rPr>
        <w:t xml:space="preserve">are </w:t>
      </w:r>
      <w:r w:rsidR="009F6947">
        <w:rPr>
          <w:rFonts w:ascii="Verdana" w:hAnsi="Verdana"/>
          <w:sz w:val="20"/>
        </w:rPr>
        <w:t xml:space="preserve">currently </w:t>
      </w:r>
      <w:r>
        <w:rPr>
          <w:rFonts w:ascii="Verdana" w:hAnsi="Verdana"/>
          <w:sz w:val="20"/>
        </w:rPr>
        <w:t>available.</w:t>
      </w:r>
      <w:r w:rsidR="00BA54E7">
        <w:rPr>
          <w:rFonts w:ascii="Verdana" w:hAnsi="Verdana"/>
          <w:sz w:val="20"/>
        </w:rPr>
        <w:t xml:space="preserve"> </w:t>
      </w:r>
      <w:r w:rsidR="009F6947">
        <w:rPr>
          <w:rFonts w:ascii="Verdana" w:hAnsi="Verdana"/>
          <w:sz w:val="20"/>
        </w:rPr>
        <w:t>It should be noted, however, given that PBTs/</w:t>
      </w:r>
      <w:proofErr w:type="spellStart"/>
      <w:r w:rsidR="009F6947">
        <w:rPr>
          <w:rFonts w:ascii="Verdana" w:hAnsi="Verdana"/>
          <w:sz w:val="20"/>
        </w:rPr>
        <w:t>vPvBs</w:t>
      </w:r>
      <w:proofErr w:type="spellEnd"/>
      <w:r w:rsidR="009F6947">
        <w:rPr>
          <w:rFonts w:ascii="Verdana" w:hAnsi="Verdana"/>
          <w:sz w:val="20"/>
        </w:rPr>
        <w:t xml:space="preserve"> are treated as non-threshold substances for the purpose of risk management under REACH, even small levels of environmental emissions could be </w:t>
      </w:r>
      <w:proofErr w:type="gramStart"/>
      <w:r w:rsidR="009F6947">
        <w:rPr>
          <w:rFonts w:ascii="Verdana" w:hAnsi="Verdana"/>
          <w:sz w:val="20"/>
        </w:rPr>
        <w:t>sufficient</w:t>
      </w:r>
      <w:proofErr w:type="gramEnd"/>
      <w:r w:rsidR="009F6947">
        <w:rPr>
          <w:rFonts w:ascii="Verdana" w:hAnsi="Verdana"/>
          <w:sz w:val="20"/>
        </w:rPr>
        <w:t xml:space="preserve"> to demonstrate a risk.</w:t>
      </w:r>
    </w:p>
    <w:p w14:paraId="2BFA01E5" w14:textId="77777777" w:rsidR="00503694" w:rsidRDefault="00503694" w:rsidP="00AA701C">
      <w:pPr>
        <w:spacing w:after="0"/>
        <w:jc w:val="both"/>
        <w:rPr>
          <w:rFonts w:ascii="Verdana" w:hAnsi="Verdana"/>
          <w:sz w:val="20"/>
        </w:rPr>
      </w:pPr>
    </w:p>
    <w:p w14:paraId="41714F06" w14:textId="4085FD83" w:rsidR="000C6A83" w:rsidRDefault="003664D5" w:rsidP="00AA701C">
      <w:pPr>
        <w:spacing w:after="0"/>
        <w:jc w:val="both"/>
        <w:rPr>
          <w:rFonts w:ascii="Verdana" w:hAnsi="Verdana"/>
          <w:sz w:val="20"/>
        </w:rPr>
      </w:pPr>
      <w:r>
        <w:rPr>
          <w:rFonts w:ascii="Verdana" w:hAnsi="Verdana"/>
          <w:sz w:val="20"/>
        </w:rPr>
        <w:t xml:space="preserve">A restriction as a risk management measure has the advantage that it can be targeted at the uses posing a risk. In case it </w:t>
      </w:r>
      <w:r w:rsidR="0039658D">
        <w:rPr>
          <w:rFonts w:ascii="Verdana" w:hAnsi="Verdana"/>
          <w:sz w:val="20"/>
        </w:rPr>
        <w:t>is</w:t>
      </w:r>
      <w:r>
        <w:rPr>
          <w:rFonts w:ascii="Verdana" w:hAnsi="Verdana"/>
          <w:sz w:val="20"/>
        </w:rPr>
        <w:t xml:space="preserve"> </w:t>
      </w:r>
      <w:r w:rsidR="00222906">
        <w:rPr>
          <w:rFonts w:ascii="Verdana" w:hAnsi="Verdana"/>
          <w:sz w:val="20"/>
        </w:rPr>
        <w:t>shown</w:t>
      </w:r>
      <w:r>
        <w:rPr>
          <w:rFonts w:ascii="Verdana" w:hAnsi="Verdana"/>
          <w:sz w:val="20"/>
        </w:rPr>
        <w:t xml:space="preserve"> that other uses than HTF cause risk, the uses giving rise to risks could be restricted. In the case of authori</w:t>
      </w:r>
      <w:r w:rsidR="0039658D">
        <w:rPr>
          <w:rFonts w:ascii="Verdana" w:hAnsi="Verdana"/>
          <w:sz w:val="20"/>
        </w:rPr>
        <w:t>s</w:t>
      </w:r>
      <w:r>
        <w:rPr>
          <w:rFonts w:ascii="Verdana" w:hAnsi="Verdana"/>
          <w:sz w:val="20"/>
        </w:rPr>
        <w:t>ation this is not that straightforward; in practice it is possible to exempt from authori</w:t>
      </w:r>
      <w:r w:rsidR="0039658D">
        <w:rPr>
          <w:rFonts w:ascii="Verdana" w:hAnsi="Verdana"/>
          <w:sz w:val="20"/>
        </w:rPr>
        <w:t>s</w:t>
      </w:r>
      <w:r>
        <w:rPr>
          <w:rFonts w:ascii="Verdana" w:hAnsi="Verdana"/>
          <w:sz w:val="20"/>
        </w:rPr>
        <w:t>ation only uses where the risk is properly controlled based on specific union-wide legislation imposing minimum requirements</w:t>
      </w:r>
      <w:r w:rsidRPr="00E71BF9">
        <w:t xml:space="preserve"> </w:t>
      </w:r>
      <w:r w:rsidRPr="00C37C37">
        <w:rPr>
          <w:rFonts w:ascii="Verdana" w:hAnsi="Verdana"/>
          <w:sz w:val="20"/>
        </w:rPr>
        <w:t>to the protection of human health or the environment</w:t>
      </w:r>
      <w:r>
        <w:rPr>
          <w:rFonts w:ascii="Verdana" w:hAnsi="Verdana"/>
          <w:sz w:val="20"/>
        </w:rPr>
        <w:t xml:space="preserve">. Therefore, if </w:t>
      </w:r>
      <w:r w:rsidRPr="00E71BF9">
        <w:rPr>
          <w:rFonts w:ascii="Verdana" w:hAnsi="Verdana"/>
          <w:sz w:val="20"/>
        </w:rPr>
        <w:t xml:space="preserve">6-(1-phenylethyl)-1,2,3,4-tetrahydronaphthalene </w:t>
      </w:r>
      <w:r>
        <w:rPr>
          <w:rFonts w:ascii="Verdana" w:hAnsi="Verdana"/>
          <w:sz w:val="20"/>
        </w:rPr>
        <w:t xml:space="preserve">and/or </w:t>
      </w:r>
      <w:r w:rsidRPr="00E71BF9">
        <w:rPr>
          <w:rFonts w:ascii="Verdana" w:hAnsi="Verdana"/>
          <w:sz w:val="20"/>
        </w:rPr>
        <w:t xml:space="preserve">dibenzylbenzene, </w:t>
      </w:r>
      <w:proofErr w:type="spellStart"/>
      <w:r w:rsidRPr="00E71BF9">
        <w:rPr>
          <w:rFonts w:ascii="Verdana" w:hAnsi="Verdana"/>
          <w:sz w:val="20"/>
        </w:rPr>
        <w:t>ar</w:t>
      </w:r>
      <w:proofErr w:type="spellEnd"/>
      <w:r w:rsidRPr="00E71BF9">
        <w:rPr>
          <w:rFonts w:ascii="Verdana" w:hAnsi="Verdana"/>
          <w:sz w:val="20"/>
        </w:rPr>
        <w:t>-methyl derivative</w:t>
      </w:r>
      <w:r>
        <w:rPr>
          <w:rFonts w:ascii="Verdana" w:hAnsi="Verdana"/>
          <w:sz w:val="20"/>
        </w:rPr>
        <w:t xml:space="preserve"> </w:t>
      </w:r>
      <w:r w:rsidR="00C74C23">
        <w:rPr>
          <w:rFonts w:ascii="Verdana" w:hAnsi="Verdana"/>
          <w:sz w:val="20"/>
        </w:rPr>
        <w:t>is</w:t>
      </w:r>
      <w:r>
        <w:rPr>
          <w:rFonts w:ascii="Verdana" w:hAnsi="Verdana"/>
          <w:sz w:val="20"/>
        </w:rPr>
        <w:t xml:space="preserve"> </w:t>
      </w:r>
      <w:r w:rsidR="00222906">
        <w:rPr>
          <w:rFonts w:ascii="Verdana" w:hAnsi="Verdana"/>
          <w:sz w:val="20"/>
        </w:rPr>
        <w:t>included in</w:t>
      </w:r>
      <w:r>
        <w:rPr>
          <w:rFonts w:ascii="Verdana" w:hAnsi="Verdana"/>
          <w:sz w:val="20"/>
        </w:rPr>
        <w:t xml:space="preserve"> Annex XIV to REACH, also users </w:t>
      </w:r>
      <w:r w:rsidR="00913AC1">
        <w:rPr>
          <w:rFonts w:ascii="Verdana" w:hAnsi="Verdana"/>
          <w:sz w:val="20"/>
        </w:rPr>
        <w:t>who have only closed system uses</w:t>
      </w:r>
      <w:r>
        <w:rPr>
          <w:rFonts w:ascii="Verdana" w:hAnsi="Verdana"/>
          <w:sz w:val="20"/>
        </w:rPr>
        <w:t xml:space="preserve"> and minimal risks</w:t>
      </w:r>
      <w:r w:rsidR="00913AC1">
        <w:rPr>
          <w:rFonts w:ascii="Verdana" w:hAnsi="Verdana"/>
          <w:sz w:val="20"/>
        </w:rPr>
        <w:t xml:space="preserve"> from their uses of these substance,</w:t>
      </w:r>
      <w:r>
        <w:rPr>
          <w:rFonts w:ascii="Verdana" w:hAnsi="Verdana"/>
          <w:sz w:val="20"/>
        </w:rPr>
        <w:t xml:space="preserve"> would have to apply for authori</w:t>
      </w:r>
      <w:r w:rsidR="0039658D">
        <w:rPr>
          <w:rFonts w:ascii="Verdana" w:hAnsi="Verdana"/>
          <w:sz w:val="20"/>
        </w:rPr>
        <w:t>s</w:t>
      </w:r>
      <w:r>
        <w:rPr>
          <w:rFonts w:ascii="Verdana" w:hAnsi="Verdana"/>
          <w:sz w:val="20"/>
        </w:rPr>
        <w:t>ation</w:t>
      </w:r>
      <w:r w:rsidR="00BA54E7">
        <w:rPr>
          <w:rFonts w:ascii="Verdana" w:hAnsi="Verdana"/>
          <w:sz w:val="20"/>
        </w:rPr>
        <w:t xml:space="preserve">. </w:t>
      </w:r>
      <w:r w:rsidR="008B5460">
        <w:rPr>
          <w:rFonts w:ascii="Verdana" w:hAnsi="Verdana"/>
          <w:sz w:val="20"/>
        </w:rPr>
        <w:t>However, a</w:t>
      </w:r>
      <w:r w:rsidR="00BA54E7">
        <w:rPr>
          <w:rFonts w:ascii="Verdana" w:hAnsi="Verdana"/>
          <w:sz w:val="20"/>
        </w:rPr>
        <w:t xml:space="preserve">s </w:t>
      </w:r>
      <w:r w:rsidR="00A03D89">
        <w:rPr>
          <w:rFonts w:ascii="Verdana" w:hAnsi="Verdana"/>
          <w:sz w:val="20"/>
        </w:rPr>
        <w:t>substances</w:t>
      </w:r>
      <w:r w:rsidR="0039658D">
        <w:rPr>
          <w:rFonts w:ascii="Verdana" w:hAnsi="Verdana"/>
          <w:sz w:val="20"/>
        </w:rPr>
        <w:t xml:space="preserve"> discussed in this RMOA</w:t>
      </w:r>
      <w:r w:rsidR="00672BA6">
        <w:rPr>
          <w:rFonts w:ascii="Verdana" w:hAnsi="Verdana"/>
          <w:sz w:val="20"/>
        </w:rPr>
        <w:t xml:space="preserve"> </w:t>
      </w:r>
      <w:r w:rsidR="00BA54E7">
        <w:rPr>
          <w:rFonts w:ascii="Verdana" w:hAnsi="Verdana"/>
          <w:sz w:val="20"/>
        </w:rPr>
        <w:t>are either identified or suspected PBT/</w:t>
      </w:r>
      <w:proofErr w:type="spellStart"/>
      <w:r w:rsidR="00BA54E7">
        <w:rPr>
          <w:rFonts w:ascii="Verdana" w:hAnsi="Verdana"/>
          <w:sz w:val="20"/>
        </w:rPr>
        <w:t>vPvB</w:t>
      </w:r>
      <w:proofErr w:type="spellEnd"/>
      <w:r w:rsidR="00BA54E7">
        <w:rPr>
          <w:rFonts w:ascii="Verdana" w:hAnsi="Verdana"/>
          <w:sz w:val="20"/>
        </w:rPr>
        <w:t xml:space="preserve"> substances, </w:t>
      </w:r>
      <w:r w:rsidR="0039658D">
        <w:rPr>
          <w:rFonts w:ascii="Verdana" w:hAnsi="Verdana"/>
          <w:sz w:val="20"/>
        </w:rPr>
        <w:t>exemption</w:t>
      </w:r>
      <w:r w:rsidR="00C74C23">
        <w:rPr>
          <w:rFonts w:ascii="Verdana" w:hAnsi="Verdana"/>
          <w:sz w:val="20"/>
        </w:rPr>
        <w:t xml:space="preserve"> of </w:t>
      </w:r>
      <w:r w:rsidR="00A03D89">
        <w:rPr>
          <w:rFonts w:ascii="Verdana" w:hAnsi="Verdana"/>
          <w:sz w:val="20"/>
        </w:rPr>
        <w:t>any uses</w:t>
      </w:r>
      <w:r w:rsidR="0039658D">
        <w:rPr>
          <w:rFonts w:ascii="Verdana" w:hAnsi="Verdana"/>
          <w:sz w:val="20"/>
        </w:rPr>
        <w:t xml:space="preserve"> from </w:t>
      </w:r>
      <w:r w:rsidR="008B5460">
        <w:rPr>
          <w:rFonts w:ascii="Verdana" w:hAnsi="Verdana"/>
          <w:sz w:val="20"/>
        </w:rPr>
        <w:t xml:space="preserve">potential </w:t>
      </w:r>
      <w:r w:rsidR="0039658D">
        <w:rPr>
          <w:rFonts w:ascii="Verdana" w:hAnsi="Verdana"/>
          <w:sz w:val="20"/>
        </w:rPr>
        <w:t>restriction</w:t>
      </w:r>
      <w:r w:rsidR="00C74C23">
        <w:rPr>
          <w:rFonts w:ascii="Verdana" w:hAnsi="Verdana"/>
          <w:sz w:val="20"/>
        </w:rPr>
        <w:t xml:space="preserve"> </w:t>
      </w:r>
      <w:r w:rsidR="00BA54E7">
        <w:rPr>
          <w:rFonts w:ascii="Verdana" w:hAnsi="Verdana"/>
          <w:sz w:val="20"/>
        </w:rPr>
        <w:t>would</w:t>
      </w:r>
      <w:r w:rsidR="0039658D">
        <w:rPr>
          <w:rFonts w:ascii="Verdana" w:hAnsi="Verdana"/>
          <w:sz w:val="20"/>
        </w:rPr>
        <w:t xml:space="preserve"> only</w:t>
      </w:r>
      <w:r w:rsidR="00BA54E7">
        <w:rPr>
          <w:rFonts w:ascii="Verdana" w:hAnsi="Verdana"/>
          <w:sz w:val="20"/>
        </w:rPr>
        <w:t xml:space="preserve"> </w:t>
      </w:r>
      <w:r w:rsidR="00BA54E7">
        <w:rPr>
          <w:rFonts w:ascii="Verdana" w:hAnsi="Verdana"/>
          <w:sz w:val="20"/>
        </w:rPr>
        <w:lastRenderedPageBreak/>
        <w:t xml:space="preserve">be acceptable if it can be demonstrated that there </w:t>
      </w:r>
      <w:r w:rsidR="00503694">
        <w:rPr>
          <w:rFonts w:ascii="Verdana" w:hAnsi="Verdana"/>
          <w:sz w:val="20"/>
        </w:rPr>
        <w:t xml:space="preserve">is </w:t>
      </w:r>
      <w:r w:rsidR="00BA54E7">
        <w:rPr>
          <w:rFonts w:ascii="Verdana" w:hAnsi="Verdana"/>
          <w:sz w:val="20"/>
        </w:rPr>
        <w:t>l</w:t>
      </w:r>
      <w:r w:rsidR="00295D4B">
        <w:rPr>
          <w:rFonts w:ascii="Verdana" w:hAnsi="Verdana"/>
          <w:sz w:val="20"/>
        </w:rPr>
        <w:t>i</w:t>
      </w:r>
      <w:r w:rsidR="00BA54E7">
        <w:rPr>
          <w:rFonts w:ascii="Verdana" w:hAnsi="Verdana"/>
          <w:sz w:val="20"/>
        </w:rPr>
        <w:t>mited exposure to the environment</w:t>
      </w:r>
      <w:r w:rsidR="00503694">
        <w:rPr>
          <w:rFonts w:ascii="Verdana" w:hAnsi="Verdana"/>
          <w:sz w:val="20"/>
        </w:rPr>
        <w:t xml:space="preserve"> </w:t>
      </w:r>
      <w:r w:rsidR="00FE2A59">
        <w:rPr>
          <w:rFonts w:ascii="Verdana" w:hAnsi="Verdana"/>
          <w:sz w:val="20"/>
        </w:rPr>
        <w:t xml:space="preserve">from </w:t>
      </w:r>
      <w:r w:rsidR="00A03D89">
        <w:rPr>
          <w:rFonts w:ascii="Verdana" w:hAnsi="Verdana"/>
          <w:sz w:val="20"/>
        </w:rPr>
        <w:t xml:space="preserve">the full lifecycle </w:t>
      </w:r>
      <w:r w:rsidR="00C74C23">
        <w:rPr>
          <w:rFonts w:ascii="Verdana" w:hAnsi="Verdana"/>
          <w:sz w:val="20"/>
        </w:rPr>
        <w:t>of these substances</w:t>
      </w:r>
      <w:r w:rsidR="00A03D89">
        <w:rPr>
          <w:rFonts w:ascii="Verdana" w:hAnsi="Verdana"/>
          <w:sz w:val="20"/>
        </w:rPr>
        <w:t xml:space="preserve"> for </w:t>
      </w:r>
      <w:r w:rsidR="008B5460">
        <w:rPr>
          <w:rFonts w:ascii="Verdana" w:hAnsi="Verdana"/>
          <w:sz w:val="20"/>
        </w:rPr>
        <w:t xml:space="preserve">these </w:t>
      </w:r>
      <w:r w:rsidR="00A03D89">
        <w:rPr>
          <w:rFonts w:ascii="Verdana" w:hAnsi="Verdana"/>
          <w:sz w:val="20"/>
        </w:rPr>
        <w:t>specific uses</w:t>
      </w:r>
      <w:r w:rsidR="00C74C23">
        <w:rPr>
          <w:rFonts w:ascii="Verdana" w:hAnsi="Verdana"/>
          <w:sz w:val="20"/>
        </w:rPr>
        <w:t>.</w:t>
      </w:r>
      <w:r w:rsidR="000C6A83">
        <w:rPr>
          <w:rFonts w:ascii="Verdana" w:hAnsi="Verdana"/>
          <w:sz w:val="20"/>
        </w:rPr>
        <w:t xml:space="preserve"> </w:t>
      </w:r>
    </w:p>
    <w:p w14:paraId="3F7BD6F1" w14:textId="77777777" w:rsidR="007D0587" w:rsidRDefault="007D0587" w:rsidP="00AA701C">
      <w:pPr>
        <w:spacing w:after="0"/>
        <w:jc w:val="both"/>
        <w:rPr>
          <w:rFonts w:ascii="Verdana" w:hAnsi="Verdana"/>
          <w:sz w:val="20"/>
        </w:rPr>
      </w:pPr>
    </w:p>
    <w:p w14:paraId="5DECE6D5" w14:textId="7B0BCE8F" w:rsidR="007D0587" w:rsidRPr="007D0587" w:rsidRDefault="007D0587" w:rsidP="007D0587">
      <w:pPr>
        <w:pStyle w:val="Luettelokappale"/>
        <w:numPr>
          <w:ilvl w:val="0"/>
          <w:numId w:val="46"/>
        </w:numPr>
        <w:spacing w:after="0"/>
        <w:jc w:val="both"/>
        <w:rPr>
          <w:rFonts w:ascii="Verdana" w:hAnsi="Verdana"/>
          <w:b/>
          <w:sz w:val="20"/>
        </w:rPr>
      </w:pPr>
      <w:r w:rsidRPr="007D0587">
        <w:rPr>
          <w:rFonts w:ascii="Verdana" w:hAnsi="Verdana"/>
          <w:b/>
          <w:sz w:val="20"/>
        </w:rPr>
        <w:t>Classification and labelling (CLP-regulation)</w:t>
      </w:r>
    </w:p>
    <w:p w14:paraId="4B136FED" w14:textId="0F0043A1" w:rsidR="00B57F3A" w:rsidRDefault="00B57F3A" w:rsidP="00AA701C">
      <w:pPr>
        <w:spacing w:after="0"/>
        <w:jc w:val="both"/>
        <w:rPr>
          <w:rFonts w:ascii="Verdana" w:hAnsi="Verdana"/>
          <w:sz w:val="20"/>
          <w:szCs w:val="20"/>
        </w:rPr>
      </w:pPr>
    </w:p>
    <w:p w14:paraId="182F3EBF" w14:textId="50088D2F" w:rsidR="007D0587" w:rsidRDefault="007D0587" w:rsidP="00AA701C">
      <w:pPr>
        <w:spacing w:after="0"/>
        <w:jc w:val="both"/>
        <w:rPr>
          <w:rFonts w:ascii="Verdana" w:hAnsi="Verdana"/>
          <w:sz w:val="20"/>
          <w:szCs w:val="20"/>
        </w:rPr>
      </w:pPr>
      <w:r>
        <w:rPr>
          <w:rFonts w:ascii="Verdana" w:hAnsi="Verdana"/>
          <w:sz w:val="20"/>
        </w:rPr>
        <w:t>D</w:t>
      </w:r>
      <w:r w:rsidRPr="00106D5A">
        <w:rPr>
          <w:rFonts w:ascii="Verdana" w:hAnsi="Verdana"/>
          <w:sz w:val="20"/>
        </w:rPr>
        <w:t xml:space="preserve">ibenzylbenzene, </w:t>
      </w:r>
      <w:proofErr w:type="spellStart"/>
      <w:r w:rsidRPr="00106D5A">
        <w:rPr>
          <w:rFonts w:ascii="Verdana" w:hAnsi="Verdana"/>
          <w:sz w:val="20"/>
        </w:rPr>
        <w:t>ar</w:t>
      </w:r>
      <w:proofErr w:type="spellEnd"/>
      <w:r w:rsidRPr="00106D5A">
        <w:rPr>
          <w:rFonts w:ascii="Verdana" w:hAnsi="Verdana"/>
          <w:sz w:val="20"/>
        </w:rPr>
        <w:t>-methyl derivat</w:t>
      </w:r>
      <w:r>
        <w:rPr>
          <w:rFonts w:ascii="Verdana" w:hAnsi="Verdana"/>
          <w:sz w:val="20"/>
        </w:rPr>
        <w:t>iv</w:t>
      </w:r>
      <w:r w:rsidRPr="00106D5A">
        <w:rPr>
          <w:rFonts w:ascii="Verdana" w:hAnsi="Verdana"/>
          <w:sz w:val="20"/>
        </w:rPr>
        <w:t>e</w:t>
      </w:r>
      <w:r>
        <w:rPr>
          <w:rFonts w:ascii="Verdana" w:hAnsi="Verdana"/>
          <w:sz w:val="20"/>
        </w:rPr>
        <w:t xml:space="preserve"> is currently classified as </w:t>
      </w:r>
      <w:r>
        <w:rPr>
          <w:rFonts w:ascii="Verdana" w:hAnsi="Verdana"/>
          <w:sz w:val="20"/>
          <w:szCs w:val="20"/>
        </w:rPr>
        <w:t xml:space="preserve">Asp. Tox. 1 (H304) and Aquatic Chronic 4 (H413) and </w:t>
      </w:r>
      <w:bookmarkStart w:id="41" w:name="_Hlk23169833"/>
      <w:r w:rsidR="000317A7" w:rsidRPr="000317A7">
        <w:rPr>
          <w:rFonts w:ascii="Verdana" w:hAnsi="Verdana"/>
          <w:sz w:val="20"/>
        </w:rPr>
        <w:t>6-(1-phenylethyl)-1,2,3,4-tetrahydronaphthalene</w:t>
      </w:r>
      <w:bookmarkEnd w:id="41"/>
      <w:r>
        <w:rPr>
          <w:rFonts w:ascii="Verdana" w:hAnsi="Verdana"/>
          <w:sz w:val="20"/>
        </w:rPr>
        <w:t xml:space="preserve"> as </w:t>
      </w:r>
      <w:r>
        <w:rPr>
          <w:rFonts w:ascii="Verdana" w:hAnsi="Verdana"/>
          <w:sz w:val="20"/>
          <w:szCs w:val="20"/>
        </w:rPr>
        <w:t xml:space="preserve">Aquatic Acute 1 (H400) and Aquatic Chronic 1 (H410) in the </w:t>
      </w:r>
      <w:r w:rsidR="004068E3">
        <w:rPr>
          <w:rFonts w:ascii="Verdana" w:hAnsi="Verdana"/>
          <w:sz w:val="20"/>
          <w:szCs w:val="20"/>
        </w:rPr>
        <w:t>substance factsheet</w:t>
      </w:r>
      <w:r w:rsidR="00135BE1">
        <w:rPr>
          <w:rFonts w:ascii="Verdana" w:hAnsi="Verdana"/>
          <w:sz w:val="20"/>
          <w:szCs w:val="20"/>
        </w:rPr>
        <w:t>s</w:t>
      </w:r>
      <w:r>
        <w:rPr>
          <w:rFonts w:ascii="Verdana" w:hAnsi="Verdana"/>
          <w:sz w:val="20"/>
          <w:szCs w:val="20"/>
        </w:rPr>
        <w:t xml:space="preserve">. </w:t>
      </w:r>
      <w:r w:rsidR="00913AC1">
        <w:rPr>
          <w:rFonts w:ascii="Verdana" w:hAnsi="Verdana"/>
          <w:sz w:val="20"/>
          <w:szCs w:val="20"/>
        </w:rPr>
        <w:t>When</w:t>
      </w:r>
      <w:r>
        <w:rPr>
          <w:rFonts w:ascii="Verdana" w:hAnsi="Verdana"/>
          <w:sz w:val="20"/>
          <w:szCs w:val="20"/>
        </w:rPr>
        <w:t xml:space="preserve"> </w:t>
      </w:r>
      <w:r w:rsidR="0042796C">
        <w:rPr>
          <w:rFonts w:ascii="Verdana" w:hAnsi="Verdana"/>
          <w:sz w:val="20"/>
          <w:szCs w:val="20"/>
        </w:rPr>
        <w:t xml:space="preserve">the </w:t>
      </w:r>
      <w:r>
        <w:rPr>
          <w:rFonts w:ascii="Verdana" w:hAnsi="Verdana"/>
          <w:sz w:val="20"/>
          <w:szCs w:val="20"/>
        </w:rPr>
        <w:t xml:space="preserve">information requested in </w:t>
      </w:r>
      <w:r w:rsidR="00913AC1">
        <w:rPr>
          <w:rFonts w:ascii="Verdana" w:hAnsi="Verdana"/>
          <w:sz w:val="20"/>
          <w:szCs w:val="20"/>
        </w:rPr>
        <w:t xml:space="preserve">the </w:t>
      </w:r>
      <w:r>
        <w:rPr>
          <w:rFonts w:ascii="Verdana" w:hAnsi="Verdana"/>
          <w:sz w:val="20"/>
          <w:szCs w:val="20"/>
        </w:rPr>
        <w:t>CCH</w:t>
      </w:r>
      <w:r w:rsidR="00913AC1">
        <w:rPr>
          <w:rFonts w:ascii="Verdana" w:hAnsi="Verdana"/>
          <w:sz w:val="20"/>
          <w:szCs w:val="20"/>
        </w:rPr>
        <w:t xml:space="preserve"> decision</w:t>
      </w:r>
      <w:r>
        <w:rPr>
          <w:rFonts w:ascii="Verdana" w:hAnsi="Verdana"/>
          <w:sz w:val="20"/>
          <w:szCs w:val="20"/>
        </w:rPr>
        <w:t xml:space="preserve"> is </w:t>
      </w:r>
      <w:r w:rsidR="0042796C">
        <w:rPr>
          <w:rFonts w:ascii="Verdana" w:hAnsi="Verdana"/>
          <w:sz w:val="20"/>
          <w:szCs w:val="20"/>
        </w:rPr>
        <w:t xml:space="preserve">available </w:t>
      </w:r>
      <w:r>
        <w:rPr>
          <w:rFonts w:ascii="Verdana" w:hAnsi="Verdana"/>
          <w:sz w:val="20"/>
          <w:szCs w:val="20"/>
        </w:rPr>
        <w:t xml:space="preserve">for </w:t>
      </w:r>
      <w:r w:rsidR="00135BE1">
        <w:rPr>
          <w:rFonts w:ascii="Verdana" w:hAnsi="Verdana"/>
          <w:sz w:val="20"/>
          <w:szCs w:val="20"/>
        </w:rPr>
        <w:t>d</w:t>
      </w:r>
      <w:r w:rsidRPr="007D0587">
        <w:rPr>
          <w:rFonts w:ascii="Verdana" w:hAnsi="Verdana"/>
          <w:sz w:val="20"/>
          <w:szCs w:val="20"/>
        </w:rPr>
        <w:t xml:space="preserve">ibenzylbenzene, </w:t>
      </w:r>
      <w:proofErr w:type="spellStart"/>
      <w:r w:rsidRPr="007D0587">
        <w:rPr>
          <w:rFonts w:ascii="Verdana" w:hAnsi="Verdana"/>
          <w:sz w:val="20"/>
          <w:szCs w:val="20"/>
        </w:rPr>
        <w:t>ar</w:t>
      </w:r>
      <w:proofErr w:type="spellEnd"/>
      <w:r w:rsidRPr="007D0587">
        <w:rPr>
          <w:rFonts w:ascii="Verdana" w:hAnsi="Verdana"/>
          <w:sz w:val="20"/>
          <w:szCs w:val="20"/>
        </w:rPr>
        <w:t>-methyl derivative</w:t>
      </w:r>
      <w:r w:rsidR="0042796C">
        <w:rPr>
          <w:rFonts w:ascii="Verdana" w:hAnsi="Verdana"/>
          <w:sz w:val="20"/>
          <w:szCs w:val="20"/>
        </w:rPr>
        <w:t>,</w:t>
      </w:r>
      <w:r>
        <w:rPr>
          <w:rFonts w:ascii="Verdana" w:hAnsi="Verdana"/>
          <w:sz w:val="20"/>
          <w:szCs w:val="20"/>
        </w:rPr>
        <w:t xml:space="preserve"> </w:t>
      </w:r>
      <w:r w:rsidR="00BA54E7">
        <w:rPr>
          <w:rFonts w:ascii="Verdana" w:hAnsi="Verdana"/>
          <w:sz w:val="20"/>
          <w:szCs w:val="20"/>
        </w:rPr>
        <w:t>the need to update the</w:t>
      </w:r>
      <w:r w:rsidR="0042796C">
        <w:rPr>
          <w:rFonts w:ascii="Verdana" w:hAnsi="Verdana"/>
          <w:sz w:val="20"/>
          <w:szCs w:val="20"/>
        </w:rPr>
        <w:t xml:space="preserve"> </w:t>
      </w:r>
      <w:r>
        <w:rPr>
          <w:rFonts w:ascii="Verdana" w:hAnsi="Verdana"/>
          <w:sz w:val="20"/>
          <w:szCs w:val="20"/>
        </w:rPr>
        <w:t xml:space="preserve">classification </w:t>
      </w:r>
      <w:r w:rsidR="00BA54E7">
        <w:rPr>
          <w:rFonts w:ascii="Verdana" w:hAnsi="Verdana"/>
          <w:sz w:val="20"/>
          <w:szCs w:val="20"/>
        </w:rPr>
        <w:t xml:space="preserve">will </w:t>
      </w:r>
      <w:r w:rsidR="00135BE1">
        <w:rPr>
          <w:rFonts w:ascii="Verdana" w:hAnsi="Verdana"/>
          <w:sz w:val="20"/>
          <w:szCs w:val="20"/>
        </w:rPr>
        <w:t>have</w:t>
      </w:r>
      <w:r w:rsidR="00BA54E7">
        <w:rPr>
          <w:rFonts w:ascii="Verdana" w:hAnsi="Verdana"/>
          <w:sz w:val="20"/>
          <w:szCs w:val="20"/>
        </w:rPr>
        <w:t xml:space="preserve"> to be assessed</w:t>
      </w:r>
      <w:r>
        <w:rPr>
          <w:rFonts w:ascii="Verdana" w:hAnsi="Verdana"/>
          <w:sz w:val="20"/>
          <w:szCs w:val="20"/>
        </w:rPr>
        <w:t xml:space="preserve">. However, for the risk management purposes, </w:t>
      </w:r>
      <w:r w:rsidR="001B698D">
        <w:rPr>
          <w:rFonts w:ascii="Verdana" w:hAnsi="Verdana"/>
          <w:sz w:val="20"/>
          <w:szCs w:val="20"/>
        </w:rPr>
        <w:t>for example</w:t>
      </w:r>
      <w:r w:rsidR="00295D4B">
        <w:rPr>
          <w:rFonts w:ascii="Verdana" w:hAnsi="Verdana"/>
          <w:sz w:val="20"/>
          <w:szCs w:val="20"/>
        </w:rPr>
        <w:t>,</w:t>
      </w:r>
      <w:r w:rsidR="001B698D">
        <w:rPr>
          <w:rFonts w:ascii="Verdana" w:hAnsi="Verdana"/>
          <w:sz w:val="20"/>
          <w:szCs w:val="20"/>
        </w:rPr>
        <w:t xml:space="preserve"> </w:t>
      </w:r>
      <w:r w:rsidR="003E2BF0">
        <w:rPr>
          <w:rFonts w:ascii="Verdana" w:hAnsi="Verdana"/>
          <w:sz w:val="20"/>
          <w:szCs w:val="20"/>
        </w:rPr>
        <w:t xml:space="preserve">even a </w:t>
      </w:r>
      <w:proofErr w:type="spellStart"/>
      <w:r w:rsidR="003E2BF0">
        <w:rPr>
          <w:rFonts w:ascii="Verdana" w:hAnsi="Verdana"/>
          <w:sz w:val="20"/>
          <w:szCs w:val="20"/>
        </w:rPr>
        <w:t>self classification</w:t>
      </w:r>
      <w:proofErr w:type="spellEnd"/>
      <w:r w:rsidR="003E2BF0">
        <w:rPr>
          <w:rFonts w:ascii="Verdana" w:hAnsi="Verdana"/>
          <w:sz w:val="20"/>
          <w:szCs w:val="20"/>
        </w:rPr>
        <w:t xml:space="preserve"> of Aquatic Chronic 4 would result</w:t>
      </w:r>
      <w:r w:rsidR="00295D4B">
        <w:rPr>
          <w:rFonts w:ascii="Verdana" w:hAnsi="Verdana"/>
          <w:sz w:val="20"/>
          <w:szCs w:val="20"/>
        </w:rPr>
        <w:t xml:space="preserve"> in</w:t>
      </w:r>
      <w:r w:rsidR="003E2BF0">
        <w:rPr>
          <w:rFonts w:ascii="Verdana" w:hAnsi="Verdana"/>
          <w:sz w:val="20"/>
          <w:szCs w:val="20"/>
        </w:rPr>
        <w:t xml:space="preserve"> a substance to be classified as hazardous waste under the Waste Framework Directive (see also point 5). </w:t>
      </w:r>
    </w:p>
    <w:p w14:paraId="4EA73BA9" w14:textId="77777777" w:rsidR="009555C9" w:rsidRDefault="009555C9" w:rsidP="00AA701C">
      <w:pPr>
        <w:spacing w:after="0"/>
        <w:jc w:val="both"/>
        <w:rPr>
          <w:rFonts w:ascii="Verdana" w:hAnsi="Verdana"/>
          <w:sz w:val="20"/>
          <w:szCs w:val="20"/>
        </w:rPr>
      </w:pPr>
    </w:p>
    <w:p w14:paraId="0DEE868C" w14:textId="1567047C" w:rsidR="003E2BF0" w:rsidRDefault="003E2BF0" w:rsidP="003E2BF0">
      <w:pPr>
        <w:pStyle w:val="Luettelokappale"/>
        <w:numPr>
          <w:ilvl w:val="0"/>
          <w:numId w:val="46"/>
        </w:numPr>
        <w:spacing w:after="0"/>
        <w:jc w:val="both"/>
        <w:rPr>
          <w:rFonts w:ascii="Verdana" w:hAnsi="Verdana"/>
          <w:b/>
          <w:sz w:val="20"/>
          <w:szCs w:val="20"/>
        </w:rPr>
      </w:pPr>
      <w:r w:rsidRPr="003E2BF0">
        <w:rPr>
          <w:rFonts w:ascii="Verdana" w:hAnsi="Verdana"/>
          <w:b/>
          <w:sz w:val="20"/>
          <w:szCs w:val="20"/>
        </w:rPr>
        <w:t>Water Framework Directive</w:t>
      </w:r>
      <w:r>
        <w:rPr>
          <w:rFonts w:ascii="Verdana" w:hAnsi="Verdana"/>
          <w:b/>
          <w:sz w:val="20"/>
          <w:szCs w:val="20"/>
        </w:rPr>
        <w:t xml:space="preserve"> (WFD)</w:t>
      </w:r>
      <w:r w:rsidRPr="003E2BF0">
        <w:rPr>
          <w:rFonts w:ascii="Verdana" w:hAnsi="Verdana"/>
          <w:b/>
          <w:sz w:val="20"/>
          <w:szCs w:val="20"/>
        </w:rPr>
        <w:t xml:space="preserve"> (2000/60/EC)</w:t>
      </w:r>
    </w:p>
    <w:p w14:paraId="718AE625" w14:textId="2E3A1F8B" w:rsidR="003E2BF0" w:rsidRDefault="003E2BF0" w:rsidP="003E2BF0">
      <w:pPr>
        <w:spacing w:after="0"/>
        <w:jc w:val="both"/>
        <w:rPr>
          <w:rFonts w:ascii="Verdana" w:hAnsi="Verdana"/>
          <w:b/>
          <w:sz w:val="20"/>
          <w:szCs w:val="20"/>
        </w:rPr>
      </w:pPr>
    </w:p>
    <w:p w14:paraId="06D8D6BD" w14:textId="79EA7445" w:rsidR="003E2BF0" w:rsidRDefault="003E2BF0" w:rsidP="003E2BF0">
      <w:pPr>
        <w:spacing w:after="0"/>
        <w:jc w:val="both"/>
        <w:rPr>
          <w:rFonts w:ascii="Verdana" w:hAnsi="Verdana"/>
          <w:sz w:val="20"/>
          <w:szCs w:val="20"/>
          <w:lang w:val="en-GB"/>
        </w:rPr>
      </w:pPr>
      <w:r w:rsidRPr="00B86A96">
        <w:rPr>
          <w:rFonts w:ascii="Verdana" w:hAnsi="Verdana"/>
          <w:sz w:val="20"/>
          <w:szCs w:val="20"/>
          <w:lang w:val="en-GB"/>
        </w:rPr>
        <w:t xml:space="preserve">WFD provides a framework for the protection of inland surface waters, transitional waters, coastal water and groundwater. It places duties on Member States to regulate the release of discharges into the aquatic environment when environmental quality objectives set by the Directive are not met. </w:t>
      </w:r>
      <w:r w:rsidRPr="002F26B8">
        <w:rPr>
          <w:rFonts w:ascii="Verdana" w:hAnsi="Verdana"/>
          <w:sz w:val="20"/>
          <w:szCs w:val="20"/>
          <w:lang w:val="en-GB"/>
        </w:rPr>
        <w:t>Environmental Quality Standards are set for substances tha</w:t>
      </w:r>
      <w:r>
        <w:rPr>
          <w:rFonts w:ascii="Verdana" w:hAnsi="Verdana"/>
          <w:sz w:val="20"/>
          <w:szCs w:val="20"/>
          <w:lang w:val="en-GB"/>
        </w:rPr>
        <w:t>t are identified as Priority Su</w:t>
      </w:r>
      <w:r w:rsidRPr="002F26B8">
        <w:rPr>
          <w:rFonts w:ascii="Verdana" w:hAnsi="Verdana"/>
          <w:sz w:val="20"/>
          <w:szCs w:val="20"/>
          <w:lang w:val="en-GB"/>
        </w:rPr>
        <w:t>b</w:t>
      </w:r>
      <w:r>
        <w:rPr>
          <w:rFonts w:ascii="Verdana" w:hAnsi="Verdana"/>
          <w:sz w:val="20"/>
          <w:szCs w:val="20"/>
          <w:lang w:val="en-GB"/>
        </w:rPr>
        <w:t>s</w:t>
      </w:r>
      <w:r w:rsidRPr="002F26B8">
        <w:rPr>
          <w:rFonts w:ascii="Verdana" w:hAnsi="Verdana"/>
          <w:sz w:val="20"/>
          <w:szCs w:val="20"/>
          <w:lang w:val="en-GB"/>
        </w:rPr>
        <w:t>tances</w:t>
      </w:r>
      <w:r w:rsidR="00913AC1">
        <w:rPr>
          <w:rFonts w:ascii="Verdana" w:hAnsi="Verdana"/>
          <w:sz w:val="20"/>
          <w:szCs w:val="20"/>
          <w:lang w:val="en-GB"/>
        </w:rPr>
        <w:t xml:space="preserve"> (PS)</w:t>
      </w:r>
      <w:r w:rsidRPr="002F26B8">
        <w:rPr>
          <w:rFonts w:ascii="Verdana" w:hAnsi="Verdana"/>
          <w:sz w:val="20"/>
          <w:szCs w:val="20"/>
          <w:lang w:val="en-GB"/>
        </w:rPr>
        <w:t xml:space="preserve"> and </w:t>
      </w:r>
      <w:r w:rsidRPr="00143A66">
        <w:rPr>
          <w:rFonts w:ascii="Verdana" w:hAnsi="Verdana"/>
          <w:sz w:val="20"/>
          <w:szCs w:val="20"/>
          <w:lang w:val="en-GB"/>
        </w:rPr>
        <w:t>Priority Hazardous Substances</w:t>
      </w:r>
      <w:r w:rsidR="00913AC1">
        <w:rPr>
          <w:rFonts w:ascii="Verdana" w:hAnsi="Verdana"/>
          <w:sz w:val="20"/>
          <w:szCs w:val="20"/>
          <w:lang w:val="en-GB"/>
        </w:rPr>
        <w:t xml:space="preserve"> (PHS)</w:t>
      </w:r>
      <w:r>
        <w:rPr>
          <w:rStyle w:val="Alaviitteenviite"/>
          <w:rFonts w:ascii="Verdana" w:hAnsi="Verdana"/>
          <w:sz w:val="20"/>
          <w:szCs w:val="20"/>
          <w:lang w:val="en-GB"/>
        </w:rPr>
        <w:footnoteReference w:id="10"/>
      </w:r>
      <w:r>
        <w:rPr>
          <w:rFonts w:ascii="Verdana" w:hAnsi="Verdana"/>
          <w:sz w:val="20"/>
          <w:szCs w:val="20"/>
          <w:lang w:val="en-GB"/>
        </w:rPr>
        <w:t>.</w:t>
      </w:r>
      <w:r w:rsidRPr="00143A66">
        <w:rPr>
          <w:rFonts w:ascii="Verdana" w:hAnsi="Verdana"/>
          <w:sz w:val="20"/>
          <w:szCs w:val="20"/>
          <w:lang w:val="en-GB"/>
        </w:rPr>
        <w:t xml:space="preserve"> The Directive itself does not provide any mechanisms to regulate emissions directly. Local emissions to the environment would be controlled by national measures including environmental permits. </w:t>
      </w:r>
      <w:r>
        <w:rPr>
          <w:rFonts w:ascii="Verdana" w:hAnsi="Verdana"/>
          <w:sz w:val="20"/>
          <w:szCs w:val="20"/>
          <w:lang w:val="en-GB"/>
        </w:rPr>
        <w:t xml:space="preserve">Neither of </w:t>
      </w:r>
      <w:r w:rsidR="008841C3">
        <w:rPr>
          <w:rFonts w:ascii="Verdana" w:hAnsi="Verdana"/>
          <w:sz w:val="20"/>
          <w:szCs w:val="20"/>
          <w:lang w:val="en-GB"/>
        </w:rPr>
        <w:t xml:space="preserve">the </w:t>
      </w:r>
      <w:r>
        <w:rPr>
          <w:rFonts w:ascii="Verdana" w:hAnsi="Verdana"/>
          <w:sz w:val="20"/>
          <w:szCs w:val="20"/>
          <w:lang w:val="en-GB"/>
        </w:rPr>
        <w:t xml:space="preserve">substances in this RMOA are </w:t>
      </w:r>
      <w:r w:rsidRPr="00B86A96">
        <w:rPr>
          <w:rFonts w:ascii="Verdana" w:hAnsi="Verdana"/>
          <w:sz w:val="20"/>
          <w:szCs w:val="20"/>
          <w:lang w:val="en-GB"/>
        </w:rPr>
        <w:t>Priority Substance</w:t>
      </w:r>
      <w:r>
        <w:rPr>
          <w:rFonts w:ascii="Verdana" w:hAnsi="Verdana"/>
          <w:sz w:val="20"/>
          <w:szCs w:val="20"/>
          <w:lang w:val="en-GB"/>
        </w:rPr>
        <w:t>s</w:t>
      </w:r>
      <w:r w:rsidRPr="00B86A96">
        <w:rPr>
          <w:rFonts w:ascii="Verdana" w:hAnsi="Verdana"/>
          <w:sz w:val="20"/>
          <w:szCs w:val="20"/>
          <w:lang w:val="en-GB"/>
        </w:rPr>
        <w:t xml:space="preserve"> or Priority Hazardous Substance</w:t>
      </w:r>
      <w:r>
        <w:rPr>
          <w:rFonts w:ascii="Verdana" w:hAnsi="Verdana"/>
          <w:sz w:val="20"/>
          <w:szCs w:val="20"/>
          <w:lang w:val="en-GB"/>
        </w:rPr>
        <w:t>s</w:t>
      </w:r>
      <w:r w:rsidR="00913AC1">
        <w:rPr>
          <w:rFonts w:ascii="Verdana" w:hAnsi="Verdana"/>
          <w:sz w:val="20"/>
          <w:szCs w:val="20"/>
          <w:lang w:val="en-GB"/>
        </w:rPr>
        <w:t xml:space="preserve">. </w:t>
      </w:r>
      <w:r>
        <w:rPr>
          <w:rFonts w:ascii="Verdana" w:hAnsi="Verdana"/>
          <w:sz w:val="20"/>
          <w:szCs w:val="20"/>
          <w:lang w:val="en-GB"/>
        </w:rPr>
        <w:t xml:space="preserve">Based on their hazardous properties they could be considered as Priority Hazardous Substances under WFD. The prioritisation of substances under WFD is, however, a </w:t>
      </w:r>
      <w:proofErr w:type="gramStart"/>
      <w:r>
        <w:rPr>
          <w:rFonts w:ascii="Verdana" w:hAnsi="Verdana"/>
          <w:sz w:val="20"/>
          <w:szCs w:val="20"/>
          <w:lang w:val="en-GB"/>
        </w:rPr>
        <w:t>risk based</w:t>
      </w:r>
      <w:proofErr w:type="gramEnd"/>
      <w:r>
        <w:rPr>
          <w:rFonts w:ascii="Verdana" w:hAnsi="Verdana"/>
          <w:sz w:val="20"/>
          <w:szCs w:val="20"/>
          <w:lang w:val="en-GB"/>
        </w:rPr>
        <w:t xml:space="preserve"> process</w:t>
      </w:r>
      <w:r w:rsidRPr="000F24E5">
        <w:rPr>
          <w:rFonts w:ascii="Verdana" w:hAnsi="Verdana"/>
          <w:sz w:val="20"/>
          <w:szCs w:val="20"/>
          <w:lang w:val="en-GB"/>
        </w:rPr>
        <w:t xml:space="preserve"> </w:t>
      </w:r>
      <w:r>
        <w:rPr>
          <w:rFonts w:ascii="Verdana" w:hAnsi="Verdana"/>
          <w:sz w:val="20"/>
          <w:szCs w:val="20"/>
          <w:lang w:val="en-GB"/>
        </w:rPr>
        <w:t>based usually on monitoring data in the water environments. Therefore</w:t>
      </w:r>
      <w:r w:rsidR="001C3092">
        <w:rPr>
          <w:rFonts w:ascii="Verdana" w:hAnsi="Verdana"/>
          <w:sz w:val="20"/>
          <w:szCs w:val="20"/>
          <w:lang w:val="en-GB"/>
        </w:rPr>
        <w:t>,</w:t>
      </w:r>
      <w:r>
        <w:rPr>
          <w:rFonts w:ascii="Verdana" w:hAnsi="Verdana"/>
          <w:sz w:val="20"/>
          <w:szCs w:val="20"/>
          <w:lang w:val="en-GB"/>
        </w:rPr>
        <w:t xml:space="preserve"> it is not likely that these substances would be prioritised as there are no environmental monitoring data available. In any case, the procedure</w:t>
      </w:r>
      <w:r w:rsidR="00913AC1">
        <w:rPr>
          <w:rFonts w:ascii="Verdana" w:hAnsi="Verdana"/>
          <w:sz w:val="20"/>
          <w:szCs w:val="20"/>
          <w:lang w:val="en-GB"/>
        </w:rPr>
        <w:t xml:space="preserve"> under WFD</w:t>
      </w:r>
      <w:r>
        <w:rPr>
          <w:rFonts w:ascii="Verdana" w:hAnsi="Verdana"/>
          <w:sz w:val="20"/>
          <w:szCs w:val="20"/>
          <w:lang w:val="en-GB"/>
        </w:rPr>
        <w:t xml:space="preserve"> would trigger no direct RMM.</w:t>
      </w:r>
    </w:p>
    <w:p w14:paraId="5C0CB932" w14:textId="6F29A9C6" w:rsidR="005D47BE" w:rsidRDefault="005D47BE" w:rsidP="003E2BF0">
      <w:pPr>
        <w:spacing w:after="0"/>
        <w:jc w:val="both"/>
        <w:rPr>
          <w:rFonts w:ascii="Verdana" w:hAnsi="Verdana"/>
          <w:sz w:val="20"/>
          <w:szCs w:val="20"/>
        </w:rPr>
      </w:pPr>
    </w:p>
    <w:p w14:paraId="2C62FF60" w14:textId="139735E5" w:rsidR="005D47BE" w:rsidRDefault="005D47BE" w:rsidP="005D47BE">
      <w:pPr>
        <w:pStyle w:val="Luettelokappale"/>
        <w:numPr>
          <w:ilvl w:val="0"/>
          <w:numId w:val="46"/>
        </w:numPr>
        <w:spacing w:after="0"/>
        <w:jc w:val="both"/>
        <w:rPr>
          <w:rFonts w:ascii="Verdana" w:hAnsi="Verdana"/>
          <w:b/>
          <w:sz w:val="20"/>
          <w:szCs w:val="20"/>
        </w:rPr>
      </w:pPr>
      <w:r w:rsidRPr="005D47BE">
        <w:rPr>
          <w:rFonts w:ascii="Verdana" w:hAnsi="Verdana"/>
          <w:b/>
          <w:sz w:val="20"/>
          <w:szCs w:val="20"/>
        </w:rPr>
        <w:t>Industrial Emissions Directive (2010/75/EU)</w:t>
      </w:r>
    </w:p>
    <w:p w14:paraId="2AFB594D" w14:textId="740B6E69" w:rsidR="005D47BE" w:rsidRDefault="005D47BE" w:rsidP="005D47BE">
      <w:pPr>
        <w:spacing w:after="0"/>
        <w:jc w:val="both"/>
        <w:rPr>
          <w:rFonts w:ascii="Verdana" w:hAnsi="Verdana"/>
          <w:b/>
          <w:sz w:val="20"/>
          <w:szCs w:val="20"/>
        </w:rPr>
      </w:pPr>
    </w:p>
    <w:p w14:paraId="7597A349" w14:textId="1A46B999" w:rsidR="005D47BE" w:rsidRDefault="005D47BE" w:rsidP="005D47BE">
      <w:pPr>
        <w:spacing w:after="0"/>
        <w:jc w:val="both"/>
        <w:rPr>
          <w:rFonts w:ascii="Verdana" w:hAnsi="Verdana"/>
          <w:sz w:val="20"/>
          <w:szCs w:val="20"/>
        </w:rPr>
      </w:pPr>
      <w:r w:rsidRPr="005D47BE">
        <w:rPr>
          <w:rFonts w:ascii="Verdana" w:hAnsi="Verdana"/>
          <w:sz w:val="20"/>
          <w:szCs w:val="20"/>
        </w:rPr>
        <w:t xml:space="preserve">Industrial </w:t>
      </w:r>
      <w:r>
        <w:rPr>
          <w:rFonts w:ascii="Verdana" w:hAnsi="Verdana"/>
          <w:sz w:val="20"/>
          <w:szCs w:val="20"/>
        </w:rPr>
        <w:t xml:space="preserve">Emissions Directive (IED) aims to achieve a high level of protection of human health and the environment by reducing the harmful industrial emissions across the EU, </w:t>
      </w:r>
      <w:proofErr w:type="gramStart"/>
      <w:r>
        <w:rPr>
          <w:rFonts w:ascii="Verdana" w:hAnsi="Verdana"/>
          <w:sz w:val="20"/>
          <w:szCs w:val="20"/>
        </w:rPr>
        <w:t>in particular through</w:t>
      </w:r>
      <w:proofErr w:type="gramEnd"/>
      <w:r>
        <w:rPr>
          <w:rFonts w:ascii="Verdana" w:hAnsi="Verdana"/>
          <w:sz w:val="20"/>
          <w:szCs w:val="20"/>
        </w:rPr>
        <w:t xml:space="preserve"> better application of Best available Techniques (BAT)</w:t>
      </w:r>
      <w:r>
        <w:rPr>
          <w:rStyle w:val="Alaviitteenviite"/>
          <w:rFonts w:ascii="Verdana" w:hAnsi="Verdana"/>
          <w:sz w:val="20"/>
          <w:szCs w:val="20"/>
        </w:rPr>
        <w:footnoteReference w:id="11"/>
      </w:r>
      <w:r>
        <w:rPr>
          <w:rFonts w:ascii="Verdana" w:hAnsi="Verdana"/>
          <w:sz w:val="20"/>
          <w:szCs w:val="20"/>
        </w:rPr>
        <w:t xml:space="preserve">. </w:t>
      </w:r>
      <w:r w:rsidRPr="005D47BE">
        <w:rPr>
          <w:rFonts w:ascii="Verdana" w:hAnsi="Verdana"/>
          <w:sz w:val="20"/>
          <w:szCs w:val="20"/>
        </w:rPr>
        <w:t>Around 50,000 installations undertaking the industrial activities listed in Annex I of the IED are required to operate in accordance with a permit (granted by the authorities in the Member States).</w:t>
      </w:r>
      <w:r>
        <w:rPr>
          <w:rFonts w:ascii="Verdana" w:hAnsi="Verdana"/>
          <w:sz w:val="20"/>
          <w:szCs w:val="20"/>
        </w:rPr>
        <w:t xml:space="preserve"> </w:t>
      </w:r>
      <w:r w:rsidRPr="005D47BE">
        <w:rPr>
          <w:rFonts w:ascii="Verdana" w:hAnsi="Verdana"/>
          <w:sz w:val="20"/>
          <w:szCs w:val="20"/>
        </w:rPr>
        <w:t xml:space="preserve">This permit should contain conditions set </w:t>
      </w:r>
      <w:r w:rsidR="00B17418">
        <w:rPr>
          <w:rFonts w:ascii="Verdana" w:hAnsi="Verdana"/>
          <w:sz w:val="20"/>
          <w:szCs w:val="20"/>
        </w:rPr>
        <w:t>under</w:t>
      </w:r>
      <w:r w:rsidRPr="005D47BE">
        <w:rPr>
          <w:rFonts w:ascii="Verdana" w:hAnsi="Verdana"/>
          <w:sz w:val="20"/>
          <w:szCs w:val="20"/>
        </w:rPr>
        <w:t xml:space="preserve"> the principles and provisions of the IED.</w:t>
      </w:r>
    </w:p>
    <w:p w14:paraId="19B89358" w14:textId="58F94799" w:rsidR="00F11B52" w:rsidRDefault="00F11B52" w:rsidP="005D47BE">
      <w:pPr>
        <w:spacing w:after="0"/>
        <w:jc w:val="both"/>
        <w:rPr>
          <w:rFonts w:ascii="Verdana" w:hAnsi="Verdana"/>
          <w:sz w:val="20"/>
          <w:szCs w:val="20"/>
        </w:rPr>
      </w:pPr>
    </w:p>
    <w:p w14:paraId="6E3C8DFF" w14:textId="77D416B1" w:rsidR="00F11B52" w:rsidRDefault="00A009E3" w:rsidP="005D47BE">
      <w:pPr>
        <w:spacing w:after="0"/>
        <w:jc w:val="both"/>
        <w:rPr>
          <w:rFonts w:ascii="Verdana" w:hAnsi="Verdana"/>
          <w:sz w:val="20"/>
          <w:szCs w:val="20"/>
        </w:rPr>
      </w:pPr>
      <w:r>
        <w:rPr>
          <w:rFonts w:ascii="Verdana" w:hAnsi="Verdana"/>
          <w:sz w:val="20"/>
          <w:szCs w:val="20"/>
        </w:rPr>
        <w:t xml:space="preserve">The manufacture of these heat transfer fluids </w:t>
      </w:r>
      <w:r w:rsidR="00B17418">
        <w:rPr>
          <w:rFonts w:ascii="Verdana" w:hAnsi="Verdana"/>
          <w:sz w:val="20"/>
          <w:szCs w:val="20"/>
        </w:rPr>
        <w:t>is</w:t>
      </w:r>
      <w:r>
        <w:rPr>
          <w:rFonts w:ascii="Verdana" w:hAnsi="Verdana"/>
          <w:sz w:val="20"/>
          <w:szCs w:val="20"/>
        </w:rPr>
        <w:t xml:space="preserve"> covered by the IED. </w:t>
      </w:r>
      <w:r w:rsidRPr="00A009E3">
        <w:rPr>
          <w:rFonts w:ascii="Verdana" w:hAnsi="Verdana"/>
          <w:sz w:val="20"/>
          <w:szCs w:val="20"/>
        </w:rPr>
        <w:t xml:space="preserve">However, as no Best Available Technique (BAT) reference documents related to the use of </w:t>
      </w:r>
      <w:r>
        <w:rPr>
          <w:rFonts w:ascii="Verdana" w:hAnsi="Verdana"/>
          <w:sz w:val="20"/>
          <w:szCs w:val="20"/>
        </w:rPr>
        <w:t>heat transfer fluids</w:t>
      </w:r>
      <w:r w:rsidRPr="00A009E3">
        <w:rPr>
          <w:rFonts w:ascii="Verdana" w:hAnsi="Verdana"/>
          <w:sz w:val="20"/>
          <w:szCs w:val="20"/>
        </w:rPr>
        <w:t xml:space="preserve"> are available, the IED is considered, for the time being,</w:t>
      </w:r>
      <w:r>
        <w:rPr>
          <w:rFonts w:ascii="Verdana" w:hAnsi="Verdana"/>
          <w:sz w:val="20"/>
          <w:szCs w:val="20"/>
        </w:rPr>
        <w:t xml:space="preserve"> </w:t>
      </w:r>
      <w:r w:rsidRPr="00A009E3">
        <w:rPr>
          <w:rFonts w:ascii="Verdana" w:hAnsi="Verdana"/>
          <w:sz w:val="20"/>
          <w:szCs w:val="20"/>
        </w:rPr>
        <w:t xml:space="preserve">of limited applicability for the risk management of </w:t>
      </w:r>
      <w:r w:rsidR="008841C3">
        <w:rPr>
          <w:rFonts w:ascii="Verdana" w:hAnsi="Verdana"/>
          <w:sz w:val="20"/>
          <w:szCs w:val="20"/>
        </w:rPr>
        <w:t xml:space="preserve">the </w:t>
      </w:r>
      <w:r>
        <w:rPr>
          <w:rFonts w:ascii="Verdana" w:hAnsi="Verdana"/>
          <w:sz w:val="20"/>
          <w:szCs w:val="20"/>
        </w:rPr>
        <w:t xml:space="preserve">substances referred </w:t>
      </w:r>
      <w:r w:rsidR="008841C3">
        <w:rPr>
          <w:rFonts w:ascii="Verdana" w:hAnsi="Verdana"/>
          <w:sz w:val="20"/>
          <w:szCs w:val="20"/>
        </w:rPr>
        <w:t xml:space="preserve">to </w:t>
      </w:r>
      <w:r>
        <w:rPr>
          <w:rFonts w:ascii="Verdana" w:hAnsi="Verdana"/>
          <w:sz w:val="20"/>
          <w:szCs w:val="20"/>
        </w:rPr>
        <w:t>in this RMOA</w:t>
      </w:r>
      <w:r w:rsidRPr="00A009E3">
        <w:rPr>
          <w:rFonts w:ascii="Verdana" w:hAnsi="Verdana"/>
          <w:sz w:val="20"/>
          <w:szCs w:val="20"/>
        </w:rPr>
        <w:t>.</w:t>
      </w:r>
      <w:r>
        <w:rPr>
          <w:rFonts w:ascii="Verdana" w:hAnsi="Verdana"/>
          <w:sz w:val="20"/>
          <w:szCs w:val="20"/>
        </w:rPr>
        <w:t xml:space="preserve"> </w:t>
      </w:r>
    </w:p>
    <w:p w14:paraId="5407CEE1" w14:textId="4A9861A8" w:rsidR="00A009E3" w:rsidRDefault="00A009E3" w:rsidP="005D47BE">
      <w:pPr>
        <w:spacing w:after="0"/>
        <w:jc w:val="both"/>
        <w:rPr>
          <w:rFonts w:ascii="Verdana" w:hAnsi="Verdana"/>
          <w:sz w:val="20"/>
          <w:szCs w:val="20"/>
        </w:rPr>
      </w:pPr>
    </w:p>
    <w:p w14:paraId="52E754A7" w14:textId="6AD343E6" w:rsidR="00A009E3" w:rsidRPr="00581BA5" w:rsidRDefault="00581BA5" w:rsidP="00581BA5">
      <w:pPr>
        <w:pStyle w:val="Luettelokappale"/>
        <w:numPr>
          <w:ilvl w:val="0"/>
          <w:numId w:val="46"/>
        </w:numPr>
        <w:spacing w:after="0"/>
        <w:jc w:val="both"/>
        <w:rPr>
          <w:rFonts w:ascii="Verdana" w:hAnsi="Verdana"/>
          <w:b/>
          <w:sz w:val="20"/>
          <w:szCs w:val="20"/>
        </w:rPr>
      </w:pPr>
      <w:r w:rsidRPr="00581BA5">
        <w:rPr>
          <w:rFonts w:ascii="Verdana" w:hAnsi="Verdana"/>
          <w:b/>
          <w:sz w:val="20"/>
          <w:szCs w:val="20"/>
        </w:rPr>
        <w:t>Waste Framework Directive (2008/98/EC)</w:t>
      </w:r>
    </w:p>
    <w:p w14:paraId="1AF8124E" w14:textId="39E30AE2" w:rsidR="00A009E3" w:rsidRDefault="00A009E3" w:rsidP="005D47BE">
      <w:pPr>
        <w:spacing w:after="0"/>
        <w:jc w:val="both"/>
        <w:rPr>
          <w:rFonts w:ascii="Verdana" w:hAnsi="Verdana"/>
          <w:sz w:val="20"/>
          <w:szCs w:val="20"/>
        </w:rPr>
      </w:pPr>
    </w:p>
    <w:p w14:paraId="5625640E" w14:textId="54BC6507" w:rsidR="00A009E3" w:rsidRDefault="00581BA5" w:rsidP="005D47BE">
      <w:pPr>
        <w:spacing w:after="0"/>
        <w:jc w:val="both"/>
        <w:rPr>
          <w:rFonts w:ascii="Verdana" w:hAnsi="Verdana"/>
          <w:sz w:val="20"/>
          <w:szCs w:val="20"/>
        </w:rPr>
      </w:pPr>
      <w:r>
        <w:rPr>
          <w:rFonts w:ascii="Verdana" w:hAnsi="Verdana"/>
          <w:sz w:val="20"/>
          <w:szCs w:val="20"/>
        </w:rPr>
        <w:lastRenderedPageBreak/>
        <w:t>As the heat transfer fluid use takes place in closed industrial system</w:t>
      </w:r>
      <w:r w:rsidRPr="007E472E">
        <w:rPr>
          <w:rFonts w:ascii="Verdana" w:hAnsi="Verdana"/>
          <w:sz w:val="20"/>
          <w:szCs w:val="20"/>
        </w:rPr>
        <w:t xml:space="preserve">, discharges to the environment are considered potentially significant mainly from the waste disposal phase. </w:t>
      </w:r>
      <w:r>
        <w:rPr>
          <w:rFonts w:ascii="Verdana" w:hAnsi="Verdana"/>
          <w:sz w:val="20"/>
          <w:szCs w:val="20"/>
        </w:rPr>
        <w:t>T</w:t>
      </w:r>
      <w:r w:rsidRPr="007E472E">
        <w:rPr>
          <w:rFonts w:ascii="Verdana" w:hAnsi="Verdana"/>
          <w:sz w:val="20"/>
          <w:szCs w:val="20"/>
        </w:rPr>
        <w:t>herefore</w:t>
      </w:r>
      <w:r>
        <w:rPr>
          <w:rFonts w:ascii="Verdana" w:hAnsi="Verdana"/>
          <w:sz w:val="20"/>
          <w:szCs w:val="20"/>
        </w:rPr>
        <w:t>,</w:t>
      </w:r>
      <w:r w:rsidRPr="007E472E">
        <w:rPr>
          <w:rFonts w:ascii="Verdana" w:hAnsi="Verdana"/>
          <w:sz w:val="20"/>
          <w:szCs w:val="20"/>
        </w:rPr>
        <w:t xml:space="preserve"> RMM</w:t>
      </w:r>
      <w:r>
        <w:rPr>
          <w:rFonts w:ascii="Verdana" w:hAnsi="Verdana"/>
          <w:sz w:val="20"/>
          <w:szCs w:val="20"/>
        </w:rPr>
        <w:t>s</w:t>
      </w:r>
      <w:r w:rsidRPr="007E472E">
        <w:rPr>
          <w:rFonts w:ascii="Verdana" w:hAnsi="Verdana"/>
          <w:sz w:val="20"/>
          <w:szCs w:val="20"/>
        </w:rPr>
        <w:t xml:space="preserve"> related </w:t>
      </w:r>
      <w:r w:rsidR="00B17418">
        <w:rPr>
          <w:rFonts w:ascii="Verdana" w:hAnsi="Verdana"/>
          <w:sz w:val="20"/>
          <w:szCs w:val="20"/>
        </w:rPr>
        <w:t>to</w:t>
      </w:r>
      <w:r w:rsidRPr="007E472E">
        <w:rPr>
          <w:rFonts w:ascii="Verdana" w:hAnsi="Verdana"/>
          <w:sz w:val="20"/>
          <w:szCs w:val="20"/>
        </w:rPr>
        <w:t xml:space="preserve"> waste management and disposal </w:t>
      </w:r>
      <w:r>
        <w:rPr>
          <w:rFonts w:ascii="Verdana" w:hAnsi="Verdana"/>
          <w:sz w:val="20"/>
          <w:szCs w:val="20"/>
        </w:rPr>
        <w:t xml:space="preserve">of </w:t>
      </w:r>
      <w:r w:rsidRPr="007E472E">
        <w:rPr>
          <w:rFonts w:ascii="Verdana" w:hAnsi="Verdana"/>
          <w:sz w:val="20"/>
          <w:szCs w:val="20"/>
        </w:rPr>
        <w:t xml:space="preserve">used heat transfer fluids and equipment </w:t>
      </w:r>
      <w:r>
        <w:rPr>
          <w:rFonts w:ascii="Verdana" w:hAnsi="Verdana"/>
          <w:sz w:val="20"/>
          <w:szCs w:val="20"/>
        </w:rPr>
        <w:t>are</w:t>
      </w:r>
      <w:r w:rsidRPr="007E472E">
        <w:rPr>
          <w:rFonts w:ascii="Verdana" w:hAnsi="Verdana"/>
          <w:sz w:val="20"/>
          <w:szCs w:val="20"/>
        </w:rPr>
        <w:t xml:space="preserve"> considered important.</w:t>
      </w:r>
    </w:p>
    <w:p w14:paraId="2F26FF83" w14:textId="06250807" w:rsidR="003A2CDF" w:rsidRDefault="003A2CDF" w:rsidP="005D47BE">
      <w:pPr>
        <w:spacing w:after="0"/>
        <w:jc w:val="both"/>
        <w:rPr>
          <w:rFonts w:ascii="Verdana" w:hAnsi="Verdana"/>
          <w:sz w:val="20"/>
          <w:szCs w:val="20"/>
        </w:rPr>
      </w:pPr>
    </w:p>
    <w:p w14:paraId="55B1BA4D" w14:textId="75924F75" w:rsidR="003A2CDF" w:rsidRDefault="003A2CDF" w:rsidP="005D47BE">
      <w:pPr>
        <w:spacing w:after="0"/>
        <w:jc w:val="both"/>
        <w:rPr>
          <w:rFonts w:ascii="Verdana" w:hAnsi="Verdana"/>
          <w:sz w:val="20"/>
          <w:szCs w:val="20"/>
        </w:rPr>
      </w:pPr>
      <w:r>
        <w:rPr>
          <w:rFonts w:ascii="Verdana" w:hAnsi="Verdana"/>
          <w:sz w:val="20"/>
          <w:szCs w:val="20"/>
        </w:rPr>
        <w:t>Waste Framework Directive (2008/98/EC) provides a general framework of waste management requirements and sets the basic waste management definitions for the EU</w:t>
      </w:r>
      <w:r>
        <w:rPr>
          <w:rStyle w:val="Alaviitteenviite"/>
          <w:rFonts w:ascii="Verdana" w:hAnsi="Verdana"/>
          <w:sz w:val="20"/>
          <w:szCs w:val="20"/>
        </w:rPr>
        <w:footnoteReference w:id="12"/>
      </w:r>
      <w:r>
        <w:rPr>
          <w:rFonts w:ascii="Verdana" w:hAnsi="Verdana"/>
          <w:sz w:val="20"/>
          <w:szCs w:val="20"/>
        </w:rPr>
        <w:t xml:space="preserve">. </w:t>
      </w:r>
      <w:r w:rsidR="0020436B" w:rsidRPr="0020436B">
        <w:rPr>
          <w:rFonts w:ascii="Verdana" w:hAnsi="Verdana"/>
          <w:sz w:val="20"/>
          <w:szCs w:val="20"/>
        </w:rPr>
        <w:t>The Directive requires that waste</w:t>
      </w:r>
      <w:r w:rsidR="001B1D1C">
        <w:rPr>
          <w:rFonts w:ascii="Verdana" w:hAnsi="Verdana"/>
          <w:sz w:val="20"/>
          <w:szCs w:val="20"/>
        </w:rPr>
        <w:t xml:space="preserve"> (including waste oils)</w:t>
      </w:r>
      <w:r w:rsidR="0020436B" w:rsidRPr="0020436B">
        <w:rPr>
          <w:rFonts w:ascii="Verdana" w:hAnsi="Verdana"/>
          <w:sz w:val="20"/>
          <w:szCs w:val="20"/>
        </w:rPr>
        <w:t xml:space="preserve"> </w:t>
      </w:r>
      <w:r w:rsidR="0020436B">
        <w:rPr>
          <w:rFonts w:ascii="Verdana" w:hAnsi="Verdana"/>
          <w:sz w:val="20"/>
          <w:szCs w:val="20"/>
        </w:rPr>
        <w:t>is</w:t>
      </w:r>
      <w:r w:rsidR="0020436B" w:rsidRPr="0020436B">
        <w:rPr>
          <w:rFonts w:ascii="Verdana" w:hAnsi="Verdana"/>
          <w:sz w:val="20"/>
          <w:szCs w:val="20"/>
        </w:rPr>
        <w:t xml:space="preserve"> managed without endangering human health and harming the environment, and </w:t>
      </w:r>
      <w:proofErr w:type="gramStart"/>
      <w:r w:rsidR="0020436B" w:rsidRPr="0020436B">
        <w:rPr>
          <w:rFonts w:ascii="Verdana" w:hAnsi="Verdana"/>
          <w:sz w:val="20"/>
          <w:szCs w:val="20"/>
        </w:rPr>
        <w:t>in particular without</w:t>
      </w:r>
      <w:proofErr w:type="gramEnd"/>
      <w:r w:rsidR="0020436B" w:rsidRPr="0020436B">
        <w:rPr>
          <w:rFonts w:ascii="Verdana" w:hAnsi="Verdana"/>
          <w:sz w:val="20"/>
          <w:szCs w:val="20"/>
        </w:rPr>
        <w:t xml:space="preserve"> risk to water, air, soil, plants or animals</w:t>
      </w:r>
      <w:r w:rsidR="0020436B">
        <w:rPr>
          <w:rFonts w:ascii="Verdana" w:hAnsi="Verdana"/>
          <w:sz w:val="20"/>
          <w:szCs w:val="20"/>
        </w:rPr>
        <w:t xml:space="preserve">. </w:t>
      </w:r>
      <w:r w:rsidR="001B1D1C" w:rsidRPr="00665F59">
        <w:rPr>
          <w:rFonts w:ascii="Verdana" w:hAnsi="Verdana"/>
          <w:sz w:val="20"/>
          <w:szCs w:val="20"/>
        </w:rPr>
        <w:t>Costs are borne by the waste producer or waste holder.</w:t>
      </w:r>
      <w:r w:rsidR="001B1D1C" w:rsidRPr="00665F59">
        <w:rPr>
          <w:rStyle w:val="Alaviitteenviite"/>
          <w:rFonts w:ascii="Verdana" w:hAnsi="Verdana"/>
          <w:sz w:val="20"/>
          <w:szCs w:val="20"/>
          <w:lang w:val="en"/>
        </w:rPr>
        <w:t xml:space="preserve"> </w:t>
      </w:r>
      <w:r w:rsidR="001B1D1C" w:rsidRPr="00665F59">
        <w:rPr>
          <w:rFonts w:ascii="Verdana" w:hAnsi="Verdana"/>
          <w:sz w:val="20"/>
          <w:szCs w:val="20"/>
          <w:lang w:val="en"/>
        </w:rPr>
        <w:t xml:space="preserve">Hazardous wastes pose a greater risk to the environment and human health than </w:t>
      </w:r>
      <w:proofErr w:type="spellStart"/>
      <w:proofErr w:type="gramStart"/>
      <w:r w:rsidR="001B1D1C" w:rsidRPr="00665F59">
        <w:rPr>
          <w:rFonts w:ascii="Verdana" w:hAnsi="Verdana"/>
          <w:sz w:val="20"/>
          <w:szCs w:val="20"/>
          <w:lang w:val="en"/>
        </w:rPr>
        <w:t>non hazardous</w:t>
      </w:r>
      <w:proofErr w:type="spellEnd"/>
      <w:proofErr w:type="gramEnd"/>
      <w:r w:rsidR="001B1D1C" w:rsidRPr="00665F59">
        <w:rPr>
          <w:rFonts w:ascii="Verdana" w:hAnsi="Verdana"/>
          <w:sz w:val="20"/>
          <w:szCs w:val="20"/>
          <w:lang w:val="en"/>
        </w:rPr>
        <w:t xml:space="preserve"> wastes and thus require a stricter control regime</w:t>
      </w:r>
      <w:r w:rsidR="001B1D1C">
        <w:rPr>
          <w:rFonts w:ascii="Verdana" w:hAnsi="Verdana"/>
          <w:sz w:val="20"/>
          <w:szCs w:val="20"/>
          <w:lang w:val="en"/>
        </w:rPr>
        <w:t xml:space="preserve"> as</w:t>
      </w:r>
      <w:r w:rsidR="001B1D1C" w:rsidRPr="00665F59">
        <w:rPr>
          <w:rFonts w:ascii="Verdana" w:hAnsi="Verdana"/>
          <w:sz w:val="20"/>
          <w:szCs w:val="20"/>
          <w:lang w:val="en"/>
        </w:rPr>
        <w:t xml:space="preserve"> laid down in particular in Articles 17 to 20 of </w:t>
      </w:r>
      <w:r w:rsidR="001B1D1C">
        <w:rPr>
          <w:rFonts w:ascii="Verdana" w:hAnsi="Verdana"/>
          <w:sz w:val="20"/>
          <w:szCs w:val="20"/>
          <w:lang w:val="en"/>
        </w:rPr>
        <w:t>the Directive</w:t>
      </w:r>
      <w:r w:rsidR="001B1D1C" w:rsidRPr="00665F59">
        <w:rPr>
          <w:rFonts w:ascii="Verdana" w:hAnsi="Verdana"/>
          <w:sz w:val="20"/>
          <w:szCs w:val="20"/>
          <w:lang w:val="en"/>
        </w:rPr>
        <w:t>. It provides additional labelling, record keeping, monitoring and control obligations from the "cradle to the grave", i.e., from the waste producer to the final disposal or recovery.</w:t>
      </w:r>
      <w:r w:rsidR="001B1D1C" w:rsidRPr="00665F59">
        <w:rPr>
          <w:rFonts w:ascii="Verdana" w:hAnsi="Verdana"/>
          <w:sz w:val="20"/>
          <w:szCs w:val="20"/>
          <w:lang w:val="en" w:eastAsia="fi-FI"/>
        </w:rPr>
        <w:t xml:space="preserve"> The classification into hazardous and </w:t>
      </w:r>
      <w:proofErr w:type="spellStart"/>
      <w:proofErr w:type="gramStart"/>
      <w:r w:rsidR="001B1D1C" w:rsidRPr="00665F59">
        <w:rPr>
          <w:rFonts w:ascii="Verdana" w:hAnsi="Verdana"/>
          <w:sz w:val="20"/>
          <w:szCs w:val="20"/>
          <w:lang w:val="en" w:eastAsia="fi-FI"/>
        </w:rPr>
        <w:t>non hazardous</w:t>
      </w:r>
      <w:proofErr w:type="spellEnd"/>
      <w:proofErr w:type="gramEnd"/>
      <w:r w:rsidR="001B1D1C" w:rsidRPr="00665F59">
        <w:rPr>
          <w:rFonts w:ascii="Verdana" w:hAnsi="Verdana"/>
          <w:sz w:val="20"/>
          <w:szCs w:val="20"/>
          <w:lang w:val="en" w:eastAsia="fi-FI"/>
        </w:rPr>
        <w:t xml:space="preserve"> waste is based on the system for the classification and labelling of </w:t>
      </w:r>
      <w:r w:rsidR="000744D5">
        <w:rPr>
          <w:rFonts w:ascii="Verdana" w:hAnsi="Verdana"/>
          <w:sz w:val="20"/>
          <w:szCs w:val="20"/>
          <w:lang w:val="en" w:eastAsia="fi-FI"/>
        </w:rPr>
        <w:t>hazardous</w:t>
      </w:r>
      <w:r w:rsidR="000744D5" w:rsidRPr="00665F59">
        <w:rPr>
          <w:rFonts w:ascii="Verdana" w:hAnsi="Verdana"/>
          <w:sz w:val="20"/>
          <w:szCs w:val="20"/>
          <w:lang w:val="en" w:eastAsia="fi-FI"/>
        </w:rPr>
        <w:t xml:space="preserve"> </w:t>
      </w:r>
      <w:r w:rsidR="001B1D1C" w:rsidRPr="00665F59">
        <w:rPr>
          <w:rFonts w:ascii="Verdana" w:hAnsi="Verdana"/>
          <w:sz w:val="20"/>
          <w:szCs w:val="20"/>
          <w:lang w:val="en" w:eastAsia="fi-FI"/>
        </w:rPr>
        <w:t xml:space="preserve">substances and </w:t>
      </w:r>
      <w:r w:rsidR="000744D5">
        <w:rPr>
          <w:rFonts w:ascii="Verdana" w:hAnsi="Verdana"/>
          <w:sz w:val="20"/>
          <w:szCs w:val="20"/>
          <w:lang w:val="en" w:eastAsia="fi-FI"/>
        </w:rPr>
        <w:t>mixtures (CLP Regulation 1272/2008)</w:t>
      </w:r>
      <w:r w:rsidR="001B1D1C" w:rsidRPr="00665F59">
        <w:rPr>
          <w:rFonts w:ascii="Verdana" w:hAnsi="Verdana"/>
          <w:sz w:val="20"/>
          <w:szCs w:val="20"/>
          <w:lang w:val="en" w:eastAsia="fi-FI"/>
        </w:rPr>
        <w:t>, which ensures the application of similar principles over their whole life cycle.</w:t>
      </w:r>
      <w:r w:rsidR="009D2406">
        <w:rPr>
          <w:rFonts w:ascii="Verdana" w:hAnsi="Verdana"/>
          <w:sz w:val="20"/>
          <w:szCs w:val="20"/>
          <w:lang w:val="en" w:eastAsia="fi-FI"/>
        </w:rPr>
        <w:t xml:space="preserve"> </w:t>
      </w:r>
      <w:r w:rsidR="009D2406" w:rsidRPr="009D2406">
        <w:rPr>
          <w:rFonts w:ascii="Verdana" w:hAnsi="Verdana"/>
          <w:sz w:val="20"/>
          <w:szCs w:val="20"/>
          <w:lang w:val="en" w:eastAsia="fi-FI"/>
        </w:rPr>
        <w:t>The properties which render waste hazardous are laid down in Annex III of Directive 2008/98/EC</w:t>
      </w:r>
      <w:r w:rsidR="009D2406">
        <w:rPr>
          <w:rFonts w:ascii="Verdana" w:hAnsi="Verdana"/>
          <w:sz w:val="20"/>
          <w:szCs w:val="20"/>
          <w:lang w:val="en" w:eastAsia="fi-FI"/>
        </w:rPr>
        <w:t xml:space="preserve">. </w:t>
      </w:r>
    </w:p>
    <w:p w14:paraId="0166AAD8" w14:textId="5AB4C5C8" w:rsidR="00546F40" w:rsidRDefault="00546F40" w:rsidP="005D47BE">
      <w:pPr>
        <w:spacing w:after="0"/>
        <w:jc w:val="both"/>
        <w:rPr>
          <w:rFonts w:ascii="Verdana" w:hAnsi="Verdana"/>
          <w:sz w:val="20"/>
          <w:szCs w:val="20"/>
        </w:rPr>
      </w:pPr>
    </w:p>
    <w:p w14:paraId="68D2951A" w14:textId="0178A3D7" w:rsidR="001C3F80" w:rsidRDefault="00324397" w:rsidP="00B415C9">
      <w:pPr>
        <w:spacing w:after="0"/>
        <w:jc w:val="both"/>
        <w:rPr>
          <w:rFonts w:ascii="Verdana" w:hAnsi="Verdana"/>
          <w:sz w:val="20"/>
        </w:rPr>
      </w:pPr>
      <w:r>
        <w:rPr>
          <w:rFonts w:ascii="Verdana" w:hAnsi="Verdana"/>
          <w:sz w:val="20"/>
          <w:szCs w:val="20"/>
        </w:rPr>
        <w:t xml:space="preserve">The criteria for waste, which presents or may present immediate or delayed risks for the environment (HP 14 “Ecotoxic”) </w:t>
      </w:r>
      <w:r w:rsidR="004A2A73">
        <w:rPr>
          <w:rFonts w:ascii="Verdana" w:hAnsi="Verdana"/>
          <w:sz w:val="20"/>
          <w:szCs w:val="20"/>
        </w:rPr>
        <w:t>is</w:t>
      </w:r>
      <w:r>
        <w:rPr>
          <w:rFonts w:ascii="Verdana" w:hAnsi="Verdana"/>
          <w:sz w:val="20"/>
          <w:szCs w:val="20"/>
        </w:rPr>
        <w:t xml:space="preserve"> defined in Annex III of </w:t>
      </w:r>
      <w:r w:rsidRPr="00665F59">
        <w:rPr>
          <w:rFonts w:ascii="Verdana" w:hAnsi="Verdana"/>
          <w:sz w:val="20"/>
          <w:szCs w:val="20"/>
          <w:lang w:val="en"/>
        </w:rPr>
        <w:t>Directive 2008/98/EC</w:t>
      </w:r>
      <w:r>
        <w:rPr>
          <w:rFonts w:ascii="Verdana" w:hAnsi="Verdana"/>
          <w:sz w:val="20"/>
          <w:szCs w:val="20"/>
        </w:rPr>
        <w:t xml:space="preserve">. Even with a current self-classification of Aquatic Chronic 4, </w:t>
      </w:r>
      <w:r>
        <w:rPr>
          <w:rFonts w:ascii="Verdana" w:hAnsi="Verdana"/>
          <w:sz w:val="20"/>
        </w:rPr>
        <w:t>d</w:t>
      </w:r>
      <w:r w:rsidRPr="00106D5A">
        <w:rPr>
          <w:rFonts w:ascii="Verdana" w:hAnsi="Verdana"/>
          <w:sz w:val="20"/>
        </w:rPr>
        <w:t xml:space="preserve">ibenzylbenzene, </w:t>
      </w:r>
      <w:proofErr w:type="spellStart"/>
      <w:r w:rsidRPr="00106D5A">
        <w:rPr>
          <w:rFonts w:ascii="Verdana" w:hAnsi="Verdana"/>
          <w:sz w:val="20"/>
        </w:rPr>
        <w:t>ar</w:t>
      </w:r>
      <w:proofErr w:type="spellEnd"/>
      <w:r w:rsidRPr="00106D5A">
        <w:rPr>
          <w:rFonts w:ascii="Verdana" w:hAnsi="Verdana"/>
          <w:sz w:val="20"/>
        </w:rPr>
        <w:t>-methyl derivat</w:t>
      </w:r>
      <w:r>
        <w:rPr>
          <w:rFonts w:ascii="Verdana" w:hAnsi="Verdana"/>
          <w:sz w:val="20"/>
        </w:rPr>
        <w:t>iv</w:t>
      </w:r>
      <w:r w:rsidRPr="00106D5A">
        <w:rPr>
          <w:rFonts w:ascii="Verdana" w:hAnsi="Verdana"/>
          <w:sz w:val="20"/>
        </w:rPr>
        <w:t>e</w:t>
      </w:r>
      <w:r>
        <w:rPr>
          <w:rFonts w:ascii="Verdana" w:hAnsi="Verdana"/>
          <w:sz w:val="20"/>
        </w:rPr>
        <w:t xml:space="preserve"> (≥ 25 %) would be classified as hazardous waste. </w:t>
      </w:r>
      <w:r w:rsidR="002251A7" w:rsidRPr="002251A7">
        <w:rPr>
          <w:rFonts w:ascii="Verdana" w:hAnsi="Verdana"/>
          <w:sz w:val="20"/>
        </w:rPr>
        <w:t>6-(1-phenylethyl)-1,2,3,4-tetrahydronaphthalene</w:t>
      </w:r>
      <w:r w:rsidR="002251A7">
        <w:rPr>
          <w:rFonts w:ascii="Verdana" w:hAnsi="Verdana"/>
          <w:sz w:val="20"/>
        </w:rPr>
        <w:t xml:space="preserve"> has even more stringent environmental self-classification </w:t>
      </w:r>
      <w:r w:rsidR="00D36E5B">
        <w:rPr>
          <w:rFonts w:ascii="Verdana" w:hAnsi="Verdana"/>
          <w:sz w:val="20"/>
        </w:rPr>
        <w:t>of</w:t>
      </w:r>
      <w:r w:rsidR="002251A7">
        <w:rPr>
          <w:rFonts w:ascii="Verdana" w:hAnsi="Verdana"/>
          <w:sz w:val="20"/>
        </w:rPr>
        <w:t xml:space="preserve"> </w:t>
      </w:r>
      <w:r w:rsidR="002251A7">
        <w:rPr>
          <w:rFonts w:ascii="Verdana" w:hAnsi="Verdana"/>
          <w:sz w:val="20"/>
          <w:szCs w:val="20"/>
        </w:rPr>
        <w:t xml:space="preserve">Aquatic Acute 1 and Aquatic Chronic 1. </w:t>
      </w:r>
      <w:r>
        <w:rPr>
          <w:rFonts w:ascii="Verdana" w:hAnsi="Verdana"/>
          <w:sz w:val="20"/>
        </w:rPr>
        <w:t xml:space="preserve"> </w:t>
      </w:r>
      <w:r w:rsidR="003A2CDF">
        <w:rPr>
          <w:rFonts w:ascii="Verdana" w:hAnsi="Verdana"/>
          <w:sz w:val="20"/>
        </w:rPr>
        <w:t xml:space="preserve">Thus, both substances in this RMOA are subject to be classified as hazardous waste and subject to RMM required </w:t>
      </w:r>
      <w:r w:rsidR="009D2406">
        <w:rPr>
          <w:rFonts w:ascii="Verdana" w:hAnsi="Verdana"/>
          <w:sz w:val="20"/>
        </w:rPr>
        <w:t>under the Waste Framework</w:t>
      </w:r>
      <w:r w:rsidR="003A2CDF">
        <w:rPr>
          <w:rFonts w:ascii="Verdana" w:hAnsi="Verdana"/>
          <w:sz w:val="20"/>
        </w:rPr>
        <w:t xml:space="preserve"> Directive. Directive 2008/98/EC requires a sound management of waste but would not directly prevent the emissions arising </w:t>
      </w:r>
      <w:proofErr w:type="spellStart"/>
      <w:r w:rsidR="001363A1">
        <w:rPr>
          <w:rFonts w:ascii="Verdana" w:hAnsi="Verdana"/>
          <w:sz w:val="20"/>
        </w:rPr>
        <w:t>eg.</w:t>
      </w:r>
      <w:proofErr w:type="spellEnd"/>
      <w:r w:rsidR="001363A1">
        <w:rPr>
          <w:rFonts w:ascii="Verdana" w:hAnsi="Verdana"/>
          <w:sz w:val="20"/>
        </w:rPr>
        <w:t xml:space="preserve"> </w:t>
      </w:r>
      <w:r w:rsidR="003A2CDF">
        <w:rPr>
          <w:rFonts w:ascii="Verdana" w:hAnsi="Verdana"/>
          <w:sz w:val="20"/>
        </w:rPr>
        <w:t>from disposal</w:t>
      </w:r>
      <w:r w:rsidR="003F55A4">
        <w:rPr>
          <w:rFonts w:ascii="Verdana" w:hAnsi="Verdana"/>
          <w:sz w:val="20"/>
        </w:rPr>
        <w:t xml:space="preserve">, </w:t>
      </w:r>
      <w:r w:rsidR="003A2CDF">
        <w:rPr>
          <w:rFonts w:ascii="Verdana" w:hAnsi="Verdana"/>
          <w:sz w:val="20"/>
        </w:rPr>
        <w:t>refilling phase</w:t>
      </w:r>
      <w:r w:rsidR="003F55A4">
        <w:rPr>
          <w:rFonts w:ascii="Verdana" w:hAnsi="Verdana"/>
          <w:sz w:val="20"/>
        </w:rPr>
        <w:t xml:space="preserve"> or cleaning of </w:t>
      </w:r>
      <w:r w:rsidR="00230C16">
        <w:rPr>
          <w:rFonts w:ascii="Verdana" w:hAnsi="Verdana"/>
          <w:sz w:val="20"/>
        </w:rPr>
        <w:t>equipment</w:t>
      </w:r>
      <w:r w:rsidR="003A2CDF">
        <w:rPr>
          <w:rFonts w:ascii="Verdana" w:hAnsi="Verdana"/>
          <w:sz w:val="20"/>
        </w:rPr>
        <w:t xml:space="preserve"> of heat transfer fluids.</w:t>
      </w:r>
    </w:p>
    <w:p w14:paraId="63D8A9E3" w14:textId="09FA633A" w:rsidR="00B415C9" w:rsidRDefault="00B415C9" w:rsidP="00B415C9">
      <w:pPr>
        <w:spacing w:after="0"/>
        <w:jc w:val="both"/>
        <w:rPr>
          <w:rFonts w:ascii="Verdana" w:hAnsi="Verdana"/>
          <w:sz w:val="20"/>
        </w:rPr>
      </w:pPr>
    </w:p>
    <w:p w14:paraId="65BD61EA" w14:textId="3E952572" w:rsidR="00B415C9" w:rsidRDefault="00B415C9" w:rsidP="00B415C9">
      <w:pPr>
        <w:pStyle w:val="Luettelokappale"/>
        <w:numPr>
          <w:ilvl w:val="0"/>
          <w:numId w:val="46"/>
        </w:numPr>
        <w:spacing w:after="0"/>
        <w:jc w:val="both"/>
        <w:rPr>
          <w:rFonts w:ascii="Verdana" w:hAnsi="Verdana"/>
          <w:b/>
          <w:sz w:val="20"/>
        </w:rPr>
      </w:pPr>
      <w:r w:rsidRPr="00B415C9">
        <w:rPr>
          <w:rFonts w:ascii="Verdana" w:hAnsi="Verdana"/>
          <w:b/>
          <w:sz w:val="20"/>
        </w:rPr>
        <w:t>Voluntary Product Stewardship</w:t>
      </w:r>
    </w:p>
    <w:p w14:paraId="7ACA5E74" w14:textId="68DFE99F" w:rsidR="00B415C9" w:rsidRDefault="00B415C9" w:rsidP="00B415C9">
      <w:pPr>
        <w:spacing w:after="0"/>
        <w:jc w:val="both"/>
        <w:rPr>
          <w:rFonts w:ascii="Verdana" w:hAnsi="Verdana"/>
          <w:b/>
          <w:sz w:val="20"/>
        </w:rPr>
      </w:pPr>
    </w:p>
    <w:p w14:paraId="0ECE3632" w14:textId="146B4D64" w:rsidR="00B415C9" w:rsidRDefault="00B415C9" w:rsidP="005920F0">
      <w:pPr>
        <w:jc w:val="both"/>
      </w:pPr>
      <w:r w:rsidRPr="00B415C9">
        <w:rPr>
          <w:rFonts w:ascii="Verdana" w:hAnsi="Verdana"/>
          <w:sz w:val="20"/>
        </w:rPr>
        <w:t xml:space="preserve">No information </w:t>
      </w:r>
      <w:r w:rsidR="009D2406">
        <w:rPr>
          <w:rFonts w:ascii="Verdana" w:hAnsi="Verdana"/>
          <w:sz w:val="20"/>
        </w:rPr>
        <w:t>on</w:t>
      </w:r>
      <w:r>
        <w:rPr>
          <w:rFonts w:ascii="Verdana" w:hAnsi="Verdana"/>
          <w:sz w:val="20"/>
        </w:rPr>
        <w:t xml:space="preserve"> voluntary actions is available for </w:t>
      </w:r>
      <w:r w:rsidR="009D2406">
        <w:rPr>
          <w:rFonts w:ascii="Verdana" w:hAnsi="Verdana"/>
          <w:sz w:val="20"/>
        </w:rPr>
        <w:t xml:space="preserve">the </w:t>
      </w:r>
      <w:r>
        <w:rPr>
          <w:rFonts w:ascii="Verdana" w:hAnsi="Verdana"/>
          <w:sz w:val="20"/>
        </w:rPr>
        <w:t xml:space="preserve">substances in this RMOA. There is an indication of identification of </w:t>
      </w:r>
      <w:r w:rsidR="004068E3" w:rsidRPr="004068E3">
        <w:rPr>
          <w:rFonts w:ascii="Verdana" w:hAnsi="Verdana"/>
          <w:sz w:val="20"/>
        </w:rPr>
        <w:t>6-(1-phenylethyl)-1,2,3,4-tetrahydronaphthalene</w:t>
      </w:r>
      <w:r w:rsidR="004068E3" w:rsidRPr="004068E3" w:rsidDel="004068E3">
        <w:rPr>
          <w:rFonts w:ascii="Verdana" w:hAnsi="Verdana"/>
          <w:sz w:val="20"/>
        </w:rPr>
        <w:t xml:space="preserve"> </w:t>
      </w:r>
      <w:r>
        <w:rPr>
          <w:rFonts w:ascii="Verdana" w:hAnsi="Verdana"/>
          <w:sz w:val="20"/>
        </w:rPr>
        <w:t>as PBT/</w:t>
      </w:r>
      <w:proofErr w:type="spellStart"/>
      <w:r>
        <w:rPr>
          <w:rFonts w:ascii="Verdana" w:hAnsi="Verdana"/>
          <w:sz w:val="20"/>
        </w:rPr>
        <w:t>vPvB</w:t>
      </w:r>
      <w:proofErr w:type="spellEnd"/>
      <w:r>
        <w:rPr>
          <w:rFonts w:ascii="Verdana" w:hAnsi="Verdana"/>
          <w:sz w:val="20"/>
        </w:rPr>
        <w:t xml:space="preserve"> in the </w:t>
      </w:r>
      <w:r w:rsidR="004068E3">
        <w:rPr>
          <w:rFonts w:ascii="Verdana" w:hAnsi="Verdana"/>
          <w:sz w:val="20"/>
        </w:rPr>
        <w:t>substance factsheet</w:t>
      </w:r>
      <w:r>
        <w:rPr>
          <w:rFonts w:ascii="Verdana" w:hAnsi="Verdana"/>
          <w:sz w:val="20"/>
        </w:rPr>
        <w:t>. However</w:t>
      </w:r>
      <w:r w:rsidR="00B17418">
        <w:rPr>
          <w:rFonts w:ascii="Verdana" w:hAnsi="Verdana"/>
          <w:sz w:val="20"/>
        </w:rPr>
        <w:t>,</w:t>
      </w:r>
      <w:r>
        <w:rPr>
          <w:rFonts w:ascii="Verdana" w:hAnsi="Verdana"/>
          <w:sz w:val="20"/>
        </w:rPr>
        <w:t xml:space="preserve"> </w:t>
      </w:r>
      <w:r w:rsidR="009D2406">
        <w:rPr>
          <w:rFonts w:ascii="Verdana" w:hAnsi="Verdana"/>
          <w:sz w:val="20"/>
        </w:rPr>
        <w:t>the substance</w:t>
      </w:r>
      <w:r>
        <w:rPr>
          <w:rFonts w:ascii="Verdana" w:hAnsi="Verdana"/>
          <w:sz w:val="20"/>
        </w:rPr>
        <w:t xml:space="preserve"> is not considered as </w:t>
      </w:r>
      <w:r w:rsidR="009D2406">
        <w:rPr>
          <w:rFonts w:ascii="Verdana" w:hAnsi="Verdana"/>
          <w:sz w:val="20"/>
        </w:rPr>
        <w:t xml:space="preserve">a </w:t>
      </w:r>
      <w:r>
        <w:rPr>
          <w:rFonts w:ascii="Verdana" w:hAnsi="Verdana"/>
          <w:sz w:val="20"/>
        </w:rPr>
        <w:t>PBT/</w:t>
      </w:r>
      <w:proofErr w:type="spellStart"/>
      <w:r>
        <w:rPr>
          <w:rFonts w:ascii="Verdana" w:hAnsi="Verdana"/>
          <w:sz w:val="20"/>
        </w:rPr>
        <w:t>vPvB</w:t>
      </w:r>
      <w:proofErr w:type="spellEnd"/>
      <w:r>
        <w:rPr>
          <w:rFonts w:ascii="Verdana" w:hAnsi="Verdana"/>
          <w:sz w:val="20"/>
        </w:rPr>
        <w:t xml:space="preserve"> substance in the SDS of Dowtherm RP. </w:t>
      </w:r>
      <w:r w:rsidR="002E6775" w:rsidRPr="002E6775">
        <w:rPr>
          <w:rFonts w:ascii="Verdana" w:hAnsi="Verdana"/>
          <w:sz w:val="20"/>
        </w:rPr>
        <w:t>In case the registrant</w:t>
      </w:r>
      <w:r w:rsidR="00FE2A59">
        <w:rPr>
          <w:rFonts w:ascii="Verdana" w:hAnsi="Verdana"/>
          <w:sz w:val="20"/>
        </w:rPr>
        <w:t>(s)</w:t>
      </w:r>
      <w:r w:rsidR="002E6775" w:rsidRPr="002E6775">
        <w:rPr>
          <w:rFonts w:ascii="Verdana" w:hAnsi="Verdana"/>
          <w:sz w:val="20"/>
        </w:rPr>
        <w:t xml:space="preserve"> would identify the substance as PBT/</w:t>
      </w:r>
      <w:proofErr w:type="spellStart"/>
      <w:r w:rsidR="002E6775" w:rsidRPr="002E6775">
        <w:rPr>
          <w:rFonts w:ascii="Verdana" w:hAnsi="Verdana"/>
          <w:sz w:val="20"/>
        </w:rPr>
        <w:t>vPvB</w:t>
      </w:r>
      <w:proofErr w:type="spellEnd"/>
      <w:r w:rsidR="002E6775" w:rsidRPr="002E6775">
        <w:rPr>
          <w:rFonts w:ascii="Verdana" w:hAnsi="Verdana"/>
          <w:sz w:val="20"/>
        </w:rPr>
        <w:t xml:space="preserve"> substance this might improve the recommended risk management measures </w:t>
      </w:r>
      <w:r w:rsidR="009D2406">
        <w:rPr>
          <w:rFonts w:ascii="Verdana" w:hAnsi="Verdana"/>
          <w:sz w:val="20"/>
        </w:rPr>
        <w:t>as well as</w:t>
      </w:r>
      <w:r w:rsidR="002E6775" w:rsidRPr="002E6775">
        <w:rPr>
          <w:rFonts w:ascii="Verdana" w:hAnsi="Verdana"/>
          <w:sz w:val="20"/>
        </w:rPr>
        <w:t xml:space="preserve"> SDSs, waste management etc.</w:t>
      </w:r>
    </w:p>
    <w:p w14:paraId="0BEE87C3" w14:textId="47AB616E" w:rsidR="00B415C9" w:rsidRDefault="00B477E1" w:rsidP="00B477E1">
      <w:pPr>
        <w:pStyle w:val="Otsikko2"/>
        <w:tabs>
          <w:tab w:val="clear" w:pos="1361"/>
          <w:tab w:val="clear" w:pos="1503"/>
          <w:tab w:val="num" w:pos="1276"/>
        </w:tabs>
        <w:ind w:left="567" w:hanging="567"/>
      </w:pPr>
      <w:r>
        <w:t>Consequences of taking regulatory risk management action</w:t>
      </w:r>
    </w:p>
    <w:p w14:paraId="14C58EE8" w14:textId="6BBF5FD7" w:rsidR="00B477E1" w:rsidRDefault="00B477E1" w:rsidP="00B477E1">
      <w:pPr>
        <w:pStyle w:val="Leipteksti"/>
        <w:rPr>
          <w:rFonts w:ascii="Verdana" w:hAnsi="Verdana"/>
          <w:sz w:val="20"/>
        </w:rPr>
      </w:pPr>
      <w:r>
        <w:rPr>
          <w:rFonts w:ascii="Verdana" w:hAnsi="Verdana"/>
          <w:sz w:val="20"/>
        </w:rPr>
        <w:t xml:space="preserve">Preliminary socio-economic considerations of the </w:t>
      </w:r>
      <w:r w:rsidR="005A6361">
        <w:rPr>
          <w:rFonts w:ascii="Verdana" w:hAnsi="Verdana"/>
          <w:sz w:val="20"/>
        </w:rPr>
        <w:t xml:space="preserve">RMM </w:t>
      </w:r>
      <w:r>
        <w:rPr>
          <w:rFonts w:ascii="Verdana" w:hAnsi="Verdana"/>
          <w:sz w:val="20"/>
        </w:rPr>
        <w:t>options are discussed based on the ECHA document “How RMOA can reflect the consequ</w:t>
      </w:r>
      <w:r w:rsidR="00067E41">
        <w:rPr>
          <w:rFonts w:ascii="Verdana" w:hAnsi="Verdana"/>
          <w:sz w:val="20"/>
        </w:rPr>
        <w:t>en</w:t>
      </w:r>
      <w:r>
        <w:rPr>
          <w:rFonts w:ascii="Verdana" w:hAnsi="Verdana"/>
          <w:sz w:val="20"/>
        </w:rPr>
        <w:t>ces of taking RRM action” presented at RiME-3, 2017. “Factors checklist” from that ECHA document is annexed to this RMOA (Annex II</w:t>
      </w:r>
      <w:r w:rsidR="00067E41">
        <w:rPr>
          <w:rFonts w:ascii="Verdana" w:hAnsi="Verdana"/>
          <w:sz w:val="20"/>
        </w:rPr>
        <w:t>, confidential</w:t>
      </w:r>
      <w:r>
        <w:rPr>
          <w:rFonts w:ascii="Verdana" w:hAnsi="Verdana"/>
          <w:sz w:val="20"/>
        </w:rPr>
        <w:t>).</w:t>
      </w:r>
      <w:r w:rsidR="005A6361">
        <w:rPr>
          <w:rFonts w:ascii="Verdana" w:hAnsi="Verdana"/>
          <w:sz w:val="20"/>
        </w:rPr>
        <w:t xml:space="preserve"> </w:t>
      </w:r>
    </w:p>
    <w:p w14:paraId="27CC9998" w14:textId="77777777" w:rsidR="004953A7" w:rsidRDefault="004953A7" w:rsidP="00B477E1">
      <w:pPr>
        <w:pStyle w:val="Leipteksti"/>
        <w:rPr>
          <w:rFonts w:ascii="Verdana" w:hAnsi="Verdana"/>
          <w:sz w:val="20"/>
        </w:rPr>
      </w:pPr>
      <w:bookmarkStart w:id="42" w:name="_GoBack"/>
      <w:bookmarkEnd w:id="42"/>
    </w:p>
    <w:p w14:paraId="004414CD" w14:textId="747EA169" w:rsidR="005A6361" w:rsidRPr="005920F0" w:rsidRDefault="005A6361" w:rsidP="005920F0">
      <w:pPr>
        <w:pStyle w:val="Leipteksti"/>
        <w:rPr>
          <w:b/>
        </w:rPr>
      </w:pPr>
      <w:r w:rsidRPr="005920F0">
        <w:rPr>
          <w:rFonts w:ascii="Verdana" w:hAnsi="Verdana"/>
          <w:b/>
          <w:sz w:val="20"/>
        </w:rPr>
        <w:lastRenderedPageBreak/>
        <w:t>Quantities</w:t>
      </w:r>
    </w:p>
    <w:p w14:paraId="39033D05" w14:textId="2D4702EA" w:rsidR="005A6361" w:rsidRPr="005920F0" w:rsidRDefault="001A29B0" w:rsidP="005920F0">
      <w:pPr>
        <w:pStyle w:val="Leipteksti"/>
      </w:pPr>
      <w:r>
        <w:rPr>
          <w:rFonts w:ascii="Verdana" w:hAnsi="Verdana"/>
          <w:sz w:val="20"/>
        </w:rPr>
        <w:t xml:space="preserve">High tonnage </w:t>
      </w:r>
      <w:r w:rsidR="002C4210">
        <w:rPr>
          <w:rFonts w:ascii="Verdana" w:hAnsi="Verdana"/>
          <w:sz w:val="20"/>
        </w:rPr>
        <w:t xml:space="preserve">(&gt;1000 </w:t>
      </w:r>
      <w:proofErr w:type="spellStart"/>
      <w:r w:rsidR="002C4210">
        <w:rPr>
          <w:rFonts w:ascii="Verdana" w:hAnsi="Verdana"/>
          <w:sz w:val="20"/>
        </w:rPr>
        <w:t>tpa</w:t>
      </w:r>
      <w:proofErr w:type="spellEnd"/>
      <w:r w:rsidR="002C4210">
        <w:rPr>
          <w:rFonts w:ascii="Verdana" w:hAnsi="Verdana"/>
          <w:sz w:val="20"/>
        </w:rPr>
        <w:t xml:space="preserve">) </w:t>
      </w:r>
      <w:r>
        <w:rPr>
          <w:rFonts w:ascii="Verdana" w:hAnsi="Verdana"/>
          <w:sz w:val="20"/>
        </w:rPr>
        <w:t xml:space="preserve">for </w:t>
      </w:r>
      <w:r w:rsidR="002C4210">
        <w:rPr>
          <w:rFonts w:ascii="Verdana" w:hAnsi="Verdana"/>
          <w:sz w:val="20"/>
        </w:rPr>
        <w:t>d</w:t>
      </w:r>
      <w:r w:rsidR="002C4210" w:rsidRPr="00106D5A">
        <w:rPr>
          <w:rFonts w:ascii="Verdana" w:hAnsi="Verdana"/>
          <w:sz w:val="20"/>
        </w:rPr>
        <w:t xml:space="preserve">ibenzylbenzene, </w:t>
      </w:r>
      <w:proofErr w:type="spellStart"/>
      <w:r w:rsidR="002C4210" w:rsidRPr="00106D5A">
        <w:rPr>
          <w:rFonts w:ascii="Verdana" w:hAnsi="Verdana"/>
          <w:sz w:val="20"/>
        </w:rPr>
        <w:t>ar</w:t>
      </w:r>
      <w:proofErr w:type="spellEnd"/>
      <w:r w:rsidR="002C4210" w:rsidRPr="00106D5A">
        <w:rPr>
          <w:rFonts w:ascii="Verdana" w:hAnsi="Verdana"/>
          <w:sz w:val="20"/>
        </w:rPr>
        <w:t xml:space="preserve">-methyl </w:t>
      </w:r>
      <w:r w:rsidR="002C4210">
        <w:rPr>
          <w:rFonts w:ascii="Verdana" w:hAnsi="Verdana"/>
          <w:sz w:val="20"/>
        </w:rPr>
        <w:t>derivative</w:t>
      </w:r>
      <w:r>
        <w:rPr>
          <w:rFonts w:ascii="Verdana" w:hAnsi="Verdana"/>
          <w:sz w:val="20"/>
        </w:rPr>
        <w:t xml:space="preserve"> reflects </w:t>
      </w:r>
      <w:r w:rsidR="00F8317C">
        <w:rPr>
          <w:rFonts w:ascii="Verdana" w:hAnsi="Verdana"/>
          <w:sz w:val="20"/>
        </w:rPr>
        <w:t xml:space="preserve">the </w:t>
      </w:r>
      <w:r>
        <w:rPr>
          <w:rFonts w:ascii="Verdana" w:hAnsi="Verdana"/>
          <w:sz w:val="20"/>
        </w:rPr>
        <w:t xml:space="preserve">potential </w:t>
      </w:r>
      <w:r w:rsidR="00E66140">
        <w:rPr>
          <w:rFonts w:ascii="Verdana" w:hAnsi="Verdana"/>
          <w:sz w:val="20"/>
        </w:rPr>
        <w:t>of</w:t>
      </w:r>
      <w:r>
        <w:rPr>
          <w:rFonts w:ascii="Verdana" w:hAnsi="Verdana"/>
          <w:sz w:val="20"/>
        </w:rPr>
        <w:t xml:space="preserve"> high consequences of RRM action</w:t>
      </w:r>
      <w:r w:rsidR="002C4210">
        <w:rPr>
          <w:rFonts w:ascii="Verdana" w:hAnsi="Verdana"/>
          <w:sz w:val="20"/>
        </w:rPr>
        <w:t>(s)</w:t>
      </w:r>
      <w:r>
        <w:rPr>
          <w:rFonts w:ascii="Verdana" w:hAnsi="Verdana"/>
          <w:sz w:val="20"/>
        </w:rPr>
        <w:t xml:space="preserve">. </w:t>
      </w:r>
      <w:r w:rsidR="008841C3">
        <w:rPr>
          <w:rFonts w:ascii="Verdana" w:hAnsi="Verdana"/>
          <w:sz w:val="20"/>
        </w:rPr>
        <w:t>The t</w:t>
      </w:r>
      <w:r>
        <w:rPr>
          <w:rFonts w:ascii="Verdana" w:hAnsi="Verdana"/>
          <w:sz w:val="20"/>
        </w:rPr>
        <w:t xml:space="preserve">otal tonnage band for </w:t>
      </w:r>
      <w:r w:rsidRPr="000317A7">
        <w:rPr>
          <w:rFonts w:ascii="Verdana" w:hAnsi="Verdana"/>
          <w:sz w:val="20"/>
        </w:rPr>
        <w:t>6-(1-phenylethyl)-1,2,3,4-tetrahydronaphthalene</w:t>
      </w:r>
      <w:r>
        <w:rPr>
          <w:rFonts w:ascii="Verdana" w:hAnsi="Verdana"/>
          <w:sz w:val="20"/>
        </w:rPr>
        <w:t xml:space="preserve"> is confidential information. </w:t>
      </w:r>
      <w:r w:rsidR="002C4210">
        <w:rPr>
          <w:rFonts w:ascii="Verdana" w:hAnsi="Verdana"/>
          <w:sz w:val="20"/>
        </w:rPr>
        <w:t xml:space="preserve">Further information on manufactured and/or imported quantities of these substances is available in the confidential annex I. </w:t>
      </w:r>
    </w:p>
    <w:p w14:paraId="13689C4D" w14:textId="36EDC416" w:rsidR="005A6361" w:rsidRDefault="005A6361" w:rsidP="005A6361">
      <w:pPr>
        <w:pStyle w:val="Leipteksti"/>
        <w:rPr>
          <w:rFonts w:ascii="Verdana" w:hAnsi="Verdana"/>
          <w:b/>
          <w:sz w:val="20"/>
        </w:rPr>
      </w:pPr>
      <w:r>
        <w:rPr>
          <w:rFonts w:ascii="Verdana" w:hAnsi="Verdana"/>
          <w:b/>
          <w:sz w:val="20"/>
        </w:rPr>
        <w:t>Number of actors</w:t>
      </w:r>
    </w:p>
    <w:p w14:paraId="5A88406E" w14:textId="57D2B8FF" w:rsidR="002C4210" w:rsidRPr="005920F0" w:rsidRDefault="002C4210" w:rsidP="005920F0">
      <w:pPr>
        <w:pStyle w:val="Leipteksti"/>
        <w:rPr>
          <w:rFonts w:ascii="Verdana" w:hAnsi="Verdana"/>
          <w:sz w:val="20"/>
        </w:rPr>
      </w:pPr>
      <w:r>
        <w:rPr>
          <w:rFonts w:ascii="Verdana" w:hAnsi="Verdana"/>
          <w:sz w:val="20"/>
        </w:rPr>
        <w:t>There are few REACH registrations for d</w:t>
      </w:r>
      <w:r w:rsidRPr="00106D5A">
        <w:rPr>
          <w:rFonts w:ascii="Verdana" w:hAnsi="Verdana"/>
          <w:sz w:val="20"/>
        </w:rPr>
        <w:t xml:space="preserve">ibenzylbenzene, </w:t>
      </w:r>
      <w:proofErr w:type="spellStart"/>
      <w:r w:rsidRPr="00106D5A">
        <w:rPr>
          <w:rFonts w:ascii="Verdana" w:hAnsi="Verdana"/>
          <w:sz w:val="20"/>
        </w:rPr>
        <w:t>ar</w:t>
      </w:r>
      <w:proofErr w:type="spellEnd"/>
      <w:r w:rsidRPr="00106D5A">
        <w:rPr>
          <w:rFonts w:ascii="Verdana" w:hAnsi="Verdana"/>
          <w:sz w:val="20"/>
        </w:rPr>
        <w:t xml:space="preserve">-methyl </w:t>
      </w:r>
      <w:r>
        <w:rPr>
          <w:rFonts w:ascii="Verdana" w:hAnsi="Verdana"/>
          <w:sz w:val="20"/>
        </w:rPr>
        <w:t xml:space="preserve">derivative and </w:t>
      </w:r>
      <w:r w:rsidRPr="000317A7">
        <w:rPr>
          <w:rFonts w:ascii="Verdana" w:hAnsi="Verdana"/>
          <w:sz w:val="20"/>
        </w:rPr>
        <w:t>6-(1-phenylethyl)-1,2,3,4-tetrahydronaphthalene</w:t>
      </w:r>
      <w:r w:rsidR="007A392F">
        <w:rPr>
          <w:rFonts w:ascii="Verdana" w:hAnsi="Verdana"/>
          <w:sz w:val="20"/>
        </w:rPr>
        <w:t xml:space="preserve"> indicating that only a limited number of companies are manufacturing or importing these substances</w:t>
      </w:r>
      <w:r w:rsidR="006D4C8A">
        <w:rPr>
          <w:rFonts w:ascii="Verdana" w:hAnsi="Verdana"/>
          <w:sz w:val="20"/>
        </w:rPr>
        <w:t xml:space="preserve"> (section 4)</w:t>
      </w:r>
      <w:r>
        <w:rPr>
          <w:rFonts w:ascii="Verdana" w:hAnsi="Verdana"/>
          <w:sz w:val="20"/>
        </w:rPr>
        <w:t>.</w:t>
      </w:r>
      <w:r w:rsidR="00F80758">
        <w:rPr>
          <w:rFonts w:ascii="Verdana" w:hAnsi="Verdana"/>
          <w:sz w:val="20"/>
        </w:rPr>
        <w:t xml:space="preserve"> </w:t>
      </w:r>
      <w:r w:rsidR="006E40E9">
        <w:rPr>
          <w:rFonts w:ascii="Verdana" w:hAnsi="Verdana"/>
          <w:sz w:val="20"/>
        </w:rPr>
        <w:t xml:space="preserve">The registrants </w:t>
      </w:r>
      <w:r w:rsidR="00DF46FE">
        <w:rPr>
          <w:rFonts w:ascii="Verdana" w:hAnsi="Verdana"/>
          <w:sz w:val="20"/>
        </w:rPr>
        <w:t xml:space="preserve">represent </w:t>
      </w:r>
      <w:r w:rsidR="009D2406">
        <w:rPr>
          <w:rFonts w:ascii="Verdana" w:hAnsi="Verdana"/>
          <w:sz w:val="20"/>
        </w:rPr>
        <w:t>large</w:t>
      </w:r>
      <w:r w:rsidR="00DF46FE">
        <w:rPr>
          <w:rFonts w:ascii="Verdana" w:hAnsi="Verdana"/>
          <w:sz w:val="20"/>
        </w:rPr>
        <w:t xml:space="preserve"> companies</w:t>
      </w:r>
      <w:r w:rsidR="00CB0B2D">
        <w:rPr>
          <w:rFonts w:ascii="Verdana" w:hAnsi="Verdana"/>
          <w:sz w:val="20"/>
        </w:rPr>
        <w:t xml:space="preserve"> (The Dow Chemical Company, Arkema S.A. and Eastman Chemical Company)</w:t>
      </w:r>
      <w:r w:rsidR="00DF46FE">
        <w:rPr>
          <w:rFonts w:ascii="Verdana" w:hAnsi="Verdana"/>
          <w:sz w:val="20"/>
        </w:rPr>
        <w:t xml:space="preserve"> which might have different sites </w:t>
      </w:r>
      <w:r w:rsidR="009D2406">
        <w:rPr>
          <w:rFonts w:ascii="Verdana" w:hAnsi="Verdana"/>
          <w:sz w:val="20"/>
        </w:rPr>
        <w:t>in</w:t>
      </w:r>
      <w:r w:rsidR="00DF46FE">
        <w:rPr>
          <w:rFonts w:ascii="Verdana" w:hAnsi="Verdana"/>
          <w:sz w:val="20"/>
        </w:rPr>
        <w:t xml:space="preserve"> the EU increasing the potential consequences of RRM actions. </w:t>
      </w:r>
      <w:r w:rsidR="007A392F">
        <w:rPr>
          <w:rFonts w:ascii="Verdana" w:hAnsi="Verdana"/>
          <w:sz w:val="20"/>
        </w:rPr>
        <w:t>There are no</w:t>
      </w:r>
      <w:r>
        <w:rPr>
          <w:rFonts w:ascii="Verdana" w:hAnsi="Verdana"/>
          <w:sz w:val="20"/>
        </w:rPr>
        <w:t xml:space="preserve"> downstream user (DU) reports or PPORDs for these substances</w:t>
      </w:r>
      <w:r w:rsidR="007A392F">
        <w:rPr>
          <w:rFonts w:ascii="Verdana" w:hAnsi="Verdana"/>
          <w:sz w:val="20"/>
        </w:rPr>
        <w:t xml:space="preserve"> either. However, there are</w:t>
      </w:r>
      <w:r w:rsidR="00F8317C">
        <w:rPr>
          <w:rFonts w:ascii="Verdana" w:hAnsi="Verdana"/>
          <w:sz w:val="20"/>
        </w:rPr>
        <w:t xml:space="preserve"> </w:t>
      </w:r>
      <w:r w:rsidR="007A392F">
        <w:rPr>
          <w:rFonts w:ascii="Verdana" w:hAnsi="Verdana"/>
          <w:sz w:val="20"/>
        </w:rPr>
        <w:t>high number</w:t>
      </w:r>
      <w:r w:rsidR="00F8317C">
        <w:rPr>
          <w:rFonts w:ascii="Verdana" w:hAnsi="Verdana"/>
          <w:sz w:val="20"/>
        </w:rPr>
        <w:t>s</w:t>
      </w:r>
      <w:r w:rsidR="007A392F">
        <w:rPr>
          <w:rFonts w:ascii="Verdana" w:hAnsi="Verdana"/>
          <w:sz w:val="20"/>
        </w:rPr>
        <w:t xml:space="preserve"> (&gt;45) of C&amp;L notifications</w:t>
      </w:r>
      <w:r w:rsidR="000744D5">
        <w:rPr>
          <w:rFonts w:ascii="Verdana" w:hAnsi="Verdana"/>
          <w:sz w:val="20"/>
        </w:rPr>
        <w:t xml:space="preserve"> (CLP Article 40)</w:t>
      </w:r>
      <w:r w:rsidR="007A392F">
        <w:rPr>
          <w:rFonts w:ascii="Verdana" w:hAnsi="Verdana"/>
          <w:sz w:val="20"/>
        </w:rPr>
        <w:t xml:space="preserve"> for </w:t>
      </w:r>
      <w:r w:rsidR="007A392F" w:rsidRPr="000317A7">
        <w:rPr>
          <w:rFonts w:ascii="Verdana" w:hAnsi="Verdana"/>
          <w:sz w:val="20"/>
        </w:rPr>
        <w:t>6-(1-phenylethyl)-1,2,3,4-tetrahydronaphthalene</w:t>
      </w:r>
      <w:r w:rsidR="007A392F">
        <w:rPr>
          <w:rFonts w:ascii="Verdana" w:hAnsi="Verdana"/>
          <w:sz w:val="20"/>
        </w:rPr>
        <w:t xml:space="preserve"> and medium number (15-45) for d</w:t>
      </w:r>
      <w:r w:rsidR="007A392F" w:rsidRPr="00106D5A">
        <w:rPr>
          <w:rFonts w:ascii="Verdana" w:hAnsi="Verdana"/>
          <w:sz w:val="20"/>
        </w:rPr>
        <w:t xml:space="preserve">ibenzylbenzene, </w:t>
      </w:r>
      <w:proofErr w:type="spellStart"/>
      <w:r w:rsidR="007A392F" w:rsidRPr="00106D5A">
        <w:rPr>
          <w:rFonts w:ascii="Verdana" w:hAnsi="Verdana"/>
          <w:sz w:val="20"/>
        </w:rPr>
        <w:t>ar</w:t>
      </w:r>
      <w:proofErr w:type="spellEnd"/>
      <w:r w:rsidR="007A392F" w:rsidRPr="00106D5A">
        <w:rPr>
          <w:rFonts w:ascii="Verdana" w:hAnsi="Verdana"/>
          <w:sz w:val="20"/>
        </w:rPr>
        <w:t xml:space="preserve">-methyl </w:t>
      </w:r>
      <w:r w:rsidR="007A392F">
        <w:rPr>
          <w:rFonts w:ascii="Verdana" w:hAnsi="Verdana"/>
          <w:sz w:val="20"/>
        </w:rPr>
        <w:t>derivative. The number of C&amp;L notifiers indicate</w:t>
      </w:r>
      <w:r w:rsidR="0080700D">
        <w:rPr>
          <w:rFonts w:ascii="Verdana" w:hAnsi="Verdana"/>
          <w:sz w:val="20"/>
        </w:rPr>
        <w:t>s</w:t>
      </w:r>
      <w:r w:rsidR="007A392F">
        <w:rPr>
          <w:rFonts w:ascii="Verdana" w:hAnsi="Verdana"/>
          <w:sz w:val="20"/>
        </w:rPr>
        <w:t xml:space="preserve"> that there</w:t>
      </w:r>
      <w:r w:rsidR="0063329D">
        <w:rPr>
          <w:rFonts w:ascii="Verdana" w:hAnsi="Verdana"/>
          <w:sz w:val="20"/>
        </w:rPr>
        <w:t xml:space="preserve"> are</w:t>
      </w:r>
      <w:r w:rsidR="007A392F">
        <w:rPr>
          <w:rFonts w:ascii="Verdana" w:hAnsi="Verdana"/>
          <w:sz w:val="20"/>
        </w:rPr>
        <w:t xml:space="preserve"> medium to high number of people dealing with these substances. Depending on the RRM, the consequences could be </w:t>
      </w:r>
      <w:r w:rsidR="006D4C8A">
        <w:rPr>
          <w:rFonts w:ascii="Verdana" w:hAnsi="Verdana"/>
          <w:sz w:val="20"/>
        </w:rPr>
        <w:t xml:space="preserve">between medium to </w:t>
      </w:r>
      <w:r w:rsidR="007A392F">
        <w:rPr>
          <w:rFonts w:ascii="Verdana" w:hAnsi="Verdana"/>
          <w:sz w:val="20"/>
        </w:rPr>
        <w:t>high</w:t>
      </w:r>
      <w:r w:rsidR="00331770">
        <w:rPr>
          <w:rFonts w:ascii="Verdana" w:hAnsi="Verdana"/>
          <w:sz w:val="20"/>
        </w:rPr>
        <w:t xml:space="preserve">. </w:t>
      </w:r>
    </w:p>
    <w:p w14:paraId="49CCC78E" w14:textId="356A5205" w:rsidR="005A6361" w:rsidRDefault="005A6361" w:rsidP="005A6361">
      <w:pPr>
        <w:pStyle w:val="Leipteksti"/>
        <w:rPr>
          <w:rFonts w:ascii="Verdana" w:hAnsi="Verdana"/>
          <w:b/>
          <w:sz w:val="20"/>
        </w:rPr>
      </w:pPr>
      <w:r>
        <w:rPr>
          <w:rFonts w:ascii="Verdana" w:hAnsi="Verdana"/>
          <w:b/>
          <w:sz w:val="20"/>
        </w:rPr>
        <w:t>Diversity of uses</w:t>
      </w:r>
    </w:p>
    <w:p w14:paraId="4AD964DB" w14:textId="5C41254D" w:rsidR="00331770" w:rsidRPr="005920F0" w:rsidRDefault="0080700D" w:rsidP="005920F0">
      <w:pPr>
        <w:pStyle w:val="Leipteksti"/>
      </w:pPr>
      <w:r w:rsidRPr="005920F0">
        <w:rPr>
          <w:rFonts w:ascii="Verdana" w:hAnsi="Verdana"/>
          <w:sz w:val="20"/>
        </w:rPr>
        <w:t>The</w:t>
      </w:r>
      <w:r>
        <w:rPr>
          <w:rFonts w:ascii="Verdana" w:hAnsi="Verdana"/>
          <w:sz w:val="20"/>
        </w:rPr>
        <w:t xml:space="preserve"> diversity of uses is low for </w:t>
      </w:r>
      <w:r w:rsidRPr="000317A7">
        <w:rPr>
          <w:rFonts w:ascii="Verdana" w:hAnsi="Verdana"/>
          <w:sz w:val="20"/>
        </w:rPr>
        <w:t>6-(1-phenylethyl)-1,2,3,4-tetrahydronaphthalene</w:t>
      </w:r>
      <w:r>
        <w:rPr>
          <w:rFonts w:ascii="Verdana" w:hAnsi="Verdana"/>
          <w:sz w:val="20"/>
        </w:rPr>
        <w:t xml:space="preserve"> as there </w:t>
      </w:r>
      <w:r w:rsidR="00327799">
        <w:rPr>
          <w:rFonts w:ascii="Verdana" w:hAnsi="Verdana"/>
          <w:sz w:val="20"/>
        </w:rPr>
        <w:t xml:space="preserve">is only closed system industrial </w:t>
      </w:r>
      <w:r w:rsidR="008841C3">
        <w:rPr>
          <w:rFonts w:ascii="Verdana" w:hAnsi="Verdana"/>
          <w:sz w:val="20"/>
        </w:rPr>
        <w:t xml:space="preserve">HTF </w:t>
      </w:r>
      <w:r w:rsidR="00327799">
        <w:rPr>
          <w:rFonts w:ascii="Verdana" w:hAnsi="Verdana"/>
          <w:sz w:val="20"/>
        </w:rPr>
        <w:t>use under the tradename Dowtherm RP. However, for d</w:t>
      </w:r>
      <w:r w:rsidR="00327799" w:rsidRPr="00106D5A">
        <w:rPr>
          <w:rFonts w:ascii="Verdana" w:hAnsi="Verdana"/>
          <w:sz w:val="20"/>
        </w:rPr>
        <w:t xml:space="preserve">ibenzylbenzene </w:t>
      </w:r>
      <w:proofErr w:type="spellStart"/>
      <w:r w:rsidR="00327799" w:rsidRPr="00106D5A">
        <w:rPr>
          <w:rFonts w:ascii="Verdana" w:hAnsi="Verdana"/>
          <w:sz w:val="20"/>
        </w:rPr>
        <w:t>ar</w:t>
      </w:r>
      <w:proofErr w:type="spellEnd"/>
      <w:r w:rsidR="00327799" w:rsidRPr="00106D5A">
        <w:rPr>
          <w:rFonts w:ascii="Verdana" w:hAnsi="Verdana"/>
          <w:sz w:val="20"/>
        </w:rPr>
        <w:t xml:space="preserve">-methyl </w:t>
      </w:r>
      <w:r w:rsidR="00327799">
        <w:rPr>
          <w:rFonts w:ascii="Verdana" w:hAnsi="Verdana"/>
          <w:sz w:val="20"/>
        </w:rPr>
        <w:t xml:space="preserve">derivative, the actors using the substance seems to be very diverse as there are indications of </w:t>
      </w:r>
      <w:r w:rsidR="00F8317C">
        <w:rPr>
          <w:rFonts w:ascii="Verdana" w:hAnsi="Verdana"/>
          <w:sz w:val="20"/>
        </w:rPr>
        <w:t xml:space="preserve">a </w:t>
      </w:r>
      <w:r w:rsidR="00327799">
        <w:rPr>
          <w:rFonts w:ascii="Verdana" w:hAnsi="Verdana"/>
          <w:sz w:val="20"/>
        </w:rPr>
        <w:t>high number of lifecycle stage</w:t>
      </w:r>
      <w:r w:rsidR="00A23B64">
        <w:rPr>
          <w:rFonts w:ascii="Verdana" w:hAnsi="Verdana"/>
          <w:sz w:val="20"/>
        </w:rPr>
        <w:t>s</w:t>
      </w:r>
      <w:r w:rsidR="00327799">
        <w:rPr>
          <w:rFonts w:ascii="Verdana" w:hAnsi="Verdana"/>
          <w:sz w:val="20"/>
        </w:rPr>
        <w:t xml:space="preserve"> </w:t>
      </w:r>
      <w:r w:rsidR="00A23B64">
        <w:rPr>
          <w:rFonts w:ascii="Verdana" w:hAnsi="Verdana"/>
          <w:sz w:val="20"/>
        </w:rPr>
        <w:t xml:space="preserve">for uses in the substance factsheet (manufacture, formulation, uses at industrial sites, uses by professional workers, consumer uses and article service life). </w:t>
      </w:r>
      <w:r w:rsidR="006E40E9">
        <w:rPr>
          <w:rFonts w:ascii="Verdana" w:hAnsi="Verdana"/>
          <w:sz w:val="20"/>
        </w:rPr>
        <w:t>T</w:t>
      </w:r>
      <w:r w:rsidR="00A23B64">
        <w:rPr>
          <w:rFonts w:ascii="Verdana" w:hAnsi="Verdana"/>
          <w:sz w:val="20"/>
        </w:rPr>
        <w:t>here is an indication that the consequences of RRM could be high for d</w:t>
      </w:r>
      <w:r w:rsidR="00A23B64" w:rsidRPr="00106D5A">
        <w:rPr>
          <w:rFonts w:ascii="Verdana" w:hAnsi="Verdana"/>
          <w:sz w:val="20"/>
        </w:rPr>
        <w:t xml:space="preserve">ibenzylbenzene, </w:t>
      </w:r>
      <w:proofErr w:type="spellStart"/>
      <w:r w:rsidR="00A23B64" w:rsidRPr="00106D5A">
        <w:rPr>
          <w:rFonts w:ascii="Verdana" w:hAnsi="Verdana"/>
          <w:sz w:val="20"/>
        </w:rPr>
        <w:t>ar</w:t>
      </w:r>
      <w:proofErr w:type="spellEnd"/>
      <w:r w:rsidR="00A23B64" w:rsidRPr="00106D5A">
        <w:rPr>
          <w:rFonts w:ascii="Verdana" w:hAnsi="Verdana"/>
          <w:sz w:val="20"/>
        </w:rPr>
        <w:t xml:space="preserve">-methyl </w:t>
      </w:r>
      <w:r w:rsidR="00A23B64">
        <w:rPr>
          <w:rFonts w:ascii="Verdana" w:hAnsi="Verdana"/>
          <w:sz w:val="20"/>
        </w:rPr>
        <w:t>derivative.</w:t>
      </w:r>
      <w:r w:rsidR="006E40E9">
        <w:rPr>
          <w:rFonts w:ascii="Verdana" w:hAnsi="Verdana"/>
          <w:sz w:val="20"/>
        </w:rPr>
        <w:t xml:space="preserve"> However, the diversity of uses do</w:t>
      </w:r>
      <w:r w:rsidR="00F8317C">
        <w:rPr>
          <w:rFonts w:ascii="Verdana" w:hAnsi="Verdana"/>
          <w:sz w:val="20"/>
        </w:rPr>
        <w:t>es</w:t>
      </w:r>
      <w:r w:rsidR="006E40E9">
        <w:rPr>
          <w:rFonts w:ascii="Verdana" w:hAnsi="Verdana"/>
          <w:sz w:val="20"/>
        </w:rPr>
        <w:t xml:space="preserve"> not </w:t>
      </w:r>
      <w:proofErr w:type="gramStart"/>
      <w:r w:rsidR="006E40E9">
        <w:rPr>
          <w:rFonts w:ascii="Verdana" w:hAnsi="Verdana"/>
          <w:sz w:val="20"/>
        </w:rPr>
        <w:t>take into account</w:t>
      </w:r>
      <w:proofErr w:type="gramEnd"/>
      <w:r w:rsidR="006E40E9">
        <w:rPr>
          <w:rFonts w:ascii="Verdana" w:hAnsi="Verdana"/>
          <w:sz w:val="20"/>
        </w:rPr>
        <w:t xml:space="preserve"> the total volumes </w:t>
      </w:r>
      <w:r w:rsidR="00DF46FE">
        <w:rPr>
          <w:rFonts w:ascii="Verdana" w:hAnsi="Verdana"/>
          <w:sz w:val="20"/>
        </w:rPr>
        <w:t xml:space="preserve">of </w:t>
      </w:r>
      <w:r w:rsidR="008841C3">
        <w:rPr>
          <w:rFonts w:ascii="Verdana" w:hAnsi="Verdana"/>
          <w:sz w:val="20"/>
        </w:rPr>
        <w:t xml:space="preserve">substances </w:t>
      </w:r>
      <w:r w:rsidR="00F33C5D">
        <w:rPr>
          <w:rFonts w:ascii="Verdana" w:hAnsi="Verdana"/>
          <w:sz w:val="20"/>
        </w:rPr>
        <w:t>in</w:t>
      </w:r>
      <w:r w:rsidR="008841C3">
        <w:rPr>
          <w:rFonts w:ascii="Verdana" w:hAnsi="Verdana"/>
          <w:sz w:val="20"/>
        </w:rPr>
        <w:t xml:space="preserve"> </w:t>
      </w:r>
      <w:r w:rsidR="00DF46FE">
        <w:rPr>
          <w:rFonts w:ascii="Verdana" w:hAnsi="Verdana"/>
          <w:sz w:val="20"/>
        </w:rPr>
        <w:t xml:space="preserve">different uses. </w:t>
      </w:r>
      <w:r w:rsidR="006E40E9">
        <w:rPr>
          <w:rFonts w:ascii="Verdana" w:hAnsi="Verdana"/>
          <w:sz w:val="20"/>
        </w:rPr>
        <w:t xml:space="preserve"> </w:t>
      </w:r>
      <w:r w:rsidR="00A23B64">
        <w:rPr>
          <w:rFonts w:ascii="Verdana" w:hAnsi="Verdana"/>
          <w:sz w:val="20"/>
        </w:rPr>
        <w:t xml:space="preserve">  </w:t>
      </w:r>
    </w:p>
    <w:p w14:paraId="5D0F38C9" w14:textId="0BBDB2CA" w:rsidR="005A6361" w:rsidRDefault="005A6361" w:rsidP="005A6361">
      <w:pPr>
        <w:pStyle w:val="Leipteksti"/>
        <w:rPr>
          <w:rFonts w:ascii="Verdana" w:hAnsi="Verdana"/>
          <w:b/>
          <w:sz w:val="20"/>
        </w:rPr>
      </w:pPr>
      <w:r>
        <w:rPr>
          <w:rFonts w:ascii="Verdana" w:hAnsi="Verdana"/>
          <w:b/>
          <w:sz w:val="20"/>
        </w:rPr>
        <w:t>Complexity of the supply chain</w:t>
      </w:r>
    </w:p>
    <w:p w14:paraId="02EF65AA" w14:textId="101281D6" w:rsidR="00A23B64" w:rsidRPr="005920F0" w:rsidRDefault="00067E41" w:rsidP="005920F0">
      <w:pPr>
        <w:pStyle w:val="Leipteksti"/>
        <w:rPr>
          <w:rFonts w:ascii="Verdana" w:hAnsi="Verdana"/>
          <w:sz w:val="20"/>
        </w:rPr>
      </w:pPr>
      <w:proofErr w:type="gramStart"/>
      <w:r>
        <w:rPr>
          <w:rFonts w:ascii="Verdana" w:hAnsi="Verdana"/>
          <w:sz w:val="20"/>
        </w:rPr>
        <w:t>Similarly</w:t>
      </w:r>
      <w:proofErr w:type="gramEnd"/>
      <w:r>
        <w:rPr>
          <w:rFonts w:ascii="Verdana" w:hAnsi="Verdana"/>
          <w:sz w:val="20"/>
        </w:rPr>
        <w:t xml:space="preserve"> to the diversity of uses the supply chain might be complex for d</w:t>
      </w:r>
      <w:r w:rsidRPr="00106D5A">
        <w:rPr>
          <w:rFonts w:ascii="Verdana" w:hAnsi="Verdana"/>
          <w:sz w:val="20"/>
        </w:rPr>
        <w:t xml:space="preserve">ibenzylbenzene, </w:t>
      </w:r>
      <w:proofErr w:type="spellStart"/>
      <w:r w:rsidRPr="00106D5A">
        <w:rPr>
          <w:rFonts w:ascii="Verdana" w:hAnsi="Verdana"/>
          <w:sz w:val="20"/>
        </w:rPr>
        <w:t>ar</w:t>
      </w:r>
      <w:proofErr w:type="spellEnd"/>
      <w:r w:rsidRPr="00106D5A">
        <w:rPr>
          <w:rFonts w:ascii="Verdana" w:hAnsi="Verdana"/>
          <w:sz w:val="20"/>
        </w:rPr>
        <w:t xml:space="preserve">-methyl </w:t>
      </w:r>
      <w:r>
        <w:rPr>
          <w:rFonts w:ascii="Verdana" w:hAnsi="Verdana"/>
          <w:sz w:val="20"/>
        </w:rPr>
        <w:t xml:space="preserve">derivative based on the information on the substance factsheet. There is </w:t>
      </w:r>
      <w:r w:rsidR="00F8317C">
        <w:rPr>
          <w:rFonts w:ascii="Verdana" w:hAnsi="Verdana"/>
          <w:sz w:val="20"/>
        </w:rPr>
        <w:t xml:space="preserve">an </w:t>
      </w:r>
      <w:r>
        <w:rPr>
          <w:rFonts w:ascii="Verdana" w:hAnsi="Verdana"/>
          <w:sz w:val="20"/>
        </w:rPr>
        <w:t xml:space="preserve">indication of high diversity of uses linked </w:t>
      </w:r>
      <w:r w:rsidR="00614709">
        <w:rPr>
          <w:rFonts w:ascii="Verdana" w:hAnsi="Verdana"/>
          <w:sz w:val="20"/>
        </w:rPr>
        <w:t>to</w:t>
      </w:r>
      <w:r>
        <w:rPr>
          <w:rFonts w:ascii="Verdana" w:hAnsi="Verdana"/>
          <w:sz w:val="20"/>
        </w:rPr>
        <w:t xml:space="preserve"> many sectors, products</w:t>
      </w:r>
      <w:r w:rsidR="00F8317C">
        <w:rPr>
          <w:rFonts w:ascii="Verdana" w:hAnsi="Verdana"/>
          <w:sz w:val="20"/>
        </w:rPr>
        <w:t>,</w:t>
      </w:r>
      <w:r>
        <w:rPr>
          <w:rFonts w:ascii="Verdana" w:hAnsi="Verdana"/>
          <w:sz w:val="20"/>
        </w:rPr>
        <w:t xml:space="preserve"> and articles where the substance is used. The complexity of the supply chain might increase the consequences of RRM</w:t>
      </w:r>
      <w:r w:rsidR="004871DE">
        <w:rPr>
          <w:rFonts w:ascii="Verdana" w:hAnsi="Verdana"/>
          <w:sz w:val="20"/>
        </w:rPr>
        <w:t xml:space="preserve"> for d</w:t>
      </w:r>
      <w:r w:rsidR="004871DE" w:rsidRPr="00106D5A">
        <w:rPr>
          <w:rFonts w:ascii="Verdana" w:hAnsi="Verdana"/>
          <w:sz w:val="20"/>
        </w:rPr>
        <w:t xml:space="preserve">ibenzylbenzene, </w:t>
      </w:r>
      <w:proofErr w:type="spellStart"/>
      <w:r w:rsidR="004871DE" w:rsidRPr="00106D5A">
        <w:rPr>
          <w:rFonts w:ascii="Verdana" w:hAnsi="Verdana"/>
          <w:sz w:val="20"/>
        </w:rPr>
        <w:t>ar</w:t>
      </w:r>
      <w:proofErr w:type="spellEnd"/>
      <w:r w:rsidR="004871DE" w:rsidRPr="00106D5A">
        <w:rPr>
          <w:rFonts w:ascii="Verdana" w:hAnsi="Verdana"/>
          <w:sz w:val="20"/>
        </w:rPr>
        <w:t xml:space="preserve">-methyl </w:t>
      </w:r>
      <w:r w:rsidR="004871DE">
        <w:rPr>
          <w:rFonts w:ascii="Verdana" w:hAnsi="Verdana"/>
          <w:sz w:val="20"/>
        </w:rPr>
        <w:t xml:space="preserve">derivative. </w:t>
      </w:r>
    </w:p>
    <w:p w14:paraId="43A3BBD4" w14:textId="720D268B" w:rsidR="005A6361" w:rsidRDefault="005A6361" w:rsidP="005A6361">
      <w:pPr>
        <w:pStyle w:val="Leipteksti"/>
        <w:rPr>
          <w:rFonts w:ascii="Verdana" w:hAnsi="Verdana"/>
          <w:b/>
          <w:sz w:val="20"/>
        </w:rPr>
      </w:pPr>
      <w:r>
        <w:rPr>
          <w:rFonts w:ascii="Verdana" w:hAnsi="Verdana"/>
          <w:b/>
          <w:sz w:val="20"/>
        </w:rPr>
        <w:t>Alternatives</w:t>
      </w:r>
    </w:p>
    <w:p w14:paraId="73E46881" w14:textId="61D7038E" w:rsidR="00112587" w:rsidRDefault="004871DE" w:rsidP="005A6361">
      <w:pPr>
        <w:pStyle w:val="Leipteksti"/>
        <w:rPr>
          <w:rFonts w:ascii="Verdana" w:hAnsi="Verdana"/>
          <w:sz w:val="20"/>
        </w:rPr>
      </w:pPr>
      <w:r>
        <w:rPr>
          <w:rFonts w:ascii="Verdana" w:hAnsi="Verdana"/>
          <w:sz w:val="20"/>
        </w:rPr>
        <w:t xml:space="preserve">Substances in this RMOA are potential alternatives for terphenyl, hydrogenated in its main use as heat transfer fluid in high temperature, non-pressurised heat transfer systems. There </w:t>
      </w:r>
      <w:r w:rsidR="00F8317C">
        <w:rPr>
          <w:rFonts w:ascii="Verdana" w:hAnsi="Verdana"/>
          <w:sz w:val="20"/>
        </w:rPr>
        <w:t>is</w:t>
      </w:r>
      <w:r>
        <w:rPr>
          <w:rFonts w:ascii="Verdana" w:hAnsi="Verdana"/>
          <w:sz w:val="20"/>
        </w:rPr>
        <w:t xml:space="preserve"> no information </w:t>
      </w:r>
      <w:r w:rsidR="00E66140">
        <w:rPr>
          <w:rFonts w:ascii="Verdana" w:hAnsi="Verdana"/>
          <w:sz w:val="20"/>
        </w:rPr>
        <w:t>on</w:t>
      </w:r>
      <w:r>
        <w:rPr>
          <w:rFonts w:ascii="Verdana" w:hAnsi="Verdana"/>
          <w:sz w:val="20"/>
        </w:rPr>
        <w:t xml:space="preserve"> other potential alternatives</w:t>
      </w:r>
      <w:r w:rsidR="008841C3">
        <w:rPr>
          <w:rFonts w:ascii="Verdana" w:hAnsi="Verdana"/>
          <w:sz w:val="20"/>
        </w:rPr>
        <w:t xml:space="preserve"> </w:t>
      </w:r>
      <w:r w:rsidR="00614709">
        <w:rPr>
          <w:rFonts w:ascii="Verdana" w:hAnsi="Verdana"/>
          <w:sz w:val="20"/>
        </w:rPr>
        <w:t>to</w:t>
      </w:r>
      <w:r w:rsidR="008841C3">
        <w:rPr>
          <w:rFonts w:ascii="Verdana" w:hAnsi="Verdana"/>
          <w:sz w:val="20"/>
        </w:rPr>
        <w:t xml:space="preserve"> HTF use</w:t>
      </w:r>
      <w:r w:rsidR="00112587">
        <w:rPr>
          <w:rFonts w:ascii="Verdana" w:hAnsi="Verdana"/>
          <w:sz w:val="20"/>
        </w:rPr>
        <w:t xml:space="preserve"> for terphenyl, hydrogenated</w:t>
      </w:r>
      <w:r w:rsidR="00614709">
        <w:rPr>
          <w:rFonts w:ascii="Verdana" w:hAnsi="Verdana"/>
          <w:sz w:val="20"/>
        </w:rPr>
        <w:t>.</w:t>
      </w:r>
      <w:r>
        <w:rPr>
          <w:rFonts w:ascii="Verdana" w:hAnsi="Verdana"/>
          <w:sz w:val="20"/>
        </w:rPr>
        <w:t xml:space="preserve"> </w:t>
      </w:r>
      <w:r w:rsidR="00614709">
        <w:rPr>
          <w:rFonts w:ascii="Verdana" w:hAnsi="Verdana"/>
          <w:sz w:val="20"/>
        </w:rPr>
        <w:t>H</w:t>
      </w:r>
      <w:r>
        <w:rPr>
          <w:rFonts w:ascii="Verdana" w:hAnsi="Verdana"/>
          <w:sz w:val="20"/>
        </w:rPr>
        <w:t xml:space="preserve">owever, it could be possible that </w:t>
      </w:r>
      <w:r w:rsidR="00DF46FE">
        <w:rPr>
          <w:rFonts w:ascii="Verdana" w:hAnsi="Verdana"/>
          <w:sz w:val="20"/>
        </w:rPr>
        <w:t xml:space="preserve">there are </w:t>
      </w:r>
      <w:r>
        <w:rPr>
          <w:rFonts w:ascii="Verdana" w:hAnsi="Verdana"/>
          <w:sz w:val="20"/>
        </w:rPr>
        <w:t xml:space="preserve">other </w:t>
      </w:r>
      <w:proofErr w:type="gramStart"/>
      <w:r>
        <w:rPr>
          <w:rFonts w:ascii="Verdana" w:hAnsi="Verdana"/>
          <w:sz w:val="20"/>
        </w:rPr>
        <w:t>alternative</w:t>
      </w:r>
      <w:r w:rsidR="00112587">
        <w:rPr>
          <w:rFonts w:ascii="Verdana" w:hAnsi="Verdana"/>
          <w:sz w:val="20"/>
        </w:rPr>
        <w:t>s</w:t>
      </w:r>
      <w:proofErr w:type="gramEnd"/>
      <w:r w:rsidR="00112587">
        <w:rPr>
          <w:rFonts w:ascii="Verdana" w:hAnsi="Verdana"/>
          <w:sz w:val="20"/>
        </w:rPr>
        <w:t xml:space="preserve"> </w:t>
      </w:r>
      <w:r>
        <w:rPr>
          <w:rFonts w:ascii="Verdana" w:hAnsi="Verdana"/>
          <w:sz w:val="20"/>
        </w:rPr>
        <w:t xml:space="preserve">or </w:t>
      </w:r>
      <w:r w:rsidR="00112587">
        <w:rPr>
          <w:rFonts w:ascii="Verdana" w:hAnsi="Verdana"/>
          <w:sz w:val="20"/>
        </w:rPr>
        <w:t>they are not currently used</w:t>
      </w:r>
      <w:r w:rsidR="00DF46FE">
        <w:rPr>
          <w:rFonts w:ascii="Verdana" w:hAnsi="Verdana"/>
          <w:sz w:val="20"/>
        </w:rPr>
        <w:t xml:space="preserve"> in the EU</w:t>
      </w:r>
      <w:r w:rsidR="00112587">
        <w:rPr>
          <w:rFonts w:ascii="Verdana" w:hAnsi="Verdana"/>
          <w:sz w:val="20"/>
        </w:rPr>
        <w:t xml:space="preserve"> </w:t>
      </w:r>
      <w:r w:rsidR="00DF46FE">
        <w:rPr>
          <w:rFonts w:ascii="Verdana" w:hAnsi="Verdana"/>
          <w:sz w:val="20"/>
        </w:rPr>
        <w:t>and thus not</w:t>
      </w:r>
      <w:r w:rsidR="00112587">
        <w:rPr>
          <w:rFonts w:ascii="Verdana" w:hAnsi="Verdana"/>
          <w:sz w:val="20"/>
        </w:rPr>
        <w:t xml:space="preserve"> registered in REACH</w:t>
      </w:r>
      <w:r w:rsidR="00DF46FE">
        <w:rPr>
          <w:rFonts w:ascii="Verdana" w:hAnsi="Verdana"/>
          <w:sz w:val="20"/>
        </w:rPr>
        <w:t xml:space="preserve">. In that case, they would be </w:t>
      </w:r>
      <w:r w:rsidR="00112587">
        <w:rPr>
          <w:rFonts w:ascii="Verdana" w:hAnsi="Verdana"/>
          <w:sz w:val="20"/>
        </w:rPr>
        <w:t>outside the scope of this RMOA. A search for alternatives for other uses</w:t>
      </w:r>
      <w:r w:rsidR="00614709">
        <w:rPr>
          <w:rFonts w:ascii="Verdana" w:hAnsi="Verdana"/>
          <w:sz w:val="20"/>
        </w:rPr>
        <w:t xml:space="preserve"> than HTF</w:t>
      </w:r>
      <w:r w:rsidR="00112587">
        <w:rPr>
          <w:rFonts w:ascii="Verdana" w:hAnsi="Verdana"/>
          <w:sz w:val="20"/>
        </w:rPr>
        <w:t xml:space="preserve"> of d</w:t>
      </w:r>
      <w:r w:rsidR="00112587" w:rsidRPr="00106D5A">
        <w:rPr>
          <w:rFonts w:ascii="Verdana" w:hAnsi="Verdana"/>
          <w:sz w:val="20"/>
        </w:rPr>
        <w:t xml:space="preserve">ibenzylbenzene, </w:t>
      </w:r>
      <w:proofErr w:type="spellStart"/>
      <w:r w:rsidR="00112587" w:rsidRPr="00106D5A">
        <w:rPr>
          <w:rFonts w:ascii="Verdana" w:hAnsi="Verdana"/>
          <w:sz w:val="20"/>
        </w:rPr>
        <w:t>ar</w:t>
      </w:r>
      <w:proofErr w:type="spellEnd"/>
      <w:r w:rsidR="00112587" w:rsidRPr="00106D5A">
        <w:rPr>
          <w:rFonts w:ascii="Verdana" w:hAnsi="Verdana"/>
          <w:sz w:val="20"/>
        </w:rPr>
        <w:t xml:space="preserve">-methyl </w:t>
      </w:r>
      <w:r w:rsidR="00112587">
        <w:rPr>
          <w:rFonts w:ascii="Verdana" w:hAnsi="Verdana"/>
          <w:sz w:val="20"/>
        </w:rPr>
        <w:t xml:space="preserve">derivative is not conducted in this RMOA. </w:t>
      </w:r>
      <w:r w:rsidR="00F33C5D">
        <w:rPr>
          <w:rFonts w:ascii="Verdana" w:hAnsi="Verdana"/>
          <w:sz w:val="20"/>
        </w:rPr>
        <w:t>A</w:t>
      </w:r>
      <w:r w:rsidR="004E632F">
        <w:rPr>
          <w:rFonts w:ascii="Verdana" w:hAnsi="Verdana"/>
          <w:sz w:val="20"/>
        </w:rPr>
        <w:t xml:space="preserve">vailability of alternatives for </w:t>
      </w:r>
      <w:r w:rsidR="004E632F" w:rsidRPr="000317A7">
        <w:rPr>
          <w:rFonts w:ascii="Verdana" w:hAnsi="Verdana"/>
          <w:sz w:val="20"/>
        </w:rPr>
        <w:t>6-(1-phenylethyl)-1,2,3,4-tetrahydronaphthalene</w:t>
      </w:r>
      <w:r w:rsidR="004E632F">
        <w:rPr>
          <w:rFonts w:ascii="Verdana" w:hAnsi="Verdana"/>
          <w:sz w:val="20"/>
        </w:rPr>
        <w:t xml:space="preserve"> in its only </w:t>
      </w:r>
      <w:r w:rsidR="00614709">
        <w:rPr>
          <w:rFonts w:ascii="Verdana" w:hAnsi="Verdana"/>
          <w:sz w:val="20"/>
        </w:rPr>
        <w:t xml:space="preserve">known </w:t>
      </w:r>
      <w:r w:rsidR="004E632F">
        <w:rPr>
          <w:rFonts w:ascii="Verdana" w:hAnsi="Verdana"/>
          <w:sz w:val="20"/>
        </w:rPr>
        <w:t xml:space="preserve">use as HTF is </w:t>
      </w:r>
      <w:proofErr w:type="gramStart"/>
      <w:r w:rsidR="004E632F">
        <w:rPr>
          <w:rFonts w:ascii="Verdana" w:hAnsi="Verdana"/>
          <w:sz w:val="20"/>
        </w:rPr>
        <w:t>similar to</w:t>
      </w:r>
      <w:proofErr w:type="gramEnd"/>
      <w:r w:rsidR="004E632F">
        <w:rPr>
          <w:rFonts w:ascii="Verdana" w:hAnsi="Verdana"/>
          <w:sz w:val="20"/>
        </w:rPr>
        <w:t xml:space="preserve"> terphenyl, hydrogenated as </w:t>
      </w:r>
      <w:r w:rsidR="00F33C5D">
        <w:rPr>
          <w:rFonts w:ascii="Verdana" w:hAnsi="Verdana"/>
          <w:sz w:val="20"/>
        </w:rPr>
        <w:t>discussed</w:t>
      </w:r>
      <w:r w:rsidR="004E632F">
        <w:rPr>
          <w:rFonts w:ascii="Verdana" w:hAnsi="Verdana"/>
          <w:sz w:val="20"/>
        </w:rPr>
        <w:t xml:space="preserve"> above. </w:t>
      </w:r>
    </w:p>
    <w:p w14:paraId="0D538A5B" w14:textId="186C6596" w:rsidR="004871DE" w:rsidRPr="005920F0" w:rsidRDefault="00112587" w:rsidP="005A6361">
      <w:pPr>
        <w:pStyle w:val="Leipteksti"/>
        <w:rPr>
          <w:rFonts w:ascii="Verdana" w:hAnsi="Verdana"/>
          <w:sz w:val="20"/>
        </w:rPr>
      </w:pPr>
      <w:r>
        <w:rPr>
          <w:rFonts w:ascii="Verdana" w:hAnsi="Verdana"/>
          <w:noProof/>
          <w:sz w:val="20"/>
        </w:rPr>
        <w:t xml:space="preserve">Terphenyl, hydrogenated can be used as a HTF with operating temperatures as high as 345 °C in non-pressurised liquid phase heat transfer systems (Therminol 2018). Substitutes need to have a similar high boiling point at standard </w:t>
      </w:r>
      <w:r>
        <w:rPr>
          <w:rFonts w:ascii="Verdana" w:hAnsi="Verdana"/>
          <w:noProof/>
          <w:sz w:val="20"/>
        </w:rPr>
        <w:lastRenderedPageBreak/>
        <w:t>atmospheric pressure (101.325 kPa) to be used without excessive thermal degradation in liquid phase non-pressurised systems at high temperature ranges of 300-350 °C.</w:t>
      </w:r>
      <w:r w:rsidR="00E66140">
        <w:rPr>
          <w:rFonts w:ascii="Verdana" w:hAnsi="Verdana"/>
          <w:noProof/>
          <w:sz w:val="20"/>
        </w:rPr>
        <w:t xml:space="preserve"> As high thermal stability is needed for the HTFs, they are likely to </w:t>
      </w:r>
      <w:r w:rsidR="00DF46FE">
        <w:rPr>
          <w:rFonts w:ascii="Verdana" w:hAnsi="Verdana"/>
          <w:noProof/>
          <w:sz w:val="20"/>
        </w:rPr>
        <w:t xml:space="preserve">have </w:t>
      </w:r>
      <w:r w:rsidR="00F8317C">
        <w:rPr>
          <w:rFonts w:ascii="Verdana" w:hAnsi="Verdana"/>
          <w:noProof/>
          <w:sz w:val="20"/>
        </w:rPr>
        <w:t xml:space="preserve">a </w:t>
      </w:r>
      <w:r w:rsidR="00DF46FE">
        <w:rPr>
          <w:rFonts w:ascii="Verdana" w:hAnsi="Verdana"/>
          <w:noProof/>
          <w:sz w:val="20"/>
        </w:rPr>
        <w:t>stable chemical structure</w:t>
      </w:r>
      <w:r w:rsidR="00E66140">
        <w:rPr>
          <w:rFonts w:ascii="Verdana" w:hAnsi="Verdana"/>
          <w:noProof/>
          <w:sz w:val="20"/>
        </w:rPr>
        <w:t>.</w:t>
      </w:r>
      <w:r w:rsidR="00602D17">
        <w:rPr>
          <w:rFonts w:ascii="Verdana" w:hAnsi="Verdana"/>
          <w:noProof/>
          <w:sz w:val="20"/>
        </w:rPr>
        <w:t xml:space="preserve"> Thus, available alternatives might</w:t>
      </w:r>
      <w:r w:rsidR="004E632F">
        <w:rPr>
          <w:rFonts w:ascii="Verdana" w:hAnsi="Verdana"/>
          <w:noProof/>
          <w:sz w:val="20"/>
        </w:rPr>
        <w:t xml:space="preserve"> have similar</w:t>
      </w:r>
      <w:r w:rsidR="00602D17">
        <w:rPr>
          <w:rFonts w:ascii="Verdana" w:hAnsi="Verdana"/>
          <w:noProof/>
          <w:sz w:val="20"/>
        </w:rPr>
        <w:t xml:space="preserve"> </w:t>
      </w:r>
      <w:r w:rsidR="004E632F">
        <w:rPr>
          <w:rFonts w:ascii="Verdana" w:hAnsi="Verdana"/>
          <w:noProof/>
          <w:sz w:val="20"/>
        </w:rPr>
        <w:t xml:space="preserve">persistency </w:t>
      </w:r>
      <w:r w:rsidR="00602D17">
        <w:rPr>
          <w:rFonts w:ascii="Verdana" w:hAnsi="Verdana"/>
          <w:noProof/>
          <w:sz w:val="20"/>
        </w:rPr>
        <w:t xml:space="preserve">as well. </w:t>
      </w:r>
      <w:r w:rsidR="00E66140">
        <w:rPr>
          <w:rFonts w:ascii="Verdana" w:hAnsi="Verdana"/>
          <w:noProof/>
          <w:sz w:val="20"/>
        </w:rPr>
        <w:t xml:space="preserve"> </w:t>
      </w:r>
      <w:r w:rsidR="00602D17">
        <w:rPr>
          <w:rFonts w:ascii="Verdana" w:hAnsi="Verdana"/>
          <w:noProof/>
          <w:sz w:val="20"/>
        </w:rPr>
        <w:t>Alternatives might also have shorter service life than currently used</w:t>
      </w:r>
      <w:r w:rsidR="006C4D07">
        <w:rPr>
          <w:rFonts w:ascii="Verdana" w:hAnsi="Verdana"/>
          <w:noProof/>
          <w:sz w:val="20"/>
        </w:rPr>
        <w:t xml:space="preserve"> HTFs</w:t>
      </w:r>
      <w:r w:rsidR="00602D17">
        <w:rPr>
          <w:rFonts w:ascii="Verdana" w:hAnsi="Verdana"/>
          <w:noProof/>
          <w:sz w:val="20"/>
        </w:rPr>
        <w:t xml:space="preserve">, which either </w:t>
      </w:r>
      <w:r w:rsidR="006C4D07">
        <w:rPr>
          <w:rFonts w:ascii="Verdana" w:hAnsi="Verdana"/>
          <w:noProof/>
          <w:sz w:val="20"/>
        </w:rPr>
        <w:t>ar</w:t>
      </w:r>
      <w:r w:rsidR="00602D17">
        <w:rPr>
          <w:rFonts w:ascii="Verdana" w:hAnsi="Verdana"/>
          <w:noProof/>
          <w:sz w:val="20"/>
        </w:rPr>
        <w:t>e PBT/vPvB</w:t>
      </w:r>
      <w:r w:rsidR="006C4D07">
        <w:rPr>
          <w:rFonts w:ascii="Verdana" w:hAnsi="Verdana"/>
          <w:noProof/>
          <w:sz w:val="20"/>
        </w:rPr>
        <w:t xml:space="preserve"> substances (terphenyl, hydrogenated) or are potentially</w:t>
      </w:r>
      <w:r w:rsidR="00DF46FE">
        <w:rPr>
          <w:rFonts w:ascii="Verdana" w:hAnsi="Verdana"/>
          <w:noProof/>
          <w:sz w:val="20"/>
        </w:rPr>
        <w:t xml:space="preserve"> PBT/v</w:t>
      </w:r>
      <w:r w:rsidR="008841C3">
        <w:rPr>
          <w:rFonts w:ascii="Verdana" w:hAnsi="Verdana"/>
          <w:noProof/>
          <w:sz w:val="20"/>
        </w:rPr>
        <w:t>PvB</w:t>
      </w:r>
      <w:r w:rsidR="006C4D07">
        <w:rPr>
          <w:rFonts w:ascii="Verdana" w:hAnsi="Verdana"/>
          <w:noProof/>
          <w:sz w:val="20"/>
        </w:rPr>
        <w:t xml:space="preserve"> (</w:t>
      </w:r>
      <w:bookmarkStart w:id="43" w:name="_Hlk23765590"/>
      <w:r w:rsidR="006C4D07" w:rsidRPr="000317A7">
        <w:rPr>
          <w:rFonts w:ascii="Verdana" w:hAnsi="Verdana"/>
          <w:sz w:val="20"/>
        </w:rPr>
        <w:t>6-(1-phenylethyl)-1,2,3,4-tetrahydronaphthalene</w:t>
      </w:r>
      <w:bookmarkEnd w:id="43"/>
      <w:r w:rsidR="006C4D07">
        <w:rPr>
          <w:rFonts w:ascii="Verdana" w:hAnsi="Verdana"/>
          <w:sz w:val="20"/>
        </w:rPr>
        <w:t xml:space="preserve"> and </w:t>
      </w:r>
      <w:bookmarkStart w:id="44" w:name="_Hlk23765600"/>
      <w:r w:rsidR="006C4D07">
        <w:rPr>
          <w:rFonts w:ascii="Verdana" w:hAnsi="Verdana"/>
          <w:sz w:val="20"/>
        </w:rPr>
        <w:t>d</w:t>
      </w:r>
      <w:r w:rsidR="006C4D07" w:rsidRPr="00106D5A">
        <w:rPr>
          <w:rFonts w:ascii="Verdana" w:hAnsi="Verdana"/>
          <w:sz w:val="20"/>
        </w:rPr>
        <w:t xml:space="preserve">ibenzylbenzene, </w:t>
      </w:r>
      <w:proofErr w:type="spellStart"/>
      <w:r w:rsidR="006C4D07" w:rsidRPr="00106D5A">
        <w:rPr>
          <w:rFonts w:ascii="Verdana" w:hAnsi="Verdana"/>
          <w:sz w:val="20"/>
        </w:rPr>
        <w:t>ar</w:t>
      </w:r>
      <w:proofErr w:type="spellEnd"/>
      <w:r w:rsidR="006C4D07" w:rsidRPr="00106D5A">
        <w:rPr>
          <w:rFonts w:ascii="Verdana" w:hAnsi="Verdana"/>
          <w:sz w:val="20"/>
        </w:rPr>
        <w:t xml:space="preserve">-methyl </w:t>
      </w:r>
      <w:r w:rsidR="006C4D07">
        <w:rPr>
          <w:rFonts w:ascii="Verdana" w:hAnsi="Verdana"/>
          <w:sz w:val="20"/>
        </w:rPr>
        <w:t>derivative</w:t>
      </w:r>
      <w:bookmarkEnd w:id="44"/>
      <w:r w:rsidR="006C4D07">
        <w:rPr>
          <w:rFonts w:ascii="Verdana" w:hAnsi="Verdana"/>
          <w:sz w:val="20"/>
        </w:rPr>
        <w:t>). According</w:t>
      </w:r>
      <w:r w:rsidR="00F8317C">
        <w:rPr>
          <w:rFonts w:ascii="Verdana" w:hAnsi="Verdana"/>
          <w:sz w:val="20"/>
        </w:rPr>
        <w:t xml:space="preserve"> to</w:t>
      </w:r>
      <w:r w:rsidR="006C4D07">
        <w:rPr>
          <w:rFonts w:ascii="Verdana" w:hAnsi="Verdana"/>
          <w:sz w:val="20"/>
        </w:rPr>
        <w:t xml:space="preserve"> the </w:t>
      </w:r>
      <w:proofErr w:type="gramStart"/>
      <w:r w:rsidR="006C4D07">
        <w:rPr>
          <w:rFonts w:ascii="Verdana" w:hAnsi="Verdana"/>
          <w:sz w:val="20"/>
        </w:rPr>
        <w:t>factors</w:t>
      </w:r>
      <w:proofErr w:type="gramEnd"/>
      <w:r w:rsidR="006C4D07">
        <w:rPr>
          <w:rFonts w:ascii="Verdana" w:hAnsi="Verdana"/>
          <w:sz w:val="20"/>
        </w:rPr>
        <w:t xml:space="preserve"> checklist by ECHA, the consequences of RRM can be expected to be high if no alternatives are available or the price of alternatives is high. </w:t>
      </w:r>
    </w:p>
    <w:p w14:paraId="0813C106" w14:textId="409B290A" w:rsidR="005A6361" w:rsidRPr="005920F0" w:rsidRDefault="001A29B0" w:rsidP="005920F0">
      <w:pPr>
        <w:pStyle w:val="Leipteksti"/>
        <w:rPr>
          <w:b/>
        </w:rPr>
      </w:pPr>
      <w:r>
        <w:rPr>
          <w:rFonts w:ascii="Verdana" w:hAnsi="Verdana"/>
          <w:b/>
          <w:sz w:val="20"/>
        </w:rPr>
        <w:t xml:space="preserve">Benefits for </w:t>
      </w:r>
      <w:r w:rsidR="00F8317C">
        <w:rPr>
          <w:rFonts w:ascii="Verdana" w:hAnsi="Verdana"/>
          <w:b/>
          <w:sz w:val="20"/>
        </w:rPr>
        <w:t xml:space="preserve">the </w:t>
      </w:r>
      <w:r>
        <w:rPr>
          <w:rFonts w:ascii="Verdana" w:hAnsi="Verdana"/>
          <w:b/>
          <w:sz w:val="20"/>
        </w:rPr>
        <w:t>environmen</w:t>
      </w:r>
      <w:r w:rsidR="004871DE">
        <w:rPr>
          <w:rFonts w:ascii="Verdana" w:hAnsi="Verdana"/>
          <w:b/>
          <w:sz w:val="20"/>
        </w:rPr>
        <w:t>t</w:t>
      </w:r>
    </w:p>
    <w:p w14:paraId="2B237690" w14:textId="708E0F79" w:rsidR="00B477E1" w:rsidRPr="005920F0" w:rsidRDefault="00645812" w:rsidP="005920F0">
      <w:pPr>
        <w:pStyle w:val="Luettelokappale"/>
        <w:spacing w:after="0"/>
        <w:ind w:left="0"/>
        <w:jc w:val="both"/>
        <w:rPr>
          <w:rFonts w:ascii="Verdana" w:hAnsi="Verdana"/>
          <w:sz w:val="20"/>
          <w:lang w:val="en-GB"/>
        </w:rPr>
      </w:pPr>
      <w:r w:rsidRPr="000317A7">
        <w:rPr>
          <w:rFonts w:ascii="Verdana" w:hAnsi="Verdana"/>
          <w:sz w:val="20"/>
        </w:rPr>
        <w:t>6-(1-phenylethyl)-1,2,3,4-tetrahydronaphthalene</w:t>
      </w:r>
      <w:r>
        <w:rPr>
          <w:rFonts w:ascii="Verdana" w:hAnsi="Verdana"/>
          <w:sz w:val="20"/>
        </w:rPr>
        <w:t xml:space="preserve"> and d</w:t>
      </w:r>
      <w:r w:rsidRPr="00106D5A">
        <w:rPr>
          <w:rFonts w:ascii="Verdana" w:hAnsi="Verdana"/>
          <w:sz w:val="20"/>
        </w:rPr>
        <w:t xml:space="preserve">ibenzylbenzene, </w:t>
      </w:r>
      <w:proofErr w:type="spellStart"/>
      <w:r w:rsidRPr="00106D5A">
        <w:rPr>
          <w:rFonts w:ascii="Verdana" w:hAnsi="Verdana"/>
          <w:sz w:val="20"/>
        </w:rPr>
        <w:t>ar</w:t>
      </w:r>
      <w:proofErr w:type="spellEnd"/>
      <w:r w:rsidRPr="00106D5A">
        <w:rPr>
          <w:rFonts w:ascii="Verdana" w:hAnsi="Verdana"/>
          <w:sz w:val="20"/>
        </w:rPr>
        <w:t xml:space="preserve">-methyl </w:t>
      </w:r>
      <w:r>
        <w:rPr>
          <w:rFonts w:ascii="Verdana" w:hAnsi="Verdana"/>
          <w:sz w:val="20"/>
        </w:rPr>
        <w:t>derivative</w:t>
      </w:r>
      <w:r>
        <w:rPr>
          <w:rFonts w:ascii="Verdana" w:hAnsi="Verdana"/>
          <w:sz w:val="20"/>
          <w:lang w:val="en-GB"/>
        </w:rPr>
        <w:t xml:space="preserve"> </w:t>
      </w:r>
      <w:r w:rsidR="006C7F27">
        <w:rPr>
          <w:rFonts w:ascii="Verdana" w:hAnsi="Verdana"/>
          <w:sz w:val="20"/>
          <w:lang w:val="en-GB"/>
        </w:rPr>
        <w:t>may have</w:t>
      </w:r>
      <w:r w:rsidR="006C4D07">
        <w:rPr>
          <w:rFonts w:ascii="Verdana" w:hAnsi="Verdana"/>
          <w:sz w:val="20"/>
          <w:lang w:val="en-GB"/>
        </w:rPr>
        <w:t xml:space="preserve"> PBT/</w:t>
      </w:r>
      <w:proofErr w:type="spellStart"/>
      <w:r w:rsidR="006C4D07">
        <w:rPr>
          <w:rFonts w:ascii="Verdana" w:hAnsi="Verdana"/>
          <w:sz w:val="20"/>
          <w:lang w:val="en-GB"/>
        </w:rPr>
        <w:t>vPvB</w:t>
      </w:r>
      <w:proofErr w:type="spellEnd"/>
      <w:r w:rsidR="006C4D07">
        <w:rPr>
          <w:rFonts w:ascii="Verdana" w:hAnsi="Verdana"/>
          <w:sz w:val="20"/>
          <w:lang w:val="en-GB"/>
        </w:rPr>
        <w:t xml:space="preserve"> </w:t>
      </w:r>
      <w:r w:rsidR="006C7F27">
        <w:rPr>
          <w:rFonts w:ascii="Verdana" w:hAnsi="Verdana"/>
          <w:sz w:val="20"/>
          <w:lang w:val="en-GB"/>
        </w:rPr>
        <w:t>properties</w:t>
      </w:r>
      <w:r w:rsidR="006C4D07">
        <w:rPr>
          <w:rFonts w:ascii="Verdana" w:hAnsi="Verdana"/>
          <w:sz w:val="20"/>
          <w:lang w:val="en-GB"/>
        </w:rPr>
        <w:t xml:space="preserve">. </w:t>
      </w:r>
      <w:r>
        <w:rPr>
          <w:rFonts w:ascii="Verdana" w:hAnsi="Verdana"/>
          <w:sz w:val="20"/>
          <w:szCs w:val="20"/>
        </w:rPr>
        <w:t>Exposure and emission of PBT/</w:t>
      </w:r>
      <w:proofErr w:type="spellStart"/>
      <w:r>
        <w:rPr>
          <w:rFonts w:ascii="Verdana" w:hAnsi="Verdana"/>
          <w:sz w:val="20"/>
          <w:szCs w:val="20"/>
        </w:rPr>
        <w:t>vPvB</w:t>
      </w:r>
      <w:proofErr w:type="spellEnd"/>
      <w:r>
        <w:rPr>
          <w:rFonts w:ascii="Verdana" w:hAnsi="Verdana"/>
          <w:sz w:val="20"/>
          <w:szCs w:val="20"/>
        </w:rPr>
        <w:t xml:space="preserve"> substances should always be </w:t>
      </w:r>
      <w:proofErr w:type="spellStart"/>
      <w:r>
        <w:rPr>
          <w:rFonts w:ascii="Verdana" w:hAnsi="Verdana"/>
          <w:sz w:val="20"/>
          <w:szCs w:val="20"/>
        </w:rPr>
        <w:t>minimised</w:t>
      </w:r>
      <w:proofErr w:type="spellEnd"/>
      <w:r>
        <w:rPr>
          <w:rFonts w:ascii="Verdana" w:hAnsi="Verdana"/>
          <w:sz w:val="20"/>
          <w:szCs w:val="20"/>
        </w:rPr>
        <w:t xml:space="preserve"> as far as technically and practically possible. </w:t>
      </w:r>
    </w:p>
    <w:p w14:paraId="39B96B22" w14:textId="77777777" w:rsidR="00080134" w:rsidRDefault="00080134" w:rsidP="00080134">
      <w:pPr>
        <w:pStyle w:val="Otsikko2"/>
        <w:tabs>
          <w:tab w:val="clear" w:pos="839"/>
          <w:tab w:val="num" w:pos="540"/>
        </w:tabs>
        <w:spacing w:before="240"/>
        <w:ind w:left="540" w:hanging="540"/>
        <w:rPr>
          <w:szCs w:val="24"/>
        </w:rPr>
      </w:pPr>
      <w:r>
        <w:rPr>
          <w:szCs w:val="24"/>
        </w:rPr>
        <w:t>Conclusions on the most appropriate (combination of) risk management options</w:t>
      </w:r>
    </w:p>
    <w:p w14:paraId="58C1C129" w14:textId="715EFD89" w:rsidR="003C03A1" w:rsidRDefault="00F616D3" w:rsidP="003C03A1">
      <w:pPr>
        <w:pStyle w:val="Leipteksti"/>
        <w:rPr>
          <w:rFonts w:ascii="Verdana" w:hAnsi="Verdana"/>
          <w:sz w:val="20"/>
        </w:rPr>
      </w:pPr>
      <w:r>
        <w:rPr>
          <w:rFonts w:ascii="Verdana" w:hAnsi="Verdana"/>
          <w:sz w:val="20"/>
        </w:rPr>
        <w:t>D</w:t>
      </w:r>
      <w:r w:rsidR="003C03A1" w:rsidRPr="00E944B9">
        <w:rPr>
          <w:rFonts w:ascii="Verdana" w:hAnsi="Verdana"/>
          <w:sz w:val="20"/>
        </w:rPr>
        <w:t xml:space="preserve">ibenzylbenzene, </w:t>
      </w:r>
      <w:proofErr w:type="spellStart"/>
      <w:r w:rsidR="003C03A1" w:rsidRPr="00E944B9">
        <w:rPr>
          <w:rFonts w:ascii="Verdana" w:hAnsi="Verdana"/>
          <w:sz w:val="20"/>
        </w:rPr>
        <w:t>ar</w:t>
      </w:r>
      <w:proofErr w:type="spellEnd"/>
      <w:r w:rsidR="003C03A1" w:rsidRPr="00E944B9">
        <w:rPr>
          <w:rFonts w:ascii="Verdana" w:hAnsi="Verdana"/>
          <w:sz w:val="20"/>
        </w:rPr>
        <w:t xml:space="preserve">-methyl </w:t>
      </w:r>
      <w:r w:rsidR="003C03A1">
        <w:rPr>
          <w:rFonts w:ascii="Verdana" w:hAnsi="Verdana"/>
          <w:sz w:val="20"/>
        </w:rPr>
        <w:t>derivative</w:t>
      </w:r>
      <w:r w:rsidR="003C03A1" w:rsidRPr="00E944B9">
        <w:rPr>
          <w:rFonts w:ascii="Verdana" w:hAnsi="Verdana"/>
          <w:sz w:val="20"/>
        </w:rPr>
        <w:t xml:space="preserve"> and </w:t>
      </w:r>
      <w:r w:rsidR="003C03A1" w:rsidRPr="006D0213">
        <w:rPr>
          <w:rFonts w:ascii="Verdana" w:hAnsi="Verdana"/>
          <w:sz w:val="20"/>
        </w:rPr>
        <w:t>6-(1-phenylethyl)-1,2,3,4-tetrahydronaphthalene</w:t>
      </w:r>
      <w:r w:rsidR="003C03A1">
        <w:rPr>
          <w:rFonts w:ascii="Verdana" w:hAnsi="Verdana"/>
          <w:sz w:val="20"/>
        </w:rPr>
        <w:t xml:space="preserve"> share similar use as heat transfer fluids as terphenyl, hydrogenated at specific high temperature, non-pressurised heat transfer systems. Based on </w:t>
      </w:r>
      <w:r>
        <w:rPr>
          <w:rFonts w:ascii="Verdana" w:hAnsi="Verdana"/>
          <w:sz w:val="20"/>
        </w:rPr>
        <w:t xml:space="preserve">the </w:t>
      </w:r>
      <w:r w:rsidR="003C03A1">
        <w:rPr>
          <w:rFonts w:ascii="Verdana" w:hAnsi="Verdana"/>
          <w:sz w:val="20"/>
        </w:rPr>
        <w:t>screening level information these alternative substances might have similar PBT/</w:t>
      </w:r>
      <w:proofErr w:type="spellStart"/>
      <w:r w:rsidR="003C03A1">
        <w:rPr>
          <w:rFonts w:ascii="Verdana" w:hAnsi="Verdana"/>
          <w:sz w:val="20"/>
        </w:rPr>
        <w:t>vPvB</w:t>
      </w:r>
      <w:proofErr w:type="spellEnd"/>
      <w:r w:rsidR="003C03A1">
        <w:rPr>
          <w:rFonts w:ascii="Verdana" w:hAnsi="Verdana"/>
          <w:sz w:val="20"/>
        </w:rPr>
        <w:t xml:space="preserve"> properties as terphenyl, hydrogenated, which is already</w:t>
      </w:r>
      <w:r w:rsidR="00614709">
        <w:rPr>
          <w:rFonts w:ascii="Verdana" w:hAnsi="Verdana"/>
          <w:sz w:val="20"/>
        </w:rPr>
        <w:t xml:space="preserve"> included</w:t>
      </w:r>
      <w:r w:rsidR="003C03A1">
        <w:rPr>
          <w:rFonts w:ascii="Verdana" w:hAnsi="Verdana"/>
          <w:sz w:val="20"/>
        </w:rPr>
        <w:t xml:space="preserve"> </w:t>
      </w:r>
      <w:r w:rsidR="009F6947">
        <w:rPr>
          <w:rFonts w:ascii="Verdana" w:hAnsi="Verdana"/>
          <w:sz w:val="20"/>
        </w:rPr>
        <w:t>on the Candidate list</w:t>
      </w:r>
      <w:r w:rsidR="003C03A1">
        <w:rPr>
          <w:rFonts w:ascii="Verdana" w:hAnsi="Verdana"/>
          <w:sz w:val="20"/>
        </w:rPr>
        <w:t>. To avoid regrettable substitution of terphenyl, hydrogenated, PBT/</w:t>
      </w:r>
      <w:proofErr w:type="spellStart"/>
      <w:r w:rsidR="003C03A1">
        <w:rPr>
          <w:rFonts w:ascii="Verdana" w:hAnsi="Verdana"/>
          <w:sz w:val="20"/>
        </w:rPr>
        <w:t>vPvB</w:t>
      </w:r>
      <w:proofErr w:type="spellEnd"/>
      <w:r w:rsidR="003C03A1">
        <w:rPr>
          <w:rFonts w:ascii="Verdana" w:hAnsi="Verdana"/>
          <w:sz w:val="20"/>
        </w:rPr>
        <w:t xml:space="preserve"> properties of the alternative substances </w:t>
      </w:r>
      <w:r w:rsidR="00614709">
        <w:rPr>
          <w:rFonts w:ascii="Verdana" w:hAnsi="Verdana"/>
          <w:sz w:val="20"/>
        </w:rPr>
        <w:t>should</w:t>
      </w:r>
      <w:r w:rsidR="003C03A1">
        <w:rPr>
          <w:rFonts w:ascii="Verdana" w:hAnsi="Verdana"/>
          <w:sz w:val="20"/>
        </w:rPr>
        <w:t xml:space="preserve"> be assessed. </w:t>
      </w:r>
    </w:p>
    <w:p w14:paraId="1C1C392F" w14:textId="7121A65D" w:rsidR="003C03A1" w:rsidRDefault="003C03A1" w:rsidP="003C03A1">
      <w:pPr>
        <w:pStyle w:val="Leipteksti"/>
        <w:rPr>
          <w:rFonts w:ascii="Verdana" w:hAnsi="Verdana"/>
          <w:sz w:val="20"/>
        </w:rPr>
      </w:pPr>
      <w:r>
        <w:rPr>
          <w:rFonts w:ascii="Verdana" w:hAnsi="Verdana"/>
          <w:sz w:val="20"/>
        </w:rPr>
        <w:t>The available information does not allow to conclude whether the Annex XIII criteria are fulfilled or not</w:t>
      </w:r>
      <w:r w:rsidR="00EB74E0">
        <w:rPr>
          <w:rFonts w:ascii="Verdana" w:hAnsi="Verdana"/>
          <w:sz w:val="20"/>
        </w:rPr>
        <w:t xml:space="preserve"> for d</w:t>
      </w:r>
      <w:r w:rsidR="00EB74E0" w:rsidRPr="00E944B9">
        <w:rPr>
          <w:rFonts w:ascii="Verdana" w:hAnsi="Verdana"/>
          <w:sz w:val="20"/>
        </w:rPr>
        <w:t xml:space="preserve">ibenzylbenzene, </w:t>
      </w:r>
      <w:proofErr w:type="spellStart"/>
      <w:r w:rsidR="00EB74E0" w:rsidRPr="00E944B9">
        <w:rPr>
          <w:rFonts w:ascii="Verdana" w:hAnsi="Verdana"/>
          <w:sz w:val="20"/>
        </w:rPr>
        <w:t>ar</w:t>
      </w:r>
      <w:proofErr w:type="spellEnd"/>
      <w:r w:rsidR="00EB74E0" w:rsidRPr="00E944B9">
        <w:rPr>
          <w:rFonts w:ascii="Verdana" w:hAnsi="Verdana"/>
          <w:sz w:val="20"/>
        </w:rPr>
        <w:t xml:space="preserve">-methyl </w:t>
      </w:r>
      <w:r w:rsidR="00EB74E0">
        <w:rPr>
          <w:rFonts w:ascii="Verdana" w:hAnsi="Verdana"/>
          <w:sz w:val="20"/>
        </w:rPr>
        <w:t>derivative</w:t>
      </w:r>
      <w:r w:rsidR="00EB74E0" w:rsidRPr="00E944B9">
        <w:rPr>
          <w:rFonts w:ascii="Verdana" w:hAnsi="Verdana"/>
          <w:sz w:val="20"/>
        </w:rPr>
        <w:t xml:space="preserve"> and </w:t>
      </w:r>
      <w:r w:rsidR="00EB74E0" w:rsidRPr="006D0213">
        <w:rPr>
          <w:rFonts w:ascii="Verdana" w:hAnsi="Verdana"/>
          <w:sz w:val="20"/>
        </w:rPr>
        <w:t>6-(1-phenylethyl)-1,2,3,4-tetrahydronaphthalene</w:t>
      </w:r>
      <w:r>
        <w:rPr>
          <w:rFonts w:ascii="Verdana" w:hAnsi="Verdana"/>
          <w:sz w:val="20"/>
        </w:rPr>
        <w:t>. Further information for the PBT/</w:t>
      </w:r>
      <w:proofErr w:type="spellStart"/>
      <w:r>
        <w:rPr>
          <w:rFonts w:ascii="Verdana" w:hAnsi="Verdana"/>
          <w:sz w:val="20"/>
        </w:rPr>
        <w:t>vPvB</w:t>
      </w:r>
      <w:proofErr w:type="spellEnd"/>
      <w:r>
        <w:rPr>
          <w:rFonts w:ascii="Verdana" w:hAnsi="Verdana"/>
          <w:sz w:val="20"/>
        </w:rPr>
        <w:t xml:space="preserve"> assessment is needed to be able to make a </w:t>
      </w:r>
      <w:proofErr w:type="gramStart"/>
      <w:r>
        <w:rPr>
          <w:rFonts w:ascii="Verdana" w:hAnsi="Verdana"/>
          <w:sz w:val="20"/>
        </w:rPr>
        <w:t>well informed</w:t>
      </w:r>
      <w:proofErr w:type="gramEnd"/>
      <w:r>
        <w:rPr>
          <w:rFonts w:ascii="Verdana" w:hAnsi="Verdana"/>
          <w:sz w:val="20"/>
        </w:rPr>
        <w:t xml:space="preserve"> analysis of appropriate RMMs. </w:t>
      </w:r>
    </w:p>
    <w:p w14:paraId="01CA7A26" w14:textId="77777777" w:rsidR="003C03A1" w:rsidRDefault="003C03A1" w:rsidP="003C03A1">
      <w:pPr>
        <w:pStyle w:val="Leipteksti"/>
        <w:spacing w:after="0"/>
        <w:rPr>
          <w:rFonts w:ascii="Verdana" w:hAnsi="Verdana"/>
          <w:sz w:val="20"/>
        </w:rPr>
      </w:pPr>
      <w:r>
        <w:rPr>
          <w:rFonts w:ascii="Verdana" w:hAnsi="Verdana"/>
          <w:sz w:val="20"/>
        </w:rPr>
        <w:t>Currently, more information for human health and environment are being requested for d</w:t>
      </w:r>
      <w:r w:rsidRPr="00E944B9">
        <w:rPr>
          <w:rFonts w:ascii="Verdana" w:hAnsi="Verdana"/>
          <w:sz w:val="20"/>
        </w:rPr>
        <w:t xml:space="preserve">ibenzylbenzene, </w:t>
      </w:r>
      <w:proofErr w:type="spellStart"/>
      <w:r w:rsidRPr="00E944B9">
        <w:rPr>
          <w:rFonts w:ascii="Verdana" w:hAnsi="Verdana"/>
          <w:sz w:val="20"/>
        </w:rPr>
        <w:t>ar</w:t>
      </w:r>
      <w:proofErr w:type="spellEnd"/>
      <w:r w:rsidRPr="00E944B9">
        <w:rPr>
          <w:rFonts w:ascii="Verdana" w:hAnsi="Verdana"/>
          <w:sz w:val="20"/>
        </w:rPr>
        <w:t xml:space="preserve">-methyl </w:t>
      </w:r>
      <w:r>
        <w:rPr>
          <w:rFonts w:ascii="Verdana" w:hAnsi="Verdana"/>
          <w:sz w:val="20"/>
        </w:rPr>
        <w:t>derivative under ECHA decision on a compliance check based on Article 41 of REACH Regulation (ECHA 2018). The requested information is relevant for PBT/</w:t>
      </w:r>
      <w:proofErr w:type="spellStart"/>
      <w:r>
        <w:rPr>
          <w:rFonts w:ascii="Verdana" w:hAnsi="Verdana"/>
          <w:sz w:val="20"/>
        </w:rPr>
        <w:t>vPvB</w:t>
      </w:r>
      <w:proofErr w:type="spellEnd"/>
      <w:r>
        <w:rPr>
          <w:rFonts w:ascii="Verdana" w:hAnsi="Verdana"/>
          <w:sz w:val="20"/>
        </w:rPr>
        <w:t xml:space="preserve"> assessment. The need for further information e.g. under the Substance Evaluation (</w:t>
      </w:r>
      <w:proofErr w:type="spellStart"/>
      <w:r>
        <w:rPr>
          <w:rFonts w:ascii="Verdana" w:hAnsi="Verdana"/>
          <w:sz w:val="20"/>
        </w:rPr>
        <w:t>SEv</w:t>
      </w:r>
      <w:proofErr w:type="spellEnd"/>
      <w:r>
        <w:rPr>
          <w:rFonts w:ascii="Verdana" w:hAnsi="Verdana"/>
          <w:sz w:val="20"/>
        </w:rPr>
        <w:t xml:space="preserve">) will be assessed when the information requested under CCH is available. The deadline for Registrant(s) to submit the information requested under CCH in an updated registration dossier is 17th January 2022. </w:t>
      </w:r>
    </w:p>
    <w:p w14:paraId="4FBCAE83" w14:textId="77777777" w:rsidR="003C03A1" w:rsidRDefault="003C03A1" w:rsidP="003C03A1">
      <w:pPr>
        <w:pStyle w:val="Leipteksti"/>
        <w:spacing w:after="0"/>
        <w:rPr>
          <w:rFonts w:ascii="Verdana" w:hAnsi="Verdana"/>
          <w:sz w:val="20"/>
        </w:rPr>
      </w:pPr>
    </w:p>
    <w:p w14:paraId="147FC5F7" w14:textId="14D60CA9" w:rsidR="003C03A1" w:rsidRPr="006D0213" w:rsidRDefault="003C03A1" w:rsidP="003C03A1">
      <w:pPr>
        <w:pStyle w:val="Leipteksti"/>
        <w:rPr>
          <w:rFonts w:ascii="Verdana" w:hAnsi="Verdana"/>
          <w:color w:val="000000" w:themeColor="text1"/>
          <w:sz w:val="20"/>
        </w:rPr>
      </w:pPr>
      <w:r>
        <w:rPr>
          <w:rFonts w:ascii="Verdana" w:hAnsi="Verdana"/>
          <w:sz w:val="20"/>
        </w:rPr>
        <w:t xml:space="preserve">For </w:t>
      </w:r>
      <w:r w:rsidRPr="006D0213">
        <w:rPr>
          <w:rFonts w:ascii="Verdana" w:hAnsi="Verdana"/>
          <w:sz w:val="20"/>
        </w:rPr>
        <w:t>6-(1-phenylethyl)-1,2,3,4-tetrahydronaphthalene</w:t>
      </w:r>
      <w:r>
        <w:rPr>
          <w:rFonts w:ascii="Verdana" w:hAnsi="Verdana"/>
          <w:sz w:val="20"/>
        </w:rPr>
        <w:t xml:space="preserve"> more information on environmental hazard properties are needed. </w:t>
      </w:r>
      <w:r w:rsidR="00EB74E0">
        <w:rPr>
          <w:rFonts w:ascii="Verdana" w:hAnsi="Verdana"/>
          <w:sz w:val="20"/>
        </w:rPr>
        <w:t>I</w:t>
      </w:r>
      <w:r>
        <w:rPr>
          <w:rFonts w:ascii="Verdana" w:hAnsi="Verdana"/>
          <w:sz w:val="20"/>
        </w:rPr>
        <w:t xml:space="preserve">t is proposed to add this substance to </w:t>
      </w:r>
      <w:proofErr w:type="spellStart"/>
      <w:r>
        <w:rPr>
          <w:rFonts w:ascii="Verdana" w:hAnsi="Verdana"/>
          <w:sz w:val="20"/>
        </w:rPr>
        <w:t>CoRAP</w:t>
      </w:r>
      <w:proofErr w:type="spellEnd"/>
      <w:r>
        <w:rPr>
          <w:rFonts w:ascii="Verdana" w:hAnsi="Verdana"/>
          <w:sz w:val="20"/>
        </w:rPr>
        <w:t xml:space="preserve"> 2020-2022 by Finland. The main concerns for the proposed </w:t>
      </w:r>
      <w:proofErr w:type="spellStart"/>
      <w:r>
        <w:rPr>
          <w:rFonts w:ascii="Verdana" w:hAnsi="Verdana"/>
          <w:sz w:val="20"/>
        </w:rPr>
        <w:t>CoRAP</w:t>
      </w:r>
      <w:proofErr w:type="spellEnd"/>
      <w:r>
        <w:rPr>
          <w:rFonts w:ascii="Verdana" w:hAnsi="Verdana"/>
          <w:sz w:val="20"/>
        </w:rPr>
        <w:t xml:space="preserve"> listing are the potential for PBT/</w:t>
      </w:r>
      <w:proofErr w:type="spellStart"/>
      <w:r>
        <w:rPr>
          <w:rFonts w:ascii="Verdana" w:hAnsi="Verdana"/>
          <w:sz w:val="20"/>
        </w:rPr>
        <w:t>vPvB</w:t>
      </w:r>
      <w:proofErr w:type="spellEnd"/>
      <w:r>
        <w:rPr>
          <w:rFonts w:ascii="Verdana" w:hAnsi="Verdana"/>
          <w:sz w:val="20"/>
        </w:rPr>
        <w:t xml:space="preserve"> properties, the potential for environmental exposure and the potential to be a substitution candidate for the already identified SVHC substance terphenyl, hydrogenated (</w:t>
      </w:r>
      <w:proofErr w:type="spellStart"/>
      <w:r>
        <w:rPr>
          <w:rFonts w:ascii="Verdana" w:hAnsi="Verdana"/>
          <w:sz w:val="20"/>
        </w:rPr>
        <w:t>vPvB</w:t>
      </w:r>
      <w:proofErr w:type="spellEnd"/>
      <w:r>
        <w:rPr>
          <w:rFonts w:ascii="Verdana" w:hAnsi="Verdana"/>
          <w:sz w:val="20"/>
        </w:rPr>
        <w:t xml:space="preserve">). </w:t>
      </w:r>
      <w:r w:rsidRPr="00CF1B60">
        <w:rPr>
          <w:rFonts w:ascii="Verdana" w:hAnsi="Verdana"/>
          <w:sz w:val="20"/>
        </w:rPr>
        <w:t xml:space="preserve">Evaluation by Finland under </w:t>
      </w:r>
      <w:proofErr w:type="spellStart"/>
      <w:r w:rsidRPr="00CF1B60">
        <w:rPr>
          <w:rFonts w:ascii="Verdana" w:hAnsi="Verdana"/>
          <w:sz w:val="20"/>
        </w:rPr>
        <w:t>CoRAP</w:t>
      </w:r>
      <w:proofErr w:type="spellEnd"/>
      <w:r w:rsidRPr="00CF1B60">
        <w:rPr>
          <w:rFonts w:ascii="Verdana" w:hAnsi="Verdana"/>
          <w:sz w:val="20"/>
        </w:rPr>
        <w:t xml:space="preserve"> is proposed to take place in 2021</w:t>
      </w:r>
      <w:r w:rsidRPr="00CF1B60">
        <w:rPr>
          <w:rFonts w:ascii="Verdana" w:hAnsi="Verdana"/>
          <w:color w:val="FF0000"/>
          <w:sz w:val="20"/>
        </w:rPr>
        <w:t xml:space="preserve"> </w:t>
      </w:r>
      <w:r w:rsidRPr="00CF1B60">
        <w:rPr>
          <w:rFonts w:ascii="Verdana" w:hAnsi="Verdana"/>
          <w:color w:val="000000" w:themeColor="text1"/>
          <w:sz w:val="20"/>
        </w:rPr>
        <w:t>for 6-(1-phenyl</w:t>
      </w:r>
      <w:r w:rsidRPr="006D0213">
        <w:rPr>
          <w:rFonts w:ascii="Verdana" w:hAnsi="Verdana"/>
          <w:color w:val="000000" w:themeColor="text1"/>
          <w:sz w:val="20"/>
        </w:rPr>
        <w:t xml:space="preserve">ethyl)-1,2,3,4-tetrahydronaphthalene. </w:t>
      </w:r>
    </w:p>
    <w:p w14:paraId="46FBFC6C" w14:textId="4F6F4D44" w:rsidR="00CB7771" w:rsidRDefault="003C03A1" w:rsidP="003B5EE7">
      <w:pPr>
        <w:spacing w:after="0"/>
        <w:jc w:val="both"/>
        <w:rPr>
          <w:rFonts w:ascii="Verdana" w:hAnsi="Verdana"/>
          <w:sz w:val="20"/>
        </w:rPr>
      </w:pPr>
      <w:r>
        <w:rPr>
          <w:rFonts w:ascii="Verdana" w:hAnsi="Verdana"/>
          <w:sz w:val="20"/>
        </w:rPr>
        <w:t>For regulatory consistency reasons, if these alternative heat transfer fluids in this RMOA are considered as PBT/</w:t>
      </w:r>
      <w:proofErr w:type="spellStart"/>
      <w:r>
        <w:rPr>
          <w:rFonts w:ascii="Verdana" w:hAnsi="Verdana"/>
          <w:sz w:val="20"/>
        </w:rPr>
        <w:t>vPvB</w:t>
      </w:r>
      <w:proofErr w:type="spellEnd"/>
      <w:r>
        <w:rPr>
          <w:rFonts w:ascii="Verdana" w:hAnsi="Verdana"/>
          <w:sz w:val="20"/>
        </w:rPr>
        <w:t xml:space="preserve"> substances, SVHC identification would be the first RRM option to be considered</w:t>
      </w:r>
      <w:r w:rsidR="009F6947">
        <w:rPr>
          <w:rFonts w:ascii="Verdana" w:hAnsi="Verdana"/>
          <w:sz w:val="20"/>
        </w:rPr>
        <w:t xml:space="preserve">, with authorisation or restriction as a potential follow-up measure. In order to prevent regrettable substitution, future risk management should, as far as possible, be carried out jointly for the functional </w:t>
      </w:r>
      <w:proofErr w:type="gramStart"/>
      <w:r w:rsidR="009F6947">
        <w:rPr>
          <w:rFonts w:ascii="Verdana" w:hAnsi="Verdana"/>
          <w:sz w:val="20"/>
        </w:rPr>
        <w:t>group as a whole</w:t>
      </w:r>
      <w:proofErr w:type="gramEnd"/>
      <w:r>
        <w:rPr>
          <w:rFonts w:ascii="Verdana" w:hAnsi="Verdana"/>
          <w:sz w:val="20"/>
        </w:rPr>
        <w:t>.</w:t>
      </w:r>
      <w:r w:rsidR="00EB74E0">
        <w:rPr>
          <w:rFonts w:ascii="Verdana" w:hAnsi="Verdana"/>
          <w:sz w:val="20"/>
        </w:rPr>
        <w:t xml:space="preserve"> </w:t>
      </w:r>
      <w:r w:rsidR="00EB74E0" w:rsidRPr="00005B81">
        <w:rPr>
          <w:rFonts w:ascii="Verdana" w:hAnsi="Verdana"/>
          <w:sz w:val="20"/>
        </w:rPr>
        <w:t>This RMOA</w:t>
      </w:r>
      <w:r w:rsidR="00EB74E0">
        <w:rPr>
          <w:rFonts w:ascii="Verdana" w:hAnsi="Verdana"/>
          <w:sz w:val="20"/>
        </w:rPr>
        <w:t xml:space="preserve"> document</w:t>
      </w:r>
      <w:r w:rsidR="00EB74E0" w:rsidRPr="00005B81">
        <w:rPr>
          <w:rFonts w:ascii="Verdana" w:hAnsi="Verdana"/>
          <w:sz w:val="20"/>
        </w:rPr>
        <w:t xml:space="preserve"> will be up</w:t>
      </w:r>
      <w:r w:rsidR="00EB74E0">
        <w:rPr>
          <w:rFonts w:ascii="Verdana" w:hAnsi="Verdana"/>
          <w:sz w:val="20"/>
        </w:rPr>
        <w:t>dated when the PBT/</w:t>
      </w:r>
      <w:proofErr w:type="spellStart"/>
      <w:r w:rsidR="00EB74E0">
        <w:rPr>
          <w:rFonts w:ascii="Verdana" w:hAnsi="Verdana"/>
          <w:sz w:val="20"/>
        </w:rPr>
        <w:t>vPvB</w:t>
      </w:r>
      <w:proofErr w:type="spellEnd"/>
      <w:r w:rsidR="00EB74E0">
        <w:rPr>
          <w:rFonts w:ascii="Verdana" w:hAnsi="Verdana"/>
          <w:sz w:val="20"/>
        </w:rPr>
        <w:t xml:space="preserve"> </w:t>
      </w:r>
      <w:r w:rsidR="00EB74E0">
        <w:rPr>
          <w:rFonts w:ascii="Verdana" w:hAnsi="Verdana"/>
          <w:sz w:val="20"/>
        </w:rPr>
        <w:lastRenderedPageBreak/>
        <w:t xml:space="preserve">properties of </w:t>
      </w:r>
      <w:r w:rsidR="003B5EE7">
        <w:rPr>
          <w:rFonts w:ascii="Verdana" w:hAnsi="Verdana"/>
          <w:sz w:val="20"/>
        </w:rPr>
        <w:t>d</w:t>
      </w:r>
      <w:r w:rsidR="003B5EE7" w:rsidRPr="00E944B9">
        <w:rPr>
          <w:rFonts w:ascii="Verdana" w:hAnsi="Verdana"/>
          <w:sz w:val="20"/>
        </w:rPr>
        <w:t xml:space="preserve">ibenzylbenzene, </w:t>
      </w:r>
      <w:proofErr w:type="spellStart"/>
      <w:r w:rsidR="003B5EE7" w:rsidRPr="00E944B9">
        <w:rPr>
          <w:rFonts w:ascii="Verdana" w:hAnsi="Verdana"/>
          <w:sz w:val="20"/>
        </w:rPr>
        <w:t>ar</w:t>
      </w:r>
      <w:proofErr w:type="spellEnd"/>
      <w:r w:rsidR="003B5EE7" w:rsidRPr="00E944B9">
        <w:rPr>
          <w:rFonts w:ascii="Verdana" w:hAnsi="Verdana"/>
          <w:sz w:val="20"/>
        </w:rPr>
        <w:t xml:space="preserve">-methyl </w:t>
      </w:r>
      <w:r w:rsidR="003B5EE7">
        <w:rPr>
          <w:rFonts w:ascii="Verdana" w:hAnsi="Verdana"/>
          <w:sz w:val="20"/>
        </w:rPr>
        <w:t>derivative</w:t>
      </w:r>
      <w:r w:rsidR="003B5EE7" w:rsidRPr="00E944B9">
        <w:rPr>
          <w:rFonts w:ascii="Verdana" w:hAnsi="Verdana"/>
          <w:sz w:val="20"/>
        </w:rPr>
        <w:t xml:space="preserve"> and </w:t>
      </w:r>
      <w:r w:rsidR="003B5EE7" w:rsidRPr="006D0213">
        <w:rPr>
          <w:rFonts w:ascii="Verdana" w:hAnsi="Verdana"/>
          <w:sz w:val="20"/>
        </w:rPr>
        <w:t>6-(1-phenylethyl)-1,2,3,4-tetrahydronaphthalene</w:t>
      </w:r>
      <w:r w:rsidR="00EB74E0">
        <w:rPr>
          <w:rFonts w:ascii="Verdana" w:hAnsi="Verdana"/>
          <w:sz w:val="20"/>
        </w:rPr>
        <w:t xml:space="preserve"> are further clarified.</w:t>
      </w:r>
      <w:r w:rsidR="003B5EE7">
        <w:rPr>
          <w:rFonts w:ascii="Verdana" w:hAnsi="Verdana"/>
          <w:sz w:val="20"/>
        </w:rPr>
        <w:t xml:space="preserve"> </w:t>
      </w:r>
    </w:p>
    <w:p w14:paraId="7BF41167" w14:textId="77777777" w:rsidR="0042302F" w:rsidRDefault="0042302F" w:rsidP="003B5EE7">
      <w:pPr>
        <w:spacing w:after="0"/>
        <w:jc w:val="both"/>
        <w:rPr>
          <w:rFonts w:ascii="Verdana" w:hAnsi="Verdana"/>
          <w:sz w:val="20"/>
        </w:rPr>
      </w:pPr>
    </w:p>
    <w:p w14:paraId="39B96B26" w14:textId="77777777" w:rsidR="00080134" w:rsidRDefault="00080134" w:rsidP="00080134">
      <w:pPr>
        <w:pStyle w:val="Otsikko2"/>
        <w:tabs>
          <w:tab w:val="clear" w:pos="839"/>
          <w:tab w:val="num" w:pos="540"/>
        </w:tabs>
        <w:spacing w:before="240"/>
        <w:ind w:left="540" w:hanging="540"/>
        <w:rPr>
          <w:szCs w:val="24"/>
        </w:rPr>
      </w:pPr>
      <w:r>
        <w:rPr>
          <w:szCs w:val="24"/>
        </w:rPr>
        <w:t>References</w:t>
      </w:r>
    </w:p>
    <w:bookmarkEnd w:id="33"/>
    <w:bookmarkEnd w:id="34"/>
    <w:p w14:paraId="75E28731" w14:textId="269D6F78" w:rsidR="00FE228A" w:rsidRPr="006D0213" w:rsidRDefault="00CF4B97" w:rsidP="00115B39">
      <w:pPr>
        <w:pStyle w:val="Leipteksti"/>
        <w:rPr>
          <w:rFonts w:ascii="Verdana" w:hAnsi="Verdana"/>
          <w:color w:val="000000" w:themeColor="text1"/>
          <w:sz w:val="20"/>
        </w:rPr>
      </w:pPr>
      <w:r w:rsidRPr="006D0213">
        <w:rPr>
          <w:rFonts w:ascii="Verdana" w:hAnsi="Verdana"/>
          <w:color w:val="000000" w:themeColor="text1"/>
          <w:sz w:val="20"/>
        </w:rPr>
        <w:t>ECHA 2017</w:t>
      </w:r>
      <w:r w:rsidR="007C2ACD">
        <w:rPr>
          <w:rFonts w:ascii="Verdana" w:hAnsi="Verdana"/>
          <w:color w:val="000000" w:themeColor="text1"/>
          <w:sz w:val="20"/>
        </w:rPr>
        <w:t>a</w:t>
      </w:r>
      <w:r w:rsidRPr="006D0213">
        <w:rPr>
          <w:rFonts w:ascii="Verdana" w:hAnsi="Verdana"/>
          <w:color w:val="000000" w:themeColor="text1"/>
          <w:sz w:val="20"/>
        </w:rPr>
        <w:t>. Guidance on Information Requirements and Chemical Safety Assessment (Chapter R.11: PBT/</w:t>
      </w:r>
      <w:proofErr w:type="spellStart"/>
      <w:r w:rsidRPr="006D0213">
        <w:rPr>
          <w:rFonts w:ascii="Verdana" w:hAnsi="Verdana"/>
          <w:color w:val="000000" w:themeColor="text1"/>
          <w:sz w:val="20"/>
        </w:rPr>
        <w:t>vPvB</w:t>
      </w:r>
      <w:proofErr w:type="spellEnd"/>
      <w:r w:rsidRPr="006D0213">
        <w:rPr>
          <w:rFonts w:ascii="Verdana" w:hAnsi="Verdana"/>
          <w:color w:val="000000" w:themeColor="text1"/>
          <w:sz w:val="20"/>
        </w:rPr>
        <w:t xml:space="preserve"> assessment). Version 3.0</w:t>
      </w:r>
      <w:r w:rsidR="006D0213" w:rsidRPr="006D0213">
        <w:rPr>
          <w:rFonts w:ascii="Verdana" w:hAnsi="Verdana"/>
          <w:color w:val="000000" w:themeColor="text1"/>
          <w:sz w:val="20"/>
        </w:rPr>
        <w:t>.</w:t>
      </w:r>
    </w:p>
    <w:p w14:paraId="581661FB" w14:textId="00CA1A0D" w:rsidR="007C2ACD" w:rsidRPr="006D0213" w:rsidRDefault="007C2ACD" w:rsidP="00115B39">
      <w:pPr>
        <w:pStyle w:val="Leipteksti"/>
        <w:rPr>
          <w:rFonts w:ascii="Verdana" w:hAnsi="Verdana"/>
          <w:color w:val="000000" w:themeColor="text1"/>
          <w:sz w:val="20"/>
        </w:rPr>
      </w:pPr>
      <w:r>
        <w:rPr>
          <w:rFonts w:ascii="Verdana" w:hAnsi="Verdana"/>
          <w:color w:val="000000" w:themeColor="text1"/>
          <w:sz w:val="20"/>
        </w:rPr>
        <w:t xml:space="preserve">ECHA 2017b. Guidance on the Application of the CLP Criteria (Guidance to Regulation (EC) No 1272/2008 on classification, labelling and </w:t>
      </w:r>
      <w:proofErr w:type="gramStart"/>
      <w:r>
        <w:rPr>
          <w:rFonts w:ascii="Verdana" w:hAnsi="Verdana"/>
          <w:color w:val="000000" w:themeColor="text1"/>
          <w:sz w:val="20"/>
        </w:rPr>
        <w:t>packaging(</w:t>
      </w:r>
      <w:proofErr w:type="gramEnd"/>
      <w:r>
        <w:rPr>
          <w:rFonts w:ascii="Verdana" w:hAnsi="Verdana"/>
          <w:color w:val="000000" w:themeColor="text1"/>
          <w:sz w:val="20"/>
        </w:rPr>
        <w:t xml:space="preserve">CLP) of substances and mixtures. Version 5.0. </w:t>
      </w:r>
    </w:p>
    <w:p w14:paraId="12BC3A2D" w14:textId="0F28FE3E" w:rsidR="00356903" w:rsidRPr="006D0213" w:rsidRDefault="00356903" w:rsidP="00446D2F">
      <w:pPr>
        <w:pStyle w:val="Leipteksti"/>
        <w:rPr>
          <w:rFonts w:ascii="Verdana" w:hAnsi="Verdana"/>
          <w:color w:val="000000" w:themeColor="text1"/>
          <w:sz w:val="20"/>
        </w:rPr>
      </w:pPr>
      <w:r w:rsidRPr="006D0213">
        <w:rPr>
          <w:rFonts w:ascii="Verdana" w:hAnsi="Verdana"/>
          <w:color w:val="000000" w:themeColor="text1"/>
          <w:sz w:val="20"/>
        </w:rPr>
        <w:t xml:space="preserve">ECHA 2018. Decision on a compliance check for </w:t>
      </w:r>
      <w:r w:rsidR="0075364F" w:rsidRPr="006D0213">
        <w:rPr>
          <w:rFonts w:ascii="Verdana" w:hAnsi="Verdana"/>
          <w:color w:val="000000" w:themeColor="text1"/>
          <w:sz w:val="20"/>
        </w:rPr>
        <w:t xml:space="preserve">Dibenzylbenzene, </w:t>
      </w:r>
      <w:proofErr w:type="spellStart"/>
      <w:r w:rsidR="0075364F" w:rsidRPr="006D0213">
        <w:rPr>
          <w:rFonts w:ascii="Verdana" w:hAnsi="Verdana"/>
          <w:color w:val="000000" w:themeColor="text1"/>
          <w:sz w:val="20"/>
        </w:rPr>
        <w:t>ar</w:t>
      </w:r>
      <w:proofErr w:type="spellEnd"/>
      <w:r w:rsidR="0075364F" w:rsidRPr="006D0213">
        <w:rPr>
          <w:rFonts w:ascii="Verdana" w:hAnsi="Verdana"/>
          <w:color w:val="000000" w:themeColor="text1"/>
          <w:sz w:val="20"/>
        </w:rPr>
        <w:t>-methyl derivative.</w:t>
      </w:r>
      <w:r w:rsidR="00EB74E0">
        <w:rPr>
          <w:rFonts w:ascii="Verdana" w:hAnsi="Verdana"/>
          <w:color w:val="000000" w:themeColor="text1"/>
          <w:sz w:val="20"/>
        </w:rPr>
        <w:t xml:space="preserve"> </w:t>
      </w:r>
      <w:r w:rsidR="00EB74E0" w:rsidRPr="00EB74E0">
        <w:rPr>
          <w:rFonts w:ascii="Verdana" w:hAnsi="Verdana"/>
          <w:sz w:val="20"/>
        </w:rPr>
        <w:t>https://echa.europa.eu/documents/10162/142079ba-ed44-66e4-e9ee-ab31045282cf</w:t>
      </w:r>
    </w:p>
    <w:p w14:paraId="55972DF5" w14:textId="4DF37FE7" w:rsidR="001D5B2D" w:rsidRPr="006D0213" w:rsidRDefault="004953A7" w:rsidP="00446D2F">
      <w:pPr>
        <w:pStyle w:val="Leipteksti"/>
        <w:rPr>
          <w:rFonts w:ascii="Verdana" w:hAnsi="Verdana"/>
          <w:color w:val="000000" w:themeColor="text1"/>
          <w:sz w:val="20"/>
        </w:rPr>
      </w:pPr>
      <w:hyperlink r:id="rId23" w:history="1">
        <w:r w:rsidR="00356903" w:rsidRPr="006D0213">
          <w:rPr>
            <w:rStyle w:val="Hyperlinkki"/>
            <w:rFonts w:ascii="Verdana" w:hAnsi="Verdana"/>
            <w:color w:val="000000" w:themeColor="text1"/>
          </w:rPr>
          <w:t>https://www.therminol.com/products/Therminol-66</w:t>
        </w:r>
      </w:hyperlink>
    </w:p>
    <w:p w14:paraId="3DE95FBE" w14:textId="7AB290BF" w:rsidR="001D5B2D" w:rsidRPr="006D0213" w:rsidRDefault="006D0213" w:rsidP="00446D2F">
      <w:pPr>
        <w:pStyle w:val="Leipteksti"/>
        <w:rPr>
          <w:rFonts w:ascii="Verdana" w:hAnsi="Verdana"/>
          <w:color w:val="000000" w:themeColor="text1"/>
          <w:sz w:val="20"/>
        </w:rPr>
      </w:pPr>
      <w:r w:rsidRPr="006D0213">
        <w:rPr>
          <w:rFonts w:ascii="Verdana" w:hAnsi="Verdana"/>
          <w:color w:val="000000" w:themeColor="text1"/>
          <w:sz w:val="20"/>
        </w:rPr>
        <w:t xml:space="preserve">Damiani Michael R. </w:t>
      </w:r>
      <w:hyperlink r:id="rId24" w:history="1">
        <w:r w:rsidR="001D5B2D" w:rsidRPr="006D0213">
          <w:rPr>
            <w:rStyle w:val="Hyperlinkki"/>
            <w:rFonts w:ascii="Verdana" w:hAnsi="Verdana" w:cs="Arial"/>
            <w:bCs/>
            <w:color w:val="000000" w:themeColor="text1"/>
            <w:u w:val="none"/>
          </w:rPr>
          <w:t>Selecting Heat Transfer Fluids: Synthetic or Hot Oil?</w:t>
        </w:r>
      </w:hyperlink>
      <w:r w:rsidR="001D5B2D" w:rsidRPr="006D0213">
        <w:rPr>
          <w:rFonts w:ascii="Verdana" w:hAnsi="Verdana" w:cs="Arial"/>
          <w:bCs/>
          <w:color w:val="000000" w:themeColor="text1"/>
          <w:sz w:val="20"/>
        </w:rPr>
        <w:t xml:space="preserve"> </w:t>
      </w:r>
      <w:hyperlink r:id="rId25" w:history="1">
        <w:r w:rsidR="001D5B2D" w:rsidRPr="006D0213">
          <w:rPr>
            <w:rStyle w:val="author-bylinesauthor-link-name"/>
            <w:rFonts w:ascii="Verdana" w:hAnsi="Verdana" w:cs="Arial"/>
            <w:i/>
            <w:iCs/>
            <w:color w:val="000000" w:themeColor="text1"/>
            <w:sz w:val="20"/>
          </w:rPr>
          <w:t xml:space="preserve"> </w:t>
        </w:r>
        <w:proofErr w:type="spellStart"/>
        <w:r w:rsidR="001D5B2D" w:rsidRPr="006D0213">
          <w:rPr>
            <w:rStyle w:val="author-bylinesauthor-link-name"/>
            <w:rFonts w:ascii="Verdana" w:hAnsi="Verdana" w:cs="Arial"/>
            <w:i/>
            <w:iCs/>
            <w:color w:val="000000" w:themeColor="text1"/>
            <w:sz w:val="20"/>
          </w:rPr>
          <w:t>Radco</w:t>
        </w:r>
        <w:proofErr w:type="spellEnd"/>
        <w:r w:rsidR="001D5B2D" w:rsidRPr="006D0213">
          <w:rPr>
            <w:rStyle w:val="author-bylinesauthor-link-name"/>
            <w:rFonts w:ascii="Verdana" w:hAnsi="Verdana" w:cs="Arial"/>
            <w:i/>
            <w:iCs/>
            <w:color w:val="000000" w:themeColor="text1"/>
            <w:sz w:val="20"/>
          </w:rPr>
          <w:t xml:space="preserve"> Industries Inc.</w:t>
        </w:r>
      </w:hyperlink>
      <w:r w:rsidR="001D5B2D" w:rsidRPr="006D0213">
        <w:rPr>
          <w:rFonts w:ascii="Verdana" w:hAnsi="Verdana"/>
          <w:color w:val="000000" w:themeColor="text1"/>
          <w:sz w:val="20"/>
        </w:rPr>
        <w:t xml:space="preserve"> </w:t>
      </w:r>
      <w:r w:rsidR="001D5B2D" w:rsidRPr="006D0213">
        <w:rPr>
          <w:rFonts w:ascii="Verdana" w:hAnsi="Verdana"/>
          <w:i/>
          <w:iCs/>
          <w:color w:val="000000" w:themeColor="text1"/>
          <w:sz w:val="20"/>
        </w:rPr>
        <w:t>October 1, 1998. Process Heating.</w:t>
      </w:r>
    </w:p>
    <w:p w14:paraId="0072280E" w14:textId="17020C1D" w:rsidR="002B0694" w:rsidRPr="006D0213" w:rsidRDefault="002B0694" w:rsidP="002B0694">
      <w:pPr>
        <w:rPr>
          <w:rFonts w:ascii="Verdana" w:hAnsi="Verdana" w:cs="Arial"/>
          <w:color w:val="000000" w:themeColor="text1"/>
          <w:sz w:val="20"/>
          <w:szCs w:val="20"/>
          <w:shd w:val="clear" w:color="auto" w:fill="FFFFFF"/>
        </w:rPr>
      </w:pPr>
      <w:proofErr w:type="spellStart"/>
      <w:r w:rsidRPr="006D0213">
        <w:rPr>
          <w:rFonts w:ascii="Verdana" w:hAnsi="Verdana"/>
          <w:color w:val="000000" w:themeColor="text1"/>
          <w:sz w:val="20"/>
          <w:szCs w:val="20"/>
          <w:lang w:val="en-GB"/>
        </w:rPr>
        <w:t>Wuhr</w:t>
      </w:r>
      <w:proofErr w:type="spellEnd"/>
      <w:r w:rsidR="006D0213" w:rsidRPr="006D0213">
        <w:rPr>
          <w:rFonts w:ascii="Verdana" w:hAnsi="Verdana"/>
          <w:color w:val="000000" w:themeColor="text1"/>
          <w:sz w:val="20"/>
          <w:szCs w:val="20"/>
          <w:lang w:val="en-GB"/>
        </w:rPr>
        <w:t xml:space="preserve"> 2008.</w:t>
      </w:r>
      <w:r w:rsidRPr="006D0213">
        <w:rPr>
          <w:rFonts w:ascii="Verdana" w:hAnsi="Verdana"/>
          <w:color w:val="000000" w:themeColor="text1"/>
          <w:sz w:val="20"/>
          <w:szCs w:val="20"/>
          <w:lang w:val="en-GB"/>
        </w:rPr>
        <w:t xml:space="preserve"> </w:t>
      </w:r>
      <w:r w:rsidRPr="006D0213">
        <w:rPr>
          <w:rFonts w:ascii="Verdana" w:hAnsi="Verdana" w:cs="Arial"/>
          <w:color w:val="000000" w:themeColor="text1"/>
          <w:sz w:val="20"/>
          <w:szCs w:val="20"/>
          <w:shd w:val="clear" w:color="auto" w:fill="FFFFFF"/>
        </w:rPr>
        <w:t>https://www.process-worldwide.com/what-to-look-out-for-when-you-choose-a-heat-transfer-oil-a-301797/</w:t>
      </w:r>
    </w:p>
    <w:p w14:paraId="6062B77F" w14:textId="449769CF" w:rsidR="00C255BE" w:rsidRPr="002212D4" w:rsidRDefault="00C255BE" w:rsidP="001D5B2D">
      <w:pPr>
        <w:rPr>
          <w:rFonts w:ascii="Verdana" w:hAnsi="Verdana"/>
          <w:color w:val="000000" w:themeColor="text1"/>
          <w:sz w:val="20"/>
          <w:szCs w:val="20"/>
          <w:lang w:val="en-GB"/>
        </w:rPr>
      </w:pPr>
      <w:r w:rsidRPr="006D0213">
        <w:rPr>
          <w:rFonts w:ascii="Verdana" w:hAnsi="Verdana"/>
          <w:color w:val="000000" w:themeColor="text1"/>
          <w:sz w:val="20"/>
          <w:szCs w:val="20"/>
          <w:lang w:val="fi-FI"/>
        </w:rPr>
        <w:t xml:space="preserve">Aro Teuvo, </w:t>
      </w:r>
      <w:proofErr w:type="spellStart"/>
      <w:r w:rsidRPr="006D0213">
        <w:rPr>
          <w:rFonts w:ascii="Verdana" w:hAnsi="Verdana"/>
          <w:color w:val="000000" w:themeColor="text1"/>
          <w:sz w:val="20"/>
          <w:szCs w:val="20"/>
          <w:lang w:val="fi-FI"/>
        </w:rPr>
        <w:t>Hagner</w:t>
      </w:r>
      <w:proofErr w:type="spellEnd"/>
      <w:r w:rsidRPr="006D0213">
        <w:rPr>
          <w:rFonts w:ascii="Verdana" w:hAnsi="Verdana"/>
          <w:color w:val="000000" w:themeColor="text1"/>
          <w:sz w:val="20"/>
          <w:szCs w:val="20"/>
          <w:lang w:val="fi-FI"/>
        </w:rPr>
        <w:t xml:space="preserve"> Börje, Lähteenmäki Seppo, </w:t>
      </w:r>
      <w:proofErr w:type="spellStart"/>
      <w:r w:rsidRPr="006D0213">
        <w:rPr>
          <w:rFonts w:ascii="Verdana" w:hAnsi="Verdana"/>
          <w:color w:val="000000" w:themeColor="text1"/>
          <w:sz w:val="20"/>
          <w:szCs w:val="20"/>
          <w:lang w:val="fi-FI"/>
        </w:rPr>
        <w:t>Tyry</w:t>
      </w:r>
      <w:proofErr w:type="spellEnd"/>
      <w:r w:rsidRPr="006D0213">
        <w:rPr>
          <w:rFonts w:ascii="Verdana" w:hAnsi="Verdana"/>
          <w:color w:val="000000" w:themeColor="text1"/>
          <w:sz w:val="20"/>
          <w:szCs w:val="20"/>
          <w:lang w:val="fi-FI"/>
        </w:rPr>
        <w:t xml:space="preserve"> Anja-Leena. </w:t>
      </w:r>
      <w:proofErr w:type="spellStart"/>
      <w:r w:rsidRPr="002212D4">
        <w:rPr>
          <w:rFonts w:ascii="Verdana" w:hAnsi="Verdana"/>
          <w:color w:val="000000" w:themeColor="text1"/>
          <w:sz w:val="20"/>
          <w:szCs w:val="20"/>
          <w:lang w:val="en-GB"/>
        </w:rPr>
        <w:t>Kuumaöljyopas</w:t>
      </w:r>
      <w:proofErr w:type="spellEnd"/>
      <w:r w:rsidRPr="002212D4">
        <w:rPr>
          <w:rFonts w:ascii="Verdana" w:hAnsi="Verdana"/>
          <w:color w:val="000000" w:themeColor="text1"/>
          <w:sz w:val="20"/>
          <w:szCs w:val="20"/>
          <w:lang w:val="en-GB"/>
        </w:rPr>
        <w:t>, 1987. Espoo: Neste Oy</w:t>
      </w:r>
      <w:r w:rsidR="006D0213" w:rsidRPr="002212D4">
        <w:rPr>
          <w:rFonts w:ascii="Verdana" w:hAnsi="Verdana"/>
          <w:color w:val="000000" w:themeColor="text1"/>
          <w:sz w:val="20"/>
          <w:szCs w:val="20"/>
          <w:lang w:val="en-GB"/>
        </w:rPr>
        <w:t>.</w:t>
      </w:r>
    </w:p>
    <w:p w14:paraId="6346D7ED" w14:textId="78565B9A" w:rsidR="00CF4B97" w:rsidRPr="006D0213" w:rsidRDefault="00CF4B97" w:rsidP="00CF4B97">
      <w:pPr>
        <w:pStyle w:val="Leipteksti"/>
        <w:rPr>
          <w:rFonts w:ascii="Verdana" w:hAnsi="Verdana"/>
          <w:color w:val="000000" w:themeColor="text1"/>
          <w:sz w:val="20"/>
        </w:rPr>
      </w:pPr>
      <w:proofErr w:type="spellStart"/>
      <w:r w:rsidRPr="006D0213">
        <w:rPr>
          <w:rStyle w:val="highlight"/>
          <w:rFonts w:ascii="Verdana" w:hAnsi="Verdana" w:cs="Arial"/>
          <w:color w:val="000000" w:themeColor="text1"/>
          <w:sz w:val="20"/>
        </w:rPr>
        <w:t>Rorije</w:t>
      </w:r>
      <w:proofErr w:type="spellEnd"/>
      <w:r w:rsidRPr="006D0213">
        <w:rPr>
          <w:rStyle w:val="highlight"/>
          <w:rFonts w:ascii="Verdana" w:hAnsi="Verdana" w:cs="Arial"/>
          <w:color w:val="000000" w:themeColor="text1"/>
          <w:sz w:val="20"/>
        </w:rPr>
        <w:t xml:space="preserve"> </w:t>
      </w:r>
      <w:r w:rsidRPr="006D0213">
        <w:rPr>
          <w:rFonts w:ascii="Verdana" w:hAnsi="Verdana" w:cs="Arial"/>
          <w:color w:val="000000" w:themeColor="text1"/>
          <w:sz w:val="20"/>
        </w:rPr>
        <w:t xml:space="preserve">E, </w:t>
      </w:r>
      <w:proofErr w:type="spellStart"/>
      <w:r w:rsidRPr="006D0213">
        <w:rPr>
          <w:rFonts w:ascii="Verdana" w:hAnsi="Verdana" w:cs="Arial"/>
          <w:color w:val="000000" w:themeColor="text1"/>
          <w:sz w:val="20"/>
        </w:rPr>
        <w:t>Verbruggen</w:t>
      </w:r>
      <w:proofErr w:type="spellEnd"/>
      <w:r w:rsidRPr="006D0213">
        <w:rPr>
          <w:rFonts w:ascii="Verdana" w:hAnsi="Verdana" w:cs="Arial"/>
          <w:color w:val="000000" w:themeColor="text1"/>
          <w:sz w:val="20"/>
        </w:rPr>
        <w:t xml:space="preserve"> E.M.J, and de Knecht J.A (2012) Service Request on a critical review of the environmental and physicochemical methodologies commonly employed in the environmental risk assessment of petroleum substances in the context of REACH registrations. Framework Contract No ECHA/2008/2 Reference No ECHA/2008/02/5R30</w:t>
      </w:r>
      <w:r w:rsidR="006D0213" w:rsidRPr="006D0213">
        <w:rPr>
          <w:rFonts w:ascii="Verdana" w:hAnsi="Verdana" w:cs="Arial"/>
          <w:color w:val="000000" w:themeColor="text1"/>
          <w:sz w:val="20"/>
        </w:rPr>
        <w:t>.</w:t>
      </w:r>
    </w:p>
    <w:p w14:paraId="3582238D" w14:textId="3218EABE" w:rsidR="006B68BE" w:rsidRPr="006D0213" w:rsidRDefault="006B68BE" w:rsidP="001D5B2D">
      <w:pPr>
        <w:rPr>
          <w:rFonts w:ascii="Verdana" w:hAnsi="Verdana"/>
          <w:color w:val="000000" w:themeColor="text1"/>
          <w:sz w:val="20"/>
          <w:szCs w:val="20"/>
          <w:lang w:val="en-GB"/>
        </w:rPr>
      </w:pPr>
      <w:r w:rsidRPr="006D0213">
        <w:rPr>
          <w:rFonts w:ascii="Verdana" w:hAnsi="Verdana"/>
          <w:color w:val="000000" w:themeColor="text1"/>
          <w:sz w:val="20"/>
          <w:szCs w:val="20"/>
          <w:lang w:val="en-GB"/>
        </w:rPr>
        <w:t>https://www.sasolgermany.de/index.php?id=217</w:t>
      </w:r>
    </w:p>
    <w:p w14:paraId="12117B78" w14:textId="2402F435" w:rsidR="00C96220" w:rsidRPr="006D0213" w:rsidRDefault="00C96220" w:rsidP="00C255BE">
      <w:pPr>
        <w:rPr>
          <w:rFonts w:ascii="Verdana" w:hAnsi="Verdana"/>
          <w:color w:val="000000" w:themeColor="text1"/>
          <w:sz w:val="20"/>
          <w:szCs w:val="20"/>
        </w:rPr>
      </w:pPr>
      <w:proofErr w:type="spellStart"/>
      <w:r w:rsidRPr="006D0213">
        <w:rPr>
          <w:rFonts w:ascii="Verdana" w:hAnsi="Verdana"/>
          <w:color w:val="000000" w:themeColor="text1"/>
          <w:sz w:val="20"/>
          <w:szCs w:val="20"/>
        </w:rPr>
        <w:t>Lanxe</w:t>
      </w:r>
      <w:r w:rsidR="009B2B06" w:rsidRPr="006D0213">
        <w:rPr>
          <w:rFonts w:ascii="Verdana" w:hAnsi="Verdana"/>
          <w:color w:val="000000" w:themeColor="text1"/>
          <w:sz w:val="20"/>
          <w:szCs w:val="20"/>
        </w:rPr>
        <w:t>ss</w:t>
      </w:r>
      <w:proofErr w:type="spellEnd"/>
      <w:r w:rsidR="009B2B06" w:rsidRPr="006D0213">
        <w:rPr>
          <w:rFonts w:ascii="Verdana" w:hAnsi="Verdana"/>
          <w:color w:val="000000" w:themeColor="text1"/>
          <w:sz w:val="20"/>
          <w:szCs w:val="20"/>
        </w:rPr>
        <w:t xml:space="preserve"> 2017. Diphenyl brochure: </w:t>
      </w:r>
      <w:hyperlink r:id="rId26" w:history="1">
        <w:r w:rsidR="009B2B06" w:rsidRPr="006D0213">
          <w:rPr>
            <w:rStyle w:val="Hyperlinkki"/>
            <w:rFonts w:ascii="Verdana" w:hAnsi="Verdana"/>
            <w:color w:val="000000" w:themeColor="text1"/>
            <w:szCs w:val="20"/>
          </w:rPr>
          <w:t>http://advancedindustrialintermediates.com/fileadmin/user_upload/Diphyl_brochure_04.2017.pdf</w:t>
        </w:r>
      </w:hyperlink>
    </w:p>
    <w:p w14:paraId="608617C1" w14:textId="77777777" w:rsidR="00C96220" w:rsidRDefault="004074B1" w:rsidP="00446D2F">
      <w:pPr>
        <w:rPr>
          <w:rFonts w:ascii="Verdana" w:hAnsi="Verdana"/>
          <w:color w:val="000000" w:themeColor="text1"/>
          <w:sz w:val="20"/>
          <w:szCs w:val="20"/>
        </w:rPr>
      </w:pPr>
      <w:r w:rsidRPr="006D0213">
        <w:rPr>
          <w:rFonts w:ascii="Verdana" w:hAnsi="Verdana"/>
          <w:color w:val="000000" w:themeColor="text1"/>
          <w:sz w:val="20"/>
          <w:szCs w:val="20"/>
        </w:rPr>
        <w:t>Dow 1996</w:t>
      </w:r>
      <w:r w:rsidR="009B2B06" w:rsidRPr="006D0213">
        <w:rPr>
          <w:rFonts w:ascii="Verdana" w:hAnsi="Verdana"/>
          <w:color w:val="000000" w:themeColor="text1"/>
          <w:sz w:val="20"/>
          <w:szCs w:val="20"/>
        </w:rPr>
        <w:t>.</w:t>
      </w:r>
      <w:r w:rsidRPr="006D0213">
        <w:rPr>
          <w:rFonts w:ascii="Verdana" w:hAnsi="Verdana"/>
          <w:color w:val="000000" w:themeColor="text1"/>
          <w:sz w:val="20"/>
          <w:szCs w:val="20"/>
        </w:rPr>
        <w:t xml:space="preserve"> Dowtherm® RP Heat Transfer Fluid. Product Technical Data</w:t>
      </w:r>
      <w:r w:rsidR="006D0213">
        <w:rPr>
          <w:rFonts w:ascii="Verdana" w:hAnsi="Verdana"/>
          <w:color w:val="000000" w:themeColor="text1"/>
          <w:sz w:val="20"/>
          <w:szCs w:val="20"/>
        </w:rPr>
        <w:t>.</w:t>
      </w:r>
    </w:p>
    <w:p w14:paraId="2131DC09" w14:textId="77777777" w:rsidR="004953A7" w:rsidRDefault="004953A7" w:rsidP="00446D2F">
      <w:pPr>
        <w:rPr>
          <w:rFonts w:ascii="Verdana" w:hAnsi="Verdana"/>
          <w:color w:val="000000" w:themeColor="text1"/>
          <w:sz w:val="20"/>
          <w:szCs w:val="20"/>
        </w:rPr>
      </w:pPr>
    </w:p>
    <w:p w14:paraId="25BF7690" w14:textId="77777777" w:rsidR="004953A7" w:rsidRDefault="004953A7" w:rsidP="00446D2F">
      <w:pPr>
        <w:rPr>
          <w:rFonts w:ascii="Verdana" w:hAnsi="Verdana"/>
          <w:color w:val="000000" w:themeColor="text1"/>
          <w:sz w:val="20"/>
          <w:szCs w:val="20"/>
        </w:rPr>
      </w:pPr>
    </w:p>
    <w:sectPr w:rsidR="004953A7" w:rsidSect="004953A7">
      <w:headerReference w:type="default" r:id="rId27"/>
      <w:headerReference w:type="first" r:id="rId28"/>
      <w:pgSz w:w="11906" w:h="16838" w:code="9"/>
      <w:pgMar w:top="1418" w:right="1797" w:bottom="1134" w:left="179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C67D7" w14:textId="77777777" w:rsidR="00CE1B77" w:rsidRDefault="00CE1B77" w:rsidP="00255FD3">
      <w:r>
        <w:separator/>
      </w:r>
    </w:p>
  </w:endnote>
  <w:endnote w:type="continuationSeparator" w:id="0">
    <w:p w14:paraId="5BB798FF" w14:textId="77777777" w:rsidR="00CE1B77" w:rsidRDefault="00CE1B77" w:rsidP="00255FD3">
      <w:r>
        <w:continuationSeparator/>
      </w:r>
    </w:p>
  </w:endnote>
  <w:endnote w:type="continuationNotice" w:id="1">
    <w:p w14:paraId="0A5E3FFC" w14:textId="77777777" w:rsidR="00CE1B77" w:rsidRDefault="00CE1B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96B8A" w14:textId="77777777" w:rsidR="00CE1B77" w:rsidRPr="00926DC2" w:rsidRDefault="00CE1B77" w:rsidP="0034630E">
    <w:pPr>
      <w:pStyle w:val="Alatunniste"/>
      <w:spacing w:after="0"/>
      <w:rPr>
        <w:rFonts w:ascii="Verdana" w:hAnsi="Verdana"/>
        <w:sz w:val="18"/>
        <w:szCs w:val="18"/>
      </w:rPr>
    </w:pPr>
    <w:r w:rsidRPr="00926DC2">
      <w:rPr>
        <w:rFonts w:ascii="Verdana" w:hAnsi="Verdana"/>
        <w:sz w:val="18"/>
        <w:szCs w:val="18"/>
      </w:rPr>
      <w:t>Version 2.</w:t>
    </w:r>
    <w:r>
      <w:rPr>
        <w:rFonts w:ascii="Verdana" w:hAnsi="Verdana"/>
        <w:sz w:val="18"/>
        <w:szCs w:val="18"/>
      </w:rPr>
      <w:t>1</w:t>
    </w:r>
  </w:p>
  <w:p w14:paraId="39B96B8B" w14:textId="5B5903D1" w:rsidR="00CE1B77" w:rsidRPr="00926DC2" w:rsidRDefault="00CE1B77" w:rsidP="0034630E">
    <w:pPr>
      <w:pStyle w:val="Alatunniste"/>
      <w:spacing w:after="0"/>
      <w:rPr>
        <w:rFonts w:ascii="Verdana" w:hAnsi="Verdana"/>
        <w:sz w:val="18"/>
        <w:szCs w:val="18"/>
      </w:rPr>
    </w:pPr>
    <w:r>
      <w:rPr>
        <w:rFonts w:ascii="Verdana" w:hAnsi="Verdana"/>
        <w:sz w:val="18"/>
        <w:szCs w:val="18"/>
      </w:rPr>
      <w:t>October 2015</w:t>
    </w:r>
  </w:p>
  <w:p w14:paraId="39B96B8E" w14:textId="77777777" w:rsidR="00CE1B77" w:rsidRPr="00926DC2" w:rsidRDefault="00CE1B77" w:rsidP="00926DC2">
    <w:pPr>
      <w:pStyle w:val="Alatunniste"/>
      <w:spacing w:after="0"/>
      <w:rPr>
        <w:rFonts w:ascii="Verdana" w:hAnsi="Verdan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96B92" w14:textId="77777777" w:rsidR="00CE1B77" w:rsidRPr="004C0EB1" w:rsidRDefault="00CE1B77" w:rsidP="006A20E6">
    <w:pPr>
      <w:shd w:val="clear" w:color="auto" w:fill="D9D9D9" w:themeFill="background1" w:themeFillShade="D9"/>
      <w:spacing w:after="0"/>
      <w:rPr>
        <w:rFonts w:ascii="Verdana" w:hAnsi="Verdana"/>
        <w:bCs/>
        <w:i/>
        <w:sz w:val="20"/>
        <w:szCs w:val="20"/>
        <w:shd w:val="clear" w:color="auto" w:fill="D9D9D9" w:themeFill="background1" w:themeFillShade="D9"/>
        <w:lang w:val="en-GB" w:eastAsia="en-GB"/>
      </w:rPr>
    </w:pPr>
    <w:r w:rsidRPr="004C0EB1">
      <w:rPr>
        <w:rFonts w:ascii="Verdana" w:hAnsi="Verdana"/>
        <w:b/>
        <w:bCs/>
        <w:i/>
        <w:sz w:val="20"/>
        <w:szCs w:val="20"/>
        <w:shd w:val="clear" w:color="auto" w:fill="D9D9D9" w:themeFill="background1" w:themeFillShade="D9"/>
        <w:lang w:val="en-GB" w:eastAsia="en-GB"/>
      </w:rPr>
      <w:t>Note:</w:t>
    </w:r>
    <w:r w:rsidRPr="004C0EB1">
      <w:rPr>
        <w:rFonts w:ascii="Verdana" w:hAnsi="Verdana"/>
        <w:bCs/>
        <w:i/>
        <w:sz w:val="20"/>
        <w:szCs w:val="20"/>
        <w:shd w:val="clear" w:color="auto" w:fill="D9D9D9" w:themeFill="background1" w:themeFillShade="D9"/>
        <w:lang w:val="en-GB" w:eastAsia="en-GB"/>
      </w:rPr>
      <w:t xml:space="preserve"> The grey-shaded sections are mostly intended for RMOA</w:t>
    </w:r>
  </w:p>
  <w:p w14:paraId="39B96B93" w14:textId="77777777" w:rsidR="00CE1B77" w:rsidRPr="006A20E6" w:rsidRDefault="00CE1B77" w:rsidP="006A20E6">
    <w:pPr>
      <w:pStyle w:val="Alatunnist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96B94" w14:textId="0677E6D2" w:rsidR="00CE1B77" w:rsidRPr="00583FA6" w:rsidRDefault="00CE1B77" w:rsidP="00583FA6">
    <w:pPr>
      <w:pStyle w:val="Alatunniste"/>
      <w:tabs>
        <w:tab w:val="clear" w:pos="4153"/>
        <w:tab w:val="clear" w:pos="8306"/>
        <w:tab w:val="left" w:pos="284"/>
        <w:tab w:val="center" w:pos="4395"/>
        <w:tab w:val="right" w:pos="8789"/>
      </w:tabs>
      <w:spacing w:after="0"/>
      <w:ind w:left="-426" w:right="360"/>
      <w:rPr>
        <w:rFonts w:ascii="Verdana" w:hAnsi="Verdana"/>
        <w:sz w:val="18"/>
        <w:szCs w:val="18"/>
      </w:rPr>
    </w:pPr>
    <w:bookmarkStart w:id="8" w:name="_Hlk30774383"/>
    <w:r w:rsidRPr="009A61C8">
      <w:rPr>
        <w:rFonts w:ascii="Verdana" w:hAnsi="Verdana"/>
        <w:sz w:val="18"/>
        <w:szCs w:val="18"/>
      </w:rPr>
      <w:t xml:space="preserve">EC no </w:t>
    </w:r>
    <w:r w:rsidRPr="00EB5287">
      <w:rPr>
        <w:rFonts w:ascii="Verdana" w:hAnsi="Verdana"/>
        <w:sz w:val="18"/>
        <w:szCs w:val="18"/>
      </w:rPr>
      <w:t>258-649-2</w:t>
    </w:r>
    <w:r>
      <w:rPr>
        <w:rFonts w:ascii="Verdana" w:hAnsi="Verdana"/>
        <w:sz w:val="18"/>
        <w:szCs w:val="18"/>
      </w:rPr>
      <w:t xml:space="preserve"> &amp; </w:t>
    </w:r>
    <w:r w:rsidRPr="00EB5287">
      <w:rPr>
        <w:rFonts w:ascii="Verdana" w:hAnsi="Verdana"/>
        <w:sz w:val="18"/>
        <w:szCs w:val="18"/>
      </w:rPr>
      <w:t>400-370-7</w:t>
    </w:r>
    <w:bookmarkEnd w:id="8"/>
    <w:r w:rsidRPr="009A61C8">
      <w:rPr>
        <w:rFonts w:ascii="Verdana" w:hAnsi="Verdana"/>
        <w:sz w:val="18"/>
        <w:szCs w:val="18"/>
      </w:rPr>
      <w:tab/>
    </w:r>
    <w:bookmarkStart w:id="9" w:name="_Hlk30774393"/>
    <w:r w:rsidRPr="009A61C8">
      <w:rPr>
        <w:rFonts w:ascii="Verdana" w:hAnsi="Verdana"/>
        <w:sz w:val="18"/>
        <w:szCs w:val="18"/>
      </w:rPr>
      <w:t xml:space="preserve">MSCA - </w:t>
    </w:r>
    <w:r>
      <w:rPr>
        <w:rFonts w:ascii="Verdana" w:hAnsi="Verdana"/>
        <w:sz w:val="18"/>
        <w:szCs w:val="18"/>
      </w:rPr>
      <w:t>FI</w:t>
    </w:r>
    <w:bookmarkEnd w:id="9"/>
    <w:r>
      <w:rPr>
        <w:rFonts w:ascii="Verdana" w:hAnsi="Verdana"/>
        <w:sz w:val="18"/>
        <w:szCs w:val="18"/>
      </w:rPr>
      <w:tab/>
    </w:r>
    <w:r w:rsidRPr="009320DD">
      <w:rPr>
        <w:rFonts w:ascii="Verdana" w:hAnsi="Verdana"/>
        <w:sz w:val="18"/>
        <w:szCs w:val="18"/>
      </w:rPr>
      <w:t xml:space="preserve">Page </w:t>
    </w:r>
    <w:r w:rsidRPr="009320DD">
      <w:rPr>
        <w:rFonts w:ascii="Verdana" w:hAnsi="Verdana"/>
        <w:sz w:val="18"/>
        <w:szCs w:val="18"/>
      </w:rPr>
      <w:fldChar w:fldCharType="begin"/>
    </w:r>
    <w:r w:rsidRPr="009320DD">
      <w:rPr>
        <w:rFonts w:ascii="Verdana" w:hAnsi="Verdana"/>
        <w:sz w:val="18"/>
        <w:szCs w:val="18"/>
      </w:rPr>
      <w:instrText xml:space="preserve"> PAGE </w:instrText>
    </w:r>
    <w:r w:rsidRPr="009320DD">
      <w:rPr>
        <w:rFonts w:ascii="Verdana" w:hAnsi="Verdana"/>
        <w:sz w:val="18"/>
        <w:szCs w:val="18"/>
      </w:rPr>
      <w:fldChar w:fldCharType="separate"/>
    </w:r>
    <w:r>
      <w:rPr>
        <w:rFonts w:ascii="Verdana" w:hAnsi="Verdana"/>
        <w:noProof/>
        <w:sz w:val="18"/>
        <w:szCs w:val="18"/>
      </w:rPr>
      <w:t>2</w:t>
    </w:r>
    <w:r w:rsidRPr="009320DD">
      <w:rPr>
        <w:rFonts w:ascii="Verdana" w:hAnsi="Verdana"/>
        <w:sz w:val="18"/>
        <w:szCs w:val="18"/>
      </w:rPr>
      <w:fldChar w:fldCharType="end"/>
    </w:r>
    <w:r w:rsidRPr="009320DD">
      <w:rPr>
        <w:rFonts w:ascii="Verdana" w:hAnsi="Verdana"/>
        <w:sz w:val="18"/>
        <w:szCs w:val="18"/>
      </w:rPr>
      <w:t xml:space="preserve"> of </w:t>
    </w:r>
    <w:r w:rsidRPr="009320DD">
      <w:rPr>
        <w:rFonts w:ascii="Verdana" w:hAnsi="Verdana"/>
        <w:sz w:val="18"/>
        <w:szCs w:val="18"/>
      </w:rPr>
      <w:fldChar w:fldCharType="begin"/>
    </w:r>
    <w:r w:rsidRPr="009320DD">
      <w:rPr>
        <w:rFonts w:ascii="Verdana" w:hAnsi="Verdana"/>
        <w:sz w:val="18"/>
        <w:szCs w:val="18"/>
      </w:rPr>
      <w:instrText xml:space="preserve"> NUMPAGES </w:instrText>
    </w:r>
    <w:r w:rsidRPr="009320DD">
      <w:rPr>
        <w:rFonts w:ascii="Verdana" w:hAnsi="Verdana"/>
        <w:sz w:val="18"/>
        <w:szCs w:val="18"/>
      </w:rPr>
      <w:fldChar w:fldCharType="separate"/>
    </w:r>
    <w:r>
      <w:rPr>
        <w:rFonts w:ascii="Verdana" w:hAnsi="Verdana"/>
        <w:noProof/>
        <w:sz w:val="18"/>
        <w:szCs w:val="18"/>
      </w:rPr>
      <w:t>16</w:t>
    </w:r>
    <w:r w:rsidRPr="009320DD">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84C13" w14:textId="77777777" w:rsidR="00CE1B77" w:rsidRDefault="00CE1B77" w:rsidP="00255FD3">
      <w:r>
        <w:separator/>
      </w:r>
    </w:p>
  </w:footnote>
  <w:footnote w:type="continuationSeparator" w:id="0">
    <w:p w14:paraId="2B6A712E" w14:textId="77777777" w:rsidR="00CE1B77" w:rsidRDefault="00CE1B77" w:rsidP="00255FD3">
      <w:r>
        <w:continuationSeparator/>
      </w:r>
    </w:p>
  </w:footnote>
  <w:footnote w:type="continuationNotice" w:id="1">
    <w:p w14:paraId="586DE9D2" w14:textId="77777777" w:rsidR="00CE1B77" w:rsidRDefault="00CE1B77">
      <w:pPr>
        <w:spacing w:after="0"/>
      </w:pPr>
    </w:p>
  </w:footnote>
  <w:footnote w:id="2">
    <w:p w14:paraId="260B4325" w14:textId="4106DA99" w:rsidR="00CE1B77" w:rsidRPr="00C96220" w:rsidRDefault="00CE1B77">
      <w:pPr>
        <w:pStyle w:val="Alaviitteenteksti"/>
        <w:rPr>
          <w:lang w:val="en-GB"/>
        </w:rPr>
      </w:pPr>
      <w:r>
        <w:rPr>
          <w:rStyle w:val="Alaviitteenviite"/>
        </w:rPr>
        <w:footnoteRef/>
      </w:r>
      <w:r w:rsidRPr="00C96220">
        <w:rPr>
          <w:lang w:val="en-GB"/>
        </w:rPr>
        <w:t>Terphenyl, hydrogenated</w:t>
      </w:r>
      <w:r>
        <w:rPr>
          <w:lang w:val="en-GB"/>
        </w:rPr>
        <w:t xml:space="preserve"> SVHC RCOM</w:t>
      </w:r>
      <w:r w:rsidRPr="00C96220">
        <w:rPr>
          <w:lang w:val="en-GB"/>
        </w:rPr>
        <w:t xml:space="preserve"> </w:t>
      </w:r>
      <w:hyperlink r:id="rId1" w:history="1">
        <w:r w:rsidRPr="00C96220">
          <w:rPr>
            <w:rStyle w:val="Hyperlinkki"/>
            <w:lang w:val="en-GB"/>
          </w:rPr>
          <w:t>https://echa.europa.eu/documents/10162/5cfb341a-f539-5736-1eb7-08996c0866ef</w:t>
        </w:r>
      </w:hyperlink>
      <w:r w:rsidRPr="00C96220">
        <w:rPr>
          <w:lang w:val="en-GB"/>
        </w:rPr>
        <w:t xml:space="preserve"> </w:t>
      </w:r>
    </w:p>
  </w:footnote>
  <w:footnote w:id="3">
    <w:p w14:paraId="15EFB69C" w14:textId="3AA83758" w:rsidR="00CE1B77" w:rsidRPr="0000318B" w:rsidRDefault="00CE1B77">
      <w:pPr>
        <w:pStyle w:val="Alaviitteenteksti"/>
      </w:pPr>
      <w:r>
        <w:rPr>
          <w:rStyle w:val="Alaviitteenviite"/>
        </w:rPr>
        <w:footnoteRef/>
      </w:r>
      <w:r>
        <w:t xml:space="preserve"> Boiling point of the substance as informed in the substance factsheet in the ECHA´s website</w:t>
      </w:r>
    </w:p>
  </w:footnote>
  <w:footnote w:id="4">
    <w:p w14:paraId="6573EBC3" w14:textId="1D2CAA42" w:rsidR="00CE1B77" w:rsidRPr="00F114D4" w:rsidRDefault="00CE1B77">
      <w:pPr>
        <w:pStyle w:val="Alaviitteenteksti"/>
      </w:pPr>
      <w:r>
        <w:rPr>
          <w:rStyle w:val="Alaviitteenviite"/>
        </w:rPr>
        <w:footnoteRef/>
      </w:r>
      <w:r>
        <w:t xml:space="preserve"> </w:t>
      </w:r>
      <w:hyperlink r:id="rId2" w:history="1">
        <w:r w:rsidRPr="00A96D57">
          <w:rPr>
            <w:rStyle w:val="Hyperlinkki"/>
          </w:rPr>
          <w:t>https://echa.europa.eu/documents/10162/142079ba-ed44-66e4-e9ee-ab31045282cf</w:t>
        </w:r>
      </w:hyperlink>
      <w:r>
        <w:t xml:space="preserve"> </w:t>
      </w:r>
    </w:p>
  </w:footnote>
  <w:footnote w:id="5">
    <w:p w14:paraId="39B96BA0" w14:textId="54B974DF" w:rsidR="00CE1B77" w:rsidRDefault="00CE1B77" w:rsidP="00E87AB8">
      <w:pPr>
        <w:pStyle w:val="Alaviitteenteksti"/>
      </w:pPr>
      <w:r w:rsidRPr="00FA015A">
        <w:rPr>
          <w:rStyle w:val="Alaviitteenviite"/>
          <w:rFonts w:ascii="Verdana" w:hAnsi="Verdana"/>
        </w:rPr>
        <w:footnoteRef/>
      </w:r>
      <w:r>
        <w:t xml:space="preserve"> </w:t>
      </w:r>
      <w:r>
        <w:rPr>
          <w:rFonts w:ascii="Verdana" w:hAnsi="Verdana"/>
          <w:sz w:val="16"/>
          <w:szCs w:val="16"/>
        </w:rPr>
        <w:t xml:space="preserve">C&amp;L Inventory database, </w:t>
      </w:r>
      <w:hyperlink r:id="rId3" w:history="1">
        <w:r w:rsidRPr="00904836">
          <w:rPr>
            <w:rStyle w:val="Hyperlinkki"/>
            <w:rFonts w:ascii="Verdana" w:hAnsi="Verdana"/>
            <w:sz w:val="16"/>
            <w:szCs w:val="16"/>
          </w:rPr>
          <w:t>http://echa.europa.eu/web/guest/information-on-chemicals/cl-inventory-database</w:t>
        </w:r>
      </w:hyperlink>
      <w:r w:rsidRPr="00904836">
        <w:rPr>
          <w:rFonts w:ascii="Verdana" w:hAnsi="Verdana"/>
          <w:sz w:val="16"/>
          <w:szCs w:val="16"/>
        </w:rPr>
        <w:t xml:space="preserve"> (accessed </w:t>
      </w:r>
      <w:r>
        <w:rPr>
          <w:rFonts w:ascii="Verdana" w:hAnsi="Verdana"/>
          <w:sz w:val="16"/>
          <w:szCs w:val="16"/>
        </w:rPr>
        <w:t>1.10.2019)</w:t>
      </w:r>
    </w:p>
  </w:footnote>
  <w:footnote w:id="6">
    <w:p w14:paraId="3AE9B614" w14:textId="69DC3540" w:rsidR="00CE1B77" w:rsidRPr="009B2B06" w:rsidRDefault="00CE1B77">
      <w:pPr>
        <w:pStyle w:val="Alaviitteenteksti"/>
      </w:pPr>
      <w:r>
        <w:rPr>
          <w:rStyle w:val="Alaviitteenviite"/>
        </w:rPr>
        <w:footnoteRef/>
      </w:r>
      <w:r>
        <w:t xml:space="preserve"> </w:t>
      </w:r>
      <w:hyperlink r:id="rId4" w:history="1">
        <w:r>
          <w:rPr>
            <w:rStyle w:val="Hyperlinkki"/>
          </w:rPr>
          <w:t>https://echa.europa.eu/fi/substance-information/-/substanceinfo/100.100.239</w:t>
        </w:r>
      </w:hyperlink>
    </w:p>
  </w:footnote>
  <w:footnote w:id="7">
    <w:p w14:paraId="39B96BA1" w14:textId="074CB88A" w:rsidR="00CE1B77" w:rsidRDefault="00CE1B77" w:rsidP="00942E3F">
      <w:pPr>
        <w:pStyle w:val="Alaviitteenteksti"/>
      </w:pPr>
      <w:r w:rsidRPr="00C93DBD">
        <w:rPr>
          <w:rStyle w:val="Alaviitteenviite"/>
          <w:rFonts w:ascii="Verdana" w:hAnsi="Verdana"/>
          <w:sz w:val="16"/>
          <w:szCs w:val="16"/>
        </w:rPr>
        <w:footnoteRef/>
      </w:r>
      <w:r w:rsidRPr="00C93DBD">
        <w:rPr>
          <w:rFonts w:ascii="Verdana" w:hAnsi="Verdana"/>
          <w:sz w:val="16"/>
          <w:szCs w:val="16"/>
        </w:rPr>
        <w:t xml:space="preserve"> </w:t>
      </w:r>
      <w:r>
        <w:rPr>
          <w:rFonts w:ascii="Verdana" w:hAnsi="Verdana"/>
          <w:i/>
          <w:sz w:val="16"/>
          <w:szCs w:val="16"/>
        </w:rPr>
        <w:t>Information from ECHA dissemination site (1.10.2019)</w:t>
      </w:r>
      <w:r w:rsidRPr="00C93DBD">
        <w:rPr>
          <w:rFonts w:ascii="Verdana" w:hAnsi="Verdana"/>
          <w:i/>
          <w:sz w:val="16"/>
          <w:szCs w:val="16"/>
        </w:rPr>
        <w:t>.</w:t>
      </w:r>
    </w:p>
  </w:footnote>
  <w:footnote w:id="8">
    <w:p w14:paraId="53126AE5" w14:textId="386FEA00" w:rsidR="00CE1B77" w:rsidRDefault="00CE1B77">
      <w:pPr>
        <w:pStyle w:val="Alaviitteenteksti"/>
      </w:pPr>
      <w:r>
        <w:rPr>
          <w:rStyle w:val="Alaviitteenviite"/>
        </w:rPr>
        <w:footnoteRef/>
      </w:r>
      <w:r>
        <w:t xml:space="preserve"> </w:t>
      </w:r>
      <w:hyperlink r:id="rId5" w:anchor="q=dowtherm%20rp" w:history="1">
        <w:r w:rsidRPr="009B626E">
          <w:rPr>
            <w:rStyle w:val="Hyperlinkki"/>
          </w:rPr>
          <w:t>https://www.dow.com/en-us/support/sds-finder#q=dowtherm%20rp</w:t>
        </w:r>
      </w:hyperlink>
    </w:p>
    <w:p w14:paraId="135F59AF" w14:textId="7B42F733" w:rsidR="00CE1B77" w:rsidRPr="00341556" w:rsidRDefault="004953A7">
      <w:pPr>
        <w:pStyle w:val="Alaviitteenteksti"/>
      </w:pPr>
      <w:hyperlink r:id="rId6" w:history="1">
        <w:r w:rsidR="00CE1B77">
          <w:rPr>
            <w:rStyle w:val="Hyperlinkki"/>
          </w:rPr>
          <w:t>https://www.eastman.com/Pages/ProductHome.aspx?product=71114174&amp;pn=Marlotherm+SH+Heat+Transfer+Fluid</w:t>
        </w:r>
      </w:hyperlink>
    </w:p>
  </w:footnote>
  <w:footnote w:id="9">
    <w:p w14:paraId="2DA9C4D3" w14:textId="35A6AF43" w:rsidR="00CE1B77" w:rsidRPr="008850D6" w:rsidRDefault="00CE1B77">
      <w:pPr>
        <w:pStyle w:val="Alaviitteenteksti"/>
      </w:pPr>
      <w:r>
        <w:rPr>
          <w:rStyle w:val="Alaviitteenviite"/>
        </w:rPr>
        <w:footnoteRef/>
      </w:r>
      <w:r w:rsidRPr="00C43E87">
        <w:t>https://www.echa.europa.eu/documents/10162/13640/gen_approach_svhc_prior_in_recommendations_en.pdf/e18a6592-11a2-4092-bf95-97e77b2f9cc8</w:t>
      </w:r>
    </w:p>
  </w:footnote>
  <w:footnote w:id="10">
    <w:p w14:paraId="25566378" w14:textId="151271BC" w:rsidR="00CE1B77" w:rsidRPr="003E2BF0" w:rsidRDefault="00CE1B77">
      <w:pPr>
        <w:pStyle w:val="Alaviitteenteksti"/>
      </w:pPr>
      <w:r>
        <w:rPr>
          <w:rStyle w:val="Alaviitteenviite"/>
        </w:rPr>
        <w:footnoteRef/>
      </w:r>
      <w:r>
        <w:t xml:space="preserve"> </w:t>
      </w:r>
      <w:r w:rsidRPr="003E2BF0">
        <w:t>https://ec.europa.eu/environment/water/water-dangersub/index.htm</w:t>
      </w:r>
    </w:p>
  </w:footnote>
  <w:footnote w:id="11">
    <w:p w14:paraId="0C6CD73F" w14:textId="10C9D50C" w:rsidR="00CE1B77" w:rsidRPr="005D47BE" w:rsidRDefault="00CE1B77">
      <w:pPr>
        <w:pStyle w:val="Alaviitteenteksti"/>
      </w:pPr>
      <w:r>
        <w:rPr>
          <w:rStyle w:val="Alaviitteenviite"/>
        </w:rPr>
        <w:footnoteRef/>
      </w:r>
      <w:r>
        <w:t xml:space="preserve"> </w:t>
      </w:r>
      <w:r w:rsidRPr="005D47BE">
        <w:t>https://ec.europa.eu/environment/industry/stationary/ied/legislation.htm</w:t>
      </w:r>
    </w:p>
  </w:footnote>
  <w:footnote w:id="12">
    <w:p w14:paraId="212AAA2F" w14:textId="5D5A577C" w:rsidR="00CE1B77" w:rsidRPr="003A2CDF" w:rsidRDefault="00CE1B77">
      <w:pPr>
        <w:pStyle w:val="Alaviitteenteksti"/>
      </w:pPr>
      <w:r>
        <w:rPr>
          <w:rStyle w:val="Alaviitteenviite"/>
        </w:rPr>
        <w:footnoteRef/>
      </w:r>
      <w:r>
        <w:t xml:space="preserve"> </w:t>
      </w:r>
      <w:r w:rsidRPr="003A2CDF">
        <w:t>https://ec.europa.eu/environment/waste/legislation/a.htm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96B86" w14:textId="77777777" w:rsidR="00CE1B77" w:rsidRPr="00AC0E4E" w:rsidRDefault="00CE1B77" w:rsidP="00BD56EE">
    <w:pPr>
      <w:spacing w:before="120" w:after="0"/>
      <w:ind w:right="-902"/>
      <w:rPr>
        <w:rFonts w:ascii="Verdana" w:hAnsi="Verdana"/>
        <w:caps/>
        <w:sz w:val="20"/>
        <w:szCs w:val="20"/>
        <w:lang w:val="en-GB"/>
      </w:rPr>
    </w:pPr>
    <w:r w:rsidRPr="00AC0E4E">
      <w:rPr>
        <w:rFonts w:ascii="Verdana" w:hAnsi="Verdana"/>
        <w:caps/>
        <w:sz w:val="20"/>
        <w:szCs w:val="20"/>
        <w:lang w:val="en-GB"/>
      </w:rPr>
      <w:t>ANALYSIS OF THE MOST APPROPRIATE RISK MANAGEMENT OPTION (RMOA)</w:t>
    </w:r>
  </w:p>
  <w:p w14:paraId="39B96B88" w14:textId="77777777" w:rsidR="00CE1B77" w:rsidRPr="00375712" w:rsidRDefault="00CE1B77" w:rsidP="006A20E6">
    <w:pPr>
      <w:spacing w:after="0"/>
      <w:ind w:right="26"/>
      <w:rPr>
        <w:rFonts w:ascii="Verdana" w:hAnsi="Verdana"/>
        <w:sz w:val="20"/>
        <w:szCs w:val="20"/>
        <w:lang w:eastAsia="en-GB"/>
      </w:rPr>
    </w:pPr>
    <w:r>
      <w:rPr>
        <w:rFonts w:ascii="Verdana" w:hAnsi="Verdana"/>
        <w:sz w:val="20"/>
        <w:szCs w:val="20"/>
        <w:lang w:eastAsia="en-GB"/>
      </w:rPr>
      <w:t>_________________________________________________________________</w:t>
    </w:r>
  </w:p>
  <w:p w14:paraId="39B96B89" w14:textId="77777777" w:rsidR="00CE1B77" w:rsidRDefault="00CE1B7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caps/>
        <w:sz w:val="20"/>
      </w:rPr>
      <w:alias w:val="Choose the appropriate title."/>
      <w:tag w:val="Choose the appropriate title"/>
      <w:id w:val="1409265601"/>
      <w:dropDownList>
        <w:listItem w:displayText="Choose the appropriate title from this dropdown menu." w:value="Choose the appropriate title from this dropdown menu."/>
        <w:listItem w:displayText="Justification for the selection of a substance for CoRAP inclusion" w:value="Justification for the selection of a substance for CoRAP inclusion"/>
        <w:listItem w:displayText="Justification document: Need for Harmonised Classification and Labelling (CLH)" w:value="Justification document: Need for Harmonised Classification and Labelling (CLH)"/>
        <w:listItem w:displayText="Justification document: No need for further work based on current information" w:value="Justification document: No need for further work based on current information"/>
        <w:listItem w:displayText="Justification document: Other action (please specify)" w:value="Justification document: Other action (please specify)"/>
        <w:listItem w:displayText="Justification document for the case compliance check is recommended (CCH)" w:value="Justification document for the case compliance check is recommended (CCH)"/>
        <w:listItem w:displayText="Analysis of the most appropriate risk management option (RMOA)" w:value="Analysis of the most appropriate risk management option (RMOA)"/>
      </w:dropDownList>
    </w:sdtPr>
    <w:sdtEndPr/>
    <w:sdtContent>
      <w:p w14:paraId="39B96B8F" w14:textId="77777777" w:rsidR="00CE1B77" w:rsidRPr="00407B62" w:rsidRDefault="00CE1B77" w:rsidP="002E7A14">
        <w:pPr>
          <w:pStyle w:val="Leipteksti"/>
          <w:jc w:val="center"/>
          <w:rPr>
            <w:rFonts w:ascii="Verdana" w:hAnsi="Verdana"/>
            <w:caps/>
            <w:sz w:val="20"/>
            <w:lang w:val="en-US"/>
          </w:rPr>
        </w:pPr>
        <w:r>
          <w:rPr>
            <w:rFonts w:ascii="Verdana" w:hAnsi="Verdana"/>
            <w:caps/>
            <w:sz w:val="20"/>
          </w:rPr>
          <w:t>Justification document: Need for Harmonised Classification and Labelling (CLH)</w:t>
        </w:r>
      </w:p>
    </w:sdtContent>
  </w:sdt>
  <w:p w14:paraId="39B96B90" w14:textId="77777777" w:rsidR="00CE1B77" w:rsidRPr="0016728F" w:rsidRDefault="00CE1B77" w:rsidP="002E7A14">
    <w:pPr>
      <w:spacing w:before="120" w:after="0"/>
      <w:ind w:right="-902"/>
      <w:rPr>
        <w:rFonts w:ascii="Verdana" w:hAnsi="Verdana"/>
        <w:i/>
        <w:color w:val="FF0000"/>
        <w:sz w:val="22"/>
        <w:szCs w:val="22"/>
        <w:lang w:eastAsia="en-GB"/>
      </w:rPr>
    </w:pPr>
    <w:r w:rsidRPr="003607CA">
      <w:rPr>
        <w:rFonts w:ascii="Verdana" w:hAnsi="Verdana"/>
        <w:b/>
        <w:bCs/>
        <w:i/>
        <w:sz w:val="22"/>
        <w:szCs w:val="22"/>
        <w:lang w:eastAsia="en-GB"/>
      </w:rPr>
      <w:t>NOTE</w:t>
    </w:r>
    <w:r w:rsidRPr="003607CA">
      <w:rPr>
        <w:rFonts w:ascii="Verdana" w:hAnsi="Verdana"/>
        <w:b/>
        <w:i/>
        <w:sz w:val="22"/>
        <w:szCs w:val="22"/>
        <w:lang w:eastAsia="en-GB"/>
      </w:rPr>
      <w:t xml:space="preserve">: </w:t>
    </w:r>
    <w:r w:rsidRPr="0016728F">
      <w:rPr>
        <w:rFonts w:ascii="Verdana" w:hAnsi="Verdana"/>
        <w:b/>
        <w:i/>
        <w:color w:val="FF0000"/>
        <w:sz w:val="22"/>
        <w:szCs w:val="22"/>
        <w:lang w:eastAsia="en-GB"/>
      </w:rPr>
      <w:t>Please only include non-conf</w:t>
    </w:r>
    <w:r>
      <w:rPr>
        <w:rFonts w:ascii="Verdana" w:hAnsi="Verdana"/>
        <w:b/>
        <w:i/>
        <w:color w:val="FF0000"/>
        <w:sz w:val="22"/>
        <w:szCs w:val="22"/>
        <w:lang w:eastAsia="en-GB"/>
      </w:rPr>
      <w:t xml:space="preserve">idential </w:t>
    </w:r>
    <w:r w:rsidRPr="0016728F">
      <w:rPr>
        <w:rFonts w:ascii="Verdana" w:hAnsi="Verdana"/>
        <w:b/>
        <w:i/>
        <w:color w:val="FF0000"/>
        <w:sz w:val="22"/>
        <w:szCs w:val="22"/>
        <w:lang w:eastAsia="en-GB"/>
      </w:rPr>
      <w:t>information.</w:t>
    </w:r>
  </w:p>
  <w:p w14:paraId="39B96B91" w14:textId="77777777" w:rsidR="00CE1B77" w:rsidRPr="003607CA" w:rsidRDefault="00CE1B77" w:rsidP="001B7E57">
    <w:pPr>
      <w:spacing w:after="0"/>
      <w:ind w:right="26"/>
      <w:rPr>
        <w:rFonts w:ascii="Verdana" w:hAnsi="Verdana"/>
        <w:sz w:val="20"/>
        <w:szCs w:val="20"/>
        <w:lang w:eastAsia="en-GB"/>
      </w:rPr>
    </w:pPr>
    <w:r w:rsidRPr="003607CA">
      <w:rPr>
        <w:rFonts w:ascii="Verdana" w:hAnsi="Verdana"/>
        <w:sz w:val="20"/>
        <w:szCs w:val="20"/>
        <w:lang w:eastAsia="en-GB"/>
      </w:rPr>
      <w:t>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caps/>
        <w:sz w:val="20"/>
      </w:rPr>
      <w:alias w:val="Choose the appropriate title."/>
      <w:tag w:val="Choose the appropriate title"/>
      <w:id w:val="656348157"/>
      <w:dropDownList>
        <w:listItem w:displayText="Choose the appropriate title from this dropdown menu." w:value="Choose the appropriate title from this dropdown menu."/>
        <w:listItem w:displayText="Justification for the selection of a substance for CoRAP inclusion" w:value="Justification for the selection of a substance for CoRAP inclusion"/>
        <w:listItem w:displayText="Justification document: Need for Harmonised Classification and Labelling (CLH)" w:value="Justification document: Need for Harmonised Classification and Labelling (CLH)"/>
        <w:listItem w:displayText="Justification document: No need for further work based on current information" w:value="Justification document: No need for further work based on current information"/>
        <w:listItem w:displayText="Justification document: Other action (please specify)" w:value="Justification document: Other action (please specify)"/>
        <w:listItem w:displayText="Justification document for the case compliance check is recommended (CCH)" w:value="Justification document for the case compliance check is recommended (CCH)"/>
        <w:listItem w:displayText="Analysis of the most appropriate risk management option (RMOA)" w:value="Analysis of the most appropriate risk management option (RMOA)"/>
      </w:dropDownList>
    </w:sdtPr>
    <w:sdtEndPr/>
    <w:sdtContent>
      <w:p w14:paraId="39B96B95" w14:textId="77777777" w:rsidR="00CE1B77" w:rsidRPr="00407B62" w:rsidRDefault="00CE1B77" w:rsidP="002E7A14">
        <w:pPr>
          <w:pStyle w:val="Leipteksti"/>
          <w:jc w:val="center"/>
          <w:rPr>
            <w:rFonts w:ascii="Verdana" w:hAnsi="Verdana"/>
            <w:caps/>
            <w:sz w:val="20"/>
            <w:lang w:val="en-US"/>
          </w:rPr>
        </w:pPr>
        <w:r>
          <w:rPr>
            <w:rFonts w:ascii="Verdana" w:hAnsi="Verdana"/>
            <w:caps/>
            <w:sz w:val="20"/>
          </w:rPr>
          <w:t>Choose the appropriate title from this dropdown menu.</w:t>
        </w:r>
      </w:p>
    </w:sdtContent>
  </w:sdt>
  <w:p w14:paraId="39B96B96" w14:textId="77777777" w:rsidR="00CE1B77" w:rsidRPr="0016728F" w:rsidRDefault="00CE1B77" w:rsidP="002E7A14">
    <w:pPr>
      <w:spacing w:before="120" w:after="0"/>
      <w:ind w:right="-902"/>
      <w:rPr>
        <w:rFonts w:ascii="Verdana" w:hAnsi="Verdana"/>
        <w:i/>
        <w:color w:val="FF0000"/>
        <w:sz w:val="22"/>
        <w:szCs w:val="22"/>
        <w:lang w:eastAsia="en-GB"/>
      </w:rPr>
    </w:pPr>
    <w:r w:rsidRPr="003607CA">
      <w:rPr>
        <w:rFonts w:ascii="Verdana" w:hAnsi="Verdana"/>
        <w:b/>
        <w:bCs/>
        <w:i/>
        <w:sz w:val="22"/>
        <w:szCs w:val="22"/>
        <w:lang w:eastAsia="en-GB"/>
      </w:rPr>
      <w:t>NOTE</w:t>
    </w:r>
    <w:r w:rsidRPr="003607CA">
      <w:rPr>
        <w:rFonts w:ascii="Verdana" w:hAnsi="Verdana"/>
        <w:b/>
        <w:i/>
        <w:sz w:val="22"/>
        <w:szCs w:val="22"/>
        <w:lang w:eastAsia="en-GB"/>
      </w:rPr>
      <w:t xml:space="preserve">: </w:t>
    </w:r>
    <w:r w:rsidRPr="0016728F">
      <w:rPr>
        <w:rFonts w:ascii="Verdana" w:hAnsi="Verdana"/>
        <w:b/>
        <w:i/>
        <w:color w:val="FF0000"/>
        <w:sz w:val="22"/>
        <w:szCs w:val="22"/>
        <w:lang w:eastAsia="en-GB"/>
      </w:rPr>
      <w:t>Please only include non-conf</w:t>
    </w:r>
    <w:r>
      <w:rPr>
        <w:rFonts w:ascii="Verdana" w:hAnsi="Verdana"/>
        <w:b/>
        <w:i/>
        <w:color w:val="FF0000"/>
        <w:sz w:val="22"/>
        <w:szCs w:val="22"/>
        <w:lang w:eastAsia="en-GB"/>
      </w:rPr>
      <w:t xml:space="preserve">idential </w:t>
    </w:r>
    <w:r w:rsidRPr="0016728F">
      <w:rPr>
        <w:rFonts w:ascii="Verdana" w:hAnsi="Verdana"/>
        <w:b/>
        <w:i/>
        <w:color w:val="FF0000"/>
        <w:sz w:val="22"/>
        <w:szCs w:val="22"/>
        <w:lang w:eastAsia="en-GB"/>
      </w:rPr>
      <w:t>information.</w:t>
    </w:r>
  </w:p>
  <w:p w14:paraId="39B96B97" w14:textId="77777777" w:rsidR="00CE1B77" w:rsidRPr="003607CA" w:rsidRDefault="00CE1B77" w:rsidP="001B7E57">
    <w:pPr>
      <w:spacing w:after="0"/>
      <w:ind w:right="26"/>
      <w:rPr>
        <w:rFonts w:ascii="Verdana" w:hAnsi="Verdana"/>
        <w:sz w:val="20"/>
        <w:szCs w:val="20"/>
        <w:lang w:eastAsia="en-GB"/>
      </w:rPr>
    </w:pPr>
    <w:r w:rsidRPr="003607CA">
      <w:rPr>
        <w:rFonts w:ascii="Verdana" w:hAnsi="Verdana"/>
        <w:sz w:val="20"/>
        <w:szCs w:val="20"/>
        <w:lang w:eastAsia="en-GB"/>
      </w:rPr>
      <w:t>_________________________________________________________________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96B99" w14:textId="740B630C" w:rsidR="00CE1B77" w:rsidRPr="004953A7" w:rsidRDefault="00CE1B77" w:rsidP="002E7A14">
    <w:pPr>
      <w:spacing w:before="120" w:after="0"/>
      <w:ind w:right="-902"/>
      <w:rPr>
        <w:rFonts w:ascii="Verdana" w:hAnsi="Verdana"/>
        <w:caps/>
        <w:sz w:val="20"/>
        <w:szCs w:val="20"/>
        <w:lang w:val="en-GB"/>
      </w:rPr>
    </w:pPr>
    <w:r w:rsidRPr="00BD56EE">
      <w:rPr>
        <w:rFonts w:ascii="Verdana" w:hAnsi="Verdana"/>
        <w:caps/>
        <w:sz w:val="20"/>
        <w:szCs w:val="20"/>
        <w:lang w:val="en-GB"/>
      </w:rPr>
      <w:t>ANALYSIS OF THE MOST APPROPRIATE RISK MANAGEMENT OPTION (RMOA)</w:t>
    </w:r>
  </w:p>
  <w:p w14:paraId="39B96B9A" w14:textId="77777777" w:rsidR="00CE1B77" w:rsidRPr="00375712" w:rsidRDefault="00CE1B77" w:rsidP="000B4AE1">
    <w:pPr>
      <w:spacing w:after="0"/>
      <w:ind w:right="26"/>
      <w:rPr>
        <w:rFonts w:ascii="Verdana" w:hAnsi="Verdana"/>
        <w:sz w:val="20"/>
        <w:szCs w:val="20"/>
        <w:lang w:eastAsia="en-GB"/>
      </w:rPr>
    </w:pPr>
    <w:r>
      <w:rPr>
        <w:rFonts w:ascii="Verdana" w:hAnsi="Verdana"/>
        <w:sz w:val="20"/>
        <w:szCs w:val="20"/>
        <w:lang w:eastAsia="en-GB"/>
      </w:rPr>
      <w:t>_________________________________________________________________</w:t>
    </w:r>
  </w:p>
  <w:p w14:paraId="39B96B9B" w14:textId="77777777" w:rsidR="00CE1B77" w:rsidRPr="00375712" w:rsidRDefault="00CE1B77" w:rsidP="00924CBF">
    <w:pPr>
      <w:spacing w:after="0"/>
      <w:ind w:right="26"/>
      <w:rPr>
        <w:rFonts w:ascii="Verdana" w:hAnsi="Verdana"/>
        <w:sz w:val="20"/>
        <w:szCs w:val="20"/>
        <w:lang w:eastAsia="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caps/>
        <w:sz w:val="20"/>
      </w:rPr>
      <w:alias w:val="Choose the appropriate title."/>
      <w:tag w:val="Choose the appropriate title"/>
      <w:id w:val="-639106574"/>
      <w:dropDownList>
        <w:listItem w:displayText="Choose the appropriate title from this dropdown menu." w:value="Choose the appropriate title from this dropdown menu."/>
        <w:listItem w:displayText="Justification for the selection of a substance for CoRAP inclusion" w:value="Justification for the selection of a substance for CoRAP inclusion"/>
        <w:listItem w:displayText="Justification document: Need for Harmonised Classification and Labelling (CLH)" w:value="Justification document: Need for Harmonised Classification and Labelling (CLH)"/>
        <w:listItem w:displayText="Justification document: No need for further work based on current information" w:value="Justification document: No need for further work based on current information"/>
        <w:listItem w:displayText="Justification document: Other action (please specify)" w:value="Justification document: Other action (please specify)"/>
        <w:listItem w:displayText="Justification document for the case compliance check is recommended (CCH)" w:value="Justification document for the case compliance check is recommended (CCH)"/>
        <w:listItem w:displayText="Analysis of the most appropriate risk management option (RMOA)" w:value="Analysis of the most appropriate risk management option (RMOA)"/>
      </w:dropDownList>
    </w:sdtPr>
    <w:sdtEndPr/>
    <w:sdtContent>
      <w:p w14:paraId="39B96B9C" w14:textId="77777777" w:rsidR="00CE1B77" w:rsidRPr="00407B62" w:rsidRDefault="00CE1B77" w:rsidP="007D3CB7">
        <w:pPr>
          <w:pStyle w:val="Leipteksti"/>
          <w:jc w:val="center"/>
          <w:rPr>
            <w:rFonts w:ascii="Verdana" w:hAnsi="Verdana"/>
            <w:caps/>
            <w:sz w:val="20"/>
            <w:lang w:val="en-US"/>
          </w:rPr>
        </w:pPr>
        <w:r>
          <w:rPr>
            <w:rFonts w:ascii="Verdana" w:hAnsi="Verdana"/>
            <w:caps/>
            <w:sz w:val="20"/>
          </w:rPr>
          <w:t>Choose the appropriate title from this dropdown menu.</w:t>
        </w:r>
      </w:p>
    </w:sdtContent>
  </w:sdt>
  <w:p w14:paraId="39B96B9D" w14:textId="77777777" w:rsidR="00CE1B77" w:rsidRPr="0016728F" w:rsidRDefault="00CE1B77" w:rsidP="007D3CB7">
    <w:pPr>
      <w:spacing w:before="120" w:after="0"/>
      <w:ind w:right="-902"/>
      <w:rPr>
        <w:rFonts w:ascii="Verdana" w:hAnsi="Verdana"/>
        <w:i/>
        <w:color w:val="FF0000"/>
        <w:sz w:val="22"/>
        <w:szCs w:val="22"/>
        <w:lang w:eastAsia="en-GB"/>
      </w:rPr>
    </w:pPr>
    <w:r w:rsidRPr="003607CA">
      <w:rPr>
        <w:rFonts w:ascii="Verdana" w:hAnsi="Verdana"/>
        <w:b/>
        <w:bCs/>
        <w:i/>
        <w:sz w:val="22"/>
        <w:szCs w:val="22"/>
        <w:lang w:eastAsia="en-GB"/>
      </w:rPr>
      <w:t>NOTE</w:t>
    </w:r>
    <w:r w:rsidRPr="003607CA">
      <w:rPr>
        <w:rFonts w:ascii="Verdana" w:hAnsi="Verdana"/>
        <w:b/>
        <w:i/>
        <w:sz w:val="22"/>
        <w:szCs w:val="22"/>
        <w:lang w:eastAsia="en-GB"/>
      </w:rPr>
      <w:t xml:space="preserve">: </w:t>
    </w:r>
    <w:r>
      <w:rPr>
        <w:rFonts w:ascii="Verdana" w:hAnsi="Verdana"/>
        <w:b/>
        <w:i/>
        <w:sz w:val="22"/>
        <w:szCs w:val="22"/>
        <w:lang w:eastAsia="en-GB"/>
      </w:rPr>
      <w:t>This annex contains confidential information</w:t>
    </w:r>
  </w:p>
  <w:p w14:paraId="39B96B9E" w14:textId="77777777" w:rsidR="00CE1B77" w:rsidRPr="003607CA" w:rsidRDefault="00CE1B77" w:rsidP="001B7E57">
    <w:pPr>
      <w:spacing w:after="0"/>
      <w:ind w:right="26"/>
      <w:rPr>
        <w:rFonts w:ascii="Verdana" w:hAnsi="Verdana"/>
        <w:sz w:val="20"/>
        <w:szCs w:val="20"/>
        <w:lang w:eastAsia="en-GB"/>
      </w:rPr>
    </w:pPr>
    <w:r w:rsidRPr="003607CA">
      <w:rPr>
        <w:rFonts w:ascii="Verdana" w:hAnsi="Verdana"/>
        <w:sz w:val="20"/>
        <w:szCs w:val="20"/>
        <w:lang w:eastAsia="en-GB"/>
      </w:rPr>
      <w:t>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52B"/>
    <w:multiLevelType w:val="hybridMultilevel"/>
    <w:tmpl w:val="DDA22B3A"/>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1" w15:restartNumberingAfterBreak="0">
    <w:nsid w:val="01C048D4"/>
    <w:multiLevelType w:val="hybridMultilevel"/>
    <w:tmpl w:val="57A86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010E0"/>
    <w:multiLevelType w:val="hybridMultilevel"/>
    <w:tmpl w:val="3C84F8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4431D5C"/>
    <w:multiLevelType w:val="hybridMultilevel"/>
    <w:tmpl w:val="EE7C9504"/>
    <w:lvl w:ilvl="0" w:tplc="08090001">
      <w:start w:val="1"/>
      <w:numFmt w:val="bullet"/>
      <w:lvlText w:val=""/>
      <w:lvlJc w:val="left"/>
      <w:pPr>
        <w:ind w:left="4775" w:hanging="360"/>
      </w:pPr>
      <w:rPr>
        <w:rFonts w:ascii="Symbol" w:hAnsi="Symbol" w:hint="default"/>
      </w:rPr>
    </w:lvl>
    <w:lvl w:ilvl="1" w:tplc="08090003" w:tentative="1">
      <w:start w:val="1"/>
      <w:numFmt w:val="bullet"/>
      <w:lvlText w:val="o"/>
      <w:lvlJc w:val="left"/>
      <w:pPr>
        <w:ind w:left="5495" w:hanging="360"/>
      </w:pPr>
      <w:rPr>
        <w:rFonts w:ascii="Courier New" w:hAnsi="Courier New" w:cs="Courier New" w:hint="default"/>
      </w:rPr>
    </w:lvl>
    <w:lvl w:ilvl="2" w:tplc="08090005" w:tentative="1">
      <w:start w:val="1"/>
      <w:numFmt w:val="bullet"/>
      <w:lvlText w:val=""/>
      <w:lvlJc w:val="left"/>
      <w:pPr>
        <w:ind w:left="6215" w:hanging="360"/>
      </w:pPr>
      <w:rPr>
        <w:rFonts w:ascii="Wingdings" w:hAnsi="Wingdings" w:hint="default"/>
      </w:rPr>
    </w:lvl>
    <w:lvl w:ilvl="3" w:tplc="08090001" w:tentative="1">
      <w:start w:val="1"/>
      <w:numFmt w:val="bullet"/>
      <w:lvlText w:val=""/>
      <w:lvlJc w:val="left"/>
      <w:pPr>
        <w:ind w:left="6935" w:hanging="360"/>
      </w:pPr>
      <w:rPr>
        <w:rFonts w:ascii="Symbol" w:hAnsi="Symbol" w:hint="default"/>
      </w:rPr>
    </w:lvl>
    <w:lvl w:ilvl="4" w:tplc="08090003" w:tentative="1">
      <w:start w:val="1"/>
      <w:numFmt w:val="bullet"/>
      <w:lvlText w:val="o"/>
      <w:lvlJc w:val="left"/>
      <w:pPr>
        <w:ind w:left="7655" w:hanging="360"/>
      </w:pPr>
      <w:rPr>
        <w:rFonts w:ascii="Courier New" w:hAnsi="Courier New" w:cs="Courier New" w:hint="default"/>
      </w:rPr>
    </w:lvl>
    <w:lvl w:ilvl="5" w:tplc="08090005" w:tentative="1">
      <w:start w:val="1"/>
      <w:numFmt w:val="bullet"/>
      <w:lvlText w:val=""/>
      <w:lvlJc w:val="left"/>
      <w:pPr>
        <w:ind w:left="8375" w:hanging="360"/>
      </w:pPr>
      <w:rPr>
        <w:rFonts w:ascii="Wingdings" w:hAnsi="Wingdings" w:hint="default"/>
      </w:rPr>
    </w:lvl>
    <w:lvl w:ilvl="6" w:tplc="08090001" w:tentative="1">
      <w:start w:val="1"/>
      <w:numFmt w:val="bullet"/>
      <w:lvlText w:val=""/>
      <w:lvlJc w:val="left"/>
      <w:pPr>
        <w:ind w:left="9095" w:hanging="360"/>
      </w:pPr>
      <w:rPr>
        <w:rFonts w:ascii="Symbol" w:hAnsi="Symbol" w:hint="default"/>
      </w:rPr>
    </w:lvl>
    <w:lvl w:ilvl="7" w:tplc="08090003" w:tentative="1">
      <w:start w:val="1"/>
      <w:numFmt w:val="bullet"/>
      <w:lvlText w:val="o"/>
      <w:lvlJc w:val="left"/>
      <w:pPr>
        <w:ind w:left="9815" w:hanging="360"/>
      </w:pPr>
      <w:rPr>
        <w:rFonts w:ascii="Courier New" w:hAnsi="Courier New" w:cs="Courier New" w:hint="default"/>
      </w:rPr>
    </w:lvl>
    <w:lvl w:ilvl="8" w:tplc="08090005" w:tentative="1">
      <w:start w:val="1"/>
      <w:numFmt w:val="bullet"/>
      <w:lvlText w:val=""/>
      <w:lvlJc w:val="left"/>
      <w:pPr>
        <w:ind w:left="10535" w:hanging="360"/>
      </w:pPr>
      <w:rPr>
        <w:rFonts w:ascii="Wingdings" w:hAnsi="Wingdings" w:hint="default"/>
      </w:rPr>
    </w:lvl>
  </w:abstractNum>
  <w:abstractNum w:abstractNumId="4" w15:restartNumberingAfterBreak="0">
    <w:nsid w:val="068D7E33"/>
    <w:multiLevelType w:val="hybridMultilevel"/>
    <w:tmpl w:val="91725B7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0C943A5F"/>
    <w:multiLevelType w:val="hybridMultilevel"/>
    <w:tmpl w:val="AD88BFFC"/>
    <w:lvl w:ilvl="0" w:tplc="5A0E334E">
      <w:numFmt w:val="bullet"/>
      <w:lvlText w:val="-"/>
      <w:lvlJc w:val="left"/>
      <w:pPr>
        <w:ind w:left="777" w:hanging="360"/>
      </w:pPr>
      <w:rPr>
        <w:rFonts w:ascii="Verdana" w:eastAsia="Times New Roman" w:hAnsi="Verdana" w:cs="Times New Roman"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0DD83925"/>
    <w:multiLevelType w:val="hybridMultilevel"/>
    <w:tmpl w:val="0164B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C25C88"/>
    <w:multiLevelType w:val="hybridMultilevel"/>
    <w:tmpl w:val="38206F72"/>
    <w:lvl w:ilvl="0" w:tplc="1A407DCE">
      <w:start w:val="7"/>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E47F60"/>
    <w:multiLevelType w:val="hybridMultilevel"/>
    <w:tmpl w:val="B568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D7ED3"/>
    <w:multiLevelType w:val="hybridMultilevel"/>
    <w:tmpl w:val="5E36D17A"/>
    <w:lvl w:ilvl="0" w:tplc="C84E037E">
      <w:start w:val="1"/>
      <w:numFmt w:val="bullet"/>
      <w:pStyle w:val="Merkittyluettelo"/>
      <w:lvlText w:val=""/>
      <w:lvlJc w:val="left"/>
      <w:pPr>
        <w:tabs>
          <w:tab w:val="num" w:pos="425"/>
        </w:tabs>
        <w:ind w:left="425" w:hanging="425"/>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0D67C6"/>
    <w:multiLevelType w:val="hybridMultilevel"/>
    <w:tmpl w:val="D19E3BBE"/>
    <w:lvl w:ilvl="0" w:tplc="D8EED84E">
      <w:numFmt w:val="bullet"/>
      <w:lvlText w:val="-"/>
      <w:lvlJc w:val="left"/>
      <w:pPr>
        <w:ind w:left="417" w:hanging="360"/>
      </w:pPr>
      <w:rPr>
        <w:rFonts w:ascii="Verdana" w:eastAsia="Times New Roman" w:hAnsi="Verdana" w:cs="Times New Roman" w:hint="default"/>
        <w:color w:val="auto"/>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1826123D"/>
    <w:multiLevelType w:val="hybridMultilevel"/>
    <w:tmpl w:val="A022B4F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18B3416A"/>
    <w:multiLevelType w:val="hybridMultilevel"/>
    <w:tmpl w:val="8E4A13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9ED608F"/>
    <w:multiLevelType w:val="multilevel"/>
    <w:tmpl w:val="97E6E8A2"/>
    <w:lvl w:ilvl="0">
      <w:start w:val="1"/>
      <w:numFmt w:val="decimal"/>
      <w:pStyle w:val="Otsikko1"/>
      <w:lvlText w:val="%1"/>
      <w:lvlJc w:val="left"/>
      <w:pPr>
        <w:tabs>
          <w:tab w:val="num" w:pos="1503"/>
        </w:tabs>
        <w:ind w:left="1503" w:hanging="1077"/>
      </w:pPr>
      <w:rPr>
        <w:rFonts w:ascii="Verdana" w:hAnsi="Verdana" w:hint="default"/>
        <w:b/>
        <w:i w:val="0"/>
        <w:sz w:val="24"/>
        <w:szCs w:val="24"/>
      </w:rPr>
    </w:lvl>
    <w:lvl w:ilvl="1">
      <w:start w:val="1"/>
      <w:numFmt w:val="decimal"/>
      <w:pStyle w:val="Otsikko2"/>
      <w:lvlText w:val="%1.%2"/>
      <w:lvlJc w:val="left"/>
      <w:pPr>
        <w:tabs>
          <w:tab w:val="num" w:pos="1361"/>
        </w:tabs>
        <w:ind w:left="1361" w:hanging="1077"/>
      </w:pPr>
      <w:rPr>
        <w:rFonts w:ascii="Verdana" w:hAnsi="Verdana" w:hint="default"/>
        <w:b/>
        <w:i w:val="0"/>
        <w:sz w:val="24"/>
      </w:rPr>
    </w:lvl>
    <w:lvl w:ilvl="2">
      <w:start w:val="1"/>
      <w:numFmt w:val="decimal"/>
      <w:pStyle w:val="Otsikko3"/>
      <w:lvlText w:val="%1.%2.%3"/>
      <w:lvlJc w:val="left"/>
      <w:pPr>
        <w:tabs>
          <w:tab w:val="num" w:pos="1077"/>
        </w:tabs>
        <w:ind w:left="1077" w:hanging="1077"/>
      </w:pPr>
      <w:rPr>
        <w:rFonts w:ascii="Verdana" w:hAnsi="Verdana" w:hint="default"/>
        <w:b/>
        <w:i w:val="0"/>
        <w:sz w:val="24"/>
      </w:rPr>
    </w:lvl>
    <w:lvl w:ilvl="3">
      <w:start w:val="1"/>
      <w:numFmt w:val="decimal"/>
      <w:pStyle w:val="Otsikko4"/>
      <w:lvlText w:val="%1.%2.%3.%4"/>
      <w:lvlJc w:val="left"/>
      <w:pPr>
        <w:tabs>
          <w:tab w:val="num" w:pos="1077"/>
        </w:tabs>
        <w:ind w:left="1077" w:hanging="1077"/>
      </w:pPr>
      <w:rPr>
        <w:rFonts w:ascii="Times New Roman" w:hAnsi="Times New Roman" w:hint="default"/>
        <w:b/>
        <w:i w:val="0"/>
        <w:sz w:val="24"/>
      </w:rPr>
    </w:lvl>
    <w:lvl w:ilvl="4">
      <w:start w:val="1"/>
      <w:numFmt w:val="decimal"/>
      <w:lvlText w:val="%1.%2.%3.%4.%5"/>
      <w:lvlJc w:val="left"/>
      <w:pPr>
        <w:tabs>
          <w:tab w:val="num" w:pos="1843"/>
        </w:tabs>
        <w:ind w:left="1843" w:hanging="1843"/>
      </w:pPr>
      <w:rPr>
        <w:rFonts w:ascii="Times New Roman" w:hAnsi="Times New Roman" w:hint="default"/>
        <w:b/>
        <w:i w:val="0"/>
        <w:sz w:val="24"/>
      </w:rPr>
    </w:lvl>
    <w:lvl w:ilvl="5">
      <w:start w:val="1"/>
      <w:numFmt w:val="none"/>
      <w:lvlText w:val="%1.%2.%3.%4.%5.%61."/>
      <w:lvlJc w:val="left"/>
      <w:pPr>
        <w:tabs>
          <w:tab w:val="num" w:pos="1843"/>
        </w:tabs>
        <w:ind w:left="1843" w:hanging="1843"/>
      </w:pPr>
      <w:rPr>
        <w:rFonts w:hint="default"/>
        <w:b/>
        <w:i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E707051"/>
    <w:multiLevelType w:val="hybridMultilevel"/>
    <w:tmpl w:val="4D3422E0"/>
    <w:lvl w:ilvl="0" w:tplc="95B48F6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360562"/>
    <w:multiLevelType w:val="hybridMultilevel"/>
    <w:tmpl w:val="5CF22F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1A659E"/>
    <w:multiLevelType w:val="hybridMultilevel"/>
    <w:tmpl w:val="3768FF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BF1415"/>
    <w:multiLevelType w:val="hybridMultilevel"/>
    <w:tmpl w:val="1A58003C"/>
    <w:lvl w:ilvl="0" w:tplc="7412590C">
      <w:start w:val="2"/>
      <w:numFmt w:val="bullet"/>
      <w:lvlText w:val="-"/>
      <w:lvlJc w:val="left"/>
      <w:pPr>
        <w:ind w:left="1069" w:hanging="360"/>
      </w:pPr>
      <w:rPr>
        <w:rFonts w:ascii="Verdana" w:eastAsiaTheme="minorHAnsi" w:hAnsi="Verdana" w:cs="Verdana"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18" w15:restartNumberingAfterBreak="0">
    <w:nsid w:val="2FAA4488"/>
    <w:multiLevelType w:val="hybridMultilevel"/>
    <w:tmpl w:val="8E361B5C"/>
    <w:lvl w:ilvl="0" w:tplc="7412590C">
      <w:start w:val="2"/>
      <w:numFmt w:val="bullet"/>
      <w:lvlText w:val="-"/>
      <w:lvlJc w:val="left"/>
      <w:pPr>
        <w:ind w:left="720" w:hanging="360"/>
      </w:pPr>
      <w:rPr>
        <w:rFonts w:ascii="Verdana" w:eastAsiaTheme="minorHAnsi" w:hAnsi="Verdana"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16A6CDD"/>
    <w:multiLevelType w:val="hybridMultilevel"/>
    <w:tmpl w:val="63F6727C"/>
    <w:lvl w:ilvl="0" w:tplc="FFFFFFFF">
      <w:start w:val="1"/>
      <w:numFmt w:val="bullet"/>
      <w:lvlText w:val="-"/>
      <w:lvlJc w:val="left"/>
      <w:pPr>
        <w:tabs>
          <w:tab w:val="num" w:pos="-3"/>
        </w:tabs>
        <w:ind w:left="-3" w:hanging="360"/>
      </w:pPr>
      <w:rPr>
        <w:rFonts w:ascii="Times New Roman" w:eastAsia="Times New Roman" w:hAnsi="Times New Roman" w:cs="Times New Roman" w:hint="default"/>
      </w:rPr>
    </w:lvl>
    <w:lvl w:ilvl="1" w:tplc="08090003">
      <w:start w:val="1"/>
      <w:numFmt w:val="bullet"/>
      <w:lvlText w:val="o"/>
      <w:lvlJc w:val="left"/>
      <w:pPr>
        <w:tabs>
          <w:tab w:val="num" w:pos="717"/>
        </w:tabs>
        <w:ind w:left="717" w:hanging="360"/>
      </w:pPr>
      <w:rPr>
        <w:rFonts w:ascii="Courier New" w:hAnsi="Courier New" w:cs="Courier New" w:hint="default"/>
      </w:rPr>
    </w:lvl>
    <w:lvl w:ilvl="2" w:tplc="08090005">
      <w:start w:val="1"/>
      <w:numFmt w:val="bullet"/>
      <w:lvlText w:val=""/>
      <w:lvlJc w:val="left"/>
      <w:pPr>
        <w:tabs>
          <w:tab w:val="num" w:pos="1437"/>
        </w:tabs>
        <w:ind w:left="1437" w:hanging="360"/>
      </w:pPr>
      <w:rPr>
        <w:rFonts w:ascii="Wingdings" w:hAnsi="Wingdings" w:hint="default"/>
      </w:rPr>
    </w:lvl>
    <w:lvl w:ilvl="3" w:tplc="08090001">
      <w:start w:val="1"/>
      <w:numFmt w:val="bullet"/>
      <w:lvlText w:val=""/>
      <w:lvlJc w:val="left"/>
      <w:pPr>
        <w:tabs>
          <w:tab w:val="num" w:pos="2157"/>
        </w:tabs>
        <w:ind w:left="2157" w:hanging="360"/>
      </w:pPr>
      <w:rPr>
        <w:rFonts w:ascii="Symbol" w:hAnsi="Symbol" w:hint="default"/>
      </w:rPr>
    </w:lvl>
    <w:lvl w:ilvl="4" w:tplc="08090003">
      <w:start w:val="1"/>
      <w:numFmt w:val="bullet"/>
      <w:lvlText w:val="o"/>
      <w:lvlJc w:val="left"/>
      <w:pPr>
        <w:tabs>
          <w:tab w:val="num" w:pos="2877"/>
        </w:tabs>
        <w:ind w:left="2877" w:hanging="360"/>
      </w:pPr>
      <w:rPr>
        <w:rFonts w:ascii="Courier New" w:hAnsi="Courier New" w:cs="Courier New" w:hint="default"/>
      </w:rPr>
    </w:lvl>
    <w:lvl w:ilvl="5" w:tplc="08090005" w:tentative="1">
      <w:start w:val="1"/>
      <w:numFmt w:val="bullet"/>
      <w:lvlText w:val=""/>
      <w:lvlJc w:val="left"/>
      <w:pPr>
        <w:tabs>
          <w:tab w:val="num" w:pos="3597"/>
        </w:tabs>
        <w:ind w:left="3597" w:hanging="360"/>
      </w:pPr>
      <w:rPr>
        <w:rFonts w:ascii="Wingdings" w:hAnsi="Wingdings" w:hint="default"/>
      </w:rPr>
    </w:lvl>
    <w:lvl w:ilvl="6" w:tplc="08090001" w:tentative="1">
      <w:start w:val="1"/>
      <w:numFmt w:val="bullet"/>
      <w:lvlText w:val=""/>
      <w:lvlJc w:val="left"/>
      <w:pPr>
        <w:tabs>
          <w:tab w:val="num" w:pos="4317"/>
        </w:tabs>
        <w:ind w:left="4317" w:hanging="360"/>
      </w:pPr>
      <w:rPr>
        <w:rFonts w:ascii="Symbol" w:hAnsi="Symbol" w:hint="default"/>
      </w:rPr>
    </w:lvl>
    <w:lvl w:ilvl="7" w:tplc="08090003" w:tentative="1">
      <w:start w:val="1"/>
      <w:numFmt w:val="bullet"/>
      <w:lvlText w:val="o"/>
      <w:lvlJc w:val="left"/>
      <w:pPr>
        <w:tabs>
          <w:tab w:val="num" w:pos="5037"/>
        </w:tabs>
        <w:ind w:left="5037" w:hanging="360"/>
      </w:pPr>
      <w:rPr>
        <w:rFonts w:ascii="Courier New" w:hAnsi="Courier New" w:cs="Courier New" w:hint="default"/>
      </w:rPr>
    </w:lvl>
    <w:lvl w:ilvl="8" w:tplc="08090005" w:tentative="1">
      <w:start w:val="1"/>
      <w:numFmt w:val="bullet"/>
      <w:lvlText w:val=""/>
      <w:lvlJc w:val="left"/>
      <w:pPr>
        <w:tabs>
          <w:tab w:val="num" w:pos="5757"/>
        </w:tabs>
        <w:ind w:left="5757" w:hanging="360"/>
      </w:pPr>
      <w:rPr>
        <w:rFonts w:ascii="Wingdings" w:hAnsi="Wingdings" w:hint="default"/>
      </w:rPr>
    </w:lvl>
  </w:abstractNum>
  <w:abstractNum w:abstractNumId="20" w15:restartNumberingAfterBreak="0">
    <w:nsid w:val="36493ACA"/>
    <w:multiLevelType w:val="hybridMultilevel"/>
    <w:tmpl w:val="30544E1A"/>
    <w:lvl w:ilvl="0" w:tplc="F9388A90">
      <w:start w:val="1"/>
      <w:numFmt w:val="bullet"/>
      <w:lvlText w:val="-"/>
      <w:lvlJc w:val="left"/>
      <w:pPr>
        <w:ind w:left="720" w:hanging="360"/>
      </w:pPr>
      <w:rPr>
        <w:rFonts w:ascii="Arial" w:eastAsia="MS Mincho"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6A64C17"/>
    <w:multiLevelType w:val="hybridMultilevel"/>
    <w:tmpl w:val="8B5C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B04781"/>
    <w:multiLevelType w:val="hybridMultilevel"/>
    <w:tmpl w:val="EB42049E"/>
    <w:lvl w:ilvl="0" w:tplc="FFFFFFFF">
      <w:start w:val="1"/>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0B2DDF"/>
    <w:multiLevelType w:val="multilevel"/>
    <w:tmpl w:val="AAC0F348"/>
    <w:lvl w:ilvl="0">
      <w:start w:val="1"/>
      <w:numFmt w:val="decimal"/>
      <w:lvlText w:val="%1."/>
      <w:lvlJc w:val="left"/>
      <w:pPr>
        <w:ind w:left="360" w:hanging="360"/>
      </w:pPr>
      <w:rPr>
        <w:rFonts w:hint="default"/>
        <w:sz w:val="24"/>
        <w:szCs w:val="24"/>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3D504B2"/>
    <w:multiLevelType w:val="hybridMultilevel"/>
    <w:tmpl w:val="A1D85126"/>
    <w:lvl w:ilvl="0" w:tplc="0414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5" w15:restartNumberingAfterBreak="0">
    <w:nsid w:val="49A3456D"/>
    <w:multiLevelType w:val="hybridMultilevel"/>
    <w:tmpl w:val="BDB0C2D8"/>
    <w:lvl w:ilvl="0" w:tplc="4B6605A4">
      <w:start w:val="1"/>
      <w:numFmt w:val="decimal"/>
      <w:lvlText w:val="%1."/>
      <w:lvlJc w:val="left"/>
      <w:pPr>
        <w:ind w:left="720" w:hanging="360"/>
      </w:pPr>
      <w:rPr>
        <w:rFonts w:ascii="Verdana" w:hAnsi="Verdana" w:hint="default"/>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4B7F00C9"/>
    <w:multiLevelType w:val="hybridMultilevel"/>
    <w:tmpl w:val="5BE6090A"/>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7" w15:restartNumberingAfterBreak="0">
    <w:nsid w:val="4F8155CC"/>
    <w:multiLevelType w:val="hybridMultilevel"/>
    <w:tmpl w:val="8716D1D4"/>
    <w:lvl w:ilvl="0" w:tplc="04140001">
      <w:start w:val="1"/>
      <w:numFmt w:val="bullet"/>
      <w:lvlText w:val=""/>
      <w:lvlJc w:val="left"/>
      <w:pPr>
        <w:ind w:left="870" w:hanging="360"/>
      </w:pPr>
      <w:rPr>
        <w:rFonts w:ascii="Symbol" w:hAnsi="Symbol" w:hint="default"/>
      </w:rPr>
    </w:lvl>
    <w:lvl w:ilvl="1" w:tplc="04140003" w:tentative="1">
      <w:start w:val="1"/>
      <w:numFmt w:val="bullet"/>
      <w:lvlText w:val="o"/>
      <w:lvlJc w:val="left"/>
      <w:pPr>
        <w:ind w:left="1590" w:hanging="360"/>
      </w:pPr>
      <w:rPr>
        <w:rFonts w:ascii="Courier New" w:hAnsi="Courier New" w:cs="Courier New" w:hint="default"/>
      </w:rPr>
    </w:lvl>
    <w:lvl w:ilvl="2" w:tplc="04140005" w:tentative="1">
      <w:start w:val="1"/>
      <w:numFmt w:val="bullet"/>
      <w:lvlText w:val=""/>
      <w:lvlJc w:val="left"/>
      <w:pPr>
        <w:ind w:left="2310" w:hanging="360"/>
      </w:pPr>
      <w:rPr>
        <w:rFonts w:ascii="Wingdings" w:hAnsi="Wingdings" w:hint="default"/>
      </w:rPr>
    </w:lvl>
    <w:lvl w:ilvl="3" w:tplc="04140001" w:tentative="1">
      <w:start w:val="1"/>
      <w:numFmt w:val="bullet"/>
      <w:lvlText w:val=""/>
      <w:lvlJc w:val="left"/>
      <w:pPr>
        <w:ind w:left="3030" w:hanging="360"/>
      </w:pPr>
      <w:rPr>
        <w:rFonts w:ascii="Symbol" w:hAnsi="Symbol" w:hint="default"/>
      </w:rPr>
    </w:lvl>
    <w:lvl w:ilvl="4" w:tplc="04140003" w:tentative="1">
      <w:start w:val="1"/>
      <w:numFmt w:val="bullet"/>
      <w:lvlText w:val="o"/>
      <w:lvlJc w:val="left"/>
      <w:pPr>
        <w:ind w:left="3750" w:hanging="360"/>
      </w:pPr>
      <w:rPr>
        <w:rFonts w:ascii="Courier New" w:hAnsi="Courier New" w:cs="Courier New" w:hint="default"/>
      </w:rPr>
    </w:lvl>
    <w:lvl w:ilvl="5" w:tplc="04140005" w:tentative="1">
      <w:start w:val="1"/>
      <w:numFmt w:val="bullet"/>
      <w:lvlText w:val=""/>
      <w:lvlJc w:val="left"/>
      <w:pPr>
        <w:ind w:left="4470" w:hanging="360"/>
      </w:pPr>
      <w:rPr>
        <w:rFonts w:ascii="Wingdings" w:hAnsi="Wingdings" w:hint="default"/>
      </w:rPr>
    </w:lvl>
    <w:lvl w:ilvl="6" w:tplc="04140001" w:tentative="1">
      <w:start w:val="1"/>
      <w:numFmt w:val="bullet"/>
      <w:lvlText w:val=""/>
      <w:lvlJc w:val="left"/>
      <w:pPr>
        <w:ind w:left="5190" w:hanging="360"/>
      </w:pPr>
      <w:rPr>
        <w:rFonts w:ascii="Symbol" w:hAnsi="Symbol" w:hint="default"/>
      </w:rPr>
    </w:lvl>
    <w:lvl w:ilvl="7" w:tplc="04140003" w:tentative="1">
      <w:start w:val="1"/>
      <w:numFmt w:val="bullet"/>
      <w:lvlText w:val="o"/>
      <w:lvlJc w:val="left"/>
      <w:pPr>
        <w:ind w:left="5910" w:hanging="360"/>
      </w:pPr>
      <w:rPr>
        <w:rFonts w:ascii="Courier New" w:hAnsi="Courier New" w:cs="Courier New" w:hint="default"/>
      </w:rPr>
    </w:lvl>
    <w:lvl w:ilvl="8" w:tplc="04140005" w:tentative="1">
      <w:start w:val="1"/>
      <w:numFmt w:val="bullet"/>
      <w:lvlText w:val=""/>
      <w:lvlJc w:val="left"/>
      <w:pPr>
        <w:ind w:left="6630" w:hanging="360"/>
      </w:pPr>
      <w:rPr>
        <w:rFonts w:ascii="Wingdings" w:hAnsi="Wingdings" w:hint="default"/>
      </w:rPr>
    </w:lvl>
  </w:abstractNum>
  <w:abstractNum w:abstractNumId="28" w15:restartNumberingAfterBreak="0">
    <w:nsid w:val="50451A97"/>
    <w:multiLevelType w:val="hybridMultilevel"/>
    <w:tmpl w:val="80D4A4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0DA5E8F"/>
    <w:multiLevelType w:val="hybridMultilevel"/>
    <w:tmpl w:val="FE22F8A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68BF41B9"/>
    <w:multiLevelType w:val="hybridMultilevel"/>
    <w:tmpl w:val="2DFA3148"/>
    <w:lvl w:ilvl="0" w:tplc="7412590C">
      <w:start w:val="2"/>
      <w:numFmt w:val="bullet"/>
      <w:lvlText w:val="-"/>
      <w:lvlJc w:val="left"/>
      <w:pPr>
        <w:ind w:left="720" w:hanging="360"/>
      </w:pPr>
      <w:rPr>
        <w:rFonts w:ascii="Verdana" w:eastAsiaTheme="minorHAnsi" w:hAnsi="Verdana"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A7B4B58"/>
    <w:multiLevelType w:val="hybridMultilevel"/>
    <w:tmpl w:val="C92EA47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2" w15:restartNumberingAfterBreak="0">
    <w:nsid w:val="6AA640C0"/>
    <w:multiLevelType w:val="hybridMultilevel"/>
    <w:tmpl w:val="72C0A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2BF4E24"/>
    <w:multiLevelType w:val="hybridMultilevel"/>
    <w:tmpl w:val="4B2C3BB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4" w15:restartNumberingAfterBreak="0">
    <w:nsid w:val="75E2203A"/>
    <w:multiLevelType w:val="hybridMultilevel"/>
    <w:tmpl w:val="A2F2B01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766D77AC"/>
    <w:multiLevelType w:val="hybridMultilevel"/>
    <w:tmpl w:val="A8F0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8F21EB"/>
    <w:multiLevelType w:val="hybridMultilevel"/>
    <w:tmpl w:val="FECC90E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7" w15:restartNumberingAfterBreak="0">
    <w:nsid w:val="77CE697B"/>
    <w:multiLevelType w:val="hybridMultilevel"/>
    <w:tmpl w:val="DF069DB0"/>
    <w:lvl w:ilvl="0" w:tplc="7412590C">
      <w:start w:val="2"/>
      <w:numFmt w:val="bullet"/>
      <w:lvlText w:val="-"/>
      <w:lvlJc w:val="left"/>
      <w:pPr>
        <w:ind w:left="720" w:hanging="360"/>
      </w:pPr>
      <w:rPr>
        <w:rFonts w:ascii="Verdana" w:eastAsiaTheme="minorHAnsi" w:hAnsi="Verdana"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9B90499"/>
    <w:multiLevelType w:val="hybridMultilevel"/>
    <w:tmpl w:val="3260DA04"/>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9" w15:restartNumberingAfterBreak="0">
    <w:nsid w:val="7CF527B0"/>
    <w:multiLevelType w:val="multilevel"/>
    <w:tmpl w:val="ACD4C782"/>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0" w15:restartNumberingAfterBreak="0">
    <w:nsid w:val="7FE247D2"/>
    <w:multiLevelType w:val="hybridMultilevel"/>
    <w:tmpl w:val="076C0F64"/>
    <w:lvl w:ilvl="0" w:tplc="0809000F">
      <w:start w:val="1"/>
      <w:numFmt w:val="decimal"/>
      <w:lvlText w:val="%1."/>
      <w:lvlJc w:val="left"/>
      <w:pPr>
        <w:ind w:left="3981" w:hanging="360"/>
      </w:pPr>
    </w:lvl>
    <w:lvl w:ilvl="1" w:tplc="08090019" w:tentative="1">
      <w:start w:val="1"/>
      <w:numFmt w:val="lowerLetter"/>
      <w:lvlText w:val="%2."/>
      <w:lvlJc w:val="left"/>
      <w:pPr>
        <w:ind w:left="4701" w:hanging="360"/>
      </w:pPr>
    </w:lvl>
    <w:lvl w:ilvl="2" w:tplc="0809001B" w:tentative="1">
      <w:start w:val="1"/>
      <w:numFmt w:val="lowerRoman"/>
      <w:lvlText w:val="%3."/>
      <w:lvlJc w:val="right"/>
      <w:pPr>
        <w:ind w:left="5421" w:hanging="180"/>
      </w:pPr>
    </w:lvl>
    <w:lvl w:ilvl="3" w:tplc="0809000F" w:tentative="1">
      <w:start w:val="1"/>
      <w:numFmt w:val="decimal"/>
      <w:lvlText w:val="%4."/>
      <w:lvlJc w:val="left"/>
      <w:pPr>
        <w:ind w:left="6141" w:hanging="360"/>
      </w:pPr>
    </w:lvl>
    <w:lvl w:ilvl="4" w:tplc="08090019" w:tentative="1">
      <w:start w:val="1"/>
      <w:numFmt w:val="lowerLetter"/>
      <w:lvlText w:val="%5."/>
      <w:lvlJc w:val="left"/>
      <w:pPr>
        <w:ind w:left="6861" w:hanging="360"/>
      </w:pPr>
    </w:lvl>
    <w:lvl w:ilvl="5" w:tplc="0809001B" w:tentative="1">
      <w:start w:val="1"/>
      <w:numFmt w:val="lowerRoman"/>
      <w:lvlText w:val="%6."/>
      <w:lvlJc w:val="right"/>
      <w:pPr>
        <w:ind w:left="7581" w:hanging="180"/>
      </w:pPr>
    </w:lvl>
    <w:lvl w:ilvl="6" w:tplc="0809000F" w:tentative="1">
      <w:start w:val="1"/>
      <w:numFmt w:val="decimal"/>
      <w:lvlText w:val="%7."/>
      <w:lvlJc w:val="left"/>
      <w:pPr>
        <w:ind w:left="8301" w:hanging="360"/>
      </w:pPr>
    </w:lvl>
    <w:lvl w:ilvl="7" w:tplc="08090019" w:tentative="1">
      <w:start w:val="1"/>
      <w:numFmt w:val="lowerLetter"/>
      <w:lvlText w:val="%8."/>
      <w:lvlJc w:val="left"/>
      <w:pPr>
        <w:ind w:left="9021" w:hanging="360"/>
      </w:pPr>
    </w:lvl>
    <w:lvl w:ilvl="8" w:tplc="0809001B" w:tentative="1">
      <w:start w:val="1"/>
      <w:numFmt w:val="lowerRoman"/>
      <w:lvlText w:val="%9."/>
      <w:lvlJc w:val="right"/>
      <w:pPr>
        <w:ind w:left="9741" w:hanging="180"/>
      </w:pPr>
    </w:lvl>
  </w:abstractNum>
  <w:num w:numId="1">
    <w:abstractNumId w:val="13"/>
  </w:num>
  <w:num w:numId="2">
    <w:abstractNumId w:val="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7"/>
  </w:num>
  <w:num w:numId="6">
    <w:abstractNumId w:val="27"/>
  </w:num>
  <w:num w:numId="7">
    <w:abstractNumId w:val="16"/>
  </w:num>
  <w:num w:numId="8">
    <w:abstractNumId w:val="38"/>
  </w:num>
  <w:num w:numId="9">
    <w:abstractNumId w:val="11"/>
  </w:num>
  <w:num w:numId="10">
    <w:abstractNumId w:val="13"/>
  </w:num>
  <w:num w:numId="11">
    <w:abstractNumId w:val="23"/>
  </w:num>
  <w:num w:numId="12">
    <w:abstractNumId w:val="13"/>
  </w:num>
  <w:num w:numId="13">
    <w:abstractNumId w:val="13"/>
  </w:num>
  <w:num w:numId="14">
    <w:abstractNumId w:val="1"/>
  </w:num>
  <w:num w:numId="15">
    <w:abstractNumId w:val="13"/>
  </w:num>
  <w:num w:numId="16">
    <w:abstractNumId w:val="13"/>
  </w:num>
  <w:num w:numId="17">
    <w:abstractNumId w:val="36"/>
  </w:num>
  <w:num w:numId="18">
    <w:abstractNumId w:val="33"/>
  </w:num>
  <w:num w:numId="19">
    <w:abstractNumId w:val="19"/>
  </w:num>
  <w:num w:numId="20">
    <w:abstractNumId w:val="6"/>
  </w:num>
  <w:num w:numId="21">
    <w:abstractNumId w:val="39"/>
  </w:num>
  <w:num w:numId="22">
    <w:abstractNumId w:val="13"/>
    <w:lvlOverride w:ilvl="0">
      <w:startOverride w:val="5"/>
    </w:lvlOverride>
    <w:lvlOverride w:ilvl="1">
      <w:startOverride w:val="3"/>
    </w:lvlOverride>
  </w:num>
  <w:num w:numId="23">
    <w:abstractNumId w:val="21"/>
  </w:num>
  <w:num w:numId="24">
    <w:abstractNumId w:val="15"/>
  </w:num>
  <w:num w:numId="25">
    <w:abstractNumId w:val="32"/>
  </w:num>
  <w:num w:numId="26">
    <w:abstractNumId w:val="22"/>
  </w:num>
  <w:num w:numId="27">
    <w:abstractNumId w:val="14"/>
  </w:num>
  <w:num w:numId="28">
    <w:abstractNumId w:val="24"/>
  </w:num>
  <w:num w:numId="29">
    <w:abstractNumId w:val="40"/>
  </w:num>
  <w:num w:numId="30">
    <w:abstractNumId w:val="3"/>
  </w:num>
  <w:num w:numId="31">
    <w:abstractNumId w:val="0"/>
  </w:num>
  <w:num w:numId="32">
    <w:abstractNumId w:val="8"/>
  </w:num>
  <w:num w:numId="33">
    <w:abstractNumId w:val="4"/>
  </w:num>
  <w:num w:numId="34">
    <w:abstractNumId w:val="10"/>
  </w:num>
  <w:num w:numId="35">
    <w:abstractNumId w:val="5"/>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0"/>
  </w:num>
  <w:num w:numId="39">
    <w:abstractNumId w:val="17"/>
  </w:num>
  <w:num w:numId="40">
    <w:abstractNumId w:val="37"/>
  </w:num>
  <w:num w:numId="41">
    <w:abstractNumId w:val="18"/>
  </w:num>
  <w:num w:numId="42">
    <w:abstractNumId w:val="34"/>
  </w:num>
  <w:num w:numId="43">
    <w:abstractNumId w:val="12"/>
  </w:num>
  <w:num w:numId="44">
    <w:abstractNumId w:val="2"/>
  </w:num>
  <w:num w:numId="45">
    <w:abstractNumId w:val="31"/>
  </w:num>
  <w:num w:numId="46">
    <w:abstractNumId w:val="26"/>
  </w:num>
  <w:num w:numId="47">
    <w:abstractNumId w:val="29"/>
  </w:num>
  <w:num w:numId="48">
    <w:abstractNumId w:val="25"/>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133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8D"/>
    <w:rsid w:val="000001D2"/>
    <w:rsid w:val="0000318B"/>
    <w:rsid w:val="00005B81"/>
    <w:rsid w:val="00007134"/>
    <w:rsid w:val="00007940"/>
    <w:rsid w:val="00010FE7"/>
    <w:rsid w:val="0001148B"/>
    <w:rsid w:val="00014BA1"/>
    <w:rsid w:val="000155E3"/>
    <w:rsid w:val="00015CD5"/>
    <w:rsid w:val="0001737B"/>
    <w:rsid w:val="00017925"/>
    <w:rsid w:val="00017B9B"/>
    <w:rsid w:val="00020DA9"/>
    <w:rsid w:val="0002256E"/>
    <w:rsid w:val="0002339F"/>
    <w:rsid w:val="00025C19"/>
    <w:rsid w:val="00025DCB"/>
    <w:rsid w:val="00025FD3"/>
    <w:rsid w:val="0003000C"/>
    <w:rsid w:val="000304E0"/>
    <w:rsid w:val="000317A7"/>
    <w:rsid w:val="00031F03"/>
    <w:rsid w:val="0003239A"/>
    <w:rsid w:val="00033CFD"/>
    <w:rsid w:val="00035093"/>
    <w:rsid w:val="00035A77"/>
    <w:rsid w:val="00042730"/>
    <w:rsid w:val="00043657"/>
    <w:rsid w:val="00045BFA"/>
    <w:rsid w:val="00047284"/>
    <w:rsid w:val="00050A37"/>
    <w:rsid w:val="00051C52"/>
    <w:rsid w:val="00051ED1"/>
    <w:rsid w:val="00052F20"/>
    <w:rsid w:val="000538B8"/>
    <w:rsid w:val="000541F5"/>
    <w:rsid w:val="00055336"/>
    <w:rsid w:val="00057723"/>
    <w:rsid w:val="00057F55"/>
    <w:rsid w:val="000603A0"/>
    <w:rsid w:val="000604DF"/>
    <w:rsid w:val="00063915"/>
    <w:rsid w:val="00063A81"/>
    <w:rsid w:val="00067E41"/>
    <w:rsid w:val="00070B55"/>
    <w:rsid w:val="00073843"/>
    <w:rsid w:val="00073B16"/>
    <w:rsid w:val="000744D5"/>
    <w:rsid w:val="00075DC2"/>
    <w:rsid w:val="00075F02"/>
    <w:rsid w:val="000760EF"/>
    <w:rsid w:val="00076935"/>
    <w:rsid w:val="00080134"/>
    <w:rsid w:val="00081A3F"/>
    <w:rsid w:val="0008556D"/>
    <w:rsid w:val="00094B47"/>
    <w:rsid w:val="00097146"/>
    <w:rsid w:val="000975A3"/>
    <w:rsid w:val="000A04B8"/>
    <w:rsid w:val="000A270A"/>
    <w:rsid w:val="000A3555"/>
    <w:rsid w:val="000A42A2"/>
    <w:rsid w:val="000A6C52"/>
    <w:rsid w:val="000A7071"/>
    <w:rsid w:val="000B1EE8"/>
    <w:rsid w:val="000B3979"/>
    <w:rsid w:val="000B4AE1"/>
    <w:rsid w:val="000B73FA"/>
    <w:rsid w:val="000B7D2E"/>
    <w:rsid w:val="000C3673"/>
    <w:rsid w:val="000C3F85"/>
    <w:rsid w:val="000C4974"/>
    <w:rsid w:val="000C6A83"/>
    <w:rsid w:val="000C7038"/>
    <w:rsid w:val="000C7196"/>
    <w:rsid w:val="000C7B28"/>
    <w:rsid w:val="000D1D8E"/>
    <w:rsid w:val="000D4FFE"/>
    <w:rsid w:val="000D5311"/>
    <w:rsid w:val="000E0F5F"/>
    <w:rsid w:val="000E0F7B"/>
    <w:rsid w:val="000E1EF1"/>
    <w:rsid w:val="000E35E1"/>
    <w:rsid w:val="000E3DC6"/>
    <w:rsid w:val="000E585B"/>
    <w:rsid w:val="000E6556"/>
    <w:rsid w:val="000E6900"/>
    <w:rsid w:val="000E7F52"/>
    <w:rsid w:val="000F40FE"/>
    <w:rsid w:val="001000BD"/>
    <w:rsid w:val="00100F1A"/>
    <w:rsid w:val="00102C9D"/>
    <w:rsid w:val="00106C7B"/>
    <w:rsid w:val="00106D5A"/>
    <w:rsid w:val="00110646"/>
    <w:rsid w:val="001121EA"/>
    <w:rsid w:val="00112587"/>
    <w:rsid w:val="00114D0E"/>
    <w:rsid w:val="00115B39"/>
    <w:rsid w:val="00116F5A"/>
    <w:rsid w:val="001179F5"/>
    <w:rsid w:val="0012201E"/>
    <w:rsid w:val="00123164"/>
    <w:rsid w:val="0012445A"/>
    <w:rsid w:val="001245CD"/>
    <w:rsid w:val="00126EE4"/>
    <w:rsid w:val="001318EC"/>
    <w:rsid w:val="00135BE1"/>
    <w:rsid w:val="001363A1"/>
    <w:rsid w:val="00136F4A"/>
    <w:rsid w:val="00144DA9"/>
    <w:rsid w:val="001512FD"/>
    <w:rsid w:val="0015262C"/>
    <w:rsid w:val="00153559"/>
    <w:rsid w:val="00154C39"/>
    <w:rsid w:val="00161E0D"/>
    <w:rsid w:val="0016728F"/>
    <w:rsid w:val="00172BD0"/>
    <w:rsid w:val="00172F17"/>
    <w:rsid w:val="00173878"/>
    <w:rsid w:val="00173FB3"/>
    <w:rsid w:val="00175A27"/>
    <w:rsid w:val="00175E03"/>
    <w:rsid w:val="001762DD"/>
    <w:rsid w:val="0017634B"/>
    <w:rsid w:val="001812BE"/>
    <w:rsid w:val="001828A5"/>
    <w:rsid w:val="00183BD0"/>
    <w:rsid w:val="00184EB7"/>
    <w:rsid w:val="0018560A"/>
    <w:rsid w:val="001861D3"/>
    <w:rsid w:val="001863D4"/>
    <w:rsid w:val="001947AD"/>
    <w:rsid w:val="0019488E"/>
    <w:rsid w:val="001A0CAC"/>
    <w:rsid w:val="001A29B0"/>
    <w:rsid w:val="001A3431"/>
    <w:rsid w:val="001A43FE"/>
    <w:rsid w:val="001A4BCD"/>
    <w:rsid w:val="001B1090"/>
    <w:rsid w:val="001B165F"/>
    <w:rsid w:val="001B1D1C"/>
    <w:rsid w:val="001B3B26"/>
    <w:rsid w:val="001B5824"/>
    <w:rsid w:val="001B6625"/>
    <w:rsid w:val="001B698D"/>
    <w:rsid w:val="001B79E5"/>
    <w:rsid w:val="001B7E57"/>
    <w:rsid w:val="001C3092"/>
    <w:rsid w:val="001C3B91"/>
    <w:rsid w:val="001C3F80"/>
    <w:rsid w:val="001C40CD"/>
    <w:rsid w:val="001C5FE3"/>
    <w:rsid w:val="001C7004"/>
    <w:rsid w:val="001D3C16"/>
    <w:rsid w:val="001D41A2"/>
    <w:rsid w:val="001D46A8"/>
    <w:rsid w:val="001D5B2D"/>
    <w:rsid w:val="001E191C"/>
    <w:rsid w:val="001E1ECB"/>
    <w:rsid w:val="001E397D"/>
    <w:rsid w:val="001E4A88"/>
    <w:rsid w:val="001E70A1"/>
    <w:rsid w:val="001E70F6"/>
    <w:rsid w:val="001E789A"/>
    <w:rsid w:val="001E79A0"/>
    <w:rsid w:val="001F1420"/>
    <w:rsid w:val="001F1BBE"/>
    <w:rsid w:val="001F29E1"/>
    <w:rsid w:val="001F3BAA"/>
    <w:rsid w:val="001F5B41"/>
    <w:rsid w:val="001F61F2"/>
    <w:rsid w:val="001F67A0"/>
    <w:rsid w:val="001F6F32"/>
    <w:rsid w:val="001F70BA"/>
    <w:rsid w:val="00201024"/>
    <w:rsid w:val="0020139B"/>
    <w:rsid w:val="00201DFF"/>
    <w:rsid w:val="002028A1"/>
    <w:rsid w:val="0020297D"/>
    <w:rsid w:val="0020328D"/>
    <w:rsid w:val="00203731"/>
    <w:rsid w:val="0020436B"/>
    <w:rsid w:val="00205E28"/>
    <w:rsid w:val="00206A1D"/>
    <w:rsid w:val="002078D0"/>
    <w:rsid w:val="00212308"/>
    <w:rsid w:val="002170A2"/>
    <w:rsid w:val="002212D4"/>
    <w:rsid w:val="00222906"/>
    <w:rsid w:val="002251A7"/>
    <w:rsid w:val="00226549"/>
    <w:rsid w:val="00227428"/>
    <w:rsid w:val="00227B47"/>
    <w:rsid w:val="00230C16"/>
    <w:rsid w:val="00230E04"/>
    <w:rsid w:val="002338DD"/>
    <w:rsid w:val="002342BB"/>
    <w:rsid w:val="00234BB3"/>
    <w:rsid w:val="002355C6"/>
    <w:rsid w:val="00242ACC"/>
    <w:rsid w:val="00242B11"/>
    <w:rsid w:val="00242B39"/>
    <w:rsid w:val="0024332C"/>
    <w:rsid w:val="0024375A"/>
    <w:rsid w:val="00245587"/>
    <w:rsid w:val="0024758B"/>
    <w:rsid w:val="002478EF"/>
    <w:rsid w:val="00250854"/>
    <w:rsid w:val="00252270"/>
    <w:rsid w:val="002532A7"/>
    <w:rsid w:val="00255FD3"/>
    <w:rsid w:val="00260959"/>
    <w:rsid w:val="00261D02"/>
    <w:rsid w:val="00264B55"/>
    <w:rsid w:val="00265857"/>
    <w:rsid w:val="00266063"/>
    <w:rsid w:val="00266F00"/>
    <w:rsid w:val="002713BE"/>
    <w:rsid w:val="0027341B"/>
    <w:rsid w:val="0027369E"/>
    <w:rsid w:val="00273F21"/>
    <w:rsid w:val="00273FCD"/>
    <w:rsid w:val="00274F7C"/>
    <w:rsid w:val="00275FF6"/>
    <w:rsid w:val="0028157C"/>
    <w:rsid w:val="002818A2"/>
    <w:rsid w:val="002839B7"/>
    <w:rsid w:val="00286DE0"/>
    <w:rsid w:val="0028797B"/>
    <w:rsid w:val="002905C1"/>
    <w:rsid w:val="0029232B"/>
    <w:rsid w:val="00295D4B"/>
    <w:rsid w:val="002A1BCE"/>
    <w:rsid w:val="002A4D4A"/>
    <w:rsid w:val="002A5976"/>
    <w:rsid w:val="002A7B13"/>
    <w:rsid w:val="002A7D03"/>
    <w:rsid w:val="002B0694"/>
    <w:rsid w:val="002B52EF"/>
    <w:rsid w:val="002B6C86"/>
    <w:rsid w:val="002C0EA0"/>
    <w:rsid w:val="002C165F"/>
    <w:rsid w:val="002C4210"/>
    <w:rsid w:val="002C48BC"/>
    <w:rsid w:val="002C4EF7"/>
    <w:rsid w:val="002C51F4"/>
    <w:rsid w:val="002C5303"/>
    <w:rsid w:val="002C78BD"/>
    <w:rsid w:val="002D04AB"/>
    <w:rsid w:val="002D0D0B"/>
    <w:rsid w:val="002D1E93"/>
    <w:rsid w:val="002D2418"/>
    <w:rsid w:val="002D2FF5"/>
    <w:rsid w:val="002D43CD"/>
    <w:rsid w:val="002D5B37"/>
    <w:rsid w:val="002D6277"/>
    <w:rsid w:val="002D6459"/>
    <w:rsid w:val="002D6474"/>
    <w:rsid w:val="002E1C21"/>
    <w:rsid w:val="002E1EE4"/>
    <w:rsid w:val="002E4BCF"/>
    <w:rsid w:val="002E4E8C"/>
    <w:rsid w:val="002E5022"/>
    <w:rsid w:val="002E5DFB"/>
    <w:rsid w:val="002E6775"/>
    <w:rsid w:val="002E7001"/>
    <w:rsid w:val="002E7A14"/>
    <w:rsid w:val="002F7AA8"/>
    <w:rsid w:val="00300612"/>
    <w:rsid w:val="00301BC8"/>
    <w:rsid w:val="003022C4"/>
    <w:rsid w:val="00302A36"/>
    <w:rsid w:val="00305498"/>
    <w:rsid w:val="00305A6E"/>
    <w:rsid w:val="00307043"/>
    <w:rsid w:val="00307383"/>
    <w:rsid w:val="00310946"/>
    <w:rsid w:val="00311644"/>
    <w:rsid w:val="00311E7A"/>
    <w:rsid w:val="00312924"/>
    <w:rsid w:val="00315F03"/>
    <w:rsid w:val="00316705"/>
    <w:rsid w:val="00322D9C"/>
    <w:rsid w:val="00323018"/>
    <w:rsid w:val="00323E24"/>
    <w:rsid w:val="003242D8"/>
    <w:rsid w:val="00324397"/>
    <w:rsid w:val="003266B3"/>
    <w:rsid w:val="00327799"/>
    <w:rsid w:val="00331770"/>
    <w:rsid w:val="00335AFD"/>
    <w:rsid w:val="0033635B"/>
    <w:rsid w:val="00336750"/>
    <w:rsid w:val="00336F7B"/>
    <w:rsid w:val="00341556"/>
    <w:rsid w:val="00342B51"/>
    <w:rsid w:val="00342B5C"/>
    <w:rsid w:val="00345CB9"/>
    <w:rsid w:val="00345E88"/>
    <w:rsid w:val="0034630E"/>
    <w:rsid w:val="00346807"/>
    <w:rsid w:val="003473D8"/>
    <w:rsid w:val="003479B0"/>
    <w:rsid w:val="00350E24"/>
    <w:rsid w:val="00351AFB"/>
    <w:rsid w:val="00351E18"/>
    <w:rsid w:val="00351E96"/>
    <w:rsid w:val="00352561"/>
    <w:rsid w:val="00353CB4"/>
    <w:rsid w:val="00353CCB"/>
    <w:rsid w:val="00354E55"/>
    <w:rsid w:val="00356903"/>
    <w:rsid w:val="003607CA"/>
    <w:rsid w:val="00362B46"/>
    <w:rsid w:val="00362E94"/>
    <w:rsid w:val="00363536"/>
    <w:rsid w:val="003641B6"/>
    <w:rsid w:val="003664D5"/>
    <w:rsid w:val="00367272"/>
    <w:rsid w:val="003721C8"/>
    <w:rsid w:val="00372438"/>
    <w:rsid w:val="00376715"/>
    <w:rsid w:val="003772F1"/>
    <w:rsid w:val="00384C3C"/>
    <w:rsid w:val="00386087"/>
    <w:rsid w:val="00395BAF"/>
    <w:rsid w:val="0039658D"/>
    <w:rsid w:val="003A09EB"/>
    <w:rsid w:val="003A2CDF"/>
    <w:rsid w:val="003A4B47"/>
    <w:rsid w:val="003A7140"/>
    <w:rsid w:val="003A7977"/>
    <w:rsid w:val="003B0C3C"/>
    <w:rsid w:val="003B1483"/>
    <w:rsid w:val="003B2333"/>
    <w:rsid w:val="003B2431"/>
    <w:rsid w:val="003B5E54"/>
    <w:rsid w:val="003B5EE7"/>
    <w:rsid w:val="003B64B9"/>
    <w:rsid w:val="003C0310"/>
    <w:rsid w:val="003C03A1"/>
    <w:rsid w:val="003C1D40"/>
    <w:rsid w:val="003D01D1"/>
    <w:rsid w:val="003D15D1"/>
    <w:rsid w:val="003D1B95"/>
    <w:rsid w:val="003D2CB4"/>
    <w:rsid w:val="003D39FA"/>
    <w:rsid w:val="003D6E2D"/>
    <w:rsid w:val="003D7801"/>
    <w:rsid w:val="003D7F14"/>
    <w:rsid w:val="003D7FE9"/>
    <w:rsid w:val="003E2BF0"/>
    <w:rsid w:val="003E2F32"/>
    <w:rsid w:val="003E314F"/>
    <w:rsid w:val="003E5AC2"/>
    <w:rsid w:val="003F0BB1"/>
    <w:rsid w:val="003F0C33"/>
    <w:rsid w:val="003F1C9C"/>
    <w:rsid w:val="003F30AB"/>
    <w:rsid w:val="003F3FDA"/>
    <w:rsid w:val="003F4365"/>
    <w:rsid w:val="003F55A4"/>
    <w:rsid w:val="003F5F2F"/>
    <w:rsid w:val="003F7733"/>
    <w:rsid w:val="004008C4"/>
    <w:rsid w:val="00400A51"/>
    <w:rsid w:val="00402177"/>
    <w:rsid w:val="00403600"/>
    <w:rsid w:val="00403E41"/>
    <w:rsid w:val="00404EE1"/>
    <w:rsid w:val="00405646"/>
    <w:rsid w:val="004068E3"/>
    <w:rsid w:val="004074B1"/>
    <w:rsid w:val="00407B62"/>
    <w:rsid w:val="00407D43"/>
    <w:rsid w:val="00413323"/>
    <w:rsid w:val="00413EEC"/>
    <w:rsid w:val="00414F80"/>
    <w:rsid w:val="004201CD"/>
    <w:rsid w:val="00420358"/>
    <w:rsid w:val="00420638"/>
    <w:rsid w:val="00421BF6"/>
    <w:rsid w:val="0042302F"/>
    <w:rsid w:val="0042796C"/>
    <w:rsid w:val="004336EE"/>
    <w:rsid w:val="00434D89"/>
    <w:rsid w:val="00442627"/>
    <w:rsid w:val="004451B4"/>
    <w:rsid w:val="00446D2F"/>
    <w:rsid w:val="00446D95"/>
    <w:rsid w:val="00450967"/>
    <w:rsid w:val="004511A7"/>
    <w:rsid w:val="00452775"/>
    <w:rsid w:val="00452959"/>
    <w:rsid w:val="00452A67"/>
    <w:rsid w:val="0045392F"/>
    <w:rsid w:val="004543E1"/>
    <w:rsid w:val="00462FD9"/>
    <w:rsid w:val="00464B4B"/>
    <w:rsid w:val="00465750"/>
    <w:rsid w:val="004658F6"/>
    <w:rsid w:val="00465A77"/>
    <w:rsid w:val="0046614D"/>
    <w:rsid w:val="00466CDE"/>
    <w:rsid w:val="00467A32"/>
    <w:rsid w:val="004700FE"/>
    <w:rsid w:val="00472045"/>
    <w:rsid w:val="00477137"/>
    <w:rsid w:val="00477E0D"/>
    <w:rsid w:val="0048058C"/>
    <w:rsid w:val="004818AD"/>
    <w:rsid w:val="00482E2C"/>
    <w:rsid w:val="004842EE"/>
    <w:rsid w:val="004871DE"/>
    <w:rsid w:val="00487352"/>
    <w:rsid w:val="00487D13"/>
    <w:rsid w:val="00487E88"/>
    <w:rsid w:val="00491DA1"/>
    <w:rsid w:val="0049328C"/>
    <w:rsid w:val="00493419"/>
    <w:rsid w:val="004953A7"/>
    <w:rsid w:val="004970F2"/>
    <w:rsid w:val="004973C6"/>
    <w:rsid w:val="00497A98"/>
    <w:rsid w:val="004A2937"/>
    <w:rsid w:val="004A2A73"/>
    <w:rsid w:val="004A355F"/>
    <w:rsid w:val="004A4157"/>
    <w:rsid w:val="004A41BD"/>
    <w:rsid w:val="004A5DA5"/>
    <w:rsid w:val="004A6A7F"/>
    <w:rsid w:val="004B033F"/>
    <w:rsid w:val="004B0B4F"/>
    <w:rsid w:val="004B5CDF"/>
    <w:rsid w:val="004B62DF"/>
    <w:rsid w:val="004B7800"/>
    <w:rsid w:val="004C0EB1"/>
    <w:rsid w:val="004C7E16"/>
    <w:rsid w:val="004D225E"/>
    <w:rsid w:val="004D2858"/>
    <w:rsid w:val="004D7EC4"/>
    <w:rsid w:val="004E0F7D"/>
    <w:rsid w:val="004E114A"/>
    <w:rsid w:val="004E1A39"/>
    <w:rsid w:val="004E2A88"/>
    <w:rsid w:val="004E31DA"/>
    <w:rsid w:val="004E4241"/>
    <w:rsid w:val="004E632F"/>
    <w:rsid w:val="004E67BA"/>
    <w:rsid w:val="004E7433"/>
    <w:rsid w:val="004E7848"/>
    <w:rsid w:val="004E7FFA"/>
    <w:rsid w:val="004F0651"/>
    <w:rsid w:val="004F1AB5"/>
    <w:rsid w:val="004F48D5"/>
    <w:rsid w:val="004F5458"/>
    <w:rsid w:val="004F5D25"/>
    <w:rsid w:val="00503694"/>
    <w:rsid w:val="005069C8"/>
    <w:rsid w:val="00506F63"/>
    <w:rsid w:val="00507296"/>
    <w:rsid w:val="00507AF4"/>
    <w:rsid w:val="0051133B"/>
    <w:rsid w:val="005142AE"/>
    <w:rsid w:val="00517137"/>
    <w:rsid w:val="0052079E"/>
    <w:rsid w:val="00521A1E"/>
    <w:rsid w:val="005253E2"/>
    <w:rsid w:val="00533560"/>
    <w:rsid w:val="00534058"/>
    <w:rsid w:val="005343B7"/>
    <w:rsid w:val="00536D65"/>
    <w:rsid w:val="0053708F"/>
    <w:rsid w:val="00540AD6"/>
    <w:rsid w:val="00541F0B"/>
    <w:rsid w:val="005457A8"/>
    <w:rsid w:val="0054662C"/>
    <w:rsid w:val="00546705"/>
    <w:rsid w:val="00546F40"/>
    <w:rsid w:val="0054792B"/>
    <w:rsid w:val="0054797F"/>
    <w:rsid w:val="00547E60"/>
    <w:rsid w:val="0055203B"/>
    <w:rsid w:val="0055367D"/>
    <w:rsid w:val="005543D7"/>
    <w:rsid w:val="00555060"/>
    <w:rsid w:val="00555322"/>
    <w:rsid w:val="00557162"/>
    <w:rsid w:val="00560106"/>
    <w:rsid w:val="00561872"/>
    <w:rsid w:val="00561F78"/>
    <w:rsid w:val="005634A6"/>
    <w:rsid w:val="00566608"/>
    <w:rsid w:val="005677DF"/>
    <w:rsid w:val="00567BDC"/>
    <w:rsid w:val="00570135"/>
    <w:rsid w:val="00570267"/>
    <w:rsid w:val="00572B8D"/>
    <w:rsid w:val="005759C0"/>
    <w:rsid w:val="005765AE"/>
    <w:rsid w:val="005819A0"/>
    <w:rsid w:val="00581BA5"/>
    <w:rsid w:val="0058293E"/>
    <w:rsid w:val="00582EF5"/>
    <w:rsid w:val="005834DE"/>
    <w:rsid w:val="00583FA6"/>
    <w:rsid w:val="00583FF0"/>
    <w:rsid w:val="0058477C"/>
    <w:rsid w:val="00585DFA"/>
    <w:rsid w:val="00586C9E"/>
    <w:rsid w:val="0058743E"/>
    <w:rsid w:val="00590EE9"/>
    <w:rsid w:val="0059175B"/>
    <w:rsid w:val="005920F0"/>
    <w:rsid w:val="005925AA"/>
    <w:rsid w:val="00593250"/>
    <w:rsid w:val="00593606"/>
    <w:rsid w:val="0059612D"/>
    <w:rsid w:val="005A1CAC"/>
    <w:rsid w:val="005A1ED4"/>
    <w:rsid w:val="005A4532"/>
    <w:rsid w:val="005A4749"/>
    <w:rsid w:val="005A54FD"/>
    <w:rsid w:val="005A5B87"/>
    <w:rsid w:val="005A6361"/>
    <w:rsid w:val="005A77DD"/>
    <w:rsid w:val="005A79A7"/>
    <w:rsid w:val="005B1C21"/>
    <w:rsid w:val="005B21E1"/>
    <w:rsid w:val="005B634F"/>
    <w:rsid w:val="005C1C16"/>
    <w:rsid w:val="005C2080"/>
    <w:rsid w:val="005C457D"/>
    <w:rsid w:val="005C4D44"/>
    <w:rsid w:val="005C590A"/>
    <w:rsid w:val="005C5E70"/>
    <w:rsid w:val="005C5EA0"/>
    <w:rsid w:val="005C7C49"/>
    <w:rsid w:val="005D0531"/>
    <w:rsid w:val="005D39BF"/>
    <w:rsid w:val="005D47BE"/>
    <w:rsid w:val="005E3D8F"/>
    <w:rsid w:val="005E408A"/>
    <w:rsid w:val="005E4915"/>
    <w:rsid w:val="005E5793"/>
    <w:rsid w:val="005E6BF3"/>
    <w:rsid w:val="005F1202"/>
    <w:rsid w:val="005F1CE9"/>
    <w:rsid w:val="005F3702"/>
    <w:rsid w:val="005F3A27"/>
    <w:rsid w:val="005F5D0D"/>
    <w:rsid w:val="00600713"/>
    <w:rsid w:val="00602D17"/>
    <w:rsid w:val="0060494A"/>
    <w:rsid w:val="00605238"/>
    <w:rsid w:val="00610459"/>
    <w:rsid w:val="00614709"/>
    <w:rsid w:val="00616E0B"/>
    <w:rsid w:val="00620E9E"/>
    <w:rsid w:val="00621266"/>
    <w:rsid w:val="00621A57"/>
    <w:rsid w:val="00622D57"/>
    <w:rsid w:val="00623431"/>
    <w:rsid w:val="006234C3"/>
    <w:rsid w:val="00623CD8"/>
    <w:rsid w:val="0062447D"/>
    <w:rsid w:val="006256A9"/>
    <w:rsid w:val="006261FD"/>
    <w:rsid w:val="00627727"/>
    <w:rsid w:val="00627E84"/>
    <w:rsid w:val="00632059"/>
    <w:rsid w:val="0063329D"/>
    <w:rsid w:val="0063356E"/>
    <w:rsid w:val="006350C1"/>
    <w:rsid w:val="006360FB"/>
    <w:rsid w:val="00636144"/>
    <w:rsid w:val="006361B0"/>
    <w:rsid w:val="00637ED9"/>
    <w:rsid w:val="00640942"/>
    <w:rsid w:val="00641DB0"/>
    <w:rsid w:val="00645812"/>
    <w:rsid w:val="00645E8C"/>
    <w:rsid w:val="00646293"/>
    <w:rsid w:val="006513B1"/>
    <w:rsid w:val="00652116"/>
    <w:rsid w:val="00654D0A"/>
    <w:rsid w:val="00655F03"/>
    <w:rsid w:val="00665357"/>
    <w:rsid w:val="00665558"/>
    <w:rsid w:val="006675BD"/>
    <w:rsid w:val="00672971"/>
    <w:rsid w:val="00672BA6"/>
    <w:rsid w:val="00674ED0"/>
    <w:rsid w:val="00675EFC"/>
    <w:rsid w:val="00677121"/>
    <w:rsid w:val="00682D1A"/>
    <w:rsid w:val="0068450D"/>
    <w:rsid w:val="00691597"/>
    <w:rsid w:val="006954F3"/>
    <w:rsid w:val="00696F86"/>
    <w:rsid w:val="006A0283"/>
    <w:rsid w:val="006A0661"/>
    <w:rsid w:val="006A0F21"/>
    <w:rsid w:val="006A20E6"/>
    <w:rsid w:val="006A4422"/>
    <w:rsid w:val="006A6BF2"/>
    <w:rsid w:val="006B048F"/>
    <w:rsid w:val="006B1209"/>
    <w:rsid w:val="006B132F"/>
    <w:rsid w:val="006B28D3"/>
    <w:rsid w:val="006B363E"/>
    <w:rsid w:val="006B3AD3"/>
    <w:rsid w:val="006B3B5A"/>
    <w:rsid w:val="006B59C2"/>
    <w:rsid w:val="006B6292"/>
    <w:rsid w:val="006B68BE"/>
    <w:rsid w:val="006B73E6"/>
    <w:rsid w:val="006C0A2C"/>
    <w:rsid w:val="006C0DB3"/>
    <w:rsid w:val="006C1F9F"/>
    <w:rsid w:val="006C207A"/>
    <w:rsid w:val="006C31A2"/>
    <w:rsid w:val="006C44FA"/>
    <w:rsid w:val="006C4B86"/>
    <w:rsid w:val="006C4D07"/>
    <w:rsid w:val="006C6BB5"/>
    <w:rsid w:val="006C7635"/>
    <w:rsid w:val="006C7674"/>
    <w:rsid w:val="006C7F27"/>
    <w:rsid w:val="006D0213"/>
    <w:rsid w:val="006D1761"/>
    <w:rsid w:val="006D2BF5"/>
    <w:rsid w:val="006D344C"/>
    <w:rsid w:val="006D4C8A"/>
    <w:rsid w:val="006D4D0F"/>
    <w:rsid w:val="006E034C"/>
    <w:rsid w:val="006E0A5F"/>
    <w:rsid w:val="006E39B5"/>
    <w:rsid w:val="006E3F9A"/>
    <w:rsid w:val="006E40E9"/>
    <w:rsid w:val="006F12BB"/>
    <w:rsid w:val="006F1AC2"/>
    <w:rsid w:val="006F406A"/>
    <w:rsid w:val="006F7ED1"/>
    <w:rsid w:val="00701E52"/>
    <w:rsid w:val="00705C28"/>
    <w:rsid w:val="00707DE4"/>
    <w:rsid w:val="00711199"/>
    <w:rsid w:val="00711423"/>
    <w:rsid w:val="00711A9B"/>
    <w:rsid w:val="00715DEC"/>
    <w:rsid w:val="0071679E"/>
    <w:rsid w:val="007207F6"/>
    <w:rsid w:val="00720A7A"/>
    <w:rsid w:val="00720DDB"/>
    <w:rsid w:val="007213B5"/>
    <w:rsid w:val="007218B2"/>
    <w:rsid w:val="00721BB4"/>
    <w:rsid w:val="00723BD5"/>
    <w:rsid w:val="00723D6A"/>
    <w:rsid w:val="0072418E"/>
    <w:rsid w:val="00725095"/>
    <w:rsid w:val="007300E8"/>
    <w:rsid w:val="00730DDD"/>
    <w:rsid w:val="007329DB"/>
    <w:rsid w:val="00732FFA"/>
    <w:rsid w:val="00735F41"/>
    <w:rsid w:val="0074087B"/>
    <w:rsid w:val="00741420"/>
    <w:rsid w:val="007422B0"/>
    <w:rsid w:val="0074352D"/>
    <w:rsid w:val="00743725"/>
    <w:rsid w:val="00744765"/>
    <w:rsid w:val="00747E67"/>
    <w:rsid w:val="00750600"/>
    <w:rsid w:val="00750787"/>
    <w:rsid w:val="0075364F"/>
    <w:rsid w:val="007543AD"/>
    <w:rsid w:val="0075480A"/>
    <w:rsid w:val="00755EE8"/>
    <w:rsid w:val="007568D8"/>
    <w:rsid w:val="007626C3"/>
    <w:rsid w:val="00763E35"/>
    <w:rsid w:val="007651DF"/>
    <w:rsid w:val="007662F3"/>
    <w:rsid w:val="00767EFE"/>
    <w:rsid w:val="00772855"/>
    <w:rsid w:val="00772858"/>
    <w:rsid w:val="007738F1"/>
    <w:rsid w:val="00775653"/>
    <w:rsid w:val="00776273"/>
    <w:rsid w:val="00777101"/>
    <w:rsid w:val="007809A5"/>
    <w:rsid w:val="007825D5"/>
    <w:rsid w:val="00783545"/>
    <w:rsid w:val="00787382"/>
    <w:rsid w:val="00787968"/>
    <w:rsid w:val="00787DBC"/>
    <w:rsid w:val="00790566"/>
    <w:rsid w:val="0079064B"/>
    <w:rsid w:val="0079095F"/>
    <w:rsid w:val="00791D99"/>
    <w:rsid w:val="00793703"/>
    <w:rsid w:val="00794EE1"/>
    <w:rsid w:val="007952B0"/>
    <w:rsid w:val="00795F99"/>
    <w:rsid w:val="00796622"/>
    <w:rsid w:val="00797151"/>
    <w:rsid w:val="00797F65"/>
    <w:rsid w:val="007A392F"/>
    <w:rsid w:val="007A45A3"/>
    <w:rsid w:val="007A57A2"/>
    <w:rsid w:val="007B054B"/>
    <w:rsid w:val="007B569F"/>
    <w:rsid w:val="007B576B"/>
    <w:rsid w:val="007B5DB8"/>
    <w:rsid w:val="007B760F"/>
    <w:rsid w:val="007C06D0"/>
    <w:rsid w:val="007C2ACD"/>
    <w:rsid w:val="007C3D9F"/>
    <w:rsid w:val="007C52F5"/>
    <w:rsid w:val="007C58EC"/>
    <w:rsid w:val="007D0587"/>
    <w:rsid w:val="007D1EC0"/>
    <w:rsid w:val="007D2EEF"/>
    <w:rsid w:val="007D3CB7"/>
    <w:rsid w:val="007D4BFF"/>
    <w:rsid w:val="007D5FDD"/>
    <w:rsid w:val="007E13CB"/>
    <w:rsid w:val="007E441D"/>
    <w:rsid w:val="007E583C"/>
    <w:rsid w:val="007E5E01"/>
    <w:rsid w:val="007E6A89"/>
    <w:rsid w:val="007E7B2A"/>
    <w:rsid w:val="007F23DB"/>
    <w:rsid w:val="007F30B5"/>
    <w:rsid w:val="007F3627"/>
    <w:rsid w:val="007F4A62"/>
    <w:rsid w:val="007F6047"/>
    <w:rsid w:val="008008FE"/>
    <w:rsid w:val="008039F3"/>
    <w:rsid w:val="008047B4"/>
    <w:rsid w:val="0080700D"/>
    <w:rsid w:val="008108C7"/>
    <w:rsid w:val="00814F5C"/>
    <w:rsid w:val="00815978"/>
    <w:rsid w:val="0081602E"/>
    <w:rsid w:val="00821675"/>
    <w:rsid w:val="00824331"/>
    <w:rsid w:val="0082573D"/>
    <w:rsid w:val="00826D44"/>
    <w:rsid w:val="0083185A"/>
    <w:rsid w:val="00841725"/>
    <w:rsid w:val="008462C6"/>
    <w:rsid w:val="00846E1D"/>
    <w:rsid w:val="008473BE"/>
    <w:rsid w:val="008473DF"/>
    <w:rsid w:val="00847899"/>
    <w:rsid w:val="00847F46"/>
    <w:rsid w:val="008505EC"/>
    <w:rsid w:val="00850AEF"/>
    <w:rsid w:val="008522B4"/>
    <w:rsid w:val="00852714"/>
    <w:rsid w:val="00852ED6"/>
    <w:rsid w:val="00853DDE"/>
    <w:rsid w:val="0085647B"/>
    <w:rsid w:val="00856D56"/>
    <w:rsid w:val="00860411"/>
    <w:rsid w:val="00861C2E"/>
    <w:rsid w:val="00866973"/>
    <w:rsid w:val="00867E74"/>
    <w:rsid w:val="00871404"/>
    <w:rsid w:val="00872A26"/>
    <w:rsid w:val="008741B6"/>
    <w:rsid w:val="00875BE2"/>
    <w:rsid w:val="00875D65"/>
    <w:rsid w:val="0087637D"/>
    <w:rsid w:val="00883D8B"/>
    <w:rsid w:val="00883F6A"/>
    <w:rsid w:val="008841C3"/>
    <w:rsid w:val="008850D6"/>
    <w:rsid w:val="0089543E"/>
    <w:rsid w:val="00896542"/>
    <w:rsid w:val="008A02A7"/>
    <w:rsid w:val="008A2AD7"/>
    <w:rsid w:val="008A3490"/>
    <w:rsid w:val="008A4E58"/>
    <w:rsid w:val="008A56FD"/>
    <w:rsid w:val="008B0BFF"/>
    <w:rsid w:val="008B0CF8"/>
    <w:rsid w:val="008B11CB"/>
    <w:rsid w:val="008B1ED7"/>
    <w:rsid w:val="008B2DA5"/>
    <w:rsid w:val="008B5460"/>
    <w:rsid w:val="008C406F"/>
    <w:rsid w:val="008C46E2"/>
    <w:rsid w:val="008C54AF"/>
    <w:rsid w:val="008D103A"/>
    <w:rsid w:val="008D1F6B"/>
    <w:rsid w:val="008D2DE8"/>
    <w:rsid w:val="008D3482"/>
    <w:rsid w:val="008D3633"/>
    <w:rsid w:val="008D3BF2"/>
    <w:rsid w:val="008D44C2"/>
    <w:rsid w:val="008D5123"/>
    <w:rsid w:val="008D6276"/>
    <w:rsid w:val="008D6328"/>
    <w:rsid w:val="008E0428"/>
    <w:rsid w:val="008E3508"/>
    <w:rsid w:val="008E3C2D"/>
    <w:rsid w:val="008E714A"/>
    <w:rsid w:val="008E7530"/>
    <w:rsid w:val="008F0550"/>
    <w:rsid w:val="008F0B8A"/>
    <w:rsid w:val="008F2C55"/>
    <w:rsid w:val="008F453B"/>
    <w:rsid w:val="008F54B9"/>
    <w:rsid w:val="008F6954"/>
    <w:rsid w:val="008F6F73"/>
    <w:rsid w:val="00900660"/>
    <w:rsid w:val="00901F48"/>
    <w:rsid w:val="009042EB"/>
    <w:rsid w:val="00904413"/>
    <w:rsid w:val="0090468D"/>
    <w:rsid w:val="009055F6"/>
    <w:rsid w:val="0091023E"/>
    <w:rsid w:val="00910645"/>
    <w:rsid w:val="009128A6"/>
    <w:rsid w:val="00912E76"/>
    <w:rsid w:val="00913AC1"/>
    <w:rsid w:val="00913FA1"/>
    <w:rsid w:val="009155C0"/>
    <w:rsid w:val="00921233"/>
    <w:rsid w:val="00921EB8"/>
    <w:rsid w:val="00922B3A"/>
    <w:rsid w:val="00923C63"/>
    <w:rsid w:val="0092475A"/>
    <w:rsid w:val="00924CBF"/>
    <w:rsid w:val="00924E3C"/>
    <w:rsid w:val="00925A84"/>
    <w:rsid w:val="00926286"/>
    <w:rsid w:val="00926919"/>
    <w:rsid w:val="00926DC2"/>
    <w:rsid w:val="00927245"/>
    <w:rsid w:val="009304EB"/>
    <w:rsid w:val="0093569A"/>
    <w:rsid w:val="009420C6"/>
    <w:rsid w:val="00942124"/>
    <w:rsid w:val="00942A33"/>
    <w:rsid w:val="00942E3F"/>
    <w:rsid w:val="009448E9"/>
    <w:rsid w:val="00950B40"/>
    <w:rsid w:val="009513BA"/>
    <w:rsid w:val="009555C9"/>
    <w:rsid w:val="00957D8E"/>
    <w:rsid w:val="0097014D"/>
    <w:rsid w:val="00972F13"/>
    <w:rsid w:val="00973C04"/>
    <w:rsid w:val="00973EE7"/>
    <w:rsid w:val="009801E3"/>
    <w:rsid w:val="009829E6"/>
    <w:rsid w:val="00982AC7"/>
    <w:rsid w:val="0098333B"/>
    <w:rsid w:val="009835D5"/>
    <w:rsid w:val="00984419"/>
    <w:rsid w:val="00986E53"/>
    <w:rsid w:val="00990E90"/>
    <w:rsid w:val="00991953"/>
    <w:rsid w:val="00991CCB"/>
    <w:rsid w:val="009927CF"/>
    <w:rsid w:val="00992D5E"/>
    <w:rsid w:val="00994470"/>
    <w:rsid w:val="009972DE"/>
    <w:rsid w:val="009A054A"/>
    <w:rsid w:val="009A0787"/>
    <w:rsid w:val="009A0DE0"/>
    <w:rsid w:val="009A3398"/>
    <w:rsid w:val="009A36D9"/>
    <w:rsid w:val="009A61C8"/>
    <w:rsid w:val="009A6AA3"/>
    <w:rsid w:val="009B2B06"/>
    <w:rsid w:val="009B307A"/>
    <w:rsid w:val="009B33CC"/>
    <w:rsid w:val="009B3D3E"/>
    <w:rsid w:val="009B4CF4"/>
    <w:rsid w:val="009B5A67"/>
    <w:rsid w:val="009B62CC"/>
    <w:rsid w:val="009B773D"/>
    <w:rsid w:val="009B79E8"/>
    <w:rsid w:val="009B7DC9"/>
    <w:rsid w:val="009B7DF4"/>
    <w:rsid w:val="009C033E"/>
    <w:rsid w:val="009D06F7"/>
    <w:rsid w:val="009D0EAD"/>
    <w:rsid w:val="009D2406"/>
    <w:rsid w:val="009E37D9"/>
    <w:rsid w:val="009E4B6F"/>
    <w:rsid w:val="009E55C3"/>
    <w:rsid w:val="009E5C7F"/>
    <w:rsid w:val="009E763E"/>
    <w:rsid w:val="009F058A"/>
    <w:rsid w:val="009F32E8"/>
    <w:rsid w:val="009F5313"/>
    <w:rsid w:val="009F6947"/>
    <w:rsid w:val="009F7146"/>
    <w:rsid w:val="00A000FE"/>
    <w:rsid w:val="00A009E3"/>
    <w:rsid w:val="00A02C6F"/>
    <w:rsid w:val="00A03D89"/>
    <w:rsid w:val="00A05529"/>
    <w:rsid w:val="00A06917"/>
    <w:rsid w:val="00A07149"/>
    <w:rsid w:val="00A1057F"/>
    <w:rsid w:val="00A10BB0"/>
    <w:rsid w:val="00A12D22"/>
    <w:rsid w:val="00A140AC"/>
    <w:rsid w:val="00A14262"/>
    <w:rsid w:val="00A148F0"/>
    <w:rsid w:val="00A14DD0"/>
    <w:rsid w:val="00A20FA9"/>
    <w:rsid w:val="00A22FAC"/>
    <w:rsid w:val="00A237BF"/>
    <w:rsid w:val="00A23B64"/>
    <w:rsid w:val="00A23EF3"/>
    <w:rsid w:val="00A24DDB"/>
    <w:rsid w:val="00A25BF7"/>
    <w:rsid w:val="00A265B1"/>
    <w:rsid w:val="00A2664A"/>
    <w:rsid w:val="00A305BD"/>
    <w:rsid w:val="00A318CC"/>
    <w:rsid w:val="00A3486A"/>
    <w:rsid w:val="00A348F3"/>
    <w:rsid w:val="00A349EA"/>
    <w:rsid w:val="00A35334"/>
    <w:rsid w:val="00A365A9"/>
    <w:rsid w:val="00A412AB"/>
    <w:rsid w:val="00A41CF4"/>
    <w:rsid w:val="00A427CD"/>
    <w:rsid w:val="00A42E3D"/>
    <w:rsid w:val="00A42FA3"/>
    <w:rsid w:val="00A445A1"/>
    <w:rsid w:val="00A45A5F"/>
    <w:rsid w:val="00A4697D"/>
    <w:rsid w:val="00A46EF7"/>
    <w:rsid w:val="00A47FF8"/>
    <w:rsid w:val="00A51E31"/>
    <w:rsid w:val="00A53FDD"/>
    <w:rsid w:val="00A57235"/>
    <w:rsid w:val="00A6067A"/>
    <w:rsid w:val="00A63A54"/>
    <w:rsid w:val="00A63A82"/>
    <w:rsid w:val="00A64992"/>
    <w:rsid w:val="00A64B22"/>
    <w:rsid w:val="00A71CEB"/>
    <w:rsid w:val="00A71D7D"/>
    <w:rsid w:val="00A74E9B"/>
    <w:rsid w:val="00A806A7"/>
    <w:rsid w:val="00A82130"/>
    <w:rsid w:val="00A82807"/>
    <w:rsid w:val="00A84323"/>
    <w:rsid w:val="00A84B03"/>
    <w:rsid w:val="00A86524"/>
    <w:rsid w:val="00A8706F"/>
    <w:rsid w:val="00A90140"/>
    <w:rsid w:val="00A9022B"/>
    <w:rsid w:val="00A924D5"/>
    <w:rsid w:val="00A95A8D"/>
    <w:rsid w:val="00AA15AF"/>
    <w:rsid w:val="00AA3385"/>
    <w:rsid w:val="00AA56B7"/>
    <w:rsid w:val="00AA5BC6"/>
    <w:rsid w:val="00AA5DC8"/>
    <w:rsid w:val="00AA701C"/>
    <w:rsid w:val="00AB2618"/>
    <w:rsid w:val="00AB283F"/>
    <w:rsid w:val="00AB3AA3"/>
    <w:rsid w:val="00AB3AE7"/>
    <w:rsid w:val="00AB3DEC"/>
    <w:rsid w:val="00AC0E4E"/>
    <w:rsid w:val="00AC3072"/>
    <w:rsid w:val="00AC3AD7"/>
    <w:rsid w:val="00AC5C0D"/>
    <w:rsid w:val="00AC6A07"/>
    <w:rsid w:val="00AC71FA"/>
    <w:rsid w:val="00AD10FA"/>
    <w:rsid w:val="00AD1E14"/>
    <w:rsid w:val="00AD3A2D"/>
    <w:rsid w:val="00AD4234"/>
    <w:rsid w:val="00AD63F0"/>
    <w:rsid w:val="00AD742F"/>
    <w:rsid w:val="00AE319F"/>
    <w:rsid w:val="00AE77DC"/>
    <w:rsid w:val="00AE7949"/>
    <w:rsid w:val="00AF1025"/>
    <w:rsid w:val="00AF3F07"/>
    <w:rsid w:val="00AF4FA1"/>
    <w:rsid w:val="00B02439"/>
    <w:rsid w:val="00B046C3"/>
    <w:rsid w:val="00B049DA"/>
    <w:rsid w:val="00B05B5E"/>
    <w:rsid w:val="00B0668A"/>
    <w:rsid w:val="00B10F84"/>
    <w:rsid w:val="00B11DDF"/>
    <w:rsid w:val="00B126AB"/>
    <w:rsid w:val="00B14AC9"/>
    <w:rsid w:val="00B15825"/>
    <w:rsid w:val="00B17418"/>
    <w:rsid w:val="00B203C4"/>
    <w:rsid w:val="00B2092B"/>
    <w:rsid w:val="00B21569"/>
    <w:rsid w:val="00B22BA0"/>
    <w:rsid w:val="00B2634C"/>
    <w:rsid w:val="00B278FD"/>
    <w:rsid w:val="00B303FA"/>
    <w:rsid w:val="00B35064"/>
    <w:rsid w:val="00B354D5"/>
    <w:rsid w:val="00B357FC"/>
    <w:rsid w:val="00B3646B"/>
    <w:rsid w:val="00B415C9"/>
    <w:rsid w:val="00B436E8"/>
    <w:rsid w:val="00B4435C"/>
    <w:rsid w:val="00B455DF"/>
    <w:rsid w:val="00B468C6"/>
    <w:rsid w:val="00B477E1"/>
    <w:rsid w:val="00B5054A"/>
    <w:rsid w:val="00B50888"/>
    <w:rsid w:val="00B53D09"/>
    <w:rsid w:val="00B555E2"/>
    <w:rsid w:val="00B569CC"/>
    <w:rsid w:val="00B570D0"/>
    <w:rsid w:val="00B57919"/>
    <w:rsid w:val="00B57F3A"/>
    <w:rsid w:val="00B625B8"/>
    <w:rsid w:val="00B64D30"/>
    <w:rsid w:val="00B6585D"/>
    <w:rsid w:val="00B65B74"/>
    <w:rsid w:val="00B662DC"/>
    <w:rsid w:val="00B74CDB"/>
    <w:rsid w:val="00B75B01"/>
    <w:rsid w:val="00B81331"/>
    <w:rsid w:val="00B838D1"/>
    <w:rsid w:val="00B855FA"/>
    <w:rsid w:val="00B86D80"/>
    <w:rsid w:val="00B90779"/>
    <w:rsid w:val="00B90F65"/>
    <w:rsid w:val="00B9182E"/>
    <w:rsid w:val="00B9320E"/>
    <w:rsid w:val="00B952BF"/>
    <w:rsid w:val="00BA0DB8"/>
    <w:rsid w:val="00BA2567"/>
    <w:rsid w:val="00BA26CF"/>
    <w:rsid w:val="00BA54E7"/>
    <w:rsid w:val="00BA64EB"/>
    <w:rsid w:val="00BB0D55"/>
    <w:rsid w:val="00BB1036"/>
    <w:rsid w:val="00BB214E"/>
    <w:rsid w:val="00BB21C5"/>
    <w:rsid w:val="00BB4C7D"/>
    <w:rsid w:val="00BB574B"/>
    <w:rsid w:val="00BB757C"/>
    <w:rsid w:val="00BC0331"/>
    <w:rsid w:val="00BC0697"/>
    <w:rsid w:val="00BC18AD"/>
    <w:rsid w:val="00BC4D75"/>
    <w:rsid w:val="00BC53EC"/>
    <w:rsid w:val="00BC728D"/>
    <w:rsid w:val="00BC76E2"/>
    <w:rsid w:val="00BC7CA9"/>
    <w:rsid w:val="00BD1491"/>
    <w:rsid w:val="00BD34FF"/>
    <w:rsid w:val="00BD45E8"/>
    <w:rsid w:val="00BD56EE"/>
    <w:rsid w:val="00BD5ACE"/>
    <w:rsid w:val="00BD6DFD"/>
    <w:rsid w:val="00BD6F6F"/>
    <w:rsid w:val="00BD7BE5"/>
    <w:rsid w:val="00BE0FF6"/>
    <w:rsid w:val="00BE2105"/>
    <w:rsid w:val="00BE251A"/>
    <w:rsid w:val="00BE3201"/>
    <w:rsid w:val="00BE4D81"/>
    <w:rsid w:val="00BE5E0E"/>
    <w:rsid w:val="00BF1BB7"/>
    <w:rsid w:val="00BF1EDF"/>
    <w:rsid w:val="00BF7F52"/>
    <w:rsid w:val="00C00324"/>
    <w:rsid w:val="00C00884"/>
    <w:rsid w:val="00C02781"/>
    <w:rsid w:val="00C028CF"/>
    <w:rsid w:val="00C037D4"/>
    <w:rsid w:val="00C03E56"/>
    <w:rsid w:val="00C046E3"/>
    <w:rsid w:val="00C05EE6"/>
    <w:rsid w:val="00C06FB3"/>
    <w:rsid w:val="00C07368"/>
    <w:rsid w:val="00C07AA8"/>
    <w:rsid w:val="00C100A0"/>
    <w:rsid w:val="00C121FE"/>
    <w:rsid w:val="00C12540"/>
    <w:rsid w:val="00C1270F"/>
    <w:rsid w:val="00C12E4C"/>
    <w:rsid w:val="00C1350C"/>
    <w:rsid w:val="00C1468D"/>
    <w:rsid w:val="00C170D0"/>
    <w:rsid w:val="00C2121D"/>
    <w:rsid w:val="00C229D4"/>
    <w:rsid w:val="00C24248"/>
    <w:rsid w:val="00C255BE"/>
    <w:rsid w:val="00C25A1A"/>
    <w:rsid w:val="00C265A9"/>
    <w:rsid w:val="00C275DC"/>
    <w:rsid w:val="00C3129D"/>
    <w:rsid w:val="00C33091"/>
    <w:rsid w:val="00C33B0D"/>
    <w:rsid w:val="00C33C4C"/>
    <w:rsid w:val="00C36A76"/>
    <w:rsid w:val="00C37331"/>
    <w:rsid w:val="00C43774"/>
    <w:rsid w:val="00C4429A"/>
    <w:rsid w:val="00C50F3D"/>
    <w:rsid w:val="00C55136"/>
    <w:rsid w:val="00C56FEA"/>
    <w:rsid w:val="00C5797B"/>
    <w:rsid w:val="00C67B62"/>
    <w:rsid w:val="00C716DC"/>
    <w:rsid w:val="00C72958"/>
    <w:rsid w:val="00C74480"/>
    <w:rsid w:val="00C74C23"/>
    <w:rsid w:val="00C7540E"/>
    <w:rsid w:val="00C75A23"/>
    <w:rsid w:val="00C76D9E"/>
    <w:rsid w:val="00C80835"/>
    <w:rsid w:val="00C81C4B"/>
    <w:rsid w:val="00C84283"/>
    <w:rsid w:val="00C8433A"/>
    <w:rsid w:val="00C8696C"/>
    <w:rsid w:val="00C91C28"/>
    <w:rsid w:val="00C92F23"/>
    <w:rsid w:val="00C932CF"/>
    <w:rsid w:val="00C96220"/>
    <w:rsid w:val="00CA0356"/>
    <w:rsid w:val="00CA70CE"/>
    <w:rsid w:val="00CB0585"/>
    <w:rsid w:val="00CB0B2D"/>
    <w:rsid w:val="00CB28F8"/>
    <w:rsid w:val="00CB3699"/>
    <w:rsid w:val="00CB3A66"/>
    <w:rsid w:val="00CB3D22"/>
    <w:rsid w:val="00CB5B2B"/>
    <w:rsid w:val="00CB7771"/>
    <w:rsid w:val="00CC03C3"/>
    <w:rsid w:val="00CC0C3A"/>
    <w:rsid w:val="00CC1D1C"/>
    <w:rsid w:val="00CC55FC"/>
    <w:rsid w:val="00CC7B3F"/>
    <w:rsid w:val="00CD1860"/>
    <w:rsid w:val="00CD3C85"/>
    <w:rsid w:val="00CD3F53"/>
    <w:rsid w:val="00CD58D1"/>
    <w:rsid w:val="00CD5D9A"/>
    <w:rsid w:val="00CD6FD1"/>
    <w:rsid w:val="00CE0D7A"/>
    <w:rsid w:val="00CE17CC"/>
    <w:rsid w:val="00CE1B77"/>
    <w:rsid w:val="00CE373F"/>
    <w:rsid w:val="00CE4427"/>
    <w:rsid w:val="00CE5BE6"/>
    <w:rsid w:val="00CE75CD"/>
    <w:rsid w:val="00CF1B60"/>
    <w:rsid w:val="00CF20E8"/>
    <w:rsid w:val="00CF4B97"/>
    <w:rsid w:val="00CF5A34"/>
    <w:rsid w:val="00CF79E4"/>
    <w:rsid w:val="00D00C56"/>
    <w:rsid w:val="00D00CE9"/>
    <w:rsid w:val="00D02149"/>
    <w:rsid w:val="00D02851"/>
    <w:rsid w:val="00D04F5F"/>
    <w:rsid w:val="00D05F1C"/>
    <w:rsid w:val="00D137BB"/>
    <w:rsid w:val="00D137D0"/>
    <w:rsid w:val="00D14648"/>
    <w:rsid w:val="00D155AB"/>
    <w:rsid w:val="00D15715"/>
    <w:rsid w:val="00D23348"/>
    <w:rsid w:val="00D23F3C"/>
    <w:rsid w:val="00D266F4"/>
    <w:rsid w:val="00D30212"/>
    <w:rsid w:val="00D30A23"/>
    <w:rsid w:val="00D310FD"/>
    <w:rsid w:val="00D32C2F"/>
    <w:rsid w:val="00D34205"/>
    <w:rsid w:val="00D36E5B"/>
    <w:rsid w:val="00D42445"/>
    <w:rsid w:val="00D4278B"/>
    <w:rsid w:val="00D4382A"/>
    <w:rsid w:val="00D447E0"/>
    <w:rsid w:val="00D44C6B"/>
    <w:rsid w:val="00D47673"/>
    <w:rsid w:val="00D47E4E"/>
    <w:rsid w:val="00D506C6"/>
    <w:rsid w:val="00D51AFD"/>
    <w:rsid w:val="00D5245E"/>
    <w:rsid w:val="00D53C4D"/>
    <w:rsid w:val="00D55A48"/>
    <w:rsid w:val="00D574FA"/>
    <w:rsid w:val="00D624C5"/>
    <w:rsid w:val="00D6461E"/>
    <w:rsid w:val="00D7013F"/>
    <w:rsid w:val="00D7183C"/>
    <w:rsid w:val="00D718E4"/>
    <w:rsid w:val="00D74240"/>
    <w:rsid w:val="00D74A06"/>
    <w:rsid w:val="00D74ADF"/>
    <w:rsid w:val="00D76E0E"/>
    <w:rsid w:val="00D800D4"/>
    <w:rsid w:val="00D86F19"/>
    <w:rsid w:val="00D915ED"/>
    <w:rsid w:val="00D92556"/>
    <w:rsid w:val="00D92826"/>
    <w:rsid w:val="00D92CFE"/>
    <w:rsid w:val="00D932B3"/>
    <w:rsid w:val="00D96899"/>
    <w:rsid w:val="00DA167C"/>
    <w:rsid w:val="00DA19E5"/>
    <w:rsid w:val="00DA4A79"/>
    <w:rsid w:val="00DB3552"/>
    <w:rsid w:val="00DB39D6"/>
    <w:rsid w:val="00DB4575"/>
    <w:rsid w:val="00DB4A12"/>
    <w:rsid w:val="00DB6BEC"/>
    <w:rsid w:val="00DC36F7"/>
    <w:rsid w:val="00DC3C42"/>
    <w:rsid w:val="00DC49AE"/>
    <w:rsid w:val="00DC5AEA"/>
    <w:rsid w:val="00DC5E8B"/>
    <w:rsid w:val="00DC6454"/>
    <w:rsid w:val="00DD17EC"/>
    <w:rsid w:val="00DD199D"/>
    <w:rsid w:val="00DD55EC"/>
    <w:rsid w:val="00DD7E85"/>
    <w:rsid w:val="00DE073D"/>
    <w:rsid w:val="00DE3738"/>
    <w:rsid w:val="00DE49EC"/>
    <w:rsid w:val="00DE51AF"/>
    <w:rsid w:val="00DE57D6"/>
    <w:rsid w:val="00DE6DB9"/>
    <w:rsid w:val="00DE7873"/>
    <w:rsid w:val="00DF0169"/>
    <w:rsid w:val="00DF323B"/>
    <w:rsid w:val="00DF3458"/>
    <w:rsid w:val="00DF46FE"/>
    <w:rsid w:val="00DF7401"/>
    <w:rsid w:val="00E0031C"/>
    <w:rsid w:val="00E05DC2"/>
    <w:rsid w:val="00E10369"/>
    <w:rsid w:val="00E15B6A"/>
    <w:rsid w:val="00E16F55"/>
    <w:rsid w:val="00E209A5"/>
    <w:rsid w:val="00E20AF4"/>
    <w:rsid w:val="00E222AF"/>
    <w:rsid w:val="00E25711"/>
    <w:rsid w:val="00E26BE2"/>
    <w:rsid w:val="00E314BE"/>
    <w:rsid w:val="00E315EA"/>
    <w:rsid w:val="00E31D69"/>
    <w:rsid w:val="00E325A8"/>
    <w:rsid w:val="00E32751"/>
    <w:rsid w:val="00E3782A"/>
    <w:rsid w:val="00E40D93"/>
    <w:rsid w:val="00E506AF"/>
    <w:rsid w:val="00E50F01"/>
    <w:rsid w:val="00E52C4D"/>
    <w:rsid w:val="00E5411E"/>
    <w:rsid w:val="00E54E23"/>
    <w:rsid w:val="00E5630A"/>
    <w:rsid w:val="00E56A34"/>
    <w:rsid w:val="00E57DCD"/>
    <w:rsid w:val="00E66140"/>
    <w:rsid w:val="00E669C1"/>
    <w:rsid w:val="00E67683"/>
    <w:rsid w:val="00E71CC0"/>
    <w:rsid w:val="00E722D4"/>
    <w:rsid w:val="00E73A7A"/>
    <w:rsid w:val="00E742EA"/>
    <w:rsid w:val="00E8373E"/>
    <w:rsid w:val="00E84F26"/>
    <w:rsid w:val="00E85A98"/>
    <w:rsid w:val="00E87AB8"/>
    <w:rsid w:val="00E9111C"/>
    <w:rsid w:val="00E91532"/>
    <w:rsid w:val="00E91979"/>
    <w:rsid w:val="00E944B9"/>
    <w:rsid w:val="00E9630B"/>
    <w:rsid w:val="00EA1004"/>
    <w:rsid w:val="00EA169E"/>
    <w:rsid w:val="00EA1E41"/>
    <w:rsid w:val="00EA26CC"/>
    <w:rsid w:val="00EA4937"/>
    <w:rsid w:val="00EA4EA6"/>
    <w:rsid w:val="00EB2016"/>
    <w:rsid w:val="00EB2F83"/>
    <w:rsid w:val="00EB48C7"/>
    <w:rsid w:val="00EB5287"/>
    <w:rsid w:val="00EB74E0"/>
    <w:rsid w:val="00EB7C08"/>
    <w:rsid w:val="00EC0D72"/>
    <w:rsid w:val="00EC1728"/>
    <w:rsid w:val="00EC1B7B"/>
    <w:rsid w:val="00EC2EBF"/>
    <w:rsid w:val="00EC4AF0"/>
    <w:rsid w:val="00EC6233"/>
    <w:rsid w:val="00ED0431"/>
    <w:rsid w:val="00ED1471"/>
    <w:rsid w:val="00ED15A3"/>
    <w:rsid w:val="00ED3146"/>
    <w:rsid w:val="00ED5D03"/>
    <w:rsid w:val="00EE064A"/>
    <w:rsid w:val="00EE0DDE"/>
    <w:rsid w:val="00EE407B"/>
    <w:rsid w:val="00EE69C9"/>
    <w:rsid w:val="00EF05B4"/>
    <w:rsid w:val="00EF327E"/>
    <w:rsid w:val="00EF502E"/>
    <w:rsid w:val="00EF60EE"/>
    <w:rsid w:val="00F02DA9"/>
    <w:rsid w:val="00F03883"/>
    <w:rsid w:val="00F072DC"/>
    <w:rsid w:val="00F10282"/>
    <w:rsid w:val="00F10E30"/>
    <w:rsid w:val="00F114D4"/>
    <w:rsid w:val="00F11B52"/>
    <w:rsid w:val="00F13539"/>
    <w:rsid w:val="00F137CE"/>
    <w:rsid w:val="00F15800"/>
    <w:rsid w:val="00F16673"/>
    <w:rsid w:val="00F173B1"/>
    <w:rsid w:val="00F174BB"/>
    <w:rsid w:val="00F17AE5"/>
    <w:rsid w:val="00F22A10"/>
    <w:rsid w:val="00F23911"/>
    <w:rsid w:val="00F24F91"/>
    <w:rsid w:val="00F25AC6"/>
    <w:rsid w:val="00F268C4"/>
    <w:rsid w:val="00F2755C"/>
    <w:rsid w:val="00F305F7"/>
    <w:rsid w:val="00F33C5D"/>
    <w:rsid w:val="00F3468F"/>
    <w:rsid w:val="00F3536C"/>
    <w:rsid w:val="00F36D0C"/>
    <w:rsid w:val="00F376EC"/>
    <w:rsid w:val="00F40275"/>
    <w:rsid w:val="00F43247"/>
    <w:rsid w:val="00F457B3"/>
    <w:rsid w:val="00F46457"/>
    <w:rsid w:val="00F50291"/>
    <w:rsid w:val="00F50F7B"/>
    <w:rsid w:val="00F51379"/>
    <w:rsid w:val="00F5317C"/>
    <w:rsid w:val="00F55FE1"/>
    <w:rsid w:val="00F56E2E"/>
    <w:rsid w:val="00F57F7B"/>
    <w:rsid w:val="00F608BD"/>
    <w:rsid w:val="00F616D3"/>
    <w:rsid w:val="00F627D0"/>
    <w:rsid w:val="00F661B2"/>
    <w:rsid w:val="00F66C9C"/>
    <w:rsid w:val="00F67867"/>
    <w:rsid w:val="00F67FAC"/>
    <w:rsid w:val="00F71276"/>
    <w:rsid w:val="00F72D04"/>
    <w:rsid w:val="00F769DE"/>
    <w:rsid w:val="00F80758"/>
    <w:rsid w:val="00F8317C"/>
    <w:rsid w:val="00F85D0A"/>
    <w:rsid w:val="00F862F7"/>
    <w:rsid w:val="00F916C5"/>
    <w:rsid w:val="00F92B82"/>
    <w:rsid w:val="00F93619"/>
    <w:rsid w:val="00F947D1"/>
    <w:rsid w:val="00F96AAB"/>
    <w:rsid w:val="00F97531"/>
    <w:rsid w:val="00FA3B8C"/>
    <w:rsid w:val="00FA600E"/>
    <w:rsid w:val="00FB203E"/>
    <w:rsid w:val="00FB368F"/>
    <w:rsid w:val="00FB371B"/>
    <w:rsid w:val="00FB3E66"/>
    <w:rsid w:val="00FB4BAB"/>
    <w:rsid w:val="00FC0861"/>
    <w:rsid w:val="00FC12A8"/>
    <w:rsid w:val="00FC2304"/>
    <w:rsid w:val="00FC4489"/>
    <w:rsid w:val="00FC67F4"/>
    <w:rsid w:val="00FC7369"/>
    <w:rsid w:val="00FE1E0B"/>
    <w:rsid w:val="00FE228A"/>
    <w:rsid w:val="00FE2607"/>
    <w:rsid w:val="00FE2A59"/>
    <w:rsid w:val="00FE41AC"/>
    <w:rsid w:val="00FE50D9"/>
    <w:rsid w:val="00FE55B9"/>
    <w:rsid w:val="00FF04A9"/>
    <w:rsid w:val="00FF187A"/>
    <w:rsid w:val="00FF47AA"/>
    <w:rsid w:val="00FF4F6F"/>
    <w:rsid w:val="00FF5FA6"/>
    <w:rsid w:val="00FF5FE7"/>
    <w:rsid w:val="00FF6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39B96968"/>
  <w15:docId w15:val="{F780663D-4790-47FD-AC64-3EE27957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qFormat/>
    <w:rsid w:val="0020328D"/>
    <w:pPr>
      <w:spacing w:after="180"/>
    </w:pPr>
    <w:rPr>
      <w:sz w:val="24"/>
      <w:szCs w:val="24"/>
      <w:lang w:val="en-US" w:eastAsia="en-US"/>
    </w:rPr>
  </w:style>
  <w:style w:type="paragraph" w:styleId="Otsikko1">
    <w:name w:val="heading 1"/>
    <w:next w:val="Leipteksti"/>
    <w:qFormat/>
    <w:rsid w:val="0020328D"/>
    <w:pPr>
      <w:keepNext/>
      <w:numPr>
        <w:numId w:val="1"/>
      </w:numPr>
      <w:tabs>
        <w:tab w:val="left" w:pos="839"/>
      </w:tabs>
      <w:spacing w:before="360" w:after="200"/>
      <w:outlineLvl w:val="0"/>
    </w:pPr>
    <w:rPr>
      <w:rFonts w:ascii="Times New Roman Bold" w:hAnsi="Times New Roman Bold"/>
      <w:b/>
      <w:caps/>
      <w:sz w:val="24"/>
      <w:lang w:eastAsia="en-US"/>
    </w:rPr>
  </w:style>
  <w:style w:type="paragraph" w:styleId="Otsikko2">
    <w:name w:val="heading 2"/>
    <w:basedOn w:val="Otsikko1"/>
    <w:next w:val="Leipteksti"/>
    <w:qFormat/>
    <w:rsid w:val="00640942"/>
    <w:pPr>
      <w:numPr>
        <w:ilvl w:val="1"/>
      </w:numPr>
      <w:tabs>
        <w:tab w:val="num" w:pos="1503"/>
      </w:tabs>
      <w:ind w:left="1503"/>
      <w:jc w:val="both"/>
      <w:outlineLvl w:val="1"/>
    </w:pPr>
    <w:rPr>
      <w:rFonts w:ascii="Verdana" w:hAnsi="Verdana"/>
      <w:caps w:val="0"/>
    </w:rPr>
  </w:style>
  <w:style w:type="paragraph" w:styleId="Otsikko3">
    <w:name w:val="heading 3"/>
    <w:basedOn w:val="Otsikko2"/>
    <w:next w:val="Leipteksti"/>
    <w:qFormat/>
    <w:rsid w:val="00AC0E4E"/>
    <w:pPr>
      <w:numPr>
        <w:ilvl w:val="2"/>
      </w:numPr>
      <w:tabs>
        <w:tab w:val="clear" w:pos="839"/>
      </w:tabs>
      <w:jc w:val="left"/>
      <w:outlineLvl w:val="2"/>
    </w:pPr>
  </w:style>
  <w:style w:type="paragraph" w:styleId="Otsikko4">
    <w:name w:val="heading 4"/>
    <w:basedOn w:val="Otsikko3"/>
    <w:next w:val="Leipteksti"/>
    <w:qFormat/>
    <w:rsid w:val="0020328D"/>
    <w:pPr>
      <w:numPr>
        <w:ilvl w:val="3"/>
      </w:numPr>
      <w:outlineLvl w:val="3"/>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 Car,Car"/>
    <w:link w:val="LeiptekstiChar"/>
    <w:rsid w:val="0020328D"/>
    <w:pPr>
      <w:spacing w:after="180"/>
      <w:jc w:val="both"/>
    </w:pPr>
    <w:rPr>
      <w:sz w:val="24"/>
      <w:lang w:eastAsia="en-US"/>
    </w:rPr>
  </w:style>
  <w:style w:type="paragraph" w:customStyle="1" w:styleId="Tabletext">
    <w:name w:val="Table text"/>
    <w:link w:val="TabletextCar"/>
    <w:rsid w:val="0020328D"/>
    <w:pPr>
      <w:keepNext/>
      <w:keepLines/>
      <w:spacing w:before="54" w:after="54"/>
    </w:pPr>
    <w:rPr>
      <w:snapToGrid w:val="0"/>
      <w:lang w:val="en-US" w:eastAsia="da-DK"/>
    </w:rPr>
  </w:style>
  <w:style w:type="paragraph" w:styleId="Sisluet1">
    <w:name w:val="toc 1"/>
    <w:next w:val="Leipteksti"/>
    <w:uiPriority w:val="39"/>
    <w:rsid w:val="0020328D"/>
    <w:pPr>
      <w:tabs>
        <w:tab w:val="left" w:pos="284"/>
        <w:tab w:val="left" w:leader="dot" w:pos="9214"/>
        <w:tab w:val="right" w:pos="9639"/>
      </w:tabs>
      <w:spacing w:before="240"/>
    </w:pPr>
    <w:rPr>
      <w:caps/>
      <w:noProof/>
      <w:lang w:eastAsia="en-US"/>
    </w:rPr>
  </w:style>
  <w:style w:type="paragraph" w:styleId="Kuvaotsikko">
    <w:name w:val="caption"/>
    <w:aliases w:val="Caption Table"/>
    <w:next w:val="Leipteksti"/>
    <w:link w:val="KuvaotsikkoChar"/>
    <w:qFormat/>
    <w:rsid w:val="0020328D"/>
    <w:pPr>
      <w:keepNext/>
      <w:spacing w:before="120" w:after="90"/>
      <w:ind w:left="57"/>
    </w:pPr>
    <w:rPr>
      <w:rFonts w:ascii="Times New Roman Bold" w:hAnsi="Times New Roman Bold"/>
      <w:bCs/>
      <w:sz w:val="24"/>
      <w:lang w:eastAsia="en-US"/>
    </w:rPr>
  </w:style>
  <w:style w:type="paragraph" w:customStyle="1" w:styleId="CoverTitle">
    <w:name w:val="Cover Title"/>
    <w:basedOn w:val="Leipteksti"/>
    <w:next w:val="Leipteksti"/>
    <w:rsid w:val="0020328D"/>
    <w:pPr>
      <w:spacing w:before="2160" w:after="240"/>
      <w:jc w:val="center"/>
    </w:pPr>
    <w:rPr>
      <w:rFonts w:ascii="Times New Roman Bold" w:hAnsi="Times New Roman Bold"/>
      <w:b/>
      <w:sz w:val="32"/>
    </w:rPr>
  </w:style>
  <w:style w:type="character" w:styleId="Hyperlinkki">
    <w:name w:val="Hyperlink"/>
    <w:rsid w:val="0020328D"/>
    <w:rPr>
      <w:rFonts w:ascii="Times New Roman" w:hAnsi="Times New Roman"/>
      <w:color w:val="0000FF"/>
      <w:sz w:val="20"/>
      <w:u w:val="single"/>
    </w:rPr>
  </w:style>
  <w:style w:type="table" w:styleId="TaulukkoRuudukko">
    <w:name w:val="Table Grid"/>
    <w:basedOn w:val="Normaalitaulukko"/>
    <w:rsid w:val="0020328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vaotsikkoChar">
    <w:name w:val="Kuvaotsikko Char"/>
    <w:aliases w:val="Caption Table Char"/>
    <w:link w:val="Kuvaotsikko"/>
    <w:rsid w:val="0020328D"/>
    <w:rPr>
      <w:rFonts w:ascii="Times New Roman Bold" w:hAnsi="Times New Roman Bold"/>
      <w:bCs/>
      <w:sz w:val="24"/>
      <w:lang w:val="en-GB" w:eastAsia="en-US" w:bidi="ar-SA"/>
    </w:rPr>
  </w:style>
  <w:style w:type="character" w:customStyle="1" w:styleId="TabletextCar">
    <w:name w:val="Table text Car"/>
    <w:link w:val="Tabletext"/>
    <w:rsid w:val="0020328D"/>
    <w:rPr>
      <w:snapToGrid w:val="0"/>
      <w:lang w:val="en-US" w:eastAsia="da-DK" w:bidi="ar-SA"/>
    </w:rPr>
  </w:style>
  <w:style w:type="character" w:customStyle="1" w:styleId="LeiptekstiChar">
    <w:name w:val="Leipäteksti Char"/>
    <w:aliases w:val=" Car Char,Car Char"/>
    <w:link w:val="Leipteksti"/>
    <w:rsid w:val="0020328D"/>
    <w:rPr>
      <w:sz w:val="24"/>
      <w:lang w:val="en-GB" w:eastAsia="en-US" w:bidi="ar-SA"/>
    </w:rPr>
  </w:style>
  <w:style w:type="paragraph" w:styleId="Merkittyluettelo">
    <w:name w:val="List Bullet"/>
    <w:next w:val="Leipteksti"/>
    <w:rsid w:val="00353CCB"/>
    <w:pPr>
      <w:numPr>
        <w:numId w:val="2"/>
      </w:numPr>
      <w:tabs>
        <w:tab w:val="clear" w:pos="425"/>
        <w:tab w:val="left" w:pos="357"/>
      </w:tabs>
      <w:ind w:left="357" w:hanging="357"/>
      <w:jc w:val="both"/>
    </w:pPr>
    <w:rPr>
      <w:sz w:val="24"/>
      <w:lang w:eastAsia="en-US"/>
    </w:rPr>
  </w:style>
  <w:style w:type="paragraph" w:customStyle="1" w:styleId="Default">
    <w:name w:val="Default"/>
    <w:rsid w:val="00D92CFE"/>
    <w:pPr>
      <w:autoSpaceDE w:val="0"/>
      <w:autoSpaceDN w:val="0"/>
      <w:adjustRightInd w:val="0"/>
    </w:pPr>
    <w:rPr>
      <w:color w:val="000000"/>
      <w:sz w:val="24"/>
      <w:szCs w:val="24"/>
    </w:rPr>
  </w:style>
  <w:style w:type="paragraph" w:styleId="Yltunniste">
    <w:name w:val="header"/>
    <w:basedOn w:val="Normaali"/>
    <w:link w:val="YltunnisteChar"/>
    <w:uiPriority w:val="99"/>
    <w:rsid w:val="00CC1D1C"/>
    <w:pPr>
      <w:tabs>
        <w:tab w:val="center" w:pos="4153"/>
        <w:tab w:val="right" w:pos="8306"/>
      </w:tabs>
    </w:pPr>
  </w:style>
  <w:style w:type="paragraph" w:styleId="Alatunniste">
    <w:name w:val="footer"/>
    <w:basedOn w:val="Normaali"/>
    <w:link w:val="AlatunnisteChar"/>
    <w:uiPriority w:val="99"/>
    <w:rsid w:val="00CC1D1C"/>
    <w:pPr>
      <w:tabs>
        <w:tab w:val="center" w:pos="4153"/>
        <w:tab w:val="right" w:pos="8306"/>
      </w:tabs>
    </w:pPr>
  </w:style>
  <w:style w:type="paragraph" w:styleId="Sisluet2">
    <w:name w:val="toc 2"/>
    <w:basedOn w:val="Normaali"/>
    <w:next w:val="Normaali"/>
    <w:autoRedefine/>
    <w:uiPriority w:val="39"/>
    <w:rsid w:val="00D14648"/>
    <w:pPr>
      <w:tabs>
        <w:tab w:val="left" w:pos="720"/>
        <w:tab w:val="right" w:pos="8460"/>
      </w:tabs>
      <w:spacing w:after="0"/>
      <w:ind w:left="709" w:right="90" w:hanging="469"/>
    </w:pPr>
  </w:style>
  <w:style w:type="character" w:styleId="Kommentinviite">
    <w:name w:val="annotation reference"/>
    <w:uiPriority w:val="99"/>
    <w:rsid w:val="002C78BD"/>
    <w:rPr>
      <w:sz w:val="16"/>
      <w:szCs w:val="16"/>
    </w:rPr>
  </w:style>
  <w:style w:type="paragraph" w:styleId="Kommentinteksti">
    <w:name w:val="annotation text"/>
    <w:basedOn w:val="Normaali"/>
    <w:link w:val="KommentintekstiChar"/>
    <w:uiPriority w:val="99"/>
    <w:rsid w:val="002C78BD"/>
    <w:rPr>
      <w:sz w:val="20"/>
      <w:szCs w:val="20"/>
    </w:rPr>
  </w:style>
  <w:style w:type="character" w:customStyle="1" w:styleId="KommentintekstiChar">
    <w:name w:val="Kommentin teksti Char"/>
    <w:link w:val="Kommentinteksti"/>
    <w:uiPriority w:val="99"/>
    <w:rsid w:val="002C78BD"/>
    <w:rPr>
      <w:lang w:val="en-US" w:eastAsia="en-US"/>
    </w:rPr>
  </w:style>
  <w:style w:type="paragraph" w:styleId="Kommentinotsikko">
    <w:name w:val="annotation subject"/>
    <w:basedOn w:val="Kommentinteksti"/>
    <w:next w:val="Kommentinteksti"/>
    <w:link w:val="KommentinotsikkoChar"/>
    <w:rsid w:val="002C78BD"/>
    <w:rPr>
      <w:b/>
      <w:bCs/>
    </w:rPr>
  </w:style>
  <w:style w:type="character" w:customStyle="1" w:styleId="KommentinotsikkoChar">
    <w:name w:val="Kommentin otsikko Char"/>
    <w:link w:val="Kommentinotsikko"/>
    <w:rsid w:val="002C78BD"/>
    <w:rPr>
      <w:b/>
      <w:bCs/>
      <w:lang w:val="en-US" w:eastAsia="en-US"/>
    </w:rPr>
  </w:style>
  <w:style w:type="paragraph" w:styleId="Seliteteksti">
    <w:name w:val="Balloon Text"/>
    <w:basedOn w:val="Normaali"/>
    <w:link w:val="SelitetekstiChar"/>
    <w:rsid w:val="002C78BD"/>
    <w:pPr>
      <w:spacing w:after="0"/>
    </w:pPr>
    <w:rPr>
      <w:rFonts w:ascii="Tahoma" w:hAnsi="Tahoma" w:cs="Tahoma"/>
      <w:sz w:val="16"/>
      <w:szCs w:val="16"/>
    </w:rPr>
  </w:style>
  <w:style w:type="character" w:customStyle="1" w:styleId="SelitetekstiChar">
    <w:name w:val="Seliteteksti Char"/>
    <w:link w:val="Seliteteksti"/>
    <w:rsid w:val="002C78BD"/>
    <w:rPr>
      <w:rFonts w:ascii="Tahoma" w:hAnsi="Tahoma" w:cs="Tahoma"/>
      <w:sz w:val="16"/>
      <w:szCs w:val="16"/>
      <w:lang w:val="en-US" w:eastAsia="en-US"/>
    </w:rPr>
  </w:style>
  <w:style w:type="character" w:customStyle="1" w:styleId="AlatunnisteChar">
    <w:name w:val="Alatunniste Char"/>
    <w:link w:val="Alatunniste"/>
    <w:uiPriority w:val="99"/>
    <w:rsid w:val="00723BD5"/>
    <w:rPr>
      <w:sz w:val="24"/>
      <w:szCs w:val="24"/>
      <w:lang w:val="en-US" w:eastAsia="en-US"/>
    </w:rPr>
  </w:style>
  <w:style w:type="paragraph" w:styleId="Alaviitteenteksti">
    <w:name w:val="footnote text"/>
    <w:aliases w:val="Footnote Text Char Char"/>
    <w:basedOn w:val="Normaali"/>
    <w:link w:val="AlaviitteentekstiChar"/>
    <w:rsid w:val="00582EF5"/>
    <w:rPr>
      <w:sz w:val="20"/>
      <w:szCs w:val="20"/>
    </w:rPr>
  </w:style>
  <w:style w:type="character" w:customStyle="1" w:styleId="AlaviitteentekstiChar">
    <w:name w:val="Alaviitteen teksti Char"/>
    <w:aliases w:val="Footnote Text Char Char Char"/>
    <w:link w:val="Alaviitteenteksti"/>
    <w:rsid w:val="00582EF5"/>
    <w:rPr>
      <w:lang w:val="en-US" w:eastAsia="en-US"/>
    </w:rPr>
  </w:style>
  <w:style w:type="character" w:styleId="Alaviitteenviite">
    <w:name w:val="footnote reference"/>
    <w:aliases w:val="Footnote,Footnote Reference/"/>
    <w:rsid w:val="00582EF5"/>
    <w:rPr>
      <w:vertAlign w:val="superscript"/>
    </w:rPr>
  </w:style>
  <w:style w:type="character" w:styleId="AvattuHyperlinkki">
    <w:name w:val="FollowedHyperlink"/>
    <w:rsid w:val="004E4241"/>
    <w:rPr>
      <w:color w:val="800080"/>
      <w:u w:val="single"/>
    </w:rPr>
  </w:style>
  <w:style w:type="paragraph" w:customStyle="1" w:styleId="NormalLeft">
    <w:name w:val="Normal Left"/>
    <w:basedOn w:val="Normaali"/>
    <w:rsid w:val="008D3633"/>
    <w:pPr>
      <w:widowControl w:val="0"/>
      <w:autoSpaceDE w:val="0"/>
      <w:autoSpaceDN w:val="0"/>
      <w:spacing w:before="120" w:after="120"/>
      <w:jc w:val="both"/>
    </w:pPr>
    <w:rPr>
      <w:rFonts w:ascii="Verdana" w:hAnsi="Verdana"/>
      <w:snapToGrid w:val="0"/>
      <w:sz w:val="20"/>
      <w:szCs w:val="20"/>
      <w:lang w:val="en-GB" w:eastAsia="en-GB"/>
    </w:rPr>
  </w:style>
  <w:style w:type="paragraph" w:styleId="Sisluet3">
    <w:name w:val="toc 3"/>
    <w:basedOn w:val="Normaali"/>
    <w:next w:val="Normaali"/>
    <w:autoRedefine/>
    <w:uiPriority w:val="39"/>
    <w:rsid w:val="00C33B0D"/>
    <w:pPr>
      <w:spacing w:after="100"/>
      <w:ind w:left="480"/>
    </w:pPr>
  </w:style>
  <w:style w:type="paragraph" w:styleId="Luettelokappale">
    <w:name w:val="List Paragraph"/>
    <w:basedOn w:val="Normaali"/>
    <w:uiPriority w:val="34"/>
    <w:qFormat/>
    <w:rsid w:val="006F12BB"/>
    <w:pPr>
      <w:ind w:left="720"/>
      <w:contextualSpacing/>
    </w:pPr>
  </w:style>
  <w:style w:type="character" w:styleId="Korostus">
    <w:name w:val="Emphasis"/>
    <w:basedOn w:val="Kappaleenoletusfontti"/>
    <w:qFormat/>
    <w:rsid w:val="005A5B87"/>
    <w:rPr>
      <w:i/>
      <w:iCs/>
    </w:rPr>
  </w:style>
  <w:style w:type="character" w:styleId="Paikkamerkkiteksti">
    <w:name w:val="Placeholder Text"/>
    <w:basedOn w:val="Kappaleenoletusfontti"/>
    <w:uiPriority w:val="99"/>
    <w:semiHidden/>
    <w:rsid w:val="00FB368F"/>
    <w:rPr>
      <w:color w:val="808080"/>
    </w:rPr>
  </w:style>
  <w:style w:type="paragraph" w:styleId="Eivli">
    <w:name w:val="No Spacing"/>
    <w:link w:val="EivliChar"/>
    <w:uiPriority w:val="1"/>
    <w:qFormat/>
    <w:rsid w:val="00C33C4C"/>
    <w:rPr>
      <w:rFonts w:asciiTheme="minorHAnsi" w:eastAsiaTheme="minorEastAsia" w:hAnsiTheme="minorHAnsi" w:cstheme="minorBidi"/>
      <w:sz w:val="22"/>
      <w:szCs w:val="22"/>
      <w:lang w:val="en-US" w:eastAsia="ja-JP"/>
    </w:rPr>
  </w:style>
  <w:style w:type="character" w:customStyle="1" w:styleId="EivliChar">
    <w:name w:val="Ei väliä Char"/>
    <w:basedOn w:val="Kappaleenoletusfontti"/>
    <w:link w:val="Eivli"/>
    <w:uiPriority w:val="1"/>
    <w:rsid w:val="00C33C4C"/>
    <w:rPr>
      <w:rFonts w:asciiTheme="minorHAnsi" w:eastAsiaTheme="minorEastAsia" w:hAnsiTheme="minorHAnsi" w:cstheme="minorBidi"/>
      <w:sz w:val="22"/>
      <w:szCs w:val="22"/>
      <w:lang w:val="en-US" w:eastAsia="ja-JP"/>
    </w:rPr>
  </w:style>
  <w:style w:type="character" w:styleId="Voimakas">
    <w:name w:val="Strong"/>
    <w:uiPriority w:val="22"/>
    <w:qFormat/>
    <w:rsid w:val="00C00884"/>
    <w:rPr>
      <w:b/>
      <w:bCs/>
    </w:rPr>
  </w:style>
  <w:style w:type="character" w:styleId="Sivunumero">
    <w:name w:val="page number"/>
    <w:basedOn w:val="Kappaleenoletusfontti"/>
    <w:rsid w:val="008E3508"/>
  </w:style>
  <w:style w:type="character" w:customStyle="1" w:styleId="value1">
    <w:name w:val="value1"/>
    <w:rsid w:val="00F22A10"/>
    <w:rPr>
      <w:vanish w:val="0"/>
      <w:webHidden w:val="0"/>
      <w:color w:val="4A6463"/>
      <w:sz w:val="29"/>
      <w:szCs w:val="29"/>
      <w:specVanish w:val="0"/>
    </w:rPr>
  </w:style>
  <w:style w:type="character" w:customStyle="1" w:styleId="author-bylinesauthor-link-name">
    <w:name w:val="author-bylines__author-link-name"/>
    <w:basedOn w:val="Kappaleenoletusfontti"/>
    <w:rsid w:val="001D5B2D"/>
  </w:style>
  <w:style w:type="character" w:styleId="Ratkaisematonmaininta">
    <w:name w:val="Unresolved Mention"/>
    <w:basedOn w:val="Kappaleenoletusfontti"/>
    <w:uiPriority w:val="99"/>
    <w:semiHidden/>
    <w:unhideWhenUsed/>
    <w:rsid w:val="001D5B2D"/>
    <w:rPr>
      <w:color w:val="808080"/>
      <w:shd w:val="clear" w:color="auto" w:fill="E6E6E6"/>
    </w:rPr>
  </w:style>
  <w:style w:type="character" w:customStyle="1" w:styleId="YltunnisteChar">
    <w:name w:val="Ylätunniste Char"/>
    <w:basedOn w:val="Kappaleenoletusfontti"/>
    <w:link w:val="Yltunniste"/>
    <w:uiPriority w:val="99"/>
    <w:rsid w:val="00F114D4"/>
    <w:rPr>
      <w:sz w:val="24"/>
      <w:szCs w:val="24"/>
      <w:lang w:val="en-US" w:eastAsia="en-US"/>
    </w:rPr>
  </w:style>
  <w:style w:type="paragraph" w:styleId="Loppuviitteenteksti">
    <w:name w:val="endnote text"/>
    <w:basedOn w:val="Normaali"/>
    <w:link w:val="LoppuviitteentekstiChar"/>
    <w:semiHidden/>
    <w:unhideWhenUsed/>
    <w:rsid w:val="00F114D4"/>
    <w:pPr>
      <w:spacing w:after="0"/>
    </w:pPr>
    <w:rPr>
      <w:sz w:val="20"/>
      <w:szCs w:val="20"/>
    </w:rPr>
  </w:style>
  <w:style w:type="character" w:customStyle="1" w:styleId="LoppuviitteentekstiChar">
    <w:name w:val="Loppuviitteen teksti Char"/>
    <w:basedOn w:val="Kappaleenoletusfontti"/>
    <w:link w:val="Loppuviitteenteksti"/>
    <w:semiHidden/>
    <w:rsid w:val="00F114D4"/>
    <w:rPr>
      <w:lang w:val="en-US" w:eastAsia="en-US"/>
    </w:rPr>
  </w:style>
  <w:style w:type="character" w:styleId="Loppuviitteenviite">
    <w:name w:val="endnote reference"/>
    <w:basedOn w:val="Kappaleenoletusfontti"/>
    <w:semiHidden/>
    <w:unhideWhenUsed/>
    <w:rsid w:val="00F114D4"/>
    <w:rPr>
      <w:vertAlign w:val="superscript"/>
    </w:rPr>
  </w:style>
  <w:style w:type="paragraph" w:styleId="Muutos">
    <w:name w:val="Revision"/>
    <w:hidden/>
    <w:uiPriority w:val="99"/>
    <w:semiHidden/>
    <w:rsid w:val="00AB3DEC"/>
    <w:rPr>
      <w:sz w:val="24"/>
      <w:szCs w:val="24"/>
      <w:lang w:val="en-US" w:eastAsia="en-US"/>
    </w:rPr>
  </w:style>
  <w:style w:type="paragraph" w:styleId="Alaotsikko">
    <w:name w:val="Subtitle"/>
    <w:basedOn w:val="Normaali"/>
    <w:next w:val="Normaali"/>
    <w:link w:val="AlaotsikkoChar"/>
    <w:qFormat/>
    <w:rsid w:val="00AA338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aotsikkoChar">
    <w:name w:val="Alaotsikko Char"/>
    <w:basedOn w:val="Kappaleenoletusfontti"/>
    <w:link w:val="Alaotsikko"/>
    <w:rsid w:val="00AA3385"/>
    <w:rPr>
      <w:rFonts w:asciiTheme="minorHAnsi" w:eastAsiaTheme="minorEastAsia" w:hAnsiTheme="minorHAnsi" w:cstheme="minorBidi"/>
      <w:color w:val="5A5A5A" w:themeColor="text1" w:themeTint="A5"/>
      <w:spacing w:val="15"/>
      <w:sz w:val="22"/>
      <w:szCs w:val="22"/>
      <w:lang w:val="en-US" w:eastAsia="en-US"/>
    </w:rPr>
  </w:style>
  <w:style w:type="character" w:customStyle="1" w:styleId="highlight">
    <w:name w:val="highlight"/>
    <w:basedOn w:val="Kappaleenoletusfontti"/>
    <w:rsid w:val="00CF4B97"/>
  </w:style>
  <w:style w:type="table" w:customStyle="1" w:styleId="TaulukkoRuudukko1">
    <w:name w:val="Taulukko Ruudukko1"/>
    <w:basedOn w:val="Normaalitaulukko"/>
    <w:next w:val="TaulukkoRuudukko"/>
    <w:rsid w:val="00EB5287"/>
    <w:pPr>
      <w:widowControl w:val="0"/>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8886">
      <w:bodyDiv w:val="1"/>
      <w:marLeft w:val="0"/>
      <w:marRight w:val="0"/>
      <w:marTop w:val="0"/>
      <w:marBottom w:val="0"/>
      <w:divBdr>
        <w:top w:val="none" w:sz="0" w:space="0" w:color="auto"/>
        <w:left w:val="none" w:sz="0" w:space="0" w:color="auto"/>
        <w:bottom w:val="none" w:sz="0" w:space="0" w:color="auto"/>
        <w:right w:val="none" w:sz="0" w:space="0" w:color="auto"/>
      </w:divBdr>
    </w:div>
    <w:div w:id="520709013">
      <w:bodyDiv w:val="1"/>
      <w:marLeft w:val="0"/>
      <w:marRight w:val="0"/>
      <w:marTop w:val="0"/>
      <w:marBottom w:val="0"/>
      <w:divBdr>
        <w:top w:val="none" w:sz="0" w:space="0" w:color="auto"/>
        <w:left w:val="none" w:sz="0" w:space="0" w:color="auto"/>
        <w:bottom w:val="none" w:sz="0" w:space="0" w:color="auto"/>
        <w:right w:val="none" w:sz="0" w:space="0" w:color="auto"/>
      </w:divBdr>
    </w:div>
    <w:div w:id="623736974">
      <w:bodyDiv w:val="1"/>
      <w:marLeft w:val="0"/>
      <w:marRight w:val="0"/>
      <w:marTop w:val="0"/>
      <w:marBottom w:val="0"/>
      <w:divBdr>
        <w:top w:val="none" w:sz="0" w:space="0" w:color="auto"/>
        <w:left w:val="none" w:sz="0" w:space="0" w:color="auto"/>
        <w:bottom w:val="none" w:sz="0" w:space="0" w:color="auto"/>
        <w:right w:val="none" w:sz="0" w:space="0" w:color="auto"/>
      </w:divBdr>
    </w:div>
    <w:div w:id="775558997">
      <w:bodyDiv w:val="1"/>
      <w:marLeft w:val="0"/>
      <w:marRight w:val="0"/>
      <w:marTop w:val="0"/>
      <w:marBottom w:val="0"/>
      <w:divBdr>
        <w:top w:val="none" w:sz="0" w:space="0" w:color="auto"/>
        <w:left w:val="none" w:sz="0" w:space="0" w:color="auto"/>
        <w:bottom w:val="none" w:sz="0" w:space="0" w:color="auto"/>
        <w:right w:val="none" w:sz="0" w:space="0" w:color="auto"/>
      </w:divBdr>
    </w:div>
    <w:div w:id="800269891">
      <w:bodyDiv w:val="1"/>
      <w:marLeft w:val="0"/>
      <w:marRight w:val="0"/>
      <w:marTop w:val="0"/>
      <w:marBottom w:val="0"/>
      <w:divBdr>
        <w:top w:val="none" w:sz="0" w:space="0" w:color="auto"/>
        <w:left w:val="none" w:sz="0" w:space="0" w:color="auto"/>
        <w:bottom w:val="none" w:sz="0" w:space="0" w:color="auto"/>
        <w:right w:val="none" w:sz="0" w:space="0" w:color="auto"/>
      </w:divBdr>
    </w:div>
    <w:div w:id="1032069838">
      <w:bodyDiv w:val="1"/>
      <w:marLeft w:val="0"/>
      <w:marRight w:val="0"/>
      <w:marTop w:val="0"/>
      <w:marBottom w:val="0"/>
      <w:divBdr>
        <w:top w:val="none" w:sz="0" w:space="0" w:color="auto"/>
        <w:left w:val="none" w:sz="0" w:space="0" w:color="auto"/>
        <w:bottom w:val="none" w:sz="0" w:space="0" w:color="auto"/>
        <w:right w:val="none" w:sz="0" w:space="0" w:color="auto"/>
      </w:divBdr>
    </w:div>
    <w:div w:id="1082876842">
      <w:bodyDiv w:val="1"/>
      <w:marLeft w:val="0"/>
      <w:marRight w:val="0"/>
      <w:marTop w:val="0"/>
      <w:marBottom w:val="0"/>
      <w:divBdr>
        <w:top w:val="none" w:sz="0" w:space="0" w:color="auto"/>
        <w:left w:val="none" w:sz="0" w:space="0" w:color="auto"/>
        <w:bottom w:val="none" w:sz="0" w:space="0" w:color="auto"/>
        <w:right w:val="none" w:sz="0" w:space="0" w:color="auto"/>
      </w:divBdr>
    </w:div>
    <w:div w:id="1581407520">
      <w:bodyDiv w:val="1"/>
      <w:marLeft w:val="0"/>
      <w:marRight w:val="0"/>
      <w:marTop w:val="0"/>
      <w:marBottom w:val="0"/>
      <w:divBdr>
        <w:top w:val="none" w:sz="0" w:space="0" w:color="auto"/>
        <w:left w:val="none" w:sz="0" w:space="0" w:color="auto"/>
        <w:bottom w:val="none" w:sz="0" w:space="0" w:color="auto"/>
        <w:right w:val="none" w:sz="0" w:space="0" w:color="auto"/>
      </w:divBdr>
    </w:div>
    <w:div w:id="1582256592">
      <w:bodyDiv w:val="1"/>
      <w:marLeft w:val="0"/>
      <w:marRight w:val="0"/>
      <w:marTop w:val="0"/>
      <w:marBottom w:val="0"/>
      <w:divBdr>
        <w:top w:val="none" w:sz="0" w:space="0" w:color="auto"/>
        <w:left w:val="none" w:sz="0" w:space="0" w:color="auto"/>
        <w:bottom w:val="none" w:sz="0" w:space="0" w:color="auto"/>
        <w:right w:val="none" w:sz="0" w:space="0" w:color="auto"/>
      </w:divBdr>
      <w:divsChild>
        <w:div w:id="1997686328">
          <w:marLeft w:val="0"/>
          <w:marRight w:val="0"/>
          <w:marTop w:val="150"/>
          <w:marBottom w:val="150"/>
          <w:divBdr>
            <w:top w:val="none" w:sz="0" w:space="0" w:color="auto"/>
            <w:left w:val="none" w:sz="0" w:space="0" w:color="auto"/>
            <w:bottom w:val="none" w:sz="0" w:space="0" w:color="auto"/>
            <w:right w:val="none" w:sz="0" w:space="0" w:color="auto"/>
          </w:divBdr>
          <w:divsChild>
            <w:div w:id="922646727">
              <w:marLeft w:val="0"/>
              <w:marRight w:val="0"/>
              <w:marTop w:val="75"/>
              <w:marBottom w:val="75"/>
              <w:divBdr>
                <w:top w:val="none" w:sz="0" w:space="0" w:color="auto"/>
                <w:left w:val="none" w:sz="0" w:space="0" w:color="auto"/>
                <w:bottom w:val="none" w:sz="0" w:space="0" w:color="auto"/>
                <w:right w:val="none" w:sz="0" w:space="0" w:color="auto"/>
              </w:divBdr>
            </w:div>
            <w:div w:id="5925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advancedindustrialintermediates.com/fileadmin/user_upload/Diphyl_brochure_04.2017.pdf"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s://www.process-heating.com/authors/1960-michael-damiani-radco-industries-inc"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process-heating.com/articles/85375-selecting-heat-transfer-fluids-synthetic-or-hot-oil"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therminol.com/products/Therminol-66" TargetMode="Externa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3.jpeg"/><Relationship Id="rId27" Type="http://schemas.openxmlformats.org/officeDocument/2006/relationships/header" Target="head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ha.europa.eu/web/guest/information-on-chemicals/cl-inventory-database" TargetMode="External"/><Relationship Id="rId2" Type="http://schemas.openxmlformats.org/officeDocument/2006/relationships/hyperlink" Target="https://echa.europa.eu/documents/10162/142079ba-ed44-66e4-e9ee-ab31045282cf" TargetMode="External"/><Relationship Id="rId1" Type="http://schemas.openxmlformats.org/officeDocument/2006/relationships/hyperlink" Target="https://echa.europa.eu/documents/10162/5cfb341a-f539-5736-1eb7-08996c0866ef" TargetMode="External"/><Relationship Id="rId6" Type="http://schemas.openxmlformats.org/officeDocument/2006/relationships/hyperlink" Target="https://www.eastman.com/Pages/ProductHome.aspx?product=71114174&amp;pn=Marlotherm+SH+Heat+Transfer+Fluid" TargetMode="External"/><Relationship Id="rId5" Type="http://schemas.openxmlformats.org/officeDocument/2006/relationships/hyperlink" Target="https://www.dow.com/en-us/support/sds-finder" TargetMode="External"/><Relationship Id="rId4" Type="http://schemas.openxmlformats.org/officeDocument/2006/relationships/hyperlink" Target="https://echa.europa.eu/fi/substance-information/-/substanceinfo/100.100.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Yleisasiakirja" ma:contentTypeID="0x010100352FB5629AE9BD4B9C2915C62DA386F000E08E72C15F7F7D4D98A0298C52AF679F" ma:contentTypeVersion="61" ma:contentTypeDescription="" ma:contentTypeScope="" ma:versionID="6063fd91a90f5aa50e02162e3830ec4a">
  <xsd:schema xmlns:xsd="http://www.w3.org/2001/XMLSchema" xmlns:xs="http://www.w3.org/2001/XMLSchema" xmlns:p="http://schemas.microsoft.com/office/2006/metadata/properties" xmlns:ns2="c04e1c0e-ab26-4602-9e9b-a197da6bb185" xmlns:ns4="471f87f1-7348-44b7-b3cd-3f1e4c1ed40d" targetNamespace="http://schemas.microsoft.com/office/2006/metadata/properties" ma:root="true" ma:fieldsID="e5eece7c759ad51cd5572758f902939a" ns2:_="" ns4:_="">
    <xsd:import namespace="c04e1c0e-ab26-4602-9e9b-a197da6bb185"/>
    <xsd:import namespace="471f87f1-7348-44b7-b3cd-3f1e4c1ed40d"/>
    <xsd:element name="properties">
      <xsd:complexType>
        <xsd:sequence>
          <xsd:element name="documentManagement">
            <xsd:complexType>
              <xsd:all>
                <xsd:element ref="ns2:TukesTila" minOccurs="0"/>
                <xsd:element ref="ns2:TukesAsiakirjatyyppi" minOccurs="0"/>
                <xsd:element ref="ns2:TukesDiaarinumero" minOccurs="0"/>
                <xsd:element ref="ns2:mfd6ac382823424e8e6b9282d9976931" minOccurs="0"/>
                <xsd:element ref="ns2:p69e5fdff53c4de2b0f024897cb16c67" minOccurs="0"/>
                <xsd:element ref="ns2:m7e4184ca93f49d195c921ae60aaf7dd" minOccurs="0"/>
                <xsd:element ref="ns2:m0ccc6a7213c41a3bc7c7736890d25d4" minOccurs="0"/>
                <xsd:element ref="ns4:a1ebea5ee4d24aa9b1ddc155cebddc95" minOccurs="0"/>
                <xsd:element ref="ns4:TaxCatchAllLabel" minOccurs="0"/>
                <xsd:element ref="ns4:p2cbd4a58aee4e01a4c358d4e1a82c0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e1c0e-ab26-4602-9e9b-a197da6bb185" elementFormDefault="qualified">
    <xsd:import namespace="http://schemas.microsoft.com/office/2006/documentManagement/types"/>
    <xsd:import namespace="http://schemas.microsoft.com/office/infopath/2007/PartnerControls"/>
    <xsd:element name="TukesTila" ma:index="2" nillable="true" ma:displayName="Tila" ma:default="Hyväksytty" ma:format="Dropdown" ma:internalName="TukesTila">
      <xsd:simpleType>
        <xsd:restriction base="dms:Choice">
          <xsd:enumeration value="Hyväksytty"/>
          <xsd:enumeration value="Luonnos"/>
          <xsd:enumeration value="Poistettu käytöstä"/>
          <xsd:enumeration value="Tarkistettava"/>
        </xsd:restriction>
      </xsd:simpleType>
    </xsd:element>
    <xsd:element name="TukesAsiakirjatyyppi" ma:index="3" nillable="true" ma:displayName="Asiakirjatyyppi" ma:default="Muistio" ma:format="Dropdown" ma:internalName="TukesAsiakirjatyyppi">
      <xsd:simpleType>
        <xsd:restriction base="dms:Choice">
          <xsd:enumeration value="Ehdotus"/>
          <xsd:enumeration value="Muistio"/>
          <xsd:enumeration value="Määräys"/>
          <xsd:enumeration value="Päätös"/>
          <xsd:enumeration value="Raportti"/>
          <xsd:enumeration value="Selvityspyyntö"/>
          <xsd:enumeration value="Sopimus"/>
          <xsd:enumeration value="Strategia"/>
          <xsd:enumeration value="Suunnitelma"/>
          <xsd:enumeration value="Tarjouspyyntö"/>
          <xsd:enumeration value="Toimintaohje"/>
        </xsd:restriction>
      </xsd:simpleType>
    </xsd:element>
    <xsd:element name="TukesDiaarinumero" ma:index="8" nillable="true" ma:displayName="Diaarinumero" ma:internalName="TukesDiaarinumero">
      <xsd:simpleType>
        <xsd:restriction base="dms:Text">
          <xsd:maxLength value="255"/>
        </xsd:restriction>
      </xsd:simpleType>
    </xsd:element>
    <xsd:element name="mfd6ac382823424e8e6b9282d9976931" ma:index="13" nillable="true" ma:taxonomy="true" ma:internalName="mfd6ac382823424e8e6b9282d9976931" ma:taxonomyFieldName="TukesAliprosessi" ma:displayName="Aliprosessi" ma:default="" ma:fieldId="{6fd6ac38-2823-424e-8e6b-9282d9976931}" ma:sspId="475ac523-62c8-4468-a63a-32dd70310e37" ma:termSetId="930057bb-a9f3-422f-904c-d53b72da5a93" ma:anchorId="00000000-0000-0000-0000-000000000000" ma:open="false" ma:isKeyword="false">
      <xsd:complexType>
        <xsd:sequence>
          <xsd:element ref="pc:Terms" minOccurs="0" maxOccurs="1"/>
        </xsd:sequence>
      </xsd:complexType>
    </xsd:element>
    <xsd:element name="p69e5fdff53c4de2b0f024897cb16c67" ma:index="14" nillable="true" ma:taxonomy="true" ma:internalName="p69e5fdff53c4de2b0f024897cb16c67" ma:taxonomyFieldName="TukesProsessi" ma:displayName="Prosessi" ma:default="" ma:fieldId="{969e5fdf-f53c-4de2-b0f0-24897cb16c67}" ma:sspId="475ac523-62c8-4468-a63a-32dd70310e37" ma:termSetId="7835ec34-f319-4a22-a38d-ce4e15545d03" ma:anchorId="00000000-0000-0000-0000-000000000000" ma:open="false" ma:isKeyword="false">
      <xsd:complexType>
        <xsd:sequence>
          <xsd:element ref="pc:Terms" minOccurs="0" maxOccurs="1"/>
        </xsd:sequence>
      </xsd:complexType>
    </xsd:element>
    <xsd:element name="m7e4184ca93f49d195c921ae60aaf7dd" ma:index="16" nillable="true" ma:taxonomy="true" ma:internalName="m7e4184ca93f49d195c921ae60aaf7dd" ma:taxonomyFieldName="TukesRyhma" ma:displayName="Ryhmä" ma:default="" ma:fieldId="{67e4184c-a93f-49d1-95c9-21ae60aaf7dd}" ma:sspId="475ac523-62c8-4468-a63a-32dd70310e37" ma:termSetId="209112f8-6f41-4d7e-919f-0b82ddfa76dd" ma:anchorId="00000000-0000-0000-0000-000000000000" ma:open="false" ma:isKeyword="false">
      <xsd:complexType>
        <xsd:sequence>
          <xsd:element ref="pc:Terms" minOccurs="0" maxOccurs="1"/>
        </xsd:sequence>
      </xsd:complexType>
    </xsd:element>
    <xsd:element name="m0ccc6a7213c41a3bc7c7736890d25d4" ma:index="19" nillable="true" ma:taxonomy="true" ma:internalName="m0ccc6a7213c41a3bc7c7736890d25d4" ma:taxonomyFieldName="TukesYksikko" ma:displayName="Yksikkö" ma:default="" ma:fieldId="{60ccc6a7-213c-41a3-bc7c-7736890d25d4}" ma:sspId="475ac523-62c8-4468-a63a-32dd70310e37" ma:termSetId="c39f4e56-a951-4f6d-aaf6-e97d716aca9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1f87f1-7348-44b7-b3cd-3f1e4c1ed40d" elementFormDefault="qualified">
    <xsd:import namespace="http://schemas.microsoft.com/office/2006/documentManagement/types"/>
    <xsd:import namespace="http://schemas.microsoft.com/office/infopath/2007/PartnerControls"/>
    <xsd:element name="a1ebea5ee4d24aa9b1ddc155cebddc95" ma:index="21" nillable="true" ma:taxonomy="true" ma:internalName="a1ebea5ee4d24aa9b1ddc155cebddc95" ma:taxonomyFieldName="Suojaustaso_x0020_metatiedot" ma:displayName="Suojaustaso" ma:default="" ma:fieldId="{a1ebea5e-e4d2-4aa9-b1dd-c155cebddc95}" ma:sspId="475ac523-62c8-4468-a63a-32dd70310e37" ma:termSetId="47c5fef1-f1bb-4b6a-a85e-9865630b9652"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4c04785d-7965-4fb0-b346-ab84916bcbe0}" ma:internalName="TaxCatchAllLabel" ma:readOnly="true" ma:showField="CatchAllDataLabel" ma:web="ba027f44-02fe-4784-9898-6325de56ebef">
      <xsd:complexType>
        <xsd:complexContent>
          <xsd:extension base="dms:MultiChoiceLookup">
            <xsd:sequence>
              <xsd:element name="Value" type="dms:Lookup" maxOccurs="unbounded" minOccurs="0" nillable="true"/>
            </xsd:sequence>
          </xsd:extension>
        </xsd:complexContent>
      </xsd:complexType>
    </xsd:element>
    <xsd:element name="p2cbd4a58aee4e01a4c358d4e1a82c0b" ma:index="23" nillable="true" ma:taxonomy="true" ma:internalName="p2cbd4a58aee4e01a4c358d4e1a82c0b" ma:taxonomyFieldName="Julkisuusluokka_x0020_metatiedot" ma:displayName="Julkisuusluokka" ma:default="" ma:fieldId="{92cbd4a5-8aee-4e01-a4c3-58d4e1a82c0b}" ma:sspId="475ac523-62c8-4468-a63a-32dd70310e37" ma:termSetId="cd937121-3c5e-41a4-9c0d-ae126e99ced2"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4c04785d-7965-4fb0-b346-ab84916bcbe0}" ma:internalName="TaxCatchAll" ma:showField="CatchAllData" ma:web="ba027f44-02fe-4784-9898-6325de56eb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471f87f1-7348-44b7-b3cd-3f1e4c1ed40d">
      <Value>2</Value>
      <Value>1</Value>
    </TaxCatchAll>
    <p69e5fdff53c4de2b0f024897cb16c67 xmlns="c04e1c0e-ab26-4602-9e9b-a197da6bb185">
      <Terms xmlns="http://schemas.microsoft.com/office/infopath/2007/PartnerControls"/>
    </p69e5fdff53c4de2b0f024897cb16c67>
    <mfd6ac382823424e8e6b9282d9976931 xmlns="c04e1c0e-ab26-4602-9e9b-a197da6bb185">
      <Terms xmlns="http://schemas.microsoft.com/office/infopath/2007/PartnerControls"/>
    </mfd6ac382823424e8e6b9282d9976931>
    <p2cbd4a58aee4e01a4c358d4e1a82c0b xmlns="471f87f1-7348-44b7-b3cd-3f1e4c1ed40d">
      <Terms xmlns="http://schemas.microsoft.com/office/infopath/2007/PartnerControls"/>
    </p2cbd4a58aee4e01a4c358d4e1a82c0b>
    <m0ccc6a7213c41a3bc7c7736890d25d4 xmlns="c04e1c0e-ab26-4602-9e9b-a197da6bb185">
      <Terms xmlns="http://schemas.microsoft.com/office/infopath/2007/PartnerControls">
        <TermInfo xmlns="http://schemas.microsoft.com/office/infopath/2007/PartnerControls">
          <TermName xmlns="http://schemas.microsoft.com/office/infopath/2007/PartnerControls">Kemikaalit</TermName>
          <TermId xmlns="http://schemas.microsoft.com/office/infopath/2007/PartnerControls">0942c221-4d4d-461d-93ae-771caa12d25c</TermId>
        </TermInfo>
      </Terms>
    </m0ccc6a7213c41a3bc7c7736890d25d4>
    <TukesDiaarinumero xmlns="c04e1c0e-ab26-4602-9e9b-a197da6bb185" xsi:nil="true"/>
    <a1ebea5ee4d24aa9b1ddc155cebddc95 xmlns="471f87f1-7348-44b7-b3cd-3f1e4c1ed40d">
      <Terms xmlns="http://schemas.microsoft.com/office/infopath/2007/PartnerControls"/>
    </a1ebea5ee4d24aa9b1ddc155cebddc95>
    <TukesTila xmlns="c04e1c0e-ab26-4602-9e9b-a197da6bb185">Hyväksytty</TukesTila>
    <TukesAsiakirjatyyppi xmlns="c04e1c0e-ab26-4602-9e9b-a197da6bb185">Muistio</TukesAsiakirjatyyppi>
    <m7e4184ca93f49d195c921ae60aaf7dd xmlns="c04e1c0e-ab26-4602-9e9b-a197da6bb185">
      <Terms xmlns="http://schemas.microsoft.com/office/infopath/2007/PartnerControls">
        <TermInfo xmlns="http://schemas.microsoft.com/office/infopath/2007/PartnerControls">
          <TermName xmlns="http://schemas.microsoft.com/office/infopath/2007/PartnerControls">Teollisuuskemikaalit</TermName>
          <TermId xmlns="http://schemas.microsoft.com/office/infopath/2007/PartnerControls">0bd4db02-3435-4ac2-8af6-66ffb14a4002</TermId>
        </TermInfo>
      </Terms>
    </m7e4184ca93f49d195c921ae60aaf7d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475ac523-62c8-4468-a63a-32dd70310e37" ContentTypeId="0x010100352FB5629AE9BD4B9C2915C62DA386F0"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F9EF4-32F8-4024-8802-7C07F9A8293C}"/>
</file>

<file path=customXml/itemProps2.xml><?xml version="1.0" encoding="utf-8"?>
<ds:datastoreItem xmlns:ds="http://schemas.openxmlformats.org/officeDocument/2006/customXml" ds:itemID="{99B5B41A-9D4F-4825-B5AF-AD4C595DDDCF}"/>
</file>

<file path=customXml/itemProps3.xml><?xml version="1.0" encoding="utf-8"?>
<ds:datastoreItem xmlns:ds="http://schemas.openxmlformats.org/officeDocument/2006/customXml" ds:itemID="{28031FF1-8B2C-43BF-9541-F8C4B8255001}"/>
</file>

<file path=customXml/itemProps4.xml><?xml version="1.0" encoding="utf-8"?>
<ds:datastoreItem xmlns:ds="http://schemas.openxmlformats.org/officeDocument/2006/customXml" ds:itemID="{FFFAE802-AD47-45A9-8CF3-15528C1512F9}"/>
</file>

<file path=customXml/itemProps5.xml><?xml version="1.0" encoding="utf-8"?>
<ds:datastoreItem xmlns:ds="http://schemas.openxmlformats.org/officeDocument/2006/customXml" ds:itemID="{2914FD48-76AB-422E-8824-2B7DC7957549}"/>
</file>

<file path=customXml/itemProps6.xml><?xml version="1.0" encoding="utf-8"?>
<ds:datastoreItem xmlns:ds="http://schemas.openxmlformats.org/officeDocument/2006/customXml" ds:itemID="{909BD42F-B08A-4193-844D-C946D313E7ED}"/>
</file>

<file path=customXml/itemProps7.xml><?xml version="1.0" encoding="utf-8"?>
<ds:datastoreItem xmlns:ds="http://schemas.openxmlformats.org/officeDocument/2006/customXml" ds:itemID="{60554C4D-F50A-4036-8D4B-286203A3459E}"/>
</file>

<file path=docProps/app.xml><?xml version="1.0" encoding="utf-8"?>
<Properties xmlns="http://schemas.openxmlformats.org/officeDocument/2006/extended-properties" xmlns:vt="http://schemas.openxmlformats.org/officeDocument/2006/docPropsVTypes">
  <Template>Normal.dotm</Template>
  <TotalTime>1</TotalTime>
  <Pages>33</Pages>
  <Words>11327</Words>
  <Characters>67107</Characters>
  <Application>Microsoft Office Word</Application>
  <DocSecurity>4</DocSecurity>
  <Lines>559</Lines>
  <Paragraphs>156</Paragraphs>
  <ScaleCrop>false</ScaleCrop>
  <HeadingPairs>
    <vt:vector size="6" baseType="variant">
      <vt:variant>
        <vt:lpstr>Otsikko</vt:lpstr>
      </vt:variant>
      <vt:variant>
        <vt:i4>1</vt:i4>
      </vt:variant>
      <vt:variant>
        <vt:lpstr>Title</vt:lpstr>
      </vt:variant>
      <vt:variant>
        <vt:i4>1</vt:i4>
      </vt:variant>
      <vt:variant>
        <vt:lpstr>Tittel</vt:lpstr>
      </vt:variant>
      <vt:variant>
        <vt:i4>1</vt:i4>
      </vt:variant>
    </vt:vector>
  </HeadingPairs>
  <TitlesOfParts>
    <vt:vector size="3" baseType="lpstr">
      <vt:lpstr>Justification for the selection of a candidate CoRAP substance</vt:lpstr>
      <vt:lpstr>Justification for the selection of a candidate CoRAP substance</vt:lpstr>
      <vt:lpstr>Justification for the selection of a candidate CoRAP substance</vt:lpstr>
    </vt:vector>
  </TitlesOfParts>
  <Company>European Chemicals Agency</Company>
  <LinksUpToDate>false</LinksUpToDate>
  <CharactersWithSpaces>78278</CharactersWithSpaces>
  <SharedDoc>false</SharedDoc>
  <HLinks>
    <vt:vector size="18" baseType="variant">
      <vt:variant>
        <vt:i4>7340132</vt:i4>
      </vt:variant>
      <vt:variant>
        <vt:i4>60</vt:i4>
      </vt:variant>
      <vt:variant>
        <vt:i4>0</vt:i4>
      </vt:variant>
      <vt:variant>
        <vt:i4>5</vt:i4>
      </vt:variant>
      <vt:variant>
        <vt:lpwstr>http://echa.europa.eu/information-on-chemicals</vt:lpwstr>
      </vt:variant>
      <vt:variant>
        <vt:lpwstr/>
      </vt:variant>
      <vt:variant>
        <vt:i4>3866662</vt:i4>
      </vt:variant>
      <vt:variant>
        <vt:i4>57</vt:i4>
      </vt:variant>
      <vt:variant>
        <vt:i4>0</vt:i4>
      </vt:variant>
      <vt:variant>
        <vt:i4>5</vt:i4>
      </vt:variant>
      <vt:variant>
        <vt:lpwstr>http://echa.europa.eu/web/guest/regulations/clp/legislation</vt:lpwstr>
      </vt:variant>
      <vt:variant>
        <vt:lpwstr/>
      </vt:variant>
      <vt:variant>
        <vt:i4>7929890</vt:i4>
      </vt:variant>
      <vt:variant>
        <vt:i4>54</vt:i4>
      </vt:variant>
      <vt:variant>
        <vt:i4>0</vt:i4>
      </vt:variant>
      <vt:variant>
        <vt:i4>5</vt:i4>
      </vt:variant>
      <vt:variant>
        <vt:lpwstr>http://echa.europa.eu/web/guest/information-on-chemicals/cl-inventory-database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the selection of a candidate CoRAP substance</dc:title>
  <dc:creator>European Chemicals Agency</dc:creator>
  <cp:lastModifiedBy>Kaartinen Tomi (Tukes)</cp:lastModifiedBy>
  <cp:revision>2</cp:revision>
  <cp:lastPrinted>2014-10-24T09:20:00Z</cp:lastPrinted>
  <dcterms:created xsi:type="dcterms:W3CDTF">2020-02-24T10:50:00Z</dcterms:created>
  <dcterms:modified xsi:type="dcterms:W3CDTF">2020-02-24T10:50:00Z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0x010100352FB5629AE9BD4B9C2915C62DA386F000E08E72C15F7F7D4D98A0298C52AF679F</vt:lpwstr>
  </property>
  <property fmtid="{D5CDD505-2E9C-101B-9397-08002B2CF9AE}" pid="4" name="ECHAProcess">
    <vt:lpwstr>2;#03.01 Preparation for Risk management|d80fe072-1fec-4844-8783-25e18f728697</vt:lpwstr>
  </property>
  <property fmtid="{D5CDD505-2E9C-101B-9397-08002B2CF9AE}" pid="5" name="_dlc_DocIdItemGuid">
    <vt:lpwstr>cc2eaf68-42ab-4deb-bcff-bbdf4dc37294</vt:lpwstr>
  </property>
  <property fmtid="{D5CDD505-2E9C-101B-9397-08002B2CF9AE}" pid="6" name="ECHADocumentType">
    <vt:lpwstr/>
  </property>
  <property fmtid="{D5CDD505-2E9C-101B-9397-08002B2CF9AE}" pid="7" name="ECHASecClass">
    <vt:lpwstr>1;#|a0307bc2-faf9-4068-8aeb-b713e4fa2a0f</vt:lpwstr>
  </property>
  <property fmtid="{D5CDD505-2E9C-101B-9397-08002B2CF9AE}" pid="8" name="ECHACategory">
    <vt:lpwstr/>
  </property>
  <property fmtid="{D5CDD505-2E9C-101B-9397-08002B2CF9AE}" pid="9" name="Julkisuusluokka metatiedot">
    <vt:lpwstr/>
  </property>
  <property fmtid="{D5CDD505-2E9C-101B-9397-08002B2CF9AE}" pid="10" name="TukesAliprosessi">
    <vt:lpwstr/>
  </property>
  <property fmtid="{D5CDD505-2E9C-101B-9397-08002B2CF9AE}" pid="11" name="TukesYksikko">
    <vt:lpwstr>1;#Kemikaalit|0942c221-4d4d-461d-93ae-771caa12d25c</vt:lpwstr>
  </property>
  <property fmtid="{D5CDD505-2E9C-101B-9397-08002B2CF9AE}" pid="12" name="TukesProsessi">
    <vt:lpwstr/>
  </property>
  <property fmtid="{D5CDD505-2E9C-101B-9397-08002B2CF9AE}" pid="13" name="TukesRyhma">
    <vt:lpwstr>2;#Teollisuuskemikaalit|0bd4db02-3435-4ac2-8af6-66ffb14a4002</vt:lpwstr>
  </property>
  <property fmtid="{D5CDD505-2E9C-101B-9397-08002B2CF9AE}" pid="14" name="Suojaustaso metatiedot">
    <vt:lpwstr/>
  </property>
  <property fmtid="{D5CDD505-2E9C-101B-9397-08002B2CF9AE}" pid="15" name="_dlc_DocId">
    <vt:lpwstr>Kemikaalituotevalvonta-322752820-61904</vt:lpwstr>
  </property>
  <property fmtid="{D5CDD505-2E9C-101B-9397-08002B2CF9AE}" pid="16" name="_dlc_DocIdUrl">
    <vt:lpwstr>http://intra/sites/kem/tk/_layouts/15/DocIdRedir.aspx?ID=Kemikaalituotevalvonta-322752820-61904, Kemikaalituotevalvonta-322752820-61904</vt:lpwstr>
  </property>
</Properties>
</file>