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3996" w14:textId="77777777" w:rsidR="00F57736" w:rsidRPr="003016DF" w:rsidRDefault="00E86372" w:rsidP="00F57736">
      <w:r>
        <w:rPr>
          <w:rFonts w:eastAsiaTheme="minorHAnsi"/>
          <w:noProof/>
          <w:szCs w:val="24"/>
          <w:lang w:val="sv-SE" w:eastAsia="sv-SE"/>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D" w14:textId="69DBE26D" w:rsidR="00E86372" w:rsidRDefault="000875CA" w:rsidP="00E86372">
                            <w:pPr>
                              <w:rPr>
                                <w:color w:val="4F81BD" w:themeColor="accent1"/>
                              </w:rPr>
                            </w:pPr>
                            <w:r>
                              <w:rPr>
                                <w:noProof/>
                                <w:lang w:eastAsia="en-GB"/>
                              </w:rPr>
                              <w:drawing>
                                <wp:inline distT="0" distB="0" distL="0" distR="0" wp14:anchorId="338A7126" wp14:editId="61239AD1">
                                  <wp:extent cx="1079500" cy="582930"/>
                                  <wp:effectExtent l="0" t="0" r="6350" b="7620"/>
                                  <wp:docPr id="7" name="Bildobjekt 7"/>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0" cy="582930"/>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D" w14:textId="69DBE26D" w:rsidR="00E86372" w:rsidRDefault="000875CA" w:rsidP="00E86372">
                      <w:pPr>
                        <w:rPr>
                          <w:color w:val="4F81BD" w:themeColor="accent1"/>
                        </w:rPr>
                      </w:pPr>
                      <w:r>
                        <w:rPr>
                          <w:noProof/>
                          <w:lang w:eastAsia="en-GB"/>
                        </w:rPr>
                        <w:drawing>
                          <wp:inline distT="0" distB="0" distL="0" distR="0" wp14:anchorId="338A7126" wp14:editId="61239AD1">
                            <wp:extent cx="1079500" cy="582930"/>
                            <wp:effectExtent l="0" t="0" r="6350" b="7620"/>
                            <wp:docPr id="7" name="Bildobjekt 7"/>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0" cy="582930"/>
                                    </a:xfrm>
                                    <a:prstGeom prst="rect">
                                      <a:avLst/>
                                    </a:prstGeom>
                                  </pic:spPr>
                                </pic:pic>
                              </a:graphicData>
                            </a:graphic>
                          </wp:inline>
                        </w:drawing>
                      </w: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rdtext"/>
        <w:rPr>
          <w:b/>
        </w:rPr>
      </w:pPr>
    </w:p>
    <w:p w14:paraId="683539A4" w14:textId="3DAF0E9A" w:rsidR="00E86372" w:rsidRPr="000875CA" w:rsidRDefault="00E86372" w:rsidP="00E86372">
      <w:pPr>
        <w:pStyle w:val="Brdtext"/>
        <w:rPr>
          <w:bCs/>
        </w:rPr>
      </w:pPr>
      <w:r>
        <w:rPr>
          <w:b/>
        </w:rPr>
        <w:t>Substance Name</w:t>
      </w:r>
      <w:r w:rsidRPr="003607CA">
        <w:rPr>
          <w:b/>
        </w:rPr>
        <w:t>:</w:t>
      </w:r>
      <w:r w:rsidR="000875CA">
        <w:rPr>
          <w:b/>
        </w:rPr>
        <w:t xml:space="preserve"> </w:t>
      </w:r>
      <w:r w:rsidR="000875CA" w:rsidRPr="000875CA">
        <w:rPr>
          <w:bCs/>
          <w:lang w:val="en-US"/>
        </w:rPr>
        <w:t>Trisodium 2-[[4-[[4-[(4-amino-6-chloro-1,3,5-triazin-2-</w:t>
      </w:r>
      <w:proofErr w:type="gramStart"/>
      <w:r w:rsidR="000875CA" w:rsidRPr="000875CA">
        <w:rPr>
          <w:bCs/>
          <w:lang w:val="en-US"/>
        </w:rPr>
        <w:t>yl)amino</w:t>
      </w:r>
      <w:proofErr w:type="gramEnd"/>
      <w:r w:rsidR="000875CA" w:rsidRPr="000875CA">
        <w:rPr>
          <w:bCs/>
          <w:lang w:val="en-US"/>
        </w:rPr>
        <w:t>]-5-sulphonatonaphthyl]azo]-2,5-dimethylphenyl]azo]benzene-1,4-disulphonate; C.I. Reactive Orange 35</w:t>
      </w:r>
    </w:p>
    <w:p w14:paraId="683539A5" w14:textId="661484B0" w:rsidR="00E86372" w:rsidRPr="00937276" w:rsidRDefault="00E86372" w:rsidP="00E86372">
      <w:pPr>
        <w:pStyle w:val="Brdtext"/>
      </w:pPr>
      <w:r w:rsidRPr="003607CA">
        <w:rPr>
          <w:b/>
        </w:rPr>
        <w:t>EC Number:</w:t>
      </w:r>
      <w:r w:rsidR="000875CA">
        <w:rPr>
          <w:b/>
        </w:rPr>
        <w:t xml:space="preserve"> </w:t>
      </w:r>
      <w:r w:rsidR="000875CA" w:rsidRPr="000875CA">
        <w:rPr>
          <w:bCs/>
        </w:rPr>
        <w:t>274-410-5</w:t>
      </w:r>
    </w:p>
    <w:p w14:paraId="683539A6" w14:textId="0C20ACFB" w:rsidR="00E86372" w:rsidRPr="00937276" w:rsidRDefault="00E86372" w:rsidP="00E86372">
      <w:pPr>
        <w:pStyle w:val="Brdtext"/>
        <w:rPr>
          <w:sz w:val="32"/>
        </w:rPr>
      </w:pPr>
      <w:r w:rsidRPr="003607CA">
        <w:rPr>
          <w:b/>
        </w:rPr>
        <w:t>CAS Number:</w:t>
      </w:r>
      <w:r w:rsidR="000875CA">
        <w:rPr>
          <w:b/>
        </w:rPr>
        <w:t xml:space="preserve"> </w:t>
      </w:r>
      <w:r w:rsidR="000875CA" w:rsidRPr="000875CA">
        <w:rPr>
          <w:bCs/>
        </w:rPr>
        <w:t>70210-13-8</w:t>
      </w:r>
    </w:p>
    <w:p w14:paraId="683539A7" w14:textId="77777777" w:rsidR="00E86372" w:rsidRDefault="00E86372" w:rsidP="00E86372">
      <w:pPr>
        <w:pStyle w:val="Brdtext"/>
        <w:rPr>
          <w:b/>
          <w:sz w:val="32"/>
        </w:rPr>
      </w:pPr>
    </w:p>
    <w:p w14:paraId="683539A8" w14:textId="4707526A" w:rsidR="00E86372" w:rsidRDefault="00E86372" w:rsidP="00E86372">
      <w:pPr>
        <w:pStyle w:val="Brdtext"/>
        <w:rPr>
          <w:b/>
          <w:sz w:val="32"/>
        </w:rPr>
      </w:pPr>
      <w:r w:rsidRPr="006119A2">
        <w:rPr>
          <w:b/>
        </w:rPr>
        <w:t>Authority:</w:t>
      </w:r>
      <w:r w:rsidR="000875CA">
        <w:rPr>
          <w:b/>
        </w:rPr>
        <w:t xml:space="preserve"> </w:t>
      </w:r>
      <w:r w:rsidR="000875CA" w:rsidRPr="000875CA">
        <w:rPr>
          <w:bCs/>
        </w:rPr>
        <w:t>Swedish Chemicals Agency</w:t>
      </w:r>
    </w:p>
    <w:p w14:paraId="683539A9" w14:textId="314509E5" w:rsidR="00E86372" w:rsidRDefault="00E86372" w:rsidP="00E86372">
      <w:pPr>
        <w:pStyle w:val="Brdtext"/>
        <w:rPr>
          <w:b/>
        </w:rPr>
      </w:pPr>
      <w:r w:rsidRPr="003607CA">
        <w:rPr>
          <w:b/>
        </w:rPr>
        <w:t>Date:</w:t>
      </w:r>
      <w:r w:rsidR="000875CA">
        <w:rPr>
          <w:b/>
        </w:rPr>
        <w:t xml:space="preserve"> </w:t>
      </w:r>
      <w:r w:rsidR="0090191C" w:rsidRPr="0090191C">
        <w:rPr>
          <w:bCs/>
        </w:rPr>
        <w:t>18</w:t>
      </w:r>
      <w:r w:rsidR="000875CA" w:rsidRPr="0090191C">
        <w:rPr>
          <w:bCs/>
        </w:rPr>
        <w:t xml:space="preserve"> June 2021</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5"/>
          <w:footerReference w:type="default" r:id="rId16"/>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rdtext"/>
        <w:jc w:val="center"/>
      </w:pPr>
    </w:p>
    <w:p w14:paraId="683539B6" w14:textId="77777777" w:rsidR="00AD40AE" w:rsidRDefault="00AD40AE" w:rsidP="00AD40AE">
      <w:pPr>
        <w:pStyle w:val="Brdtext"/>
        <w:jc w:val="center"/>
      </w:pPr>
    </w:p>
    <w:p w14:paraId="683539B7" w14:textId="183D0041" w:rsidR="007A39FF" w:rsidRDefault="007A39FF" w:rsidP="007A39FF">
      <w:pPr>
        <w:pStyle w:val="Brdtext"/>
      </w:pPr>
    </w:p>
    <w:p w14:paraId="683539BC" w14:textId="451BBF13" w:rsidR="007A39FF" w:rsidRDefault="001C1F13" w:rsidP="007A39FF">
      <w:pPr>
        <w:pStyle w:val="Brdtext"/>
        <w:jc w:val="both"/>
      </w:pPr>
      <w:r w:rsidRPr="001C1F13">
        <w:t xml:space="preserve">The author does not accept any liability </w:t>
      </w:r>
      <w:proofErr w:type="gramStart"/>
      <w:r w:rsidRPr="001C1F13">
        <w:t>with regard to</w:t>
      </w:r>
      <w:proofErr w:type="gramEnd"/>
      <w:r w:rsidRPr="001C1F13">
        <w:t xml:space="preserve">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w:t>
      </w:r>
      <w:proofErr w:type="gramStart"/>
      <w:r w:rsidRPr="001C1F13">
        <w:t>on the basis of</w:t>
      </w:r>
      <w:proofErr w:type="gramEnd"/>
      <w:r w:rsidRPr="001C1F13">
        <w:t xml:space="preserve"> available information and may change in light of newly available information or further assessment.</w:t>
      </w:r>
    </w:p>
    <w:p w14:paraId="683539BD" w14:textId="77777777" w:rsidR="007A39FF" w:rsidRPr="00270FFE" w:rsidRDefault="007A39FF" w:rsidP="007A39FF">
      <w:pPr>
        <w:pStyle w:val="Brdtext"/>
        <w:jc w:val="both"/>
        <w:sectPr w:rsidR="007A39FF" w:rsidRPr="00270FFE">
          <w:footerReference w:type="default" r:id="rId17"/>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Rubrik1"/>
        <w:rPr>
          <w:color w:val="4F81BD"/>
        </w:rPr>
      </w:pPr>
      <w:r w:rsidRPr="002E4026">
        <w:rPr>
          <w:color w:val="4F81BD"/>
        </w:rPr>
        <w:lastRenderedPageBreak/>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 xml:space="preserve">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w:t>
      </w:r>
      <w:proofErr w:type="gramStart"/>
      <w:r>
        <w:t>in order to</w:t>
      </w:r>
      <w:proofErr w:type="gramEnd"/>
      <w:r>
        <w:t xml:space="preserve"> conclude whether a substance is a 'relevant substance of very high concern (SVHC)' in the sense of the SVHC Roadmap to 2020</w:t>
      </w:r>
      <w:r>
        <w:rPr>
          <w:rStyle w:val="Fotnotsreferens"/>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w:t>
      </w:r>
      <w:proofErr w:type="gramStart"/>
      <w:r>
        <w:t>e.g.</w:t>
      </w:r>
      <w:proofErr w:type="gramEnd"/>
      <w:r>
        <w:t xml:space="preserve"> harmonised classification and labelling, Candidate List inclusion, restriction, other EU legislation) or that no regulatory action is required at EU level. Any subsequent regulatory processes under the REACH Regulation include consultation of interested parties and appropriate </w:t>
      </w:r>
      <w:proofErr w:type="gramStart"/>
      <w:r>
        <w:t>decision making</w:t>
      </w:r>
      <w:proofErr w:type="gramEnd"/>
      <w:r>
        <w:t xml:space="preserve">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 xml:space="preserve">to conclude whether regulatory risk management activities are required for a </w:t>
      </w:r>
      <w:proofErr w:type="gramStart"/>
      <w:r>
        <w:t>substance</w:t>
      </w:r>
      <w:proofErr w:type="gramEnd"/>
      <w:r>
        <w:t xml:space="preserv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Rubrik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683539C9" w14:textId="77777777" w:rsidR="00BE5AF4" w:rsidRDefault="00BE5AF4" w:rsidP="00FB30A3">
      <w:pPr>
        <w:pStyle w:val="Brdtext"/>
        <w:rPr>
          <w:i/>
        </w:rPr>
      </w:pPr>
      <w:r w:rsidRPr="00975612">
        <w:rPr>
          <w:i/>
        </w:rPr>
        <w:t xml:space="preserve">Please </w:t>
      </w:r>
      <w:r>
        <w:rPr>
          <w:i/>
        </w:rPr>
        <w:t>provide a brief overview of completed/ongoing processes (including RMOA)</w:t>
      </w:r>
      <w:r w:rsidR="003E7258">
        <w:rPr>
          <w:i/>
        </w:rPr>
        <w:t xml:space="preserve"> and EU legislation relevant for</w:t>
      </w:r>
      <w:r w:rsidR="0080484C">
        <w:rPr>
          <w:i/>
        </w:rPr>
        <w:t xml:space="preserve"> the substance</w:t>
      </w:r>
      <w:r w:rsidR="005F45D1">
        <w:rPr>
          <w:i/>
        </w:rPr>
        <w:t>.</w:t>
      </w:r>
    </w:p>
    <w:p w14:paraId="683539CB" w14:textId="79975EE3" w:rsidR="00E86372" w:rsidRDefault="00E86372">
      <w:pPr>
        <w:widowControl/>
        <w:spacing w:after="200" w:line="276" w:lineRule="auto"/>
        <w:rPr>
          <w:rFonts w:cs="Arial"/>
          <w:b/>
          <w:bCs/>
          <w:snapToGrid/>
          <w:color w:val="4F81BD" w:themeColor="accent1"/>
          <w:sz w:val="28"/>
          <w:szCs w:val="28"/>
        </w:rPr>
      </w:pPr>
    </w:p>
    <w:p w14:paraId="683539CC" w14:textId="77777777" w:rsidR="00BE5AF4" w:rsidRPr="000711F7" w:rsidRDefault="00BE5AF4" w:rsidP="00BE5AF4">
      <w:pPr>
        <w:pStyle w:val="Rubrik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 xml:space="preserve">This conclusion is based on the REACH and CLP data as well as other available relevant information </w:t>
      </w:r>
      <w:proofErr w:type="gramStart"/>
      <w:r w:rsidRPr="00D53A3D">
        <w:t>taking into account</w:t>
      </w:r>
      <w:proofErr w:type="gramEnd"/>
      <w:r w:rsidRPr="00D53A3D">
        <w:t xml:space="preserve"> the SVHC Roadmap to 2020, where appropriate.</w:t>
      </w:r>
    </w:p>
    <w:p w14:paraId="683539D0" w14:textId="77777777" w:rsidR="00BE5AF4" w:rsidRDefault="00BE5AF4" w:rsidP="00BE5AF4">
      <w:pPr>
        <w:pStyle w:val="Br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48EA1E9B" w:rsidR="00B2524D" w:rsidRPr="00B2524D" w:rsidRDefault="000875CA" w:rsidP="000875CA">
            <w:pPr>
              <w:jc w:val="center"/>
            </w:pPr>
            <w:r>
              <w:t>x</w:t>
            </w:r>
          </w:p>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77777777" w:rsidR="00B2524D" w:rsidRPr="00B2524D" w:rsidRDefault="00B2524D" w:rsidP="00B2524D">
            <w:pPr>
              <w:jc w:val="center"/>
            </w:pP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00C9C873"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36A308FB" w:rsidR="00B2524D" w:rsidRPr="00B2524D" w:rsidRDefault="00B97DA0" w:rsidP="00B2524D">
            <w:pPr>
              <w:spacing w:line="276" w:lineRule="auto"/>
              <w:jc w:val="center"/>
            </w:pPr>
            <w:r>
              <w:t>x (CCH)</w:t>
            </w: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9E9" w14:textId="77777777" w:rsidR="00B2524D" w:rsidRDefault="00B2524D" w:rsidP="00BE5AF4">
      <w:pPr>
        <w:pStyle w:val="Brdtext"/>
      </w:pPr>
    </w:p>
    <w:p w14:paraId="68353A01" w14:textId="77777777" w:rsidR="00A446BC" w:rsidRDefault="00A446BC" w:rsidP="00471457"/>
    <w:p w14:paraId="68353A02" w14:textId="77777777" w:rsidR="00A446BC" w:rsidRPr="006E3CBA" w:rsidRDefault="00A446BC" w:rsidP="00471457"/>
    <w:p w14:paraId="68353A08" w14:textId="13315A49" w:rsidR="003C3793" w:rsidRPr="000875CA" w:rsidRDefault="00AF77F1" w:rsidP="00471457">
      <w:pPr>
        <w:pStyle w:val="Rubrik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68353A09" w14:textId="7A5D573D" w:rsidR="00AF77F1" w:rsidRPr="00784A7F" w:rsidRDefault="004F6831" w:rsidP="004F6831">
      <w:pPr>
        <w:pStyle w:val="Rubrik3"/>
        <w:widowControl/>
        <w:numPr>
          <w:ilvl w:val="1"/>
          <w:numId w:val="6"/>
        </w:numPr>
        <w:spacing w:before="200" w:after="0" w:line="276" w:lineRule="auto"/>
        <w:rPr>
          <w:color w:val="365F91" w:themeColor="accent1" w:themeShade="BF"/>
          <w:sz w:val="24"/>
          <w:szCs w:val="24"/>
        </w:rPr>
      </w:pPr>
      <w:r w:rsidRPr="004F6831">
        <w:rPr>
          <w:color w:val="365F91" w:themeColor="accent1" w:themeShade="BF"/>
          <w:sz w:val="24"/>
          <w:szCs w:val="24"/>
        </w:rPr>
        <w:t>Harmonised classification and labelling</w:t>
      </w:r>
    </w:p>
    <w:p w14:paraId="68353A0A" w14:textId="77777777" w:rsidR="00AF77F1" w:rsidRPr="003C3793" w:rsidRDefault="00AF77F1" w:rsidP="00471457">
      <w:pPr>
        <w:pStyle w:val="Brdtext"/>
      </w:pPr>
    </w:p>
    <w:p w14:paraId="3EFE7210" w14:textId="3FEEB651" w:rsidR="00011ABB" w:rsidRDefault="00011ABB" w:rsidP="00011ABB">
      <w:pPr>
        <w:pStyle w:val="Brdtext"/>
      </w:pPr>
      <w:bookmarkStart w:id="1" w:name="_Toc357683635"/>
      <w:bookmarkStart w:id="2" w:name="_Toc357683639"/>
      <w:bookmarkEnd w:id="1"/>
      <w:r>
        <w:t xml:space="preserve">Currently, </w:t>
      </w:r>
      <w:bookmarkStart w:id="3" w:name="_Hlk65740685"/>
      <w:r>
        <w:t xml:space="preserve">C.I. Reactive Orange 35 </w:t>
      </w:r>
      <w:bookmarkEnd w:id="3"/>
      <w:r w:rsidR="00FB27AC">
        <w:t>is</w:t>
      </w:r>
      <w:r>
        <w:t xml:space="preserve"> self</w:t>
      </w:r>
      <w:r w:rsidR="00FB27AC">
        <w:t xml:space="preserve">-classified </w:t>
      </w:r>
      <w:r>
        <w:t xml:space="preserve">as </w:t>
      </w:r>
      <w:r w:rsidRPr="00AD1FF7">
        <w:t>Skin Sens. 1A (H317)</w:t>
      </w:r>
      <w:r>
        <w:t xml:space="preserve"> and </w:t>
      </w:r>
      <w:bookmarkStart w:id="4" w:name="_Hlk72333617"/>
      <w:r w:rsidRPr="00AD1FF7">
        <w:t>STOT RE 2; H373 (blood, oral)</w:t>
      </w:r>
      <w:r>
        <w:t xml:space="preserve"> </w:t>
      </w:r>
      <w:bookmarkEnd w:id="4"/>
      <w:r>
        <w:t xml:space="preserve">by the lead registrant. The SE CA </w:t>
      </w:r>
      <w:r>
        <w:rPr>
          <w:lang w:eastAsia="en-GB"/>
        </w:rPr>
        <w:t>agree</w:t>
      </w:r>
      <w:r w:rsidR="00B346A8">
        <w:rPr>
          <w:lang w:eastAsia="en-GB"/>
        </w:rPr>
        <w:t>s</w:t>
      </w:r>
      <w:r>
        <w:rPr>
          <w:lang w:eastAsia="en-GB"/>
        </w:rPr>
        <w:t xml:space="preserve"> with the lead registrant that </w:t>
      </w:r>
      <w:r w:rsidRPr="00A30433">
        <w:rPr>
          <w:lang w:eastAsia="en-GB"/>
        </w:rPr>
        <w:t xml:space="preserve">C.I. Reactive </w:t>
      </w:r>
      <w:r>
        <w:rPr>
          <w:lang w:eastAsia="en-GB"/>
        </w:rPr>
        <w:t>Orange 35</w:t>
      </w:r>
      <w:r w:rsidRPr="00A30433">
        <w:rPr>
          <w:lang w:eastAsia="en-GB"/>
        </w:rPr>
        <w:t xml:space="preserve"> </w:t>
      </w:r>
      <w:r>
        <w:rPr>
          <w:lang w:eastAsia="en-GB"/>
        </w:rPr>
        <w:t xml:space="preserve">fulfils the criteria for classification as Skin </w:t>
      </w:r>
      <w:r w:rsidR="00FB27AC">
        <w:rPr>
          <w:lang w:eastAsia="en-GB"/>
        </w:rPr>
        <w:t>S</w:t>
      </w:r>
      <w:r>
        <w:rPr>
          <w:lang w:eastAsia="en-GB"/>
        </w:rPr>
        <w:t xml:space="preserve">ens. 1A; H317. </w:t>
      </w:r>
      <w:r>
        <w:t>A</w:t>
      </w:r>
      <w:r w:rsidRPr="00875BE2">
        <w:t xml:space="preserve">mong the </w:t>
      </w:r>
      <w:r>
        <w:t>notified</w:t>
      </w:r>
      <w:r w:rsidRPr="00875BE2">
        <w:t xml:space="preserve"> </w:t>
      </w:r>
      <w:r w:rsidRPr="00875BE2">
        <w:t>self</w:t>
      </w:r>
      <w:r w:rsidR="00FB27AC">
        <w:t>-</w:t>
      </w:r>
      <w:r w:rsidRPr="00875BE2">
        <w:t>classifications in the C&amp;L Inventory</w:t>
      </w:r>
      <w:r>
        <w:t xml:space="preserve">, the hazard category for skin sensitisation is </w:t>
      </w:r>
      <w:r w:rsidR="00FB27AC">
        <w:t>diverging</w:t>
      </w:r>
      <w:r w:rsidR="0005195E">
        <w:t xml:space="preserve">. </w:t>
      </w:r>
      <w:bookmarkStart w:id="5" w:name="_Hlk74826150"/>
      <w:r w:rsidR="0005195E">
        <w:t xml:space="preserve">The </w:t>
      </w:r>
      <w:r w:rsidR="001754AB">
        <w:t>incorrect self-classification by several</w:t>
      </w:r>
      <w:r w:rsidR="0005195E">
        <w:t xml:space="preserve"> notifiers </w:t>
      </w:r>
      <w:r w:rsidR="001754AB">
        <w:t>(</w:t>
      </w:r>
      <w:r w:rsidR="00DA0923">
        <w:t>i.e.,</w:t>
      </w:r>
      <w:r w:rsidR="001754AB">
        <w:t xml:space="preserve"> Skin Sens. 1, Skin Sens. 1B or no classification for skin sensitisation)</w:t>
      </w:r>
      <w:r>
        <w:t xml:space="preserve"> justifies the need for harmonised classification and labelling </w:t>
      </w:r>
      <w:r>
        <w:t xml:space="preserve">at Community level. </w:t>
      </w:r>
      <w:bookmarkEnd w:id="5"/>
      <w:r w:rsidRPr="00011ABB">
        <w:t xml:space="preserve">The </w:t>
      </w:r>
      <w:r>
        <w:t>self</w:t>
      </w:r>
      <w:r w:rsidR="00FB27AC">
        <w:t>-</w:t>
      </w:r>
      <w:r w:rsidRPr="00011ABB">
        <w:t xml:space="preserve">classification for STOT RE 2; H373 (blood, oral) is based on </w:t>
      </w:r>
      <w:proofErr w:type="gramStart"/>
      <w:r w:rsidRPr="00011ABB">
        <w:t>read-across</w:t>
      </w:r>
      <w:proofErr w:type="gramEnd"/>
      <w:r w:rsidRPr="00011ABB">
        <w:t xml:space="preserve"> from C.I. Reactive Black 39 lithium sodium salt. Depending on the outcome of the CCH, the need for further RRM such as CLH should be revisited.</w:t>
      </w:r>
    </w:p>
    <w:p w14:paraId="426AB62A" w14:textId="77777777" w:rsidR="00011ABB" w:rsidRDefault="00011ABB" w:rsidP="00011ABB">
      <w:pPr>
        <w:pStyle w:val="Brdtext"/>
      </w:pPr>
      <w:r w:rsidRPr="00B078CF">
        <w:t xml:space="preserve">Harmonisation of the classification of a substance could significantly contribute to reducing the risk to </w:t>
      </w:r>
      <w:r>
        <w:t>professionals</w:t>
      </w:r>
      <w:r w:rsidRPr="00B078CF">
        <w:t>, as mandatory labelling of products and mixtures containing the substance at a concentration at or above the classification limit would help raise the awareness of companies and workers to the hazard</w:t>
      </w:r>
      <w:r>
        <w:t>s</w:t>
      </w:r>
      <w:r w:rsidRPr="00B078CF">
        <w:t>.</w:t>
      </w:r>
    </w:p>
    <w:p w14:paraId="12DB47BF" w14:textId="2E3BC5C6" w:rsidR="00011ABB" w:rsidRDefault="00011ABB" w:rsidP="00011ABB">
      <w:pPr>
        <w:pStyle w:val="Brdtext"/>
      </w:pPr>
      <w:r>
        <w:rPr>
          <w:iCs/>
        </w:rPr>
        <w:t xml:space="preserve">For consumers, the correct sub-categorisation and concentration limit is also important to trigger the relevant labelling. </w:t>
      </w:r>
      <w:r>
        <w:t xml:space="preserve">In case C.I. Reactive Orange 35 will have a harmonised classification as </w:t>
      </w:r>
      <w:r w:rsidR="0060463A">
        <w:t>S</w:t>
      </w:r>
      <w:r>
        <w:t xml:space="preserve">kin </w:t>
      </w:r>
      <w:r w:rsidR="0060463A">
        <w:t>S</w:t>
      </w:r>
      <w:r>
        <w:t xml:space="preserve">ens. 1/1A/1B, it would </w:t>
      </w:r>
      <w:r w:rsidR="00FB27AC">
        <w:t xml:space="preserve">also </w:t>
      </w:r>
      <w:r>
        <w:t>fall under the ongoing restriction on sensitisers in textile if the restriction will be adopted according to the current proposal</w:t>
      </w:r>
      <w:r>
        <w:rPr>
          <w:rStyle w:val="Fotnotsreferens"/>
        </w:rPr>
        <w:footnoteReference w:id="2"/>
      </w:r>
      <w:r>
        <w:t>.</w:t>
      </w:r>
      <w:r w:rsidRPr="00791DFB">
        <w:t xml:space="preserve"> </w:t>
      </w:r>
      <w:bookmarkStart w:id="6" w:name="_Hlk74762708"/>
      <w:r w:rsidR="002778DD" w:rsidRPr="002778DD">
        <w:t xml:space="preserve"> </w:t>
      </w:r>
      <w:r w:rsidR="0090191C">
        <w:t>Overall, t</w:t>
      </w:r>
      <w:r w:rsidR="002778DD">
        <w:t xml:space="preserve">his could have an important impact on consumer safety. </w:t>
      </w:r>
      <w:r w:rsidR="00D95C36" w:rsidDel="00D95C36">
        <w:t xml:space="preserve"> </w:t>
      </w:r>
      <w:bookmarkEnd w:id="6"/>
    </w:p>
    <w:p w14:paraId="015C1FBD" w14:textId="70720044" w:rsidR="00011ABB" w:rsidRPr="00B04F96" w:rsidRDefault="00011ABB" w:rsidP="00011ABB">
      <w:pPr>
        <w:pStyle w:val="Brdtext"/>
        <w:rPr>
          <w:iCs/>
        </w:rPr>
      </w:pPr>
      <w:r>
        <w:rPr>
          <w:lang w:eastAsia="en-GB"/>
        </w:rPr>
        <w:lastRenderedPageBreak/>
        <w:t xml:space="preserve">Due to the lack of data on other endpoints (genotoxicity, </w:t>
      </w:r>
      <w:r w:rsidRPr="004E1707">
        <w:t>repeated dose toxicity</w:t>
      </w:r>
      <w:r>
        <w:rPr>
          <w:lang w:eastAsia="en-GB"/>
        </w:rPr>
        <w:t xml:space="preserve"> and reproductive toxicity), a possible further need for harmonised classification could be envisaged based on the outcome of the </w:t>
      </w:r>
      <w:r w:rsidRPr="00036C62">
        <w:t>compliance check</w:t>
      </w:r>
      <w:r>
        <w:rPr>
          <w:lang w:eastAsia="en-GB"/>
        </w:rPr>
        <w:t>. This RMOA should therefore be revisited once such data has become available.</w:t>
      </w:r>
    </w:p>
    <w:p w14:paraId="68353A26" w14:textId="77777777" w:rsidR="004F6831" w:rsidRDefault="004F6831" w:rsidP="004F6831">
      <w:pPr>
        <w:pStyle w:val="Brdtext"/>
      </w:pPr>
    </w:p>
    <w:p w14:paraId="68353A28" w14:textId="007B515A" w:rsidR="004F6831" w:rsidRPr="00B73E45" w:rsidRDefault="00B73E45" w:rsidP="00B73E45">
      <w:pPr>
        <w:pStyle w:val="Rubrik3"/>
        <w:numPr>
          <w:ilvl w:val="0"/>
          <w:numId w:val="6"/>
        </w:numPr>
        <w:rPr>
          <w:caps/>
          <w:color w:val="4F81BD" w:themeColor="accent1"/>
          <w:sz w:val="24"/>
          <w:szCs w:val="28"/>
        </w:rPr>
      </w:pPr>
      <w:r w:rsidRPr="00B73E45">
        <w:rPr>
          <w:caps/>
          <w:color w:val="4F81BD" w:themeColor="accent1"/>
          <w:sz w:val="24"/>
          <w:szCs w:val="28"/>
        </w:rPr>
        <w:t xml:space="preserve">Need for action other than EU regulatory </w:t>
      </w:r>
      <w:proofErr w:type="gramStart"/>
      <w:r w:rsidRPr="00B73E45">
        <w:rPr>
          <w:caps/>
          <w:color w:val="4F81BD" w:themeColor="accent1"/>
          <w:sz w:val="24"/>
          <w:szCs w:val="28"/>
        </w:rPr>
        <w:t>action</w:t>
      </w:r>
      <w:proofErr w:type="gramEnd"/>
    </w:p>
    <w:p w14:paraId="15ECA32B" w14:textId="4AD68D39" w:rsidR="00B73E45" w:rsidRPr="00B73E45" w:rsidRDefault="00B73E45" w:rsidP="00B73E45">
      <w:pPr>
        <w:pStyle w:val="Rubrik3"/>
        <w:widowControl/>
        <w:numPr>
          <w:ilvl w:val="1"/>
          <w:numId w:val="6"/>
        </w:numPr>
        <w:spacing w:before="200" w:after="0" w:line="276" w:lineRule="auto"/>
        <w:rPr>
          <w:color w:val="365F91" w:themeColor="accent1" w:themeShade="BF"/>
          <w:sz w:val="24"/>
          <w:szCs w:val="24"/>
        </w:rPr>
      </w:pPr>
      <w:r w:rsidRPr="00B73E45">
        <w:rPr>
          <w:color w:val="365F91" w:themeColor="accent1" w:themeShade="BF"/>
          <w:sz w:val="24"/>
          <w:szCs w:val="24"/>
        </w:rPr>
        <w:t>Compliance check</w:t>
      </w:r>
      <w:r>
        <w:rPr>
          <w:color w:val="365F91" w:themeColor="accent1" w:themeShade="BF"/>
          <w:sz w:val="24"/>
          <w:szCs w:val="24"/>
        </w:rPr>
        <w:t xml:space="preserve"> (CCH)</w:t>
      </w:r>
    </w:p>
    <w:bookmarkEnd w:id="2"/>
    <w:p w14:paraId="68353A2E" w14:textId="18FF10B1" w:rsidR="00A446BC" w:rsidRPr="00011ABB" w:rsidRDefault="00011ABB" w:rsidP="00471457">
      <w:pPr>
        <w:jc w:val="both"/>
      </w:pPr>
      <w:r w:rsidRPr="00036C62">
        <w:t xml:space="preserve">Based on the available information, </w:t>
      </w:r>
      <w:r>
        <w:t>the SE CA conclusion is that</w:t>
      </w:r>
      <w:r w:rsidRPr="00036C62">
        <w:t xml:space="preserve"> </w:t>
      </w:r>
      <w:r w:rsidR="0060463A">
        <w:t xml:space="preserve">the read-across justification does not fulfil the requirements of Annex XI of REACH. Hence, </w:t>
      </w:r>
      <w:r w:rsidRPr="00036C62">
        <w:t xml:space="preserve">compliance check </w:t>
      </w:r>
      <w:r>
        <w:t>to evaluate the read-across applied by the registrants</w:t>
      </w:r>
      <w:r w:rsidRPr="00036C62">
        <w:t xml:space="preserve"> </w:t>
      </w:r>
      <w:r>
        <w:t>for acute dermal toxicity</w:t>
      </w:r>
      <w:r w:rsidRPr="004E1707">
        <w:t xml:space="preserve">, repeated dose toxicity, </w:t>
      </w:r>
      <w:r>
        <w:t>m</w:t>
      </w:r>
      <w:r w:rsidRPr="00C1045B">
        <w:t>utagenicity in mammalian cells</w:t>
      </w:r>
      <w:r w:rsidRPr="004E1707">
        <w:t xml:space="preserve">, reproductive toxicity, </w:t>
      </w:r>
      <w:proofErr w:type="gramStart"/>
      <w:r w:rsidRPr="004E1707">
        <w:rPr>
          <w:lang w:eastAsia="en-GB"/>
        </w:rPr>
        <w:t>hydrolysis</w:t>
      </w:r>
      <w:proofErr w:type="gramEnd"/>
      <w:r w:rsidRPr="004E1707">
        <w:rPr>
          <w:lang w:eastAsia="en-GB"/>
        </w:rPr>
        <w:t xml:space="preserve"> and adsorption </w:t>
      </w:r>
      <w:r>
        <w:t>is</w:t>
      </w:r>
      <w:r w:rsidRPr="00036C62">
        <w:t xml:space="preserve"> warranted. </w:t>
      </w:r>
    </w:p>
    <w:p w14:paraId="066003D9" w14:textId="77777777" w:rsidR="00492518" w:rsidRPr="00492518" w:rsidRDefault="00492518" w:rsidP="00492518">
      <w:pPr>
        <w:widowControl/>
        <w:spacing w:after="200"/>
        <w:contextualSpacing/>
      </w:pPr>
    </w:p>
    <w:p w14:paraId="68353A3C" w14:textId="3E86C7AC" w:rsidR="00DB0024" w:rsidRPr="00270FFE" w:rsidRDefault="006617E0" w:rsidP="00270FFE">
      <w:pPr>
        <w:pStyle w:val="Rubrik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3E" w14:textId="77777777" w:rsidR="00024D48" w:rsidRPr="00975612" w:rsidRDefault="00024D48" w:rsidP="00471457">
      <w:pPr>
        <w:jc w:val="both"/>
        <w:rPr>
          <w:i/>
        </w:rPr>
      </w:pP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4" w14:textId="77777777" w:rsidTr="00A2050D">
        <w:trPr>
          <w:trHeight w:val="624"/>
        </w:trPr>
        <w:tc>
          <w:tcPr>
            <w:tcW w:w="2808" w:type="dxa"/>
            <w:shd w:val="clear" w:color="auto" w:fill="auto"/>
          </w:tcPr>
          <w:p w14:paraId="68353A51" w14:textId="055595C4" w:rsidR="00A14C19" w:rsidRPr="003016DF" w:rsidRDefault="000875CA" w:rsidP="00A2050D">
            <w:pPr>
              <w:spacing w:after="120"/>
            </w:pPr>
            <w:r w:rsidRPr="00166209">
              <w:t>CLP Annex VI dossier</w:t>
            </w:r>
          </w:p>
        </w:tc>
        <w:tc>
          <w:tcPr>
            <w:tcW w:w="2520" w:type="dxa"/>
            <w:shd w:val="clear" w:color="auto" w:fill="auto"/>
          </w:tcPr>
          <w:p w14:paraId="68353A52" w14:textId="1D2B6F51" w:rsidR="00A14C19" w:rsidRPr="003016DF" w:rsidRDefault="000875CA" w:rsidP="00A2050D">
            <w:r>
              <w:t>June</w:t>
            </w:r>
            <w:r w:rsidR="00A14C19" w:rsidRPr="003016DF">
              <w:t xml:space="preserve"> / </w:t>
            </w:r>
            <w:r>
              <w:t>2022</w:t>
            </w:r>
            <w:r w:rsidR="00A14C19" w:rsidRPr="003016DF">
              <w:t xml:space="preserve"> </w:t>
            </w:r>
          </w:p>
        </w:tc>
        <w:tc>
          <w:tcPr>
            <w:tcW w:w="3780" w:type="dxa"/>
            <w:shd w:val="clear" w:color="auto" w:fill="auto"/>
          </w:tcPr>
          <w:p w14:paraId="68353A53" w14:textId="4568D25D" w:rsidR="00A14C19" w:rsidRPr="003016DF" w:rsidRDefault="000875CA" w:rsidP="00A2050D">
            <w:r>
              <w:t>Sweden</w:t>
            </w:r>
          </w:p>
        </w:tc>
      </w:tr>
      <w:tr w:rsidR="00A14C19" w:rsidRPr="003016DF" w14:paraId="68353A58" w14:textId="77777777" w:rsidTr="00A2050D">
        <w:trPr>
          <w:trHeight w:val="624"/>
        </w:trPr>
        <w:tc>
          <w:tcPr>
            <w:tcW w:w="2808" w:type="dxa"/>
            <w:shd w:val="clear" w:color="auto" w:fill="auto"/>
          </w:tcPr>
          <w:p w14:paraId="68353A55" w14:textId="65E350CA" w:rsidR="00A14C19" w:rsidRPr="003016DF" w:rsidRDefault="000875CA" w:rsidP="00A2050D">
            <w:r>
              <w:t>Compliance check</w:t>
            </w:r>
          </w:p>
        </w:tc>
        <w:tc>
          <w:tcPr>
            <w:tcW w:w="2520" w:type="dxa"/>
            <w:shd w:val="clear" w:color="auto" w:fill="auto"/>
          </w:tcPr>
          <w:p w14:paraId="68353A56" w14:textId="0C48FF30" w:rsidR="00A14C19" w:rsidRPr="003016DF" w:rsidRDefault="00A14C19" w:rsidP="00A2050D"/>
        </w:tc>
        <w:tc>
          <w:tcPr>
            <w:tcW w:w="3780" w:type="dxa"/>
            <w:shd w:val="clear" w:color="auto" w:fill="auto"/>
          </w:tcPr>
          <w:p w14:paraId="68353A57" w14:textId="69225BBC" w:rsidR="00A14C19" w:rsidRPr="003016DF" w:rsidRDefault="000875CA" w:rsidP="00A2050D">
            <w:r>
              <w:t>ECHA</w:t>
            </w:r>
          </w:p>
        </w:tc>
      </w:tr>
    </w:tbl>
    <w:p w14:paraId="68353A59" w14:textId="77777777" w:rsidR="00997177" w:rsidRDefault="0071291D"/>
    <w:sectPr w:rsidR="0099717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3" w14:textId="77777777" w:rsidR="007A39FF" w:rsidRPr="00926DC2" w:rsidRDefault="007A39FF" w:rsidP="007A39FF">
    <w:pPr>
      <w:pStyle w:val="Sidfot"/>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Sidfot"/>
      <w:rPr>
        <w:sz w:val="18"/>
        <w:szCs w:val="18"/>
      </w:rPr>
    </w:pPr>
    <w:r>
      <w:rPr>
        <w:sz w:val="18"/>
        <w:szCs w:val="18"/>
      </w:rPr>
      <w:t>October</w:t>
    </w:r>
    <w:r w:rsidR="007A39FF">
      <w:rPr>
        <w:sz w:val="18"/>
        <w:szCs w:val="18"/>
      </w:rPr>
      <w:t xml:space="preserve"> 2015</w:t>
    </w:r>
  </w:p>
  <w:p w14:paraId="68353A67" w14:textId="77777777" w:rsidR="002E4026" w:rsidRDefault="002E40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8" w14:textId="0F493EA3" w:rsidR="002E4026" w:rsidRPr="00B66083" w:rsidRDefault="00E86372" w:rsidP="002E4026">
    <w:pPr>
      <w:pStyle w:val="Sidfot"/>
      <w:jc w:val="center"/>
    </w:pPr>
    <w:r w:rsidRPr="009A61C8">
      <w:rPr>
        <w:sz w:val="18"/>
        <w:szCs w:val="18"/>
      </w:rPr>
      <w:t xml:space="preserve">EC no </w:t>
    </w:r>
    <w:r w:rsidR="000875CA">
      <w:rPr>
        <w:sz w:val="18"/>
        <w:szCs w:val="18"/>
      </w:rPr>
      <w:t>274</w:t>
    </w:r>
    <w:r w:rsidRPr="009A61C8">
      <w:rPr>
        <w:sz w:val="18"/>
        <w:szCs w:val="18"/>
      </w:rPr>
      <w:t>-</w:t>
    </w:r>
    <w:r w:rsidR="000875CA">
      <w:rPr>
        <w:sz w:val="18"/>
        <w:szCs w:val="18"/>
      </w:rPr>
      <w:t>410</w:t>
    </w:r>
    <w:r w:rsidRPr="009A61C8">
      <w:rPr>
        <w:sz w:val="18"/>
        <w:szCs w:val="18"/>
      </w:rPr>
      <w:t>-</w:t>
    </w:r>
    <w:r w:rsidR="000875CA">
      <w:rPr>
        <w:sz w:val="18"/>
        <w:szCs w:val="18"/>
      </w:rPr>
      <w:t>5</w:t>
    </w:r>
    <w:r w:rsidRPr="009A61C8">
      <w:rPr>
        <w:sz w:val="18"/>
        <w:szCs w:val="18"/>
      </w:rPr>
      <w:tab/>
      <w:t xml:space="preserve">MSCA - </w:t>
    </w:r>
    <w:r w:rsidR="000875CA">
      <w:rPr>
        <w:sz w:val="18"/>
        <w:szCs w:val="18"/>
      </w:rPr>
      <w:t>Sweden</w:t>
    </w:r>
    <w:r>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862992">
      <w:rPr>
        <w:noProof/>
        <w:sz w:val="18"/>
        <w:szCs w:val="18"/>
      </w:rPr>
      <w:t>2</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862992">
      <w:rPr>
        <w:noProof/>
        <w:sz w:val="18"/>
        <w:szCs w:val="18"/>
      </w:rPr>
      <w:t>6</w:t>
    </w:r>
    <w:r w:rsidR="002E4026" w:rsidRPr="009320DD">
      <w:rPr>
        <w:sz w:val="18"/>
        <w:szCs w:val="18"/>
      </w:rPr>
      <w:fldChar w:fldCharType="end"/>
    </w:r>
  </w:p>
  <w:p w14:paraId="68353A69" w14:textId="77777777" w:rsidR="002E4026" w:rsidRDefault="002E402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A" w14:textId="36D5F378" w:rsidR="00C0335E" w:rsidRPr="00B66083" w:rsidRDefault="00E86372" w:rsidP="00B66083">
    <w:pPr>
      <w:pStyle w:val="Sidfot"/>
      <w:jc w:val="center"/>
    </w:pPr>
    <w:r w:rsidRPr="009A61C8">
      <w:rPr>
        <w:sz w:val="18"/>
        <w:szCs w:val="18"/>
      </w:rPr>
      <w:t xml:space="preserve">EC no </w:t>
    </w:r>
    <w:r w:rsidR="000875CA">
      <w:rPr>
        <w:sz w:val="18"/>
        <w:szCs w:val="18"/>
      </w:rPr>
      <w:t>274</w:t>
    </w:r>
    <w:r w:rsidRPr="009A61C8">
      <w:rPr>
        <w:sz w:val="18"/>
        <w:szCs w:val="18"/>
      </w:rPr>
      <w:t>-</w:t>
    </w:r>
    <w:r w:rsidR="000875CA">
      <w:rPr>
        <w:sz w:val="18"/>
        <w:szCs w:val="18"/>
      </w:rPr>
      <w:t>410</w:t>
    </w:r>
    <w:r w:rsidRPr="009A61C8">
      <w:rPr>
        <w:sz w:val="18"/>
        <w:szCs w:val="18"/>
      </w:rPr>
      <w:t>-</w:t>
    </w:r>
    <w:r w:rsidR="000875CA">
      <w:rPr>
        <w:sz w:val="18"/>
        <w:szCs w:val="18"/>
      </w:rPr>
      <w:t>5</w:t>
    </w:r>
    <w:r w:rsidRPr="009A61C8">
      <w:rPr>
        <w:sz w:val="18"/>
        <w:szCs w:val="18"/>
      </w:rPr>
      <w:tab/>
      <w:t xml:space="preserve">MSCA - </w:t>
    </w:r>
    <w:r w:rsidR="000875CA">
      <w:rPr>
        <w:sz w:val="18"/>
        <w:szCs w:val="18"/>
      </w:rPr>
      <w:t>Sweden</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862992">
      <w:rPr>
        <w:noProof/>
        <w:sz w:val="18"/>
        <w:szCs w:val="18"/>
      </w:rPr>
      <w:t>6</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862992">
      <w:rPr>
        <w:noProof/>
        <w:sz w:val="18"/>
        <w:szCs w:val="18"/>
      </w:rPr>
      <w:t>6</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tnotstext"/>
      </w:pPr>
      <w:r>
        <w:rPr>
          <w:rStyle w:val="Fotnotsreferens"/>
        </w:rPr>
        <w:footnoteRef/>
      </w:r>
      <w:r>
        <w:t xml:space="preserve"> For more information on the SVHC Roadmap: </w:t>
      </w:r>
      <w:hyperlink r:id="rId1" w:history="1">
        <w:r w:rsidR="00A03E87" w:rsidRPr="0022686E">
          <w:rPr>
            <w:rStyle w:val="Hyperlnk"/>
          </w:rPr>
          <w:t>http://echa.europa.eu/addressing-chemicals-of-concern/substances-of-potential-concern/svhc-roadmap-to-2020-implementation</w:t>
        </w:r>
      </w:hyperlink>
    </w:p>
  </w:footnote>
  <w:footnote w:id="2">
    <w:p w14:paraId="46F77FA9" w14:textId="77777777" w:rsidR="00011ABB" w:rsidRPr="009D7B88" w:rsidRDefault="00011ABB" w:rsidP="00011ABB">
      <w:pPr>
        <w:pStyle w:val="Fotnotstext"/>
      </w:pPr>
      <w:r w:rsidRPr="00011ABB">
        <w:rPr>
          <w:rStyle w:val="Fotnotsreferens"/>
        </w:rPr>
        <w:footnoteRef/>
      </w:r>
      <w:r w:rsidRPr="00011ABB">
        <w:t xml:space="preserve"> </w:t>
      </w:r>
      <w:hyperlink r:id="rId2" w:history="1">
        <w:r w:rsidRPr="00011ABB">
          <w:rPr>
            <w:rStyle w:val="Hyperlnk"/>
          </w:rPr>
          <w:t>Skin sensitising, irritative and/or corrosive... - Registry of restriction intentions until outcome - ECHA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Sidhuvud"/>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67E677E"/>
    <w:lvl w:ilvl="0">
      <w:start w:val="1"/>
      <w:numFmt w:val="decimal"/>
      <w:pStyle w:val="Numreradlista"/>
      <w:lvlText w:val="%1."/>
      <w:lvlJc w:val="left"/>
      <w:pPr>
        <w:tabs>
          <w:tab w:val="num" w:pos="360"/>
        </w:tabs>
        <w:ind w:left="360" w:hanging="360"/>
      </w:pPr>
    </w:lvl>
  </w:abstractNum>
  <w:abstractNum w:abstractNumId="1"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1"/>
  </w:num>
  <w:num w:numId="3">
    <w:abstractNumId w:val="5"/>
  </w:num>
  <w:num w:numId="4">
    <w:abstractNumId w:val="1"/>
  </w:num>
  <w:num w:numId="5">
    <w:abstractNumId w:val="4"/>
  </w:num>
  <w:num w:numId="6">
    <w:abstractNumId w:val="13"/>
  </w:num>
  <w:num w:numId="7">
    <w:abstractNumId w:val="2"/>
  </w:num>
  <w:num w:numId="8">
    <w:abstractNumId w:val="3"/>
  </w:num>
  <w:num w:numId="9">
    <w:abstractNumId w:val="7"/>
  </w:num>
  <w:num w:numId="10">
    <w:abstractNumId w:val="8"/>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7"/>
    <w:rsid w:val="00002586"/>
    <w:rsid w:val="000042FA"/>
    <w:rsid w:val="0000560B"/>
    <w:rsid w:val="00011ABB"/>
    <w:rsid w:val="000122ED"/>
    <w:rsid w:val="0001476D"/>
    <w:rsid w:val="000204C4"/>
    <w:rsid w:val="00024D48"/>
    <w:rsid w:val="00026951"/>
    <w:rsid w:val="00037F48"/>
    <w:rsid w:val="00047BEE"/>
    <w:rsid w:val="0005195E"/>
    <w:rsid w:val="00054356"/>
    <w:rsid w:val="000633BF"/>
    <w:rsid w:val="000711F7"/>
    <w:rsid w:val="00077E65"/>
    <w:rsid w:val="000875CA"/>
    <w:rsid w:val="0009452D"/>
    <w:rsid w:val="000A3AEB"/>
    <w:rsid w:val="000D5B93"/>
    <w:rsid w:val="000E2FC2"/>
    <w:rsid w:val="000E4E5B"/>
    <w:rsid w:val="000E7032"/>
    <w:rsid w:val="00112815"/>
    <w:rsid w:val="0011467E"/>
    <w:rsid w:val="00124E72"/>
    <w:rsid w:val="001259BB"/>
    <w:rsid w:val="0012634F"/>
    <w:rsid w:val="00126494"/>
    <w:rsid w:val="001448AF"/>
    <w:rsid w:val="00144FCA"/>
    <w:rsid w:val="00166209"/>
    <w:rsid w:val="001754AB"/>
    <w:rsid w:val="00183C4B"/>
    <w:rsid w:val="001915C8"/>
    <w:rsid w:val="001C1F13"/>
    <w:rsid w:val="001E6C1A"/>
    <w:rsid w:val="001F1A20"/>
    <w:rsid w:val="00201A44"/>
    <w:rsid w:val="00202966"/>
    <w:rsid w:val="00205775"/>
    <w:rsid w:val="002163CF"/>
    <w:rsid w:val="00220442"/>
    <w:rsid w:val="00227B7E"/>
    <w:rsid w:val="002460BF"/>
    <w:rsid w:val="00256417"/>
    <w:rsid w:val="00262180"/>
    <w:rsid w:val="002650FC"/>
    <w:rsid w:val="00270FFE"/>
    <w:rsid w:val="0027431B"/>
    <w:rsid w:val="002778DD"/>
    <w:rsid w:val="002920AC"/>
    <w:rsid w:val="00294316"/>
    <w:rsid w:val="002C515C"/>
    <w:rsid w:val="002C6ADA"/>
    <w:rsid w:val="002D0A2E"/>
    <w:rsid w:val="002D7699"/>
    <w:rsid w:val="002E3562"/>
    <w:rsid w:val="002E4026"/>
    <w:rsid w:val="002E4672"/>
    <w:rsid w:val="002F261C"/>
    <w:rsid w:val="003065EE"/>
    <w:rsid w:val="00320A78"/>
    <w:rsid w:val="0032297A"/>
    <w:rsid w:val="00326F57"/>
    <w:rsid w:val="00332FF4"/>
    <w:rsid w:val="00363833"/>
    <w:rsid w:val="0036659A"/>
    <w:rsid w:val="003746D1"/>
    <w:rsid w:val="003B32BD"/>
    <w:rsid w:val="003C1375"/>
    <w:rsid w:val="003C2E00"/>
    <w:rsid w:val="003C3793"/>
    <w:rsid w:val="003D4597"/>
    <w:rsid w:val="003E1455"/>
    <w:rsid w:val="003E7258"/>
    <w:rsid w:val="00412208"/>
    <w:rsid w:val="00415B10"/>
    <w:rsid w:val="0042483F"/>
    <w:rsid w:val="004364C9"/>
    <w:rsid w:val="00436C19"/>
    <w:rsid w:val="00441EE7"/>
    <w:rsid w:val="0044304E"/>
    <w:rsid w:val="00444011"/>
    <w:rsid w:val="00452825"/>
    <w:rsid w:val="00463240"/>
    <w:rsid w:val="0046464F"/>
    <w:rsid w:val="00467561"/>
    <w:rsid w:val="00467619"/>
    <w:rsid w:val="00471457"/>
    <w:rsid w:val="00483960"/>
    <w:rsid w:val="00490007"/>
    <w:rsid w:val="00492518"/>
    <w:rsid w:val="004A5B50"/>
    <w:rsid w:val="004B10B4"/>
    <w:rsid w:val="004B48E4"/>
    <w:rsid w:val="004B63F1"/>
    <w:rsid w:val="004B7059"/>
    <w:rsid w:val="004C7EF4"/>
    <w:rsid w:val="004D24E8"/>
    <w:rsid w:val="004E0601"/>
    <w:rsid w:val="004E385D"/>
    <w:rsid w:val="004E7788"/>
    <w:rsid w:val="004F0B91"/>
    <w:rsid w:val="004F51B6"/>
    <w:rsid w:val="004F6831"/>
    <w:rsid w:val="00501202"/>
    <w:rsid w:val="00502ADE"/>
    <w:rsid w:val="00510C24"/>
    <w:rsid w:val="00513808"/>
    <w:rsid w:val="00515C08"/>
    <w:rsid w:val="00523442"/>
    <w:rsid w:val="00531303"/>
    <w:rsid w:val="005401E5"/>
    <w:rsid w:val="005437BE"/>
    <w:rsid w:val="005575E6"/>
    <w:rsid w:val="00586832"/>
    <w:rsid w:val="00594EC4"/>
    <w:rsid w:val="00596A10"/>
    <w:rsid w:val="005A2AD2"/>
    <w:rsid w:val="005C3710"/>
    <w:rsid w:val="005F2482"/>
    <w:rsid w:val="005F45D1"/>
    <w:rsid w:val="005F79AE"/>
    <w:rsid w:val="00600A04"/>
    <w:rsid w:val="0060463A"/>
    <w:rsid w:val="00610621"/>
    <w:rsid w:val="00610DF1"/>
    <w:rsid w:val="00621CAC"/>
    <w:rsid w:val="00623882"/>
    <w:rsid w:val="006305CD"/>
    <w:rsid w:val="006617E0"/>
    <w:rsid w:val="00676DCA"/>
    <w:rsid w:val="00680C20"/>
    <w:rsid w:val="00690F3B"/>
    <w:rsid w:val="006941E7"/>
    <w:rsid w:val="006A4ADE"/>
    <w:rsid w:val="006D39F4"/>
    <w:rsid w:val="006E2B7B"/>
    <w:rsid w:val="006E6B1A"/>
    <w:rsid w:val="006F6AE3"/>
    <w:rsid w:val="00705350"/>
    <w:rsid w:val="0071291D"/>
    <w:rsid w:val="00713266"/>
    <w:rsid w:val="00741D90"/>
    <w:rsid w:val="00751518"/>
    <w:rsid w:val="00753065"/>
    <w:rsid w:val="00755D9F"/>
    <w:rsid w:val="007642AB"/>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1152"/>
    <w:rsid w:val="0080484C"/>
    <w:rsid w:val="00817B80"/>
    <w:rsid w:val="00821610"/>
    <w:rsid w:val="00835373"/>
    <w:rsid w:val="00835C68"/>
    <w:rsid w:val="00840BD5"/>
    <w:rsid w:val="00853E7D"/>
    <w:rsid w:val="00860FBA"/>
    <w:rsid w:val="00862992"/>
    <w:rsid w:val="00883931"/>
    <w:rsid w:val="008A1880"/>
    <w:rsid w:val="008C0CC7"/>
    <w:rsid w:val="008C77B5"/>
    <w:rsid w:val="0090191C"/>
    <w:rsid w:val="00920032"/>
    <w:rsid w:val="00922BBA"/>
    <w:rsid w:val="00930C01"/>
    <w:rsid w:val="00933335"/>
    <w:rsid w:val="00933AC5"/>
    <w:rsid w:val="009369B2"/>
    <w:rsid w:val="00955691"/>
    <w:rsid w:val="00955D7A"/>
    <w:rsid w:val="00962549"/>
    <w:rsid w:val="00980AC4"/>
    <w:rsid w:val="00983286"/>
    <w:rsid w:val="00983FBD"/>
    <w:rsid w:val="00985B7B"/>
    <w:rsid w:val="00986A52"/>
    <w:rsid w:val="009A4F2F"/>
    <w:rsid w:val="009B0296"/>
    <w:rsid w:val="009B4D5D"/>
    <w:rsid w:val="009C2172"/>
    <w:rsid w:val="009C590C"/>
    <w:rsid w:val="009C5A06"/>
    <w:rsid w:val="009D3C1E"/>
    <w:rsid w:val="009E696B"/>
    <w:rsid w:val="009F191D"/>
    <w:rsid w:val="00A03E87"/>
    <w:rsid w:val="00A14C19"/>
    <w:rsid w:val="00A14EC1"/>
    <w:rsid w:val="00A2487E"/>
    <w:rsid w:val="00A263C9"/>
    <w:rsid w:val="00A347AF"/>
    <w:rsid w:val="00A41F93"/>
    <w:rsid w:val="00A429E9"/>
    <w:rsid w:val="00A4316B"/>
    <w:rsid w:val="00A436BB"/>
    <w:rsid w:val="00A446BC"/>
    <w:rsid w:val="00A45B6C"/>
    <w:rsid w:val="00A54C28"/>
    <w:rsid w:val="00A75ACF"/>
    <w:rsid w:val="00A80DBE"/>
    <w:rsid w:val="00AB0322"/>
    <w:rsid w:val="00AB1228"/>
    <w:rsid w:val="00AC5ED0"/>
    <w:rsid w:val="00AC7509"/>
    <w:rsid w:val="00AC79ED"/>
    <w:rsid w:val="00AD40AE"/>
    <w:rsid w:val="00AE2396"/>
    <w:rsid w:val="00AF5158"/>
    <w:rsid w:val="00AF63F4"/>
    <w:rsid w:val="00AF6E00"/>
    <w:rsid w:val="00AF77F1"/>
    <w:rsid w:val="00B03339"/>
    <w:rsid w:val="00B2524D"/>
    <w:rsid w:val="00B32C2E"/>
    <w:rsid w:val="00B346A8"/>
    <w:rsid w:val="00B37A42"/>
    <w:rsid w:val="00B66083"/>
    <w:rsid w:val="00B73E45"/>
    <w:rsid w:val="00B92E74"/>
    <w:rsid w:val="00B97DA0"/>
    <w:rsid w:val="00BB0CE8"/>
    <w:rsid w:val="00BB3275"/>
    <w:rsid w:val="00BC35A3"/>
    <w:rsid w:val="00BC5A7C"/>
    <w:rsid w:val="00BE1CEB"/>
    <w:rsid w:val="00BE5AF4"/>
    <w:rsid w:val="00BF5819"/>
    <w:rsid w:val="00BF63C3"/>
    <w:rsid w:val="00C0335E"/>
    <w:rsid w:val="00C0431D"/>
    <w:rsid w:val="00C0654A"/>
    <w:rsid w:val="00C32CBD"/>
    <w:rsid w:val="00C411EC"/>
    <w:rsid w:val="00C42DBF"/>
    <w:rsid w:val="00C52D40"/>
    <w:rsid w:val="00C54EBC"/>
    <w:rsid w:val="00C55123"/>
    <w:rsid w:val="00C629E5"/>
    <w:rsid w:val="00C70B2B"/>
    <w:rsid w:val="00C74112"/>
    <w:rsid w:val="00CB1FBE"/>
    <w:rsid w:val="00CB730C"/>
    <w:rsid w:val="00CC7A9E"/>
    <w:rsid w:val="00CE07AB"/>
    <w:rsid w:val="00CE2CAA"/>
    <w:rsid w:val="00CE5346"/>
    <w:rsid w:val="00D00E35"/>
    <w:rsid w:val="00D03326"/>
    <w:rsid w:val="00D11FC2"/>
    <w:rsid w:val="00D37806"/>
    <w:rsid w:val="00D462BD"/>
    <w:rsid w:val="00D5375D"/>
    <w:rsid w:val="00D53A3D"/>
    <w:rsid w:val="00D61F8B"/>
    <w:rsid w:val="00D70C76"/>
    <w:rsid w:val="00D95C36"/>
    <w:rsid w:val="00D96D81"/>
    <w:rsid w:val="00DA0923"/>
    <w:rsid w:val="00DA3F90"/>
    <w:rsid w:val="00DA5A25"/>
    <w:rsid w:val="00DA6B85"/>
    <w:rsid w:val="00DB0024"/>
    <w:rsid w:val="00DC1F12"/>
    <w:rsid w:val="00DD1882"/>
    <w:rsid w:val="00E13733"/>
    <w:rsid w:val="00E14856"/>
    <w:rsid w:val="00E36635"/>
    <w:rsid w:val="00E464B0"/>
    <w:rsid w:val="00E55E07"/>
    <w:rsid w:val="00E702C1"/>
    <w:rsid w:val="00E85A6B"/>
    <w:rsid w:val="00E86372"/>
    <w:rsid w:val="00EA326C"/>
    <w:rsid w:val="00EA6BD2"/>
    <w:rsid w:val="00EA7CF9"/>
    <w:rsid w:val="00EB3299"/>
    <w:rsid w:val="00ED048E"/>
    <w:rsid w:val="00ED10AD"/>
    <w:rsid w:val="00ED55A6"/>
    <w:rsid w:val="00ED5761"/>
    <w:rsid w:val="00EE475E"/>
    <w:rsid w:val="00F145F2"/>
    <w:rsid w:val="00F154FB"/>
    <w:rsid w:val="00F4442B"/>
    <w:rsid w:val="00F503E3"/>
    <w:rsid w:val="00F545EA"/>
    <w:rsid w:val="00F57736"/>
    <w:rsid w:val="00F67BB5"/>
    <w:rsid w:val="00F826BC"/>
    <w:rsid w:val="00F92D91"/>
    <w:rsid w:val="00FA4598"/>
    <w:rsid w:val="00FB27AC"/>
    <w:rsid w:val="00FB30A3"/>
    <w:rsid w:val="00FB4C3F"/>
    <w:rsid w:val="00FC3640"/>
    <w:rsid w:val="00FE0975"/>
    <w:rsid w:val="00FE25D1"/>
    <w:rsid w:val="00FE37D9"/>
    <w:rsid w:val="00FF45DE"/>
    <w:rsid w:val="00FF6A5B"/>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353996"/>
  <w15:docId w15:val="{C96689E9-7BA1-4DD5-A8DE-08B930AC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Rubrik1">
    <w:name w:val="heading 1"/>
    <w:aliases w:val="ECHA Heading 1"/>
    <w:basedOn w:val="Normal"/>
    <w:next w:val="Brdtext"/>
    <w:link w:val="Rubrik1Char"/>
    <w:uiPriority w:val="9"/>
    <w:qFormat/>
    <w:rsid w:val="00EA7CF9"/>
    <w:pPr>
      <w:keepNext/>
      <w:keepLines/>
      <w:spacing w:after="240"/>
      <w:outlineLvl w:val="0"/>
    </w:pPr>
    <w:rPr>
      <w:b/>
      <w:snapToGrid/>
      <w:color w:val="0046AD"/>
      <w:sz w:val="28"/>
      <w:szCs w:val="24"/>
    </w:rPr>
  </w:style>
  <w:style w:type="paragraph" w:styleId="Rubrik2">
    <w:name w:val="heading 2"/>
    <w:aliases w:val="ECHA Heading 2"/>
    <w:basedOn w:val="Rubrik1"/>
    <w:next w:val="Brdtext"/>
    <w:link w:val="Rubrik2Char"/>
    <w:qFormat/>
    <w:rsid w:val="00EA7CF9"/>
    <w:pPr>
      <w:outlineLvl w:val="1"/>
    </w:pPr>
    <w:rPr>
      <w:rFonts w:cs="Arial"/>
      <w:sz w:val="24"/>
      <w:szCs w:val="22"/>
    </w:rPr>
  </w:style>
  <w:style w:type="paragraph" w:styleId="Rubrik3">
    <w:name w:val="heading 3"/>
    <w:aliases w:val="ECHA Heading 3"/>
    <w:basedOn w:val="Rubrik2"/>
    <w:next w:val="Brdtext"/>
    <w:link w:val="Rubrik3Char"/>
    <w:uiPriority w:val="9"/>
    <w:qFormat/>
    <w:rsid w:val="00EA7CF9"/>
    <w:pPr>
      <w:outlineLvl w:val="2"/>
    </w:pPr>
    <w:rPr>
      <w:bCs/>
      <w:color w:val="000000"/>
      <w:sz w:val="22"/>
    </w:rPr>
  </w:style>
  <w:style w:type="paragraph" w:styleId="Rubrik4">
    <w:name w:val="heading 4"/>
    <w:aliases w:val="ECHA Heading 4"/>
    <w:basedOn w:val="Rubrik3"/>
    <w:next w:val="Brdtext"/>
    <w:link w:val="Rubrik4Char"/>
    <w:qFormat/>
    <w:rsid w:val="00EA7CF9"/>
    <w:pPr>
      <w:outlineLvl w:val="3"/>
    </w:pPr>
    <w:rPr>
      <w:b w:val="0"/>
      <w:bCs w:val="0"/>
      <w:szCs w:val="28"/>
    </w:rPr>
  </w:style>
  <w:style w:type="paragraph" w:styleId="Rubrik5">
    <w:name w:val="heading 5"/>
    <w:aliases w:val="ECHA Heading 5"/>
    <w:basedOn w:val="Rubrik3"/>
    <w:next w:val="Brdtext"/>
    <w:link w:val="Rubrik5Char"/>
    <w:qFormat/>
    <w:rsid w:val="00EA7CF9"/>
    <w:pPr>
      <w:outlineLvl w:val="4"/>
    </w:pPr>
    <w:rPr>
      <w:bCs w:val="0"/>
      <w:iCs/>
      <w:sz w:val="20"/>
      <w:szCs w:val="26"/>
    </w:rPr>
  </w:style>
  <w:style w:type="paragraph" w:styleId="Rubrik6">
    <w:name w:val="heading 6"/>
    <w:aliases w:val="ECHA Heading 6"/>
    <w:basedOn w:val="Rubrik5"/>
    <w:next w:val="Brdtext"/>
    <w:link w:val="Rubrik6Char"/>
    <w:qFormat/>
    <w:rsid w:val="00EA7CF9"/>
    <w:pPr>
      <w:outlineLvl w:val="5"/>
    </w:pPr>
    <w:rPr>
      <w:bCs/>
      <w:szCs w:val="22"/>
    </w:rPr>
  </w:style>
  <w:style w:type="paragraph" w:styleId="Rubrik7">
    <w:name w:val="heading 7"/>
    <w:aliases w:val="ECHA Heading 7"/>
    <w:basedOn w:val="Rubrik5"/>
    <w:next w:val="Brdtext"/>
    <w:link w:val="Rubrik7Char"/>
    <w:qFormat/>
    <w:rsid w:val="00EA7CF9"/>
    <w:pPr>
      <w:outlineLvl w:val="6"/>
    </w:pPr>
    <w:rPr>
      <w:szCs w:val="24"/>
    </w:rPr>
  </w:style>
  <w:style w:type="paragraph" w:styleId="Rubrik8">
    <w:name w:val="heading 8"/>
    <w:aliases w:val="ECHA Heading 8"/>
    <w:basedOn w:val="Rubrik5"/>
    <w:next w:val="Brdtext"/>
    <w:link w:val="Rubrik8Char"/>
    <w:qFormat/>
    <w:rsid w:val="00EA7CF9"/>
    <w:pPr>
      <w:outlineLvl w:val="7"/>
    </w:pPr>
    <w:rPr>
      <w:iCs w:val="0"/>
      <w:szCs w:val="24"/>
    </w:rPr>
  </w:style>
  <w:style w:type="paragraph" w:styleId="Rubrik9">
    <w:name w:val="heading 9"/>
    <w:aliases w:val="ECHA Heading 9"/>
    <w:basedOn w:val="Rubrik5"/>
    <w:next w:val="Brdtext"/>
    <w:link w:val="Rubrik9Char"/>
    <w:qFormat/>
    <w:rsid w:val="00EA7CF9"/>
    <w:pPr>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ECHA Heading 1 Char"/>
    <w:basedOn w:val="Standardstycketeckensnitt"/>
    <w:link w:val="Rubrik1"/>
    <w:rsid w:val="00EA7CF9"/>
    <w:rPr>
      <w:rFonts w:ascii="Verdana" w:eastAsia="Times New Roman" w:hAnsi="Verdana" w:cs="Times New Roman"/>
      <w:b/>
      <w:snapToGrid w:val="0"/>
      <w:color w:val="0046AD"/>
      <w:sz w:val="28"/>
      <w:szCs w:val="24"/>
      <w:lang w:eastAsia="fi-FI"/>
    </w:rPr>
  </w:style>
  <w:style w:type="character" w:customStyle="1" w:styleId="Rubrik2Char">
    <w:name w:val="Rubrik 2 Char"/>
    <w:aliases w:val="ECHA Heading 2 Char"/>
    <w:basedOn w:val="Standardstycketeckensnitt"/>
    <w:link w:val="Rubrik2"/>
    <w:rsid w:val="00EA7CF9"/>
    <w:rPr>
      <w:rFonts w:ascii="Verdana" w:eastAsia="Times New Roman" w:hAnsi="Verdana" w:cs="Arial"/>
      <w:b/>
      <w:snapToGrid w:val="0"/>
      <w:color w:val="0046AD"/>
      <w:sz w:val="24"/>
      <w:lang w:eastAsia="fi-FI"/>
    </w:rPr>
  </w:style>
  <w:style w:type="character" w:customStyle="1" w:styleId="Rubrik3Char">
    <w:name w:val="Rubrik 3 Char"/>
    <w:aliases w:val="ECHA Heading 3 Char"/>
    <w:basedOn w:val="Standardstycketeckensnitt"/>
    <w:link w:val="Rubrik3"/>
    <w:rsid w:val="00EA7CF9"/>
    <w:rPr>
      <w:rFonts w:ascii="Verdana" w:eastAsia="Times New Roman" w:hAnsi="Verdana" w:cs="Arial"/>
      <w:b/>
      <w:bCs/>
      <w:snapToGrid w:val="0"/>
      <w:color w:val="000000"/>
      <w:lang w:eastAsia="fi-FI"/>
    </w:rPr>
  </w:style>
  <w:style w:type="character" w:customStyle="1" w:styleId="Rubrik4Char">
    <w:name w:val="Rubrik 4 Char"/>
    <w:aliases w:val="ECHA Heading 4 Char"/>
    <w:basedOn w:val="Standardstycketeckensnitt"/>
    <w:link w:val="Rubrik4"/>
    <w:rsid w:val="00EA7CF9"/>
    <w:rPr>
      <w:rFonts w:ascii="Verdana" w:eastAsia="Times New Roman" w:hAnsi="Verdana" w:cs="Arial"/>
      <w:snapToGrid w:val="0"/>
      <w:color w:val="000000"/>
      <w:szCs w:val="28"/>
      <w:lang w:eastAsia="fi-FI"/>
    </w:rPr>
  </w:style>
  <w:style w:type="character" w:customStyle="1" w:styleId="Rubrik5Char">
    <w:name w:val="Rubrik 5 Char"/>
    <w:aliases w:val="ECHA Heading 5 Char"/>
    <w:basedOn w:val="Standardstycketeckensnitt"/>
    <w:link w:val="Rubrik5"/>
    <w:rsid w:val="00EA7CF9"/>
    <w:rPr>
      <w:rFonts w:ascii="Verdana" w:eastAsia="Times New Roman" w:hAnsi="Verdana" w:cs="Arial"/>
      <w:b/>
      <w:iCs/>
      <w:snapToGrid w:val="0"/>
      <w:color w:val="000000"/>
      <w:sz w:val="20"/>
      <w:szCs w:val="26"/>
      <w:lang w:eastAsia="fi-FI"/>
    </w:rPr>
  </w:style>
  <w:style w:type="character" w:customStyle="1" w:styleId="Rubrik6Char">
    <w:name w:val="Rubrik 6 Char"/>
    <w:aliases w:val="ECHA Heading 6 Char"/>
    <w:basedOn w:val="Standardstycketeckensnitt"/>
    <w:link w:val="Rubrik6"/>
    <w:rsid w:val="00EA7CF9"/>
    <w:rPr>
      <w:rFonts w:ascii="Verdana" w:eastAsia="Times New Roman" w:hAnsi="Verdana" w:cs="Arial"/>
      <w:b/>
      <w:bCs/>
      <w:iCs/>
      <w:snapToGrid w:val="0"/>
      <w:color w:val="000000"/>
      <w:sz w:val="20"/>
      <w:lang w:eastAsia="fi-FI"/>
    </w:rPr>
  </w:style>
  <w:style w:type="character" w:customStyle="1" w:styleId="Rubrik7Char">
    <w:name w:val="Rubrik 7 Char"/>
    <w:aliases w:val="ECHA Heading 7 Char"/>
    <w:basedOn w:val="Standardstycketeckensnitt"/>
    <w:link w:val="Rubrik7"/>
    <w:rsid w:val="00EA7CF9"/>
    <w:rPr>
      <w:rFonts w:ascii="Verdana" w:eastAsia="Times New Roman" w:hAnsi="Verdana" w:cs="Arial"/>
      <w:b/>
      <w:iCs/>
      <w:snapToGrid w:val="0"/>
      <w:color w:val="000000"/>
      <w:sz w:val="20"/>
      <w:szCs w:val="24"/>
      <w:lang w:eastAsia="fi-FI"/>
    </w:rPr>
  </w:style>
  <w:style w:type="character" w:customStyle="1" w:styleId="Rubrik8Char">
    <w:name w:val="Rubrik 8 Char"/>
    <w:aliases w:val="ECHA Heading 8 Char"/>
    <w:basedOn w:val="Standardstycketeckensnitt"/>
    <w:link w:val="Rubrik8"/>
    <w:rsid w:val="00EA7CF9"/>
    <w:rPr>
      <w:rFonts w:ascii="Verdana" w:eastAsia="Times New Roman" w:hAnsi="Verdana" w:cs="Arial"/>
      <w:b/>
      <w:snapToGrid w:val="0"/>
      <w:color w:val="000000"/>
      <w:sz w:val="20"/>
      <w:szCs w:val="24"/>
      <w:lang w:eastAsia="fi-FI"/>
    </w:rPr>
  </w:style>
  <w:style w:type="character" w:customStyle="1" w:styleId="Rubrik9Char">
    <w:name w:val="Rubrik 9 Char"/>
    <w:aliases w:val="ECHA Heading 9 Char"/>
    <w:basedOn w:val="Standardstycketeckensnitt"/>
    <w:link w:val="Rubrik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Ingenlista"/>
    <w:rsid w:val="00EA7CF9"/>
    <w:pPr>
      <w:numPr>
        <w:numId w:val="1"/>
      </w:numPr>
    </w:pPr>
  </w:style>
  <w:style w:type="numbering" w:customStyle="1" w:styleId="ECHANumberlist">
    <w:name w:val="ECHA Number list"/>
    <w:basedOn w:val="Ingenlista"/>
    <w:rsid w:val="00EA7CF9"/>
    <w:pPr>
      <w:numPr>
        <w:numId w:val="2"/>
      </w:numPr>
    </w:pPr>
  </w:style>
  <w:style w:type="paragraph" w:styleId="Brdtext">
    <w:name w:val="Body Text"/>
    <w:aliases w:val="Text"/>
    <w:basedOn w:val="Normal"/>
    <w:link w:val="BrdtextChar"/>
    <w:unhideWhenUsed/>
    <w:rsid w:val="00EA7CF9"/>
    <w:pPr>
      <w:spacing w:after="120"/>
    </w:pPr>
  </w:style>
  <w:style w:type="character" w:customStyle="1" w:styleId="BrdtextChar">
    <w:name w:val="Brödtext Char"/>
    <w:aliases w:val="Text Char"/>
    <w:basedOn w:val="Standardstycketeckensnitt"/>
    <w:link w:val="Brdtext"/>
    <w:rsid w:val="00EA7CF9"/>
  </w:style>
  <w:style w:type="paragraph" w:styleId="Rubrik">
    <w:name w:val="Title"/>
    <w:aliases w:val="ECHA Heading"/>
    <w:basedOn w:val="Rubrik1"/>
    <w:next w:val="Brdtext"/>
    <w:link w:val="RubrikChar"/>
    <w:qFormat/>
    <w:rsid w:val="00EA7CF9"/>
    <w:rPr>
      <w:rFonts w:cs="Arial"/>
      <w:bCs/>
      <w:szCs w:val="32"/>
    </w:rPr>
  </w:style>
  <w:style w:type="character" w:customStyle="1" w:styleId="RubrikChar">
    <w:name w:val="Rubrik Char"/>
    <w:aliases w:val="ECHA Heading Char"/>
    <w:basedOn w:val="Standardstycketeckensnitt"/>
    <w:link w:val="Rubrik"/>
    <w:rsid w:val="00EA7CF9"/>
    <w:rPr>
      <w:rFonts w:ascii="Verdana" w:eastAsia="Times New Roman" w:hAnsi="Verdana" w:cs="Arial"/>
      <w:b/>
      <w:bCs/>
      <w:snapToGrid w:val="0"/>
      <w:color w:val="0046AD"/>
      <w:sz w:val="28"/>
      <w:szCs w:val="32"/>
      <w:lang w:eastAsia="fi-FI"/>
    </w:rPr>
  </w:style>
  <w:style w:type="paragraph" w:styleId="Fotnotstext">
    <w:name w:val="footnote text"/>
    <w:aliases w:val="Footnote Text Char Char"/>
    <w:basedOn w:val="Normal"/>
    <w:link w:val="FotnotstextChar"/>
    <w:qFormat/>
    <w:rsid w:val="00471457"/>
  </w:style>
  <w:style w:type="character" w:customStyle="1" w:styleId="FotnotstextChar">
    <w:name w:val="Fotnotstext Char"/>
    <w:aliases w:val="Footnote Text Char Char Char"/>
    <w:basedOn w:val="Standardstycketeckensnitt"/>
    <w:link w:val="Fotnotstext"/>
    <w:rsid w:val="00471457"/>
    <w:rPr>
      <w:rFonts w:ascii="Verdana" w:eastAsia="Times New Roman" w:hAnsi="Verdana" w:cs="Times New Roman"/>
      <w:snapToGrid w:val="0"/>
      <w:sz w:val="20"/>
      <w:szCs w:val="20"/>
      <w:lang w:eastAsia="fi-FI"/>
    </w:rPr>
  </w:style>
  <w:style w:type="character" w:styleId="Fotnotsreferens">
    <w:name w:val="footnote reference"/>
    <w:aliases w:val="Footnote,Footnote Reference/"/>
    <w:qFormat/>
    <w:rsid w:val="00471457"/>
    <w:rPr>
      <w:vertAlign w:val="superscript"/>
    </w:rPr>
  </w:style>
  <w:style w:type="paragraph" w:styleId="Liststycke">
    <w:name w:val="List Paragraph"/>
    <w:basedOn w:val="Normal"/>
    <w:uiPriority w:val="34"/>
    <w:qFormat/>
    <w:rsid w:val="00471457"/>
    <w:pPr>
      <w:ind w:left="720"/>
    </w:pPr>
  </w:style>
  <w:style w:type="paragraph" w:styleId="Ballongtext">
    <w:name w:val="Balloon Text"/>
    <w:basedOn w:val="Normal"/>
    <w:link w:val="BallongtextChar"/>
    <w:uiPriority w:val="99"/>
    <w:semiHidden/>
    <w:unhideWhenUsed/>
    <w:rsid w:val="005F45D1"/>
    <w:rPr>
      <w:rFonts w:ascii="Tahoma" w:hAnsi="Tahoma" w:cs="Tahoma"/>
      <w:sz w:val="16"/>
      <w:szCs w:val="16"/>
    </w:rPr>
  </w:style>
  <w:style w:type="character" w:customStyle="1" w:styleId="BallongtextChar">
    <w:name w:val="Ballongtext Char"/>
    <w:basedOn w:val="Standardstycketeckensnitt"/>
    <w:link w:val="Ballongtext"/>
    <w:uiPriority w:val="99"/>
    <w:semiHidden/>
    <w:rsid w:val="005F45D1"/>
    <w:rPr>
      <w:rFonts w:ascii="Tahoma" w:eastAsia="Times New Roman" w:hAnsi="Tahoma" w:cs="Tahoma"/>
      <w:snapToGrid w:val="0"/>
      <w:sz w:val="16"/>
      <w:szCs w:val="16"/>
      <w:lang w:eastAsia="fi-FI"/>
    </w:rPr>
  </w:style>
  <w:style w:type="character" w:styleId="Kommentarsreferens">
    <w:name w:val="annotation reference"/>
    <w:basedOn w:val="Standardstycketeckensnitt"/>
    <w:uiPriority w:val="99"/>
    <w:semiHidden/>
    <w:unhideWhenUsed/>
    <w:rsid w:val="002F261C"/>
    <w:rPr>
      <w:sz w:val="16"/>
      <w:szCs w:val="16"/>
    </w:rPr>
  </w:style>
  <w:style w:type="paragraph" w:styleId="Kommentarer">
    <w:name w:val="annotation text"/>
    <w:basedOn w:val="Normal"/>
    <w:link w:val="KommentarerChar"/>
    <w:uiPriority w:val="99"/>
    <w:unhideWhenUsed/>
    <w:rsid w:val="002F261C"/>
  </w:style>
  <w:style w:type="character" w:customStyle="1" w:styleId="KommentarerChar">
    <w:name w:val="Kommentarer Char"/>
    <w:basedOn w:val="Standardstycketeckensnitt"/>
    <w:link w:val="Kommentarer"/>
    <w:uiPriority w:val="99"/>
    <w:rsid w:val="002F261C"/>
    <w:rPr>
      <w:rFonts w:ascii="Verdana" w:eastAsia="Times New Roman" w:hAnsi="Verdana" w:cs="Times New Roman"/>
      <w:snapToGrid w:val="0"/>
      <w:sz w:val="20"/>
      <w:szCs w:val="20"/>
      <w:lang w:eastAsia="fi-FI"/>
    </w:rPr>
  </w:style>
  <w:style w:type="paragraph" w:styleId="Kommentarsmne">
    <w:name w:val="annotation subject"/>
    <w:basedOn w:val="Kommentarer"/>
    <w:next w:val="Kommentarer"/>
    <w:link w:val="KommentarsmneChar"/>
    <w:uiPriority w:val="99"/>
    <w:semiHidden/>
    <w:unhideWhenUsed/>
    <w:rsid w:val="002F261C"/>
    <w:rPr>
      <w:b/>
      <w:bCs/>
    </w:rPr>
  </w:style>
  <w:style w:type="character" w:customStyle="1" w:styleId="KommentarsmneChar">
    <w:name w:val="Kommentarsämne Char"/>
    <w:basedOn w:val="KommentarerChar"/>
    <w:link w:val="Kommentarsmne"/>
    <w:uiPriority w:val="99"/>
    <w:semiHidden/>
    <w:rsid w:val="002F261C"/>
    <w:rPr>
      <w:rFonts w:ascii="Verdana" w:eastAsia="Times New Roman" w:hAnsi="Verdana" w:cs="Times New Roman"/>
      <w:b/>
      <w:bCs/>
      <w:snapToGrid w:val="0"/>
      <w:sz w:val="20"/>
      <w:szCs w:val="20"/>
      <w:lang w:eastAsia="fi-FI"/>
    </w:rPr>
  </w:style>
  <w:style w:type="paragraph" w:styleId="Sidhuvud">
    <w:name w:val="header"/>
    <w:basedOn w:val="Normal"/>
    <w:link w:val="SidhuvudChar"/>
    <w:uiPriority w:val="99"/>
    <w:unhideWhenUsed/>
    <w:rsid w:val="00A41F93"/>
    <w:pPr>
      <w:tabs>
        <w:tab w:val="center" w:pos="4513"/>
        <w:tab w:val="right" w:pos="9026"/>
      </w:tabs>
    </w:pPr>
  </w:style>
  <w:style w:type="character" w:customStyle="1" w:styleId="SidhuvudChar">
    <w:name w:val="Sidhuvud Char"/>
    <w:basedOn w:val="Standardstycketeckensnitt"/>
    <w:link w:val="Sidhuvud"/>
    <w:uiPriority w:val="99"/>
    <w:rsid w:val="00A41F93"/>
    <w:rPr>
      <w:rFonts w:ascii="Verdana" w:eastAsia="Times New Roman" w:hAnsi="Verdana" w:cs="Times New Roman"/>
      <w:snapToGrid w:val="0"/>
      <w:sz w:val="20"/>
      <w:szCs w:val="20"/>
      <w:lang w:eastAsia="fi-FI"/>
    </w:rPr>
  </w:style>
  <w:style w:type="paragraph" w:styleId="Sidfot">
    <w:name w:val="footer"/>
    <w:basedOn w:val="Normal"/>
    <w:link w:val="SidfotChar"/>
    <w:uiPriority w:val="99"/>
    <w:unhideWhenUsed/>
    <w:rsid w:val="00A41F93"/>
    <w:pPr>
      <w:tabs>
        <w:tab w:val="center" w:pos="4513"/>
        <w:tab w:val="right" w:pos="9026"/>
      </w:tabs>
    </w:pPr>
  </w:style>
  <w:style w:type="character" w:customStyle="1" w:styleId="SidfotChar">
    <w:name w:val="Sidfot Char"/>
    <w:basedOn w:val="Standardstycketeckensnitt"/>
    <w:link w:val="Sidfot"/>
    <w:uiPriority w:val="99"/>
    <w:rsid w:val="00A41F93"/>
    <w:rPr>
      <w:rFonts w:ascii="Verdana" w:eastAsia="Times New Roman" w:hAnsi="Verdana" w:cs="Times New Roman"/>
      <w:snapToGrid w:val="0"/>
      <w:sz w:val="20"/>
      <w:szCs w:val="20"/>
      <w:lang w:eastAsia="fi-FI"/>
    </w:rPr>
  </w:style>
  <w:style w:type="character" w:styleId="Hyperlnk">
    <w:name w:val="Hyperlink"/>
    <w:basedOn w:val="Standardstycketeckensnitt"/>
    <w:uiPriority w:val="99"/>
    <w:rsid w:val="002E4026"/>
    <w:rPr>
      <w:rFonts w:ascii="Verdana" w:hAnsi="Verdana"/>
      <w:color w:val="0000FF"/>
      <w:sz w:val="20"/>
      <w:u w:val="single"/>
    </w:rPr>
  </w:style>
  <w:style w:type="character" w:styleId="AnvndHyperlnk">
    <w:name w:val="FollowedHyperlink"/>
    <w:basedOn w:val="Standardstycketeckensnitt"/>
    <w:uiPriority w:val="99"/>
    <w:semiHidden/>
    <w:unhideWhenUsed/>
    <w:rsid w:val="00A03E87"/>
    <w:rPr>
      <w:color w:val="800080" w:themeColor="followedHyperlink"/>
      <w:u w:val="single"/>
    </w:rPr>
  </w:style>
  <w:style w:type="paragraph" w:styleId="Numreradlista">
    <w:name w:val="List Number"/>
    <w:basedOn w:val="Normal"/>
    <w:uiPriority w:val="99"/>
    <w:semiHidden/>
    <w:unhideWhenUsed/>
    <w:rsid w:val="00862992"/>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_rels/footnotes.xml.rels><?xml version="1.0" encoding="UTF-8" standalone="yes"?>
<Relationships xmlns="http://schemas.openxmlformats.org/package/2006/relationships"><Relationship Id="rId2" Type="http://schemas.openxmlformats.org/officeDocument/2006/relationships/hyperlink" Target="https://echa.europa.eu/sv/registry-of-restriction-intentions/-/dislist/details/0b0236e182446136" TargetMode="External"/><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2.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3.xml><?xml version="1.0" encoding="utf-8"?>
<ds:datastoreItem xmlns:ds="http://schemas.openxmlformats.org/officeDocument/2006/customXml" ds:itemID="{FB8C6060-E70E-4A37-913A-A00BF7D052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11b924-dee2-413a-bdc8-2cc023473c17"/>
    <ds:schemaRef ds:uri="b80ede5c-af4c-4bf2-9a87-706a3579dc11"/>
    <ds:schemaRef ds:uri="http://www.w3.org/XML/1998/namespace"/>
    <ds:schemaRef ds:uri="http://purl.org/dc/dcmitype/"/>
  </ds:schemaRefs>
</ds:datastoreItem>
</file>

<file path=customXml/itemProps4.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5.xml><?xml version="1.0" encoding="utf-8"?>
<ds:datastoreItem xmlns:ds="http://schemas.openxmlformats.org/officeDocument/2006/customXml" ds:itemID="{712A0B6B-2A8C-4E8B-A868-E39425EDA209}">
  <ds:schemaRefs>
    <ds:schemaRef ds:uri="http://schemas.openxmlformats.org/officeDocument/2006/bibliography"/>
  </ds:schemaRefs>
</ds:datastoreItem>
</file>

<file path=customXml/itemProps6.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5</Pages>
  <Words>1050</Words>
  <Characters>5567</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Swedish Chemicals Agency</cp:lastModifiedBy>
  <cp:revision>19</cp:revision>
  <cp:lastPrinted>2015-08-11T11:20:00Z</cp:lastPrinted>
  <dcterms:created xsi:type="dcterms:W3CDTF">2021-06-11T12:43:00Z</dcterms:created>
  <dcterms:modified xsi:type="dcterms:W3CDTF">2021-06-18T08:28:00Z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